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4F61" w:rsidR="003032D6" w:rsidP="00BE3896" w:rsidRDefault="00882927" w14:paraId="7ADC9D55" w14:textId="6E92E2B6">
      <w:pPr>
        <w:rPr>
          <w:rFonts w:ascii="Franklin Gothic Book" w:hAnsi="Franklin Gothic Book" w:cs="Arial"/>
          <w:b/>
          <w:bCs/>
          <w:sz w:val="28"/>
          <w:szCs w:val="28"/>
          <w:shd w:val="clear" w:color="auto" w:fill="FFFFFF"/>
        </w:rPr>
      </w:pPr>
      <w:r w:rsidRPr="00614F61">
        <w:rPr>
          <w:rFonts w:ascii="Franklin Gothic Book" w:hAnsi="Franklin Gothic Book" w:cs="Arial"/>
          <w:b/>
          <w:sz w:val="28"/>
          <w:szCs w:val="28"/>
          <w:shd w:val="clear" w:color="auto" w:fill="FFFFFF"/>
        </w:rPr>
        <w:t xml:space="preserve">Measures </w:t>
      </w:r>
      <w:r w:rsidR="002321FA">
        <w:rPr>
          <w:rFonts w:ascii="Franklin Gothic Book" w:hAnsi="Franklin Gothic Book" w:cs="Arial"/>
          <w:b/>
          <w:sz w:val="28"/>
          <w:szCs w:val="28"/>
          <w:shd w:val="clear" w:color="auto" w:fill="FFFFFF"/>
        </w:rPr>
        <w:t>t</w:t>
      </w:r>
      <w:r w:rsidRPr="00BE3896" w:rsidR="002321FA">
        <w:rPr>
          <w:rFonts w:ascii="Franklin Gothic Book" w:hAnsi="Franklin Gothic Book" w:cs="Arial"/>
          <w:b/>
          <w:sz w:val="28"/>
          <w:szCs w:val="28"/>
          <w:shd w:val="clear" w:color="auto" w:fill="FFFFFF"/>
        </w:rPr>
        <w:t xml:space="preserve">hat </w:t>
      </w:r>
      <w:r w:rsidRPr="00614F61">
        <w:rPr>
          <w:rFonts w:ascii="Franklin Gothic Book" w:hAnsi="Franklin Gothic Book" w:cs="Arial"/>
          <w:b/>
          <w:sz w:val="28"/>
          <w:szCs w:val="28"/>
          <w:shd w:val="clear" w:color="auto" w:fill="FFFFFF"/>
        </w:rPr>
        <w:t>Matter</w:t>
      </w:r>
      <w:r w:rsidRPr="00BE3896" w:rsidR="00E85932">
        <w:rPr>
          <w:rFonts w:ascii="Franklin Gothic Book" w:hAnsi="Franklin Gothic Book" w:cs="Arial"/>
          <w:b/>
          <w:sz w:val="28"/>
          <w:szCs w:val="28"/>
          <w:shd w:val="clear" w:color="auto" w:fill="FFFFFF"/>
        </w:rPr>
        <w:t xml:space="preserve"> -- </w:t>
      </w:r>
      <w:r w:rsidRPr="00BE3896" w:rsidR="00E85932">
        <w:rPr>
          <w:rFonts w:ascii="Franklin Gothic Book" w:hAnsi="Franklin Gothic Book" w:cs="Times New Roman"/>
          <w:b/>
          <w:bCs/>
          <w:sz w:val="28"/>
          <w:szCs w:val="28"/>
        </w:rPr>
        <w:t>Assessing Public Libraries’ Activities Related to Workforce Development</w:t>
      </w:r>
      <w:r w:rsidRPr="00614F61">
        <w:rPr>
          <w:rFonts w:ascii="Franklin Gothic Book" w:hAnsi="Franklin Gothic Book" w:cs="Arial"/>
          <w:b/>
          <w:bCs/>
          <w:sz w:val="28"/>
          <w:szCs w:val="28"/>
          <w:shd w:val="clear" w:color="auto" w:fill="FFFFFF"/>
        </w:rPr>
        <w:t xml:space="preserve"> </w:t>
      </w:r>
    </w:p>
    <w:p w:rsidRPr="006E0578" w:rsidR="00B81B4D" w:rsidP="00BE3896" w:rsidRDefault="00B81B4D" w14:paraId="32495B20" w14:textId="77777777">
      <w:pPr>
        <w:rPr>
          <w:rFonts w:ascii="Franklin Gothic Book" w:hAnsi="Franklin Gothic Book" w:cs="Arial"/>
          <w:b/>
          <w:sz w:val="24"/>
          <w:szCs w:val="24"/>
          <w:shd w:val="clear" w:color="auto" w:fill="FFFFFF"/>
        </w:rPr>
      </w:pPr>
    </w:p>
    <w:p w:rsidRPr="006E0578" w:rsidR="003032D6" w:rsidP="003032D6" w:rsidRDefault="003032D6" w14:paraId="77FA97AB" w14:textId="2EA6A85F">
      <w:pPr>
        <w:rPr>
          <w:rFonts w:ascii="Franklin Gothic Book" w:hAnsi="Franklin Gothic Book" w:cs="Arial"/>
          <w:b/>
          <w:sz w:val="24"/>
          <w:szCs w:val="24"/>
          <w:shd w:val="clear" w:color="auto" w:fill="FFFFFF"/>
        </w:rPr>
      </w:pPr>
      <w:r w:rsidRPr="006E0578">
        <w:rPr>
          <w:rFonts w:ascii="Franklin Gothic Book" w:hAnsi="Franklin Gothic Book" w:cs="Arial"/>
          <w:b/>
          <w:sz w:val="24"/>
          <w:szCs w:val="24"/>
          <w:shd w:val="clear" w:color="auto" w:fill="FFFFFF"/>
        </w:rPr>
        <w:t xml:space="preserve">Part A. Justification </w:t>
      </w:r>
    </w:p>
    <w:p w:rsidR="006E0578" w:rsidP="006E0578" w:rsidRDefault="006E0578" w14:paraId="657AE6B5" w14:textId="77777777">
      <w:pPr>
        <w:rPr>
          <w:rFonts w:ascii="Franklin Gothic Book" w:hAnsi="Franklin Gothic Book" w:cs="Arial"/>
          <w:b/>
          <w:sz w:val="24"/>
          <w:szCs w:val="24"/>
          <w:shd w:val="clear" w:color="auto" w:fill="FFFFFF"/>
        </w:rPr>
      </w:pPr>
    </w:p>
    <w:p w:rsidRPr="006E0578" w:rsidR="00882927" w:rsidP="00B81B4D" w:rsidRDefault="00D972D8" w14:paraId="2AC4F145" w14:textId="582A2FDC">
      <w:pPr>
        <w:rPr>
          <w:rFonts w:ascii="Franklin Gothic Book" w:hAnsi="Franklin Gothic Book" w:cs="Arial"/>
          <w:b/>
          <w:sz w:val="24"/>
          <w:szCs w:val="24"/>
          <w:shd w:val="clear" w:color="auto" w:fill="FFFFFF"/>
        </w:rPr>
      </w:pPr>
      <w:r w:rsidRPr="006E0578">
        <w:rPr>
          <w:rFonts w:ascii="Franklin Gothic Book" w:hAnsi="Franklin Gothic Book" w:cs="Arial"/>
          <w:b/>
          <w:sz w:val="24"/>
          <w:szCs w:val="24"/>
          <w:shd w:val="clear" w:color="auto" w:fill="FFFFFF"/>
        </w:rPr>
        <w:t>A1. Necessity of the Information Collected</w:t>
      </w:r>
    </w:p>
    <w:p w:rsidRPr="006E0578" w:rsidR="00633D01" w:rsidP="00633D01" w:rsidRDefault="00633D01" w14:paraId="3F39F8D6" w14:textId="7E2217AC">
      <w:pPr>
        <w:pStyle w:val="MAANormalText"/>
        <w:rPr>
          <w:rFonts w:ascii="Franklin Gothic Book" w:hAnsi="Franklin Gothic Book"/>
        </w:rPr>
      </w:pPr>
      <w:r w:rsidRPr="006E0578">
        <w:rPr>
          <w:rFonts w:ascii="Franklin Gothic Book" w:hAnsi="Franklin Gothic Book"/>
        </w:rPr>
        <w:t xml:space="preserve">Public libraries support workforce and business development activities in their communities. Examples include job search support services, computer access for online job search activities, </w:t>
      </w:r>
      <w:r w:rsidR="00D5440D">
        <w:rPr>
          <w:rFonts w:ascii="Franklin Gothic Book" w:hAnsi="Franklin Gothic Book"/>
        </w:rPr>
        <w:t>and</w:t>
      </w:r>
      <w:r w:rsidRPr="006E0578" w:rsidR="00D5440D">
        <w:rPr>
          <w:rFonts w:ascii="Franklin Gothic Book" w:hAnsi="Franklin Gothic Book"/>
        </w:rPr>
        <w:t xml:space="preserve"> </w:t>
      </w:r>
      <w:r w:rsidRPr="006E0578">
        <w:rPr>
          <w:rFonts w:ascii="Franklin Gothic Book" w:hAnsi="Franklin Gothic Book"/>
        </w:rPr>
        <w:t xml:space="preserve">formal classes on starting a business. However, not much is known at the national level about the full range of library activities in this area, including how these library systems manage these types of services across their multiple outlets, how the pandemic may be affecting their responses to community workforce and business development needs, the impact of library workforce and business development services on the broader workforce and business development ecosystem, </w:t>
      </w:r>
      <w:r w:rsidR="002273B5">
        <w:rPr>
          <w:rFonts w:ascii="Franklin Gothic Book" w:hAnsi="Franklin Gothic Book"/>
        </w:rPr>
        <w:t>and</w:t>
      </w:r>
      <w:r w:rsidRPr="006E0578" w:rsidR="002273B5">
        <w:rPr>
          <w:rFonts w:ascii="Franklin Gothic Book" w:hAnsi="Franklin Gothic Book"/>
        </w:rPr>
        <w:t xml:space="preserve"> </w:t>
      </w:r>
      <w:r w:rsidRPr="006E0578">
        <w:rPr>
          <w:rFonts w:ascii="Franklin Gothic Book" w:hAnsi="Franklin Gothic Book"/>
        </w:rPr>
        <w:t xml:space="preserve">the consistency of libraries’ ability to meaningfully measure and communicate their workforce and business development outcomes. </w:t>
      </w:r>
    </w:p>
    <w:p w:rsidRPr="006E0578" w:rsidR="00E42AAA" w:rsidP="00E42AAA" w:rsidRDefault="00E42AAA" w14:paraId="2C75A632" w14:textId="17967997">
      <w:pPr>
        <w:pStyle w:val="MAANormalText"/>
        <w:rPr>
          <w:rFonts w:ascii="Franklin Gothic Book" w:hAnsi="Franklin Gothic Book"/>
        </w:rPr>
      </w:pPr>
      <w:r w:rsidRPr="006E0578">
        <w:rPr>
          <w:rFonts w:ascii="Franklin Gothic Book" w:hAnsi="Franklin Gothic Book"/>
        </w:rPr>
        <w:t xml:space="preserve">To better understand the role </w:t>
      </w:r>
      <w:r w:rsidRPr="006E0578" w:rsidR="002D047E">
        <w:rPr>
          <w:rFonts w:ascii="Franklin Gothic Book" w:hAnsi="Franklin Gothic Book"/>
        </w:rPr>
        <w:t>public librar</w:t>
      </w:r>
      <w:r w:rsidRPr="006E0578" w:rsidR="002552E4">
        <w:rPr>
          <w:rFonts w:ascii="Franklin Gothic Book" w:hAnsi="Franklin Gothic Book"/>
        </w:rPr>
        <w:t>y systems</w:t>
      </w:r>
      <w:r w:rsidRPr="006E0578" w:rsidR="00BA275F">
        <w:rPr>
          <w:rFonts w:ascii="Franklin Gothic Book" w:hAnsi="Franklin Gothic Book"/>
        </w:rPr>
        <w:t xml:space="preserve"> (“librar</w:t>
      </w:r>
      <w:r w:rsidRPr="006E0578" w:rsidR="00877BA0">
        <w:rPr>
          <w:rFonts w:ascii="Franklin Gothic Book" w:hAnsi="Franklin Gothic Book"/>
        </w:rPr>
        <w:t>ies</w:t>
      </w:r>
      <w:r w:rsidRPr="006E0578" w:rsidR="00BA275F">
        <w:rPr>
          <w:rFonts w:ascii="Franklin Gothic Book" w:hAnsi="Franklin Gothic Book"/>
        </w:rPr>
        <w:t>”)</w:t>
      </w:r>
      <w:r w:rsidRPr="006E0578" w:rsidR="0062440A">
        <w:rPr>
          <w:rFonts w:ascii="Franklin Gothic Book" w:hAnsi="Franklin Gothic Book"/>
        </w:rPr>
        <w:t xml:space="preserve"> </w:t>
      </w:r>
      <w:r w:rsidRPr="006E0578">
        <w:rPr>
          <w:rFonts w:ascii="Franklin Gothic Book" w:hAnsi="Franklin Gothic Book"/>
        </w:rPr>
        <w:t xml:space="preserve">play in </w:t>
      </w:r>
      <w:r w:rsidRPr="006E0578" w:rsidR="00A35564">
        <w:rPr>
          <w:rFonts w:ascii="Franklin Gothic Book" w:hAnsi="Franklin Gothic Book"/>
        </w:rPr>
        <w:t xml:space="preserve">supporting and </w:t>
      </w:r>
      <w:r w:rsidRPr="006E0578">
        <w:rPr>
          <w:rFonts w:ascii="Franklin Gothic Book" w:hAnsi="Franklin Gothic Book"/>
        </w:rPr>
        <w:t>measur</w:t>
      </w:r>
      <w:r w:rsidRPr="006E0578" w:rsidR="00A35564">
        <w:rPr>
          <w:rFonts w:ascii="Franklin Gothic Book" w:hAnsi="Franklin Gothic Book"/>
        </w:rPr>
        <w:t>ing</w:t>
      </w:r>
      <w:r w:rsidRPr="006E0578">
        <w:rPr>
          <w:rFonts w:ascii="Franklin Gothic Book" w:hAnsi="Franklin Gothic Book"/>
        </w:rPr>
        <w:t xml:space="preserve"> these services, the Institute of Museum and Library Services (IMLS)</w:t>
      </w:r>
      <w:r w:rsidR="00C1551B">
        <w:rPr>
          <w:rFonts w:ascii="Franklin Gothic Book" w:hAnsi="Franklin Gothic Book"/>
        </w:rPr>
        <w:t xml:space="preserve"> is supporting</w:t>
      </w:r>
      <w:r w:rsidRPr="006E0578">
        <w:rPr>
          <w:rFonts w:ascii="Franklin Gothic Book" w:hAnsi="Franklin Gothic Book"/>
        </w:rPr>
        <w:t xml:space="preserve"> a study to investigate different models of workforce and business development activities in a variety of local contexts. Mt Auburn Associates will conduct the study in partnership with the Chief Officers of State Libraries (COSLA) as part of IMLS’</w:t>
      </w:r>
      <w:r w:rsidR="006E0578">
        <w:rPr>
          <w:rFonts w:ascii="Franklin Gothic Book" w:hAnsi="Franklin Gothic Book"/>
        </w:rPr>
        <w:t>s</w:t>
      </w:r>
      <w:r w:rsidRPr="006E0578">
        <w:rPr>
          <w:rFonts w:ascii="Franklin Gothic Book" w:hAnsi="Franklin Gothic Book"/>
        </w:rPr>
        <w:t xml:space="preserve"> </w:t>
      </w:r>
      <w:r w:rsidRPr="00F26D57" w:rsidR="00F26D57">
        <w:rPr>
          <w:rFonts w:ascii="Franklin Gothic Book" w:hAnsi="Franklin Gothic Book"/>
        </w:rPr>
        <w:t>Measures that Matter</w:t>
      </w:r>
      <w:r w:rsidR="00F26D57">
        <w:rPr>
          <w:rFonts w:ascii="Franklin Gothic Book" w:hAnsi="Franklin Gothic Book"/>
        </w:rPr>
        <w:t xml:space="preserve"> (MtM)</w:t>
      </w:r>
      <w:r w:rsidRPr="006E0578" w:rsidR="00877BA0">
        <w:rPr>
          <w:rStyle w:val="Hyperlink"/>
          <w:rFonts w:ascii="Franklin Gothic Book" w:hAnsi="Franklin Gothic Book"/>
        </w:rPr>
        <w:t xml:space="preserve"> </w:t>
      </w:r>
      <w:r w:rsidRPr="006E0578">
        <w:rPr>
          <w:rFonts w:ascii="Franklin Gothic Book" w:hAnsi="Franklin Gothic Book"/>
        </w:rPr>
        <w:t>Initiative.</w:t>
      </w:r>
      <w:r w:rsidRPr="006E0578">
        <w:rPr>
          <w:rStyle w:val="FootnoteReference"/>
          <w:rFonts w:ascii="Franklin Gothic Book" w:hAnsi="Franklin Gothic Book" w:cstheme="minorBidi"/>
          <w:shd w:val="clear" w:color="auto" w:fill="FFFFFF"/>
        </w:rPr>
        <w:footnoteReference w:id="2"/>
      </w:r>
      <w:r w:rsidRPr="006E0578">
        <w:rPr>
          <w:rFonts w:ascii="Franklin Gothic Book" w:hAnsi="Franklin Gothic Book"/>
        </w:rPr>
        <w:t xml:space="preserve"> </w:t>
      </w:r>
    </w:p>
    <w:p w:rsidRPr="006E0578" w:rsidR="0070527B" w:rsidP="0070527B" w:rsidRDefault="0070527B" w14:paraId="6ED8ADB4" w14:textId="3026724F">
      <w:pPr>
        <w:pStyle w:val="MAANormalText"/>
        <w:rPr>
          <w:rFonts w:ascii="Franklin Gothic Book" w:hAnsi="Franklin Gothic Book"/>
        </w:rPr>
      </w:pPr>
      <w:r w:rsidRPr="006E0578">
        <w:rPr>
          <w:rFonts w:ascii="Franklin Gothic Book" w:hAnsi="Franklin Gothic Book"/>
        </w:rPr>
        <w:t xml:space="preserve">The pilot </w:t>
      </w:r>
      <w:r w:rsidRPr="006E0578" w:rsidR="00E42AAA">
        <w:rPr>
          <w:rFonts w:ascii="Franklin Gothic Book" w:hAnsi="Franklin Gothic Book"/>
        </w:rPr>
        <w:t xml:space="preserve">project </w:t>
      </w:r>
      <w:r w:rsidRPr="006E0578">
        <w:rPr>
          <w:rFonts w:ascii="Franklin Gothic Book" w:hAnsi="Franklin Gothic Book"/>
        </w:rPr>
        <w:t xml:space="preserve">is designed to </w:t>
      </w:r>
      <w:r w:rsidRPr="006E0578" w:rsidR="00782846">
        <w:rPr>
          <w:rFonts w:ascii="Franklin Gothic Book" w:hAnsi="Franklin Gothic Book"/>
        </w:rPr>
        <w:t xml:space="preserve">1) </w:t>
      </w:r>
      <w:r w:rsidRPr="006E0578">
        <w:rPr>
          <w:rFonts w:ascii="Franklin Gothic Book" w:hAnsi="Franklin Gothic Book"/>
        </w:rPr>
        <w:t xml:space="preserve">develop a framework that articulates libraries’ roles in workforce </w:t>
      </w:r>
      <w:r w:rsidRPr="006E0578" w:rsidR="00305407">
        <w:rPr>
          <w:rFonts w:ascii="Franklin Gothic Book" w:hAnsi="Franklin Gothic Book"/>
        </w:rPr>
        <w:t xml:space="preserve">and business </w:t>
      </w:r>
      <w:r w:rsidRPr="006E0578">
        <w:rPr>
          <w:rFonts w:ascii="Franklin Gothic Book" w:hAnsi="Franklin Gothic Book"/>
        </w:rPr>
        <w:t xml:space="preserve">development; </w:t>
      </w:r>
      <w:r w:rsidRPr="006E0578" w:rsidR="00782846">
        <w:rPr>
          <w:rFonts w:ascii="Franklin Gothic Book" w:hAnsi="Franklin Gothic Book"/>
        </w:rPr>
        <w:t xml:space="preserve">2) </w:t>
      </w:r>
      <w:r w:rsidRPr="006E0578">
        <w:rPr>
          <w:rFonts w:ascii="Franklin Gothic Book" w:hAnsi="Franklin Gothic Book"/>
        </w:rPr>
        <w:t>explor</w:t>
      </w:r>
      <w:r w:rsidR="00355262">
        <w:rPr>
          <w:rFonts w:ascii="Franklin Gothic Book" w:hAnsi="Franklin Gothic Book"/>
        </w:rPr>
        <w:t>e</w:t>
      </w:r>
      <w:r w:rsidRPr="006E0578">
        <w:rPr>
          <w:rFonts w:ascii="Franklin Gothic Book" w:hAnsi="Franklin Gothic Book"/>
        </w:rPr>
        <w:t xml:space="preserve"> libraries’ design and delivery of library workforce and </w:t>
      </w:r>
      <w:r w:rsidRPr="006E0578" w:rsidR="00305407">
        <w:rPr>
          <w:rFonts w:ascii="Franklin Gothic Book" w:hAnsi="Franklin Gothic Book"/>
        </w:rPr>
        <w:t xml:space="preserve">business </w:t>
      </w:r>
      <w:r w:rsidRPr="006E0578">
        <w:rPr>
          <w:rFonts w:ascii="Franklin Gothic Book" w:hAnsi="Franklin Gothic Book"/>
        </w:rPr>
        <w:t xml:space="preserve">development services, engagement with partners, and outcome assessment; and </w:t>
      </w:r>
      <w:r w:rsidRPr="006E0578" w:rsidR="00782846">
        <w:rPr>
          <w:rFonts w:ascii="Franklin Gothic Book" w:hAnsi="Franklin Gothic Book"/>
        </w:rPr>
        <w:t xml:space="preserve">3) </w:t>
      </w:r>
      <w:r w:rsidRPr="006E0578">
        <w:rPr>
          <w:rFonts w:ascii="Franklin Gothic Book" w:hAnsi="Franklin Gothic Book"/>
        </w:rPr>
        <w:t>identif</w:t>
      </w:r>
      <w:r w:rsidR="00355262">
        <w:rPr>
          <w:rFonts w:ascii="Franklin Gothic Book" w:hAnsi="Franklin Gothic Book"/>
        </w:rPr>
        <w:t>y</w:t>
      </w:r>
      <w:r w:rsidRPr="006E0578">
        <w:rPr>
          <w:rFonts w:ascii="Franklin Gothic Book" w:hAnsi="Franklin Gothic Book"/>
        </w:rPr>
        <w:t xml:space="preserve"> potential tools to measure the impact of libraries on workforce development outcomes to help build library capacity to develop </w:t>
      </w:r>
      <w:r w:rsidRPr="006E0578" w:rsidR="00FC5289">
        <w:rPr>
          <w:rFonts w:ascii="Franklin Gothic Book" w:hAnsi="Franklin Gothic Book"/>
        </w:rPr>
        <w:t xml:space="preserve">innovative </w:t>
      </w:r>
      <w:r w:rsidRPr="006E0578">
        <w:rPr>
          <w:rFonts w:ascii="Franklin Gothic Book" w:hAnsi="Franklin Gothic Book"/>
        </w:rPr>
        <w:t>programming.</w:t>
      </w:r>
      <w:r w:rsidR="00B81B4D">
        <w:rPr>
          <w:rFonts w:ascii="Franklin Gothic Book" w:hAnsi="Franklin Gothic Book"/>
        </w:rPr>
        <w:t xml:space="preserve"> </w:t>
      </w:r>
    </w:p>
    <w:p w:rsidRPr="006E0578" w:rsidR="0070527B" w:rsidP="0070527B" w:rsidRDefault="00557707" w14:paraId="098CB7B3" w14:textId="0165E20E">
      <w:pPr>
        <w:pStyle w:val="MAANormalText"/>
        <w:rPr>
          <w:rFonts w:ascii="Franklin Gothic Book" w:hAnsi="Franklin Gothic Book"/>
        </w:rPr>
      </w:pPr>
      <w:r w:rsidRPr="006E0578">
        <w:rPr>
          <w:rFonts w:ascii="Franklin Gothic Book" w:hAnsi="Franklin Gothic Book"/>
        </w:rPr>
        <w:t>Mt. Auburn Associates</w:t>
      </w:r>
      <w:r w:rsidRPr="006E0578" w:rsidR="00F4441B">
        <w:rPr>
          <w:rFonts w:ascii="Franklin Gothic Book" w:hAnsi="Franklin Gothic Book"/>
        </w:rPr>
        <w:t xml:space="preserve"> </w:t>
      </w:r>
      <w:r w:rsidR="000451F7">
        <w:rPr>
          <w:rFonts w:ascii="Franklin Gothic Book" w:hAnsi="Franklin Gothic Book"/>
        </w:rPr>
        <w:t>ha</w:t>
      </w:r>
      <w:r w:rsidR="000451F7">
        <w:rPr>
          <w:rFonts w:ascii="Franklin Gothic Book" w:hAnsi="Franklin Gothic Book"/>
        </w:rPr>
        <w:t>s</w:t>
      </w:r>
      <w:r w:rsidR="000451F7">
        <w:rPr>
          <w:rFonts w:ascii="Franklin Gothic Book" w:hAnsi="Franklin Gothic Book"/>
        </w:rPr>
        <w:t xml:space="preserve"> </w:t>
      </w:r>
      <w:r w:rsidRPr="006E0578" w:rsidR="00976B13">
        <w:rPr>
          <w:rFonts w:ascii="Franklin Gothic Book" w:hAnsi="Franklin Gothic Book"/>
        </w:rPr>
        <w:t xml:space="preserve">developed </w:t>
      </w:r>
      <w:r w:rsidRPr="006E0578" w:rsidR="0070527B">
        <w:rPr>
          <w:rFonts w:ascii="Franklin Gothic Book" w:hAnsi="Franklin Gothic Book"/>
        </w:rPr>
        <w:t>research questions</w:t>
      </w:r>
      <w:r w:rsidRPr="006E0578" w:rsidR="00782846">
        <w:rPr>
          <w:rFonts w:ascii="Franklin Gothic Book" w:hAnsi="Franklin Gothic Book"/>
        </w:rPr>
        <w:t xml:space="preserve"> </w:t>
      </w:r>
      <w:r w:rsidRPr="006E0578" w:rsidR="00976B13">
        <w:rPr>
          <w:rFonts w:ascii="Franklin Gothic Book" w:hAnsi="Franklin Gothic Book"/>
        </w:rPr>
        <w:t xml:space="preserve">to be used </w:t>
      </w:r>
      <w:r w:rsidRPr="006E0578" w:rsidR="00FE5BE1">
        <w:rPr>
          <w:rFonts w:ascii="Franklin Gothic Book" w:hAnsi="Franklin Gothic Book"/>
        </w:rPr>
        <w:t>in creatin</w:t>
      </w:r>
      <w:r w:rsidRPr="006E0578" w:rsidR="00782846">
        <w:rPr>
          <w:rFonts w:ascii="Franklin Gothic Book" w:hAnsi="Franklin Gothic Book"/>
        </w:rPr>
        <w:t>g</w:t>
      </w:r>
      <w:r w:rsidRPr="006E0578" w:rsidR="00FE5BE1">
        <w:rPr>
          <w:rFonts w:ascii="Franklin Gothic Book" w:hAnsi="Franklin Gothic Book"/>
        </w:rPr>
        <w:t xml:space="preserve"> </w:t>
      </w:r>
      <w:r w:rsidRPr="006E0578" w:rsidR="0070527B">
        <w:rPr>
          <w:rFonts w:ascii="Franklin Gothic Book" w:hAnsi="Franklin Gothic Book"/>
        </w:rPr>
        <w:t>ten case studies of</w:t>
      </w:r>
      <w:r w:rsidRPr="006E0578" w:rsidR="005904AA">
        <w:rPr>
          <w:rFonts w:ascii="Franklin Gothic Book" w:hAnsi="Franklin Gothic Book"/>
        </w:rPr>
        <w:t xml:space="preserve"> </w:t>
      </w:r>
      <w:r w:rsidRPr="006E0578" w:rsidR="00FA059A">
        <w:rPr>
          <w:rFonts w:ascii="Franklin Gothic Book" w:hAnsi="Franklin Gothic Book"/>
        </w:rPr>
        <w:t xml:space="preserve">libraries </w:t>
      </w:r>
      <w:r w:rsidRPr="006E0578" w:rsidR="0070527B">
        <w:rPr>
          <w:rFonts w:ascii="Franklin Gothic Book" w:hAnsi="Franklin Gothic Book"/>
        </w:rPr>
        <w:t>engaged in innovation related to workforce development or business development service delivery and measurement</w:t>
      </w:r>
      <w:r w:rsidR="0098546D">
        <w:rPr>
          <w:rFonts w:ascii="Franklin Gothic Book" w:hAnsi="Franklin Gothic Book"/>
        </w:rPr>
        <w:t xml:space="preserve"> (see Part B. Supporting Statement)</w:t>
      </w:r>
      <w:r w:rsidRPr="006E0578" w:rsidR="0070527B">
        <w:rPr>
          <w:rFonts w:ascii="Franklin Gothic Book" w:hAnsi="Franklin Gothic Book"/>
        </w:rPr>
        <w:t xml:space="preserve">. The proposed case studies are intended to build hypotheses </w:t>
      </w:r>
      <w:r w:rsidRPr="006E0578" w:rsidR="00782846">
        <w:rPr>
          <w:rFonts w:ascii="Franklin Gothic Book" w:hAnsi="Franklin Gothic Book"/>
        </w:rPr>
        <w:t xml:space="preserve">to support further research about </w:t>
      </w:r>
      <w:r w:rsidRPr="006E0578" w:rsidR="0070527B">
        <w:rPr>
          <w:rFonts w:ascii="Franklin Gothic Book" w:hAnsi="Franklin Gothic Book"/>
        </w:rPr>
        <w:t>how</w:t>
      </w:r>
      <w:r w:rsidRPr="006E0578" w:rsidR="005904AA">
        <w:rPr>
          <w:rFonts w:ascii="Franklin Gothic Book" w:hAnsi="Franklin Gothic Book"/>
        </w:rPr>
        <w:t xml:space="preserve"> </w:t>
      </w:r>
      <w:r w:rsidRPr="006E0578" w:rsidR="00254E66">
        <w:rPr>
          <w:rFonts w:ascii="Franklin Gothic Book" w:hAnsi="Franklin Gothic Book"/>
        </w:rPr>
        <w:t>libraries</w:t>
      </w:r>
      <w:r w:rsidRPr="006E0578" w:rsidR="0070527B">
        <w:rPr>
          <w:rFonts w:ascii="Franklin Gothic Book" w:hAnsi="Franklin Gothic Book"/>
        </w:rPr>
        <w:t xml:space="preserve"> organize around these </w:t>
      </w:r>
      <w:r w:rsidRPr="006E0578" w:rsidR="00782846">
        <w:rPr>
          <w:rFonts w:ascii="Franklin Gothic Book" w:hAnsi="Franklin Gothic Book"/>
        </w:rPr>
        <w:t xml:space="preserve">workforce and business development </w:t>
      </w:r>
      <w:r w:rsidRPr="006E0578" w:rsidR="0070527B">
        <w:rPr>
          <w:rFonts w:ascii="Franklin Gothic Book" w:hAnsi="Franklin Gothic Book"/>
        </w:rPr>
        <w:t>activities independently or in conjunction with other partners, their role in the broader workforce development ecosystem, and the feasibility and utility of program measurement and communication.</w:t>
      </w:r>
      <w:r w:rsidR="00B81B4D">
        <w:rPr>
          <w:rFonts w:ascii="Franklin Gothic Book" w:hAnsi="Franklin Gothic Book"/>
        </w:rPr>
        <w:t xml:space="preserve"> </w:t>
      </w:r>
      <w:r w:rsidRPr="006E0578" w:rsidR="0070527B">
        <w:rPr>
          <w:rFonts w:ascii="Franklin Gothic Book" w:hAnsi="Franklin Gothic Book"/>
        </w:rPr>
        <w:t xml:space="preserve">These </w:t>
      </w:r>
      <w:r w:rsidRPr="006E0578" w:rsidR="00AA7ABD">
        <w:rPr>
          <w:rFonts w:ascii="Franklin Gothic Book" w:hAnsi="Franklin Gothic Book"/>
        </w:rPr>
        <w:t xml:space="preserve">purposive and non-representative </w:t>
      </w:r>
      <w:r w:rsidRPr="006E0578" w:rsidR="0070527B">
        <w:rPr>
          <w:rFonts w:ascii="Franklin Gothic Book" w:hAnsi="Franklin Gothic Book"/>
        </w:rPr>
        <w:t>case studies</w:t>
      </w:r>
      <w:r w:rsidRPr="006E0578" w:rsidR="00A87630">
        <w:rPr>
          <w:rFonts w:ascii="Franklin Gothic Book" w:hAnsi="Franklin Gothic Book"/>
        </w:rPr>
        <w:t xml:space="preserve"> </w:t>
      </w:r>
      <w:r w:rsidRPr="006E0578" w:rsidR="00305407">
        <w:rPr>
          <w:rFonts w:ascii="Franklin Gothic Book" w:hAnsi="Franklin Gothic Book"/>
        </w:rPr>
        <w:t xml:space="preserve">are </w:t>
      </w:r>
      <w:r w:rsidRPr="006E0578" w:rsidR="0070527B">
        <w:rPr>
          <w:rFonts w:ascii="Franklin Gothic Book" w:hAnsi="Franklin Gothic Book"/>
        </w:rPr>
        <w:t>intended to be illustrative of good examples of workforce and economic development service design and delivery to inform future research and practitioner dialogue.</w:t>
      </w:r>
    </w:p>
    <w:p w:rsidRPr="006E0578" w:rsidR="00A4407E" w:rsidP="00B81B4D" w:rsidRDefault="00D972D8" w14:paraId="65D2DB7E" w14:textId="653B5660">
      <w:pPr>
        <w:rPr>
          <w:rFonts w:ascii="Franklin Gothic Book" w:hAnsi="Franklin Gothic Book" w:cs="Arial"/>
          <w:b/>
          <w:sz w:val="24"/>
          <w:szCs w:val="24"/>
          <w:shd w:val="clear" w:color="auto" w:fill="FFFFFF"/>
        </w:rPr>
      </w:pPr>
      <w:r w:rsidRPr="006E0578">
        <w:rPr>
          <w:rFonts w:ascii="Franklin Gothic Book" w:hAnsi="Franklin Gothic Book" w:cs="Arial"/>
          <w:b/>
          <w:sz w:val="24"/>
          <w:szCs w:val="24"/>
          <w:shd w:val="clear" w:color="auto" w:fill="FFFFFF"/>
        </w:rPr>
        <w:t>A</w:t>
      </w:r>
      <w:r w:rsidRPr="006E0578" w:rsidR="00B34C31">
        <w:rPr>
          <w:rFonts w:ascii="Franklin Gothic Book" w:hAnsi="Franklin Gothic Book" w:cs="Arial"/>
          <w:b/>
          <w:sz w:val="24"/>
          <w:szCs w:val="24"/>
          <w:shd w:val="clear" w:color="auto" w:fill="FFFFFF"/>
        </w:rPr>
        <w:t xml:space="preserve">2. </w:t>
      </w:r>
      <w:r w:rsidRPr="006E0578">
        <w:rPr>
          <w:rFonts w:ascii="Franklin Gothic Book" w:hAnsi="Franklin Gothic Book" w:cs="Arial"/>
          <w:b/>
          <w:sz w:val="24"/>
          <w:szCs w:val="24"/>
          <w:shd w:val="clear" w:color="auto" w:fill="FFFFFF"/>
        </w:rPr>
        <w:t>Purposes and Uses of the Data</w:t>
      </w:r>
    </w:p>
    <w:p w:rsidRPr="006E0578" w:rsidR="00300760" w:rsidP="00300760" w:rsidRDefault="00C42806" w14:paraId="62061191" w14:textId="1AC06204">
      <w:pPr>
        <w:pStyle w:val="MAANormalText"/>
        <w:rPr>
          <w:rFonts w:ascii="Franklin Gothic Book" w:hAnsi="Franklin Gothic Book"/>
        </w:rPr>
      </w:pPr>
      <w:r w:rsidRPr="006E0578">
        <w:rPr>
          <w:rFonts w:ascii="Franklin Gothic Book" w:hAnsi="Franklin Gothic Book"/>
        </w:rPr>
        <w:t xml:space="preserve">The purpose of this project is to </w:t>
      </w:r>
      <w:r w:rsidRPr="006E0578" w:rsidR="00870078">
        <w:rPr>
          <w:rFonts w:ascii="Franklin Gothic Book" w:hAnsi="Franklin Gothic Book"/>
        </w:rPr>
        <w:t>investigate the</w:t>
      </w:r>
      <w:r w:rsidRPr="006E0578">
        <w:rPr>
          <w:rFonts w:ascii="Franklin Gothic Book" w:hAnsi="Franklin Gothic Book"/>
        </w:rPr>
        <w:t xml:space="preserve"> range and provision of library</w:t>
      </w:r>
      <w:r w:rsidRPr="006E0578" w:rsidR="008B6677">
        <w:rPr>
          <w:rFonts w:ascii="Franklin Gothic Book" w:hAnsi="Franklin Gothic Book"/>
        </w:rPr>
        <w:t xml:space="preserve">-delivered </w:t>
      </w:r>
      <w:r w:rsidRPr="006E0578">
        <w:rPr>
          <w:rFonts w:ascii="Franklin Gothic Book" w:hAnsi="Franklin Gothic Book"/>
        </w:rPr>
        <w:t xml:space="preserve">workforce and business development services, how the pandemic impacted the delivery of these services, and how </w:t>
      </w:r>
      <w:r w:rsidRPr="006E0578" w:rsidR="00F50657">
        <w:rPr>
          <w:rFonts w:ascii="Franklin Gothic Book" w:hAnsi="Franklin Gothic Book"/>
        </w:rPr>
        <w:t>libraries</w:t>
      </w:r>
      <w:r w:rsidRPr="006E0578">
        <w:rPr>
          <w:rFonts w:ascii="Franklin Gothic Book" w:hAnsi="Franklin Gothic Book"/>
        </w:rPr>
        <w:t xml:space="preserve"> measure and communicate their contribution toward workforce and business development individual</w:t>
      </w:r>
      <w:r w:rsidRPr="006E0578" w:rsidR="00013876">
        <w:rPr>
          <w:rFonts w:ascii="Franklin Gothic Book" w:hAnsi="Franklin Gothic Book"/>
        </w:rPr>
        <w:t>-</w:t>
      </w:r>
      <w:r w:rsidRPr="006E0578">
        <w:rPr>
          <w:rFonts w:ascii="Franklin Gothic Book" w:hAnsi="Franklin Gothic Book"/>
        </w:rPr>
        <w:t xml:space="preserve"> and community-level outcomes.</w:t>
      </w:r>
      <w:r w:rsidR="00B81B4D">
        <w:rPr>
          <w:rFonts w:ascii="Franklin Gothic Book" w:hAnsi="Franklin Gothic Book"/>
        </w:rPr>
        <w:t xml:space="preserve"> </w:t>
      </w:r>
      <w:r w:rsidRPr="006E0578" w:rsidR="001A36F6">
        <w:rPr>
          <w:rFonts w:ascii="Franklin Gothic Book" w:hAnsi="Franklin Gothic Book"/>
        </w:rPr>
        <w:t>T</w:t>
      </w:r>
      <w:r w:rsidRPr="006E0578" w:rsidR="00300760">
        <w:rPr>
          <w:rFonts w:ascii="Franklin Gothic Book" w:hAnsi="Franklin Gothic Book"/>
        </w:rPr>
        <w:t xml:space="preserve">he case studies will </w:t>
      </w:r>
      <w:r w:rsidRPr="006E0578" w:rsidR="00013876">
        <w:rPr>
          <w:rFonts w:ascii="Franklin Gothic Book" w:hAnsi="Franklin Gothic Book"/>
        </w:rPr>
        <w:t xml:space="preserve">allow us </w:t>
      </w:r>
      <w:r w:rsidRPr="006E0578" w:rsidR="00300760">
        <w:rPr>
          <w:rFonts w:ascii="Franklin Gothic Book" w:hAnsi="Franklin Gothic Book"/>
        </w:rPr>
        <w:t>to identify hypotheses in th</w:t>
      </w:r>
      <w:r w:rsidRPr="006E0578" w:rsidR="001A36F6">
        <w:rPr>
          <w:rFonts w:ascii="Franklin Gothic Book" w:hAnsi="Franklin Gothic Book"/>
        </w:rPr>
        <w:t>ese</w:t>
      </w:r>
      <w:r w:rsidRPr="006E0578" w:rsidR="00300760">
        <w:rPr>
          <w:rFonts w:ascii="Franklin Gothic Book" w:hAnsi="Franklin Gothic Book"/>
        </w:rPr>
        <w:t xml:space="preserve"> area</w:t>
      </w:r>
      <w:r w:rsidRPr="006E0578" w:rsidR="001A36F6">
        <w:rPr>
          <w:rFonts w:ascii="Franklin Gothic Book" w:hAnsi="Franklin Gothic Book"/>
        </w:rPr>
        <w:t>s</w:t>
      </w:r>
      <w:r w:rsidRPr="006E0578" w:rsidR="00300760">
        <w:rPr>
          <w:rFonts w:ascii="Franklin Gothic Book" w:hAnsi="Franklin Gothic Book"/>
        </w:rPr>
        <w:t xml:space="preserve"> that can be further tested in future research and practitioner dialogue.</w:t>
      </w:r>
    </w:p>
    <w:p w:rsidRPr="006E0578" w:rsidR="00D91E70" w:rsidP="00D91E70" w:rsidRDefault="00D91E70" w14:paraId="4AAEBF67" w14:textId="55627455">
      <w:pPr>
        <w:pStyle w:val="MAANormalText"/>
        <w:rPr>
          <w:rFonts w:ascii="Franklin Gothic Book" w:hAnsi="Franklin Gothic Book"/>
        </w:rPr>
      </w:pPr>
      <w:r w:rsidRPr="006E0578">
        <w:rPr>
          <w:rFonts w:ascii="Franklin Gothic Book" w:hAnsi="Franklin Gothic Book"/>
        </w:rPr>
        <w:lastRenderedPageBreak/>
        <w:t>To investigate the</w:t>
      </w:r>
      <w:r w:rsidRPr="006E0578" w:rsidR="006B1824">
        <w:rPr>
          <w:rFonts w:ascii="Franklin Gothic Book" w:hAnsi="Franklin Gothic Book"/>
        </w:rPr>
        <w:t xml:space="preserve"> proposed research questions, the Mt. Auburn team</w:t>
      </w:r>
      <w:r w:rsidRPr="006E0578">
        <w:rPr>
          <w:rFonts w:ascii="Franklin Gothic Book" w:hAnsi="Franklin Gothic Book"/>
        </w:rPr>
        <w:t xml:space="preserve"> plan</w:t>
      </w:r>
      <w:r w:rsidRPr="006E0578" w:rsidR="006B1824">
        <w:rPr>
          <w:rFonts w:ascii="Franklin Gothic Book" w:hAnsi="Franklin Gothic Book"/>
        </w:rPr>
        <w:t>s</w:t>
      </w:r>
      <w:r w:rsidRPr="006E0578">
        <w:rPr>
          <w:rFonts w:ascii="Franklin Gothic Book" w:hAnsi="Franklin Gothic Book"/>
        </w:rPr>
        <w:t xml:space="preserve"> to conduct ten case studies of </w:t>
      </w:r>
      <w:r w:rsidRPr="006E0578" w:rsidR="00782846">
        <w:rPr>
          <w:rFonts w:ascii="Franklin Gothic Book" w:hAnsi="Franklin Gothic Book"/>
        </w:rPr>
        <w:t xml:space="preserve">“influential” </w:t>
      </w:r>
      <w:r w:rsidRPr="006E0578" w:rsidR="00FC6597">
        <w:rPr>
          <w:rFonts w:ascii="Franklin Gothic Book" w:hAnsi="Franklin Gothic Book"/>
        </w:rPr>
        <w:t xml:space="preserve">public </w:t>
      </w:r>
      <w:r w:rsidRPr="006E0578">
        <w:rPr>
          <w:rFonts w:ascii="Franklin Gothic Book" w:hAnsi="Franklin Gothic Book"/>
        </w:rPr>
        <w:t>library systems related to workforce development or business development service delivery</w:t>
      </w:r>
      <w:r w:rsidRPr="006E0578" w:rsidR="00782846">
        <w:rPr>
          <w:rFonts w:ascii="Franklin Gothic Book" w:hAnsi="Franklin Gothic Book"/>
        </w:rPr>
        <w:t>.</w:t>
      </w:r>
      <w:r w:rsidR="00B81B4D">
        <w:rPr>
          <w:rFonts w:ascii="Franklin Gothic Book" w:hAnsi="Franklin Gothic Book"/>
        </w:rPr>
        <w:t xml:space="preserve"> </w:t>
      </w:r>
      <w:r w:rsidRPr="006E0578" w:rsidR="00782846">
        <w:rPr>
          <w:rFonts w:ascii="Franklin Gothic Book" w:hAnsi="Franklin Gothic Book"/>
        </w:rPr>
        <w:t>These case studies</w:t>
      </w:r>
      <w:r w:rsidRPr="006E0578" w:rsidR="00533A58">
        <w:rPr>
          <w:rFonts w:ascii="Franklin Gothic Book" w:hAnsi="Franklin Gothic Book"/>
        </w:rPr>
        <w:t xml:space="preserve"> </w:t>
      </w:r>
      <w:r w:rsidRPr="006E0578">
        <w:rPr>
          <w:rFonts w:ascii="Franklin Gothic Book" w:hAnsi="Franklin Gothic Book"/>
        </w:rPr>
        <w:t xml:space="preserve">will focus on: </w:t>
      </w:r>
    </w:p>
    <w:p w:rsidRPr="006E0578" w:rsidR="00D91E70" w:rsidP="00D91E70" w:rsidRDefault="00D91E70" w14:paraId="2CF1B04E" w14:textId="032A2906">
      <w:pPr>
        <w:pStyle w:val="BlueBulletIndent"/>
        <w:numPr>
          <w:ilvl w:val="0"/>
          <w:numId w:val="17"/>
        </w:numPr>
        <w:rPr>
          <w:rFonts w:ascii="Franklin Gothic Book" w:hAnsi="Franklin Gothic Book"/>
        </w:rPr>
      </w:pPr>
      <w:r w:rsidRPr="006E0578">
        <w:rPr>
          <w:rFonts w:ascii="Franklin Gothic Book" w:hAnsi="Franklin Gothic Book"/>
        </w:rPr>
        <w:t>the role the library is playing in workforce and business development;</w:t>
      </w:r>
    </w:p>
    <w:p w:rsidRPr="006E0578" w:rsidR="00D91E70" w:rsidP="00D91E70" w:rsidRDefault="00D91E70" w14:paraId="4F056AAA" w14:textId="77777777">
      <w:pPr>
        <w:pStyle w:val="BlueBulletIndent"/>
        <w:numPr>
          <w:ilvl w:val="0"/>
          <w:numId w:val="17"/>
        </w:numPr>
        <w:rPr>
          <w:rFonts w:ascii="Franklin Gothic Book" w:hAnsi="Franklin Gothic Book"/>
        </w:rPr>
      </w:pPr>
      <w:r w:rsidRPr="006E0578">
        <w:rPr>
          <w:rFonts w:ascii="Franklin Gothic Book" w:hAnsi="Franklin Gothic Book"/>
        </w:rPr>
        <w:t xml:space="preserve">the types of outcomes associated with the library’s activities; </w:t>
      </w:r>
    </w:p>
    <w:p w:rsidRPr="006E0578" w:rsidR="00D91E70" w:rsidP="00D91E70" w:rsidRDefault="00D91E70" w14:paraId="1DD9DCCB" w14:textId="77C7BD46">
      <w:pPr>
        <w:pStyle w:val="BlueBulletIndent"/>
        <w:numPr>
          <w:ilvl w:val="0"/>
          <w:numId w:val="17"/>
        </w:numPr>
        <w:rPr>
          <w:rFonts w:ascii="Franklin Gothic Book" w:hAnsi="Franklin Gothic Book"/>
        </w:rPr>
      </w:pPr>
      <w:r w:rsidRPr="006E0578">
        <w:rPr>
          <w:rFonts w:ascii="Franklin Gothic Book" w:hAnsi="Franklin Gothic Book"/>
        </w:rPr>
        <w:t xml:space="preserve">how </w:t>
      </w:r>
      <w:r w:rsidRPr="006E0578" w:rsidR="002E5153">
        <w:rPr>
          <w:rFonts w:ascii="Franklin Gothic Book" w:hAnsi="Franklin Gothic Book"/>
        </w:rPr>
        <w:t>libraries</w:t>
      </w:r>
      <w:r w:rsidRPr="006E0578">
        <w:rPr>
          <w:rFonts w:ascii="Franklin Gothic Book" w:hAnsi="Franklin Gothic Book"/>
        </w:rPr>
        <w:t xml:space="preserve"> coordinate and administer workforce and business development services across their system, including the role that outlets play in multi-outlet systems;</w:t>
      </w:r>
    </w:p>
    <w:p w:rsidRPr="006E0578" w:rsidR="00D91E70" w:rsidP="00D91E70" w:rsidRDefault="00D91E70" w14:paraId="49F813D7" w14:textId="77777777">
      <w:pPr>
        <w:pStyle w:val="BlueBulletIndent"/>
        <w:numPr>
          <w:ilvl w:val="0"/>
          <w:numId w:val="17"/>
        </w:numPr>
        <w:rPr>
          <w:rFonts w:ascii="Franklin Gothic Book" w:hAnsi="Franklin Gothic Book"/>
        </w:rPr>
      </w:pPr>
      <w:r w:rsidRPr="006E0578">
        <w:rPr>
          <w:rFonts w:ascii="Franklin Gothic Book" w:hAnsi="Franklin Gothic Book"/>
        </w:rPr>
        <w:t xml:space="preserve">the capacity challenges of the library to take on efforts to measure the outcomes of its work; </w:t>
      </w:r>
    </w:p>
    <w:p w:rsidRPr="006E0578" w:rsidR="00D91E70" w:rsidP="00D91E70" w:rsidRDefault="00D91E70" w14:paraId="4D1DEC82" w14:textId="2AEF608F">
      <w:pPr>
        <w:pStyle w:val="BlueBulletIndent"/>
        <w:numPr>
          <w:ilvl w:val="0"/>
          <w:numId w:val="17"/>
        </w:numPr>
        <w:rPr>
          <w:rFonts w:ascii="Franklin Gothic Book" w:hAnsi="Franklin Gothic Book"/>
        </w:rPr>
      </w:pPr>
      <w:r w:rsidRPr="006E0578">
        <w:rPr>
          <w:rFonts w:ascii="Franklin Gothic Book" w:hAnsi="Franklin Gothic Book"/>
        </w:rPr>
        <w:t>the partnerships the library has with other local organizations;</w:t>
      </w:r>
      <w:r w:rsidR="00B81B4D">
        <w:rPr>
          <w:rFonts w:ascii="Franklin Gothic Book" w:hAnsi="Franklin Gothic Book"/>
        </w:rPr>
        <w:t xml:space="preserve"> </w:t>
      </w:r>
    </w:p>
    <w:p w:rsidRPr="006E0578" w:rsidR="00D91E70" w:rsidP="00013876" w:rsidRDefault="00013876" w14:paraId="1007030F" w14:textId="21ED30CF">
      <w:pPr>
        <w:pStyle w:val="BlueBulletIndent"/>
        <w:numPr>
          <w:ilvl w:val="0"/>
          <w:numId w:val="17"/>
        </w:numPr>
        <w:rPr>
          <w:rFonts w:ascii="Franklin Gothic Book" w:hAnsi="Franklin Gothic Book"/>
        </w:rPr>
      </w:pPr>
      <w:r w:rsidRPr="006E0578">
        <w:rPr>
          <w:rFonts w:ascii="Franklin Gothic Book" w:hAnsi="Franklin Gothic Book"/>
        </w:rPr>
        <w:t>how other stakeholders in the workforce development and business development ecosystems perceive the libraries;</w:t>
      </w:r>
      <w:r w:rsidRPr="006E0578" w:rsidR="00D91E70">
        <w:rPr>
          <w:rFonts w:ascii="Franklin Gothic Book" w:hAnsi="Franklin Gothic Book"/>
        </w:rPr>
        <w:t xml:space="preserve"> </w:t>
      </w:r>
    </w:p>
    <w:p w:rsidRPr="006E0578" w:rsidR="00D91E70" w:rsidP="00D91E70" w:rsidRDefault="00D91E70" w14:paraId="780D0307" w14:textId="366562DD">
      <w:pPr>
        <w:pStyle w:val="BlueBulletIndent"/>
        <w:numPr>
          <w:ilvl w:val="0"/>
          <w:numId w:val="17"/>
        </w:numPr>
        <w:rPr>
          <w:rFonts w:ascii="Franklin Gothic Book" w:hAnsi="Franklin Gothic Book"/>
        </w:rPr>
      </w:pPr>
      <w:r w:rsidRPr="006E0578">
        <w:rPr>
          <w:rFonts w:ascii="Franklin Gothic Book" w:hAnsi="Franklin Gothic Book"/>
        </w:rPr>
        <w:t xml:space="preserve">how </w:t>
      </w:r>
      <w:r w:rsidRPr="006E0578" w:rsidR="006B1824">
        <w:rPr>
          <w:rFonts w:ascii="Franklin Gothic Book" w:hAnsi="Franklin Gothic Book"/>
        </w:rPr>
        <w:t>s</w:t>
      </w:r>
      <w:r w:rsidRPr="006E0578">
        <w:rPr>
          <w:rFonts w:ascii="Franklin Gothic Book" w:hAnsi="Franklin Gothic Book"/>
        </w:rPr>
        <w:t>tate-level resources, supporting policies, and other contextual factors are influencing the library’s approach to workforce and business development; and</w:t>
      </w:r>
    </w:p>
    <w:p w:rsidRPr="006E0578" w:rsidR="00D91E70" w:rsidP="00D91E70" w:rsidRDefault="00D91E70" w14:paraId="263A26AB" w14:textId="5C080ED0">
      <w:pPr>
        <w:pStyle w:val="BlueBulletIndent"/>
        <w:numPr>
          <w:ilvl w:val="0"/>
          <w:numId w:val="17"/>
        </w:numPr>
        <w:rPr>
          <w:rFonts w:ascii="Franklin Gothic Book" w:hAnsi="Franklin Gothic Book"/>
        </w:rPr>
      </w:pPr>
      <w:r w:rsidRPr="006E0578">
        <w:rPr>
          <w:rFonts w:ascii="Franklin Gothic Book" w:hAnsi="Franklin Gothic Book"/>
        </w:rPr>
        <w:t xml:space="preserve">the factors that impeded or facilitated library elasticity to the dynamic environment of the </w:t>
      </w:r>
      <w:r w:rsidRPr="006E0578" w:rsidR="00A6480A">
        <w:rPr>
          <w:rFonts w:ascii="Franklin Gothic Book" w:hAnsi="Franklin Gothic Book"/>
        </w:rPr>
        <w:t xml:space="preserve">COVID-19 </w:t>
      </w:r>
      <w:r w:rsidRPr="006E0578">
        <w:rPr>
          <w:rFonts w:ascii="Franklin Gothic Book" w:hAnsi="Franklin Gothic Book"/>
        </w:rPr>
        <w:t xml:space="preserve">public health crisis. </w:t>
      </w:r>
    </w:p>
    <w:p w:rsidRPr="006E0578" w:rsidR="00715CFF" w:rsidP="00EA234A" w:rsidRDefault="006B1824" w14:paraId="10A1BEA9" w14:textId="7D5B2A0E">
      <w:pPr>
        <w:pStyle w:val="MAANormalText"/>
        <w:rPr>
          <w:rFonts w:ascii="Franklin Gothic Book" w:hAnsi="Franklin Gothic Book"/>
        </w:rPr>
      </w:pPr>
      <w:r w:rsidRPr="006E0578">
        <w:rPr>
          <w:rFonts w:ascii="Franklin Gothic Book" w:hAnsi="Franklin Gothic Book"/>
        </w:rPr>
        <w:t xml:space="preserve">The data collection will inform the </w:t>
      </w:r>
      <w:r w:rsidRPr="006E0578" w:rsidR="00782846">
        <w:rPr>
          <w:rFonts w:ascii="Franklin Gothic Book" w:hAnsi="Franklin Gothic Book"/>
        </w:rPr>
        <w:t xml:space="preserve">proposed </w:t>
      </w:r>
      <w:r w:rsidRPr="006E0578">
        <w:rPr>
          <w:rFonts w:ascii="Franklin Gothic Book" w:hAnsi="Franklin Gothic Book"/>
        </w:rPr>
        <w:t xml:space="preserve">study’s two key deliverables: 1) a final report with case studies and cross-site findings on key themes and hypotheses and 2) three targeted research briefs that provide </w:t>
      </w:r>
      <w:r w:rsidRPr="006E0578" w:rsidR="00782846">
        <w:rPr>
          <w:rFonts w:ascii="Franklin Gothic Book" w:hAnsi="Franklin Gothic Book"/>
        </w:rPr>
        <w:t xml:space="preserve">public </w:t>
      </w:r>
      <w:r w:rsidRPr="006E0578">
        <w:rPr>
          <w:rFonts w:ascii="Franklin Gothic Book" w:hAnsi="Franklin Gothic Book"/>
        </w:rPr>
        <w:t xml:space="preserve">libraries </w:t>
      </w:r>
      <w:r w:rsidRPr="006E0578" w:rsidR="00782846">
        <w:rPr>
          <w:rFonts w:ascii="Franklin Gothic Book" w:hAnsi="Franklin Gothic Book"/>
        </w:rPr>
        <w:t xml:space="preserve">and other interested groups </w:t>
      </w:r>
      <w:r w:rsidRPr="006E0578">
        <w:rPr>
          <w:rFonts w:ascii="Franklin Gothic Book" w:hAnsi="Franklin Gothic Book"/>
        </w:rPr>
        <w:t xml:space="preserve">with measurement tools </w:t>
      </w:r>
      <w:r w:rsidRPr="006E0578" w:rsidR="00FC6597">
        <w:rPr>
          <w:rFonts w:ascii="Franklin Gothic Book" w:hAnsi="Franklin Gothic Book"/>
        </w:rPr>
        <w:t>for helping</w:t>
      </w:r>
      <w:r w:rsidRPr="006E0578">
        <w:rPr>
          <w:rFonts w:ascii="Franklin Gothic Book" w:hAnsi="Franklin Gothic Book"/>
        </w:rPr>
        <w:t xml:space="preserve"> build </w:t>
      </w:r>
      <w:r w:rsidRPr="006E0578" w:rsidR="00782846">
        <w:rPr>
          <w:rFonts w:ascii="Franklin Gothic Book" w:hAnsi="Franklin Gothic Book"/>
        </w:rPr>
        <w:t xml:space="preserve">monitoring </w:t>
      </w:r>
      <w:r w:rsidRPr="006E0578">
        <w:rPr>
          <w:rFonts w:ascii="Franklin Gothic Book" w:hAnsi="Franklin Gothic Book"/>
        </w:rPr>
        <w:t>capacity in this area of work.</w:t>
      </w:r>
      <w:r w:rsidRPr="006E0578" w:rsidR="00AD1310">
        <w:rPr>
          <w:rFonts w:ascii="Franklin Gothic Book" w:hAnsi="Franklin Gothic Book"/>
        </w:rPr>
        <w:t xml:space="preserve"> </w:t>
      </w:r>
    </w:p>
    <w:p w:rsidRPr="006E0578" w:rsidR="00A34641" w:rsidP="00EA234A" w:rsidRDefault="00BF270F" w14:paraId="77D5F04C" w14:textId="30E37C3B">
      <w:pPr>
        <w:pStyle w:val="MAANormalText"/>
        <w:rPr>
          <w:rFonts w:ascii="Franklin Gothic Book" w:hAnsi="Franklin Gothic Book"/>
        </w:rPr>
      </w:pPr>
      <w:bookmarkStart w:name="_Hlk25317507" w:id="0"/>
      <w:r w:rsidRPr="006E0578">
        <w:rPr>
          <w:rFonts w:ascii="Franklin Gothic Book" w:hAnsi="Franklin Gothic Book"/>
        </w:rPr>
        <w:t xml:space="preserve">The </w:t>
      </w:r>
      <w:r w:rsidRPr="006E0578" w:rsidR="7CC272E9">
        <w:rPr>
          <w:rFonts w:ascii="Franklin Gothic Book" w:hAnsi="Franklin Gothic Book"/>
        </w:rPr>
        <w:t xml:space="preserve">primary </w:t>
      </w:r>
      <w:r w:rsidRPr="006E0578">
        <w:rPr>
          <w:rFonts w:ascii="Franklin Gothic Book" w:hAnsi="Franklin Gothic Book"/>
        </w:rPr>
        <w:t xml:space="preserve">stakeholders likely to be interested in the findings from this research include </w:t>
      </w:r>
      <w:r w:rsidRPr="006E0578" w:rsidR="001F4FDD">
        <w:rPr>
          <w:rFonts w:ascii="Franklin Gothic Book" w:hAnsi="Franklin Gothic Book"/>
        </w:rPr>
        <w:t xml:space="preserve">COSLA, </w:t>
      </w:r>
      <w:r w:rsidRPr="006E0578">
        <w:rPr>
          <w:rFonts w:ascii="Franklin Gothic Book" w:hAnsi="Franklin Gothic Book"/>
        </w:rPr>
        <w:t xml:space="preserve">IMLS, </w:t>
      </w:r>
      <w:r w:rsidRPr="006E0578" w:rsidR="00392817">
        <w:rPr>
          <w:rFonts w:ascii="Franklin Gothic Book" w:hAnsi="Franklin Gothic Book"/>
        </w:rPr>
        <w:t>American Library Association (</w:t>
      </w:r>
      <w:r w:rsidRPr="006E0578" w:rsidR="001F4FDD">
        <w:rPr>
          <w:rFonts w:ascii="Franklin Gothic Book" w:hAnsi="Franklin Gothic Book"/>
        </w:rPr>
        <w:t>ALA</w:t>
      </w:r>
      <w:r w:rsidRPr="006E0578" w:rsidR="00392817">
        <w:rPr>
          <w:rFonts w:ascii="Franklin Gothic Book" w:hAnsi="Franklin Gothic Book"/>
        </w:rPr>
        <w:t>)</w:t>
      </w:r>
      <w:r w:rsidRPr="006E0578" w:rsidR="001F4FDD">
        <w:rPr>
          <w:rFonts w:ascii="Franklin Gothic Book" w:hAnsi="Franklin Gothic Book"/>
        </w:rPr>
        <w:t xml:space="preserve">, </w:t>
      </w:r>
      <w:r w:rsidRPr="006E0578" w:rsidR="00703763">
        <w:rPr>
          <w:rFonts w:ascii="Franklin Gothic Book" w:hAnsi="Franklin Gothic Book"/>
        </w:rPr>
        <w:t>Public Library Association</w:t>
      </w:r>
      <w:r w:rsidRPr="006E0578" w:rsidR="006E43AA">
        <w:rPr>
          <w:rFonts w:ascii="Franklin Gothic Book" w:hAnsi="Franklin Gothic Book"/>
        </w:rPr>
        <w:t xml:space="preserve"> (PLA)</w:t>
      </w:r>
      <w:r w:rsidRPr="006E0578" w:rsidR="001F4FDD">
        <w:rPr>
          <w:rFonts w:ascii="Franklin Gothic Book" w:hAnsi="Franklin Gothic Book"/>
        </w:rPr>
        <w:t xml:space="preserve">, state and local </w:t>
      </w:r>
      <w:r w:rsidRPr="006E0578" w:rsidR="00B00921">
        <w:rPr>
          <w:rFonts w:ascii="Franklin Gothic Book" w:hAnsi="Franklin Gothic Book"/>
        </w:rPr>
        <w:t>libraries</w:t>
      </w:r>
      <w:r w:rsidRPr="006E0578" w:rsidR="001F4FDD">
        <w:rPr>
          <w:rFonts w:ascii="Franklin Gothic Book" w:hAnsi="Franklin Gothic Book"/>
        </w:rPr>
        <w:t>, state and local workforce development</w:t>
      </w:r>
      <w:r w:rsidRPr="006E0578" w:rsidR="0049137A">
        <w:rPr>
          <w:rFonts w:ascii="Franklin Gothic Book" w:hAnsi="Franklin Gothic Book"/>
        </w:rPr>
        <w:t xml:space="preserve"> agencies,</w:t>
      </w:r>
      <w:r w:rsidRPr="006E0578" w:rsidR="002D6080">
        <w:rPr>
          <w:rFonts w:ascii="Franklin Gothic Book" w:hAnsi="Franklin Gothic Book"/>
        </w:rPr>
        <w:t xml:space="preserve"> </w:t>
      </w:r>
      <w:r w:rsidRPr="006E0578" w:rsidR="00007611">
        <w:rPr>
          <w:rFonts w:ascii="Franklin Gothic Book" w:hAnsi="Franklin Gothic Book"/>
        </w:rPr>
        <w:t>policy makers</w:t>
      </w:r>
      <w:r w:rsidR="003E4D71">
        <w:rPr>
          <w:rFonts w:ascii="Franklin Gothic Book" w:hAnsi="Franklin Gothic Book"/>
        </w:rPr>
        <w:t>,</w:t>
      </w:r>
      <w:r w:rsidRPr="006E0578" w:rsidR="00007611">
        <w:rPr>
          <w:rFonts w:ascii="Franklin Gothic Book" w:hAnsi="Franklin Gothic Book"/>
        </w:rPr>
        <w:t xml:space="preserve"> </w:t>
      </w:r>
      <w:r w:rsidRPr="006E0578" w:rsidR="002D6080">
        <w:rPr>
          <w:rFonts w:ascii="Franklin Gothic Book" w:hAnsi="Franklin Gothic Book"/>
        </w:rPr>
        <w:t xml:space="preserve">and </w:t>
      </w:r>
      <w:r w:rsidRPr="006E0578" w:rsidR="00A105B5">
        <w:rPr>
          <w:rFonts w:ascii="Franklin Gothic Book" w:hAnsi="Franklin Gothic Book"/>
        </w:rPr>
        <w:t>small business support providers</w:t>
      </w:r>
      <w:r w:rsidRPr="006E0578">
        <w:rPr>
          <w:rFonts w:ascii="Franklin Gothic Book" w:hAnsi="Franklin Gothic Book"/>
        </w:rPr>
        <w:t>.</w:t>
      </w:r>
      <w:r w:rsidR="00B81B4D">
        <w:rPr>
          <w:rFonts w:ascii="Franklin Gothic Book" w:hAnsi="Franklin Gothic Book"/>
        </w:rPr>
        <w:t xml:space="preserve"> </w:t>
      </w:r>
      <w:r w:rsidRPr="006E0578" w:rsidR="0049137A">
        <w:rPr>
          <w:rFonts w:ascii="Franklin Gothic Book" w:hAnsi="Franklin Gothic Book"/>
        </w:rPr>
        <w:t>Mt. Auburn will structure t</w:t>
      </w:r>
      <w:r w:rsidRPr="006E0578">
        <w:rPr>
          <w:rFonts w:ascii="Franklin Gothic Book" w:hAnsi="Franklin Gothic Book"/>
        </w:rPr>
        <w:t xml:space="preserve">he </w:t>
      </w:r>
      <w:r w:rsidRPr="006E0578" w:rsidR="00146FF3">
        <w:rPr>
          <w:rFonts w:ascii="Franklin Gothic Book" w:hAnsi="Franklin Gothic Book"/>
        </w:rPr>
        <w:t>project</w:t>
      </w:r>
      <w:r w:rsidRPr="006E0578">
        <w:rPr>
          <w:rFonts w:ascii="Franklin Gothic Book" w:hAnsi="Franklin Gothic Book"/>
        </w:rPr>
        <w:t xml:space="preserve"> </w:t>
      </w:r>
      <w:r w:rsidRPr="006E0578" w:rsidR="0049137A">
        <w:rPr>
          <w:rFonts w:ascii="Franklin Gothic Book" w:hAnsi="Franklin Gothic Book"/>
        </w:rPr>
        <w:t>t</w:t>
      </w:r>
      <w:r w:rsidRPr="006E0578" w:rsidR="00146FF3">
        <w:rPr>
          <w:rFonts w:ascii="Franklin Gothic Book" w:hAnsi="Franklin Gothic Book"/>
        </w:rPr>
        <w:t>o</w:t>
      </w:r>
      <w:r w:rsidRPr="006E0578" w:rsidR="001F4FDD">
        <w:rPr>
          <w:rFonts w:ascii="Franklin Gothic Book" w:hAnsi="Franklin Gothic Book"/>
        </w:rPr>
        <w:t xml:space="preserve"> be responsive to this </w:t>
      </w:r>
      <w:r w:rsidRPr="006E0578">
        <w:rPr>
          <w:rFonts w:ascii="Franklin Gothic Book" w:hAnsi="Franklin Gothic Book"/>
        </w:rPr>
        <w:t xml:space="preserve">diverse stakeholder audience </w:t>
      </w:r>
      <w:r w:rsidRPr="006E0578" w:rsidR="001F4FDD">
        <w:rPr>
          <w:rFonts w:ascii="Franklin Gothic Book" w:hAnsi="Franklin Gothic Book"/>
        </w:rPr>
        <w:t xml:space="preserve">and </w:t>
      </w:r>
      <w:r w:rsidRPr="006E0578" w:rsidR="00146FF3">
        <w:rPr>
          <w:rFonts w:ascii="Franklin Gothic Book" w:hAnsi="Franklin Gothic Book"/>
        </w:rPr>
        <w:t xml:space="preserve">focus on creating </w:t>
      </w:r>
      <w:r w:rsidRPr="006E0578" w:rsidR="0049137A">
        <w:rPr>
          <w:rFonts w:ascii="Franklin Gothic Book" w:hAnsi="Franklin Gothic Book"/>
        </w:rPr>
        <w:t>high-</w:t>
      </w:r>
      <w:r w:rsidRPr="006E0578" w:rsidR="001F4FDD">
        <w:rPr>
          <w:rFonts w:ascii="Franklin Gothic Book" w:hAnsi="Franklin Gothic Book"/>
        </w:rPr>
        <w:t>utility products</w:t>
      </w:r>
      <w:r w:rsidRPr="006E0578" w:rsidR="00007611">
        <w:rPr>
          <w:rFonts w:ascii="Franklin Gothic Book" w:hAnsi="Franklin Gothic Book"/>
        </w:rPr>
        <w:t xml:space="preserve">, such as </w:t>
      </w:r>
      <w:r w:rsidRPr="006E0578" w:rsidR="00513469">
        <w:rPr>
          <w:rFonts w:ascii="Franklin Gothic Book" w:hAnsi="Franklin Gothic Book"/>
        </w:rPr>
        <w:t xml:space="preserve">the </w:t>
      </w:r>
      <w:r w:rsidRPr="006E0578" w:rsidR="00007611">
        <w:rPr>
          <w:rFonts w:ascii="Franklin Gothic Book" w:hAnsi="Franklin Gothic Book"/>
        </w:rPr>
        <w:t>research briefs,</w:t>
      </w:r>
      <w:r w:rsidRPr="006E0578" w:rsidR="001F4FDD">
        <w:rPr>
          <w:rFonts w:ascii="Franklin Gothic Book" w:hAnsi="Franklin Gothic Book"/>
        </w:rPr>
        <w:t xml:space="preserve"> that</w:t>
      </w:r>
      <w:r w:rsidRPr="006E0578" w:rsidR="00146FF3">
        <w:rPr>
          <w:rFonts w:ascii="Franklin Gothic Book" w:hAnsi="Franklin Gothic Book"/>
        </w:rPr>
        <w:t xml:space="preserve"> identify libraries’ contributions and </w:t>
      </w:r>
      <w:r w:rsidRPr="006E0578" w:rsidR="001F4FDD">
        <w:rPr>
          <w:rFonts w:ascii="Franklin Gothic Book" w:hAnsi="Franklin Gothic Book"/>
        </w:rPr>
        <w:t>build library capacity</w:t>
      </w:r>
      <w:r w:rsidRPr="006E0578" w:rsidR="00146FF3">
        <w:rPr>
          <w:rFonts w:ascii="Franklin Gothic Book" w:hAnsi="Franklin Gothic Book"/>
        </w:rPr>
        <w:t xml:space="preserve"> for outcome measurement and comm</w:t>
      </w:r>
      <w:r w:rsidRPr="006E0578" w:rsidR="00F87663">
        <w:rPr>
          <w:rFonts w:ascii="Franklin Gothic Book" w:hAnsi="Franklin Gothic Book"/>
        </w:rPr>
        <w:t>u</w:t>
      </w:r>
      <w:r w:rsidRPr="006E0578" w:rsidR="00146FF3">
        <w:rPr>
          <w:rFonts w:ascii="Franklin Gothic Book" w:hAnsi="Franklin Gothic Book"/>
        </w:rPr>
        <w:t>nication</w:t>
      </w:r>
      <w:r w:rsidRPr="006E0578" w:rsidR="001F4FDD">
        <w:rPr>
          <w:rFonts w:ascii="Franklin Gothic Book" w:hAnsi="Franklin Gothic Book"/>
        </w:rPr>
        <w:t>.</w:t>
      </w:r>
      <w:bookmarkEnd w:id="0"/>
      <w:r w:rsidRPr="006E0578" w:rsidR="00AD6079">
        <w:rPr>
          <w:rFonts w:ascii="Franklin Gothic Book" w:hAnsi="Franklin Gothic Book"/>
        </w:rPr>
        <w:t xml:space="preserve"> </w:t>
      </w:r>
    </w:p>
    <w:p w:rsidRPr="006E0578" w:rsidR="00BF270F" w:rsidP="00EA234A" w:rsidRDefault="00AD6079" w14:paraId="73D2BCEB" w14:textId="02D51FCA">
      <w:pPr>
        <w:pStyle w:val="MAANormalText"/>
        <w:rPr>
          <w:rFonts w:ascii="Franklin Gothic Book" w:hAnsi="Franklin Gothic Book"/>
        </w:rPr>
      </w:pPr>
      <w:r w:rsidRPr="006E0578">
        <w:rPr>
          <w:rFonts w:ascii="Franklin Gothic Book" w:hAnsi="Franklin Gothic Book"/>
        </w:rPr>
        <w:t xml:space="preserve">The project may inform broader field learning </w:t>
      </w:r>
      <w:r w:rsidRPr="006E0578" w:rsidR="00AD1310">
        <w:rPr>
          <w:rFonts w:ascii="Franklin Gothic Book" w:hAnsi="Franklin Gothic Book"/>
        </w:rPr>
        <w:t xml:space="preserve">and build research </w:t>
      </w:r>
      <w:r w:rsidRPr="006E0578" w:rsidR="00A6480A">
        <w:rPr>
          <w:rFonts w:ascii="Franklin Gothic Book" w:hAnsi="Franklin Gothic Book"/>
        </w:rPr>
        <w:t xml:space="preserve">hypotheses </w:t>
      </w:r>
      <w:r w:rsidRPr="006E0578" w:rsidR="00AD1310">
        <w:rPr>
          <w:rFonts w:ascii="Franklin Gothic Book" w:hAnsi="Franklin Gothic Book"/>
        </w:rPr>
        <w:t>for further investigation related to effective service delivery practices, libraries’ role in the workforce and business development ecosystem, and measurement and communication efforts regarding</w:t>
      </w:r>
      <w:r w:rsidRPr="006E0578">
        <w:rPr>
          <w:rFonts w:ascii="Franklin Gothic Book" w:hAnsi="Franklin Gothic Book"/>
        </w:rPr>
        <w:t xml:space="preserve"> the impact of libraries in economic development</w:t>
      </w:r>
      <w:r w:rsidRPr="006E0578" w:rsidR="00A34641">
        <w:rPr>
          <w:rFonts w:ascii="Franklin Gothic Book" w:hAnsi="Franklin Gothic Book"/>
        </w:rPr>
        <w:t xml:space="preserve">. </w:t>
      </w:r>
      <w:r w:rsidRPr="006E0578" w:rsidR="00427C52">
        <w:rPr>
          <w:rFonts w:ascii="Franklin Gothic Book" w:hAnsi="Franklin Gothic Book"/>
        </w:rPr>
        <w:t>Libraries may identify promising practices that may better serve the needs of their communities, and m</w:t>
      </w:r>
      <w:r w:rsidRPr="006E0578">
        <w:rPr>
          <w:rFonts w:ascii="Franklin Gothic Book" w:hAnsi="Franklin Gothic Book"/>
        </w:rPr>
        <w:t xml:space="preserve">ore traditional workforce </w:t>
      </w:r>
      <w:r w:rsidRPr="006E0578" w:rsidR="00A105B5">
        <w:rPr>
          <w:rFonts w:ascii="Franklin Gothic Book" w:hAnsi="Franklin Gothic Book"/>
        </w:rPr>
        <w:t xml:space="preserve">and small business </w:t>
      </w:r>
      <w:r w:rsidRPr="006E0578">
        <w:rPr>
          <w:rFonts w:ascii="Franklin Gothic Book" w:hAnsi="Franklin Gothic Book"/>
        </w:rPr>
        <w:t>development stakeholders, including education providers</w:t>
      </w:r>
      <w:r w:rsidRPr="006E0578" w:rsidR="00A105B5">
        <w:rPr>
          <w:rFonts w:ascii="Franklin Gothic Book" w:hAnsi="Franklin Gothic Book"/>
        </w:rPr>
        <w:t xml:space="preserve"> and state and local workforce development agencies</w:t>
      </w:r>
      <w:r w:rsidRPr="006E0578">
        <w:rPr>
          <w:rFonts w:ascii="Franklin Gothic Book" w:hAnsi="Franklin Gothic Book"/>
        </w:rPr>
        <w:t>, may glean learnings that influence potential partnership</w:t>
      </w:r>
      <w:r w:rsidRPr="006E0578" w:rsidR="00A426A7">
        <w:rPr>
          <w:rFonts w:ascii="Franklin Gothic Book" w:hAnsi="Franklin Gothic Book"/>
        </w:rPr>
        <w:t>s</w:t>
      </w:r>
      <w:r w:rsidRPr="006E0578">
        <w:rPr>
          <w:rFonts w:ascii="Franklin Gothic Book" w:hAnsi="Franklin Gothic Book"/>
        </w:rPr>
        <w:t xml:space="preserve"> with libraries. </w:t>
      </w:r>
    </w:p>
    <w:p w:rsidRPr="006E0578" w:rsidR="00640495" w:rsidP="00E400EA" w:rsidRDefault="00D972D8" w14:paraId="76A67B67" w14:textId="4817C822">
      <w:pPr>
        <w:rPr>
          <w:rFonts w:ascii="Franklin Gothic Book" w:hAnsi="Franklin Gothic Book" w:cs="Arial"/>
          <w:b/>
          <w:sz w:val="24"/>
          <w:szCs w:val="24"/>
          <w:shd w:val="clear" w:color="auto" w:fill="FFFFFF"/>
        </w:rPr>
      </w:pPr>
      <w:r w:rsidRPr="006E0578">
        <w:rPr>
          <w:rFonts w:ascii="Franklin Gothic Book" w:hAnsi="Franklin Gothic Book" w:cs="Arial"/>
          <w:b/>
          <w:sz w:val="24"/>
          <w:szCs w:val="24"/>
          <w:shd w:val="clear" w:color="auto" w:fill="FFFFFF"/>
        </w:rPr>
        <w:t>A3. Use of Information Technology</w:t>
      </w:r>
    </w:p>
    <w:p w:rsidRPr="006E0578" w:rsidR="00FD5B19" w:rsidP="00054628" w:rsidRDefault="00A426A7" w14:paraId="7E6BDFF4" w14:textId="27DD3E94">
      <w:pPr>
        <w:pStyle w:val="MAANormalText"/>
        <w:rPr>
          <w:rFonts w:ascii="Franklin Gothic Book" w:hAnsi="Franklin Gothic Book"/>
        </w:rPr>
      </w:pPr>
      <w:r w:rsidRPr="006E0578">
        <w:rPr>
          <w:rFonts w:ascii="Franklin Gothic Book" w:hAnsi="Franklin Gothic Book"/>
        </w:rPr>
        <w:t xml:space="preserve">The team will capture in-person and telephone interviews with notetaking (a rough transcript) via laptops and audio recordings </w:t>
      </w:r>
      <w:r w:rsidRPr="006E0578" w:rsidR="002D6B08">
        <w:rPr>
          <w:rFonts w:ascii="Franklin Gothic Book" w:hAnsi="Franklin Gothic Book"/>
        </w:rPr>
        <w:t>with</w:t>
      </w:r>
      <w:r w:rsidRPr="006E0578">
        <w:rPr>
          <w:rFonts w:ascii="Franklin Gothic Book" w:hAnsi="Franklin Gothic Book"/>
        </w:rPr>
        <w:t xml:space="preserve"> interviewee agreement.</w:t>
      </w:r>
      <w:r w:rsidR="00B81B4D">
        <w:rPr>
          <w:rFonts w:ascii="Franklin Gothic Book" w:hAnsi="Franklin Gothic Book"/>
        </w:rPr>
        <w:t xml:space="preserve"> </w:t>
      </w:r>
      <w:r w:rsidRPr="006E0578" w:rsidR="00557707">
        <w:rPr>
          <w:rFonts w:ascii="Franklin Gothic Book" w:hAnsi="Franklin Gothic Book"/>
        </w:rPr>
        <w:t>Mt. Auburn Associates</w:t>
      </w:r>
      <w:r w:rsidRPr="006E0578">
        <w:rPr>
          <w:rFonts w:ascii="Franklin Gothic Book" w:hAnsi="Franklin Gothic Book"/>
        </w:rPr>
        <w:t xml:space="preserve"> will store all Microsoft Word and audio files securely per federal data security guidelines, including NIST 800-209 as well as other federal and local regulations, and will destroy all audio files upon transfer to COSLA/IMLS at the conclusion of the project. </w:t>
      </w:r>
      <w:r w:rsidR="000451F7">
        <w:rPr>
          <w:rFonts w:ascii="Franklin Gothic Book" w:hAnsi="Franklin Gothic Book"/>
        </w:rPr>
        <w:t>O</w:t>
      </w:r>
      <w:r w:rsidRPr="006E0578" w:rsidR="000451F7">
        <w:rPr>
          <w:rFonts w:ascii="Franklin Gothic Book" w:hAnsi="Franklin Gothic Book"/>
        </w:rPr>
        <w:t xml:space="preserve">nly </w:t>
      </w:r>
      <w:r w:rsidRPr="006E0578">
        <w:rPr>
          <w:rFonts w:ascii="Franklin Gothic Book" w:hAnsi="Franklin Gothic Book"/>
        </w:rPr>
        <w:t xml:space="preserve">the </w:t>
      </w:r>
      <w:r w:rsidRPr="006E0578" w:rsidR="00557707">
        <w:rPr>
          <w:rFonts w:ascii="Franklin Gothic Book" w:hAnsi="Franklin Gothic Book"/>
        </w:rPr>
        <w:t>Mt. Auburn Associates</w:t>
      </w:r>
      <w:r w:rsidRPr="006E0578">
        <w:rPr>
          <w:rFonts w:ascii="Franklin Gothic Book" w:hAnsi="Franklin Gothic Book"/>
        </w:rPr>
        <w:t xml:space="preserve"> team will have access to the transcript-related data files.</w:t>
      </w:r>
    </w:p>
    <w:p w:rsidRPr="006E0578" w:rsidR="00640495" w:rsidP="00E400EA" w:rsidRDefault="00D972D8" w14:paraId="1C374F6F" w14:textId="02080AB7">
      <w:pPr>
        <w:rPr>
          <w:rFonts w:ascii="Franklin Gothic Book" w:hAnsi="Franklin Gothic Book"/>
          <w:b/>
          <w:sz w:val="24"/>
          <w:szCs w:val="24"/>
        </w:rPr>
      </w:pPr>
      <w:r w:rsidRPr="006E0578">
        <w:rPr>
          <w:rFonts w:ascii="Franklin Gothic Book" w:hAnsi="Franklin Gothic Book"/>
          <w:b/>
          <w:sz w:val="24"/>
          <w:szCs w:val="24"/>
        </w:rPr>
        <w:t>A4. Efforts to Identify Duplication</w:t>
      </w:r>
    </w:p>
    <w:p w:rsidRPr="006E0578" w:rsidR="003032D6" w:rsidP="00FD5B19" w:rsidRDefault="00EC6827" w14:paraId="3E65044F" w14:textId="393545FC">
      <w:pPr>
        <w:pStyle w:val="MAANormalText"/>
        <w:rPr>
          <w:rFonts w:ascii="Franklin Gothic Book" w:hAnsi="Franklin Gothic Book"/>
        </w:rPr>
      </w:pPr>
      <w:r w:rsidRPr="006E0578">
        <w:rPr>
          <w:rFonts w:ascii="Franklin Gothic Book" w:hAnsi="Franklin Gothic Book"/>
        </w:rPr>
        <w:t xml:space="preserve">During </w:t>
      </w:r>
      <w:r w:rsidRPr="006E0578" w:rsidR="00161676">
        <w:rPr>
          <w:rFonts w:ascii="Franklin Gothic Book" w:hAnsi="Franklin Gothic Book"/>
        </w:rPr>
        <w:t xml:space="preserve">a </w:t>
      </w:r>
      <w:r w:rsidRPr="006E0578" w:rsidR="000E3580">
        <w:rPr>
          <w:rFonts w:ascii="Franklin Gothic Book" w:hAnsi="Franklin Gothic Book"/>
        </w:rPr>
        <w:t>landscape scan</w:t>
      </w:r>
      <w:r w:rsidRPr="006E0578" w:rsidR="00F35AF9">
        <w:rPr>
          <w:rFonts w:ascii="Franklin Gothic Book" w:hAnsi="Franklin Gothic Book"/>
        </w:rPr>
        <w:t xml:space="preserve"> </w:t>
      </w:r>
      <w:r w:rsidRPr="006E0578" w:rsidR="009F39B3">
        <w:rPr>
          <w:rFonts w:ascii="Franklin Gothic Book" w:hAnsi="Franklin Gothic Book"/>
        </w:rPr>
        <w:t>and</w:t>
      </w:r>
      <w:r w:rsidRPr="006E0578" w:rsidR="000E3580">
        <w:rPr>
          <w:rFonts w:ascii="Franklin Gothic Book" w:hAnsi="Franklin Gothic Book"/>
        </w:rPr>
        <w:t xml:space="preserve"> l</w:t>
      </w:r>
      <w:r w:rsidRPr="006E0578">
        <w:rPr>
          <w:rFonts w:ascii="Franklin Gothic Book" w:hAnsi="Franklin Gothic Book"/>
        </w:rPr>
        <w:t xml:space="preserve">iterature review, </w:t>
      </w:r>
      <w:r w:rsidRPr="006E0578" w:rsidR="00557707">
        <w:rPr>
          <w:rFonts w:ascii="Franklin Gothic Book" w:hAnsi="Franklin Gothic Book"/>
        </w:rPr>
        <w:t>Mt. Auburn Associates</w:t>
      </w:r>
      <w:r w:rsidRPr="006E0578" w:rsidR="00180ECA">
        <w:rPr>
          <w:rFonts w:ascii="Franklin Gothic Book" w:hAnsi="Franklin Gothic Book"/>
        </w:rPr>
        <w:t xml:space="preserve"> </w:t>
      </w:r>
      <w:r w:rsidRPr="006E0578" w:rsidR="00FD5B19">
        <w:rPr>
          <w:rFonts w:ascii="Franklin Gothic Book" w:hAnsi="Franklin Gothic Book"/>
        </w:rPr>
        <w:t xml:space="preserve">collected detailed information on the type, format, and frequency of library outcome measurement efforts currently </w:t>
      </w:r>
      <w:r w:rsidRPr="006E0578" w:rsidR="00FD5B19">
        <w:rPr>
          <w:rFonts w:ascii="Franklin Gothic Book" w:hAnsi="Franklin Gothic Book"/>
        </w:rPr>
        <w:lastRenderedPageBreak/>
        <w:t>underway that are germane to the proposed project</w:t>
      </w:r>
      <w:r w:rsidRPr="006E0578" w:rsidR="00E802D4">
        <w:rPr>
          <w:rFonts w:ascii="Franklin Gothic Book" w:hAnsi="Franklin Gothic Book"/>
        </w:rPr>
        <w:t xml:space="preserve"> in minimizing the need for collecting new data</w:t>
      </w:r>
      <w:r w:rsidRPr="006E0578" w:rsidR="00865840">
        <w:rPr>
          <w:rFonts w:ascii="Franklin Gothic Book" w:hAnsi="Franklin Gothic Book"/>
        </w:rPr>
        <w:t xml:space="preserve">: </w:t>
      </w:r>
    </w:p>
    <w:p w:rsidRPr="006E0578" w:rsidR="00865840" w:rsidP="00A426A7" w:rsidRDefault="00EB36F0" w14:paraId="585FEAB7" w14:textId="2907E010">
      <w:pPr>
        <w:pStyle w:val="BlueBulletIndent"/>
        <w:rPr>
          <w:rFonts w:ascii="Franklin Gothic Book" w:hAnsi="Franklin Gothic Book"/>
        </w:rPr>
      </w:pPr>
      <w:hyperlink w:history="1" r:id="rId11">
        <w:r w:rsidR="0092676B">
          <w:rPr>
            <w:rStyle w:val="Hyperlink"/>
            <w:rFonts w:ascii="Franklin Gothic Book" w:hAnsi="Franklin Gothic Book"/>
            <w:b/>
          </w:rPr>
          <w:t>IMLS Public Librari</w:t>
        </w:r>
        <w:r w:rsidR="0092676B">
          <w:rPr>
            <w:rStyle w:val="Hyperlink"/>
            <w:rFonts w:ascii="Franklin Gothic Book" w:hAnsi="Franklin Gothic Book"/>
            <w:b/>
          </w:rPr>
          <w:t>e</w:t>
        </w:r>
        <w:r w:rsidR="0092676B">
          <w:rPr>
            <w:rStyle w:val="Hyperlink"/>
            <w:rFonts w:ascii="Franklin Gothic Book" w:hAnsi="Franklin Gothic Book"/>
            <w:b/>
          </w:rPr>
          <w:t>s</w:t>
        </w:r>
        <w:r w:rsidR="0092676B">
          <w:rPr>
            <w:rStyle w:val="Hyperlink"/>
            <w:rFonts w:ascii="Franklin Gothic Book" w:hAnsi="Franklin Gothic Book"/>
            <w:b/>
          </w:rPr>
          <w:t xml:space="preserve"> Survey</w:t>
        </w:r>
      </w:hyperlink>
      <w:r w:rsidRPr="006E0578" w:rsidR="00865840">
        <w:rPr>
          <w:rFonts w:ascii="Franklin Gothic Book" w:hAnsi="Franklin Gothic Book"/>
          <w:b/>
        </w:rPr>
        <w:t>:</w:t>
      </w:r>
      <w:r w:rsidRPr="006E0578" w:rsidR="00865840">
        <w:rPr>
          <w:rFonts w:ascii="Franklin Gothic Book" w:hAnsi="Franklin Gothic Book"/>
        </w:rPr>
        <w:t xml:space="preserve"> </w:t>
      </w:r>
      <w:r w:rsidRPr="006E0578" w:rsidR="00A426A7">
        <w:rPr>
          <w:rFonts w:ascii="Franklin Gothic Book" w:hAnsi="Franklin Gothic Book"/>
        </w:rPr>
        <w:t>The public libraries survey is an online survey that librarian respondents complete.</w:t>
      </w:r>
      <w:r w:rsidR="00B81B4D">
        <w:rPr>
          <w:rFonts w:ascii="Franklin Gothic Book" w:hAnsi="Franklin Gothic Book"/>
        </w:rPr>
        <w:t xml:space="preserve"> </w:t>
      </w:r>
      <w:r w:rsidRPr="006E0578" w:rsidR="00A426A7">
        <w:rPr>
          <w:rFonts w:ascii="Franklin Gothic Book" w:hAnsi="Franklin Gothic Book"/>
        </w:rPr>
        <w:t>Data collected through this survey include content on the number of library visits, circulation, collection size, service hours, staffing, electronic resources, operating revenues, expenditures, and number of service outlets.</w:t>
      </w:r>
      <w:r w:rsidR="00B81B4D">
        <w:rPr>
          <w:rFonts w:ascii="Franklin Gothic Book" w:hAnsi="Franklin Gothic Book"/>
        </w:rPr>
        <w:t xml:space="preserve"> </w:t>
      </w:r>
      <w:r w:rsidRPr="006E0578" w:rsidR="00A426A7">
        <w:rPr>
          <w:rFonts w:ascii="Franklin Gothic Book" w:hAnsi="Franklin Gothic Book"/>
        </w:rPr>
        <w:t>There are limited elements in the survey related to workforce development; however, several states have added data elements covering this area.</w:t>
      </w:r>
      <w:r w:rsidR="00B81B4D">
        <w:rPr>
          <w:rFonts w:ascii="Franklin Gothic Book" w:hAnsi="Franklin Gothic Book"/>
        </w:rPr>
        <w:t xml:space="preserve"> </w:t>
      </w:r>
    </w:p>
    <w:p w:rsidRPr="006E0578" w:rsidR="00865840" w:rsidP="00865840" w:rsidRDefault="00EB36F0" w14:paraId="72BC5F8B" w14:textId="663FA28F">
      <w:pPr>
        <w:pStyle w:val="BlueBulletIndent"/>
        <w:rPr>
          <w:rFonts w:ascii="Franklin Gothic Book" w:hAnsi="Franklin Gothic Book"/>
        </w:rPr>
      </w:pPr>
      <w:hyperlink w:history="1" r:id="rId12">
        <w:r w:rsidRPr="006E0578" w:rsidR="00ED368B">
          <w:rPr>
            <w:rStyle w:val="Hyperlink"/>
            <w:rFonts w:ascii="Franklin Gothic Book" w:hAnsi="Franklin Gothic Book"/>
            <w:b/>
          </w:rPr>
          <w:t>Edg</w:t>
        </w:r>
        <w:r w:rsidRPr="006E0578" w:rsidR="00ED368B">
          <w:rPr>
            <w:rStyle w:val="Hyperlink"/>
            <w:rFonts w:ascii="Franklin Gothic Book" w:hAnsi="Franklin Gothic Book"/>
            <w:b/>
          </w:rPr>
          <w:t>e</w:t>
        </w:r>
      </w:hyperlink>
      <w:r w:rsidRPr="006E0578" w:rsidR="00865840">
        <w:rPr>
          <w:rFonts w:ascii="Franklin Gothic Book" w:hAnsi="Franklin Gothic Book"/>
          <w:b/>
        </w:rPr>
        <w:t>:</w:t>
      </w:r>
      <w:r w:rsidR="00B81B4D">
        <w:rPr>
          <w:rFonts w:ascii="Franklin Gothic Book" w:hAnsi="Franklin Gothic Book"/>
        </w:rPr>
        <w:t xml:space="preserve"> </w:t>
      </w:r>
      <w:r w:rsidRPr="006E0578" w:rsidR="00865840">
        <w:rPr>
          <w:rFonts w:ascii="Franklin Gothic Book" w:hAnsi="Franklin Gothic Book"/>
        </w:rPr>
        <w:t>Edge is a collaborative effort led by the Urban Lib</w:t>
      </w:r>
      <w:r w:rsidRPr="006E0578" w:rsidR="00703763">
        <w:rPr>
          <w:rFonts w:ascii="Franklin Gothic Book" w:hAnsi="Franklin Gothic Book"/>
        </w:rPr>
        <w:t xml:space="preserve">raries Council </w:t>
      </w:r>
      <w:r w:rsidRPr="006E0578" w:rsidR="00E802D4">
        <w:rPr>
          <w:rFonts w:ascii="Franklin Gothic Book" w:hAnsi="Franklin Gothic Book"/>
        </w:rPr>
        <w:t xml:space="preserve">that involves </w:t>
      </w:r>
      <w:r w:rsidRPr="006E0578" w:rsidR="00865840">
        <w:rPr>
          <w:rFonts w:ascii="Franklin Gothic Book" w:hAnsi="Franklin Gothic Book"/>
        </w:rPr>
        <w:t xml:space="preserve">an online assessment tool that facilitates evaluation of libraries’ community value, engagement </w:t>
      </w:r>
      <w:r w:rsidRPr="006E0578" w:rsidR="00703763">
        <w:rPr>
          <w:rFonts w:ascii="Franklin Gothic Book" w:hAnsi="Franklin Gothic Book"/>
        </w:rPr>
        <w:t>with the community and decision-</w:t>
      </w:r>
      <w:r w:rsidRPr="006E0578" w:rsidR="00865840">
        <w:rPr>
          <w:rFonts w:ascii="Franklin Gothic Book" w:hAnsi="Franklin Gothic Book"/>
        </w:rPr>
        <w:t>makers, and organizational management.</w:t>
      </w:r>
      <w:r w:rsidR="00B81B4D">
        <w:rPr>
          <w:rFonts w:ascii="Franklin Gothic Book" w:hAnsi="Franklin Gothic Book"/>
        </w:rPr>
        <w:t xml:space="preserve"> </w:t>
      </w:r>
      <w:r w:rsidRPr="006E0578" w:rsidR="00865840">
        <w:rPr>
          <w:rFonts w:ascii="Franklin Gothic Book" w:hAnsi="Franklin Gothic Book"/>
        </w:rPr>
        <w:t>Related to education and workforce development, Edge asks libraries about their provision of technology classes, content and e-resources for workforce deve</w:t>
      </w:r>
      <w:r w:rsidRPr="006E0578" w:rsidR="00703763">
        <w:rPr>
          <w:rFonts w:ascii="Franklin Gothic Book" w:hAnsi="Franklin Gothic Book"/>
        </w:rPr>
        <w:t>lopment support, and their use of</w:t>
      </w:r>
      <w:r w:rsidRPr="006E0578" w:rsidR="00865840">
        <w:rPr>
          <w:rFonts w:ascii="Franklin Gothic Book" w:hAnsi="Franklin Gothic Book"/>
        </w:rPr>
        <w:t xml:space="preserve"> resources and technology to assist in patron education.</w:t>
      </w:r>
    </w:p>
    <w:p w:rsidRPr="006E0578" w:rsidR="00865840" w:rsidP="006E43AA" w:rsidRDefault="00EB36F0" w14:paraId="3FAA5B5F" w14:textId="50EB3272">
      <w:pPr>
        <w:pStyle w:val="BlueBulletIndent"/>
        <w:rPr>
          <w:rFonts w:ascii="Franklin Gothic Book" w:hAnsi="Franklin Gothic Book"/>
        </w:rPr>
      </w:pPr>
      <w:hyperlink w:history="1" r:id="rId13">
        <w:r w:rsidRPr="006E0578" w:rsidR="00703763">
          <w:rPr>
            <w:rStyle w:val="Hyperlink"/>
            <w:rFonts w:ascii="Franklin Gothic Book" w:hAnsi="Franklin Gothic Book"/>
            <w:b/>
          </w:rPr>
          <w:t>Project O</w:t>
        </w:r>
        <w:r w:rsidRPr="006E0578" w:rsidR="00865840">
          <w:rPr>
            <w:rStyle w:val="Hyperlink"/>
            <w:rFonts w:ascii="Franklin Gothic Book" w:hAnsi="Franklin Gothic Book"/>
            <w:b/>
          </w:rPr>
          <w:t>utco</w:t>
        </w:r>
        <w:r w:rsidRPr="006E0578" w:rsidR="00865840">
          <w:rPr>
            <w:rStyle w:val="Hyperlink"/>
            <w:rFonts w:ascii="Franklin Gothic Book" w:hAnsi="Franklin Gothic Book"/>
            <w:b/>
          </w:rPr>
          <w:t>m</w:t>
        </w:r>
        <w:r w:rsidRPr="006E0578" w:rsidR="00865840">
          <w:rPr>
            <w:rStyle w:val="Hyperlink"/>
            <w:rFonts w:ascii="Franklin Gothic Book" w:hAnsi="Franklin Gothic Book"/>
            <w:b/>
          </w:rPr>
          <w:t>e</w:t>
        </w:r>
      </w:hyperlink>
      <w:r w:rsidRPr="006E0578" w:rsidR="00865840">
        <w:rPr>
          <w:rFonts w:ascii="Franklin Gothic Book" w:hAnsi="Franklin Gothic Book"/>
          <w:b/>
        </w:rPr>
        <w:t>:</w:t>
      </w:r>
      <w:r w:rsidR="00B81B4D">
        <w:rPr>
          <w:rFonts w:ascii="Franklin Gothic Book" w:hAnsi="Franklin Gothic Book"/>
        </w:rPr>
        <w:t xml:space="preserve"> </w:t>
      </w:r>
      <w:r w:rsidRPr="006E0578" w:rsidR="006E43AA">
        <w:rPr>
          <w:rFonts w:ascii="Franklin Gothic Book" w:hAnsi="Franklin Gothic Book"/>
        </w:rPr>
        <w:t xml:space="preserve">Project Outcome is a data collection, utilization, and communication effort </w:t>
      </w:r>
      <w:r w:rsidRPr="006E0578" w:rsidR="00F5662D">
        <w:rPr>
          <w:rFonts w:ascii="Franklin Gothic Book" w:hAnsi="Franklin Gothic Book"/>
        </w:rPr>
        <w:t xml:space="preserve">available to libraries, </w:t>
      </w:r>
      <w:r w:rsidRPr="006E0578" w:rsidR="006E43AA">
        <w:rPr>
          <w:rFonts w:ascii="Franklin Gothic Book" w:hAnsi="Franklin Gothic Book"/>
        </w:rPr>
        <w:t>led by the P</w:t>
      </w:r>
      <w:r w:rsidRPr="006E0578" w:rsidR="00F35AF9">
        <w:rPr>
          <w:rFonts w:ascii="Franklin Gothic Book" w:hAnsi="Franklin Gothic Book"/>
        </w:rPr>
        <w:t>ublic Library Association (PLA)</w:t>
      </w:r>
      <w:r w:rsidRPr="006E0578" w:rsidR="006E43AA">
        <w:rPr>
          <w:rFonts w:ascii="Franklin Gothic Book" w:hAnsi="Franklin Gothic Book"/>
        </w:rPr>
        <w:t xml:space="preserve"> with primary funding from the </w:t>
      </w:r>
      <w:r w:rsidRPr="006E0578" w:rsidR="00A426A7">
        <w:rPr>
          <w:rFonts w:ascii="Franklin Gothic Book" w:hAnsi="Franklin Gothic Book"/>
        </w:rPr>
        <w:t xml:space="preserve">Bill &amp; Melinda </w:t>
      </w:r>
      <w:r w:rsidRPr="006E0578" w:rsidR="006E43AA">
        <w:rPr>
          <w:rFonts w:ascii="Franklin Gothic Book" w:hAnsi="Franklin Gothic Book"/>
        </w:rPr>
        <w:t>Gates Foundation.</w:t>
      </w:r>
      <w:r w:rsidR="00B81B4D">
        <w:rPr>
          <w:rFonts w:ascii="Franklin Gothic Book" w:hAnsi="Franklin Gothic Book"/>
        </w:rPr>
        <w:t xml:space="preserve"> </w:t>
      </w:r>
      <w:r w:rsidRPr="006E0578" w:rsidR="00E802D4">
        <w:rPr>
          <w:rFonts w:ascii="Franklin Gothic Book" w:hAnsi="Franklin Gothic Book"/>
        </w:rPr>
        <w:t>It contains</w:t>
      </w:r>
      <w:r w:rsidRPr="006E0578" w:rsidR="006E43AA">
        <w:rPr>
          <w:rFonts w:ascii="Franklin Gothic Book" w:hAnsi="Franklin Gothic Book"/>
        </w:rPr>
        <w:t xml:space="preserve"> standardized </w:t>
      </w:r>
      <w:r w:rsidRPr="006E0578" w:rsidR="00BD2112">
        <w:rPr>
          <w:rFonts w:ascii="Franklin Gothic Book" w:hAnsi="Franklin Gothic Book"/>
        </w:rPr>
        <w:t xml:space="preserve">patron-facing </w:t>
      </w:r>
      <w:r w:rsidRPr="006E0578" w:rsidR="006E43AA">
        <w:rPr>
          <w:rFonts w:ascii="Franklin Gothic Book" w:hAnsi="Franklin Gothic Book"/>
        </w:rPr>
        <w:t xml:space="preserve">surveys </w:t>
      </w:r>
      <w:r w:rsidRPr="006E0578" w:rsidR="00BD2112">
        <w:rPr>
          <w:rFonts w:ascii="Franklin Gothic Book" w:hAnsi="Franklin Gothic Book"/>
        </w:rPr>
        <w:t>for</w:t>
      </w:r>
      <w:r w:rsidRPr="006E0578" w:rsidR="00F5662D">
        <w:rPr>
          <w:rFonts w:ascii="Franklin Gothic Book" w:hAnsi="Franklin Gothic Book"/>
        </w:rPr>
        <w:t xml:space="preserve"> </w:t>
      </w:r>
      <w:r w:rsidRPr="006E0578" w:rsidR="006E43AA">
        <w:rPr>
          <w:rFonts w:ascii="Franklin Gothic Book" w:hAnsi="Franklin Gothic Book"/>
        </w:rPr>
        <w:t>across seven content areas:</w:t>
      </w:r>
      <w:r w:rsidRPr="006E0578" w:rsidR="00232335">
        <w:rPr>
          <w:rFonts w:ascii="Franklin Gothic Book" w:hAnsi="Franklin Gothic Book"/>
        </w:rPr>
        <w:t xml:space="preserve"> </w:t>
      </w:r>
      <w:r w:rsidRPr="006E0578" w:rsidR="006E43AA">
        <w:rPr>
          <w:rFonts w:ascii="Franklin Gothic Book" w:hAnsi="Franklin Gothic Book"/>
        </w:rPr>
        <w:t>civic/community engagement, digital learning, early childhood literacy, economic development, education/lifelong learning, job skills, and summer reading.</w:t>
      </w:r>
      <w:r w:rsidR="00B81B4D">
        <w:rPr>
          <w:rFonts w:ascii="Franklin Gothic Book" w:hAnsi="Franklin Gothic Book"/>
        </w:rPr>
        <w:t xml:space="preserve"> </w:t>
      </w:r>
    </w:p>
    <w:p w:rsidRPr="006E0578" w:rsidR="005E0B15" w:rsidP="00EA234A" w:rsidRDefault="00EB36F0" w14:paraId="2DC6EBB0" w14:textId="0F9C0829">
      <w:pPr>
        <w:pStyle w:val="BlueBulletIndent"/>
        <w:rPr>
          <w:rFonts w:ascii="Franklin Gothic Book" w:hAnsi="Franklin Gothic Book"/>
        </w:rPr>
      </w:pPr>
      <w:hyperlink w:history="1" r:id="rId14">
        <w:r w:rsidRPr="006E0578" w:rsidR="00865840">
          <w:rPr>
            <w:rStyle w:val="Hyperlink"/>
            <w:rFonts w:ascii="Franklin Gothic Book" w:hAnsi="Franklin Gothic Book"/>
            <w:b/>
          </w:rPr>
          <w:t>Impact Surv</w:t>
        </w:r>
        <w:r w:rsidRPr="006E0578" w:rsidR="00865840">
          <w:rPr>
            <w:rStyle w:val="Hyperlink"/>
            <w:rFonts w:ascii="Franklin Gothic Book" w:hAnsi="Franklin Gothic Book"/>
            <w:b/>
          </w:rPr>
          <w:t>e</w:t>
        </w:r>
        <w:r w:rsidRPr="006E0578" w:rsidR="00865840">
          <w:rPr>
            <w:rStyle w:val="Hyperlink"/>
            <w:rFonts w:ascii="Franklin Gothic Book" w:hAnsi="Franklin Gothic Book"/>
            <w:b/>
          </w:rPr>
          <w:t>y</w:t>
        </w:r>
      </w:hyperlink>
      <w:r w:rsidRPr="006E0578" w:rsidR="00865840">
        <w:rPr>
          <w:rFonts w:ascii="Franklin Gothic Book" w:hAnsi="Franklin Gothic Book"/>
        </w:rPr>
        <w:t>:</w:t>
      </w:r>
      <w:r w:rsidR="00B81B4D">
        <w:rPr>
          <w:rFonts w:ascii="Franklin Gothic Book" w:hAnsi="Franklin Gothic Book"/>
        </w:rPr>
        <w:t xml:space="preserve"> </w:t>
      </w:r>
      <w:r w:rsidRPr="006E0578" w:rsidR="006E43AA">
        <w:rPr>
          <w:rFonts w:ascii="Franklin Gothic Book" w:hAnsi="Franklin Gothic Book"/>
        </w:rPr>
        <w:t xml:space="preserve">The </w:t>
      </w:r>
      <w:r w:rsidRPr="006E0578" w:rsidR="00B55F5C">
        <w:rPr>
          <w:rFonts w:ascii="Franklin Gothic Book" w:hAnsi="Franklin Gothic Book"/>
        </w:rPr>
        <w:t>Impact Survey was initially part of the University of Washington Information School and now sits with</w:t>
      </w:r>
      <w:r w:rsidRPr="006E0578" w:rsidR="00273A57">
        <w:rPr>
          <w:rFonts w:ascii="Franklin Gothic Book" w:hAnsi="Franklin Gothic Book"/>
        </w:rPr>
        <w:t>in</w:t>
      </w:r>
      <w:r w:rsidRPr="006E0578" w:rsidR="00B55F5C">
        <w:rPr>
          <w:rFonts w:ascii="Franklin Gothic Book" w:hAnsi="Franklin Gothic Book"/>
        </w:rPr>
        <w:t xml:space="preserve"> the PLA.</w:t>
      </w:r>
      <w:r w:rsidR="00B81B4D">
        <w:rPr>
          <w:rFonts w:ascii="Franklin Gothic Book" w:hAnsi="Franklin Gothic Book"/>
        </w:rPr>
        <w:t xml:space="preserve"> </w:t>
      </w:r>
      <w:r w:rsidRPr="006E0578" w:rsidR="00865840">
        <w:rPr>
          <w:rFonts w:ascii="Franklin Gothic Book" w:hAnsi="Franklin Gothic Book"/>
        </w:rPr>
        <w:t xml:space="preserve">The </w:t>
      </w:r>
      <w:r w:rsidRPr="006E0578" w:rsidR="00B55F5C">
        <w:rPr>
          <w:rFonts w:ascii="Franklin Gothic Book" w:hAnsi="Franklin Gothic Book"/>
        </w:rPr>
        <w:t xml:space="preserve">survey </w:t>
      </w:r>
      <w:r w:rsidRPr="006E0578" w:rsidR="00865840">
        <w:rPr>
          <w:rFonts w:ascii="Franklin Gothic Book" w:hAnsi="Franklin Gothic Book"/>
        </w:rPr>
        <w:t>collect</w:t>
      </w:r>
      <w:r w:rsidRPr="006E0578" w:rsidR="00E802D4">
        <w:rPr>
          <w:rFonts w:ascii="Franklin Gothic Book" w:hAnsi="Franklin Gothic Book"/>
        </w:rPr>
        <w:t>ed</w:t>
      </w:r>
      <w:r w:rsidRPr="006E0578" w:rsidR="00865840">
        <w:rPr>
          <w:rFonts w:ascii="Franklin Gothic Book" w:hAnsi="Franklin Gothic Book"/>
        </w:rPr>
        <w:t xml:space="preserve"> patron feedback on their use of technology in several program areas, including education, employment, entrepreneurship, health and wellness, civic engagement, and social inclusion.</w:t>
      </w:r>
    </w:p>
    <w:p w:rsidRPr="006E0578" w:rsidR="00865840" w:rsidP="00865840" w:rsidRDefault="00865840" w14:paraId="77292407" w14:textId="77777777">
      <w:pPr>
        <w:pStyle w:val="MAANormalText"/>
        <w:rPr>
          <w:rFonts w:ascii="Franklin Gothic Book" w:hAnsi="Franklin Gothic Book"/>
        </w:rPr>
      </w:pPr>
      <w:r w:rsidRPr="006E0578">
        <w:rPr>
          <w:rFonts w:ascii="Franklin Gothic Book" w:hAnsi="Franklin Gothic Book"/>
        </w:rPr>
        <w:t>In addition to these larger data collection efforts, the Mt. Auburn team identified other related studies or activities that were currently underway that had relevance to the proposed research project:</w:t>
      </w:r>
    </w:p>
    <w:p w:rsidRPr="006E0578" w:rsidR="00865840" w:rsidP="00865840" w:rsidRDefault="00865840" w14:paraId="005825EB" w14:textId="29F79C78">
      <w:pPr>
        <w:pStyle w:val="MAABlueBullet"/>
        <w:rPr>
          <w:rFonts w:ascii="Franklin Gothic Book" w:hAnsi="Franklin Gothic Book"/>
        </w:rPr>
      </w:pPr>
      <w:r w:rsidRPr="006E0578">
        <w:rPr>
          <w:rFonts w:ascii="Franklin Gothic Book" w:hAnsi="Franklin Gothic Book"/>
          <w:i/>
          <w:iCs/>
        </w:rPr>
        <w:t xml:space="preserve">Understanding the Social Wellbeing Impact of the Nation’s Libraries and Museums </w:t>
      </w:r>
      <w:r w:rsidRPr="006E0578">
        <w:rPr>
          <w:rFonts w:ascii="Franklin Gothic Book" w:hAnsi="Franklin Gothic Book"/>
        </w:rPr>
        <w:t>is an IMLS effort, in partnership with Reinvestment Fund, Social Impact of the Arts Project, and HR&amp;A Advisors, to gain a better understanding of the conditions in which libraries contribute to community quality of life and wellbeing.</w:t>
      </w:r>
      <w:r w:rsidR="00B81B4D">
        <w:rPr>
          <w:rFonts w:ascii="Franklin Gothic Book" w:hAnsi="Franklin Gothic Book"/>
        </w:rPr>
        <w:t xml:space="preserve"> </w:t>
      </w:r>
      <w:r w:rsidRPr="006E0578">
        <w:rPr>
          <w:rFonts w:ascii="Franklin Gothic Book" w:hAnsi="Franklin Gothic Book"/>
        </w:rPr>
        <w:t>The outcome framework and case studies, including community indicators, attribution of library impact, and proposed outcome communication models</w:t>
      </w:r>
      <w:r w:rsidRPr="006E0578" w:rsidR="00E802D4">
        <w:rPr>
          <w:rFonts w:ascii="Franklin Gothic Book" w:hAnsi="Franklin Gothic Book"/>
        </w:rPr>
        <w:t>.</w:t>
      </w:r>
    </w:p>
    <w:p w:rsidRPr="006E0578" w:rsidR="00865840" w:rsidP="005E0B15" w:rsidRDefault="00865840" w14:paraId="50B36822" w14:textId="7ABA8106">
      <w:pPr>
        <w:pStyle w:val="MAABlueBullet"/>
        <w:rPr>
          <w:rFonts w:ascii="Franklin Gothic Book" w:hAnsi="Franklin Gothic Book"/>
        </w:rPr>
      </w:pPr>
      <w:r w:rsidRPr="006E0578">
        <w:rPr>
          <w:rFonts w:ascii="Franklin Gothic Book" w:hAnsi="Franklin Gothic Book"/>
        </w:rPr>
        <w:t>Larra Clark</w:t>
      </w:r>
      <w:r w:rsidRPr="006E0578" w:rsidR="005E0B15">
        <w:rPr>
          <w:rFonts w:ascii="Franklin Gothic Book" w:hAnsi="Franklin Gothic Book"/>
        </w:rPr>
        <w:t xml:space="preserve">, </w:t>
      </w:r>
      <w:r w:rsidRPr="006E0578" w:rsidR="00C209C4">
        <w:rPr>
          <w:rFonts w:ascii="Franklin Gothic Book" w:hAnsi="Franklin Gothic Book"/>
        </w:rPr>
        <w:t>deputy d</w:t>
      </w:r>
      <w:r w:rsidRPr="006E0578" w:rsidR="005E0B15">
        <w:rPr>
          <w:rFonts w:ascii="Franklin Gothic Book" w:hAnsi="Franklin Gothic Book"/>
        </w:rPr>
        <w:t>irector, ALA Public Policy and Advocacy Office &amp; Public Library Association</w:t>
      </w:r>
      <w:r w:rsidRPr="006E0578" w:rsidR="00EA234A">
        <w:rPr>
          <w:rFonts w:ascii="Franklin Gothic Book" w:hAnsi="Franklin Gothic Book"/>
        </w:rPr>
        <w:t xml:space="preserve">, </w:t>
      </w:r>
      <w:r w:rsidRPr="006E0578">
        <w:rPr>
          <w:rFonts w:ascii="Franklin Gothic Book" w:hAnsi="Franklin Gothic Book"/>
        </w:rPr>
        <w:t xml:space="preserve">has engaged in </w:t>
      </w:r>
      <w:r w:rsidRPr="006E0578" w:rsidR="00C209C4">
        <w:rPr>
          <w:rFonts w:ascii="Franklin Gothic Book" w:hAnsi="Franklin Gothic Book"/>
        </w:rPr>
        <w:t>ongoing research focusing</w:t>
      </w:r>
      <w:r w:rsidRPr="006E0578">
        <w:rPr>
          <w:rFonts w:ascii="Franklin Gothic Book" w:hAnsi="Franklin Gothic Book"/>
        </w:rPr>
        <w:t xml:space="preserve"> on partnerships between libraries and workforce development agencies</w:t>
      </w:r>
      <w:r w:rsidRPr="006E0578" w:rsidR="00A547B2">
        <w:rPr>
          <w:rFonts w:ascii="Franklin Gothic Book" w:hAnsi="Franklin Gothic Book"/>
        </w:rPr>
        <w:t>.</w:t>
      </w:r>
      <w:r w:rsidR="00B81B4D">
        <w:rPr>
          <w:rFonts w:ascii="Franklin Gothic Book" w:hAnsi="Franklin Gothic Book"/>
        </w:rPr>
        <w:t xml:space="preserve"> </w:t>
      </w:r>
    </w:p>
    <w:p w:rsidRPr="006E0578" w:rsidR="00865840" w:rsidP="00865840" w:rsidRDefault="00865840" w14:paraId="0DAED04D" w14:textId="2556EAE2">
      <w:pPr>
        <w:pStyle w:val="MAABlueBullet"/>
        <w:rPr>
          <w:rFonts w:ascii="Franklin Gothic Book" w:hAnsi="Franklin Gothic Book"/>
        </w:rPr>
      </w:pPr>
      <w:r w:rsidRPr="006E0578">
        <w:rPr>
          <w:rFonts w:ascii="Franklin Gothic Book" w:hAnsi="Franklin Gothic Book"/>
        </w:rPr>
        <w:t xml:space="preserve">The ALA and Google </w:t>
      </w:r>
      <w:r w:rsidRPr="006E0578">
        <w:rPr>
          <w:rFonts w:ascii="Franklin Gothic Book" w:hAnsi="Franklin Gothic Book"/>
          <w:i/>
          <w:iCs/>
        </w:rPr>
        <w:t>Libraries Build Business</w:t>
      </w:r>
      <w:r w:rsidRPr="006E0578">
        <w:rPr>
          <w:rFonts w:ascii="Franklin Gothic Book" w:hAnsi="Franklin Gothic Book"/>
        </w:rPr>
        <w:t xml:space="preserve"> initiative focuses on developing or enhancing libraries’ small business and entrepreneurship training to increase access for low-income and underrepresented communities.</w:t>
      </w:r>
      <w:r w:rsidR="00B81B4D">
        <w:rPr>
          <w:rFonts w:ascii="Franklin Gothic Book" w:hAnsi="Franklin Gothic Book"/>
        </w:rPr>
        <w:t xml:space="preserve"> </w:t>
      </w:r>
      <w:r w:rsidRPr="006E0578">
        <w:rPr>
          <w:rFonts w:ascii="Franklin Gothic Book" w:hAnsi="Franklin Gothic Book"/>
        </w:rPr>
        <w:t xml:space="preserve">The project </w:t>
      </w:r>
      <w:r w:rsidRPr="006E0578" w:rsidR="00FD131A">
        <w:rPr>
          <w:rFonts w:ascii="Franklin Gothic Book" w:hAnsi="Franklin Gothic Book"/>
        </w:rPr>
        <w:t>i</w:t>
      </w:r>
      <w:r w:rsidRPr="006E0578">
        <w:rPr>
          <w:rFonts w:ascii="Franklin Gothic Book" w:hAnsi="Franklin Gothic Book"/>
        </w:rPr>
        <w:t>nclude</w:t>
      </w:r>
      <w:r w:rsidRPr="006E0578" w:rsidR="00E802D4">
        <w:rPr>
          <w:rFonts w:ascii="Franklin Gothic Book" w:hAnsi="Franklin Gothic Book"/>
        </w:rPr>
        <w:t>s</w:t>
      </w:r>
      <w:r w:rsidRPr="006E0578">
        <w:rPr>
          <w:rFonts w:ascii="Franklin Gothic Book" w:hAnsi="Franklin Gothic Book"/>
        </w:rPr>
        <w:t xml:space="preserve"> a framework with common metrics to evaluate program progress, a playbook of learnings and program recommendations, and a peer-learning network for librarians involved in small business and entrepreneurship programs</w:t>
      </w:r>
      <w:r w:rsidRPr="006E0578" w:rsidR="00A547B2">
        <w:rPr>
          <w:rFonts w:ascii="Franklin Gothic Book" w:hAnsi="Franklin Gothic Book"/>
        </w:rPr>
        <w:t>.</w:t>
      </w:r>
      <w:r w:rsidR="00B81B4D">
        <w:rPr>
          <w:rFonts w:ascii="Franklin Gothic Book" w:hAnsi="Franklin Gothic Book"/>
        </w:rPr>
        <w:t xml:space="preserve"> </w:t>
      </w:r>
      <w:r w:rsidRPr="006E0578">
        <w:rPr>
          <w:rFonts w:ascii="Franklin Gothic Book" w:hAnsi="Franklin Gothic Book"/>
        </w:rPr>
        <w:t>This project also include</w:t>
      </w:r>
      <w:r w:rsidRPr="006E0578" w:rsidR="00E802D4">
        <w:rPr>
          <w:rFonts w:ascii="Franklin Gothic Book" w:hAnsi="Franklin Gothic Book"/>
        </w:rPr>
        <w:t>s</w:t>
      </w:r>
      <w:r w:rsidRPr="006E0578">
        <w:rPr>
          <w:rFonts w:ascii="Franklin Gothic Book" w:hAnsi="Franklin Gothic Book"/>
        </w:rPr>
        <w:t xml:space="preserve"> a small sample survey to participating libraries related to their small business and economic development services</w:t>
      </w:r>
      <w:r w:rsidRPr="006E0578" w:rsidR="00A547B2">
        <w:rPr>
          <w:rFonts w:ascii="Franklin Gothic Book" w:hAnsi="Franklin Gothic Book"/>
        </w:rPr>
        <w:t>.</w:t>
      </w:r>
      <w:r w:rsidR="00B81B4D">
        <w:rPr>
          <w:rFonts w:ascii="Franklin Gothic Book" w:hAnsi="Franklin Gothic Book"/>
        </w:rPr>
        <w:t xml:space="preserve"> </w:t>
      </w:r>
    </w:p>
    <w:p w:rsidRPr="006E0578" w:rsidR="00865840" w:rsidP="00865840" w:rsidRDefault="00865840" w14:paraId="0679C3B6" w14:textId="799E6363">
      <w:pPr>
        <w:pStyle w:val="MAABlueBullet"/>
        <w:rPr>
          <w:rFonts w:ascii="Franklin Gothic Book" w:hAnsi="Franklin Gothic Book"/>
        </w:rPr>
      </w:pPr>
      <w:r w:rsidRPr="006E0578">
        <w:rPr>
          <w:rFonts w:ascii="Franklin Gothic Book" w:hAnsi="Franklin Gothic Book"/>
        </w:rPr>
        <w:t>ALA is conducting multiple and potentially ongoing surveys to collect information from libraries related to their COVID</w:t>
      </w:r>
      <w:r w:rsidRPr="006E0578" w:rsidR="00232335">
        <w:rPr>
          <w:rFonts w:ascii="Franklin Gothic Book" w:hAnsi="Franklin Gothic Book"/>
        </w:rPr>
        <w:t>-19</w:t>
      </w:r>
      <w:r w:rsidRPr="006E0578">
        <w:rPr>
          <w:rFonts w:ascii="Franklin Gothic Book" w:hAnsi="Franklin Gothic Book"/>
        </w:rPr>
        <w:t xml:space="preserve"> responses and changes to operations and implementation.</w:t>
      </w:r>
      <w:r w:rsidR="00B81B4D">
        <w:rPr>
          <w:rFonts w:ascii="Franklin Gothic Book" w:hAnsi="Franklin Gothic Book"/>
        </w:rPr>
        <w:t xml:space="preserve"> </w:t>
      </w:r>
    </w:p>
    <w:p w:rsidRPr="006E0578" w:rsidR="00865840" w:rsidP="008F7059" w:rsidRDefault="00CC1112" w14:paraId="176AB005" w14:textId="5EB1A470">
      <w:pPr>
        <w:pStyle w:val="MAANormalText"/>
        <w:rPr>
          <w:rFonts w:ascii="Franklin Gothic Book" w:hAnsi="Franklin Gothic Book"/>
        </w:rPr>
      </w:pPr>
      <w:r w:rsidRPr="006E0578">
        <w:rPr>
          <w:rFonts w:ascii="Franklin Gothic Book" w:hAnsi="Franklin Gothic Book"/>
        </w:rPr>
        <w:t xml:space="preserve">These related surveys and data collection activities form the basis of the </w:t>
      </w:r>
      <w:r w:rsidRPr="006E0578" w:rsidR="00557707">
        <w:rPr>
          <w:rFonts w:ascii="Franklin Gothic Book" w:hAnsi="Franklin Gothic Book"/>
        </w:rPr>
        <w:t>Mt. Auburn Associates</w:t>
      </w:r>
      <w:r w:rsidRPr="006E0578">
        <w:rPr>
          <w:rFonts w:ascii="Franklin Gothic Book" w:hAnsi="Franklin Gothic Book"/>
        </w:rPr>
        <w:t xml:space="preserve"> team’s request for case study data collection</w:t>
      </w:r>
      <w:r w:rsidRPr="006E0578" w:rsidR="00E802D4">
        <w:rPr>
          <w:rFonts w:ascii="Franklin Gothic Book" w:hAnsi="Franklin Gothic Book"/>
        </w:rPr>
        <w:t>.</w:t>
      </w:r>
      <w:r w:rsidR="00B81B4D">
        <w:rPr>
          <w:rFonts w:ascii="Franklin Gothic Book" w:hAnsi="Franklin Gothic Book"/>
        </w:rPr>
        <w:t xml:space="preserve"> </w:t>
      </w:r>
      <w:r w:rsidRPr="006E0578" w:rsidR="00E802D4">
        <w:rPr>
          <w:rFonts w:ascii="Franklin Gothic Book" w:hAnsi="Franklin Gothic Book"/>
        </w:rPr>
        <w:t xml:space="preserve">Their learnings were reviewed in </w:t>
      </w:r>
      <w:r w:rsidRPr="006E0578" w:rsidR="00FD131A">
        <w:rPr>
          <w:rFonts w:ascii="Franklin Gothic Book" w:hAnsi="Franklin Gothic Book"/>
        </w:rPr>
        <w:t>avoiding</w:t>
      </w:r>
      <w:r w:rsidRPr="006E0578" w:rsidR="00E802D4">
        <w:rPr>
          <w:rFonts w:ascii="Franklin Gothic Book" w:hAnsi="Franklin Gothic Book"/>
        </w:rPr>
        <w:t xml:space="preserve"> </w:t>
      </w:r>
      <w:r w:rsidRPr="006E0578">
        <w:rPr>
          <w:rFonts w:ascii="Franklin Gothic Book" w:hAnsi="Franklin Gothic Book"/>
        </w:rPr>
        <w:lastRenderedPageBreak/>
        <w:t>duplication of data requests</w:t>
      </w:r>
      <w:r w:rsidRPr="006E0578" w:rsidR="00E802D4">
        <w:rPr>
          <w:rFonts w:ascii="Franklin Gothic Book" w:hAnsi="Franklin Gothic Book"/>
        </w:rPr>
        <w:t xml:space="preserve"> with this new proposed investigation</w:t>
      </w:r>
      <w:r w:rsidRPr="006E0578">
        <w:rPr>
          <w:rFonts w:ascii="Franklin Gothic Book" w:hAnsi="Franklin Gothic Book"/>
        </w:rPr>
        <w:t>.</w:t>
      </w:r>
      <w:r w:rsidR="00B81B4D">
        <w:rPr>
          <w:rFonts w:ascii="Franklin Gothic Book" w:hAnsi="Franklin Gothic Book"/>
        </w:rPr>
        <w:t xml:space="preserve"> </w:t>
      </w:r>
      <w:r w:rsidRPr="006E0578">
        <w:rPr>
          <w:rFonts w:ascii="Franklin Gothic Book" w:hAnsi="Franklin Gothic Book"/>
        </w:rPr>
        <w:t xml:space="preserve">To the extent possible, </w:t>
      </w:r>
      <w:r w:rsidRPr="006E0578" w:rsidR="00557707">
        <w:rPr>
          <w:rFonts w:ascii="Franklin Gothic Book" w:hAnsi="Franklin Gothic Book"/>
        </w:rPr>
        <w:t>Mt. Auburn Associates</w:t>
      </w:r>
      <w:r w:rsidRPr="006E0578">
        <w:rPr>
          <w:rFonts w:ascii="Franklin Gothic Book" w:hAnsi="Franklin Gothic Book"/>
        </w:rPr>
        <w:t xml:space="preserve"> will </w:t>
      </w:r>
      <w:r w:rsidRPr="006E0578" w:rsidR="00E802D4">
        <w:rPr>
          <w:rFonts w:ascii="Franklin Gothic Book" w:hAnsi="Franklin Gothic Book"/>
        </w:rPr>
        <w:t xml:space="preserve">be </w:t>
      </w:r>
      <w:r w:rsidRPr="006E0578">
        <w:rPr>
          <w:rFonts w:ascii="Franklin Gothic Book" w:hAnsi="Franklin Gothic Book"/>
        </w:rPr>
        <w:t>integrat</w:t>
      </w:r>
      <w:r w:rsidRPr="006E0578" w:rsidR="00E802D4">
        <w:rPr>
          <w:rFonts w:ascii="Franklin Gothic Book" w:hAnsi="Franklin Gothic Book"/>
        </w:rPr>
        <w:t>ing</w:t>
      </w:r>
      <w:r w:rsidRPr="006E0578">
        <w:rPr>
          <w:rFonts w:ascii="Franklin Gothic Book" w:hAnsi="Franklin Gothic Book"/>
        </w:rPr>
        <w:t xml:space="preserve"> information available from </w:t>
      </w:r>
      <w:r w:rsidRPr="006E0578" w:rsidR="00E802D4">
        <w:rPr>
          <w:rFonts w:ascii="Franklin Gothic Book" w:hAnsi="Franklin Gothic Book"/>
        </w:rPr>
        <w:t xml:space="preserve">these </w:t>
      </w:r>
      <w:r w:rsidRPr="006E0578">
        <w:rPr>
          <w:rFonts w:ascii="Franklin Gothic Book" w:hAnsi="Franklin Gothic Book"/>
        </w:rPr>
        <w:t>existing data to reduce unnecessary questions and reduce respondent burden as well as attempt to avoid conducting the case studies concurrent with other library data collection activities or overwhelming target respondents with redundant research questions.</w:t>
      </w:r>
      <w:r w:rsidRPr="006E0578" w:rsidR="004C7366">
        <w:rPr>
          <w:rFonts w:ascii="Franklin Gothic Book" w:hAnsi="Franklin Gothic Book"/>
        </w:rPr>
        <w:t xml:space="preserve"> </w:t>
      </w:r>
    </w:p>
    <w:p w:rsidRPr="006E0578" w:rsidR="003032D6" w:rsidP="008F2C0A" w:rsidRDefault="00D972D8" w14:paraId="2795154D" w14:textId="78361B05">
      <w:pPr>
        <w:rPr>
          <w:rFonts w:ascii="Franklin Gothic Book" w:hAnsi="Franklin Gothic Book"/>
          <w:b/>
          <w:sz w:val="24"/>
          <w:szCs w:val="24"/>
        </w:rPr>
      </w:pPr>
      <w:r w:rsidRPr="006E0578">
        <w:rPr>
          <w:rFonts w:ascii="Franklin Gothic Book" w:hAnsi="Franklin Gothic Book"/>
          <w:b/>
          <w:sz w:val="24"/>
          <w:szCs w:val="24"/>
        </w:rPr>
        <w:t>A5. Methods Used to Minimize Burden on Small Businesses</w:t>
      </w:r>
    </w:p>
    <w:p w:rsidRPr="006E0578" w:rsidR="005D3366" w:rsidP="00E42B4A" w:rsidRDefault="00557707" w14:paraId="5249E884" w14:textId="727548FE">
      <w:pPr>
        <w:pStyle w:val="MAANormalText"/>
        <w:rPr>
          <w:rFonts w:ascii="Franklin Gothic Book" w:hAnsi="Franklin Gothic Book"/>
        </w:rPr>
      </w:pPr>
      <w:r w:rsidRPr="006E0578">
        <w:rPr>
          <w:rFonts w:ascii="Franklin Gothic Book" w:hAnsi="Franklin Gothic Book"/>
        </w:rPr>
        <w:t xml:space="preserve">Mt. Auburn Associates </w:t>
      </w:r>
      <w:r w:rsidRPr="006E0578" w:rsidR="00E42B4A">
        <w:rPr>
          <w:rFonts w:ascii="Franklin Gothic Book" w:hAnsi="Franklin Gothic Book"/>
        </w:rPr>
        <w:t>anticipates that some interview respondents will be from small libraries</w:t>
      </w:r>
      <w:r w:rsidRPr="006E0578" w:rsidR="00CC1112">
        <w:rPr>
          <w:rFonts w:ascii="Franklin Gothic Book" w:hAnsi="Franklin Gothic Book"/>
        </w:rPr>
        <w:t>,</w:t>
      </w:r>
      <w:r w:rsidRPr="006E0578" w:rsidR="3C50D4A7">
        <w:rPr>
          <w:rFonts w:ascii="Franklin Gothic Book" w:hAnsi="Franklin Gothic Book"/>
        </w:rPr>
        <w:t xml:space="preserve"> and some interview respondents </w:t>
      </w:r>
      <w:r w:rsidRPr="006E0578" w:rsidR="00242DB5">
        <w:rPr>
          <w:rFonts w:ascii="Franklin Gothic Book" w:hAnsi="Franklin Gothic Book"/>
        </w:rPr>
        <w:t xml:space="preserve">may </w:t>
      </w:r>
      <w:r w:rsidRPr="006E0578" w:rsidR="00947FAF">
        <w:rPr>
          <w:rFonts w:ascii="Franklin Gothic Book" w:hAnsi="Franklin Gothic Book"/>
        </w:rPr>
        <w:t xml:space="preserve">also </w:t>
      </w:r>
      <w:r w:rsidRPr="006E0578" w:rsidR="00242DB5">
        <w:rPr>
          <w:rFonts w:ascii="Franklin Gothic Book" w:hAnsi="Franklin Gothic Book"/>
        </w:rPr>
        <w:t>be from</w:t>
      </w:r>
      <w:r w:rsidRPr="006E0578" w:rsidR="3C50D4A7">
        <w:rPr>
          <w:rFonts w:ascii="Franklin Gothic Book" w:hAnsi="Franklin Gothic Book"/>
        </w:rPr>
        <w:t xml:space="preserve"> </w:t>
      </w:r>
      <w:r w:rsidRPr="006E0578" w:rsidR="00E42B4A">
        <w:rPr>
          <w:rFonts w:ascii="Franklin Gothic Book" w:hAnsi="Franklin Gothic Book"/>
        </w:rPr>
        <w:t>small</w:t>
      </w:r>
      <w:r w:rsidRPr="006E0578" w:rsidR="00242DB5">
        <w:rPr>
          <w:rFonts w:ascii="Franklin Gothic Book" w:hAnsi="Franklin Gothic Book"/>
        </w:rPr>
        <w:t>er</w:t>
      </w:r>
      <w:r w:rsidRPr="006E0578" w:rsidR="00E42B4A">
        <w:rPr>
          <w:rFonts w:ascii="Franklin Gothic Book" w:hAnsi="Franklin Gothic Book"/>
        </w:rPr>
        <w:t xml:space="preserve"> workforce</w:t>
      </w:r>
      <w:r w:rsidRPr="006E0578" w:rsidR="00232335">
        <w:rPr>
          <w:rFonts w:ascii="Franklin Gothic Book" w:hAnsi="Franklin Gothic Book"/>
        </w:rPr>
        <w:t xml:space="preserve"> agencies</w:t>
      </w:r>
      <w:r w:rsidRPr="006E0578" w:rsidR="00E42B4A">
        <w:rPr>
          <w:rFonts w:ascii="Franklin Gothic Book" w:hAnsi="Franklin Gothic Book"/>
        </w:rPr>
        <w:t>/business</w:t>
      </w:r>
      <w:r w:rsidRPr="006E0578" w:rsidR="005D3366">
        <w:rPr>
          <w:rFonts w:ascii="Franklin Gothic Book" w:hAnsi="Franklin Gothic Book"/>
        </w:rPr>
        <w:t xml:space="preserve">es or related </w:t>
      </w:r>
      <w:r w:rsidRPr="006E0578" w:rsidR="00E42B4A">
        <w:rPr>
          <w:rFonts w:ascii="Franklin Gothic Book" w:hAnsi="Franklin Gothic Book"/>
        </w:rPr>
        <w:t>partner organizations.</w:t>
      </w:r>
    </w:p>
    <w:p w:rsidRPr="006E0578" w:rsidR="00E42B4A" w:rsidP="00E42B4A" w:rsidRDefault="00CC1112" w14:paraId="4FDE7390" w14:textId="04503968">
      <w:pPr>
        <w:pStyle w:val="MAANormalText"/>
        <w:rPr>
          <w:rFonts w:ascii="Franklin Gothic Book" w:hAnsi="Franklin Gothic Book"/>
        </w:rPr>
      </w:pPr>
      <w:r w:rsidRPr="006E0578">
        <w:rPr>
          <w:rFonts w:ascii="Franklin Gothic Book" w:hAnsi="Franklin Gothic Book"/>
        </w:rPr>
        <w:t>To minimize the burden on all libraries and partner agencies, but particularly on small libraries and partner organizations with limited staff capacity, data collection processes will be clear and straightforward and limit the need for additional follow-up information.</w:t>
      </w:r>
      <w:r w:rsidR="00B81B4D">
        <w:rPr>
          <w:rFonts w:ascii="Franklin Gothic Book" w:hAnsi="Franklin Gothic Book"/>
        </w:rPr>
        <w:t xml:space="preserve"> </w:t>
      </w:r>
      <w:r w:rsidRPr="006E0578">
        <w:rPr>
          <w:rFonts w:ascii="Franklin Gothic Book" w:hAnsi="Franklin Gothic Book"/>
        </w:rPr>
        <w:t>Mt. Auburn anticipates that phone and in-person interviews will take 45 minutes or less. Interviews will take place at the convenience of the interviewee.</w:t>
      </w:r>
      <w:r w:rsidR="00A7583D">
        <w:rPr>
          <w:rFonts w:ascii="Franklin Gothic Book" w:hAnsi="Franklin Gothic Book"/>
        </w:rPr>
        <w:t xml:space="preserve"> </w:t>
      </w:r>
    </w:p>
    <w:p w:rsidRPr="006E0578" w:rsidR="00640495" w:rsidP="00E42B4A" w:rsidRDefault="00E42B4A" w14:paraId="1D5EFD8C" w14:textId="56624454">
      <w:pPr>
        <w:pStyle w:val="MAANormalText"/>
        <w:rPr>
          <w:rFonts w:ascii="Franklin Gothic Book" w:hAnsi="Franklin Gothic Book"/>
        </w:rPr>
      </w:pPr>
      <w:bookmarkStart w:name="_Hlk84609020" w:id="1"/>
      <w:r w:rsidRPr="006E0578">
        <w:rPr>
          <w:rFonts w:ascii="Franklin Gothic Book" w:hAnsi="Franklin Gothic Book"/>
        </w:rPr>
        <w:t>The Project Advisory Committee reviewed t</w:t>
      </w:r>
      <w:r w:rsidRPr="006E0578" w:rsidR="00F6025F">
        <w:rPr>
          <w:rFonts w:ascii="Franklin Gothic Book" w:hAnsi="Franklin Gothic Book"/>
        </w:rPr>
        <w:t>he</w:t>
      </w:r>
      <w:r w:rsidRPr="006E0578" w:rsidR="00A34641">
        <w:rPr>
          <w:rFonts w:ascii="Franklin Gothic Book" w:hAnsi="Franklin Gothic Book"/>
        </w:rPr>
        <w:t xml:space="preserve"> </w:t>
      </w:r>
      <w:r w:rsidRPr="006E0578" w:rsidR="001006E9">
        <w:rPr>
          <w:rFonts w:ascii="Franklin Gothic Book" w:hAnsi="Franklin Gothic Book"/>
        </w:rPr>
        <w:t xml:space="preserve">case study </w:t>
      </w:r>
      <w:r w:rsidRPr="006E0578" w:rsidR="009B6E27">
        <w:rPr>
          <w:rFonts w:ascii="Franklin Gothic Book" w:hAnsi="Franklin Gothic Book"/>
        </w:rPr>
        <w:t>interview</w:t>
      </w:r>
      <w:r w:rsidRPr="006E0578">
        <w:rPr>
          <w:rFonts w:ascii="Franklin Gothic Book" w:hAnsi="Franklin Gothic Book"/>
        </w:rPr>
        <w:t xml:space="preserve"> protocol</w:t>
      </w:r>
      <w:r w:rsidRPr="006E0578" w:rsidR="00AD6079">
        <w:rPr>
          <w:rFonts w:ascii="Franklin Gothic Book" w:hAnsi="Franklin Gothic Book"/>
        </w:rPr>
        <w:t>s</w:t>
      </w:r>
      <w:r w:rsidRPr="006E0578">
        <w:rPr>
          <w:rFonts w:ascii="Franklin Gothic Book" w:hAnsi="Franklin Gothic Book"/>
        </w:rPr>
        <w:t xml:space="preserve"> </w:t>
      </w:r>
      <w:r w:rsidRPr="006E0578" w:rsidR="009B6E27">
        <w:rPr>
          <w:rFonts w:ascii="Franklin Gothic Book" w:hAnsi="Franklin Gothic Book"/>
        </w:rPr>
        <w:t>to verify</w:t>
      </w:r>
      <w:r w:rsidRPr="006E0578" w:rsidR="00CC1112">
        <w:rPr>
          <w:rFonts w:ascii="Franklin Gothic Book" w:hAnsi="Franklin Gothic Book"/>
        </w:rPr>
        <w:t xml:space="preserve"> the</w:t>
      </w:r>
      <w:r w:rsidRPr="006E0578" w:rsidR="009B6E27">
        <w:rPr>
          <w:rFonts w:ascii="Franklin Gothic Book" w:hAnsi="Franklin Gothic Book"/>
        </w:rPr>
        <w:t xml:space="preserve"> relevance of questions with project scope and ensure clear, accessible language.</w:t>
      </w:r>
      <w:r w:rsidR="00B81B4D">
        <w:rPr>
          <w:rFonts w:ascii="Franklin Gothic Book" w:hAnsi="Franklin Gothic Book"/>
        </w:rPr>
        <w:t xml:space="preserve"> </w:t>
      </w:r>
    </w:p>
    <w:bookmarkEnd w:id="1"/>
    <w:p w:rsidRPr="006E0578" w:rsidR="003032D6" w:rsidP="0061430F" w:rsidRDefault="00D972D8" w14:paraId="6A7EC4CA" w14:textId="1AD3B62F">
      <w:pPr>
        <w:rPr>
          <w:rFonts w:ascii="Franklin Gothic Book" w:hAnsi="Franklin Gothic Book"/>
          <w:b/>
          <w:sz w:val="24"/>
          <w:szCs w:val="24"/>
        </w:rPr>
      </w:pPr>
      <w:r w:rsidRPr="006E0578">
        <w:rPr>
          <w:rFonts w:ascii="Franklin Gothic Book" w:hAnsi="Franklin Gothic Book"/>
          <w:b/>
          <w:sz w:val="24"/>
          <w:szCs w:val="24"/>
        </w:rPr>
        <w:t>A6. Consequences of Less Frequent Data Collection</w:t>
      </w:r>
    </w:p>
    <w:p w:rsidRPr="006E0578" w:rsidR="002E0C80" w:rsidP="002E0C80" w:rsidRDefault="00CC1112" w14:paraId="3CED56E5" w14:textId="114A11B7">
      <w:pPr>
        <w:pStyle w:val="MAANormalText"/>
        <w:rPr>
          <w:rFonts w:ascii="Franklin Gothic Book" w:hAnsi="Franklin Gothic Book"/>
        </w:rPr>
      </w:pPr>
      <w:r w:rsidRPr="006E0578">
        <w:rPr>
          <w:rFonts w:ascii="Franklin Gothic Book" w:hAnsi="Franklin Gothic Book"/>
        </w:rPr>
        <w:t>As evidenced by the literature review the Mt. Auburn team conducted in the first stage of the project, and confirmed by interviews with nine library stakeholders during theory of change development, without this study, COSLA/IMLS, the library and workforce development fields, in general lack a framework for building hypotheses about libraries' contributions to economic vitality</w:t>
      </w:r>
      <w:r w:rsidRPr="006E0578" w:rsidR="00053BF8">
        <w:rPr>
          <w:rFonts w:ascii="Franklin Gothic Book" w:hAnsi="Franklin Gothic Book"/>
        </w:rPr>
        <w:t xml:space="preserve"> within communities</w:t>
      </w:r>
      <w:r w:rsidRPr="006E0578">
        <w:rPr>
          <w:rFonts w:ascii="Franklin Gothic Book" w:hAnsi="Franklin Gothic Book"/>
        </w:rPr>
        <w:t>.</w:t>
      </w:r>
      <w:r w:rsidR="00B81B4D">
        <w:rPr>
          <w:rFonts w:ascii="Franklin Gothic Book" w:hAnsi="Franklin Gothic Book"/>
        </w:rPr>
        <w:t xml:space="preserve"> </w:t>
      </w:r>
      <w:r w:rsidRPr="006E0578">
        <w:rPr>
          <w:rFonts w:ascii="Franklin Gothic Book" w:hAnsi="Franklin Gothic Book"/>
        </w:rPr>
        <w:t>Additionally, the data collection will provide critical information on library outcome measurement capacity and practices that will contribute to the development of field-building toolkits to improve library data collection and measurement.</w:t>
      </w:r>
      <w:r w:rsidR="00B81B4D">
        <w:rPr>
          <w:rFonts w:ascii="Franklin Gothic Book" w:hAnsi="Franklin Gothic Book"/>
        </w:rPr>
        <w:t xml:space="preserve"> </w:t>
      </w:r>
      <w:r w:rsidRPr="006E0578">
        <w:rPr>
          <w:rFonts w:ascii="Franklin Gothic Book" w:hAnsi="Franklin Gothic Book"/>
        </w:rPr>
        <w:t>The case studies will allow for a more in-depth understanding of the research questions and reveal promising practices or common challenges related to workforce development and measurement. The project incorporates rigorous qualitative methodology with input from a variety of stakeholders, providing unique depth to build on field learning.</w:t>
      </w:r>
      <w:r w:rsidRPr="006E0578" w:rsidR="002E0C80">
        <w:rPr>
          <w:rFonts w:ascii="Franklin Gothic Book" w:hAnsi="Franklin Gothic Book"/>
        </w:rPr>
        <w:t xml:space="preserve"> </w:t>
      </w:r>
    </w:p>
    <w:p w:rsidRPr="006E0578" w:rsidR="00FC7FA2" w:rsidP="00FC7FA2" w:rsidRDefault="00FC7FA2" w14:paraId="21BA70D2" w14:textId="52001F7D">
      <w:pPr>
        <w:pStyle w:val="MAANormalText"/>
        <w:rPr>
          <w:rFonts w:ascii="Franklin Gothic Book" w:hAnsi="Franklin Gothic Book"/>
        </w:rPr>
      </w:pPr>
      <w:r w:rsidRPr="006E0578">
        <w:rPr>
          <w:rFonts w:ascii="Franklin Gothic Book" w:hAnsi="Franklin Gothic Book"/>
        </w:rPr>
        <w:t xml:space="preserve">Since the data collection is a one-time effort, </w:t>
      </w:r>
      <w:r w:rsidRPr="006E0578" w:rsidR="00E802D4">
        <w:rPr>
          <w:rFonts w:ascii="Franklin Gothic Book" w:hAnsi="Franklin Gothic Book"/>
        </w:rPr>
        <w:t>opting to forgo this data</w:t>
      </w:r>
      <w:r w:rsidRPr="006E0578">
        <w:rPr>
          <w:rFonts w:ascii="Franklin Gothic Book" w:hAnsi="Franklin Gothic Book"/>
        </w:rPr>
        <w:t xml:space="preserve"> collection would hinder the ability to uncover </w:t>
      </w:r>
      <w:r w:rsidRPr="006E0578" w:rsidR="00E802D4">
        <w:rPr>
          <w:rFonts w:ascii="Franklin Gothic Book" w:hAnsi="Franklin Gothic Book"/>
        </w:rPr>
        <w:t>important</w:t>
      </w:r>
      <w:r w:rsidRPr="006E0578">
        <w:rPr>
          <w:rFonts w:ascii="Franklin Gothic Book" w:hAnsi="Franklin Gothic Book"/>
        </w:rPr>
        <w:t xml:space="preserve"> learnings</w:t>
      </w:r>
      <w:r w:rsidRPr="006E0578" w:rsidR="00E802D4">
        <w:rPr>
          <w:rFonts w:ascii="Franklin Gothic Book" w:hAnsi="Franklin Gothic Book"/>
        </w:rPr>
        <w:t xml:space="preserve"> on the issues to be addressed in this investigation</w:t>
      </w:r>
      <w:r w:rsidRPr="006E0578">
        <w:rPr>
          <w:rFonts w:ascii="Franklin Gothic Book" w:hAnsi="Franklin Gothic Book"/>
        </w:rPr>
        <w:t>.</w:t>
      </w:r>
      <w:r w:rsidRPr="006E0578" w:rsidR="00246FB6">
        <w:rPr>
          <w:rFonts w:ascii="Franklin Gothic Book" w:hAnsi="Franklin Gothic Book"/>
        </w:rPr>
        <w:t xml:space="preserve"> Furthermore, the pandemic-related insights will help inform future adaptations made </w:t>
      </w:r>
      <w:r w:rsidRPr="006E0578" w:rsidR="009B5FD9">
        <w:rPr>
          <w:rFonts w:ascii="Franklin Gothic Book" w:hAnsi="Franklin Gothic Book"/>
        </w:rPr>
        <w:t>to improve these programs and services</w:t>
      </w:r>
      <w:r w:rsidRPr="006E0578" w:rsidR="002E0C80">
        <w:rPr>
          <w:rFonts w:ascii="Franklin Gothic Book" w:hAnsi="Franklin Gothic Book"/>
        </w:rPr>
        <w:t xml:space="preserve"> during a time of particular need as communities begin to recover</w:t>
      </w:r>
      <w:r w:rsidRPr="006E0578" w:rsidR="009B5FD9">
        <w:rPr>
          <w:rFonts w:ascii="Franklin Gothic Book" w:hAnsi="Franklin Gothic Book"/>
        </w:rPr>
        <w:t>.</w:t>
      </w:r>
    </w:p>
    <w:p w:rsidRPr="006E0578" w:rsidR="00F77A82" w:rsidP="00F77A82" w:rsidRDefault="00F77A82" w14:paraId="1D807C4E" w14:textId="61966010">
      <w:pPr>
        <w:pStyle w:val="MAANormalText"/>
        <w:rPr>
          <w:rFonts w:ascii="Franklin Gothic Book" w:hAnsi="Franklin Gothic Book"/>
        </w:rPr>
      </w:pPr>
      <w:r w:rsidRPr="006E0578">
        <w:rPr>
          <w:rFonts w:ascii="Franklin Gothic Book" w:hAnsi="Franklin Gothic Book"/>
        </w:rPr>
        <w:t>This voluntary data collection effort will take place over several months.</w:t>
      </w:r>
      <w:r w:rsidR="00B81B4D">
        <w:rPr>
          <w:rFonts w:ascii="Franklin Gothic Book" w:hAnsi="Franklin Gothic Book"/>
        </w:rPr>
        <w:t xml:space="preserve"> </w:t>
      </w:r>
      <w:r w:rsidRPr="006E0578">
        <w:rPr>
          <w:rFonts w:ascii="Franklin Gothic Book" w:hAnsi="Franklin Gothic Book"/>
        </w:rPr>
        <w:t xml:space="preserve">The study will provide unique information on how libraries contribute to the workforce and small business development ecosystems, how libraries' role in workforce and small business development has changed as a result of the pandemic, and how libraries collect and communicate workforce and business development data and outcomes. </w:t>
      </w:r>
    </w:p>
    <w:p w:rsidRPr="006E0578" w:rsidR="003032D6" w:rsidP="00B922E0" w:rsidRDefault="00D972D8" w14:paraId="7C7CCFA4" w14:textId="0196ADAE">
      <w:pPr>
        <w:pStyle w:val="Heading2"/>
        <w:numPr>
          <w:ilvl w:val="0"/>
          <w:numId w:val="0"/>
        </w:numPr>
        <w:rPr>
          <w:rFonts w:ascii="Franklin Gothic Book" w:hAnsi="Franklin Gothic Book"/>
          <w:b/>
          <w:u w:val="none"/>
        </w:rPr>
      </w:pPr>
      <w:r w:rsidRPr="006E0578">
        <w:rPr>
          <w:rFonts w:ascii="Franklin Gothic Book" w:hAnsi="Franklin Gothic Book"/>
          <w:b/>
          <w:u w:val="none"/>
        </w:rPr>
        <w:t>A7. Special Circumstances</w:t>
      </w:r>
    </w:p>
    <w:p w:rsidRPr="006E0578" w:rsidR="003032D6" w:rsidP="00EA234A" w:rsidRDefault="003032D6" w14:paraId="6DC74621" w14:textId="68EB69B9">
      <w:pPr>
        <w:pStyle w:val="MAANormalText"/>
        <w:rPr>
          <w:rFonts w:ascii="Franklin Gothic Book" w:hAnsi="Franklin Gothic Book"/>
        </w:rPr>
      </w:pPr>
      <w:r w:rsidRPr="006E0578">
        <w:rPr>
          <w:rFonts w:ascii="Franklin Gothic Book" w:hAnsi="Franklin Gothic Book"/>
        </w:rPr>
        <w:t xml:space="preserve">The proposed data collection </w:t>
      </w:r>
      <w:r w:rsidRPr="006E0578" w:rsidR="00EB120B">
        <w:rPr>
          <w:rFonts w:ascii="Franklin Gothic Book" w:hAnsi="Franklin Gothic Book"/>
        </w:rPr>
        <w:t xml:space="preserve">will comply with the </w:t>
      </w:r>
      <w:r w:rsidRPr="006E0578">
        <w:rPr>
          <w:rFonts w:ascii="Franklin Gothic Book" w:hAnsi="Franklin Gothic Book"/>
        </w:rPr>
        <w:t xml:space="preserve">guidelines </w:t>
      </w:r>
      <w:r w:rsidRPr="006E0578" w:rsidR="00EB120B">
        <w:rPr>
          <w:rFonts w:ascii="Franklin Gothic Book" w:hAnsi="Franklin Gothic Book"/>
        </w:rPr>
        <w:t>established in</w:t>
      </w:r>
      <w:r w:rsidRPr="006E0578">
        <w:rPr>
          <w:rFonts w:ascii="Franklin Gothic Book" w:hAnsi="Franklin Gothic Book"/>
        </w:rPr>
        <w:t xml:space="preserve"> 5 C</w:t>
      </w:r>
      <w:r w:rsidRPr="006E0578" w:rsidR="001A553C">
        <w:rPr>
          <w:rFonts w:ascii="Franklin Gothic Book" w:hAnsi="Franklin Gothic Book"/>
        </w:rPr>
        <w:t>.</w:t>
      </w:r>
      <w:r w:rsidRPr="006E0578">
        <w:rPr>
          <w:rFonts w:ascii="Franklin Gothic Book" w:hAnsi="Franklin Gothic Book"/>
        </w:rPr>
        <w:t>F</w:t>
      </w:r>
      <w:r w:rsidRPr="006E0578" w:rsidR="001A553C">
        <w:rPr>
          <w:rFonts w:ascii="Franklin Gothic Book" w:hAnsi="Franklin Gothic Book"/>
        </w:rPr>
        <w:t>.</w:t>
      </w:r>
      <w:r w:rsidRPr="006E0578">
        <w:rPr>
          <w:rFonts w:ascii="Franklin Gothic Book" w:hAnsi="Franklin Gothic Book"/>
        </w:rPr>
        <w:t>R</w:t>
      </w:r>
      <w:r w:rsidRPr="006E0578" w:rsidR="001A553C">
        <w:rPr>
          <w:rFonts w:ascii="Franklin Gothic Book" w:hAnsi="Franklin Gothic Book"/>
        </w:rPr>
        <w:t>.</w:t>
      </w:r>
      <w:r w:rsidRPr="006E0578">
        <w:rPr>
          <w:rFonts w:ascii="Franklin Gothic Book" w:hAnsi="Franklin Gothic Book"/>
        </w:rPr>
        <w:t xml:space="preserve"> </w:t>
      </w:r>
      <w:r w:rsidRPr="006E0578" w:rsidR="001A553C">
        <w:rPr>
          <w:rFonts w:ascii="Franklin Gothic Book" w:hAnsi="Franklin Gothic Book"/>
        </w:rPr>
        <w:t xml:space="preserve">§ </w:t>
      </w:r>
      <w:r w:rsidRPr="006E0578">
        <w:rPr>
          <w:rFonts w:ascii="Franklin Gothic Book" w:hAnsi="Franklin Gothic Book"/>
        </w:rPr>
        <w:t>1320 (Controlling Paperwork Burdens on the Public).</w:t>
      </w:r>
      <w:r w:rsidR="00B81B4D">
        <w:rPr>
          <w:rFonts w:ascii="Franklin Gothic Book" w:hAnsi="Franklin Gothic Book"/>
        </w:rPr>
        <w:t xml:space="preserve"> </w:t>
      </w:r>
      <w:r w:rsidRPr="006E0578">
        <w:rPr>
          <w:rFonts w:ascii="Franklin Gothic Book" w:hAnsi="Franklin Gothic Book"/>
        </w:rPr>
        <w:t xml:space="preserve">There are no special circumstances that require deviation from these guidelines. </w:t>
      </w:r>
    </w:p>
    <w:p w:rsidRPr="006E0578" w:rsidR="003032D6" w:rsidP="00921680" w:rsidRDefault="007E2B3C" w14:paraId="10DA4179" w14:textId="3BAF2786">
      <w:pPr>
        <w:pStyle w:val="Heading2"/>
        <w:numPr>
          <w:ilvl w:val="0"/>
          <w:numId w:val="0"/>
        </w:numPr>
        <w:rPr>
          <w:rFonts w:ascii="Franklin Gothic Book" w:hAnsi="Franklin Gothic Book"/>
          <w:b/>
          <w:u w:val="none"/>
        </w:rPr>
      </w:pPr>
      <w:r w:rsidRPr="006E0578">
        <w:rPr>
          <w:rFonts w:ascii="Franklin Gothic Book" w:hAnsi="Franklin Gothic Book"/>
          <w:b/>
          <w:u w:val="none"/>
        </w:rPr>
        <w:lastRenderedPageBreak/>
        <w:t>A8. Consultations Outside the Agency</w:t>
      </w:r>
    </w:p>
    <w:p w:rsidRPr="006E0578" w:rsidR="00AB55D9" w:rsidP="00EA234A" w:rsidRDefault="004F57DD" w14:paraId="200E7E93" w14:textId="08C84446">
      <w:pPr>
        <w:pStyle w:val="MAANormalText"/>
        <w:rPr>
          <w:rFonts w:ascii="Franklin Gothic Book" w:hAnsi="Franklin Gothic Book"/>
        </w:rPr>
      </w:pPr>
      <w:r w:rsidRPr="006E0578">
        <w:rPr>
          <w:rFonts w:ascii="Franklin Gothic Book" w:hAnsi="Franklin Gothic Book"/>
        </w:rPr>
        <w:t>A Federal Register Notice published on A</w:t>
      </w:r>
      <w:r w:rsidRPr="006E0578" w:rsidR="00F01E0A">
        <w:rPr>
          <w:rFonts w:ascii="Franklin Gothic Book" w:hAnsi="Franklin Gothic Book"/>
        </w:rPr>
        <w:t>ugust</w:t>
      </w:r>
      <w:r w:rsidRPr="006E0578">
        <w:rPr>
          <w:rFonts w:ascii="Franklin Gothic Book" w:hAnsi="Franklin Gothic Book"/>
        </w:rPr>
        <w:t xml:space="preserve"> 20, 2020 </w:t>
      </w:r>
      <w:r w:rsidRPr="006E0578" w:rsidR="002042A6">
        <w:rPr>
          <w:rFonts w:ascii="Franklin Gothic Book" w:hAnsi="Franklin Gothic Book"/>
        </w:rPr>
        <w:t>(</w:t>
      </w:r>
      <w:r w:rsidRPr="006E0578">
        <w:rPr>
          <w:rFonts w:ascii="Franklin Gothic Book" w:hAnsi="Franklin Gothic Book"/>
        </w:rPr>
        <w:t>85 FR 51496) solicited public comment</w:t>
      </w:r>
      <w:r w:rsidRPr="006E0578" w:rsidR="00F77A82">
        <w:rPr>
          <w:rFonts w:ascii="Franklin Gothic Book" w:hAnsi="Franklin Gothic Book"/>
        </w:rPr>
        <w:t>.</w:t>
      </w:r>
      <w:r w:rsidR="00B81B4D">
        <w:rPr>
          <w:rFonts w:ascii="Franklin Gothic Book" w:hAnsi="Franklin Gothic Book"/>
        </w:rPr>
        <w:t xml:space="preserve"> </w:t>
      </w:r>
      <w:r w:rsidRPr="006E0578" w:rsidR="00520F41">
        <w:rPr>
          <w:rFonts w:ascii="Franklin Gothic Book" w:hAnsi="Franklin Gothic Book"/>
        </w:rPr>
        <w:t xml:space="preserve">IMLS </w:t>
      </w:r>
      <w:r w:rsidR="00345CEF">
        <w:rPr>
          <w:rFonts w:ascii="Franklin Gothic Book" w:hAnsi="Franklin Gothic Book"/>
        </w:rPr>
        <w:t>received two comments, each requesting copies of the data collection instrument. The agency provided the requested document on November 4, 2021</w:t>
      </w:r>
      <w:r w:rsidRPr="006E0578" w:rsidR="007A436C">
        <w:rPr>
          <w:rFonts w:ascii="Franklin Gothic Book" w:hAnsi="Franklin Gothic Book"/>
        </w:rPr>
        <w:t>.</w:t>
      </w:r>
      <w:r w:rsidR="00345CEF">
        <w:rPr>
          <w:rFonts w:ascii="Franklin Gothic Book" w:hAnsi="Franklin Gothic Book"/>
        </w:rPr>
        <w:t xml:space="preserve"> </w:t>
      </w:r>
    </w:p>
    <w:p w:rsidRPr="006E0578" w:rsidR="00A91A60" w:rsidP="00EA234A" w:rsidRDefault="00A91A60" w14:paraId="00085B51" w14:textId="1ECFCD55">
      <w:pPr>
        <w:pStyle w:val="MAANormalText"/>
        <w:rPr>
          <w:rFonts w:ascii="Franklin Gothic Book" w:hAnsi="Franklin Gothic Book"/>
        </w:rPr>
      </w:pPr>
      <w:r w:rsidRPr="006E0578">
        <w:rPr>
          <w:rFonts w:ascii="Franklin Gothic Book" w:hAnsi="Franklin Gothic Book"/>
        </w:rPr>
        <w:t xml:space="preserve">The </w:t>
      </w:r>
      <w:r w:rsidRPr="006E0578" w:rsidR="00F77A82">
        <w:rPr>
          <w:rFonts w:ascii="Franklin Gothic Book" w:hAnsi="Franklin Gothic Book"/>
        </w:rPr>
        <w:t>Mt. Auburn research team, including senior methodologists, in frequent communication with the study advisory committee and client stakeholders, developed the study design and data collection instruments</w:t>
      </w:r>
      <w:r w:rsidRPr="006E0578" w:rsidR="00FB6A4F">
        <w:rPr>
          <w:rFonts w:ascii="Franklin Gothic Book" w:hAnsi="Franklin Gothic Book"/>
        </w:rPr>
        <w:t xml:space="preserve">. </w:t>
      </w:r>
      <w:r w:rsidRPr="006E0578" w:rsidR="00496240">
        <w:rPr>
          <w:rFonts w:ascii="Franklin Gothic Book" w:hAnsi="Franklin Gothic Book"/>
        </w:rPr>
        <w:t>These s</w:t>
      </w:r>
      <w:r w:rsidRPr="006E0578" w:rsidR="00F754AF">
        <w:rPr>
          <w:rFonts w:ascii="Franklin Gothic Book" w:hAnsi="Franklin Gothic Book"/>
        </w:rPr>
        <w:t>takeholder</w:t>
      </w:r>
      <w:r w:rsidRPr="006E0578" w:rsidR="00420E36">
        <w:rPr>
          <w:rFonts w:ascii="Franklin Gothic Book" w:hAnsi="Franklin Gothic Book"/>
        </w:rPr>
        <w:t>s</w:t>
      </w:r>
      <w:r w:rsidRPr="006E0578" w:rsidR="00F754AF">
        <w:rPr>
          <w:rFonts w:ascii="Franklin Gothic Book" w:hAnsi="Franklin Gothic Book"/>
        </w:rPr>
        <w:t xml:space="preserve"> provided input on the utility of the data collected through the instruments, </w:t>
      </w:r>
      <w:r w:rsidRPr="006E0578" w:rsidR="008E17AC">
        <w:rPr>
          <w:rFonts w:ascii="Franklin Gothic Book" w:hAnsi="Franklin Gothic Book"/>
        </w:rPr>
        <w:t xml:space="preserve">the clarity of questions and instructions, </w:t>
      </w:r>
      <w:r w:rsidRPr="006E0578" w:rsidR="00420E36">
        <w:rPr>
          <w:rFonts w:ascii="Franklin Gothic Book" w:hAnsi="Franklin Gothic Book"/>
        </w:rPr>
        <w:t>possible additional data elements</w:t>
      </w:r>
      <w:r w:rsidRPr="006E0578" w:rsidR="00F754AF">
        <w:rPr>
          <w:rFonts w:ascii="Franklin Gothic Book" w:hAnsi="Franklin Gothic Book"/>
        </w:rPr>
        <w:t>, and the anticipated level of respondent burden</w:t>
      </w:r>
      <w:r w:rsidRPr="006E0578" w:rsidR="008E17AC">
        <w:rPr>
          <w:rFonts w:ascii="Franklin Gothic Book" w:hAnsi="Franklin Gothic Book"/>
        </w:rPr>
        <w:t xml:space="preserve">. </w:t>
      </w:r>
      <w:r w:rsidRPr="006E0578" w:rsidR="00496240">
        <w:rPr>
          <w:rFonts w:ascii="Franklin Gothic Book" w:hAnsi="Franklin Gothic Book"/>
        </w:rPr>
        <w:t>The team revised data collection instruments based on feedback received through several facilitat</w:t>
      </w:r>
      <w:r w:rsidRPr="006E0578" w:rsidR="00347130">
        <w:rPr>
          <w:rFonts w:ascii="Franklin Gothic Book" w:hAnsi="Franklin Gothic Book"/>
        </w:rPr>
        <w:t>ed</w:t>
      </w:r>
      <w:r w:rsidRPr="006E0578" w:rsidR="00496240">
        <w:rPr>
          <w:rFonts w:ascii="Franklin Gothic Book" w:hAnsi="Franklin Gothic Book"/>
        </w:rPr>
        <w:t xml:space="preserve"> sessions with the advisory</w:t>
      </w:r>
      <w:r w:rsidRPr="006E0578" w:rsidR="00C014D5">
        <w:rPr>
          <w:rFonts w:ascii="Franklin Gothic Book" w:hAnsi="Franklin Gothic Book"/>
        </w:rPr>
        <w:t xml:space="preserve"> committee</w:t>
      </w:r>
      <w:r w:rsidRPr="006E0578" w:rsidR="00496240">
        <w:rPr>
          <w:rFonts w:ascii="Franklin Gothic Book" w:hAnsi="Franklin Gothic Book"/>
        </w:rPr>
        <w:t>.</w:t>
      </w:r>
    </w:p>
    <w:p w:rsidRPr="006E0578" w:rsidR="003032D6" w:rsidP="00662878" w:rsidRDefault="007E2B3C" w14:paraId="3B52AE19" w14:textId="3E87BE1A">
      <w:pPr>
        <w:pStyle w:val="Heading2"/>
        <w:numPr>
          <w:ilvl w:val="0"/>
          <w:numId w:val="0"/>
        </w:numPr>
        <w:rPr>
          <w:rFonts w:ascii="Franklin Gothic Book" w:hAnsi="Franklin Gothic Book"/>
          <w:b/>
          <w:u w:val="none"/>
        </w:rPr>
      </w:pPr>
      <w:r w:rsidRPr="006E0578">
        <w:rPr>
          <w:rFonts w:ascii="Franklin Gothic Book" w:hAnsi="Franklin Gothic Book"/>
          <w:b/>
          <w:u w:val="none"/>
        </w:rPr>
        <w:t>A9. Payments of Gifts to Respondents</w:t>
      </w:r>
    </w:p>
    <w:p w:rsidRPr="006E0578" w:rsidR="00412FE5" w:rsidP="00D36798" w:rsidRDefault="00C014D5" w14:paraId="1F1BB2E5" w14:textId="50DE37C5">
      <w:pPr>
        <w:pStyle w:val="MAANormalText"/>
        <w:rPr>
          <w:rFonts w:ascii="Franklin Gothic Book" w:hAnsi="Franklin Gothic Book"/>
          <w:highlight w:val="yellow"/>
        </w:rPr>
      </w:pPr>
      <w:r w:rsidRPr="006E0578">
        <w:rPr>
          <w:rFonts w:ascii="Franklin Gothic Book" w:hAnsi="Franklin Gothic Book"/>
        </w:rPr>
        <w:t xml:space="preserve">Mt. Auburn Associates does </w:t>
      </w:r>
      <w:r w:rsidRPr="006E0578" w:rsidR="00844FB3">
        <w:rPr>
          <w:rFonts w:ascii="Franklin Gothic Book" w:hAnsi="Franklin Gothic Book"/>
        </w:rPr>
        <w:t>not anticipate payments to case study participants.</w:t>
      </w:r>
      <w:r w:rsidR="00B81B4D">
        <w:rPr>
          <w:rFonts w:ascii="Franklin Gothic Book" w:hAnsi="Franklin Gothic Book"/>
        </w:rPr>
        <w:t xml:space="preserve"> </w:t>
      </w:r>
      <w:r w:rsidRPr="006E0578" w:rsidR="00F77A82">
        <w:rPr>
          <w:rFonts w:ascii="Franklin Gothic Book" w:hAnsi="Franklin Gothic Book"/>
        </w:rPr>
        <w:t xml:space="preserve">Because participation in efforts to improve library and/or workforce and business development services and outcomes </w:t>
      </w:r>
      <w:r w:rsidRPr="006E0578" w:rsidR="004132CC">
        <w:rPr>
          <w:rFonts w:ascii="Franklin Gothic Book" w:hAnsi="Franklin Gothic Book"/>
        </w:rPr>
        <w:t>are</w:t>
      </w:r>
      <w:r w:rsidRPr="006E0578" w:rsidR="00F77A82">
        <w:rPr>
          <w:rFonts w:ascii="Franklin Gothic Book" w:hAnsi="Franklin Gothic Book"/>
        </w:rPr>
        <w:t xml:space="preserve"> </w:t>
      </w:r>
      <w:r w:rsidRPr="006E0578" w:rsidR="00E473DE">
        <w:rPr>
          <w:rFonts w:ascii="Franklin Gothic Book" w:hAnsi="Franklin Gothic Book"/>
        </w:rPr>
        <w:t xml:space="preserve">generally </w:t>
      </w:r>
      <w:r w:rsidRPr="006E0578" w:rsidR="00F77A82">
        <w:rPr>
          <w:rFonts w:ascii="Franklin Gothic Book" w:hAnsi="Franklin Gothic Book"/>
        </w:rPr>
        <w:t xml:space="preserve">part of library and partner staff job responsibilities, the study </w:t>
      </w:r>
      <w:r w:rsidRPr="006E0578" w:rsidR="00294F74">
        <w:rPr>
          <w:rFonts w:ascii="Franklin Gothic Book" w:hAnsi="Franklin Gothic Book"/>
        </w:rPr>
        <w:t>will</w:t>
      </w:r>
      <w:r w:rsidRPr="006E0578" w:rsidR="00F77A82">
        <w:rPr>
          <w:rFonts w:ascii="Franklin Gothic Book" w:hAnsi="Franklin Gothic Book"/>
        </w:rPr>
        <w:t xml:space="preserve"> not compensate library or partner organization staff for their participation in the study (e.g., interview participation). </w:t>
      </w:r>
    </w:p>
    <w:p w:rsidRPr="006E0578" w:rsidR="003032D6" w:rsidP="00662878" w:rsidRDefault="007E2B3C" w14:paraId="4452B441" w14:textId="1E38A75C">
      <w:pPr>
        <w:pStyle w:val="Heading2"/>
        <w:numPr>
          <w:ilvl w:val="0"/>
          <w:numId w:val="0"/>
        </w:numPr>
        <w:rPr>
          <w:rFonts w:ascii="Franklin Gothic Book" w:hAnsi="Franklin Gothic Book"/>
          <w:b/>
          <w:bCs/>
          <w:u w:val="none"/>
        </w:rPr>
      </w:pPr>
      <w:r w:rsidRPr="006E0578">
        <w:rPr>
          <w:rFonts w:ascii="Franklin Gothic Book" w:hAnsi="Franklin Gothic Book"/>
          <w:b/>
          <w:bCs/>
          <w:u w:val="none"/>
        </w:rPr>
        <w:t>A10. Assurance of C</w:t>
      </w:r>
      <w:r w:rsidRPr="006E0578" w:rsidR="003032D6">
        <w:rPr>
          <w:rFonts w:ascii="Franklin Gothic Book" w:hAnsi="Franklin Gothic Book"/>
          <w:b/>
          <w:bCs/>
          <w:u w:val="none"/>
        </w:rPr>
        <w:t xml:space="preserve">onfidentiality </w:t>
      </w:r>
    </w:p>
    <w:p w:rsidRPr="006E0578" w:rsidR="00EC4DBB" w:rsidP="00EC4DBB" w:rsidRDefault="00EC4DBB" w14:paraId="7AA28A1C" w14:textId="77777777">
      <w:pPr>
        <w:pStyle w:val="MAANormalText"/>
        <w:rPr>
          <w:rFonts w:ascii="Franklin Gothic Book" w:hAnsi="Franklin Gothic Book"/>
          <w:shd w:val="clear" w:color="auto" w:fill="FFFFFF"/>
        </w:rPr>
      </w:pPr>
      <w:r w:rsidRPr="006E0578">
        <w:rPr>
          <w:rFonts w:ascii="Franklin Gothic Book" w:hAnsi="Franklin Gothic Book"/>
          <w:shd w:val="clear" w:color="auto" w:fill="FFFFFF"/>
        </w:rPr>
        <w:t xml:space="preserve">The team will begin all case study interviews with an overview of the study and an explanation of how Mt. Auburn will use the information. </w:t>
      </w:r>
    </w:p>
    <w:p w:rsidRPr="006E0578" w:rsidR="00FF2FF3" w:rsidP="00EC4DBB" w:rsidRDefault="00EC4DBB" w14:paraId="33DA08F1" w14:textId="240A7DE6">
      <w:pPr>
        <w:pStyle w:val="MAANormalText"/>
        <w:rPr>
          <w:rFonts w:ascii="Franklin Gothic Book" w:hAnsi="Franklin Gothic Book"/>
          <w:shd w:val="clear" w:color="auto" w:fill="FFFFFF"/>
        </w:rPr>
      </w:pPr>
      <w:r w:rsidRPr="006E0578">
        <w:rPr>
          <w:rFonts w:ascii="Franklin Gothic Book" w:hAnsi="Franklin Gothic Book"/>
          <w:shd w:val="clear" w:color="auto" w:fill="FFFFFF"/>
        </w:rPr>
        <w:t xml:space="preserve">Interviewers will inform respondents that the information they provide will be </w:t>
      </w:r>
      <w:r w:rsidRPr="006E0578" w:rsidR="00D90FB5">
        <w:rPr>
          <w:rFonts w:ascii="Franklin Gothic Book" w:hAnsi="Franklin Gothic Book"/>
          <w:shd w:val="clear" w:color="auto" w:fill="FFFFFF"/>
        </w:rPr>
        <w:t>anonymized</w:t>
      </w:r>
      <w:r w:rsidRPr="006E0578">
        <w:rPr>
          <w:rFonts w:ascii="Franklin Gothic Book" w:hAnsi="Franklin Gothic Book"/>
          <w:shd w:val="clear" w:color="auto" w:fill="FFFFFF"/>
        </w:rPr>
        <w:t>, only accessible to Mt. Auburn research staff involved in the project, and they may opt-out of any question throughout the interview.</w:t>
      </w:r>
      <w:r w:rsidR="00B81B4D">
        <w:rPr>
          <w:rFonts w:ascii="Franklin Gothic Book" w:hAnsi="Franklin Gothic Book"/>
          <w:shd w:val="clear" w:color="auto" w:fill="FFFFFF"/>
        </w:rPr>
        <w:t xml:space="preserve"> </w:t>
      </w:r>
      <w:r w:rsidRPr="006E0578">
        <w:rPr>
          <w:rFonts w:ascii="Franklin Gothic Book" w:hAnsi="Franklin Gothic Book"/>
          <w:shd w:val="clear" w:color="auto" w:fill="FFFFFF"/>
        </w:rPr>
        <w:t xml:space="preserve">Although </w:t>
      </w:r>
      <w:r w:rsidRPr="006E0578" w:rsidR="00D90FB5">
        <w:rPr>
          <w:rFonts w:ascii="Franklin Gothic Book" w:hAnsi="Franklin Gothic Book"/>
          <w:shd w:val="clear" w:color="auto" w:fill="FFFFFF"/>
        </w:rPr>
        <w:t xml:space="preserve">responses </w:t>
      </w:r>
      <w:r w:rsidRPr="006E0578">
        <w:rPr>
          <w:rFonts w:ascii="Franklin Gothic Book" w:hAnsi="Franklin Gothic Book"/>
          <w:shd w:val="clear" w:color="auto" w:fill="FFFFFF"/>
        </w:rPr>
        <w:t xml:space="preserve">will be </w:t>
      </w:r>
      <w:r w:rsidRPr="006E0578" w:rsidR="00D90FB5">
        <w:rPr>
          <w:rFonts w:ascii="Franklin Gothic Book" w:hAnsi="Franklin Gothic Book"/>
          <w:shd w:val="clear" w:color="auto" w:fill="FFFFFF"/>
        </w:rPr>
        <w:t>anonymized</w:t>
      </w:r>
      <w:r w:rsidRPr="006E0578">
        <w:rPr>
          <w:rFonts w:ascii="Franklin Gothic Book" w:hAnsi="Franklin Gothic Book"/>
          <w:shd w:val="clear" w:color="auto" w:fill="FFFFFF"/>
        </w:rPr>
        <w:t>, certain libraries may be inferentially identifiable based on their responses, and study products may identify specific libraries to highlight promising practices and lessons learned.</w:t>
      </w:r>
      <w:r w:rsidR="00B81B4D">
        <w:rPr>
          <w:rFonts w:ascii="Franklin Gothic Book" w:hAnsi="Franklin Gothic Book"/>
          <w:shd w:val="clear" w:color="auto" w:fill="FFFFFF"/>
        </w:rPr>
        <w:t xml:space="preserve"> </w:t>
      </w:r>
      <w:r w:rsidRPr="006E0578">
        <w:rPr>
          <w:rFonts w:ascii="Franklin Gothic Book" w:hAnsi="Franklin Gothic Book"/>
          <w:shd w:val="clear" w:color="auto" w:fill="FFFFFF"/>
        </w:rPr>
        <w:t>In these cases, Mt. Auburn will contact respondents for permission prior to including any quotes or identifying information from interview responses in study reports or products.</w:t>
      </w:r>
      <w:r w:rsidR="00B81B4D">
        <w:rPr>
          <w:rFonts w:ascii="Franklin Gothic Book" w:hAnsi="Franklin Gothic Book"/>
          <w:shd w:val="clear" w:color="auto" w:fill="FFFFFF"/>
        </w:rPr>
        <w:t xml:space="preserve"> </w:t>
      </w:r>
      <w:r w:rsidRPr="006E0578">
        <w:rPr>
          <w:rFonts w:ascii="Franklin Gothic Book" w:hAnsi="Franklin Gothic Book"/>
          <w:shd w:val="clear" w:color="auto" w:fill="FFFFFF"/>
        </w:rPr>
        <w:t>Mt. Auburn will only provide identifying examples in study products if the respondent and the library have granted permission.</w:t>
      </w:r>
      <w:r w:rsidR="00A7583D">
        <w:rPr>
          <w:rFonts w:ascii="Franklin Gothic Book" w:hAnsi="Franklin Gothic Book"/>
          <w:shd w:val="clear" w:color="auto" w:fill="FFFFFF"/>
        </w:rPr>
        <w:t xml:space="preserve"> </w:t>
      </w:r>
    </w:p>
    <w:p w:rsidRPr="006E0578" w:rsidR="00CB0673" w:rsidP="00EA234A" w:rsidRDefault="0022767A" w14:paraId="129A28F3" w14:textId="2643A25B">
      <w:pPr>
        <w:pStyle w:val="MAANormalText"/>
        <w:rPr>
          <w:rFonts w:ascii="Franklin Gothic Book" w:hAnsi="Franklin Gothic Book"/>
          <w:shd w:val="clear" w:color="auto" w:fill="FFFFFF"/>
        </w:rPr>
      </w:pPr>
      <w:r w:rsidRPr="006E0578">
        <w:rPr>
          <w:rFonts w:ascii="Franklin Gothic Book" w:hAnsi="Franklin Gothic Book"/>
          <w:shd w:val="clear" w:color="auto" w:fill="FFFFFF"/>
        </w:rPr>
        <w:t>N</w:t>
      </w:r>
      <w:r w:rsidRPr="006E0578" w:rsidR="00CB0673">
        <w:rPr>
          <w:rFonts w:ascii="Franklin Gothic Book" w:hAnsi="Franklin Gothic Book"/>
          <w:shd w:val="clear" w:color="auto" w:fill="FFFFFF"/>
        </w:rPr>
        <w:t>one of the data collected for this study will contain personally identifiable information</w:t>
      </w:r>
      <w:r w:rsidRPr="006E0578" w:rsidR="007556EE">
        <w:rPr>
          <w:rFonts w:ascii="Franklin Gothic Book" w:hAnsi="Franklin Gothic Book"/>
          <w:shd w:val="clear" w:color="auto" w:fill="FFFFFF"/>
        </w:rPr>
        <w:t xml:space="preserve"> (PII)</w:t>
      </w:r>
      <w:r w:rsidRPr="006E0578" w:rsidR="00CB0673">
        <w:rPr>
          <w:rFonts w:ascii="Franklin Gothic Book" w:hAnsi="Franklin Gothic Book"/>
          <w:shd w:val="clear" w:color="auto" w:fill="FFFFFF"/>
        </w:rPr>
        <w:t>.</w:t>
      </w:r>
      <w:r w:rsidR="00B81B4D">
        <w:rPr>
          <w:rFonts w:ascii="Franklin Gothic Book" w:hAnsi="Franklin Gothic Book"/>
          <w:shd w:val="clear" w:color="auto" w:fill="FFFFFF"/>
        </w:rPr>
        <w:t xml:space="preserve"> </w:t>
      </w:r>
      <w:r w:rsidRPr="006E0578" w:rsidR="00CB0673">
        <w:rPr>
          <w:rFonts w:ascii="Franklin Gothic Book" w:hAnsi="Franklin Gothic Book"/>
          <w:shd w:val="clear" w:color="auto" w:fill="FFFFFF"/>
        </w:rPr>
        <w:t>Mt. Auburn will pay close attention to the security of collected</w:t>
      </w:r>
      <w:r w:rsidRPr="006E0578" w:rsidR="00EC4DBB">
        <w:rPr>
          <w:rFonts w:ascii="Franklin Gothic Book" w:hAnsi="Franklin Gothic Book"/>
          <w:shd w:val="clear" w:color="auto" w:fill="FFFFFF"/>
        </w:rPr>
        <w:t xml:space="preserve"> data</w:t>
      </w:r>
      <w:r w:rsidRPr="006E0578" w:rsidR="00CB0673">
        <w:rPr>
          <w:rFonts w:ascii="Franklin Gothic Book" w:hAnsi="Franklin Gothic Book"/>
          <w:shd w:val="clear" w:color="auto" w:fill="FFFFFF"/>
        </w:rPr>
        <w:t>.</w:t>
      </w:r>
      <w:r w:rsidR="00B81B4D">
        <w:rPr>
          <w:rFonts w:ascii="Franklin Gothic Book" w:hAnsi="Franklin Gothic Book"/>
          <w:shd w:val="clear" w:color="auto" w:fill="FFFFFF"/>
        </w:rPr>
        <w:t xml:space="preserve"> </w:t>
      </w:r>
      <w:r w:rsidRPr="006E0578" w:rsidR="00CB0673">
        <w:rPr>
          <w:rFonts w:ascii="Franklin Gothic Book" w:hAnsi="Franklin Gothic Book"/>
          <w:shd w:val="clear" w:color="auto" w:fill="FFFFFF"/>
        </w:rPr>
        <w:t>The Mt. Auburn team will store all data in secure electronic files that are password protected and comply with federal data security guidelines, including NIST 800-209, as well as other federal and local regulations and standards.</w:t>
      </w:r>
      <w:r w:rsidR="00B81B4D">
        <w:rPr>
          <w:rFonts w:ascii="Franklin Gothic Book" w:hAnsi="Franklin Gothic Book"/>
          <w:shd w:val="clear" w:color="auto" w:fill="FFFFFF"/>
        </w:rPr>
        <w:t xml:space="preserve"> </w:t>
      </w:r>
      <w:r w:rsidRPr="006E0578" w:rsidR="00CB0673">
        <w:rPr>
          <w:rFonts w:ascii="Franklin Gothic Book" w:hAnsi="Franklin Gothic Book"/>
          <w:shd w:val="clear" w:color="auto" w:fill="FFFFFF"/>
        </w:rPr>
        <w:t>Mt. Auburn will restrict data access to team staff directly involved in the project and will destroy all data at the conclusion of the project upon transfer to COSLA/IMLS.</w:t>
      </w:r>
      <w:r w:rsidR="00B81B4D">
        <w:rPr>
          <w:rFonts w:ascii="Franklin Gothic Book" w:hAnsi="Franklin Gothic Book"/>
          <w:shd w:val="clear" w:color="auto" w:fill="FFFFFF"/>
        </w:rPr>
        <w:t xml:space="preserve"> </w:t>
      </w:r>
      <w:r w:rsidRPr="006E0578" w:rsidR="00CB0673">
        <w:rPr>
          <w:rFonts w:ascii="Franklin Gothic Book" w:hAnsi="Franklin Gothic Book"/>
          <w:shd w:val="clear" w:color="auto" w:fill="FFFFFF"/>
        </w:rPr>
        <w:t>Data sets provided to COSLA/IMLS at the end of the study will not contain any PII but will contain organizational (library) identifiers.</w:t>
      </w:r>
      <w:r w:rsidRPr="006E0578" w:rsidR="00DD44E0">
        <w:rPr>
          <w:rFonts w:ascii="Franklin Gothic Book" w:hAnsi="Franklin Gothic Book"/>
          <w:shd w:val="clear" w:color="auto" w:fill="FFFFFF"/>
        </w:rPr>
        <w:t xml:space="preserve"> </w:t>
      </w:r>
      <w:r w:rsidRPr="006E0578" w:rsidR="007A412D">
        <w:rPr>
          <w:rFonts w:ascii="Franklin Gothic Book" w:hAnsi="Franklin Gothic Book"/>
          <w:shd w:val="clear" w:color="auto" w:fill="FFFFFF"/>
        </w:rPr>
        <w:t>Mt. Auburn will suppress data as appropriate in</w:t>
      </w:r>
      <w:r w:rsidRPr="006E0578" w:rsidR="00DD44E0">
        <w:rPr>
          <w:rFonts w:ascii="Franklin Gothic Book" w:hAnsi="Franklin Gothic Book"/>
          <w:shd w:val="clear" w:color="auto" w:fill="FFFFFF"/>
        </w:rPr>
        <w:t xml:space="preserve"> instances where small respondent </w:t>
      </w:r>
      <w:r w:rsidRPr="006E0578" w:rsidR="007A412D">
        <w:rPr>
          <w:rFonts w:ascii="Franklin Gothic Book" w:hAnsi="Franklin Gothic Book"/>
          <w:shd w:val="clear" w:color="auto" w:fill="FFFFFF"/>
        </w:rPr>
        <w:t>pools may unintentionally expose PII.</w:t>
      </w:r>
    </w:p>
    <w:p w:rsidRPr="006E0578" w:rsidR="001D3D96" w:rsidP="00EA234A" w:rsidRDefault="00CB0673" w14:paraId="2E1C73FF" w14:textId="045DC185">
      <w:pPr>
        <w:pStyle w:val="MAANormalText"/>
        <w:rPr>
          <w:rFonts w:ascii="Franklin Gothic Book" w:hAnsi="Franklin Gothic Book"/>
        </w:rPr>
      </w:pPr>
      <w:r w:rsidRPr="006E0578">
        <w:rPr>
          <w:rFonts w:ascii="Franklin Gothic Book" w:hAnsi="Franklin Gothic Book"/>
          <w:shd w:val="clear" w:color="auto" w:fill="FFFFFF"/>
        </w:rPr>
        <w:t>Mt. Auburn will ensure to minimize any potential risks to participants in the project. The burden of participation is limited to the time required to participate in interviews.</w:t>
      </w:r>
    </w:p>
    <w:p w:rsidRPr="006E0578" w:rsidR="003032D6" w:rsidP="00662878" w:rsidRDefault="007E2B3C" w14:paraId="53B7FE64" w14:textId="3CD884BF">
      <w:pPr>
        <w:pStyle w:val="Heading2"/>
        <w:numPr>
          <w:ilvl w:val="0"/>
          <w:numId w:val="0"/>
        </w:numPr>
        <w:rPr>
          <w:rFonts w:ascii="Franklin Gothic Book" w:hAnsi="Franklin Gothic Book"/>
          <w:b/>
          <w:u w:val="none"/>
        </w:rPr>
      </w:pPr>
      <w:r w:rsidRPr="006E0578">
        <w:rPr>
          <w:rFonts w:ascii="Franklin Gothic Book" w:hAnsi="Franklin Gothic Book"/>
          <w:b/>
          <w:u w:val="none"/>
        </w:rPr>
        <w:t>A11. Justification for Sensitive Questions</w:t>
      </w:r>
      <w:r w:rsidRPr="006E0578" w:rsidR="003032D6">
        <w:rPr>
          <w:rFonts w:ascii="Franklin Gothic Book" w:hAnsi="Franklin Gothic Book"/>
          <w:b/>
          <w:u w:val="none"/>
        </w:rPr>
        <w:t xml:space="preserve"> </w:t>
      </w:r>
    </w:p>
    <w:p w:rsidRPr="006E0578" w:rsidR="003032D6" w:rsidP="00EA234A" w:rsidRDefault="003032D6" w14:paraId="2A3B2BEF" w14:textId="39909E46">
      <w:pPr>
        <w:pStyle w:val="MAANormalText"/>
        <w:rPr>
          <w:rFonts w:ascii="Franklin Gothic Book" w:hAnsi="Franklin Gothic Book"/>
        </w:rPr>
      </w:pPr>
      <w:r w:rsidRPr="006E0578">
        <w:rPr>
          <w:rFonts w:ascii="Franklin Gothic Book" w:hAnsi="Franklin Gothic Book"/>
        </w:rPr>
        <w:t xml:space="preserve">No questions of a sensitive nature will be included. </w:t>
      </w:r>
    </w:p>
    <w:p w:rsidRPr="00D95BEF" w:rsidR="003032D6" w:rsidP="00662878" w:rsidRDefault="007E2B3C" w14:paraId="3B112ACB" w14:textId="2464E87E">
      <w:pPr>
        <w:pStyle w:val="Heading2"/>
        <w:numPr>
          <w:ilvl w:val="0"/>
          <w:numId w:val="0"/>
        </w:numPr>
        <w:rPr>
          <w:rFonts w:ascii="Franklin Gothic Book" w:hAnsi="Franklin Gothic Book"/>
          <w:b/>
          <w:u w:val="none"/>
        </w:rPr>
      </w:pPr>
      <w:r w:rsidRPr="00D95BEF">
        <w:rPr>
          <w:rFonts w:ascii="Franklin Gothic Book" w:hAnsi="Franklin Gothic Book"/>
          <w:b/>
          <w:bCs/>
          <w:u w:val="none"/>
        </w:rPr>
        <w:lastRenderedPageBreak/>
        <w:t>A12. Estimates of Hour Burden to Respondents</w:t>
      </w:r>
    </w:p>
    <w:p w:rsidRPr="00D95BEF" w:rsidR="6F1A638D" w:rsidP="077C836F" w:rsidRDefault="6F1A638D" w14:paraId="36427FDC" w14:textId="4A11D0DB">
      <w:pPr>
        <w:jc w:val="both"/>
        <w:rPr>
          <w:rFonts w:ascii="Franklin Gothic Book" w:hAnsi="Franklin Gothic Book"/>
          <w:color w:val="000000" w:themeColor="text1"/>
        </w:rPr>
      </w:pPr>
      <w:r w:rsidRPr="00D95BEF">
        <w:rPr>
          <w:rFonts w:ascii="Franklin Gothic Book" w:hAnsi="Franklin Gothic Book" w:eastAsia="Calibri" w:cs="Calibri"/>
          <w:color w:val="000000" w:themeColor="text1"/>
        </w:rPr>
        <w:t>Table A.1 below presents the projected burden hour estimates for case study data collection.</w:t>
      </w:r>
      <w:r w:rsidRPr="00D95BEF" w:rsidR="00B81B4D">
        <w:rPr>
          <w:rFonts w:ascii="Franklin Gothic Book" w:hAnsi="Franklin Gothic Book" w:eastAsia="Calibri" w:cs="Calibri"/>
          <w:color w:val="000000" w:themeColor="text1"/>
        </w:rPr>
        <w:t xml:space="preserve"> </w:t>
      </w:r>
      <w:r w:rsidRPr="00D95BEF">
        <w:rPr>
          <w:rFonts w:ascii="Franklin Gothic Book" w:hAnsi="Franklin Gothic Book" w:eastAsia="Calibri" w:cs="Calibri"/>
          <w:color w:val="000000" w:themeColor="text1"/>
        </w:rPr>
        <w:t>Table A.1 estimates the time respondents will need to participate in case study interviews.</w:t>
      </w:r>
      <w:r w:rsidRPr="00D95BEF" w:rsidR="00B81B4D">
        <w:rPr>
          <w:rFonts w:ascii="Franklin Gothic Book" w:hAnsi="Franklin Gothic Book" w:eastAsia="Calibri" w:cs="Calibri"/>
          <w:color w:val="000000" w:themeColor="text1"/>
        </w:rPr>
        <w:t xml:space="preserve"> </w:t>
      </w:r>
      <w:r w:rsidRPr="00D95BEF">
        <w:rPr>
          <w:rFonts w:ascii="Franklin Gothic Book" w:hAnsi="Franklin Gothic Book" w:eastAsia="Calibri" w:cs="Calibri"/>
          <w:color w:val="000000" w:themeColor="text1"/>
        </w:rPr>
        <w:t>Mt. Auburn estimates 130 case study respondents.</w:t>
      </w:r>
      <w:r w:rsidRPr="00D95BEF" w:rsidR="00B81B4D">
        <w:rPr>
          <w:rFonts w:ascii="Franklin Gothic Book" w:hAnsi="Franklin Gothic Book" w:eastAsia="Calibri" w:cs="Calibri"/>
          <w:color w:val="000000" w:themeColor="text1"/>
        </w:rPr>
        <w:t xml:space="preserve"> </w:t>
      </w:r>
      <w:r w:rsidRPr="00D95BEF">
        <w:rPr>
          <w:rFonts w:ascii="Franklin Gothic Book" w:hAnsi="Franklin Gothic Book" w:eastAsia="Calibri" w:cs="Calibri"/>
          <w:color w:val="000000" w:themeColor="text1"/>
        </w:rPr>
        <w:t>The team has used an average wage rate of $27.48 for library staff respondents</w:t>
      </w:r>
      <w:r w:rsidRPr="00D95BEF" w:rsidR="00D277EA">
        <w:rPr>
          <w:rStyle w:val="FootnoteReference"/>
          <w:rFonts w:ascii="Franklin Gothic Book" w:hAnsi="Franklin Gothic Book" w:eastAsia="Calibri" w:cs="Calibri"/>
          <w:color w:val="000000" w:themeColor="text1"/>
        </w:rPr>
        <w:footnoteReference w:id="3"/>
      </w:r>
      <w:r w:rsidRPr="00D95BEF">
        <w:rPr>
          <w:rFonts w:ascii="Franklin Gothic Book" w:hAnsi="Franklin Gothic Book" w:eastAsia="Calibri" w:cs="Calibri"/>
          <w:color w:val="000000" w:themeColor="text1"/>
        </w:rPr>
        <w:t xml:space="preserve"> and a wage rate of $27.07 for partner organizations</w:t>
      </w:r>
      <w:r w:rsidRPr="00D95BEF" w:rsidR="00D277EA">
        <w:rPr>
          <w:rStyle w:val="FootnoteReference"/>
          <w:rFonts w:ascii="Franklin Gothic Book" w:hAnsi="Franklin Gothic Book" w:eastAsia="Calibri" w:cs="Calibri"/>
          <w:color w:val="000000" w:themeColor="text1"/>
        </w:rPr>
        <w:footnoteReference w:id="4"/>
      </w:r>
      <w:r w:rsidRPr="00D95BEF">
        <w:rPr>
          <w:rFonts w:ascii="Franklin Gothic Book" w:hAnsi="Franklin Gothic Book" w:eastAsia="Calibri" w:cs="Calibri"/>
          <w:color w:val="000000" w:themeColor="text1"/>
        </w:rPr>
        <w:t xml:space="preserve"> based on average national wage data.</w:t>
      </w:r>
      <w:r w:rsidRPr="00D95BEF" w:rsidR="36427FDC">
        <w:rPr>
          <w:rFonts w:ascii="Franklin Gothic Book" w:hAnsi="Franklin Gothic Book" w:eastAsia="Calibri" w:cs="Calibri"/>
          <w:color w:val="000000" w:themeColor="text1"/>
        </w:rPr>
        <w:t xml:space="preserve"> </w:t>
      </w:r>
      <w:r w:rsidRPr="00D95BEF">
        <w:rPr>
          <w:rFonts w:ascii="Franklin Gothic Book" w:hAnsi="Franklin Gothic Book" w:eastAsia="Calibri" w:cs="Calibri"/>
          <w:color w:val="000000" w:themeColor="text1"/>
        </w:rPr>
        <w:t xml:space="preserve">Data collection instruments will be single-use; the team will only ask respondents to participate in one interview during case study data collection. </w:t>
      </w:r>
    </w:p>
    <w:p w:rsidRPr="00D95BEF" w:rsidR="37320C40" w:rsidP="37320C40" w:rsidRDefault="37320C40" w14:paraId="1DF91305" w14:textId="25DE3E02">
      <w:pPr>
        <w:jc w:val="both"/>
        <w:rPr>
          <w:rFonts w:ascii="Franklin Gothic Book" w:hAnsi="Franklin Gothic Book" w:eastAsia="Calibri" w:cs="Calibri"/>
          <w:color w:val="000000" w:themeColor="text1"/>
        </w:rPr>
      </w:pPr>
    </w:p>
    <w:p w:rsidRPr="00D95BEF" w:rsidR="6F1A638D" w:rsidP="077C836F" w:rsidRDefault="6F1A638D" w14:paraId="0347B8C9" w14:textId="5916653A">
      <w:pPr>
        <w:jc w:val="both"/>
        <w:rPr>
          <w:rFonts w:ascii="Franklin Gothic Book" w:hAnsi="Franklin Gothic Book"/>
          <w:color w:val="000000" w:themeColor="text1"/>
        </w:rPr>
      </w:pPr>
      <w:r w:rsidRPr="00D95BEF">
        <w:rPr>
          <w:rFonts w:ascii="Franklin Gothic Book" w:hAnsi="Franklin Gothic Book" w:eastAsia="Calibri" w:cs="Calibri"/>
          <w:color w:val="000000" w:themeColor="text1"/>
        </w:rPr>
        <w:t>Mt. Auburn is planning to conduct between four and 12 library staff interviews at each case study site for an estimated 80 library staff interviews, and four to six interviews with partner organization staff at each case study site for an estimated 50 partner organization interviews.</w:t>
      </w:r>
      <w:r w:rsidRPr="00D95BEF" w:rsidR="00B81B4D">
        <w:rPr>
          <w:rFonts w:ascii="Franklin Gothic Book" w:hAnsi="Franklin Gothic Book" w:eastAsia="Calibri" w:cs="Calibri"/>
          <w:color w:val="000000" w:themeColor="text1"/>
        </w:rPr>
        <w:t xml:space="preserve"> </w:t>
      </w:r>
      <w:r w:rsidRPr="00D95BEF">
        <w:rPr>
          <w:rFonts w:ascii="Franklin Gothic Book" w:hAnsi="Franklin Gothic Book" w:eastAsia="Calibri" w:cs="Calibri"/>
          <w:color w:val="000000" w:themeColor="text1"/>
        </w:rPr>
        <w:t>Each interview will be approximately 45 minutes for a total of a 60-hour burden estimate for library staff ($1,648.80) and a 37.5-hour burden estimate for partner organization staff ($1,015.13).</w:t>
      </w:r>
      <w:r w:rsidRPr="00D95BEF" w:rsidR="00B81B4D">
        <w:rPr>
          <w:rFonts w:ascii="Franklin Gothic Book" w:hAnsi="Franklin Gothic Book" w:eastAsia="Calibri" w:cs="Calibri"/>
          <w:color w:val="000000" w:themeColor="text1"/>
        </w:rPr>
        <w:t xml:space="preserve"> </w:t>
      </w:r>
    </w:p>
    <w:p w:rsidRPr="00D95BEF" w:rsidR="00C852CB" w:rsidP="5920C34D" w:rsidRDefault="6F1A638D" w14:paraId="0D56BB01" w14:textId="566703D6">
      <w:pPr>
        <w:rPr>
          <w:rFonts w:ascii="Franklin Gothic Book" w:hAnsi="Franklin Gothic Book"/>
          <w:b/>
          <w:bCs/>
          <w:color w:val="000000" w:themeColor="text1"/>
          <w:sz w:val="24"/>
          <w:szCs w:val="24"/>
        </w:rPr>
      </w:pPr>
      <w:r w:rsidRPr="00D95BEF">
        <w:rPr>
          <w:rFonts w:ascii="Franklin Gothic Book" w:hAnsi="Franklin Gothic Book"/>
          <w:color w:val="000000" w:themeColor="text1"/>
        </w:rPr>
        <w:br/>
      </w:r>
      <w:r w:rsidRPr="00D95BEF" w:rsidR="006A6788">
        <w:rPr>
          <w:rFonts w:ascii="Franklin Gothic Book" w:hAnsi="Franklin Gothic Book"/>
          <w:b/>
          <w:bCs/>
          <w:color w:val="000000" w:themeColor="text1"/>
          <w:sz w:val="24"/>
          <w:szCs w:val="24"/>
        </w:rPr>
        <w:t>Table A.1</w:t>
      </w:r>
      <w:r w:rsidRPr="00D95BEF" w:rsidR="0095650B">
        <w:rPr>
          <w:rFonts w:ascii="Franklin Gothic Book" w:hAnsi="Franklin Gothic Book"/>
          <w:b/>
          <w:bCs/>
          <w:color w:val="000000" w:themeColor="text1"/>
          <w:sz w:val="24"/>
          <w:szCs w:val="24"/>
        </w:rPr>
        <w:t xml:space="preserve">. </w:t>
      </w:r>
      <w:r w:rsidRPr="00D95BEF" w:rsidR="00C852CB">
        <w:rPr>
          <w:rFonts w:ascii="Franklin Gothic Book" w:hAnsi="Franklin Gothic Book"/>
          <w:b/>
          <w:bCs/>
          <w:color w:val="000000" w:themeColor="text1"/>
          <w:sz w:val="24"/>
          <w:szCs w:val="24"/>
        </w:rPr>
        <w:t>Burden Estimates</w:t>
      </w:r>
      <w:r w:rsidRPr="00D95BEF" w:rsidR="00A77BA6">
        <w:rPr>
          <w:rStyle w:val="FootnoteReference"/>
          <w:rFonts w:ascii="Franklin Gothic Book" w:hAnsi="Franklin Gothic Book"/>
          <w:b/>
          <w:bCs/>
          <w:color w:val="000000" w:themeColor="text1"/>
          <w:sz w:val="24"/>
          <w:szCs w:val="24"/>
        </w:rPr>
        <w:footnoteReference w:id="5"/>
      </w:r>
    </w:p>
    <w:tbl>
      <w:tblPr>
        <w:tblW w:w="0" w:type="auto"/>
        <w:tblLayout w:type="fixed"/>
        <w:tblLook w:val="04A0" w:firstRow="1" w:lastRow="0" w:firstColumn="1" w:lastColumn="0" w:noHBand="0" w:noVBand="1"/>
      </w:tblPr>
      <w:tblGrid>
        <w:gridCol w:w="2229"/>
        <w:gridCol w:w="1426"/>
        <w:gridCol w:w="1070"/>
        <w:gridCol w:w="1694"/>
        <w:gridCol w:w="1070"/>
        <w:gridCol w:w="1872"/>
      </w:tblGrid>
      <w:tr w:rsidRPr="00D95BEF" w:rsidR="00D95BEF" w:rsidTr="077C836F" w14:paraId="75C9F11E" w14:textId="77777777">
        <w:trPr>
          <w:trHeight w:val="735"/>
        </w:trPr>
        <w:tc>
          <w:tcPr>
            <w:tcW w:w="2229" w:type="dxa"/>
            <w:tcBorders>
              <w:top w:val="single" w:color="auto" w:sz="8" w:space="0"/>
              <w:left w:val="single" w:color="auto" w:sz="8" w:space="0"/>
              <w:bottom w:val="single" w:color="auto" w:sz="8" w:space="0"/>
              <w:right w:val="single" w:color="auto" w:sz="8" w:space="0"/>
            </w:tcBorders>
            <w:vAlign w:val="center"/>
          </w:tcPr>
          <w:p w:rsidRPr="00D95BEF" w:rsidR="077C836F" w:rsidP="077C836F" w:rsidRDefault="077C836F" w14:paraId="7DF0ACE6" w14:textId="650EF601">
            <w:pPr>
              <w:jc w:val="center"/>
              <w:rPr>
                <w:rFonts w:ascii="Franklin Gothic Book" w:hAnsi="Franklin Gothic Book"/>
                <w:color w:val="000000" w:themeColor="text1"/>
              </w:rPr>
            </w:pPr>
            <w:r w:rsidRPr="00D95BEF">
              <w:rPr>
                <w:rFonts w:ascii="Franklin Gothic Book" w:hAnsi="Franklin Gothic Book" w:eastAsia="Calibri" w:cs="Calibri"/>
                <w:b/>
                <w:bCs/>
                <w:i/>
                <w:iCs/>
                <w:color w:val="000000" w:themeColor="text1"/>
                <w:sz w:val="18"/>
                <w:szCs w:val="18"/>
              </w:rPr>
              <w:t>Instrument</w:t>
            </w:r>
          </w:p>
        </w:tc>
        <w:tc>
          <w:tcPr>
            <w:tcW w:w="1426" w:type="dxa"/>
            <w:tcBorders>
              <w:top w:val="single" w:color="auto" w:sz="8" w:space="0"/>
              <w:left w:val="single" w:color="auto" w:sz="8" w:space="0"/>
              <w:bottom w:val="single" w:color="auto" w:sz="8" w:space="0"/>
              <w:right w:val="single" w:color="auto" w:sz="8" w:space="0"/>
            </w:tcBorders>
            <w:vAlign w:val="center"/>
          </w:tcPr>
          <w:p w:rsidRPr="00D95BEF" w:rsidR="077C836F" w:rsidP="077C836F" w:rsidRDefault="077C836F" w14:paraId="65E24B61" w14:textId="4E29EE72">
            <w:pPr>
              <w:jc w:val="center"/>
              <w:rPr>
                <w:rFonts w:ascii="Franklin Gothic Book" w:hAnsi="Franklin Gothic Book"/>
                <w:color w:val="000000" w:themeColor="text1"/>
              </w:rPr>
            </w:pPr>
            <w:r w:rsidRPr="00D95BEF">
              <w:rPr>
                <w:rFonts w:ascii="Franklin Gothic Book" w:hAnsi="Franklin Gothic Book" w:eastAsia="Calibri" w:cs="Calibri"/>
                <w:b/>
                <w:bCs/>
                <w:i/>
                <w:iCs/>
                <w:color w:val="000000" w:themeColor="text1"/>
                <w:sz w:val="18"/>
                <w:szCs w:val="18"/>
              </w:rPr>
              <w:t>Predicted or Target Responses</w:t>
            </w:r>
          </w:p>
        </w:tc>
        <w:tc>
          <w:tcPr>
            <w:tcW w:w="1070" w:type="dxa"/>
            <w:tcBorders>
              <w:top w:val="single" w:color="auto" w:sz="8" w:space="0"/>
              <w:left w:val="single" w:color="auto" w:sz="8" w:space="0"/>
              <w:bottom w:val="single" w:color="auto" w:sz="8" w:space="0"/>
              <w:right w:val="single" w:color="auto" w:sz="8" w:space="0"/>
            </w:tcBorders>
            <w:vAlign w:val="center"/>
          </w:tcPr>
          <w:p w:rsidRPr="00D95BEF" w:rsidR="077C836F" w:rsidP="077C836F" w:rsidRDefault="077C836F" w14:paraId="5B9C215F" w14:textId="614328D7">
            <w:pPr>
              <w:jc w:val="center"/>
              <w:rPr>
                <w:rFonts w:ascii="Franklin Gothic Book" w:hAnsi="Franklin Gothic Book"/>
                <w:color w:val="000000" w:themeColor="text1"/>
              </w:rPr>
            </w:pPr>
            <w:r w:rsidRPr="00D95BEF">
              <w:rPr>
                <w:rFonts w:ascii="Franklin Gothic Book" w:hAnsi="Franklin Gothic Book" w:eastAsia="Calibri" w:cs="Calibri"/>
                <w:b/>
                <w:bCs/>
                <w:i/>
                <w:iCs/>
                <w:color w:val="000000" w:themeColor="text1"/>
                <w:sz w:val="18"/>
                <w:szCs w:val="18"/>
              </w:rPr>
              <w:t>Burden Hour Per Response</w:t>
            </w:r>
          </w:p>
        </w:tc>
        <w:tc>
          <w:tcPr>
            <w:tcW w:w="1694" w:type="dxa"/>
            <w:tcBorders>
              <w:top w:val="single" w:color="auto" w:sz="8" w:space="0"/>
              <w:left w:val="single" w:color="auto" w:sz="8" w:space="0"/>
              <w:bottom w:val="single" w:color="auto" w:sz="8" w:space="0"/>
              <w:right w:val="single" w:color="auto" w:sz="8" w:space="0"/>
            </w:tcBorders>
            <w:vAlign w:val="center"/>
          </w:tcPr>
          <w:p w:rsidRPr="00D95BEF" w:rsidR="077C836F" w:rsidP="077C836F" w:rsidRDefault="077C836F" w14:paraId="434875B2" w14:textId="77464A56">
            <w:pPr>
              <w:jc w:val="center"/>
              <w:rPr>
                <w:rFonts w:ascii="Franklin Gothic Book" w:hAnsi="Franklin Gothic Book"/>
                <w:color w:val="000000" w:themeColor="text1"/>
              </w:rPr>
            </w:pPr>
            <w:r w:rsidRPr="00D95BEF">
              <w:rPr>
                <w:rFonts w:ascii="Franklin Gothic Book" w:hAnsi="Franklin Gothic Book" w:eastAsia="Calibri" w:cs="Calibri"/>
                <w:b/>
                <w:bCs/>
                <w:i/>
                <w:iCs/>
                <w:color w:val="000000" w:themeColor="text1"/>
                <w:sz w:val="18"/>
                <w:szCs w:val="18"/>
              </w:rPr>
              <w:t>Total Burden Hours (Predicted or Targeted Responses)</w:t>
            </w:r>
          </w:p>
        </w:tc>
        <w:tc>
          <w:tcPr>
            <w:tcW w:w="1070" w:type="dxa"/>
            <w:tcBorders>
              <w:top w:val="single" w:color="auto" w:sz="8" w:space="0"/>
              <w:left w:val="single" w:color="auto" w:sz="8" w:space="0"/>
              <w:bottom w:val="single" w:color="auto" w:sz="8" w:space="0"/>
              <w:right w:val="single" w:color="auto" w:sz="8" w:space="0"/>
            </w:tcBorders>
            <w:vAlign w:val="center"/>
          </w:tcPr>
          <w:p w:rsidRPr="00D95BEF" w:rsidR="077C836F" w:rsidP="077C836F" w:rsidRDefault="077C836F" w14:paraId="10F2C5D2" w14:textId="48D4AA47">
            <w:pPr>
              <w:jc w:val="center"/>
              <w:rPr>
                <w:rFonts w:ascii="Franklin Gothic Book" w:hAnsi="Franklin Gothic Book"/>
                <w:color w:val="000000" w:themeColor="text1"/>
              </w:rPr>
            </w:pPr>
            <w:r w:rsidRPr="00D95BEF">
              <w:rPr>
                <w:rFonts w:ascii="Franklin Gothic Book" w:hAnsi="Franklin Gothic Book" w:eastAsia="Calibri" w:cs="Calibri"/>
                <w:b/>
                <w:bCs/>
                <w:i/>
                <w:iCs/>
                <w:color w:val="000000" w:themeColor="text1"/>
                <w:sz w:val="18"/>
                <w:szCs w:val="18"/>
              </w:rPr>
              <w:t>Hourly Cost per Response</w:t>
            </w:r>
          </w:p>
        </w:tc>
        <w:tc>
          <w:tcPr>
            <w:tcW w:w="1872" w:type="dxa"/>
            <w:tcBorders>
              <w:top w:val="single" w:color="auto" w:sz="8" w:space="0"/>
              <w:left w:val="single" w:color="auto" w:sz="8" w:space="0"/>
              <w:bottom w:val="single" w:color="auto" w:sz="8" w:space="0"/>
              <w:right w:val="single" w:color="auto" w:sz="8" w:space="0"/>
            </w:tcBorders>
            <w:vAlign w:val="center"/>
          </w:tcPr>
          <w:p w:rsidRPr="00D95BEF" w:rsidR="077C836F" w:rsidP="077C836F" w:rsidRDefault="077C836F" w14:paraId="6B583FD2" w14:textId="5780B369">
            <w:pPr>
              <w:jc w:val="center"/>
              <w:rPr>
                <w:rFonts w:ascii="Franklin Gothic Book" w:hAnsi="Franklin Gothic Book"/>
                <w:color w:val="000000" w:themeColor="text1"/>
              </w:rPr>
            </w:pPr>
            <w:r w:rsidRPr="00D95BEF">
              <w:rPr>
                <w:rFonts w:ascii="Franklin Gothic Book" w:hAnsi="Franklin Gothic Book" w:eastAsia="Calibri" w:cs="Calibri"/>
                <w:b/>
                <w:bCs/>
                <w:i/>
                <w:iCs/>
                <w:color w:val="000000" w:themeColor="text1"/>
                <w:sz w:val="18"/>
                <w:szCs w:val="18"/>
              </w:rPr>
              <w:t>Cost (Predicted or Targeted Responses)</w:t>
            </w:r>
          </w:p>
        </w:tc>
      </w:tr>
      <w:tr w:rsidRPr="00D95BEF" w:rsidR="00D95BEF" w:rsidTr="077C836F" w14:paraId="229E350C" w14:textId="77777777">
        <w:trPr>
          <w:trHeight w:val="525"/>
        </w:trPr>
        <w:tc>
          <w:tcPr>
            <w:tcW w:w="2229" w:type="dxa"/>
            <w:tcBorders>
              <w:top w:val="single" w:color="auto" w:sz="8" w:space="0"/>
              <w:left w:val="single" w:color="auto" w:sz="8" w:space="0"/>
              <w:bottom w:val="single" w:color="auto" w:sz="8" w:space="0"/>
              <w:right w:val="single" w:color="auto" w:sz="8" w:space="0"/>
            </w:tcBorders>
            <w:vAlign w:val="center"/>
          </w:tcPr>
          <w:p w:rsidRPr="00D95BEF" w:rsidR="077C836F" w:rsidRDefault="077C836F" w14:paraId="479B12B0" w14:textId="0FF149C3">
            <w:pPr>
              <w:rPr>
                <w:rFonts w:ascii="Franklin Gothic Book" w:hAnsi="Franklin Gothic Book"/>
                <w:color w:val="000000" w:themeColor="text1"/>
              </w:rPr>
            </w:pPr>
            <w:r w:rsidRPr="00D95BEF">
              <w:rPr>
                <w:rFonts w:ascii="Franklin Gothic Book" w:hAnsi="Franklin Gothic Book" w:eastAsia="Calibri" w:cs="Calibri"/>
                <w:color w:val="000000" w:themeColor="text1"/>
                <w:sz w:val="18"/>
                <w:szCs w:val="18"/>
              </w:rPr>
              <w:t>Interviews with case study library staff respondents</w:t>
            </w:r>
          </w:p>
        </w:tc>
        <w:tc>
          <w:tcPr>
            <w:tcW w:w="1426" w:type="dxa"/>
            <w:tcBorders>
              <w:top w:val="single" w:color="auto" w:sz="8" w:space="0"/>
              <w:left w:val="single" w:color="auto" w:sz="8" w:space="0"/>
              <w:bottom w:val="single" w:color="auto" w:sz="8" w:space="0"/>
              <w:right w:val="single" w:color="auto" w:sz="8" w:space="0"/>
            </w:tcBorders>
            <w:vAlign w:val="center"/>
          </w:tcPr>
          <w:p w:rsidRPr="00D95BEF" w:rsidR="077C836F" w:rsidP="077C836F" w:rsidRDefault="077C836F" w14:paraId="0159B3CC" w14:textId="69818ADE">
            <w:pPr>
              <w:jc w:val="center"/>
              <w:rPr>
                <w:rFonts w:ascii="Franklin Gothic Book" w:hAnsi="Franklin Gothic Book"/>
                <w:color w:val="000000" w:themeColor="text1"/>
              </w:rPr>
            </w:pPr>
            <w:r w:rsidRPr="00D95BEF">
              <w:rPr>
                <w:rFonts w:ascii="Franklin Gothic Book" w:hAnsi="Franklin Gothic Book" w:eastAsia="Calibri" w:cs="Calibri"/>
                <w:color w:val="000000" w:themeColor="text1"/>
                <w:sz w:val="18"/>
                <w:szCs w:val="18"/>
              </w:rPr>
              <w:t>80</w:t>
            </w:r>
          </w:p>
        </w:tc>
        <w:tc>
          <w:tcPr>
            <w:tcW w:w="1070" w:type="dxa"/>
            <w:tcBorders>
              <w:top w:val="single" w:color="auto" w:sz="8" w:space="0"/>
              <w:left w:val="single" w:color="auto" w:sz="8" w:space="0"/>
              <w:bottom w:val="single" w:color="auto" w:sz="8" w:space="0"/>
              <w:right w:val="single" w:color="auto" w:sz="8" w:space="0"/>
            </w:tcBorders>
            <w:vAlign w:val="center"/>
          </w:tcPr>
          <w:p w:rsidRPr="00D95BEF" w:rsidR="077C836F" w:rsidP="077C836F" w:rsidRDefault="077C836F" w14:paraId="7E9D7EBD" w14:textId="4F9DD075">
            <w:pPr>
              <w:jc w:val="center"/>
              <w:rPr>
                <w:rFonts w:ascii="Franklin Gothic Book" w:hAnsi="Franklin Gothic Book"/>
                <w:color w:val="000000" w:themeColor="text1"/>
              </w:rPr>
            </w:pPr>
            <w:r w:rsidRPr="00D95BEF">
              <w:rPr>
                <w:rFonts w:ascii="Franklin Gothic Book" w:hAnsi="Franklin Gothic Book" w:eastAsia="Calibri" w:cs="Calibri"/>
                <w:color w:val="000000" w:themeColor="text1"/>
                <w:sz w:val="18"/>
                <w:szCs w:val="18"/>
              </w:rPr>
              <w:t>0.75</w:t>
            </w:r>
          </w:p>
        </w:tc>
        <w:tc>
          <w:tcPr>
            <w:tcW w:w="1694" w:type="dxa"/>
            <w:tcBorders>
              <w:top w:val="single" w:color="auto" w:sz="8" w:space="0"/>
              <w:left w:val="single" w:color="auto" w:sz="8" w:space="0"/>
              <w:bottom w:val="single" w:color="auto" w:sz="8" w:space="0"/>
              <w:right w:val="single" w:color="auto" w:sz="8" w:space="0"/>
            </w:tcBorders>
            <w:vAlign w:val="center"/>
          </w:tcPr>
          <w:p w:rsidRPr="00D95BEF" w:rsidR="077C836F" w:rsidP="077C836F" w:rsidRDefault="077C836F" w14:paraId="500E0C11" w14:textId="5A6EBBAC">
            <w:pPr>
              <w:jc w:val="center"/>
              <w:rPr>
                <w:rFonts w:ascii="Franklin Gothic Book" w:hAnsi="Franklin Gothic Book"/>
                <w:color w:val="000000" w:themeColor="text1"/>
              </w:rPr>
            </w:pPr>
            <w:r w:rsidRPr="00D95BEF">
              <w:rPr>
                <w:rFonts w:ascii="Franklin Gothic Book" w:hAnsi="Franklin Gothic Book" w:eastAsia="Calibri" w:cs="Calibri"/>
                <w:color w:val="000000" w:themeColor="text1"/>
                <w:sz w:val="18"/>
                <w:szCs w:val="18"/>
              </w:rPr>
              <w:t>60</w:t>
            </w:r>
          </w:p>
        </w:tc>
        <w:tc>
          <w:tcPr>
            <w:tcW w:w="1070" w:type="dxa"/>
            <w:tcBorders>
              <w:top w:val="single" w:color="auto" w:sz="8" w:space="0"/>
              <w:left w:val="single" w:color="auto" w:sz="8" w:space="0"/>
              <w:bottom w:val="single" w:color="auto" w:sz="8" w:space="0"/>
              <w:right w:val="single" w:color="auto" w:sz="8" w:space="0"/>
            </w:tcBorders>
            <w:vAlign w:val="center"/>
          </w:tcPr>
          <w:p w:rsidRPr="00D95BEF" w:rsidR="077C836F" w:rsidP="077C836F" w:rsidRDefault="077C836F" w14:paraId="4B50EF66" w14:textId="3F158F82">
            <w:pPr>
              <w:jc w:val="center"/>
              <w:rPr>
                <w:rFonts w:ascii="Franklin Gothic Book" w:hAnsi="Franklin Gothic Book"/>
                <w:color w:val="000000" w:themeColor="text1"/>
              </w:rPr>
            </w:pPr>
            <w:r w:rsidRPr="00D95BEF">
              <w:rPr>
                <w:rFonts w:ascii="Franklin Gothic Book" w:hAnsi="Franklin Gothic Book" w:eastAsia="Calibri" w:cs="Calibri"/>
                <w:color w:val="000000" w:themeColor="text1"/>
                <w:sz w:val="18"/>
                <w:szCs w:val="18"/>
              </w:rPr>
              <w:t xml:space="preserve">$27.48 </w:t>
            </w:r>
          </w:p>
        </w:tc>
        <w:tc>
          <w:tcPr>
            <w:tcW w:w="1872" w:type="dxa"/>
            <w:tcBorders>
              <w:top w:val="single" w:color="auto" w:sz="8" w:space="0"/>
              <w:left w:val="single" w:color="auto" w:sz="8" w:space="0"/>
              <w:bottom w:val="single" w:color="auto" w:sz="8" w:space="0"/>
              <w:right w:val="single" w:color="auto" w:sz="8" w:space="0"/>
            </w:tcBorders>
            <w:vAlign w:val="center"/>
          </w:tcPr>
          <w:p w:rsidRPr="00D95BEF" w:rsidR="077C836F" w:rsidP="077C836F" w:rsidRDefault="077C836F" w14:paraId="46C0B47D" w14:textId="5D373840">
            <w:pPr>
              <w:jc w:val="center"/>
              <w:rPr>
                <w:rFonts w:ascii="Franklin Gothic Book" w:hAnsi="Franklin Gothic Book"/>
                <w:color w:val="000000" w:themeColor="text1"/>
              </w:rPr>
            </w:pPr>
            <w:r w:rsidRPr="00D95BEF">
              <w:rPr>
                <w:rFonts w:ascii="Franklin Gothic Book" w:hAnsi="Franklin Gothic Book" w:eastAsia="Calibri" w:cs="Calibri"/>
                <w:color w:val="000000" w:themeColor="text1"/>
                <w:sz w:val="18"/>
                <w:szCs w:val="18"/>
              </w:rPr>
              <w:t>$1,648.80</w:t>
            </w:r>
          </w:p>
        </w:tc>
      </w:tr>
      <w:tr w:rsidRPr="00D95BEF" w:rsidR="00D95BEF" w:rsidTr="077C836F" w14:paraId="6255CE6A" w14:textId="77777777">
        <w:trPr>
          <w:trHeight w:val="525"/>
        </w:trPr>
        <w:tc>
          <w:tcPr>
            <w:tcW w:w="2229" w:type="dxa"/>
            <w:tcBorders>
              <w:top w:val="single" w:color="auto" w:sz="8" w:space="0"/>
              <w:left w:val="single" w:color="auto" w:sz="8" w:space="0"/>
              <w:bottom w:val="single" w:color="auto" w:sz="8" w:space="0"/>
              <w:right w:val="single" w:color="auto" w:sz="8" w:space="0"/>
            </w:tcBorders>
            <w:vAlign w:val="center"/>
          </w:tcPr>
          <w:p w:rsidRPr="00D95BEF" w:rsidR="077C836F" w:rsidRDefault="077C836F" w14:paraId="4AD6117C" w14:textId="31300B5A">
            <w:pPr>
              <w:rPr>
                <w:rFonts w:ascii="Franklin Gothic Book" w:hAnsi="Franklin Gothic Book"/>
                <w:color w:val="000000" w:themeColor="text1"/>
              </w:rPr>
            </w:pPr>
            <w:r w:rsidRPr="00D95BEF">
              <w:rPr>
                <w:rFonts w:ascii="Franklin Gothic Book" w:hAnsi="Franklin Gothic Book" w:eastAsia="Calibri" w:cs="Calibri"/>
                <w:color w:val="000000" w:themeColor="text1"/>
                <w:sz w:val="18"/>
                <w:szCs w:val="18"/>
              </w:rPr>
              <w:t>Interviews with other case study stakeholders</w:t>
            </w:r>
          </w:p>
        </w:tc>
        <w:tc>
          <w:tcPr>
            <w:tcW w:w="1426" w:type="dxa"/>
            <w:tcBorders>
              <w:top w:val="single" w:color="auto" w:sz="8" w:space="0"/>
              <w:left w:val="single" w:color="auto" w:sz="8" w:space="0"/>
              <w:bottom w:val="single" w:color="auto" w:sz="8" w:space="0"/>
              <w:right w:val="single" w:color="auto" w:sz="8" w:space="0"/>
            </w:tcBorders>
            <w:vAlign w:val="center"/>
          </w:tcPr>
          <w:p w:rsidRPr="00D95BEF" w:rsidR="077C836F" w:rsidP="077C836F" w:rsidRDefault="077C836F" w14:paraId="13EF1276" w14:textId="026A8A96">
            <w:pPr>
              <w:jc w:val="center"/>
              <w:rPr>
                <w:rFonts w:ascii="Franklin Gothic Book" w:hAnsi="Franklin Gothic Book"/>
                <w:color w:val="000000" w:themeColor="text1"/>
              </w:rPr>
            </w:pPr>
            <w:r w:rsidRPr="00D95BEF">
              <w:rPr>
                <w:rFonts w:ascii="Franklin Gothic Book" w:hAnsi="Franklin Gothic Book" w:eastAsia="Calibri" w:cs="Calibri"/>
                <w:color w:val="000000" w:themeColor="text1"/>
                <w:sz w:val="18"/>
                <w:szCs w:val="18"/>
              </w:rPr>
              <w:t>50</w:t>
            </w:r>
          </w:p>
        </w:tc>
        <w:tc>
          <w:tcPr>
            <w:tcW w:w="1070" w:type="dxa"/>
            <w:tcBorders>
              <w:top w:val="single" w:color="auto" w:sz="8" w:space="0"/>
              <w:left w:val="single" w:color="auto" w:sz="8" w:space="0"/>
              <w:bottom w:val="single" w:color="auto" w:sz="8" w:space="0"/>
              <w:right w:val="single" w:color="auto" w:sz="8" w:space="0"/>
            </w:tcBorders>
            <w:vAlign w:val="center"/>
          </w:tcPr>
          <w:p w:rsidRPr="00D95BEF" w:rsidR="077C836F" w:rsidP="077C836F" w:rsidRDefault="077C836F" w14:paraId="2481ED93" w14:textId="26D358A0">
            <w:pPr>
              <w:jc w:val="center"/>
              <w:rPr>
                <w:rFonts w:ascii="Franklin Gothic Book" w:hAnsi="Franklin Gothic Book"/>
                <w:color w:val="000000" w:themeColor="text1"/>
              </w:rPr>
            </w:pPr>
            <w:r w:rsidRPr="00D95BEF">
              <w:rPr>
                <w:rFonts w:ascii="Franklin Gothic Book" w:hAnsi="Franklin Gothic Book" w:eastAsia="Calibri" w:cs="Calibri"/>
                <w:color w:val="000000" w:themeColor="text1"/>
                <w:sz w:val="18"/>
                <w:szCs w:val="18"/>
              </w:rPr>
              <w:t>0.75</w:t>
            </w:r>
          </w:p>
        </w:tc>
        <w:tc>
          <w:tcPr>
            <w:tcW w:w="1694" w:type="dxa"/>
            <w:tcBorders>
              <w:top w:val="single" w:color="auto" w:sz="8" w:space="0"/>
              <w:left w:val="single" w:color="auto" w:sz="8" w:space="0"/>
              <w:bottom w:val="single" w:color="auto" w:sz="8" w:space="0"/>
              <w:right w:val="single" w:color="auto" w:sz="8" w:space="0"/>
            </w:tcBorders>
            <w:vAlign w:val="center"/>
          </w:tcPr>
          <w:p w:rsidRPr="00D95BEF" w:rsidR="077C836F" w:rsidP="077C836F" w:rsidRDefault="077C836F" w14:paraId="4D2C096F" w14:textId="33363101">
            <w:pPr>
              <w:jc w:val="center"/>
              <w:rPr>
                <w:rFonts w:ascii="Franklin Gothic Book" w:hAnsi="Franklin Gothic Book"/>
                <w:color w:val="000000" w:themeColor="text1"/>
              </w:rPr>
            </w:pPr>
            <w:r w:rsidRPr="00D95BEF">
              <w:rPr>
                <w:rFonts w:ascii="Franklin Gothic Book" w:hAnsi="Franklin Gothic Book" w:eastAsia="Calibri" w:cs="Calibri"/>
                <w:color w:val="000000" w:themeColor="text1"/>
                <w:sz w:val="18"/>
                <w:szCs w:val="18"/>
              </w:rPr>
              <w:t>37.5</w:t>
            </w:r>
          </w:p>
        </w:tc>
        <w:tc>
          <w:tcPr>
            <w:tcW w:w="1070" w:type="dxa"/>
            <w:tcBorders>
              <w:top w:val="single" w:color="auto" w:sz="8" w:space="0"/>
              <w:left w:val="single" w:color="auto" w:sz="8" w:space="0"/>
              <w:bottom w:val="single" w:color="auto" w:sz="8" w:space="0"/>
              <w:right w:val="single" w:color="auto" w:sz="8" w:space="0"/>
            </w:tcBorders>
            <w:vAlign w:val="center"/>
          </w:tcPr>
          <w:p w:rsidRPr="00D95BEF" w:rsidR="077C836F" w:rsidP="077C836F" w:rsidRDefault="077C836F" w14:paraId="5D5383CB" w14:textId="79C77F61">
            <w:pPr>
              <w:jc w:val="center"/>
              <w:rPr>
                <w:rFonts w:ascii="Franklin Gothic Book" w:hAnsi="Franklin Gothic Book"/>
                <w:color w:val="000000" w:themeColor="text1"/>
              </w:rPr>
            </w:pPr>
            <w:r w:rsidRPr="00D95BEF">
              <w:rPr>
                <w:rFonts w:ascii="Franklin Gothic Book" w:hAnsi="Franklin Gothic Book" w:eastAsia="Calibri" w:cs="Calibri"/>
                <w:color w:val="000000" w:themeColor="text1"/>
                <w:sz w:val="18"/>
                <w:szCs w:val="18"/>
              </w:rPr>
              <w:t xml:space="preserve">$27.07 </w:t>
            </w:r>
          </w:p>
        </w:tc>
        <w:tc>
          <w:tcPr>
            <w:tcW w:w="1872" w:type="dxa"/>
            <w:tcBorders>
              <w:top w:val="single" w:color="auto" w:sz="8" w:space="0"/>
              <w:left w:val="single" w:color="auto" w:sz="8" w:space="0"/>
              <w:bottom w:val="single" w:color="auto" w:sz="8" w:space="0"/>
              <w:right w:val="single" w:color="auto" w:sz="8" w:space="0"/>
            </w:tcBorders>
            <w:vAlign w:val="center"/>
          </w:tcPr>
          <w:p w:rsidRPr="00D95BEF" w:rsidR="077C836F" w:rsidP="077C836F" w:rsidRDefault="077C836F" w14:paraId="5AE430AC" w14:textId="1580E13C">
            <w:pPr>
              <w:jc w:val="center"/>
              <w:rPr>
                <w:rFonts w:ascii="Franklin Gothic Book" w:hAnsi="Franklin Gothic Book"/>
                <w:color w:val="000000" w:themeColor="text1"/>
              </w:rPr>
            </w:pPr>
            <w:r w:rsidRPr="00D95BEF">
              <w:rPr>
                <w:rFonts w:ascii="Franklin Gothic Book" w:hAnsi="Franklin Gothic Book" w:eastAsia="Calibri" w:cs="Calibri"/>
                <w:color w:val="000000" w:themeColor="text1"/>
                <w:sz w:val="18"/>
                <w:szCs w:val="18"/>
              </w:rPr>
              <w:t>$1,015.13</w:t>
            </w:r>
          </w:p>
        </w:tc>
      </w:tr>
      <w:tr w:rsidRPr="00D95BEF" w:rsidR="00D95BEF" w:rsidTr="077C836F" w14:paraId="4FAE381F" w14:textId="77777777">
        <w:trPr>
          <w:trHeight w:val="75"/>
        </w:trPr>
        <w:tc>
          <w:tcPr>
            <w:tcW w:w="2229" w:type="dxa"/>
            <w:tcBorders>
              <w:top w:val="single" w:color="auto" w:sz="8" w:space="0"/>
              <w:left w:val="single" w:color="auto" w:sz="8" w:space="0"/>
              <w:bottom w:val="single" w:color="auto" w:sz="8" w:space="0"/>
              <w:right w:val="single" w:color="auto" w:sz="8" w:space="0"/>
            </w:tcBorders>
            <w:vAlign w:val="center"/>
          </w:tcPr>
          <w:p w:rsidRPr="00D95BEF" w:rsidR="077C836F" w:rsidRDefault="077C836F" w14:paraId="15664551" w14:textId="019A21E9">
            <w:pPr>
              <w:rPr>
                <w:rFonts w:ascii="Franklin Gothic Book" w:hAnsi="Franklin Gothic Book"/>
                <w:color w:val="000000" w:themeColor="text1"/>
              </w:rPr>
            </w:pPr>
            <w:r w:rsidRPr="00D95BEF">
              <w:rPr>
                <w:rFonts w:ascii="Franklin Gothic Book" w:hAnsi="Franklin Gothic Book" w:eastAsia="Calibri" w:cs="Calibri"/>
                <w:color w:val="000000" w:themeColor="text1"/>
                <w:sz w:val="18"/>
                <w:szCs w:val="18"/>
              </w:rPr>
              <w:t xml:space="preserve">Total </w:t>
            </w:r>
          </w:p>
        </w:tc>
        <w:tc>
          <w:tcPr>
            <w:tcW w:w="1426" w:type="dxa"/>
            <w:tcBorders>
              <w:top w:val="single" w:color="auto" w:sz="8" w:space="0"/>
              <w:left w:val="single" w:color="auto" w:sz="8" w:space="0"/>
              <w:bottom w:val="single" w:color="auto" w:sz="8" w:space="0"/>
              <w:right w:val="single" w:color="auto" w:sz="8" w:space="0"/>
            </w:tcBorders>
            <w:vAlign w:val="center"/>
          </w:tcPr>
          <w:p w:rsidRPr="00D95BEF" w:rsidR="077C836F" w:rsidP="077C836F" w:rsidRDefault="077C836F" w14:paraId="5B2F4E41" w14:textId="3902C19A">
            <w:pPr>
              <w:jc w:val="center"/>
              <w:rPr>
                <w:rFonts w:ascii="Franklin Gothic Book" w:hAnsi="Franklin Gothic Book"/>
                <w:color w:val="000000" w:themeColor="text1"/>
              </w:rPr>
            </w:pPr>
            <w:r w:rsidRPr="00D95BEF">
              <w:rPr>
                <w:rFonts w:ascii="Franklin Gothic Book" w:hAnsi="Franklin Gothic Book" w:eastAsia="Calibri" w:cs="Calibri"/>
                <w:color w:val="000000" w:themeColor="text1"/>
                <w:sz w:val="18"/>
                <w:szCs w:val="18"/>
              </w:rPr>
              <w:t>130</w:t>
            </w:r>
          </w:p>
        </w:tc>
        <w:tc>
          <w:tcPr>
            <w:tcW w:w="1070"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Pr="00D95BEF" w:rsidR="077C836F" w:rsidP="077C836F" w:rsidRDefault="077C836F" w14:paraId="2D8B3259" w14:textId="6BC7BC30">
            <w:pPr>
              <w:jc w:val="center"/>
              <w:rPr>
                <w:rFonts w:ascii="Franklin Gothic Book" w:hAnsi="Franklin Gothic Book"/>
                <w:color w:val="000000" w:themeColor="text1"/>
              </w:rPr>
            </w:pPr>
            <w:r w:rsidRPr="00D95BEF">
              <w:rPr>
                <w:rFonts w:ascii="Franklin Gothic Book" w:hAnsi="Franklin Gothic Book" w:eastAsia="Calibri" w:cs="Calibri"/>
                <w:color w:val="000000" w:themeColor="text1"/>
                <w:sz w:val="18"/>
                <w:szCs w:val="18"/>
              </w:rPr>
              <w:t xml:space="preserve"> </w:t>
            </w:r>
          </w:p>
        </w:tc>
        <w:tc>
          <w:tcPr>
            <w:tcW w:w="1694" w:type="dxa"/>
            <w:tcBorders>
              <w:top w:val="single" w:color="auto" w:sz="8" w:space="0"/>
              <w:left w:val="single" w:color="auto" w:sz="8" w:space="0"/>
              <w:bottom w:val="single" w:color="auto" w:sz="8" w:space="0"/>
              <w:right w:val="single" w:color="auto" w:sz="8" w:space="0"/>
            </w:tcBorders>
            <w:vAlign w:val="center"/>
          </w:tcPr>
          <w:p w:rsidRPr="00D95BEF" w:rsidR="077C836F" w:rsidP="077C836F" w:rsidRDefault="077C836F" w14:paraId="6DBD21D3" w14:textId="4F760051">
            <w:pPr>
              <w:jc w:val="center"/>
              <w:rPr>
                <w:rFonts w:ascii="Franklin Gothic Book" w:hAnsi="Franklin Gothic Book"/>
                <w:color w:val="000000" w:themeColor="text1"/>
              </w:rPr>
            </w:pPr>
            <w:r w:rsidRPr="00D95BEF">
              <w:rPr>
                <w:rFonts w:ascii="Franklin Gothic Book" w:hAnsi="Franklin Gothic Book" w:eastAsia="Calibri" w:cs="Calibri"/>
                <w:color w:val="000000" w:themeColor="text1"/>
                <w:sz w:val="18"/>
                <w:szCs w:val="18"/>
              </w:rPr>
              <w:t>97.5</w:t>
            </w:r>
          </w:p>
        </w:tc>
        <w:tc>
          <w:tcPr>
            <w:tcW w:w="1070" w:type="dxa"/>
            <w:tcBorders>
              <w:top w:val="single" w:color="auto" w:sz="8" w:space="0"/>
              <w:left w:val="single" w:color="auto" w:sz="8" w:space="0"/>
              <w:bottom w:val="single" w:color="auto" w:sz="8" w:space="0"/>
              <w:right w:val="single" w:color="auto" w:sz="8" w:space="0"/>
            </w:tcBorders>
            <w:shd w:val="clear" w:color="auto" w:fill="BFBFBF" w:themeFill="background1" w:themeFillShade="BF"/>
            <w:vAlign w:val="center"/>
          </w:tcPr>
          <w:p w:rsidRPr="00D95BEF" w:rsidR="077C836F" w:rsidP="077C836F" w:rsidRDefault="077C836F" w14:paraId="569B157A" w14:textId="4F42E009">
            <w:pPr>
              <w:jc w:val="center"/>
              <w:rPr>
                <w:rFonts w:ascii="Franklin Gothic Book" w:hAnsi="Franklin Gothic Book"/>
                <w:color w:val="000000" w:themeColor="text1"/>
              </w:rPr>
            </w:pPr>
            <w:r w:rsidRPr="00D95BEF">
              <w:rPr>
                <w:rFonts w:ascii="Franklin Gothic Book" w:hAnsi="Franklin Gothic Book" w:eastAsia="Calibri" w:cs="Calibri"/>
                <w:color w:val="000000" w:themeColor="text1"/>
                <w:sz w:val="18"/>
                <w:szCs w:val="18"/>
              </w:rPr>
              <w:t xml:space="preserve"> </w:t>
            </w:r>
          </w:p>
        </w:tc>
        <w:tc>
          <w:tcPr>
            <w:tcW w:w="1872" w:type="dxa"/>
            <w:tcBorders>
              <w:top w:val="single" w:color="auto" w:sz="8" w:space="0"/>
              <w:left w:val="single" w:color="auto" w:sz="8" w:space="0"/>
              <w:bottom w:val="single" w:color="auto" w:sz="8" w:space="0"/>
              <w:right w:val="single" w:color="auto" w:sz="8" w:space="0"/>
            </w:tcBorders>
            <w:vAlign w:val="center"/>
          </w:tcPr>
          <w:p w:rsidRPr="00D95BEF" w:rsidR="077C836F" w:rsidP="077C836F" w:rsidRDefault="077C836F" w14:paraId="52CCD72D" w14:textId="218688DA">
            <w:pPr>
              <w:jc w:val="center"/>
              <w:rPr>
                <w:rFonts w:ascii="Franklin Gothic Book" w:hAnsi="Franklin Gothic Book"/>
                <w:color w:val="000000" w:themeColor="text1"/>
              </w:rPr>
            </w:pPr>
            <w:r w:rsidRPr="00D95BEF">
              <w:rPr>
                <w:rFonts w:ascii="Franklin Gothic Book" w:hAnsi="Franklin Gothic Book" w:eastAsia="Calibri" w:cs="Calibri"/>
                <w:color w:val="000000" w:themeColor="text1"/>
                <w:sz w:val="18"/>
                <w:szCs w:val="18"/>
              </w:rPr>
              <w:t>$2,663.93</w:t>
            </w:r>
          </w:p>
        </w:tc>
      </w:tr>
    </w:tbl>
    <w:p w:rsidRPr="00D95BEF" w:rsidR="077C836F" w:rsidP="077C836F" w:rsidRDefault="077C836F" w14:paraId="7D6F1AF2" w14:textId="3CEFF7ED">
      <w:pPr>
        <w:rPr>
          <w:rFonts w:ascii="Franklin Gothic Book" w:hAnsi="Franklin Gothic Book"/>
          <w:color w:val="000000" w:themeColor="text1"/>
        </w:rPr>
      </w:pPr>
    </w:p>
    <w:p w:rsidRPr="00D95BEF" w:rsidR="003032D6" w:rsidP="00277A8D" w:rsidRDefault="001D08BE" w14:paraId="244A1A36" w14:textId="072EFAA6">
      <w:pPr>
        <w:pStyle w:val="Heading2"/>
        <w:numPr>
          <w:ilvl w:val="0"/>
          <w:numId w:val="0"/>
        </w:numPr>
        <w:rPr>
          <w:rFonts w:ascii="Franklin Gothic Book" w:hAnsi="Franklin Gothic Book"/>
          <w:b/>
          <w:u w:val="none"/>
        </w:rPr>
      </w:pPr>
      <w:r w:rsidRPr="00D95BEF">
        <w:rPr>
          <w:rFonts w:ascii="Franklin Gothic Book" w:hAnsi="Franklin Gothic Book"/>
          <w:b/>
          <w:u w:val="none"/>
        </w:rPr>
        <w:t xml:space="preserve">A13. </w:t>
      </w:r>
      <w:r w:rsidRPr="00D95BEF" w:rsidR="007E2B3C">
        <w:rPr>
          <w:rFonts w:ascii="Franklin Gothic Book" w:hAnsi="Franklin Gothic Book"/>
          <w:b/>
          <w:u w:val="none"/>
        </w:rPr>
        <w:t>Estimates of Cost Burden to Respondents</w:t>
      </w:r>
    </w:p>
    <w:p w:rsidRPr="00D95BEF" w:rsidR="003032D6" w:rsidP="00EA234A" w:rsidRDefault="00E3790A" w14:paraId="26AC9381" w14:textId="427D7B6E">
      <w:pPr>
        <w:pStyle w:val="MAANormalText"/>
        <w:rPr>
          <w:rFonts w:ascii="Franklin Gothic Book" w:hAnsi="Franklin Gothic Book"/>
          <w:color w:val="000000" w:themeColor="text1"/>
        </w:rPr>
      </w:pPr>
      <w:r w:rsidRPr="00D95BEF">
        <w:rPr>
          <w:rFonts w:ascii="Franklin Gothic Book" w:hAnsi="Franklin Gothic Book"/>
          <w:color w:val="000000" w:themeColor="text1"/>
        </w:rPr>
        <w:t>Mt. Auburn does</w:t>
      </w:r>
      <w:r w:rsidRPr="00D95BEF" w:rsidR="00CA2A82">
        <w:rPr>
          <w:rFonts w:ascii="Franklin Gothic Book" w:hAnsi="Franklin Gothic Book"/>
          <w:color w:val="000000" w:themeColor="text1"/>
        </w:rPr>
        <w:t xml:space="preserve"> not expect any additional cost burdens </w:t>
      </w:r>
      <w:r w:rsidRPr="00D95BEF" w:rsidR="003032D6">
        <w:rPr>
          <w:rFonts w:ascii="Franklin Gothic Book" w:hAnsi="Franklin Gothic Book"/>
          <w:color w:val="000000" w:themeColor="text1"/>
        </w:rPr>
        <w:t xml:space="preserve">to respondents beyond the labor cost of burden-hours described in item </w:t>
      </w:r>
      <w:r w:rsidRPr="00D95BEF" w:rsidR="00CA2A82">
        <w:rPr>
          <w:rFonts w:ascii="Franklin Gothic Book" w:hAnsi="Franklin Gothic Book"/>
          <w:color w:val="000000" w:themeColor="text1"/>
        </w:rPr>
        <w:t xml:space="preserve">A12 </w:t>
      </w:r>
      <w:r w:rsidRPr="00D95BEF" w:rsidR="003032D6">
        <w:rPr>
          <w:rFonts w:ascii="Franklin Gothic Book" w:hAnsi="Franklin Gothic Book"/>
          <w:color w:val="000000" w:themeColor="text1"/>
        </w:rPr>
        <w:t>above.</w:t>
      </w:r>
    </w:p>
    <w:p w:rsidRPr="00D95BEF" w:rsidR="003032D6" w:rsidP="00277A8D" w:rsidRDefault="007E2B3C" w14:paraId="2F3FF13D" w14:textId="19013EE6">
      <w:pPr>
        <w:pStyle w:val="Heading2"/>
        <w:numPr>
          <w:ilvl w:val="0"/>
          <w:numId w:val="0"/>
        </w:numPr>
        <w:rPr>
          <w:rFonts w:ascii="Franklin Gothic Book" w:hAnsi="Franklin Gothic Book"/>
          <w:b/>
          <w:u w:val="none"/>
        </w:rPr>
      </w:pPr>
      <w:r w:rsidRPr="00D95BEF">
        <w:rPr>
          <w:rFonts w:ascii="Franklin Gothic Book" w:hAnsi="Franklin Gothic Book"/>
          <w:b/>
          <w:u w:val="none"/>
        </w:rPr>
        <w:t>A14. Estimates</w:t>
      </w:r>
      <w:r w:rsidRPr="00D95BEF" w:rsidR="003032D6">
        <w:rPr>
          <w:rFonts w:ascii="Franklin Gothic Book" w:hAnsi="Franklin Gothic Book"/>
          <w:b/>
          <w:u w:val="none"/>
        </w:rPr>
        <w:t xml:space="preserve"> of costs to the Federal Government</w:t>
      </w:r>
    </w:p>
    <w:p w:rsidRPr="00D95BEF" w:rsidR="00DE5855" w:rsidP="00DE5855" w:rsidRDefault="00345CEF" w14:paraId="3C8764E6" w14:textId="1F8D72D8">
      <w:pPr>
        <w:rPr>
          <w:rFonts w:ascii="Franklin Gothic Book" w:hAnsi="Franklin Gothic Book"/>
          <w:color w:val="000000" w:themeColor="text1"/>
          <w:w w:val="105"/>
        </w:rPr>
      </w:pPr>
      <w:r w:rsidRPr="00D95BEF">
        <w:rPr>
          <w:rFonts w:ascii="Franklin Gothic Book" w:hAnsi="Franklin Gothic Book" w:eastAsia="Times New Roman" w:cs="Times New Roman"/>
          <w:color w:val="000000" w:themeColor="text1"/>
        </w:rPr>
        <w:t xml:space="preserve">Costs to the Federal Government are estimated to be $170,260.00, representing $149,040.00 in </w:t>
      </w:r>
      <w:r w:rsidRPr="00D95BEF" w:rsidR="0095650B">
        <w:rPr>
          <w:rFonts w:ascii="Franklin Gothic Book" w:hAnsi="Franklin Gothic Book" w:eastAsia="Times New Roman" w:cs="Times New Roman"/>
          <w:color w:val="000000" w:themeColor="text1"/>
        </w:rPr>
        <w:t>salaries and wages and $21,220.00 in travel expenses, paid through a contract with Mt. Auburn Associates as part of a cooperative agreement between IMLS and the Chief Officers of State Library Agencies.</w:t>
      </w:r>
    </w:p>
    <w:p w:rsidRPr="00D95BEF" w:rsidR="003032D6" w:rsidP="00394C26" w:rsidRDefault="007E2B3C" w14:paraId="1C1B4864" w14:textId="166830BC">
      <w:pPr>
        <w:pStyle w:val="Heading2"/>
        <w:numPr>
          <w:ilvl w:val="0"/>
          <w:numId w:val="0"/>
        </w:numPr>
        <w:rPr>
          <w:rFonts w:ascii="Franklin Gothic Book" w:hAnsi="Franklin Gothic Book"/>
          <w:b/>
          <w:u w:val="none"/>
        </w:rPr>
      </w:pPr>
      <w:r w:rsidRPr="00D95BEF">
        <w:rPr>
          <w:rFonts w:ascii="Franklin Gothic Book" w:hAnsi="Franklin Gothic Book"/>
          <w:b/>
          <w:u w:val="none"/>
        </w:rPr>
        <w:t>A15. Reasons for Program Changes or Cost Adjustments</w:t>
      </w:r>
    </w:p>
    <w:p w:rsidRPr="00D95BEF" w:rsidR="003032D6" w:rsidP="00EA234A" w:rsidRDefault="003032D6" w14:paraId="7F1AFC3E" w14:textId="5F3B3B01">
      <w:pPr>
        <w:pStyle w:val="MAANormalText"/>
        <w:rPr>
          <w:rFonts w:ascii="Franklin Gothic Book" w:hAnsi="Franklin Gothic Book"/>
          <w:color w:val="000000" w:themeColor="text1"/>
        </w:rPr>
      </w:pPr>
      <w:r w:rsidRPr="00D95BEF">
        <w:rPr>
          <w:rFonts w:ascii="Franklin Gothic Book" w:hAnsi="Franklin Gothic Book"/>
          <w:color w:val="000000" w:themeColor="text1"/>
        </w:rPr>
        <w:t xml:space="preserve">This is a new </w:t>
      </w:r>
      <w:r w:rsidRPr="00D95BEF" w:rsidR="00685147">
        <w:rPr>
          <w:rFonts w:ascii="Franklin Gothic Book" w:hAnsi="Franklin Gothic Book"/>
          <w:color w:val="000000" w:themeColor="text1"/>
        </w:rPr>
        <w:t>information collection request</w:t>
      </w:r>
      <w:r w:rsidRPr="00D95BEF">
        <w:rPr>
          <w:rFonts w:ascii="Franklin Gothic Book" w:hAnsi="Franklin Gothic Book"/>
          <w:color w:val="000000" w:themeColor="text1"/>
        </w:rPr>
        <w:t>.</w:t>
      </w:r>
    </w:p>
    <w:p w:rsidRPr="006E0578" w:rsidR="00980702" w:rsidP="009B3625" w:rsidRDefault="007E2B3C" w14:paraId="6C070F67" w14:textId="61B3EBFF">
      <w:pPr>
        <w:pStyle w:val="Heading2"/>
        <w:numPr>
          <w:ilvl w:val="0"/>
          <w:numId w:val="0"/>
        </w:numPr>
        <w:rPr>
          <w:rFonts w:ascii="Franklin Gothic Book" w:hAnsi="Franklin Gothic Book"/>
          <w:b/>
          <w:bCs/>
          <w:u w:val="none"/>
        </w:rPr>
      </w:pPr>
      <w:r w:rsidRPr="006E0578">
        <w:rPr>
          <w:rFonts w:ascii="Franklin Gothic Book" w:hAnsi="Franklin Gothic Book"/>
          <w:b/>
          <w:bCs/>
          <w:u w:val="none"/>
        </w:rPr>
        <w:lastRenderedPageBreak/>
        <w:t xml:space="preserve">A16. Project Schedule </w:t>
      </w:r>
    </w:p>
    <w:tbl>
      <w:tblPr>
        <w:tblStyle w:val="TableGrid"/>
        <w:tblW w:w="0" w:type="auto"/>
        <w:tblInd w:w="360" w:type="dxa"/>
        <w:tblLook w:val="04A0" w:firstRow="1" w:lastRow="0" w:firstColumn="1" w:lastColumn="0" w:noHBand="0" w:noVBand="1"/>
      </w:tblPr>
      <w:tblGrid>
        <w:gridCol w:w="5755"/>
        <w:gridCol w:w="3150"/>
      </w:tblGrid>
      <w:tr w:rsidRPr="006E0578" w:rsidR="00980702" w:rsidTr="273BAA90" w14:paraId="79212B50" w14:textId="77777777">
        <w:tc>
          <w:tcPr>
            <w:tcW w:w="5755" w:type="dxa"/>
          </w:tcPr>
          <w:p w:rsidRPr="006E0578" w:rsidR="00980702" w:rsidP="00980702" w:rsidRDefault="00980702" w14:paraId="4C87F396" w14:textId="77777777">
            <w:pPr>
              <w:spacing w:after="160" w:line="259" w:lineRule="auto"/>
              <w:rPr>
                <w:rFonts w:ascii="Franklin Gothic Book" w:hAnsi="Franklin Gothic Book"/>
                <w:b/>
                <w:sz w:val="22"/>
                <w:szCs w:val="22"/>
              </w:rPr>
            </w:pPr>
            <w:bookmarkStart w:name="_Hlk84599687" w:id="2"/>
            <w:r w:rsidRPr="006E0578">
              <w:rPr>
                <w:rFonts w:ascii="Franklin Gothic Book" w:hAnsi="Franklin Gothic Book"/>
                <w:b/>
                <w:sz w:val="22"/>
                <w:szCs w:val="22"/>
              </w:rPr>
              <w:t>Activity</w:t>
            </w:r>
          </w:p>
        </w:tc>
        <w:tc>
          <w:tcPr>
            <w:tcW w:w="3150" w:type="dxa"/>
          </w:tcPr>
          <w:p w:rsidRPr="009B3625" w:rsidR="00980702" w:rsidP="00980702" w:rsidRDefault="00980702" w14:paraId="1698A5E6" w14:textId="558651F5">
            <w:pPr>
              <w:spacing w:after="160" w:line="259" w:lineRule="auto"/>
              <w:rPr>
                <w:rFonts w:ascii="Franklin Gothic Book" w:hAnsi="Franklin Gothic Book"/>
                <w:b/>
                <w:bCs/>
                <w:sz w:val="22"/>
                <w:szCs w:val="22"/>
              </w:rPr>
            </w:pPr>
            <w:r w:rsidRPr="009B3625">
              <w:rPr>
                <w:rFonts w:ascii="Franklin Gothic Book" w:hAnsi="Franklin Gothic Book"/>
                <w:b/>
                <w:bCs/>
                <w:sz w:val="22"/>
                <w:szCs w:val="22"/>
              </w:rPr>
              <w:t xml:space="preserve">Expected </w:t>
            </w:r>
            <w:r w:rsidR="00C32CB2">
              <w:rPr>
                <w:rFonts w:ascii="Franklin Gothic Book" w:hAnsi="Franklin Gothic Book"/>
                <w:b/>
                <w:bCs/>
                <w:sz w:val="22"/>
                <w:szCs w:val="22"/>
              </w:rPr>
              <w:t>Completion</w:t>
            </w:r>
            <w:r w:rsidRPr="009B3625" w:rsidR="00C32CB2">
              <w:rPr>
                <w:rFonts w:ascii="Franklin Gothic Book" w:hAnsi="Franklin Gothic Book"/>
                <w:b/>
                <w:bCs/>
                <w:sz w:val="22"/>
                <w:szCs w:val="22"/>
              </w:rPr>
              <w:t xml:space="preserve"> </w:t>
            </w:r>
            <w:r w:rsidRPr="009B3625">
              <w:rPr>
                <w:rFonts w:ascii="Franklin Gothic Book" w:hAnsi="Franklin Gothic Book"/>
                <w:b/>
                <w:bCs/>
                <w:sz w:val="22"/>
                <w:szCs w:val="22"/>
              </w:rPr>
              <w:t>Date</w:t>
            </w:r>
          </w:p>
        </w:tc>
      </w:tr>
      <w:tr w:rsidRPr="006E0578" w:rsidR="00980702" w:rsidTr="273BAA90" w14:paraId="0ABE9B3C" w14:textId="77777777">
        <w:tc>
          <w:tcPr>
            <w:tcW w:w="5755" w:type="dxa"/>
          </w:tcPr>
          <w:p w:rsidRPr="006E0578" w:rsidR="00980702" w:rsidP="00980702" w:rsidRDefault="00FE6734" w14:paraId="1FC4EEC0" w14:textId="11155885">
            <w:pPr>
              <w:spacing w:after="160" w:line="259" w:lineRule="auto"/>
              <w:rPr>
                <w:rFonts w:ascii="Franklin Gothic Book" w:hAnsi="Franklin Gothic Book"/>
                <w:sz w:val="22"/>
                <w:szCs w:val="22"/>
              </w:rPr>
            </w:pPr>
            <w:r>
              <w:rPr>
                <w:rFonts w:ascii="Franklin Gothic Book" w:hAnsi="Franklin Gothic Book"/>
                <w:sz w:val="22"/>
                <w:szCs w:val="22"/>
              </w:rPr>
              <w:t>S</w:t>
            </w:r>
            <w:r w:rsidRPr="006E0578" w:rsidR="00FB44C9">
              <w:rPr>
                <w:rFonts w:ascii="Franklin Gothic Book" w:hAnsi="Franklin Gothic Book"/>
                <w:sz w:val="22"/>
                <w:szCs w:val="22"/>
              </w:rPr>
              <w:t>election of</w:t>
            </w:r>
            <w:r w:rsidRPr="006E0578" w:rsidR="00980702">
              <w:rPr>
                <w:rFonts w:ascii="Franklin Gothic Book" w:hAnsi="Franklin Gothic Book"/>
                <w:sz w:val="22"/>
                <w:szCs w:val="22"/>
              </w:rPr>
              <w:t xml:space="preserve"> </w:t>
            </w:r>
            <w:r w:rsidRPr="006E0578" w:rsidR="00473CD0">
              <w:rPr>
                <w:rFonts w:ascii="Franklin Gothic Book" w:hAnsi="Franklin Gothic Book"/>
                <w:sz w:val="22"/>
                <w:szCs w:val="22"/>
              </w:rPr>
              <w:t>ten</w:t>
            </w:r>
            <w:r w:rsidRPr="006E0578" w:rsidR="005867EF">
              <w:rPr>
                <w:rFonts w:ascii="Franklin Gothic Book" w:hAnsi="Franklin Gothic Book"/>
                <w:sz w:val="22"/>
                <w:szCs w:val="22"/>
              </w:rPr>
              <w:t xml:space="preserve"> </w:t>
            </w:r>
            <w:r w:rsidRPr="006E0578" w:rsidR="00980702">
              <w:rPr>
                <w:rFonts w:ascii="Franklin Gothic Book" w:hAnsi="Franklin Gothic Book"/>
                <w:sz w:val="22"/>
                <w:szCs w:val="22"/>
              </w:rPr>
              <w:t>“influential”</w:t>
            </w:r>
            <w:r w:rsidRPr="006E0578" w:rsidR="00310E80">
              <w:rPr>
                <w:rFonts w:ascii="Franklin Gothic Book" w:hAnsi="Franklin Gothic Book"/>
                <w:sz w:val="22"/>
                <w:szCs w:val="22"/>
              </w:rPr>
              <w:t xml:space="preserve"> </w:t>
            </w:r>
            <w:r w:rsidRPr="006E0578" w:rsidR="00EF41C9">
              <w:rPr>
                <w:rFonts w:ascii="Franklin Gothic Book" w:hAnsi="Franklin Gothic Book"/>
                <w:sz w:val="22"/>
                <w:szCs w:val="22"/>
              </w:rPr>
              <w:t>case study site</w:t>
            </w:r>
            <w:r w:rsidRPr="006E0578" w:rsidR="00D706C8">
              <w:rPr>
                <w:rFonts w:ascii="Franklin Gothic Book" w:hAnsi="Franklin Gothic Book"/>
                <w:sz w:val="22"/>
                <w:szCs w:val="22"/>
              </w:rPr>
              <w:t>s*</w:t>
            </w:r>
            <w:r w:rsidRPr="006E0578" w:rsidR="00473CD0">
              <w:rPr>
                <w:rFonts w:ascii="Franklin Gothic Book" w:hAnsi="Franklin Gothic Book"/>
                <w:sz w:val="22"/>
                <w:szCs w:val="22"/>
              </w:rPr>
              <w:t xml:space="preserve"> with 5 back up options</w:t>
            </w:r>
            <w:r w:rsidRPr="006E0578" w:rsidR="005867EF">
              <w:rPr>
                <w:rFonts w:ascii="Franklin Gothic Book" w:hAnsi="Franklin Gothic Book"/>
                <w:sz w:val="22"/>
                <w:szCs w:val="22"/>
              </w:rPr>
              <w:t xml:space="preserve"> </w:t>
            </w:r>
          </w:p>
        </w:tc>
        <w:tc>
          <w:tcPr>
            <w:tcW w:w="3150" w:type="dxa"/>
          </w:tcPr>
          <w:p w:rsidRPr="006E0578" w:rsidR="00980702" w:rsidP="00980702" w:rsidRDefault="00980702" w14:paraId="6107FE96" w14:textId="77777777">
            <w:pPr>
              <w:spacing w:after="160" w:line="259" w:lineRule="auto"/>
              <w:rPr>
                <w:rFonts w:ascii="Franklin Gothic Book" w:hAnsi="Franklin Gothic Book"/>
                <w:sz w:val="22"/>
                <w:szCs w:val="22"/>
              </w:rPr>
            </w:pPr>
            <w:r w:rsidRPr="006E0578">
              <w:rPr>
                <w:rFonts w:ascii="Franklin Gothic Book" w:hAnsi="Franklin Gothic Book"/>
                <w:sz w:val="22"/>
                <w:szCs w:val="22"/>
              </w:rPr>
              <w:t>December 2021</w:t>
            </w:r>
          </w:p>
        </w:tc>
      </w:tr>
      <w:tr w:rsidRPr="006E0578" w:rsidR="00980702" w:rsidTr="273BAA90" w14:paraId="4C1B69B1" w14:textId="77777777">
        <w:tc>
          <w:tcPr>
            <w:tcW w:w="5755" w:type="dxa"/>
          </w:tcPr>
          <w:p w:rsidRPr="006E0578" w:rsidR="00980702" w:rsidP="00980702" w:rsidRDefault="00C34FA8" w14:paraId="4D55FF00" w14:textId="21FCD8D4">
            <w:pPr>
              <w:spacing w:after="160" w:line="259" w:lineRule="auto"/>
              <w:rPr>
                <w:rFonts w:ascii="Franklin Gothic Book" w:hAnsi="Franklin Gothic Book"/>
                <w:sz w:val="22"/>
                <w:szCs w:val="22"/>
              </w:rPr>
            </w:pPr>
            <w:r>
              <w:rPr>
                <w:rFonts w:ascii="Franklin Gothic Book" w:hAnsi="Franklin Gothic Book"/>
                <w:sz w:val="22"/>
                <w:szCs w:val="22"/>
              </w:rPr>
              <w:t>B</w:t>
            </w:r>
            <w:r w:rsidRPr="006E0578" w:rsidR="00980702">
              <w:rPr>
                <w:rFonts w:ascii="Franklin Gothic Book" w:hAnsi="Franklin Gothic Book"/>
                <w:sz w:val="22"/>
                <w:szCs w:val="22"/>
              </w:rPr>
              <w:t>aseline research</w:t>
            </w:r>
          </w:p>
        </w:tc>
        <w:tc>
          <w:tcPr>
            <w:tcW w:w="3150" w:type="dxa"/>
          </w:tcPr>
          <w:p w:rsidRPr="006E0578" w:rsidR="00980702" w:rsidP="00980702" w:rsidRDefault="00980702" w14:paraId="7724714C" w14:textId="77777777">
            <w:pPr>
              <w:spacing w:after="160" w:line="259" w:lineRule="auto"/>
              <w:rPr>
                <w:rFonts w:ascii="Franklin Gothic Book" w:hAnsi="Franklin Gothic Book"/>
                <w:sz w:val="22"/>
                <w:szCs w:val="22"/>
              </w:rPr>
            </w:pPr>
            <w:r w:rsidRPr="006E0578">
              <w:rPr>
                <w:rFonts w:ascii="Franklin Gothic Book" w:hAnsi="Franklin Gothic Book"/>
                <w:sz w:val="22"/>
                <w:szCs w:val="22"/>
              </w:rPr>
              <w:t>January 2022</w:t>
            </w:r>
          </w:p>
        </w:tc>
      </w:tr>
      <w:tr w:rsidRPr="006E0578" w:rsidR="00980702" w:rsidTr="273BAA90" w14:paraId="44F72C66" w14:textId="77777777">
        <w:tc>
          <w:tcPr>
            <w:tcW w:w="5755" w:type="dxa"/>
          </w:tcPr>
          <w:p w:rsidRPr="006E0578" w:rsidR="00980702" w:rsidP="00980702" w:rsidRDefault="00980702" w14:paraId="52B29985" w14:textId="77777777">
            <w:pPr>
              <w:spacing w:after="160" w:line="259" w:lineRule="auto"/>
              <w:rPr>
                <w:rFonts w:ascii="Franklin Gothic Book" w:hAnsi="Franklin Gothic Book"/>
                <w:sz w:val="22"/>
                <w:szCs w:val="22"/>
              </w:rPr>
            </w:pPr>
            <w:r w:rsidRPr="006E0578">
              <w:rPr>
                <w:rFonts w:ascii="Franklin Gothic Book" w:hAnsi="Franklin Gothic Book"/>
                <w:sz w:val="22"/>
                <w:szCs w:val="22"/>
              </w:rPr>
              <w:t>Plan case studies – initial call and interviews</w:t>
            </w:r>
          </w:p>
        </w:tc>
        <w:tc>
          <w:tcPr>
            <w:tcW w:w="3150" w:type="dxa"/>
          </w:tcPr>
          <w:p w:rsidRPr="006E0578" w:rsidR="00980702" w:rsidP="00980702" w:rsidRDefault="00980702" w14:paraId="28B86493" w14:textId="77777777">
            <w:pPr>
              <w:spacing w:after="160" w:line="259" w:lineRule="auto"/>
              <w:rPr>
                <w:rFonts w:ascii="Franklin Gothic Book" w:hAnsi="Franklin Gothic Book"/>
                <w:sz w:val="22"/>
                <w:szCs w:val="22"/>
              </w:rPr>
            </w:pPr>
            <w:r w:rsidRPr="006E0578">
              <w:rPr>
                <w:rFonts w:ascii="Franklin Gothic Book" w:hAnsi="Franklin Gothic Book"/>
                <w:sz w:val="22"/>
                <w:szCs w:val="22"/>
              </w:rPr>
              <w:t>January 2022</w:t>
            </w:r>
          </w:p>
        </w:tc>
      </w:tr>
      <w:tr w:rsidRPr="006E0578" w:rsidR="00980702" w:rsidTr="273BAA90" w14:paraId="1586BDE3" w14:textId="77777777">
        <w:tc>
          <w:tcPr>
            <w:tcW w:w="5755" w:type="dxa"/>
          </w:tcPr>
          <w:p w:rsidRPr="006E0578" w:rsidR="00980702" w:rsidP="00980702" w:rsidRDefault="00980702" w14:paraId="596F2C74" w14:textId="77777777">
            <w:pPr>
              <w:spacing w:after="160" w:line="259" w:lineRule="auto"/>
              <w:rPr>
                <w:rFonts w:ascii="Franklin Gothic Book" w:hAnsi="Franklin Gothic Book"/>
                <w:sz w:val="22"/>
                <w:szCs w:val="22"/>
              </w:rPr>
            </w:pPr>
            <w:r w:rsidRPr="006E0578">
              <w:rPr>
                <w:rFonts w:ascii="Franklin Gothic Book" w:hAnsi="Franklin Gothic Book"/>
                <w:sz w:val="22"/>
                <w:szCs w:val="22"/>
              </w:rPr>
              <w:t>Site visits</w:t>
            </w:r>
          </w:p>
        </w:tc>
        <w:tc>
          <w:tcPr>
            <w:tcW w:w="3150" w:type="dxa"/>
          </w:tcPr>
          <w:p w:rsidRPr="006E0578" w:rsidR="00980702" w:rsidP="00980702" w:rsidRDefault="00980702" w14:paraId="19095175" w14:textId="7C171265">
            <w:pPr>
              <w:spacing w:after="160" w:line="259" w:lineRule="auto"/>
              <w:rPr>
                <w:rFonts w:ascii="Franklin Gothic Book" w:hAnsi="Franklin Gothic Book"/>
                <w:sz w:val="22"/>
                <w:szCs w:val="22"/>
              </w:rPr>
            </w:pPr>
            <w:r w:rsidRPr="006E0578">
              <w:rPr>
                <w:rFonts w:ascii="Franklin Gothic Book" w:hAnsi="Franklin Gothic Book"/>
                <w:sz w:val="22"/>
                <w:szCs w:val="22"/>
              </w:rPr>
              <w:t>April 2022</w:t>
            </w:r>
          </w:p>
        </w:tc>
      </w:tr>
      <w:tr w:rsidRPr="006E0578" w:rsidR="00980702" w:rsidTr="273BAA90" w14:paraId="18DF0914" w14:textId="77777777">
        <w:tc>
          <w:tcPr>
            <w:tcW w:w="5755" w:type="dxa"/>
          </w:tcPr>
          <w:p w:rsidRPr="006E0578" w:rsidR="00980702" w:rsidP="273BAA90" w:rsidRDefault="001D08BE" w14:paraId="6D2F72C5" w14:textId="1C2998EE">
            <w:pPr>
              <w:spacing w:after="160" w:line="259" w:lineRule="auto"/>
              <w:rPr>
                <w:rFonts w:ascii="Franklin Gothic Book" w:hAnsi="Franklin Gothic Book"/>
                <w:sz w:val="22"/>
                <w:szCs w:val="22"/>
              </w:rPr>
            </w:pPr>
            <w:r w:rsidRPr="006E0578">
              <w:rPr>
                <w:rFonts w:ascii="Franklin Gothic Book" w:hAnsi="Franklin Gothic Book"/>
                <w:sz w:val="22"/>
                <w:szCs w:val="22"/>
              </w:rPr>
              <w:t>Final r</w:t>
            </w:r>
            <w:r w:rsidRPr="006E0578" w:rsidR="19C0C18F">
              <w:rPr>
                <w:rFonts w:ascii="Franklin Gothic Book" w:hAnsi="Franklin Gothic Book"/>
                <w:sz w:val="22"/>
                <w:szCs w:val="22"/>
              </w:rPr>
              <w:t>eport</w:t>
            </w:r>
            <w:r w:rsidRPr="006E0578" w:rsidR="79133427">
              <w:rPr>
                <w:rFonts w:ascii="Franklin Gothic Book" w:hAnsi="Franklin Gothic Book"/>
                <w:sz w:val="22"/>
                <w:szCs w:val="22"/>
              </w:rPr>
              <w:t>/</w:t>
            </w:r>
            <w:r w:rsidRPr="006E0578" w:rsidR="2966F63E">
              <w:rPr>
                <w:rFonts w:ascii="Franklin Gothic Book" w:hAnsi="Franklin Gothic Book"/>
                <w:sz w:val="22"/>
                <w:szCs w:val="22"/>
              </w:rPr>
              <w:t>R</w:t>
            </w:r>
            <w:r w:rsidRPr="006E0578" w:rsidR="79133427">
              <w:rPr>
                <w:rFonts w:ascii="Franklin Gothic Book" w:hAnsi="Franklin Gothic Book"/>
                <w:sz w:val="22"/>
                <w:szCs w:val="22"/>
              </w:rPr>
              <w:t>esearch briefs</w:t>
            </w:r>
          </w:p>
        </w:tc>
        <w:tc>
          <w:tcPr>
            <w:tcW w:w="3150" w:type="dxa"/>
          </w:tcPr>
          <w:p w:rsidRPr="006E0578" w:rsidR="00980702" w:rsidP="00980702" w:rsidRDefault="00980702" w14:paraId="5052F071" w14:textId="2547A4E0">
            <w:pPr>
              <w:spacing w:after="160" w:line="259" w:lineRule="auto"/>
              <w:rPr>
                <w:rFonts w:ascii="Franklin Gothic Book" w:hAnsi="Franklin Gothic Book"/>
                <w:sz w:val="22"/>
                <w:szCs w:val="22"/>
              </w:rPr>
            </w:pPr>
            <w:r w:rsidRPr="006E0578">
              <w:rPr>
                <w:rFonts w:ascii="Franklin Gothic Book" w:hAnsi="Franklin Gothic Book"/>
                <w:sz w:val="22"/>
                <w:szCs w:val="22"/>
              </w:rPr>
              <w:t>June 2022</w:t>
            </w:r>
          </w:p>
        </w:tc>
      </w:tr>
    </w:tbl>
    <w:bookmarkEnd w:id="2"/>
    <w:p w:rsidRPr="00D95BEF" w:rsidR="00685147" w:rsidP="00685147" w:rsidRDefault="00FB44C9" w14:paraId="57699266" w14:textId="2A80C651">
      <w:pPr>
        <w:rPr>
          <w:rFonts w:ascii="Franklin Gothic Book" w:hAnsi="Franklin Gothic Book"/>
          <w:color w:val="000000" w:themeColor="text1"/>
          <w:highlight w:val="yellow"/>
        </w:rPr>
      </w:pPr>
      <w:r w:rsidRPr="00D95BEF">
        <w:rPr>
          <w:rFonts w:ascii="Franklin Gothic Book" w:hAnsi="Franklin Gothic Book"/>
          <w:color w:val="000000" w:themeColor="text1"/>
        </w:rPr>
        <w:t xml:space="preserve">* See </w:t>
      </w:r>
      <w:r w:rsidRPr="00D95BEF" w:rsidR="00D95BEF">
        <w:rPr>
          <w:rFonts w:ascii="Franklin Gothic Book" w:hAnsi="Franklin Gothic Book"/>
          <w:color w:val="000000" w:themeColor="text1"/>
        </w:rPr>
        <w:t xml:space="preserve">Part </w:t>
      </w:r>
      <w:r w:rsidRPr="00D95BEF">
        <w:rPr>
          <w:rFonts w:ascii="Franklin Gothic Book" w:hAnsi="Franklin Gothic Book"/>
          <w:color w:val="000000" w:themeColor="text1"/>
        </w:rPr>
        <w:t>B</w:t>
      </w:r>
      <w:r w:rsidRPr="00D95BEF" w:rsidR="00D95BEF">
        <w:rPr>
          <w:rFonts w:ascii="Franklin Gothic Book" w:hAnsi="Franklin Gothic Book"/>
          <w:color w:val="000000" w:themeColor="text1"/>
        </w:rPr>
        <w:t xml:space="preserve">, Question </w:t>
      </w:r>
      <w:r w:rsidRPr="00D95BEF" w:rsidR="00855A61">
        <w:rPr>
          <w:rFonts w:ascii="Franklin Gothic Book" w:hAnsi="Franklin Gothic Book"/>
          <w:color w:val="000000" w:themeColor="text1"/>
        </w:rPr>
        <w:t>2 for selection criteria related to</w:t>
      </w:r>
      <w:r w:rsidRPr="00D95BEF" w:rsidR="00BE1878">
        <w:rPr>
          <w:rFonts w:ascii="Franklin Gothic Book" w:hAnsi="Franklin Gothic Book"/>
          <w:color w:val="000000" w:themeColor="text1"/>
        </w:rPr>
        <w:t xml:space="preserve"> the determination of</w:t>
      </w:r>
      <w:r w:rsidRPr="00D95BEF" w:rsidR="00310E80">
        <w:rPr>
          <w:rFonts w:ascii="Franklin Gothic Book" w:hAnsi="Franklin Gothic Book"/>
          <w:color w:val="000000" w:themeColor="text1"/>
        </w:rPr>
        <w:t xml:space="preserve"> universe of</w:t>
      </w:r>
      <w:r w:rsidRPr="00D95BEF" w:rsidR="00855A61">
        <w:rPr>
          <w:rFonts w:ascii="Franklin Gothic Book" w:hAnsi="Franklin Gothic Book"/>
          <w:color w:val="000000" w:themeColor="text1"/>
        </w:rPr>
        <w:t xml:space="preserve"> </w:t>
      </w:r>
      <w:r w:rsidRPr="00D95BEF" w:rsidR="00BE1878">
        <w:rPr>
          <w:rFonts w:ascii="Franklin Gothic Book" w:hAnsi="Franklin Gothic Book"/>
          <w:color w:val="000000" w:themeColor="text1"/>
        </w:rPr>
        <w:t>influential sites</w:t>
      </w:r>
    </w:p>
    <w:p w:rsidRPr="00D95BEF" w:rsidR="003032D6" w:rsidP="00E72114" w:rsidRDefault="007E2B3C" w14:paraId="5828809B" w14:textId="3E2A3372">
      <w:pPr>
        <w:pStyle w:val="Heading2"/>
        <w:numPr>
          <w:ilvl w:val="0"/>
          <w:numId w:val="0"/>
        </w:numPr>
        <w:rPr>
          <w:rFonts w:ascii="Franklin Gothic Book" w:hAnsi="Franklin Gothic Book"/>
          <w:b/>
          <w:u w:val="none"/>
        </w:rPr>
      </w:pPr>
      <w:r w:rsidRPr="00D95BEF">
        <w:rPr>
          <w:rFonts w:ascii="Franklin Gothic Book" w:hAnsi="Franklin Gothic Book"/>
          <w:b/>
          <w:u w:val="none"/>
        </w:rPr>
        <w:t>A17. Request to Not Display Expiration Date</w:t>
      </w:r>
    </w:p>
    <w:p w:rsidRPr="00D95BEF" w:rsidR="003032D6" w:rsidP="00EA234A" w:rsidRDefault="00955484" w14:paraId="24DAAFCC" w14:textId="2A72A4C7">
      <w:pPr>
        <w:pStyle w:val="MAANormalText"/>
        <w:rPr>
          <w:rFonts w:ascii="Franklin Gothic Book" w:hAnsi="Franklin Gothic Book"/>
          <w:color w:val="000000" w:themeColor="text1"/>
        </w:rPr>
      </w:pPr>
      <w:r w:rsidRPr="00D95BEF">
        <w:rPr>
          <w:rFonts w:ascii="Franklin Gothic Book" w:hAnsi="Franklin Gothic Book"/>
          <w:color w:val="000000" w:themeColor="text1"/>
        </w:rPr>
        <w:t>COSLA/IMLS</w:t>
      </w:r>
      <w:r w:rsidRPr="00D95BEF" w:rsidR="00D972D8">
        <w:rPr>
          <w:rFonts w:ascii="Franklin Gothic Book" w:hAnsi="Franklin Gothic Book"/>
          <w:color w:val="000000" w:themeColor="text1"/>
        </w:rPr>
        <w:t xml:space="preserve"> will display the expiration date of OMB approval and OMB approval number on all instruments associated with this information collection, including </w:t>
      </w:r>
      <w:r w:rsidRPr="00D95BEF" w:rsidR="00442338">
        <w:rPr>
          <w:rFonts w:ascii="Franklin Gothic Book" w:hAnsi="Franklin Gothic Book"/>
          <w:color w:val="000000" w:themeColor="text1"/>
        </w:rPr>
        <w:t xml:space="preserve">case study </w:t>
      </w:r>
      <w:r w:rsidRPr="00D95BEF">
        <w:rPr>
          <w:rFonts w:ascii="Franklin Gothic Book" w:hAnsi="Franklin Gothic Book"/>
          <w:color w:val="000000" w:themeColor="text1"/>
        </w:rPr>
        <w:t xml:space="preserve">protocols. </w:t>
      </w:r>
    </w:p>
    <w:p w:rsidRPr="00D95BEF" w:rsidR="003032D6" w:rsidP="00E72114" w:rsidRDefault="007E2B3C" w14:paraId="5EAB8E5D" w14:textId="3E40793E">
      <w:pPr>
        <w:pStyle w:val="Heading2"/>
        <w:numPr>
          <w:ilvl w:val="0"/>
          <w:numId w:val="0"/>
        </w:numPr>
        <w:rPr>
          <w:rFonts w:ascii="Franklin Gothic Book" w:hAnsi="Franklin Gothic Book"/>
          <w:b/>
          <w:u w:val="none"/>
        </w:rPr>
      </w:pPr>
      <w:r w:rsidRPr="00D95BEF">
        <w:rPr>
          <w:rFonts w:ascii="Franklin Gothic Book" w:hAnsi="Franklin Gothic Book"/>
          <w:b/>
          <w:u w:val="none"/>
        </w:rPr>
        <w:t>A18. Exceptions</w:t>
      </w:r>
      <w:r w:rsidRPr="00D95BEF" w:rsidR="003032D6">
        <w:rPr>
          <w:rFonts w:ascii="Franklin Gothic Book" w:hAnsi="Franklin Gothic Book"/>
          <w:b/>
          <w:u w:val="none"/>
        </w:rPr>
        <w:t xml:space="preserve"> to the Certification</w:t>
      </w:r>
    </w:p>
    <w:p w:rsidRPr="00D95BEF" w:rsidR="003032D6" w:rsidP="001D08BE" w:rsidRDefault="003032D6" w14:paraId="5DFEBA9F" w14:textId="0B281E7E">
      <w:pPr>
        <w:pStyle w:val="MAANormalText"/>
        <w:rPr>
          <w:rFonts w:ascii="Franklin Gothic Book" w:hAnsi="Franklin Gothic Book"/>
          <w:b/>
          <w:color w:val="000000" w:themeColor="text1"/>
          <w:sz w:val="24"/>
          <w:szCs w:val="24"/>
        </w:rPr>
      </w:pPr>
      <w:r w:rsidRPr="00D95BEF">
        <w:rPr>
          <w:rFonts w:ascii="Franklin Gothic Book" w:hAnsi="Franklin Gothic Book"/>
          <w:color w:val="000000" w:themeColor="text1"/>
        </w:rPr>
        <w:t xml:space="preserve">No exceptions are </w:t>
      </w:r>
      <w:r w:rsidRPr="00D95BEF" w:rsidR="00955484">
        <w:rPr>
          <w:rFonts w:ascii="Franklin Gothic Book" w:hAnsi="Franklin Gothic Book"/>
          <w:color w:val="000000" w:themeColor="text1"/>
        </w:rPr>
        <w:t>requested</w:t>
      </w:r>
      <w:r w:rsidRPr="00D95BEF">
        <w:rPr>
          <w:rFonts w:ascii="Franklin Gothic Book" w:hAnsi="Franklin Gothic Book"/>
          <w:color w:val="000000" w:themeColor="text1"/>
        </w:rPr>
        <w:t xml:space="preserve"> for this information collection.</w:t>
      </w:r>
    </w:p>
    <w:p w:rsidRPr="006E0578" w:rsidR="003032D6" w:rsidP="003032D6" w:rsidRDefault="003032D6" w14:paraId="0CCFB91A" w14:textId="77777777">
      <w:pPr>
        <w:rPr>
          <w:rFonts w:ascii="Franklin Gothic Book" w:hAnsi="Franklin Gothic Book"/>
          <w:b/>
          <w:sz w:val="24"/>
          <w:szCs w:val="24"/>
        </w:rPr>
      </w:pPr>
    </w:p>
    <w:sectPr w:rsidRPr="006E0578" w:rsidR="003032D6" w:rsidSect="00B301F1">
      <w:footerReference w:type="even" r:id="rId15"/>
      <w:footerReference w:type="default" r:id="rId16"/>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5694A" w14:textId="77777777" w:rsidR="00EB36F0" w:rsidRDefault="00EB36F0" w:rsidP="00BF270F">
      <w:r>
        <w:separator/>
      </w:r>
    </w:p>
  </w:endnote>
  <w:endnote w:type="continuationSeparator" w:id="0">
    <w:p w14:paraId="6F503B57" w14:textId="77777777" w:rsidR="00EB36F0" w:rsidRDefault="00EB36F0" w:rsidP="00BF270F">
      <w:r>
        <w:continuationSeparator/>
      </w:r>
    </w:p>
  </w:endnote>
  <w:endnote w:type="continuationNotice" w:id="1">
    <w:p w14:paraId="742615BE" w14:textId="77777777" w:rsidR="00EB36F0" w:rsidRDefault="00EB3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B0604020202020204"/>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1673050"/>
      <w:docPartObj>
        <w:docPartGallery w:val="Page Numbers (Bottom of Page)"/>
        <w:docPartUnique/>
      </w:docPartObj>
    </w:sdtPr>
    <w:sdtContent>
      <w:p w14:paraId="147F8F60" w14:textId="6DDB9FC8" w:rsidR="000451F7" w:rsidRDefault="000451F7" w:rsidP="006258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98BD7E" w14:textId="77777777" w:rsidR="000451F7" w:rsidRDefault="000451F7" w:rsidP="008309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Franklin Gothic Book" w:hAnsi="Franklin Gothic Book"/>
      </w:rPr>
      <w:id w:val="1727561799"/>
      <w:docPartObj>
        <w:docPartGallery w:val="Page Numbers (Bottom of Page)"/>
        <w:docPartUnique/>
      </w:docPartObj>
    </w:sdtPr>
    <w:sdtContent>
      <w:p w14:paraId="490A1767" w14:textId="780BA6AD" w:rsidR="000451F7" w:rsidRPr="000451F7" w:rsidRDefault="000451F7" w:rsidP="0062589C">
        <w:pPr>
          <w:pStyle w:val="Footer"/>
          <w:framePr w:wrap="none" w:vAnchor="text" w:hAnchor="margin" w:xAlign="right" w:y="1"/>
          <w:rPr>
            <w:rStyle w:val="PageNumber"/>
            <w:rFonts w:ascii="Franklin Gothic Book" w:hAnsi="Franklin Gothic Book"/>
          </w:rPr>
        </w:pPr>
        <w:r w:rsidRPr="000451F7">
          <w:rPr>
            <w:rStyle w:val="PageNumber"/>
            <w:rFonts w:ascii="Franklin Gothic Book" w:hAnsi="Franklin Gothic Book"/>
          </w:rPr>
          <w:fldChar w:fldCharType="begin"/>
        </w:r>
        <w:r w:rsidRPr="000451F7">
          <w:rPr>
            <w:rStyle w:val="PageNumber"/>
            <w:rFonts w:ascii="Franklin Gothic Book" w:hAnsi="Franklin Gothic Book"/>
          </w:rPr>
          <w:instrText xml:space="preserve"> PAGE </w:instrText>
        </w:r>
        <w:r w:rsidRPr="000451F7">
          <w:rPr>
            <w:rStyle w:val="PageNumber"/>
            <w:rFonts w:ascii="Franklin Gothic Book" w:hAnsi="Franklin Gothic Book"/>
          </w:rPr>
          <w:fldChar w:fldCharType="separate"/>
        </w:r>
        <w:r w:rsidRPr="000451F7">
          <w:rPr>
            <w:rStyle w:val="PageNumber"/>
            <w:rFonts w:ascii="Franklin Gothic Book" w:hAnsi="Franklin Gothic Book"/>
            <w:noProof/>
          </w:rPr>
          <w:t>1</w:t>
        </w:r>
        <w:r w:rsidRPr="000451F7">
          <w:rPr>
            <w:rStyle w:val="PageNumber"/>
            <w:rFonts w:ascii="Franklin Gothic Book" w:hAnsi="Franklin Gothic Book"/>
          </w:rPr>
          <w:fldChar w:fldCharType="end"/>
        </w:r>
      </w:p>
    </w:sdtContent>
  </w:sdt>
  <w:p w14:paraId="6BA11009" w14:textId="77AC1729" w:rsidR="00153CFD" w:rsidRDefault="00153CFD" w:rsidP="000451F7">
    <w:pPr>
      <w:pStyle w:val="Footer"/>
      <w:ind w:right="360"/>
    </w:pPr>
  </w:p>
  <w:p w14:paraId="2FC15A16" w14:textId="77777777" w:rsidR="00107C1D" w:rsidRDefault="00107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F433B" w14:textId="77777777" w:rsidR="00EB36F0" w:rsidRDefault="00EB36F0" w:rsidP="00BF270F">
      <w:r>
        <w:separator/>
      </w:r>
    </w:p>
  </w:footnote>
  <w:footnote w:type="continuationSeparator" w:id="0">
    <w:p w14:paraId="687A8F27" w14:textId="77777777" w:rsidR="00EB36F0" w:rsidRDefault="00EB36F0" w:rsidP="00BF270F">
      <w:r>
        <w:continuationSeparator/>
      </w:r>
    </w:p>
  </w:footnote>
  <w:footnote w:type="continuationNotice" w:id="1">
    <w:p w14:paraId="71A2CF40" w14:textId="77777777" w:rsidR="00EB36F0" w:rsidRDefault="00EB36F0"/>
  </w:footnote>
  <w:footnote w:id="2">
    <w:p w14:paraId="38759B37" w14:textId="47F4BC1D" w:rsidR="00E42AAA" w:rsidRPr="000451F7" w:rsidRDefault="00E42AAA" w:rsidP="000451F7">
      <w:pPr>
        <w:pStyle w:val="FootnoteText"/>
        <w:spacing w:line="240" w:lineRule="auto"/>
        <w:ind w:left="115" w:hanging="115"/>
        <w:rPr>
          <w:rFonts w:ascii="Franklin Gothic Book" w:hAnsi="Franklin Gothic Book" w:cstheme="minorHAnsi"/>
        </w:rPr>
      </w:pPr>
      <w:r w:rsidRPr="000451F7">
        <w:rPr>
          <w:rStyle w:val="FootnoteReference"/>
          <w:rFonts w:ascii="Franklin Gothic Book" w:hAnsi="Franklin Gothic Book" w:cstheme="minorHAnsi"/>
        </w:rPr>
        <w:footnoteRef/>
      </w:r>
      <w:r w:rsidRPr="000451F7">
        <w:rPr>
          <w:rFonts w:ascii="Franklin Gothic Book" w:hAnsi="Franklin Gothic Book" w:cstheme="minorHAnsi"/>
        </w:rPr>
        <w:t xml:space="preserve"> Measures that Matter (MtM) is a collaborative venture between IMLS and COSLA to improve the library field’s ability to collect, report, and communicate public library outcomes and contributions to the community.</w:t>
      </w:r>
      <w:r w:rsidR="00B81B4D" w:rsidRPr="000451F7">
        <w:rPr>
          <w:rFonts w:ascii="Franklin Gothic Book" w:hAnsi="Franklin Gothic Book" w:cstheme="minorHAnsi"/>
        </w:rPr>
        <w:t xml:space="preserve"> </w:t>
      </w:r>
      <w:r w:rsidRPr="000451F7">
        <w:rPr>
          <w:rFonts w:ascii="Franklin Gothic Book" w:hAnsi="Franklin Gothic Book" w:cstheme="minorHAnsi"/>
        </w:rPr>
        <w:t>MtM's identified goal is to build bridges among public library data collection activities to reduce duplication of efforts; develop a comprehensive approach to library data that includes input, output, and outcome measures; and address long-term data access.</w:t>
      </w:r>
    </w:p>
  </w:footnote>
  <w:footnote w:id="3">
    <w:p w14:paraId="2BBDE483" w14:textId="5C829626" w:rsidR="00D277EA" w:rsidRDefault="00D277EA" w:rsidP="00D277EA">
      <w:pPr>
        <w:ind w:left="130" w:hanging="130"/>
      </w:pPr>
      <w:r>
        <w:rPr>
          <w:rStyle w:val="FootnoteReference"/>
        </w:rPr>
        <w:footnoteRef/>
      </w:r>
      <w:r>
        <w:t xml:space="preserve"> </w:t>
      </w:r>
      <w:r w:rsidRPr="077C836F">
        <w:rPr>
          <w:rFonts w:ascii="Calibri" w:eastAsia="Calibri" w:hAnsi="Calibri" w:cs="Calibri"/>
          <w:sz w:val="18"/>
          <w:szCs w:val="18"/>
        </w:rPr>
        <w:t xml:space="preserve">“Occupational Employment Statistics: Occupational Employment and Wages, May 2021 – 25-4022 Librarians and Media Collections Specialists,” Bureau of Labor Statistics, accessed June 9, 2021, </w:t>
      </w:r>
      <w:hyperlink r:id="rId1" w:anchor="nat">
        <w:r w:rsidRPr="077C836F">
          <w:rPr>
            <w:rStyle w:val="Hyperlink"/>
            <w:rFonts w:ascii="Calibri" w:eastAsia="Calibri" w:hAnsi="Calibri" w:cs="Calibri"/>
            <w:sz w:val="18"/>
            <w:szCs w:val="18"/>
          </w:rPr>
          <w:t>https://www.bls.gov/oes/current/oes254022.htm#nat</w:t>
        </w:r>
      </w:hyperlink>
      <w:r w:rsidRPr="077C836F">
        <w:rPr>
          <w:rFonts w:ascii="Calibri" w:eastAsia="Calibri" w:hAnsi="Calibri" w:cs="Calibri"/>
          <w:sz w:val="18"/>
          <w:szCs w:val="18"/>
        </w:rPr>
        <w:t>.</w:t>
      </w:r>
    </w:p>
  </w:footnote>
  <w:footnote w:id="4">
    <w:p w14:paraId="43B176B1" w14:textId="6566A040" w:rsidR="00D277EA" w:rsidRDefault="00D277EA" w:rsidP="00D277EA">
      <w:pPr>
        <w:ind w:left="130" w:hanging="130"/>
      </w:pPr>
      <w:r>
        <w:rPr>
          <w:rStyle w:val="FootnoteReference"/>
        </w:rPr>
        <w:footnoteRef/>
      </w:r>
      <w:r>
        <w:t xml:space="preserve"> </w:t>
      </w:r>
      <w:r w:rsidR="001246B8">
        <w:t>“</w:t>
      </w:r>
      <w:r w:rsidRPr="077C836F">
        <w:rPr>
          <w:rFonts w:ascii="Calibri" w:eastAsia="Calibri" w:hAnsi="Calibri" w:cs="Calibri"/>
          <w:sz w:val="18"/>
          <w:szCs w:val="18"/>
        </w:rPr>
        <w:t xml:space="preserve">Occupational Employment Statistics: Occupational Employment and Wages, May 2021 – 00-000 All Occupations, Bureau of Labor Statistics, accessed June 9, 2021, </w:t>
      </w:r>
      <w:hyperlink r:id="rId2">
        <w:r w:rsidRPr="077C836F">
          <w:rPr>
            <w:rStyle w:val="Hyperlink"/>
            <w:rFonts w:ascii="Calibri" w:eastAsia="Calibri" w:hAnsi="Calibri" w:cs="Calibri"/>
            <w:sz w:val="18"/>
            <w:szCs w:val="18"/>
          </w:rPr>
          <w:t>https://www.bls.gov/oes/current/oes_nat.htm</w:t>
        </w:r>
      </w:hyperlink>
      <w:r w:rsidRPr="077C836F">
        <w:rPr>
          <w:rFonts w:ascii="Calibri" w:eastAsia="Calibri" w:hAnsi="Calibri" w:cs="Calibri"/>
          <w:sz w:val="18"/>
          <w:szCs w:val="18"/>
        </w:rPr>
        <w:t>.</w:t>
      </w:r>
    </w:p>
  </w:footnote>
  <w:footnote w:id="5">
    <w:p w14:paraId="1CC63FC3" w14:textId="11467A04" w:rsidR="00107C1D" w:rsidRPr="00D36798" w:rsidRDefault="00107C1D" w:rsidP="00C85C71">
      <w:pPr>
        <w:pStyle w:val="FootnoteText"/>
        <w:spacing w:after="0"/>
        <w:ind w:left="130" w:hanging="130"/>
        <w:rPr>
          <w:rFonts w:asciiTheme="minorHAnsi" w:hAnsiTheme="minorHAnsi" w:cstheme="minorHAnsi"/>
        </w:rPr>
      </w:pPr>
      <w:r w:rsidRPr="00207F65">
        <w:rPr>
          <w:rStyle w:val="FootnoteReference"/>
          <w:rFonts w:asciiTheme="minorHAnsi" w:hAnsiTheme="minorHAnsi" w:cstheme="minorHAnsi"/>
        </w:rPr>
        <w:footnoteRef/>
      </w:r>
      <w:r w:rsidRPr="00207F65">
        <w:rPr>
          <w:rFonts w:asciiTheme="minorHAnsi" w:hAnsiTheme="minorHAnsi" w:cstheme="minorHAnsi"/>
        </w:rPr>
        <w:t xml:space="preserve"> </w:t>
      </w:r>
      <w:r w:rsidR="002A0777" w:rsidRPr="00207F65">
        <w:rPr>
          <w:rFonts w:asciiTheme="minorHAnsi" w:hAnsiTheme="minorHAnsi" w:cstheme="minorHAnsi"/>
          <w:szCs w:val="18"/>
        </w:rPr>
        <w:t xml:space="preserve">“Predicted or targeted </w:t>
      </w:r>
      <w:r w:rsidRPr="00207F65">
        <w:rPr>
          <w:rFonts w:asciiTheme="minorHAnsi" w:hAnsiTheme="minorHAnsi" w:cstheme="minorHAnsi"/>
          <w:szCs w:val="18"/>
        </w:rPr>
        <w:t>responses</w:t>
      </w:r>
      <w:r w:rsidR="002A0777" w:rsidRPr="00207F65">
        <w:rPr>
          <w:rFonts w:asciiTheme="minorHAnsi" w:hAnsiTheme="minorHAnsi" w:cstheme="minorHAnsi"/>
          <w:szCs w:val="18"/>
        </w:rPr>
        <w:t>”</w:t>
      </w:r>
      <w:r w:rsidRPr="00207F65">
        <w:rPr>
          <w:rFonts w:asciiTheme="minorHAnsi" w:hAnsiTheme="minorHAnsi" w:cstheme="minorHAnsi"/>
          <w:szCs w:val="18"/>
        </w:rPr>
        <w:t xml:space="preserve"> </w:t>
      </w:r>
      <w:r w:rsidR="002A0777" w:rsidRPr="00207F65">
        <w:rPr>
          <w:rFonts w:asciiTheme="minorHAnsi" w:hAnsiTheme="minorHAnsi" w:cstheme="minorHAnsi"/>
          <w:szCs w:val="18"/>
        </w:rPr>
        <w:t xml:space="preserve">represents the total estimate of expected responses. </w:t>
      </w:r>
      <w:r w:rsidRPr="00207F65">
        <w:rPr>
          <w:rFonts w:asciiTheme="minorHAnsi" w:hAnsiTheme="minorHAnsi" w:cstheme="minorHAnsi"/>
          <w:szCs w:val="18"/>
        </w:rPr>
        <w:t xml:space="preserve">For the interviews, the </w:t>
      </w:r>
      <w:r w:rsidR="00E3790A" w:rsidRPr="00207F65">
        <w:rPr>
          <w:rFonts w:asciiTheme="minorHAnsi" w:hAnsiTheme="minorHAnsi" w:cstheme="minorHAnsi"/>
          <w:szCs w:val="18"/>
        </w:rPr>
        <w:t xml:space="preserve">table presents the </w:t>
      </w:r>
      <w:r w:rsidRPr="00207F65">
        <w:rPr>
          <w:rFonts w:asciiTheme="minorHAnsi" w:hAnsiTheme="minorHAnsi" w:cstheme="minorHAnsi"/>
          <w:szCs w:val="18"/>
        </w:rPr>
        <w:t xml:space="preserve">responses </w:t>
      </w:r>
      <w:r w:rsidR="00E3790A" w:rsidRPr="00207F65">
        <w:rPr>
          <w:rFonts w:asciiTheme="minorHAnsi" w:hAnsiTheme="minorHAnsi" w:cstheme="minorHAnsi"/>
          <w:szCs w:val="18"/>
        </w:rPr>
        <w:t>as targeted estimates (e.g.,</w:t>
      </w:r>
      <w:r w:rsidRPr="00207F65">
        <w:rPr>
          <w:rFonts w:asciiTheme="minorHAnsi" w:hAnsiTheme="minorHAnsi" w:cstheme="minorHAnsi"/>
          <w:szCs w:val="18"/>
        </w:rPr>
        <w:t xml:space="preserve">, </w:t>
      </w:r>
      <w:r w:rsidR="00E3790A" w:rsidRPr="00207F65">
        <w:rPr>
          <w:rFonts w:asciiTheme="minorHAnsi" w:hAnsiTheme="minorHAnsi" w:cstheme="minorHAnsi"/>
          <w:szCs w:val="18"/>
        </w:rPr>
        <w:t>Mt. Auburn</w:t>
      </w:r>
      <w:r w:rsidRPr="00207F65">
        <w:rPr>
          <w:rFonts w:asciiTheme="minorHAnsi" w:hAnsiTheme="minorHAnsi" w:cstheme="minorHAnsi"/>
          <w:szCs w:val="18"/>
        </w:rPr>
        <w:t xml:space="preserve"> will conduct interview outreach to achieve the targeted number of respondents, understanding that there may be slight variation in final participation</w:t>
      </w:r>
      <w:r w:rsidRPr="00207F65">
        <w:rPr>
          <w:rFonts w:asciiTheme="minorHAnsi" w:hAnsiTheme="minorHAnsi" w:cstheme="minorHAnsi"/>
        </w:rPr>
        <w:t xml:space="preserve"> by respondent </w:t>
      </w:r>
      <w:r w:rsidR="001D08BE">
        <w:rPr>
          <w:rFonts w:asciiTheme="minorHAnsi" w:hAnsiTheme="minorHAnsi" w:cstheme="minorHAnsi"/>
        </w:rPr>
        <w:t>group (e.g., one site may have five</w:t>
      </w:r>
      <w:r w:rsidRPr="00207F65">
        <w:rPr>
          <w:rFonts w:asciiTheme="minorHAnsi" w:hAnsiTheme="minorHAnsi" w:cstheme="minorHAnsi"/>
        </w:rPr>
        <w:t xml:space="preserve"> library staff respondents</w:t>
      </w:r>
      <w:r w:rsidR="00442338" w:rsidRPr="00207F65">
        <w:rPr>
          <w:rFonts w:asciiTheme="minorHAnsi" w:hAnsiTheme="minorHAnsi" w:cstheme="minorHAnsi"/>
        </w:rPr>
        <w:t xml:space="preserve"> </w:t>
      </w:r>
      <w:r w:rsidR="001D08BE">
        <w:rPr>
          <w:rFonts w:asciiTheme="minorHAnsi" w:hAnsiTheme="minorHAnsi" w:cstheme="minorHAnsi"/>
        </w:rPr>
        <w:t>and three</w:t>
      </w:r>
      <w:r w:rsidRPr="00207F65">
        <w:rPr>
          <w:rFonts w:asciiTheme="minorHAnsi" w:hAnsiTheme="minorHAnsi" w:cstheme="minorHAnsi"/>
        </w:rPr>
        <w:t xml:space="preserve"> partner stakeholder respondents based on the unique context of that site).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95BE7"/>
    <w:multiLevelType w:val="hybridMultilevel"/>
    <w:tmpl w:val="9A7C20D6"/>
    <w:lvl w:ilvl="0" w:tplc="2FE00B1A">
      <w:start w:val="1"/>
      <w:numFmt w:val="bullet"/>
      <w:pStyle w:val="BlueBullet"/>
      <w:lvlText w:val=""/>
      <w:lvlJc w:val="left"/>
      <w:pPr>
        <w:ind w:left="2520" w:hanging="360"/>
      </w:pPr>
      <w:rPr>
        <w:rFonts w:ascii="Symbol" w:hAnsi="Symbol" w:hint="default"/>
        <w:color w:val="44546A" w:themeColor="text2"/>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6C7411A"/>
    <w:multiLevelType w:val="hybridMultilevel"/>
    <w:tmpl w:val="9990A76A"/>
    <w:lvl w:ilvl="0" w:tplc="12F211D8">
      <w:start w:val="1"/>
      <w:numFmt w:val="decimal"/>
      <w:pStyle w:val="NumberedList"/>
      <w:lvlText w:val="%1."/>
      <w:lvlJc w:val="left"/>
      <w:pPr>
        <w:ind w:left="720" w:hanging="360"/>
      </w:pPr>
      <w:rPr>
        <w:rFonts w:ascii="Times New Roman" w:hAnsi="Times New Roman" w:cs="Times New Roman" w:hint="default"/>
        <w:b w:val="0"/>
        <w:bCs w:val="0"/>
        <w:i w:val="0"/>
        <w:iCs w:val="0"/>
        <w:color w:val="auto"/>
        <w:sz w:val="24"/>
        <w:szCs w:val="24"/>
      </w:rPr>
    </w:lvl>
    <w:lvl w:ilvl="1" w:tplc="04090001">
      <w:start w:val="1"/>
      <w:numFmt w:val="bullet"/>
      <w:lvlText w:val=""/>
      <w:lvlJc w:val="left"/>
      <w:pPr>
        <w:ind w:left="3600" w:hanging="360"/>
      </w:pPr>
      <w:rPr>
        <w:rFonts w:ascii="Symbol" w:hAnsi="Symbol" w:hint="default"/>
      </w:r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121014E7"/>
    <w:multiLevelType w:val="hybridMultilevel"/>
    <w:tmpl w:val="CE2A9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B2E24"/>
    <w:multiLevelType w:val="hybridMultilevel"/>
    <w:tmpl w:val="C65EAB62"/>
    <w:lvl w:ilvl="0" w:tplc="20F6C0C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971E6"/>
    <w:multiLevelType w:val="hybridMultilevel"/>
    <w:tmpl w:val="93E68AF4"/>
    <w:lvl w:ilvl="0" w:tplc="9BD60580">
      <w:start w:val="1"/>
      <w:numFmt w:val="decimal"/>
      <w:lvlText w:val="%1."/>
      <w:lvlJc w:val="left"/>
      <w:pPr>
        <w:ind w:left="720" w:hanging="360"/>
      </w:pPr>
      <w:rPr>
        <w:rFonts w:eastAsiaTheme="minorEastAsia" w:hint="default"/>
      </w:rPr>
    </w:lvl>
    <w:lvl w:ilvl="1" w:tplc="4D9E1B9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3572B7"/>
    <w:multiLevelType w:val="hybridMultilevel"/>
    <w:tmpl w:val="A3405CAC"/>
    <w:lvl w:ilvl="0" w:tplc="8A08F08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508B"/>
    <w:multiLevelType w:val="hybridMultilevel"/>
    <w:tmpl w:val="2FA8C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656EA"/>
    <w:multiLevelType w:val="hybridMultilevel"/>
    <w:tmpl w:val="2404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41B0D"/>
    <w:multiLevelType w:val="hybridMultilevel"/>
    <w:tmpl w:val="417456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B56519"/>
    <w:multiLevelType w:val="multilevel"/>
    <w:tmpl w:val="9B8014C4"/>
    <w:lvl w:ilvl="0">
      <w:start w:val="1"/>
      <w:numFmt w:val="bullet"/>
      <w:pStyle w:val="BlueBulletIndent"/>
      <w:lvlText w:val=""/>
      <w:lvlJc w:val="left"/>
      <w:pPr>
        <w:ind w:left="432" w:hanging="432"/>
      </w:pPr>
      <w:rPr>
        <w:rFonts w:ascii="Symbol" w:hAnsi="Symbol" w:cs="Symbol" w:hint="default"/>
        <w:color w:val="2F5496" w:themeColor="accent1" w:themeShade="BF"/>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7BF5155"/>
    <w:multiLevelType w:val="hybridMultilevel"/>
    <w:tmpl w:val="60DC3286"/>
    <w:lvl w:ilvl="0" w:tplc="9C061EF6">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1599D"/>
    <w:multiLevelType w:val="hybridMultilevel"/>
    <w:tmpl w:val="C9D68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242BC6"/>
    <w:multiLevelType w:val="hybridMultilevel"/>
    <w:tmpl w:val="FDA8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56444F"/>
    <w:multiLevelType w:val="hybridMultilevel"/>
    <w:tmpl w:val="B51A1D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8165D"/>
    <w:multiLevelType w:val="hybridMultilevel"/>
    <w:tmpl w:val="379813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6800FD"/>
    <w:multiLevelType w:val="hybridMultilevel"/>
    <w:tmpl w:val="38441B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605EA8"/>
    <w:multiLevelType w:val="hybridMultilevel"/>
    <w:tmpl w:val="190E9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B2791D"/>
    <w:multiLevelType w:val="hybridMultilevel"/>
    <w:tmpl w:val="07BC1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F72FA9"/>
    <w:multiLevelType w:val="hybridMultilevel"/>
    <w:tmpl w:val="2DF21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DF4B1D"/>
    <w:multiLevelType w:val="hybridMultilevel"/>
    <w:tmpl w:val="B96C1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4A46110"/>
    <w:multiLevelType w:val="hybridMultilevel"/>
    <w:tmpl w:val="C8E81CC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202B31"/>
    <w:multiLevelType w:val="hybridMultilevel"/>
    <w:tmpl w:val="417456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3037F8"/>
    <w:multiLevelType w:val="hybridMultilevel"/>
    <w:tmpl w:val="A41C44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6227D6"/>
    <w:multiLevelType w:val="hybridMultilevel"/>
    <w:tmpl w:val="49E2E2D6"/>
    <w:lvl w:ilvl="0" w:tplc="AFD05C76">
      <w:start w:val="1"/>
      <w:numFmt w:val="decimal"/>
      <w:lvlText w:val="%1."/>
      <w:lvlJc w:val="left"/>
      <w:pPr>
        <w:ind w:left="360" w:hanging="360"/>
      </w:pPr>
      <w:rPr>
        <w:rFonts w:ascii="Times New Roman" w:hAnsi="Times New Roman" w:cs="Times New Roman" w:hint="default"/>
        <w:b/>
      </w:rPr>
    </w:lvl>
    <w:lvl w:ilvl="1" w:tplc="327AF072">
      <w:numFmt w:val="bullet"/>
      <w:lvlText w:val=""/>
      <w:lvlJc w:val="left"/>
      <w:pPr>
        <w:ind w:left="450" w:hanging="360"/>
      </w:pPr>
      <w:rPr>
        <w:rFonts w:ascii="Symbol" w:eastAsia="Calibri" w:hAnsi="Symbol" w:cs="Times New Roman" w:hint="default"/>
      </w:rPr>
    </w:lvl>
    <w:lvl w:ilvl="2" w:tplc="04090017">
      <w:start w:val="1"/>
      <w:numFmt w:val="lowerLetter"/>
      <w:lvlText w:val="%3)"/>
      <w:lvlJc w:val="left"/>
      <w:pPr>
        <w:ind w:left="1170" w:hanging="180"/>
      </w:pPr>
    </w:lvl>
    <w:lvl w:ilvl="3" w:tplc="0409000F">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4" w15:restartNumberingAfterBreak="0">
    <w:nsid w:val="62D31346"/>
    <w:multiLevelType w:val="hybridMultilevel"/>
    <w:tmpl w:val="417456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76564EB"/>
    <w:multiLevelType w:val="hybridMultilevel"/>
    <w:tmpl w:val="953E0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E2752D"/>
    <w:multiLevelType w:val="hybridMultilevel"/>
    <w:tmpl w:val="07BC1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AA6C56"/>
    <w:multiLevelType w:val="hybridMultilevel"/>
    <w:tmpl w:val="EF4844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7"/>
  </w:num>
  <w:num w:numId="3">
    <w:abstractNumId w:val="19"/>
  </w:num>
  <w:num w:numId="4">
    <w:abstractNumId w:val="15"/>
  </w:num>
  <w:num w:numId="5">
    <w:abstractNumId w:val="22"/>
  </w:num>
  <w:num w:numId="6">
    <w:abstractNumId w:val="17"/>
  </w:num>
  <w:num w:numId="7">
    <w:abstractNumId w:val="23"/>
  </w:num>
  <w:num w:numId="8">
    <w:abstractNumId w:val="6"/>
  </w:num>
  <w:num w:numId="9">
    <w:abstractNumId w:val="1"/>
  </w:num>
  <w:num w:numId="10">
    <w:abstractNumId w:val="4"/>
  </w:num>
  <w:num w:numId="11">
    <w:abstractNumId w:val="25"/>
  </w:num>
  <w:num w:numId="12">
    <w:abstractNumId w:val="11"/>
  </w:num>
  <w:num w:numId="13">
    <w:abstractNumId w:val="26"/>
  </w:num>
  <w:num w:numId="14">
    <w:abstractNumId w:val="3"/>
  </w:num>
  <w:num w:numId="15">
    <w:abstractNumId w:val="12"/>
  </w:num>
  <w:num w:numId="16">
    <w:abstractNumId w:val="9"/>
  </w:num>
  <w:num w:numId="17">
    <w:abstractNumId w:val="18"/>
  </w:num>
  <w:num w:numId="18">
    <w:abstractNumId w:val="5"/>
  </w:num>
  <w:num w:numId="19">
    <w:abstractNumId w:val="2"/>
  </w:num>
  <w:num w:numId="20">
    <w:abstractNumId w:val="21"/>
  </w:num>
  <w:num w:numId="21">
    <w:abstractNumId w:val="24"/>
  </w:num>
  <w:num w:numId="22">
    <w:abstractNumId w:val="16"/>
  </w:num>
  <w:num w:numId="23">
    <w:abstractNumId w:val="0"/>
  </w:num>
  <w:num w:numId="24">
    <w:abstractNumId w:val="9"/>
  </w:num>
  <w:num w:numId="25">
    <w:abstractNumId w:val="9"/>
  </w:num>
  <w:num w:numId="26">
    <w:abstractNumId w:val="9"/>
  </w:num>
  <w:num w:numId="27">
    <w:abstractNumId w:val="8"/>
  </w:num>
  <w:num w:numId="28">
    <w:abstractNumId w:val="13"/>
  </w:num>
  <w:num w:numId="29">
    <w:abstractNumId w:val="14"/>
  </w:num>
  <w:num w:numId="30">
    <w:abstractNumId w:val="20"/>
  </w:num>
  <w:num w:numId="31">
    <w:abstractNumId w:val="7"/>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n-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2D6"/>
    <w:rsid w:val="00002320"/>
    <w:rsid w:val="000035AF"/>
    <w:rsid w:val="0000587B"/>
    <w:rsid w:val="00007611"/>
    <w:rsid w:val="00010487"/>
    <w:rsid w:val="00011067"/>
    <w:rsid w:val="00013876"/>
    <w:rsid w:val="00015B8F"/>
    <w:rsid w:val="000218BA"/>
    <w:rsid w:val="000243FD"/>
    <w:rsid w:val="0003264D"/>
    <w:rsid w:val="00037B97"/>
    <w:rsid w:val="00043C43"/>
    <w:rsid w:val="000451F7"/>
    <w:rsid w:val="00053BF8"/>
    <w:rsid w:val="00054628"/>
    <w:rsid w:val="00054663"/>
    <w:rsid w:val="00066649"/>
    <w:rsid w:val="00070C10"/>
    <w:rsid w:val="00072361"/>
    <w:rsid w:val="00076A36"/>
    <w:rsid w:val="00092A0F"/>
    <w:rsid w:val="00095013"/>
    <w:rsid w:val="000959FC"/>
    <w:rsid w:val="000972E1"/>
    <w:rsid w:val="000975EE"/>
    <w:rsid w:val="000A319D"/>
    <w:rsid w:val="000A6C00"/>
    <w:rsid w:val="000B2FF5"/>
    <w:rsid w:val="000B39B0"/>
    <w:rsid w:val="000C136D"/>
    <w:rsid w:val="000C2246"/>
    <w:rsid w:val="000D7B51"/>
    <w:rsid w:val="000E3580"/>
    <w:rsid w:val="000E63E4"/>
    <w:rsid w:val="000E7A3F"/>
    <w:rsid w:val="000F2FFB"/>
    <w:rsid w:val="000F4DB0"/>
    <w:rsid w:val="001006E9"/>
    <w:rsid w:val="0010374C"/>
    <w:rsid w:val="00107C1D"/>
    <w:rsid w:val="00112620"/>
    <w:rsid w:val="001157B1"/>
    <w:rsid w:val="00121EF1"/>
    <w:rsid w:val="001246B8"/>
    <w:rsid w:val="00134E12"/>
    <w:rsid w:val="00134F32"/>
    <w:rsid w:val="00136944"/>
    <w:rsid w:val="00146FF3"/>
    <w:rsid w:val="00147ACC"/>
    <w:rsid w:val="00147D5E"/>
    <w:rsid w:val="00150395"/>
    <w:rsid w:val="0015326D"/>
    <w:rsid w:val="00153CFD"/>
    <w:rsid w:val="00161676"/>
    <w:rsid w:val="00162DE1"/>
    <w:rsid w:val="001638A7"/>
    <w:rsid w:val="00166DF7"/>
    <w:rsid w:val="0017372D"/>
    <w:rsid w:val="001760C0"/>
    <w:rsid w:val="0017781C"/>
    <w:rsid w:val="0017783C"/>
    <w:rsid w:val="00180ECA"/>
    <w:rsid w:val="00182149"/>
    <w:rsid w:val="00182C2E"/>
    <w:rsid w:val="00193CAF"/>
    <w:rsid w:val="00197AEB"/>
    <w:rsid w:val="001A0EC6"/>
    <w:rsid w:val="001A1512"/>
    <w:rsid w:val="001A2A7B"/>
    <w:rsid w:val="001A36F6"/>
    <w:rsid w:val="001A553C"/>
    <w:rsid w:val="001A6DF2"/>
    <w:rsid w:val="001A715F"/>
    <w:rsid w:val="001B2EFF"/>
    <w:rsid w:val="001B3B9C"/>
    <w:rsid w:val="001C0384"/>
    <w:rsid w:val="001C0CDD"/>
    <w:rsid w:val="001C66CF"/>
    <w:rsid w:val="001D08BE"/>
    <w:rsid w:val="001D2C39"/>
    <w:rsid w:val="001D3D96"/>
    <w:rsid w:val="001D6501"/>
    <w:rsid w:val="001D7050"/>
    <w:rsid w:val="001E2D00"/>
    <w:rsid w:val="001E482A"/>
    <w:rsid w:val="001E5C84"/>
    <w:rsid w:val="001E6A48"/>
    <w:rsid w:val="001E6C73"/>
    <w:rsid w:val="001F2620"/>
    <w:rsid w:val="001F4FDD"/>
    <w:rsid w:val="001F5764"/>
    <w:rsid w:val="002009F1"/>
    <w:rsid w:val="0020116D"/>
    <w:rsid w:val="002042A6"/>
    <w:rsid w:val="0020780F"/>
    <w:rsid w:val="00207F65"/>
    <w:rsid w:val="00210CA0"/>
    <w:rsid w:val="00212D52"/>
    <w:rsid w:val="00213AAC"/>
    <w:rsid w:val="002148B0"/>
    <w:rsid w:val="002159BA"/>
    <w:rsid w:val="00225E8B"/>
    <w:rsid w:val="002273B5"/>
    <w:rsid w:val="0022767A"/>
    <w:rsid w:val="00230495"/>
    <w:rsid w:val="00231574"/>
    <w:rsid w:val="002321FA"/>
    <w:rsid w:val="00232335"/>
    <w:rsid w:val="00240D0B"/>
    <w:rsid w:val="0024154A"/>
    <w:rsid w:val="00242DB5"/>
    <w:rsid w:val="00246FB6"/>
    <w:rsid w:val="0025153C"/>
    <w:rsid w:val="002522E8"/>
    <w:rsid w:val="0025246D"/>
    <w:rsid w:val="00254E66"/>
    <w:rsid w:val="002552E4"/>
    <w:rsid w:val="00255516"/>
    <w:rsid w:val="00255B29"/>
    <w:rsid w:val="00256B38"/>
    <w:rsid w:val="00260933"/>
    <w:rsid w:val="002667E3"/>
    <w:rsid w:val="00267948"/>
    <w:rsid w:val="002712E9"/>
    <w:rsid w:val="00273A57"/>
    <w:rsid w:val="00275144"/>
    <w:rsid w:val="0027782F"/>
    <w:rsid w:val="00277A8D"/>
    <w:rsid w:val="002811B1"/>
    <w:rsid w:val="00281F57"/>
    <w:rsid w:val="00283198"/>
    <w:rsid w:val="00290E31"/>
    <w:rsid w:val="00294F74"/>
    <w:rsid w:val="00294FF6"/>
    <w:rsid w:val="0029680B"/>
    <w:rsid w:val="002A0777"/>
    <w:rsid w:val="002A0E62"/>
    <w:rsid w:val="002A46AA"/>
    <w:rsid w:val="002A68D9"/>
    <w:rsid w:val="002B3A56"/>
    <w:rsid w:val="002B62A0"/>
    <w:rsid w:val="002B64FB"/>
    <w:rsid w:val="002C039B"/>
    <w:rsid w:val="002C46BA"/>
    <w:rsid w:val="002D047E"/>
    <w:rsid w:val="002D0BE1"/>
    <w:rsid w:val="002D30A8"/>
    <w:rsid w:val="002D6080"/>
    <w:rsid w:val="002D6B08"/>
    <w:rsid w:val="002D71D5"/>
    <w:rsid w:val="002E0C80"/>
    <w:rsid w:val="002E1A99"/>
    <w:rsid w:val="002E5153"/>
    <w:rsid w:val="002F1492"/>
    <w:rsid w:val="002F3630"/>
    <w:rsid w:val="002F4B00"/>
    <w:rsid w:val="002F52DC"/>
    <w:rsid w:val="002F6871"/>
    <w:rsid w:val="00300760"/>
    <w:rsid w:val="003032D6"/>
    <w:rsid w:val="00305407"/>
    <w:rsid w:val="00310E80"/>
    <w:rsid w:val="00324E3E"/>
    <w:rsid w:val="00325722"/>
    <w:rsid w:val="00325F16"/>
    <w:rsid w:val="003301E1"/>
    <w:rsid w:val="00333DB4"/>
    <w:rsid w:val="00340601"/>
    <w:rsid w:val="00345CEF"/>
    <w:rsid w:val="00347130"/>
    <w:rsid w:val="00347607"/>
    <w:rsid w:val="00350AEC"/>
    <w:rsid w:val="00355262"/>
    <w:rsid w:val="00367D66"/>
    <w:rsid w:val="00373F1E"/>
    <w:rsid w:val="003807EA"/>
    <w:rsid w:val="00380B0C"/>
    <w:rsid w:val="00391EBB"/>
    <w:rsid w:val="00392817"/>
    <w:rsid w:val="00394C26"/>
    <w:rsid w:val="00396265"/>
    <w:rsid w:val="003A4305"/>
    <w:rsid w:val="003B5382"/>
    <w:rsid w:val="003C561D"/>
    <w:rsid w:val="003D391B"/>
    <w:rsid w:val="003D3D5D"/>
    <w:rsid w:val="003D3F5E"/>
    <w:rsid w:val="003D51DF"/>
    <w:rsid w:val="003E4D71"/>
    <w:rsid w:val="003F312A"/>
    <w:rsid w:val="00405057"/>
    <w:rsid w:val="00405EAA"/>
    <w:rsid w:val="00410234"/>
    <w:rsid w:val="00412FE5"/>
    <w:rsid w:val="004132CC"/>
    <w:rsid w:val="004156FD"/>
    <w:rsid w:val="00420E36"/>
    <w:rsid w:val="00422577"/>
    <w:rsid w:val="00426866"/>
    <w:rsid w:val="00427C52"/>
    <w:rsid w:val="004306EB"/>
    <w:rsid w:val="004326D9"/>
    <w:rsid w:val="00442338"/>
    <w:rsid w:val="004426E2"/>
    <w:rsid w:val="00443C37"/>
    <w:rsid w:val="004519EF"/>
    <w:rsid w:val="004630B0"/>
    <w:rsid w:val="0046357F"/>
    <w:rsid w:val="00463985"/>
    <w:rsid w:val="00473CD0"/>
    <w:rsid w:val="004748AA"/>
    <w:rsid w:val="00485B70"/>
    <w:rsid w:val="0048787C"/>
    <w:rsid w:val="0049137A"/>
    <w:rsid w:val="004926A9"/>
    <w:rsid w:val="00496240"/>
    <w:rsid w:val="00496DE6"/>
    <w:rsid w:val="004A127B"/>
    <w:rsid w:val="004A1EF6"/>
    <w:rsid w:val="004A6C82"/>
    <w:rsid w:val="004B1E95"/>
    <w:rsid w:val="004B1F28"/>
    <w:rsid w:val="004B276F"/>
    <w:rsid w:val="004B4060"/>
    <w:rsid w:val="004B79CE"/>
    <w:rsid w:val="004C131B"/>
    <w:rsid w:val="004C7366"/>
    <w:rsid w:val="004D1259"/>
    <w:rsid w:val="004D2233"/>
    <w:rsid w:val="004D28BD"/>
    <w:rsid w:val="004D7863"/>
    <w:rsid w:val="004E58D5"/>
    <w:rsid w:val="004E5BEC"/>
    <w:rsid w:val="004E7CB5"/>
    <w:rsid w:val="004E7FDC"/>
    <w:rsid w:val="004F0C6F"/>
    <w:rsid w:val="004F1FC0"/>
    <w:rsid w:val="004F57DD"/>
    <w:rsid w:val="0050303B"/>
    <w:rsid w:val="005034DA"/>
    <w:rsid w:val="00507D48"/>
    <w:rsid w:val="00512543"/>
    <w:rsid w:val="00513469"/>
    <w:rsid w:val="00520F41"/>
    <w:rsid w:val="00527EB4"/>
    <w:rsid w:val="00531DA2"/>
    <w:rsid w:val="0053233A"/>
    <w:rsid w:val="00533A58"/>
    <w:rsid w:val="00540482"/>
    <w:rsid w:val="00540537"/>
    <w:rsid w:val="00540E7C"/>
    <w:rsid w:val="00550AE4"/>
    <w:rsid w:val="00553330"/>
    <w:rsid w:val="005534A3"/>
    <w:rsid w:val="00557707"/>
    <w:rsid w:val="00557CF1"/>
    <w:rsid w:val="005611CD"/>
    <w:rsid w:val="00563948"/>
    <w:rsid w:val="00564DE3"/>
    <w:rsid w:val="00565C08"/>
    <w:rsid w:val="00566A76"/>
    <w:rsid w:val="0057090C"/>
    <w:rsid w:val="00572BB1"/>
    <w:rsid w:val="005806B0"/>
    <w:rsid w:val="00582274"/>
    <w:rsid w:val="00583B0D"/>
    <w:rsid w:val="005867EF"/>
    <w:rsid w:val="005875FA"/>
    <w:rsid w:val="0058765C"/>
    <w:rsid w:val="005904AA"/>
    <w:rsid w:val="005934C5"/>
    <w:rsid w:val="00594250"/>
    <w:rsid w:val="005A09EA"/>
    <w:rsid w:val="005A3AD2"/>
    <w:rsid w:val="005A3AE1"/>
    <w:rsid w:val="005A71A8"/>
    <w:rsid w:val="005C0492"/>
    <w:rsid w:val="005C23D1"/>
    <w:rsid w:val="005C33DB"/>
    <w:rsid w:val="005C5812"/>
    <w:rsid w:val="005C726C"/>
    <w:rsid w:val="005D2531"/>
    <w:rsid w:val="005D3366"/>
    <w:rsid w:val="005D638B"/>
    <w:rsid w:val="005E01B5"/>
    <w:rsid w:val="005E0B15"/>
    <w:rsid w:val="005E3000"/>
    <w:rsid w:val="005F39AD"/>
    <w:rsid w:val="00601A28"/>
    <w:rsid w:val="00603AF1"/>
    <w:rsid w:val="00613941"/>
    <w:rsid w:val="0061430F"/>
    <w:rsid w:val="006143E6"/>
    <w:rsid w:val="00614F61"/>
    <w:rsid w:val="00615F84"/>
    <w:rsid w:val="00616744"/>
    <w:rsid w:val="00616EBB"/>
    <w:rsid w:val="00620FB2"/>
    <w:rsid w:val="00621E0E"/>
    <w:rsid w:val="0062440A"/>
    <w:rsid w:val="00633D01"/>
    <w:rsid w:val="00636164"/>
    <w:rsid w:val="00640495"/>
    <w:rsid w:val="0064469C"/>
    <w:rsid w:val="00645E15"/>
    <w:rsid w:val="0065466A"/>
    <w:rsid w:val="00662878"/>
    <w:rsid w:val="006702D1"/>
    <w:rsid w:val="00670D6E"/>
    <w:rsid w:val="00671729"/>
    <w:rsid w:val="00672703"/>
    <w:rsid w:val="00672C21"/>
    <w:rsid w:val="006826C8"/>
    <w:rsid w:val="00684355"/>
    <w:rsid w:val="00685147"/>
    <w:rsid w:val="00686412"/>
    <w:rsid w:val="006952FA"/>
    <w:rsid w:val="006A04E2"/>
    <w:rsid w:val="006A05AA"/>
    <w:rsid w:val="006A5F3F"/>
    <w:rsid w:val="006A6788"/>
    <w:rsid w:val="006B1824"/>
    <w:rsid w:val="006B3D27"/>
    <w:rsid w:val="006B4D6F"/>
    <w:rsid w:val="006B63B1"/>
    <w:rsid w:val="006C4DFD"/>
    <w:rsid w:val="006C65F2"/>
    <w:rsid w:val="006D1F5B"/>
    <w:rsid w:val="006D282C"/>
    <w:rsid w:val="006D57D0"/>
    <w:rsid w:val="006E02FC"/>
    <w:rsid w:val="006E0578"/>
    <w:rsid w:val="006E43AA"/>
    <w:rsid w:val="006F1718"/>
    <w:rsid w:val="00703763"/>
    <w:rsid w:val="00704912"/>
    <w:rsid w:val="0070527B"/>
    <w:rsid w:val="007108BD"/>
    <w:rsid w:val="007123C7"/>
    <w:rsid w:val="00715CFF"/>
    <w:rsid w:val="00716A4E"/>
    <w:rsid w:val="0071798D"/>
    <w:rsid w:val="007214CD"/>
    <w:rsid w:val="007244D9"/>
    <w:rsid w:val="00724905"/>
    <w:rsid w:val="00725D0C"/>
    <w:rsid w:val="00733302"/>
    <w:rsid w:val="00734473"/>
    <w:rsid w:val="00737DA4"/>
    <w:rsid w:val="00740C43"/>
    <w:rsid w:val="00741BC6"/>
    <w:rsid w:val="00752631"/>
    <w:rsid w:val="007531EB"/>
    <w:rsid w:val="00754C6F"/>
    <w:rsid w:val="007556EE"/>
    <w:rsid w:val="00763048"/>
    <w:rsid w:val="00763D56"/>
    <w:rsid w:val="00765E79"/>
    <w:rsid w:val="007661E4"/>
    <w:rsid w:val="00770CAC"/>
    <w:rsid w:val="0077112B"/>
    <w:rsid w:val="007721B5"/>
    <w:rsid w:val="0077235F"/>
    <w:rsid w:val="007736AB"/>
    <w:rsid w:val="00773E12"/>
    <w:rsid w:val="00773FF4"/>
    <w:rsid w:val="00774708"/>
    <w:rsid w:val="00777B21"/>
    <w:rsid w:val="00782185"/>
    <w:rsid w:val="00782846"/>
    <w:rsid w:val="00782FBF"/>
    <w:rsid w:val="00783CD4"/>
    <w:rsid w:val="00783FF9"/>
    <w:rsid w:val="00784CD6"/>
    <w:rsid w:val="00784FBD"/>
    <w:rsid w:val="0078792A"/>
    <w:rsid w:val="00794463"/>
    <w:rsid w:val="00795D4D"/>
    <w:rsid w:val="00795D6D"/>
    <w:rsid w:val="007962E6"/>
    <w:rsid w:val="00797FA0"/>
    <w:rsid w:val="007A1528"/>
    <w:rsid w:val="007A29AC"/>
    <w:rsid w:val="007A412D"/>
    <w:rsid w:val="007A436C"/>
    <w:rsid w:val="007A5D09"/>
    <w:rsid w:val="007B014C"/>
    <w:rsid w:val="007B12BE"/>
    <w:rsid w:val="007B380F"/>
    <w:rsid w:val="007B6B1C"/>
    <w:rsid w:val="007B7DFE"/>
    <w:rsid w:val="007C3E83"/>
    <w:rsid w:val="007C45F3"/>
    <w:rsid w:val="007C4D55"/>
    <w:rsid w:val="007C691E"/>
    <w:rsid w:val="007D4CFD"/>
    <w:rsid w:val="007E1DAA"/>
    <w:rsid w:val="007E2B3C"/>
    <w:rsid w:val="007E41F3"/>
    <w:rsid w:val="007F1E8F"/>
    <w:rsid w:val="007F417E"/>
    <w:rsid w:val="007F7012"/>
    <w:rsid w:val="0080076F"/>
    <w:rsid w:val="00802BA9"/>
    <w:rsid w:val="00807262"/>
    <w:rsid w:val="00813985"/>
    <w:rsid w:val="00830979"/>
    <w:rsid w:val="00832148"/>
    <w:rsid w:val="00837223"/>
    <w:rsid w:val="008435F8"/>
    <w:rsid w:val="00844FB3"/>
    <w:rsid w:val="008453E2"/>
    <w:rsid w:val="00847AD3"/>
    <w:rsid w:val="008505E7"/>
    <w:rsid w:val="00855A61"/>
    <w:rsid w:val="00862ED4"/>
    <w:rsid w:val="00865840"/>
    <w:rsid w:val="00870078"/>
    <w:rsid w:val="00870523"/>
    <w:rsid w:val="008754A6"/>
    <w:rsid w:val="00877BA0"/>
    <w:rsid w:val="008809D3"/>
    <w:rsid w:val="00881682"/>
    <w:rsid w:val="00882927"/>
    <w:rsid w:val="00883F71"/>
    <w:rsid w:val="0089445D"/>
    <w:rsid w:val="00896567"/>
    <w:rsid w:val="008A1890"/>
    <w:rsid w:val="008A27A4"/>
    <w:rsid w:val="008A2893"/>
    <w:rsid w:val="008B1595"/>
    <w:rsid w:val="008B6677"/>
    <w:rsid w:val="008D3040"/>
    <w:rsid w:val="008D4DAF"/>
    <w:rsid w:val="008D6F28"/>
    <w:rsid w:val="008E17AC"/>
    <w:rsid w:val="008F2C0A"/>
    <w:rsid w:val="008F5541"/>
    <w:rsid w:val="008F7059"/>
    <w:rsid w:val="008F7A8F"/>
    <w:rsid w:val="009054B5"/>
    <w:rsid w:val="00905EC1"/>
    <w:rsid w:val="0091003D"/>
    <w:rsid w:val="00911FC5"/>
    <w:rsid w:val="0091228F"/>
    <w:rsid w:val="009127A6"/>
    <w:rsid w:val="009141DA"/>
    <w:rsid w:val="0091772B"/>
    <w:rsid w:val="00921680"/>
    <w:rsid w:val="0092676B"/>
    <w:rsid w:val="00926E05"/>
    <w:rsid w:val="0093018B"/>
    <w:rsid w:val="00930363"/>
    <w:rsid w:val="0093134E"/>
    <w:rsid w:val="009429EF"/>
    <w:rsid w:val="00945025"/>
    <w:rsid w:val="00947FAF"/>
    <w:rsid w:val="00952A98"/>
    <w:rsid w:val="00954FCF"/>
    <w:rsid w:val="00955484"/>
    <w:rsid w:val="0095650B"/>
    <w:rsid w:val="0095674B"/>
    <w:rsid w:val="00957A61"/>
    <w:rsid w:val="009600BD"/>
    <w:rsid w:val="00962AB2"/>
    <w:rsid w:val="0096304F"/>
    <w:rsid w:val="00963595"/>
    <w:rsid w:val="00970196"/>
    <w:rsid w:val="009706A3"/>
    <w:rsid w:val="00972585"/>
    <w:rsid w:val="00976B13"/>
    <w:rsid w:val="009805F6"/>
    <w:rsid w:val="00980702"/>
    <w:rsid w:val="0098546D"/>
    <w:rsid w:val="00985A5B"/>
    <w:rsid w:val="0098662C"/>
    <w:rsid w:val="009A5FF5"/>
    <w:rsid w:val="009B2B67"/>
    <w:rsid w:val="009B3625"/>
    <w:rsid w:val="009B5FD9"/>
    <w:rsid w:val="009B6E27"/>
    <w:rsid w:val="009C05D5"/>
    <w:rsid w:val="009C3759"/>
    <w:rsid w:val="009D0428"/>
    <w:rsid w:val="009D0BE5"/>
    <w:rsid w:val="009D2674"/>
    <w:rsid w:val="009D40C5"/>
    <w:rsid w:val="009E3504"/>
    <w:rsid w:val="009E4306"/>
    <w:rsid w:val="009E5E86"/>
    <w:rsid w:val="009F1472"/>
    <w:rsid w:val="009F39B3"/>
    <w:rsid w:val="009F73B6"/>
    <w:rsid w:val="00A03369"/>
    <w:rsid w:val="00A04D4D"/>
    <w:rsid w:val="00A07099"/>
    <w:rsid w:val="00A07651"/>
    <w:rsid w:val="00A07655"/>
    <w:rsid w:val="00A105B5"/>
    <w:rsid w:val="00A136AB"/>
    <w:rsid w:val="00A17BB5"/>
    <w:rsid w:val="00A20F3B"/>
    <w:rsid w:val="00A21A13"/>
    <w:rsid w:val="00A231E2"/>
    <w:rsid w:val="00A24BD5"/>
    <w:rsid w:val="00A34641"/>
    <w:rsid w:val="00A34DA1"/>
    <w:rsid w:val="00A35564"/>
    <w:rsid w:val="00A36030"/>
    <w:rsid w:val="00A40945"/>
    <w:rsid w:val="00A426A7"/>
    <w:rsid w:val="00A4407E"/>
    <w:rsid w:val="00A46A0F"/>
    <w:rsid w:val="00A50045"/>
    <w:rsid w:val="00A547B2"/>
    <w:rsid w:val="00A5585B"/>
    <w:rsid w:val="00A6480A"/>
    <w:rsid w:val="00A64D4C"/>
    <w:rsid w:val="00A65C58"/>
    <w:rsid w:val="00A663F3"/>
    <w:rsid w:val="00A7583D"/>
    <w:rsid w:val="00A778DC"/>
    <w:rsid w:val="00A77BA6"/>
    <w:rsid w:val="00A87630"/>
    <w:rsid w:val="00A91A60"/>
    <w:rsid w:val="00A91F48"/>
    <w:rsid w:val="00A9471D"/>
    <w:rsid w:val="00A96CA6"/>
    <w:rsid w:val="00AA4975"/>
    <w:rsid w:val="00AA7ABD"/>
    <w:rsid w:val="00AB4E07"/>
    <w:rsid w:val="00AB506A"/>
    <w:rsid w:val="00AB55D9"/>
    <w:rsid w:val="00AB6E87"/>
    <w:rsid w:val="00AC0188"/>
    <w:rsid w:val="00AC2D67"/>
    <w:rsid w:val="00AC4DBF"/>
    <w:rsid w:val="00AD1310"/>
    <w:rsid w:val="00AD1F99"/>
    <w:rsid w:val="00AD6079"/>
    <w:rsid w:val="00AD6446"/>
    <w:rsid w:val="00AE36F9"/>
    <w:rsid w:val="00AE427E"/>
    <w:rsid w:val="00AF6CB2"/>
    <w:rsid w:val="00AF7039"/>
    <w:rsid w:val="00B00921"/>
    <w:rsid w:val="00B04D97"/>
    <w:rsid w:val="00B1389E"/>
    <w:rsid w:val="00B16F16"/>
    <w:rsid w:val="00B21049"/>
    <w:rsid w:val="00B27D44"/>
    <w:rsid w:val="00B301F1"/>
    <w:rsid w:val="00B34C31"/>
    <w:rsid w:val="00B35291"/>
    <w:rsid w:val="00B41C6E"/>
    <w:rsid w:val="00B42195"/>
    <w:rsid w:val="00B43B62"/>
    <w:rsid w:val="00B5383C"/>
    <w:rsid w:val="00B543B8"/>
    <w:rsid w:val="00B54E9E"/>
    <w:rsid w:val="00B55F5C"/>
    <w:rsid w:val="00B579D7"/>
    <w:rsid w:val="00B61AE6"/>
    <w:rsid w:val="00B6364C"/>
    <w:rsid w:val="00B65EA5"/>
    <w:rsid w:val="00B677F5"/>
    <w:rsid w:val="00B73A95"/>
    <w:rsid w:val="00B76EBE"/>
    <w:rsid w:val="00B81B4D"/>
    <w:rsid w:val="00B822CE"/>
    <w:rsid w:val="00B845D4"/>
    <w:rsid w:val="00B869C4"/>
    <w:rsid w:val="00B922E0"/>
    <w:rsid w:val="00BA072B"/>
    <w:rsid w:val="00BA275F"/>
    <w:rsid w:val="00BA7C34"/>
    <w:rsid w:val="00BB0CA6"/>
    <w:rsid w:val="00BC0C32"/>
    <w:rsid w:val="00BC1216"/>
    <w:rsid w:val="00BC2740"/>
    <w:rsid w:val="00BC370C"/>
    <w:rsid w:val="00BC55C9"/>
    <w:rsid w:val="00BD2112"/>
    <w:rsid w:val="00BD256D"/>
    <w:rsid w:val="00BD422A"/>
    <w:rsid w:val="00BD5C8C"/>
    <w:rsid w:val="00BE1878"/>
    <w:rsid w:val="00BE3602"/>
    <w:rsid w:val="00BE3896"/>
    <w:rsid w:val="00BE70D7"/>
    <w:rsid w:val="00BF270F"/>
    <w:rsid w:val="00BF3814"/>
    <w:rsid w:val="00C00022"/>
    <w:rsid w:val="00C014D5"/>
    <w:rsid w:val="00C1008E"/>
    <w:rsid w:val="00C101D7"/>
    <w:rsid w:val="00C1551B"/>
    <w:rsid w:val="00C209C4"/>
    <w:rsid w:val="00C20BD7"/>
    <w:rsid w:val="00C229C4"/>
    <w:rsid w:val="00C22E48"/>
    <w:rsid w:val="00C2367F"/>
    <w:rsid w:val="00C24504"/>
    <w:rsid w:val="00C32CB2"/>
    <w:rsid w:val="00C34FA8"/>
    <w:rsid w:val="00C35A4A"/>
    <w:rsid w:val="00C40BC6"/>
    <w:rsid w:val="00C41FF3"/>
    <w:rsid w:val="00C42806"/>
    <w:rsid w:val="00C45B15"/>
    <w:rsid w:val="00C616F0"/>
    <w:rsid w:val="00C635DB"/>
    <w:rsid w:val="00C64428"/>
    <w:rsid w:val="00C64FF7"/>
    <w:rsid w:val="00C666A7"/>
    <w:rsid w:val="00C72D64"/>
    <w:rsid w:val="00C852CB"/>
    <w:rsid w:val="00C853D8"/>
    <w:rsid w:val="00C85C71"/>
    <w:rsid w:val="00CA0C3F"/>
    <w:rsid w:val="00CA2A82"/>
    <w:rsid w:val="00CA52D2"/>
    <w:rsid w:val="00CB0673"/>
    <w:rsid w:val="00CB7F0B"/>
    <w:rsid w:val="00CC0814"/>
    <w:rsid w:val="00CC1112"/>
    <w:rsid w:val="00CC3DB3"/>
    <w:rsid w:val="00CC608C"/>
    <w:rsid w:val="00CD18EA"/>
    <w:rsid w:val="00CD5402"/>
    <w:rsid w:val="00CE186B"/>
    <w:rsid w:val="00CF01E5"/>
    <w:rsid w:val="00CF515C"/>
    <w:rsid w:val="00CF7C53"/>
    <w:rsid w:val="00D018C3"/>
    <w:rsid w:val="00D02553"/>
    <w:rsid w:val="00D12F83"/>
    <w:rsid w:val="00D15591"/>
    <w:rsid w:val="00D277EA"/>
    <w:rsid w:val="00D32C11"/>
    <w:rsid w:val="00D346B6"/>
    <w:rsid w:val="00D34A67"/>
    <w:rsid w:val="00D36798"/>
    <w:rsid w:val="00D427BA"/>
    <w:rsid w:val="00D4513C"/>
    <w:rsid w:val="00D453AA"/>
    <w:rsid w:val="00D5440D"/>
    <w:rsid w:val="00D55CDF"/>
    <w:rsid w:val="00D61140"/>
    <w:rsid w:val="00D63DE2"/>
    <w:rsid w:val="00D64E72"/>
    <w:rsid w:val="00D65212"/>
    <w:rsid w:val="00D706C8"/>
    <w:rsid w:val="00D84597"/>
    <w:rsid w:val="00D84DAD"/>
    <w:rsid w:val="00D855A0"/>
    <w:rsid w:val="00D85E2D"/>
    <w:rsid w:val="00D86E57"/>
    <w:rsid w:val="00D90FB5"/>
    <w:rsid w:val="00D91E70"/>
    <w:rsid w:val="00D95BEF"/>
    <w:rsid w:val="00D972D8"/>
    <w:rsid w:val="00DA6845"/>
    <w:rsid w:val="00DB0A4C"/>
    <w:rsid w:val="00DC18E6"/>
    <w:rsid w:val="00DD0E39"/>
    <w:rsid w:val="00DD3838"/>
    <w:rsid w:val="00DD44E0"/>
    <w:rsid w:val="00DD7997"/>
    <w:rsid w:val="00DE5855"/>
    <w:rsid w:val="00E02DF5"/>
    <w:rsid w:val="00E11C6E"/>
    <w:rsid w:val="00E168F8"/>
    <w:rsid w:val="00E200B7"/>
    <w:rsid w:val="00E2041D"/>
    <w:rsid w:val="00E20831"/>
    <w:rsid w:val="00E23795"/>
    <w:rsid w:val="00E247CE"/>
    <w:rsid w:val="00E33A4B"/>
    <w:rsid w:val="00E3790A"/>
    <w:rsid w:val="00E400EA"/>
    <w:rsid w:val="00E42AAA"/>
    <w:rsid w:val="00E42B4A"/>
    <w:rsid w:val="00E448DA"/>
    <w:rsid w:val="00E44CF5"/>
    <w:rsid w:val="00E46EBA"/>
    <w:rsid w:val="00E473DE"/>
    <w:rsid w:val="00E51B15"/>
    <w:rsid w:val="00E60F88"/>
    <w:rsid w:val="00E72114"/>
    <w:rsid w:val="00E726F2"/>
    <w:rsid w:val="00E749A2"/>
    <w:rsid w:val="00E75CFB"/>
    <w:rsid w:val="00E76C8B"/>
    <w:rsid w:val="00E775AE"/>
    <w:rsid w:val="00E802D4"/>
    <w:rsid w:val="00E82727"/>
    <w:rsid w:val="00E85932"/>
    <w:rsid w:val="00E873A5"/>
    <w:rsid w:val="00E9056F"/>
    <w:rsid w:val="00E915E8"/>
    <w:rsid w:val="00E946D5"/>
    <w:rsid w:val="00E977E8"/>
    <w:rsid w:val="00E97F51"/>
    <w:rsid w:val="00EA234A"/>
    <w:rsid w:val="00EA290C"/>
    <w:rsid w:val="00EA57F9"/>
    <w:rsid w:val="00EA59D3"/>
    <w:rsid w:val="00EA6F71"/>
    <w:rsid w:val="00EB120B"/>
    <w:rsid w:val="00EB2043"/>
    <w:rsid w:val="00EB266F"/>
    <w:rsid w:val="00EB36F0"/>
    <w:rsid w:val="00EB42E9"/>
    <w:rsid w:val="00EB5658"/>
    <w:rsid w:val="00EC4DBB"/>
    <w:rsid w:val="00EC6827"/>
    <w:rsid w:val="00EC6B1C"/>
    <w:rsid w:val="00EC6CD0"/>
    <w:rsid w:val="00EC6D3D"/>
    <w:rsid w:val="00ED368B"/>
    <w:rsid w:val="00EE23DC"/>
    <w:rsid w:val="00EE4BFB"/>
    <w:rsid w:val="00EF41C9"/>
    <w:rsid w:val="00EF4FC5"/>
    <w:rsid w:val="00EF5C4C"/>
    <w:rsid w:val="00EF6EE6"/>
    <w:rsid w:val="00EF7BA2"/>
    <w:rsid w:val="00F00FFC"/>
    <w:rsid w:val="00F01E0A"/>
    <w:rsid w:val="00F03AFC"/>
    <w:rsid w:val="00F05582"/>
    <w:rsid w:val="00F058D5"/>
    <w:rsid w:val="00F064D6"/>
    <w:rsid w:val="00F1665F"/>
    <w:rsid w:val="00F22651"/>
    <w:rsid w:val="00F26D57"/>
    <w:rsid w:val="00F27705"/>
    <w:rsid w:val="00F313BC"/>
    <w:rsid w:val="00F32418"/>
    <w:rsid w:val="00F35AF9"/>
    <w:rsid w:val="00F375C2"/>
    <w:rsid w:val="00F4441B"/>
    <w:rsid w:val="00F45390"/>
    <w:rsid w:val="00F50657"/>
    <w:rsid w:val="00F52DA5"/>
    <w:rsid w:val="00F556BC"/>
    <w:rsid w:val="00F5662D"/>
    <w:rsid w:val="00F57466"/>
    <w:rsid w:val="00F57929"/>
    <w:rsid w:val="00F6025F"/>
    <w:rsid w:val="00F63991"/>
    <w:rsid w:val="00F72C93"/>
    <w:rsid w:val="00F72DD3"/>
    <w:rsid w:val="00F733F5"/>
    <w:rsid w:val="00F754AF"/>
    <w:rsid w:val="00F769C2"/>
    <w:rsid w:val="00F77A82"/>
    <w:rsid w:val="00F86A11"/>
    <w:rsid w:val="00F87663"/>
    <w:rsid w:val="00F90BB1"/>
    <w:rsid w:val="00F92685"/>
    <w:rsid w:val="00F9445A"/>
    <w:rsid w:val="00FA059A"/>
    <w:rsid w:val="00FA4D40"/>
    <w:rsid w:val="00FB10AD"/>
    <w:rsid w:val="00FB16CC"/>
    <w:rsid w:val="00FB2C41"/>
    <w:rsid w:val="00FB44C9"/>
    <w:rsid w:val="00FB6A4F"/>
    <w:rsid w:val="00FC04B9"/>
    <w:rsid w:val="00FC1213"/>
    <w:rsid w:val="00FC373F"/>
    <w:rsid w:val="00FC5289"/>
    <w:rsid w:val="00FC6597"/>
    <w:rsid w:val="00FC6DF3"/>
    <w:rsid w:val="00FC7145"/>
    <w:rsid w:val="00FC7FA2"/>
    <w:rsid w:val="00FD131A"/>
    <w:rsid w:val="00FD4D05"/>
    <w:rsid w:val="00FD56E2"/>
    <w:rsid w:val="00FD5B19"/>
    <w:rsid w:val="00FD7363"/>
    <w:rsid w:val="00FE04B8"/>
    <w:rsid w:val="00FE3CB9"/>
    <w:rsid w:val="00FE5BE1"/>
    <w:rsid w:val="00FE5C9A"/>
    <w:rsid w:val="00FE6734"/>
    <w:rsid w:val="00FE7130"/>
    <w:rsid w:val="00FF2FF3"/>
    <w:rsid w:val="00FF350F"/>
    <w:rsid w:val="00FF40F1"/>
    <w:rsid w:val="00FF4B77"/>
    <w:rsid w:val="00FF6ABF"/>
    <w:rsid w:val="01A02DD7"/>
    <w:rsid w:val="03F6FC06"/>
    <w:rsid w:val="05AC9604"/>
    <w:rsid w:val="064751E4"/>
    <w:rsid w:val="077C836F"/>
    <w:rsid w:val="0952E3C7"/>
    <w:rsid w:val="0E4B83C0"/>
    <w:rsid w:val="106A8634"/>
    <w:rsid w:val="109BCFEF"/>
    <w:rsid w:val="11AD9C60"/>
    <w:rsid w:val="1459710E"/>
    <w:rsid w:val="15122E79"/>
    <w:rsid w:val="16756D19"/>
    <w:rsid w:val="16A94D02"/>
    <w:rsid w:val="17E838DD"/>
    <w:rsid w:val="17FED466"/>
    <w:rsid w:val="19C0C18F"/>
    <w:rsid w:val="1B05432D"/>
    <w:rsid w:val="1B1DD3F9"/>
    <w:rsid w:val="1B367528"/>
    <w:rsid w:val="1FF990DF"/>
    <w:rsid w:val="20CF1448"/>
    <w:rsid w:val="2304D913"/>
    <w:rsid w:val="255EE494"/>
    <w:rsid w:val="259FDA2F"/>
    <w:rsid w:val="273BAA90"/>
    <w:rsid w:val="277232CE"/>
    <w:rsid w:val="2918D915"/>
    <w:rsid w:val="2966F63E"/>
    <w:rsid w:val="2B7997C3"/>
    <w:rsid w:val="2BB66773"/>
    <w:rsid w:val="2C621CC2"/>
    <w:rsid w:val="2D9704B5"/>
    <w:rsid w:val="2F40E03C"/>
    <w:rsid w:val="317D5DB9"/>
    <w:rsid w:val="31EBF98D"/>
    <w:rsid w:val="3296750C"/>
    <w:rsid w:val="33547FB6"/>
    <w:rsid w:val="33D62F48"/>
    <w:rsid w:val="36427FDC"/>
    <w:rsid w:val="37320C40"/>
    <w:rsid w:val="387AB9BE"/>
    <w:rsid w:val="389552BE"/>
    <w:rsid w:val="39440920"/>
    <w:rsid w:val="3A888B70"/>
    <w:rsid w:val="3B16C678"/>
    <w:rsid w:val="3C50D4A7"/>
    <w:rsid w:val="41D05312"/>
    <w:rsid w:val="44BBB631"/>
    <w:rsid w:val="464DC67A"/>
    <w:rsid w:val="493FF1BA"/>
    <w:rsid w:val="4B2E937D"/>
    <w:rsid w:val="4C7AB3A3"/>
    <w:rsid w:val="4CA086F9"/>
    <w:rsid w:val="4CCAD742"/>
    <w:rsid w:val="50731FFD"/>
    <w:rsid w:val="51A00770"/>
    <w:rsid w:val="52804FCE"/>
    <w:rsid w:val="538D455A"/>
    <w:rsid w:val="5427B73B"/>
    <w:rsid w:val="54F9B2F5"/>
    <w:rsid w:val="55B7F090"/>
    <w:rsid w:val="55E9228B"/>
    <w:rsid w:val="57C060DD"/>
    <w:rsid w:val="58AB87B4"/>
    <w:rsid w:val="5920C34D"/>
    <w:rsid w:val="5B74E8B1"/>
    <w:rsid w:val="5BB717BF"/>
    <w:rsid w:val="5CFCD13C"/>
    <w:rsid w:val="60BDEFA7"/>
    <w:rsid w:val="61ED3A61"/>
    <w:rsid w:val="622E309E"/>
    <w:rsid w:val="62FB5BB6"/>
    <w:rsid w:val="6414B2EE"/>
    <w:rsid w:val="64C8FED0"/>
    <w:rsid w:val="659A593C"/>
    <w:rsid w:val="6797A9E2"/>
    <w:rsid w:val="67DA457C"/>
    <w:rsid w:val="6B156647"/>
    <w:rsid w:val="6B3F7B51"/>
    <w:rsid w:val="6C3BE9E6"/>
    <w:rsid w:val="6F1A638D"/>
    <w:rsid w:val="707FD93E"/>
    <w:rsid w:val="70B1A39F"/>
    <w:rsid w:val="71AF6F5E"/>
    <w:rsid w:val="71C74D89"/>
    <w:rsid w:val="721E4E28"/>
    <w:rsid w:val="7593B4A9"/>
    <w:rsid w:val="77A9BC45"/>
    <w:rsid w:val="7896FE47"/>
    <w:rsid w:val="79133427"/>
    <w:rsid w:val="7B5651A4"/>
    <w:rsid w:val="7BABB51D"/>
    <w:rsid w:val="7C967859"/>
    <w:rsid w:val="7CC272E9"/>
    <w:rsid w:val="7D02A7AF"/>
    <w:rsid w:val="7D564AE7"/>
    <w:rsid w:val="7FDEC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124F9"/>
  <w15:chartTrackingRefBased/>
  <w15:docId w15:val="{971F6F6C-425C-7F40-AA41-ED1F8A33D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4C5"/>
    <w:pPr>
      <w:spacing w:after="0" w:line="240" w:lineRule="auto"/>
    </w:pPr>
  </w:style>
  <w:style w:type="paragraph" w:styleId="Heading2">
    <w:name w:val="heading 2"/>
    <w:aliases w:val="Heading 2 (A-level text heading)"/>
    <w:next w:val="Normal"/>
    <w:link w:val="Heading2Char"/>
    <w:uiPriority w:val="99"/>
    <w:qFormat/>
    <w:rsid w:val="003032D6"/>
    <w:pPr>
      <w:keepNext/>
      <w:keepLines/>
      <w:numPr>
        <w:numId w:val="1"/>
      </w:numPr>
      <w:spacing w:before="120" w:after="120" w:line="240" w:lineRule="auto"/>
      <w:outlineLvl w:val="1"/>
    </w:pPr>
    <w:rPr>
      <w:rFonts w:ascii="Times New Roman" w:eastAsia="Calibri" w:hAnsi="Times New Roman" w:cs="Times New Roman"/>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32D6"/>
    <w:rPr>
      <w:color w:val="0563C1" w:themeColor="hyperlink"/>
      <w:u w:val="single"/>
    </w:rPr>
  </w:style>
  <w:style w:type="character" w:customStyle="1" w:styleId="Mention1">
    <w:name w:val="Mention1"/>
    <w:basedOn w:val="DefaultParagraphFont"/>
    <w:uiPriority w:val="99"/>
    <w:semiHidden/>
    <w:unhideWhenUsed/>
    <w:rsid w:val="003032D6"/>
    <w:rPr>
      <w:color w:val="2B579A"/>
      <w:shd w:val="clear" w:color="auto" w:fill="E6E6E6"/>
    </w:rPr>
  </w:style>
  <w:style w:type="character" w:customStyle="1" w:styleId="Heading2Char">
    <w:name w:val="Heading 2 Char"/>
    <w:aliases w:val="Heading 2 (A-level text heading) Char"/>
    <w:basedOn w:val="DefaultParagraphFont"/>
    <w:link w:val="Heading2"/>
    <w:uiPriority w:val="99"/>
    <w:rsid w:val="003032D6"/>
    <w:rPr>
      <w:rFonts w:ascii="Times New Roman" w:eastAsia="Calibri" w:hAnsi="Times New Roman" w:cs="Times New Roman"/>
      <w:color w:val="000000" w:themeColor="text1"/>
      <w:sz w:val="24"/>
      <w:szCs w:val="24"/>
      <w:u w:val="single"/>
    </w:rPr>
  </w:style>
  <w:style w:type="paragraph" w:styleId="ListParagraph">
    <w:name w:val="List Paragraph"/>
    <w:basedOn w:val="Normal"/>
    <w:uiPriority w:val="34"/>
    <w:qFormat/>
    <w:rsid w:val="003032D6"/>
    <w:pPr>
      <w:ind w:left="720"/>
      <w:contextualSpacing/>
    </w:pPr>
  </w:style>
  <w:style w:type="paragraph" w:styleId="NoSpacing">
    <w:name w:val="No Spacing"/>
    <w:uiPriority w:val="1"/>
    <w:qFormat/>
    <w:rsid w:val="003032D6"/>
    <w:pPr>
      <w:spacing w:after="0" w:line="240" w:lineRule="auto"/>
      <w:ind w:left="720"/>
    </w:pPr>
    <w:rPr>
      <w:rFonts w:ascii="Times New Roman" w:hAnsi="Times New Roman" w:cs="Times New Roman"/>
      <w:bCs/>
      <w:sz w:val="24"/>
      <w:szCs w:val="24"/>
    </w:rPr>
  </w:style>
  <w:style w:type="paragraph" w:customStyle="1" w:styleId="NumberedList">
    <w:name w:val="Numbered List"/>
    <w:basedOn w:val="Normal"/>
    <w:qFormat/>
    <w:rsid w:val="003032D6"/>
    <w:pPr>
      <w:numPr>
        <w:numId w:val="9"/>
      </w:numPr>
      <w:spacing w:after="180" w:line="360" w:lineRule="exact"/>
      <w:contextualSpacing/>
    </w:pPr>
    <w:rPr>
      <w:rFonts w:ascii="Lato" w:hAnsi="Lato"/>
      <w:sz w:val="20"/>
      <w:szCs w:val="20"/>
    </w:rPr>
  </w:style>
  <w:style w:type="table" w:styleId="TableGrid">
    <w:name w:val="Table Grid"/>
    <w:basedOn w:val="TableNormal"/>
    <w:uiPriority w:val="39"/>
    <w:rsid w:val="007531EB"/>
    <w:pPr>
      <w:spacing w:after="0" w:line="240" w:lineRule="auto"/>
    </w:pPr>
    <w:rPr>
      <w:rFonts w:ascii="Lato" w:hAnsi="La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7531EB"/>
    <w:pPr>
      <w:spacing w:after="120"/>
    </w:pPr>
    <w:rPr>
      <w:rFonts w:ascii="Lato" w:eastAsia="Times New Roman" w:hAnsi="Lato"/>
      <w:snapToGrid w:val="0"/>
      <w:sz w:val="18"/>
      <w:szCs w:val="20"/>
    </w:rPr>
  </w:style>
  <w:style w:type="character" w:styleId="CommentReference">
    <w:name w:val="annotation reference"/>
    <w:basedOn w:val="DefaultParagraphFont"/>
    <w:uiPriority w:val="99"/>
    <w:semiHidden/>
    <w:rsid w:val="007531EB"/>
    <w:rPr>
      <w:sz w:val="16"/>
      <w:szCs w:val="16"/>
    </w:rPr>
  </w:style>
  <w:style w:type="paragraph" w:styleId="CommentText">
    <w:name w:val="annotation text"/>
    <w:basedOn w:val="Normal"/>
    <w:link w:val="CommentTextChar"/>
    <w:uiPriority w:val="99"/>
    <w:rsid w:val="007531EB"/>
    <w:pPr>
      <w:spacing w:after="120"/>
    </w:pPr>
    <w:rPr>
      <w:rFonts w:ascii="Lato" w:hAnsi="Lato"/>
      <w:sz w:val="20"/>
      <w:szCs w:val="20"/>
    </w:rPr>
  </w:style>
  <w:style w:type="character" w:customStyle="1" w:styleId="CommentTextChar">
    <w:name w:val="Comment Text Char"/>
    <w:basedOn w:val="DefaultParagraphFont"/>
    <w:link w:val="CommentText"/>
    <w:uiPriority w:val="99"/>
    <w:rsid w:val="007531EB"/>
    <w:rPr>
      <w:rFonts w:ascii="Lato" w:hAnsi="Lato"/>
      <w:sz w:val="20"/>
      <w:szCs w:val="20"/>
    </w:rPr>
  </w:style>
  <w:style w:type="paragraph" w:styleId="BalloonText">
    <w:name w:val="Balloon Text"/>
    <w:basedOn w:val="Normal"/>
    <w:link w:val="BalloonTextChar"/>
    <w:uiPriority w:val="99"/>
    <w:semiHidden/>
    <w:unhideWhenUsed/>
    <w:rsid w:val="00753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1EB"/>
    <w:rPr>
      <w:rFonts w:ascii="Segoe UI" w:hAnsi="Segoe UI" w:cs="Segoe UI"/>
      <w:sz w:val="18"/>
      <w:szCs w:val="18"/>
    </w:rPr>
  </w:style>
  <w:style w:type="paragraph" w:customStyle="1" w:styleId="BodyTextAfterFigureTable">
    <w:name w:val="Body Text_After Figure/Table"/>
    <w:basedOn w:val="BodyTextFirstIndent"/>
    <w:unhideWhenUsed/>
    <w:qFormat/>
    <w:rsid w:val="00BF270F"/>
    <w:pPr>
      <w:spacing w:before="240" w:after="180" w:line="360" w:lineRule="exact"/>
    </w:pPr>
    <w:rPr>
      <w:rFonts w:ascii="Lato" w:eastAsia="Calibri" w:hAnsi="Lato" w:cs="Times New Roman"/>
      <w:sz w:val="20"/>
      <w:szCs w:val="20"/>
    </w:rPr>
  </w:style>
  <w:style w:type="paragraph" w:styleId="BodyText">
    <w:name w:val="Body Text"/>
    <w:basedOn w:val="Normal"/>
    <w:link w:val="BodyTextChar"/>
    <w:qFormat/>
    <w:rsid w:val="00BF270F"/>
    <w:pPr>
      <w:spacing w:after="180" w:line="360" w:lineRule="exact"/>
    </w:pPr>
    <w:rPr>
      <w:rFonts w:ascii="Lato" w:eastAsia="Times New Roman" w:hAnsi="Lato"/>
      <w:bCs/>
      <w:sz w:val="20"/>
      <w:szCs w:val="20"/>
    </w:rPr>
  </w:style>
  <w:style w:type="character" w:customStyle="1" w:styleId="BodyTextChar">
    <w:name w:val="Body Text Char"/>
    <w:basedOn w:val="DefaultParagraphFont"/>
    <w:link w:val="BodyText"/>
    <w:rsid w:val="00BF270F"/>
    <w:rPr>
      <w:rFonts w:ascii="Lato" w:eastAsia="Times New Roman" w:hAnsi="Lato"/>
      <w:bCs/>
      <w:sz w:val="20"/>
      <w:szCs w:val="20"/>
    </w:rPr>
  </w:style>
  <w:style w:type="character" w:customStyle="1" w:styleId="normaltextrun1">
    <w:name w:val="normaltextrun1"/>
    <w:basedOn w:val="DefaultParagraphFont"/>
    <w:rsid w:val="00BF270F"/>
  </w:style>
  <w:style w:type="character" w:customStyle="1" w:styleId="eop">
    <w:name w:val="eop"/>
    <w:basedOn w:val="DefaultParagraphFont"/>
    <w:rsid w:val="00BF270F"/>
  </w:style>
  <w:style w:type="paragraph" w:styleId="FootnoteText">
    <w:name w:val="footnote text"/>
    <w:basedOn w:val="EndnoteText"/>
    <w:link w:val="FootnoteTextChar"/>
    <w:uiPriority w:val="99"/>
    <w:unhideWhenUsed/>
    <w:rsid w:val="00BF270F"/>
    <w:pPr>
      <w:tabs>
        <w:tab w:val="left" w:pos="216"/>
      </w:tabs>
      <w:spacing w:after="120" w:line="240" w:lineRule="exact"/>
    </w:pPr>
    <w:rPr>
      <w:rFonts w:ascii="Lato" w:hAnsi="Lato"/>
      <w:sz w:val="18"/>
    </w:rPr>
  </w:style>
  <w:style w:type="character" w:customStyle="1" w:styleId="FootnoteTextChar">
    <w:name w:val="Footnote Text Char"/>
    <w:basedOn w:val="DefaultParagraphFont"/>
    <w:link w:val="FootnoteText"/>
    <w:uiPriority w:val="99"/>
    <w:rsid w:val="00BF270F"/>
    <w:rPr>
      <w:rFonts w:ascii="Lato" w:hAnsi="Lato"/>
      <w:sz w:val="18"/>
      <w:szCs w:val="20"/>
    </w:rPr>
  </w:style>
  <w:style w:type="character" w:styleId="FootnoteReference">
    <w:name w:val="footnote reference"/>
    <w:basedOn w:val="EndnoteReference"/>
    <w:uiPriority w:val="99"/>
    <w:unhideWhenUsed/>
    <w:rsid w:val="00BF270F"/>
    <w:rPr>
      <w:rFonts w:ascii="Lato" w:hAnsi="Lato"/>
      <w:vertAlign w:val="superscript"/>
    </w:rPr>
  </w:style>
  <w:style w:type="paragraph" w:styleId="BodyTextFirstIndent">
    <w:name w:val="Body Text First Indent"/>
    <w:basedOn w:val="BodyText"/>
    <w:link w:val="BodyTextFirstIndentChar"/>
    <w:uiPriority w:val="99"/>
    <w:semiHidden/>
    <w:unhideWhenUsed/>
    <w:rsid w:val="00BF270F"/>
    <w:pPr>
      <w:spacing w:after="160" w:line="259" w:lineRule="auto"/>
      <w:ind w:firstLine="360"/>
    </w:pPr>
    <w:rPr>
      <w:rFonts w:asciiTheme="minorHAnsi" w:eastAsiaTheme="minorHAnsi" w:hAnsiTheme="minorHAnsi"/>
      <w:bCs w:val="0"/>
      <w:sz w:val="22"/>
      <w:szCs w:val="22"/>
    </w:rPr>
  </w:style>
  <w:style w:type="character" w:customStyle="1" w:styleId="BodyTextFirstIndentChar">
    <w:name w:val="Body Text First Indent Char"/>
    <w:basedOn w:val="BodyTextChar"/>
    <w:link w:val="BodyTextFirstIndent"/>
    <w:uiPriority w:val="99"/>
    <w:semiHidden/>
    <w:rsid w:val="00BF270F"/>
    <w:rPr>
      <w:rFonts w:ascii="Lato" w:eastAsia="Times New Roman" w:hAnsi="Lato"/>
      <w:bCs/>
      <w:sz w:val="20"/>
      <w:szCs w:val="20"/>
    </w:rPr>
  </w:style>
  <w:style w:type="paragraph" w:styleId="EndnoteText">
    <w:name w:val="endnote text"/>
    <w:basedOn w:val="Normal"/>
    <w:link w:val="EndnoteTextChar"/>
    <w:uiPriority w:val="99"/>
    <w:semiHidden/>
    <w:unhideWhenUsed/>
    <w:rsid w:val="00BF270F"/>
    <w:rPr>
      <w:sz w:val="20"/>
      <w:szCs w:val="20"/>
    </w:rPr>
  </w:style>
  <w:style w:type="character" w:customStyle="1" w:styleId="EndnoteTextChar">
    <w:name w:val="Endnote Text Char"/>
    <w:basedOn w:val="DefaultParagraphFont"/>
    <w:link w:val="EndnoteText"/>
    <w:uiPriority w:val="99"/>
    <w:semiHidden/>
    <w:rsid w:val="00BF270F"/>
    <w:rPr>
      <w:sz w:val="20"/>
      <w:szCs w:val="20"/>
    </w:rPr>
  </w:style>
  <w:style w:type="character" w:styleId="EndnoteReference">
    <w:name w:val="endnote reference"/>
    <w:basedOn w:val="DefaultParagraphFont"/>
    <w:uiPriority w:val="99"/>
    <w:semiHidden/>
    <w:unhideWhenUsed/>
    <w:rsid w:val="00BF270F"/>
    <w:rPr>
      <w:vertAlign w:val="superscript"/>
    </w:rPr>
  </w:style>
  <w:style w:type="paragraph" w:styleId="NormalWeb">
    <w:name w:val="Normal (Web)"/>
    <w:basedOn w:val="Normal"/>
    <w:uiPriority w:val="99"/>
    <w:unhideWhenUsed/>
    <w:rsid w:val="00640495"/>
    <w:pPr>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40495"/>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640495"/>
    <w:rPr>
      <w:rFonts w:ascii="Lato" w:hAnsi="Lato"/>
      <w:b/>
      <w:bCs/>
      <w:sz w:val="20"/>
      <w:szCs w:val="20"/>
    </w:rPr>
  </w:style>
  <w:style w:type="paragraph" w:styleId="Header">
    <w:name w:val="header"/>
    <w:basedOn w:val="Normal"/>
    <w:link w:val="HeaderChar"/>
    <w:uiPriority w:val="99"/>
    <w:unhideWhenUsed/>
    <w:rsid w:val="00BA072B"/>
    <w:pPr>
      <w:tabs>
        <w:tab w:val="center" w:pos="4680"/>
        <w:tab w:val="right" w:pos="9360"/>
      </w:tabs>
    </w:pPr>
  </w:style>
  <w:style w:type="character" w:customStyle="1" w:styleId="HeaderChar">
    <w:name w:val="Header Char"/>
    <w:basedOn w:val="DefaultParagraphFont"/>
    <w:link w:val="Header"/>
    <w:uiPriority w:val="99"/>
    <w:rsid w:val="00BA072B"/>
  </w:style>
  <w:style w:type="paragraph" w:styleId="Footer">
    <w:name w:val="footer"/>
    <w:basedOn w:val="Normal"/>
    <w:link w:val="FooterChar"/>
    <w:uiPriority w:val="99"/>
    <w:unhideWhenUsed/>
    <w:rsid w:val="00BA072B"/>
    <w:pPr>
      <w:tabs>
        <w:tab w:val="center" w:pos="4680"/>
        <w:tab w:val="right" w:pos="9360"/>
      </w:tabs>
    </w:pPr>
  </w:style>
  <w:style w:type="character" w:customStyle="1" w:styleId="FooterChar">
    <w:name w:val="Footer Char"/>
    <w:basedOn w:val="DefaultParagraphFont"/>
    <w:link w:val="Footer"/>
    <w:uiPriority w:val="99"/>
    <w:rsid w:val="00BA072B"/>
  </w:style>
  <w:style w:type="paragraph" w:customStyle="1" w:styleId="FigureTableNumber">
    <w:name w:val="Figure/Table Number"/>
    <w:basedOn w:val="Normal"/>
    <w:qFormat/>
    <w:rsid w:val="006A6788"/>
    <w:pPr>
      <w:keepNext/>
      <w:spacing w:before="360"/>
    </w:pPr>
    <w:rPr>
      <w:rFonts w:ascii="Lato" w:eastAsia="Calibri" w:hAnsi="Lato" w:cs="Times New Roman"/>
      <w:caps/>
      <w:color w:val="4472C4" w:themeColor="accent1"/>
      <w:sz w:val="18"/>
      <w:szCs w:val="18"/>
    </w:rPr>
  </w:style>
  <w:style w:type="character" w:styleId="FollowedHyperlink">
    <w:name w:val="FollowedHyperlink"/>
    <w:basedOn w:val="DefaultParagraphFont"/>
    <w:uiPriority w:val="99"/>
    <w:semiHidden/>
    <w:unhideWhenUsed/>
    <w:rsid w:val="007C691E"/>
    <w:rPr>
      <w:color w:val="954F72" w:themeColor="followedHyperlink"/>
      <w:u w:val="single"/>
    </w:rPr>
  </w:style>
  <w:style w:type="paragraph" w:customStyle="1" w:styleId="MAANormalText">
    <w:name w:val="MAA Normal Text"/>
    <w:basedOn w:val="Normal"/>
    <w:qFormat/>
    <w:rsid w:val="00882927"/>
    <w:pPr>
      <w:kinsoku w:val="0"/>
      <w:overflowPunct w:val="0"/>
      <w:autoSpaceDE w:val="0"/>
      <w:autoSpaceDN w:val="0"/>
      <w:adjustRightInd w:val="0"/>
      <w:spacing w:after="240"/>
      <w:jc w:val="both"/>
    </w:pPr>
    <w:rPr>
      <w:rFonts w:ascii="Calibri" w:hAnsi="Calibri" w:cs="Arial"/>
      <w:color w:val="231F20"/>
      <w:w w:val="105"/>
    </w:rPr>
  </w:style>
  <w:style w:type="paragraph" w:customStyle="1" w:styleId="BlueBulletIndent">
    <w:name w:val="Blue Bullet Indent"/>
    <w:basedOn w:val="Normal"/>
    <w:qFormat/>
    <w:rsid w:val="00F57466"/>
    <w:pPr>
      <w:numPr>
        <w:numId w:val="16"/>
      </w:numPr>
      <w:spacing w:after="120"/>
      <w:jc w:val="both"/>
    </w:pPr>
    <w:rPr>
      <w:rFonts w:eastAsia="Times New Roman" w:cs="Times New Roman"/>
      <w:szCs w:val="20"/>
    </w:rPr>
  </w:style>
  <w:style w:type="character" w:styleId="Strong">
    <w:name w:val="Strong"/>
    <w:basedOn w:val="DefaultParagraphFont"/>
    <w:uiPriority w:val="22"/>
    <w:qFormat/>
    <w:rsid w:val="00A4407E"/>
    <w:rPr>
      <w:b/>
      <w:bCs/>
    </w:rPr>
  </w:style>
  <w:style w:type="paragraph" w:customStyle="1" w:styleId="MAAHeading2">
    <w:name w:val="MAA Heading 2"/>
    <w:basedOn w:val="Normal"/>
    <w:qFormat/>
    <w:rsid w:val="00A4407E"/>
    <w:pPr>
      <w:kinsoku w:val="0"/>
      <w:overflowPunct w:val="0"/>
      <w:autoSpaceDE w:val="0"/>
      <w:autoSpaceDN w:val="0"/>
      <w:adjustRightInd w:val="0"/>
      <w:spacing w:after="120" w:line="286" w:lineRule="exact"/>
      <w:jc w:val="both"/>
    </w:pPr>
    <w:rPr>
      <w:rFonts w:ascii="Calibri" w:hAnsi="Calibri" w:cs="Calibri"/>
      <w:b/>
      <w:bCs/>
      <w:color w:val="004971"/>
      <w:w w:val="105"/>
      <w:sz w:val="24"/>
      <w:szCs w:val="24"/>
    </w:rPr>
  </w:style>
  <w:style w:type="paragraph" w:customStyle="1" w:styleId="BlueBullet">
    <w:name w:val="Blue Bullet"/>
    <w:basedOn w:val="ListParagraph"/>
    <w:qFormat/>
    <w:rsid w:val="00865840"/>
    <w:pPr>
      <w:numPr>
        <w:numId w:val="23"/>
      </w:numPr>
      <w:spacing w:after="120"/>
      <w:contextualSpacing w:val="0"/>
      <w:jc w:val="both"/>
    </w:pPr>
    <w:rPr>
      <w:rFonts w:eastAsia="Times New Roman" w:cs="Times New Roman"/>
      <w:color w:val="000000" w:themeColor="text1"/>
    </w:rPr>
  </w:style>
  <w:style w:type="paragraph" w:customStyle="1" w:styleId="MAABlueBullet">
    <w:name w:val="MAA Blue Bullet"/>
    <w:basedOn w:val="BlueBullet"/>
    <w:qFormat/>
    <w:rsid w:val="00865840"/>
    <w:pPr>
      <w:tabs>
        <w:tab w:val="left" w:pos="810"/>
      </w:tabs>
      <w:kinsoku w:val="0"/>
      <w:overflowPunct w:val="0"/>
      <w:autoSpaceDE w:val="0"/>
      <w:autoSpaceDN w:val="0"/>
      <w:adjustRightInd w:val="0"/>
      <w:ind w:left="360"/>
    </w:pPr>
    <w:rPr>
      <w:rFonts w:ascii="Calibri" w:hAnsi="Calibri" w:cs="Calibri"/>
      <w:color w:val="231F20"/>
      <w:w w:val="105"/>
    </w:rPr>
  </w:style>
  <w:style w:type="paragraph" w:customStyle="1" w:styleId="Default">
    <w:name w:val="Default"/>
    <w:qFormat/>
    <w:rsid w:val="00972585"/>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883F71"/>
    <w:rPr>
      <w:color w:val="605E5C"/>
      <w:shd w:val="clear" w:color="auto" w:fill="E1DFDD"/>
    </w:rPr>
  </w:style>
  <w:style w:type="paragraph" w:styleId="Revision">
    <w:name w:val="Revision"/>
    <w:hidden/>
    <w:uiPriority w:val="99"/>
    <w:semiHidden/>
    <w:rsid w:val="00594250"/>
    <w:pPr>
      <w:spacing w:after="0" w:line="240" w:lineRule="auto"/>
    </w:pPr>
  </w:style>
  <w:style w:type="paragraph" w:customStyle="1" w:styleId="MAABulletIndent">
    <w:name w:val="MAA Bullet Indent"/>
    <w:basedOn w:val="Normal"/>
    <w:uiPriority w:val="6"/>
    <w:qFormat/>
    <w:rsid w:val="00EA234A"/>
    <w:pPr>
      <w:spacing w:after="120"/>
      <w:jc w:val="both"/>
    </w:pPr>
    <w:rPr>
      <w:rFonts w:ascii="Calibri" w:eastAsia="Times New Roman" w:hAnsi="Calibri" w:cs="Times New Roman"/>
      <w:szCs w:val="20"/>
    </w:rPr>
  </w:style>
  <w:style w:type="character" w:styleId="PageNumber">
    <w:name w:val="page number"/>
    <w:basedOn w:val="DefaultParagraphFont"/>
    <w:uiPriority w:val="99"/>
    <w:semiHidden/>
    <w:unhideWhenUsed/>
    <w:rsid w:val="00045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5480">
      <w:bodyDiv w:val="1"/>
      <w:marLeft w:val="0"/>
      <w:marRight w:val="0"/>
      <w:marTop w:val="0"/>
      <w:marBottom w:val="0"/>
      <w:divBdr>
        <w:top w:val="none" w:sz="0" w:space="0" w:color="auto"/>
        <w:left w:val="none" w:sz="0" w:space="0" w:color="auto"/>
        <w:bottom w:val="none" w:sz="0" w:space="0" w:color="auto"/>
        <w:right w:val="none" w:sz="0" w:space="0" w:color="auto"/>
      </w:divBdr>
    </w:div>
    <w:div w:id="203710611">
      <w:bodyDiv w:val="1"/>
      <w:marLeft w:val="0"/>
      <w:marRight w:val="0"/>
      <w:marTop w:val="0"/>
      <w:marBottom w:val="0"/>
      <w:divBdr>
        <w:top w:val="none" w:sz="0" w:space="0" w:color="auto"/>
        <w:left w:val="none" w:sz="0" w:space="0" w:color="auto"/>
        <w:bottom w:val="none" w:sz="0" w:space="0" w:color="auto"/>
        <w:right w:val="none" w:sz="0" w:space="0" w:color="auto"/>
      </w:divBdr>
    </w:div>
    <w:div w:id="322781695">
      <w:bodyDiv w:val="1"/>
      <w:marLeft w:val="0"/>
      <w:marRight w:val="0"/>
      <w:marTop w:val="0"/>
      <w:marBottom w:val="0"/>
      <w:divBdr>
        <w:top w:val="none" w:sz="0" w:space="0" w:color="auto"/>
        <w:left w:val="none" w:sz="0" w:space="0" w:color="auto"/>
        <w:bottom w:val="none" w:sz="0" w:space="0" w:color="auto"/>
        <w:right w:val="none" w:sz="0" w:space="0" w:color="auto"/>
      </w:divBdr>
    </w:div>
    <w:div w:id="350186089">
      <w:bodyDiv w:val="1"/>
      <w:marLeft w:val="0"/>
      <w:marRight w:val="0"/>
      <w:marTop w:val="0"/>
      <w:marBottom w:val="0"/>
      <w:divBdr>
        <w:top w:val="none" w:sz="0" w:space="0" w:color="auto"/>
        <w:left w:val="none" w:sz="0" w:space="0" w:color="auto"/>
        <w:bottom w:val="none" w:sz="0" w:space="0" w:color="auto"/>
        <w:right w:val="none" w:sz="0" w:space="0" w:color="auto"/>
      </w:divBdr>
    </w:div>
    <w:div w:id="362286360">
      <w:bodyDiv w:val="1"/>
      <w:marLeft w:val="0"/>
      <w:marRight w:val="0"/>
      <w:marTop w:val="0"/>
      <w:marBottom w:val="0"/>
      <w:divBdr>
        <w:top w:val="none" w:sz="0" w:space="0" w:color="auto"/>
        <w:left w:val="none" w:sz="0" w:space="0" w:color="auto"/>
        <w:bottom w:val="none" w:sz="0" w:space="0" w:color="auto"/>
        <w:right w:val="none" w:sz="0" w:space="0" w:color="auto"/>
      </w:divBdr>
    </w:div>
    <w:div w:id="634482992">
      <w:bodyDiv w:val="1"/>
      <w:marLeft w:val="0"/>
      <w:marRight w:val="0"/>
      <w:marTop w:val="0"/>
      <w:marBottom w:val="0"/>
      <w:divBdr>
        <w:top w:val="none" w:sz="0" w:space="0" w:color="auto"/>
        <w:left w:val="none" w:sz="0" w:space="0" w:color="auto"/>
        <w:bottom w:val="none" w:sz="0" w:space="0" w:color="auto"/>
        <w:right w:val="none" w:sz="0" w:space="0" w:color="auto"/>
      </w:divBdr>
    </w:div>
    <w:div w:id="652761288">
      <w:bodyDiv w:val="1"/>
      <w:marLeft w:val="0"/>
      <w:marRight w:val="0"/>
      <w:marTop w:val="0"/>
      <w:marBottom w:val="0"/>
      <w:divBdr>
        <w:top w:val="none" w:sz="0" w:space="0" w:color="auto"/>
        <w:left w:val="none" w:sz="0" w:space="0" w:color="auto"/>
        <w:bottom w:val="none" w:sz="0" w:space="0" w:color="auto"/>
        <w:right w:val="none" w:sz="0" w:space="0" w:color="auto"/>
      </w:divBdr>
    </w:div>
    <w:div w:id="657926756">
      <w:bodyDiv w:val="1"/>
      <w:marLeft w:val="0"/>
      <w:marRight w:val="0"/>
      <w:marTop w:val="0"/>
      <w:marBottom w:val="0"/>
      <w:divBdr>
        <w:top w:val="none" w:sz="0" w:space="0" w:color="auto"/>
        <w:left w:val="none" w:sz="0" w:space="0" w:color="auto"/>
        <w:bottom w:val="none" w:sz="0" w:space="0" w:color="auto"/>
        <w:right w:val="none" w:sz="0" w:space="0" w:color="auto"/>
      </w:divBdr>
    </w:div>
    <w:div w:id="740251349">
      <w:bodyDiv w:val="1"/>
      <w:marLeft w:val="0"/>
      <w:marRight w:val="0"/>
      <w:marTop w:val="0"/>
      <w:marBottom w:val="0"/>
      <w:divBdr>
        <w:top w:val="none" w:sz="0" w:space="0" w:color="auto"/>
        <w:left w:val="none" w:sz="0" w:space="0" w:color="auto"/>
        <w:bottom w:val="none" w:sz="0" w:space="0" w:color="auto"/>
        <w:right w:val="none" w:sz="0" w:space="0" w:color="auto"/>
      </w:divBdr>
    </w:div>
    <w:div w:id="986981178">
      <w:bodyDiv w:val="1"/>
      <w:marLeft w:val="0"/>
      <w:marRight w:val="0"/>
      <w:marTop w:val="0"/>
      <w:marBottom w:val="0"/>
      <w:divBdr>
        <w:top w:val="none" w:sz="0" w:space="0" w:color="auto"/>
        <w:left w:val="none" w:sz="0" w:space="0" w:color="auto"/>
        <w:bottom w:val="none" w:sz="0" w:space="0" w:color="auto"/>
        <w:right w:val="none" w:sz="0" w:space="0" w:color="auto"/>
      </w:divBdr>
    </w:div>
    <w:div w:id="1204244823">
      <w:bodyDiv w:val="1"/>
      <w:marLeft w:val="0"/>
      <w:marRight w:val="0"/>
      <w:marTop w:val="0"/>
      <w:marBottom w:val="0"/>
      <w:divBdr>
        <w:top w:val="none" w:sz="0" w:space="0" w:color="auto"/>
        <w:left w:val="none" w:sz="0" w:space="0" w:color="auto"/>
        <w:bottom w:val="none" w:sz="0" w:space="0" w:color="auto"/>
        <w:right w:val="none" w:sz="0" w:space="0" w:color="auto"/>
      </w:divBdr>
    </w:div>
    <w:div w:id="1266108621">
      <w:bodyDiv w:val="1"/>
      <w:marLeft w:val="0"/>
      <w:marRight w:val="0"/>
      <w:marTop w:val="0"/>
      <w:marBottom w:val="0"/>
      <w:divBdr>
        <w:top w:val="none" w:sz="0" w:space="0" w:color="auto"/>
        <w:left w:val="none" w:sz="0" w:space="0" w:color="auto"/>
        <w:bottom w:val="none" w:sz="0" w:space="0" w:color="auto"/>
        <w:right w:val="none" w:sz="0" w:space="0" w:color="auto"/>
      </w:divBdr>
    </w:div>
    <w:div w:id="1274945853">
      <w:bodyDiv w:val="1"/>
      <w:marLeft w:val="0"/>
      <w:marRight w:val="0"/>
      <w:marTop w:val="0"/>
      <w:marBottom w:val="0"/>
      <w:divBdr>
        <w:top w:val="none" w:sz="0" w:space="0" w:color="auto"/>
        <w:left w:val="none" w:sz="0" w:space="0" w:color="auto"/>
        <w:bottom w:val="none" w:sz="0" w:space="0" w:color="auto"/>
        <w:right w:val="none" w:sz="0" w:space="0" w:color="auto"/>
      </w:divBdr>
    </w:div>
    <w:div w:id="1556088432">
      <w:bodyDiv w:val="1"/>
      <w:marLeft w:val="0"/>
      <w:marRight w:val="0"/>
      <w:marTop w:val="0"/>
      <w:marBottom w:val="0"/>
      <w:divBdr>
        <w:top w:val="none" w:sz="0" w:space="0" w:color="auto"/>
        <w:left w:val="none" w:sz="0" w:space="0" w:color="auto"/>
        <w:bottom w:val="none" w:sz="0" w:space="0" w:color="auto"/>
        <w:right w:val="none" w:sz="0" w:space="0" w:color="auto"/>
      </w:divBdr>
    </w:div>
    <w:div w:id="1653564857">
      <w:bodyDiv w:val="1"/>
      <w:marLeft w:val="0"/>
      <w:marRight w:val="0"/>
      <w:marTop w:val="0"/>
      <w:marBottom w:val="0"/>
      <w:divBdr>
        <w:top w:val="none" w:sz="0" w:space="0" w:color="auto"/>
        <w:left w:val="none" w:sz="0" w:space="0" w:color="auto"/>
        <w:bottom w:val="none" w:sz="0" w:space="0" w:color="auto"/>
        <w:right w:val="none" w:sz="0" w:space="0" w:color="auto"/>
      </w:divBdr>
    </w:div>
    <w:div w:id="1787695603">
      <w:bodyDiv w:val="1"/>
      <w:marLeft w:val="0"/>
      <w:marRight w:val="0"/>
      <w:marTop w:val="0"/>
      <w:marBottom w:val="0"/>
      <w:divBdr>
        <w:top w:val="none" w:sz="0" w:space="0" w:color="auto"/>
        <w:left w:val="none" w:sz="0" w:space="0" w:color="auto"/>
        <w:bottom w:val="none" w:sz="0" w:space="0" w:color="auto"/>
        <w:right w:val="none" w:sz="0" w:space="0" w:color="auto"/>
      </w:divBdr>
    </w:div>
    <w:div w:id="1809781450">
      <w:bodyDiv w:val="1"/>
      <w:marLeft w:val="0"/>
      <w:marRight w:val="0"/>
      <w:marTop w:val="0"/>
      <w:marBottom w:val="0"/>
      <w:divBdr>
        <w:top w:val="none" w:sz="0" w:space="0" w:color="auto"/>
        <w:left w:val="none" w:sz="0" w:space="0" w:color="auto"/>
        <w:bottom w:val="none" w:sz="0" w:space="0" w:color="auto"/>
        <w:right w:val="none" w:sz="0" w:space="0" w:color="auto"/>
      </w:divBdr>
    </w:div>
    <w:div w:id="1906910412">
      <w:bodyDiv w:val="1"/>
      <w:marLeft w:val="0"/>
      <w:marRight w:val="0"/>
      <w:marTop w:val="0"/>
      <w:marBottom w:val="0"/>
      <w:divBdr>
        <w:top w:val="none" w:sz="0" w:space="0" w:color="auto"/>
        <w:left w:val="none" w:sz="0" w:space="0" w:color="auto"/>
        <w:bottom w:val="none" w:sz="0" w:space="0" w:color="auto"/>
        <w:right w:val="none" w:sz="0" w:space="0" w:color="auto"/>
      </w:divBdr>
    </w:div>
    <w:div w:id="1988968308">
      <w:bodyDiv w:val="1"/>
      <w:marLeft w:val="0"/>
      <w:marRight w:val="0"/>
      <w:marTop w:val="0"/>
      <w:marBottom w:val="0"/>
      <w:divBdr>
        <w:top w:val="none" w:sz="0" w:space="0" w:color="auto"/>
        <w:left w:val="none" w:sz="0" w:space="0" w:color="auto"/>
        <w:bottom w:val="none" w:sz="0" w:space="0" w:color="auto"/>
        <w:right w:val="none" w:sz="0" w:space="0" w:color="auto"/>
      </w:divBdr>
    </w:div>
    <w:div w:id="202744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a.org/pla/data/performancemeasure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braryedg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mls.gov/research-evaluation/data-collection/public-libraries-surve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la.org/pla/data/impactsurve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_nat.htm" TargetMode="External"/><Relationship Id="rId1" Type="http://schemas.openxmlformats.org/officeDocument/2006/relationships/hyperlink" Target="https://www.bls.gov/oes/current/oes2540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2" ma:contentTypeDescription="Create a new document." ma:contentTypeScope="" ma:versionID="9f462d5e96a90de1c5620459dbd86133">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37a12adafabb4a2f26968d2c8119101f"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408D7-6381-490F-8C3C-C5DFDE9D96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2D96AA-2B61-456F-9B54-F1903E640722}">
  <ds:schemaRefs>
    <ds:schemaRef ds:uri="http://schemas.microsoft.com/sharepoint/v3/contenttype/forms"/>
  </ds:schemaRefs>
</ds:datastoreItem>
</file>

<file path=customXml/itemProps3.xml><?xml version="1.0" encoding="utf-8"?>
<ds:datastoreItem xmlns:ds="http://schemas.openxmlformats.org/officeDocument/2006/customXml" ds:itemID="{D6B0AA5E-F795-4543-9015-517330B550AB}">
  <ds:schemaRefs>
    <ds:schemaRef ds:uri="http://schemas.openxmlformats.org/officeDocument/2006/bibliography"/>
  </ds:schemaRefs>
</ds:datastoreItem>
</file>

<file path=customXml/itemProps4.xml><?xml version="1.0" encoding="utf-8"?>
<ds:datastoreItem xmlns:ds="http://schemas.openxmlformats.org/officeDocument/2006/customXml" ds:itemID="{AEFA3D4A-C8B5-4D2E-B9BA-5938C53E9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7</Pages>
  <Words>3018</Words>
  <Characters>17208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Eldridge, Matthew</dc:creator>
  <cp:keywords/>
  <dc:description/>
  <cp:lastModifiedBy>Connie Bodner</cp:lastModifiedBy>
  <cp:revision>7</cp:revision>
  <cp:lastPrinted>2021-06-11T22:06:00Z</cp:lastPrinted>
  <dcterms:created xsi:type="dcterms:W3CDTF">2021-11-05T13:11:00Z</dcterms:created>
  <dcterms:modified xsi:type="dcterms:W3CDTF">2021-11-06T18:07:00Z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