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E66BD" w:rsidR="00713FAF" w:rsidP="00713FAF" w:rsidRDefault="00713FAF">
      <w:pPr>
        <w:pStyle w:val="NoSpacing"/>
        <w:jc w:val="center"/>
        <w:rPr>
          <w:rFonts w:cstheme="minorHAnsi"/>
          <w:b/>
        </w:rPr>
      </w:pPr>
      <w:r w:rsidRPr="00FE66BD">
        <w:rPr>
          <w:rFonts w:cstheme="minorHAnsi"/>
          <w:b/>
        </w:rPr>
        <w:t>JUSTIFI</w:t>
      </w:r>
      <w:r w:rsidRPr="00FE66BD" w:rsidR="005A797D">
        <w:rPr>
          <w:rFonts w:cstheme="minorHAnsi"/>
          <w:b/>
        </w:rPr>
        <w:t>C</w:t>
      </w:r>
      <w:r w:rsidRPr="00FE66BD">
        <w:rPr>
          <w:rFonts w:cstheme="minorHAnsi"/>
          <w:b/>
        </w:rPr>
        <w:t>ATION FOR NONMATERIAL/NONSUBSTANTIVE CHANGE</w:t>
      </w:r>
    </w:p>
    <w:p w:rsidRPr="00FE66BD" w:rsidR="00713FAF" w:rsidP="00713FAF" w:rsidRDefault="00713FAF">
      <w:pPr>
        <w:pStyle w:val="NoSpacing"/>
        <w:jc w:val="center"/>
        <w:rPr>
          <w:rFonts w:cstheme="minorHAnsi"/>
          <w:b/>
        </w:rPr>
      </w:pPr>
      <w:r w:rsidRPr="00FE66BD">
        <w:rPr>
          <w:rFonts w:cstheme="minorHAnsi"/>
          <w:b/>
        </w:rPr>
        <w:t>(</w:t>
      </w:r>
      <w:r w:rsidRPr="00CC0117" w:rsidR="00CC0117">
        <w:rPr>
          <w:rFonts w:cstheme="minorHAnsi"/>
          <w:b/>
        </w:rPr>
        <w:t>Admission to Practice and Roster of Registered Patent Attorneys and Agents Admitted to Practice Before the United States Patent and Trademark Office</w:t>
      </w:r>
      <w:r w:rsidRPr="00FE66BD" w:rsidR="005A797D">
        <w:rPr>
          <w:rFonts w:cstheme="minorHAnsi"/>
          <w:b/>
        </w:rPr>
        <w:t>)</w:t>
      </w:r>
    </w:p>
    <w:p w:rsidRPr="00FE66BD" w:rsidR="00713FAF" w:rsidP="00713FAF" w:rsidRDefault="00713FAF">
      <w:pPr>
        <w:pStyle w:val="NoSpacing"/>
        <w:jc w:val="center"/>
        <w:rPr>
          <w:rFonts w:cstheme="minorHAnsi"/>
        </w:rPr>
      </w:pPr>
      <w:r w:rsidRPr="00FE66BD">
        <w:rPr>
          <w:rFonts w:cstheme="minorHAnsi"/>
          <w:b/>
        </w:rPr>
        <w:t>OMB Control Number 0651-00</w:t>
      </w:r>
      <w:r w:rsidR="007A500D">
        <w:rPr>
          <w:rFonts w:cstheme="minorHAnsi"/>
          <w:b/>
        </w:rPr>
        <w:t>12</w:t>
      </w:r>
    </w:p>
    <w:p w:rsidRPr="00FE66BD" w:rsidR="00713FAF" w:rsidP="00713FAF" w:rsidRDefault="00713FAF">
      <w:pPr>
        <w:pStyle w:val="NoSpacing"/>
        <w:jc w:val="both"/>
        <w:rPr>
          <w:rFonts w:cstheme="minorHAnsi"/>
        </w:rPr>
      </w:pPr>
    </w:p>
    <w:p w:rsidRPr="00FE66BD" w:rsidR="00713FAF" w:rsidP="00EC48F5" w:rsidRDefault="00713FAF">
      <w:pPr>
        <w:pStyle w:val="NoSpacing"/>
        <w:spacing w:after="240"/>
        <w:jc w:val="both"/>
        <w:rPr>
          <w:rFonts w:cstheme="minorHAnsi"/>
        </w:rPr>
      </w:pPr>
      <w:r w:rsidRPr="00FE66BD">
        <w:rPr>
          <w:rFonts w:cstheme="minorHAnsi"/>
          <w:u w:val="single"/>
        </w:rPr>
        <w:t>Background</w:t>
      </w:r>
    </w:p>
    <w:p w:rsidR="00A67F5C" w:rsidP="00EC48F5" w:rsidRDefault="00A67F5C">
      <w:pPr>
        <w:pStyle w:val="NoSpacing"/>
        <w:spacing w:after="240"/>
        <w:jc w:val="both"/>
      </w:pPr>
      <w:r>
        <w:t xml:space="preserve">This collection of information is required by 35 U.S.C. 2(b)(2)(D), which permits the United States Patent and Trademark Office (USPTO) to establish regulations governing the recognition and conduct of agents, attorneys, or other persons representing applicants or other parties before the USPTO. This statute also permits the USPTO to require information from applicants that shows that they are of good moral character and reputation and </w:t>
      </w:r>
      <w:r w:rsidR="004E3F0B">
        <w:t xml:space="preserve">possess </w:t>
      </w:r>
      <w:r>
        <w:t xml:space="preserve">the necessary qualifications to assist applicants with the patent process and to represent them before the USPTO. </w:t>
      </w:r>
    </w:p>
    <w:p w:rsidR="00A67F5C" w:rsidP="00EC48F5" w:rsidRDefault="00A67F5C">
      <w:pPr>
        <w:pStyle w:val="NoSpacing"/>
        <w:spacing w:after="240"/>
        <w:jc w:val="both"/>
      </w:pPr>
      <w:r>
        <w:t>This information collection addresses submissions required by the regulations at 37 CFR 1.21 and 11.5–11.</w:t>
      </w:r>
      <w:r w:rsidR="004E3F0B">
        <w:t>14</w:t>
      </w:r>
      <w:r>
        <w:t xml:space="preserve">, which set forth the requirements to </w:t>
      </w:r>
      <w:r w:rsidR="00BF49B1">
        <w:t>become recognized to re</w:t>
      </w:r>
      <w:r w:rsidR="004E3F0B">
        <w:t>present others</w:t>
      </w:r>
      <w:r>
        <w:t xml:space="preserve"> before the USPTO. The Office of Enrollment and Discipline (OED) collects this information to determine the qualifications of individuals entitled to represent applicants before the USPTO. </w:t>
      </w:r>
    </w:p>
    <w:p w:rsidRPr="00FE66BD" w:rsidR="00713FAF" w:rsidP="00EC48F5" w:rsidRDefault="00D540DA">
      <w:pPr>
        <w:pStyle w:val="NoSpacing"/>
        <w:spacing w:after="240"/>
        <w:jc w:val="both"/>
        <w:rPr>
          <w:rFonts w:cstheme="minorHAnsi"/>
        </w:rPr>
      </w:pPr>
      <w:r>
        <w:t>The names of the persons recognized by the USPTO to practice in patent matters</w:t>
      </w:r>
      <w:r w:rsidR="00D404A3">
        <w:t>,</w:t>
      </w:r>
      <w:r>
        <w:t xml:space="preserve"> and Canadian trademark agents recognized to practice in trademark matters</w:t>
      </w:r>
      <w:r w:rsidR="00D404A3">
        <w:t>,</w:t>
      </w:r>
      <w:r>
        <w:t xml:space="preserve"> are published on the USPTO’s website</w:t>
      </w:r>
      <w:r w:rsidR="00752808">
        <w:t>.</w:t>
      </w:r>
    </w:p>
    <w:p w:rsidR="00713FAF" w:rsidP="00EC48F5" w:rsidRDefault="00B533F3">
      <w:pPr>
        <w:pStyle w:val="NoSpacing"/>
        <w:spacing w:after="240"/>
        <w:jc w:val="both"/>
        <w:rPr>
          <w:rFonts w:cstheme="minorHAnsi"/>
        </w:rPr>
      </w:pPr>
      <w:r w:rsidRPr="00FE66BD">
        <w:rPr>
          <w:rFonts w:cstheme="minorHAnsi"/>
        </w:rPr>
        <w:t>This request is to</w:t>
      </w:r>
      <w:r w:rsidR="001C305B">
        <w:rPr>
          <w:rFonts w:cstheme="minorHAnsi"/>
        </w:rPr>
        <w:t>:</w:t>
      </w:r>
      <w:r w:rsidRPr="00FE66BD">
        <w:rPr>
          <w:rFonts w:cstheme="minorHAnsi"/>
        </w:rPr>
        <w:t xml:space="preserve"> </w:t>
      </w:r>
      <w:r w:rsidR="00E7698E">
        <w:rPr>
          <w:rFonts w:cstheme="minorHAnsi"/>
        </w:rPr>
        <w:t>1) include a fee to permit</w:t>
      </w:r>
      <w:r w:rsidR="0028218F">
        <w:rPr>
          <w:rFonts w:cstheme="minorHAnsi"/>
        </w:rPr>
        <w:t xml:space="preserve"> individuals </w:t>
      </w:r>
      <w:r w:rsidR="00E7698E">
        <w:rPr>
          <w:rFonts w:cstheme="minorHAnsi"/>
        </w:rPr>
        <w:t>to request</w:t>
      </w:r>
      <w:r w:rsidR="0028218F">
        <w:rPr>
          <w:rFonts w:cstheme="minorHAnsi"/>
        </w:rPr>
        <w:t xml:space="preserve"> an extension for examinations, and 2)</w:t>
      </w:r>
      <w:r w:rsidR="00E7698E">
        <w:rPr>
          <w:rFonts w:cstheme="minorHAnsi"/>
        </w:rPr>
        <w:t xml:space="preserve"> explain that the USPTO may follow up with individuals to ensure they are still in good standing </w:t>
      </w:r>
      <w:r w:rsidR="001C305B">
        <w:rPr>
          <w:rFonts w:cstheme="minorHAnsi"/>
        </w:rPr>
        <w:t>and should be recognized to practice before the USPTO</w:t>
      </w:r>
      <w:r w:rsidR="0028218F">
        <w:rPr>
          <w:rFonts w:cstheme="minorHAnsi"/>
        </w:rPr>
        <w:t>.</w:t>
      </w:r>
    </w:p>
    <w:p w:rsidR="0028218F" w:rsidP="00EC48F5" w:rsidRDefault="00ED2008">
      <w:pPr>
        <w:pStyle w:val="NoSpacing"/>
        <w:numPr>
          <w:ilvl w:val="0"/>
          <w:numId w:val="1"/>
        </w:numPr>
        <w:spacing w:after="240"/>
        <w:jc w:val="both"/>
        <w:rPr>
          <w:rFonts w:cstheme="minorHAnsi"/>
        </w:rPr>
      </w:pPr>
      <w:r>
        <w:rPr>
          <w:rFonts w:cstheme="minorHAnsi"/>
        </w:rPr>
        <w:t xml:space="preserve">The </w:t>
      </w:r>
      <w:r w:rsidR="0028218F">
        <w:rPr>
          <w:rFonts w:cstheme="minorHAnsi"/>
        </w:rPr>
        <w:t>USPTO</w:t>
      </w:r>
      <w:r w:rsidR="00134EB0">
        <w:rPr>
          <w:rFonts w:cstheme="minorHAnsi"/>
        </w:rPr>
        <w:t xml:space="preserve"> seeks to</w:t>
      </w:r>
      <w:r w:rsidR="00E7698E">
        <w:rPr>
          <w:rFonts w:cstheme="minorHAnsi"/>
        </w:rPr>
        <w:t xml:space="preserve"> include a fee to permit individuals to request an extension for examinations</w:t>
      </w:r>
      <w:r w:rsidR="00134EB0">
        <w:rPr>
          <w:rFonts w:cstheme="minorHAnsi"/>
        </w:rPr>
        <w:t xml:space="preserve"> as outlined in the table below.</w:t>
      </w:r>
    </w:p>
    <w:tbl>
      <w:tblPr>
        <w:tblStyle w:val="TableGrid"/>
        <w:tblW w:w="0" w:type="auto"/>
        <w:tblInd w:w="715" w:type="dxa"/>
        <w:tblLook w:val="04A0" w:firstRow="1" w:lastRow="0" w:firstColumn="1" w:lastColumn="0" w:noHBand="0" w:noVBand="1"/>
      </w:tblPr>
      <w:tblGrid>
        <w:gridCol w:w="2902"/>
        <w:gridCol w:w="1967"/>
        <w:gridCol w:w="2271"/>
      </w:tblGrid>
      <w:tr w:rsidR="001C305B" w:rsidTr="006C43FA">
        <w:tc>
          <w:tcPr>
            <w:tcW w:w="2902" w:type="dxa"/>
          </w:tcPr>
          <w:p w:rsidRPr="00134EB0" w:rsidR="001C305B" w:rsidP="00EC48F5" w:rsidRDefault="001C305B">
            <w:pPr>
              <w:pStyle w:val="NoSpacing"/>
              <w:spacing w:after="240"/>
              <w:jc w:val="center"/>
              <w:rPr>
                <w:rFonts w:cstheme="minorHAnsi"/>
                <w:b/>
              </w:rPr>
            </w:pPr>
            <w:r>
              <w:rPr>
                <w:rFonts w:cstheme="minorHAnsi"/>
                <w:b/>
              </w:rPr>
              <w:t>Responses (Year)</w:t>
            </w:r>
          </w:p>
        </w:tc>
        <w:tc>
          <w:tcPr>
            <w:tcW w:w="1967" w:type="dxa"/>
          </w:tcPr>
          <w:p w:rsidRPr="00134EB0" w:rsidR="001C305B" w:rsidP="00EC48F5" w:rsidRDefault="001C305B">
            <w:pPr>
              <w:pStyle w:val="NoSpacing"/>
              <w:spacing w:after="240"/>
              <w:jc w:val="center"/>
              <w:rPr>
                <w:rFonts w:cstheme="minorHAnsi"/>
                <w:b/>
              </w:rPr>
            </w:pPr>
            <w:r>
              <w:rPr>
                <w:rFonts w:cstheme="minorHAnsi"/>
                <w:b/>
              </w:rPr>
              <w:t>Fee ($)</w:t>
            </w:r>
          </w:p>
        </w:tc>
        <w:tc>
          <w:tcPr>
            <w:tcW w:w="2271" w:type="dxa"/>
          </w:tcPr>
          <w:p w:rsidRPr="00134EB0" w:rsidR="001C305B" w:rsidP="00EC48F5" w:rsidRDefault="001C305B">
            <w:pPr>
              <w:pStyle w:val="NoSpacing"/>
              <w:spacing w:after="240"/>
              <w:jc w:val="center"/>
              <w:rPr>
                <w:rFonts w:cstheme="minorHAnsi"/>
                <w:b/>
              </w:rPr>
            </w:pPr>
            <w:r w:rsidRPr="00134EB0">
              <w:rPr>
                <w:rFonts w:cstheme="minorHAnsi"/>
                <w:b/>
              </w:rPr>
              <w:t xml:space="preserve">Total </w:t>
            </w:r>
            <w:r>
              <w:rPr>
                <w:rFonts w:cstheme="minorHAnsi"/>
                <w:b/>
              </w:rPr>
              <w:t>Non-Hourly/Fee Respondent Cost</w:t>
            </w:r>
            <w:r w:rsidRPr="00134EB0">
              <w:rPr>
                <w:rFonts w:cstheme="minorHAnsi"/>
                <w:b/>
              </w:rPr>
              <w:t xml:space="preserve"> </w:t>
            </w:r>
            <w:r>
              <w:rPr>
                <w:rFonts w:cstheme="minorHAnsi"/>
                <w:b/>
              </w:rPr>
              <w:t>B</w:t>
            </w:r>
            <w:r w:rsidRPr="00134EB0">
              <w:rPr>
                <w:rFonts w:cstheme="minorHAnsi"/>
                <w:b/>
              </w:rPr>
              <w:t>urden</w:t>
            </w:r>
          </w:p>
        </w:tc>
      </w:tr>
      <w:tr w:rsidR="001C305B" w:rsidTr="001C305B">
        <w:tc>
          <w:tcPr>
            <w:tcW w:w="2902" w:type="dxa"/>
          </w:tcPr>
          <w:p w:rsidR="001C305B" w:rsidP="001E675E" w:rsidRDefault="00466299">
            <w:pPr>
              <w:pStyle w:val="NoSpacing"/>
              <w:spacing w:after="240"/>
              <w:jc w:val="both"/>
              <w:rPr>
                <w:rFonts w:cstheme="minorHAnsi"/>
              </w:rPr>
            </w:pPr>
            <w:r>
              <w:rPr>
                <w:rFonts w:cstheme="minorHAnsi"/>
              </w:rPr>
              <w:t>1</w:t>
            </w:r>
            <w:r w:rsidR="00310BA5">
              <w:rPr>
                <w:rFonts w:cstheme="minorHAnsi"/>
              </w:rPr>
              <w:t>2</w:t>
            </w:r>
            <w:r>
              <w:rPr>
                <w:rFonts w:cstheme="minorHAnsi"/>
              </w:rPr>
              <w:t>0</w:t>
            </w:r>
          </w:p>
        </w:tc>
        <w:tc>
          <w:tcPr>
            <w:tcW w:w="1967" w:type="dxa"/>
          </w:tcPr>
          <w:p w:rsidR="001C305B" w:rsidP="001E675E" w:rsidRDefault="001C305B">
            <w:pPr>
              <w:pStyle w:val="NoSpacing"/>
              <w:spacing w:after="240"/>
              <w:jc w:val="both"/>
              <w:rPr>
                <w:rFonts w:cstheme="minorHAnsi"/>
              </w:rPr>
            </w:pPr>
            <w:r>
              <w:rPr>
                <w:rFonts w:cstheme="minorHAnsi"/>
              </w:rPr>
              <w:t>$</w:t>
            </w:r>
            <w:r w:rsidR="00466299">
              <w:rPr>
                <w:rFonts w:cstheme="minorHAnsi"/>
              </w:rPr>
              <w:t>115</w:t>
            </w:r>
          </w:p>
        </w:tc>
        <w:tc>
          <w:tcPr>
            <w:tcW w:w="2271" w:type="dxa"/>
          </w:tcPr>
          <w:p w:rsidR="001C305B" w:rsidP="001E675E" w:rsidRDefault="001C305B">
            <w:pPr>
              <w:pStyle w:val="NoSpacing"/>
              <w:spacing w:after="240"/>
              <w:jc w:val="both"/>
              <w:rPr>
                <w:rFonts w:cstheme="minorHAnsi"/>
              </w:rPr>
            </w:pPr>
            <w:r>
              <w:rPr>
                <w:rFonts w:cstheme="minorHAnsi"/>
              </w:rPr>
              <w:t>$</w:t>
            </w:r>
            <w:r w:rsidR="00310BA5">
              <w:rPr>
                <w:rFonts w:cstheme="minorHAnsi"/>
              </w:rPr>
              <w:t>13,8</w:t>
            </w:r>
            <w:r w:rsidR="00466299">
              <w:rPr>
                <w:rFonts w:cstheme="minorHAnsi"/>
              </w:rPr>
              <w:t>00</w:t>
            </w:r>
          </w:p>
        </w:tc>
      </w:tr>
    </w:tbl>
    <w:p w:rsidR="0028218F" w:rsidP="001E675E" w:rsidRDefault="0028218F">
      <w:pPr>
        <w:pStyle w:val="NoSpacing"/>
        <w:jc w:val="both"/>
        <w:rPr>
          <w:rFonts w:cstheme="minorHAnsi"/>
        </w:rPr>
      </w:pPr>
    </w:p>
    <w:p w:rsidR="00EC6F67" w:rsidP="006C43FA" w:rsidRDefault="00EC6F67">
      <w:pPr>
        <w:pStyle w:val="NoSpacing"/>
        <w:spacing w:after="240"/>
        <w:ind w:left="720"/>
        <w:jc w:val="both"/>
        <w:rPr>
          <w:rFonts w:cstheme="minorHAnsi"/>
        </w:rPr>
      </w:pPr>
      <w:r>
        <w:rPr>
          <w:rFonts w:cstheme="minorHAnsi"/>
        </w:rPr>
        <w:t xml:space="preserve">Without an examination-extension mechanism, applicants who do not schedule and sit for their examination before the </w:t>
      </w:r>
      <w:r w:rsidR="00BF49B1">
        <w:rPr>
          <w:rFonts w:cstheme="minorHAnsi"/>
        </w:rPr>
        <w:t xml:space="preserve">given </w:t>
      </w:r>
      <w:r>
        <w:rPr>
          <w:rFonts w:cstheme="minorHAnsi"/>
        </w:rPr>
        <w:t xml:space="preserve">deadline are required to reapply for admission.  </w:t>
      </w:r>
      <w:r w:rsidR="00DB17F9">
        <w:rPr>
          <w:rFonts w:cstheme="minorHAnsi"/>
        </w:rPr>
        <w:t>Reapplication results in applicants having to again pay a $2</w:t>
      </w:r>
      <w:r w:rsidR="001E675E">
        <w:rPr>
          <w:rFonts w:cstheme="minorHAnsi"/>
        </w:rPr>
        <w:t>1</w:t>
      </w:r>
      <w:r w:rsidR="00DB17F9">
        <w:rPr>
          <w:rFonts w:cstheme="minorHAnsi"/>
        </w:rPr>
        <w:t>0 examination fee and $</w:t>
      </w:r>
      <w:r w:rsidR="001E675E">
        <w:rPr>
          <w:rFonts w:cstheme="minorHAnsi"/>
        </w:rPr>
        <w:t>11</w:t>
      </w:r>
      <w:r w:rsidR="00DB17F9">
        <w:rPr>
          <w:rFonts w:cstheme="minorHAnsi"/>
        </w:rPr>
        <w:t xml:space="preserve">0 application fee, in addition to any fee imposed by the testing center. The examination-extension mechanism eliminates the paperwork associated with reapplying and avoids re-imposition of the examination and application fees.  In sum, the </w:t>
      </w:r>
      <w:r w:rsidR="002375AE">
        <w:rPr>
          <w:rFonts w:cstheme="minorHAnsi"/>
        </w:rPr>
        <w:t xml:space="preserve">examination-extension mechanism reduces </w:t>
      </w:r>
      <w:r w:rsidR="001E675E">
        <w:rPr>
          <w:rFonts w:cstheme="minorHAnsi"/>
        </w:rPr>
        <w:t xml:space="preserve">cost and </w:t>
      </w:r>
      <w:r w:rsidR="002375AE">
        <w:rPr>
          <w:rFonts w:cstheme="minorHAnsi"/>
        </w:rPr>
        <w:t>paperwork burden</w:t>
      </w:r>
      <w:r w:rsidR="00A67099">
        <w:rPr>
          <w:rFonts w:cstheme="minorHAnsi"/>
        </w:rPr>
        <w:t>s</w:t>
      </w:r>
      <w:r w:rsidR="002375AE">
        <w:rPr>
          <w:rFonts w:cstheme="minorHAnsi"/>
        </w:rPr>
        <w:t xml:space="preserve"> on applicants.</w:t>
      </w:r>
    </w:p>
    <w:p w:rsidRPr="007A13B0" w:rsidR="00ED2008" w:rsidP="00394BBA" w:rsidRDefault="0006095B">
      <w:pPr>
        <w:pStyle w:val="NoSpacing"/>
        <w:numPr>
          <w:ilvl w:val="0"/>
          <w:numId w:val="1"/>
        </w:numPr>
        <w:spacing w:after="240"/>
        <w:jc w:val="both"/>
        <w:rPr>
          <w:rFonts w:cstheme="minorHAnsi"/>
        </w:rPr>
      </w:pPr>
      <w:r>
        <w:rPr>
          <w:rFonts w:cstheme="minorHAnsi"/>
        </w:rPr>
        <w:t>As it currently exists, t</w:t>
      </w:r>
      <w:r w:rsidR="00ED2008">
        <w:rPr>
          <w:rFonts w:cstheme="minorHAnsi"/>
        </w:rPr>
        <w:t xml:space="preserve">he </w:t>
      </w:r>
      <w:r w:rsidRPr="00ED2008" w:rsidR="00FD4975">
        <w:rPr>
          <w:rFonts w:cstheme="minorHAnsi"/>
        </w:rPr>
        <w:t xml:space="preserve">USPTO </w:t>
      </w:r>
      <w:r w:rsidRPr="00ED2008" w:rsidR="00ED2008">
        <w:rPr>
          <w:rFonts w:cstheme="minorHAnsi"/>
        </w:rPr>
        <w:t xml:space="preserve">collects information </w:t>
      </w:r>
      <w:r w:rsidR="00ED2008">
        <w:rPr>
          <w:rFonts w:cstheme="minorHAnsi"/>
        </w:rPr>
        <w:t xml:space="preserve">from foreign </w:t>
      </w:r>
      <w:r w:rsidR="00466299">
        <w:rPr>
          <w:rFonts w:cstheme="minorHAnsi"/>
        </w:rPr>
        <w:t xml:space="preserve">patent and trademark </w:t>
      </w:r>
      <w:r w:rsidR="00ED2008">
        <w:rPr>
          <w:rFonts w:cstheme="minorHAnsi"/>
        </w:rPr>
        <w:t xml:space="preserve">agents </w:t>
      </w:r>
      <w:r w:rsidRPr="00ED2008" w:rsidR="00ED2008">
        <w:rPr>
          <w:rFonts w:cstheme="minorHAnsi"/>
        </w:rPr>
        <w:t xml:space="preserve">under 37 CFR </w:t>
      </w:r>
      <w:r w:rsidR="00466299">
        <w:rPr>
          <w:rFonts w:cstheme="minorHAnsi"/>
        </w:rPr>
        <w:t xml:space="preserve">11.6(c) and </w:t>
      </w:r>
      <w:r w:rsidRPr="00ED2008" w:rsidR="00ED2008">
        <w:rPr>
          <w:rFonts w:cstheme="minorHAnsi"/>
        </w:rPr>
        <w:t>11.14(c)</w:t>
      </w:r>
      <w:r w:rsidR="00ED2008">
        <w:rPr>
          <w:rFonts w:cstheme="minorHAnsi"/>
        </w:rPr>
        <w:t xml:space="preserve"> to </w:t>
      </w:r>
      <w:r w:rsidR="00466299">
        <w:rPr>
          <w:rFonts w:cstheme="minorHAnsi"/>
        </w:rPr>
        <w:t xml:space="preserve">verify eligibility for </w:t>
      </w:r>
      <w:r w:rsidR="00ED2008">
        <w:rPr>
          <w:rFonts w:cstheme="minorHAnsi"/>
        </w:rPr>
        <w:t>r</w:t>
      </w:r>
      <w:r w:rsidRPr="00ED2008" w:rsidR="00ED2008">
        <w:rPr>
          <w:rFonts w:cstheme="minorHAnsi"/>
        </w:rPr>
        <w:t xml:space="preserve">eciprocal </w:t>
      </w:r>
      <w:r w:rsidR="00ED2008">
        <w:rPr>
          <w:rFonts w:cstheme="minorHAnsi"/>
        </w:rPr>
        <w:t>r</w:t>
      </w:r>
      <w:r w:rsidRPr="00ED2008" w:rsidR="00ED2008">
        <w:rPr>
          <w:rFonts w:cstheme="minorHAnsi"/>
        </w:rPr>
        <w:t>ecognition</w:t>
      </w:r>
      <w:r w:rsidR="00ED2008">
        <w:rPr>
          <w:rFonts w:cstheme="minorHAnsi"/>
        </w:rPr>
        <w:t xml:space="preserve">. </w:t>
      </w:r>
      <w:r w:rsidR="00A67099">
        <w:rPr>
          <w:rFonts w:cstheme="minorHAnsi"/>
        </w:rPr>
        <w:t xml:space="preserve">To retain reciprocal recognition, agents must remain </w:t>
      </w:r>
      <w:r w:rsidR="00466299">
        <w:rPr>
          <w:rFonts w:cstheme="minorHAnsi"/>
        </w:rPr>
        <w:t xml:space="preserve">eligible to practice in </w:t>
      </w:r>
      <w:r w:rsidR="007B070D">
        <w:rPr>
          <w:rFonts w:cstheme="minorHAnsi"/>
        </w:rPr>
        <w:t>their</w:t>
      </w:r>
      <w:r w:rsidR="00466299">
        <w:rPr>
          <w:rFonts w:cstheme="minorHAnsi"/>
        </w:rPr>
        <w:t xml:space="preserve"> home country. </w:t>
      </w:r>
      <w:r w:rsidR="00864BD6">
        <w:rPr>
          <w:rFonts w:cstheme="minorHAnsi"/>
        </w:rPr>
        <w:t xml:space="preserve"> For the requested change, </w:t>
      </w:r>
      <w:r w:rsidR="00E7698E">
        <w:rPr>
          <w:rFonts w:cstheme="minorHAnsi"/>
        </w:rPr>
        <w:t xml:space="preserve">USPTO </w:t>
      </w:r>
      <w:r w:rsidR="00864BD6">
        <w:rPr>
          <w:rFonts w:cstheme="minorHAnsi"/>
        </w:rPr>
        <w:t xml:space="preserve">seeks to clarify that it may </w:t>
      </w:r>
      <w:r w:rsidR="00AC46F2">
        <w:rPr>
          <w:rFonts w:cstheme="minorHAnsi"/>
        </w:rPr>
        <w:t>follow up with</w:t>
      </w:r>
      <w:r w:rsidR="00466299">
        <w:rPr>
          <w:rFonts w:cstheme="minorHAnsi"/>
        </w:rPr>
        <w:t xml:space="preserve"> agents</w:t>
      </w:r>
      <w:r w:rsidR="00AC46F2">
        <w:rPr>
          <w:rFonts w:cstheme="minorHAnsi"/>
        </w:rPr>
        <w:t xml:space="preserve"> to confirm their </w:t>
      </w:r>
      <w:r w:rsidR="00AC46F2">
        <w:rPr>
          <w:rFonts w:cstheme="minorHAnsi"/>
        </w:rPr>
        <w:lastRenderedPageBreak/>
        <w:t xml:space="preserve">eligibility to </w:t>
      </w:r>
      <w:r w:rsidR="00466299">
        <w:rPr>
          <w:rFonts w:cstheme="minorHAnsi"/>
        </w:rPr>
        <w:t>practice in their home country</w:t>
      </w:r>
      <w:r w:rsidR="00864BD6">
        <w:rPr>
          <w:rFonts w:cstheme="minorHAnsi"/>
        </w:rPr>
        <w:t xml:space="preserve"> in order to determine whether an agent remains in good standing.</w:t>
      </w:r>
    </w:p>
    <w:p w:rsidRPr="00FE66BD" w:rsidR="00713FAF" w:rsidP="006C43FA" w:rsidRDefault="00713FAF">
      <w:pPr>
        <w:pStyle w:val="NoSpacing"/>
        <w:spacing w:after="240"/>
        <w:jc w:val="both"/>
        <w:rPr>
          <w:rFonts w:cstheme="minorHAnsi"/>
        </w:rPr>
      </w:pPr>
      <w:r w:rsidRPr="00FE66BD">
        <w:rPr>
          <w:rFonts w:cstheme="minorHAnsi"/>
          <w:u w:val="single"/>
        </w:rPr>
        <w:t>Summary of Changes</w:t>
      </w:r>
    </w:p>
    <w:p w:rsidRPr="00FE66BD" w:rsidR="00784842" w:rsidP="001E675E" w:rsidRDefault="00713FAF">
      <w:pPr>
        <w:pStyle w:val="NoSpacing"/>
        <w:jc w:val="both"/>
        <w:rPr>
          <w:rFonts w:cstheme="minorHAnsi"/>
        </w:rPr>
      </w:pPr>
      <w:r w:rsidRPr="00FE66BD">
        <w:rPr>
          <w:rFonts w:cstheme="minorHAnsi"/>
        </w:rPr>
        <w:t>The annual number of responses</w:t>
      </w:r>
      <w:r w:rsidR="00134EB0">
        <w:rPr>
          <w:rFonts w:cstheme="minorHAnsi"/>
        </w:rPr>
        <w:t xml:space="preserve"> and</w:t>
      </w:r>
      <w:r w:rsidRPr="00FE66BD">
        <w:rPr>
          <w:rFonts w:cstheme="minorHAnsi"/>
        </w:rPr>
        <w:t xml:space="preserve"> annual time burden</w:t>
      </w:r>
      <w:r w:rsidR="00134EB0">
        <w:rPr>
          <w:rFonts w:cstheme="minorHAnsi"/>
        </w:rPr>
        <w:t xml:space="preserve"> </w:t>
      </w:r>
      <w:r w:rsidRPr="00FE66BD" w:rsidR="005A797D">
        <w:rPr>
          <w:rFonts w:cstheme="minorHAnsi"/>
        </w:rPr>
        <w:t>remain</w:t>
      </w:r>
      <w:r w:rsidRPr="00FE66BD">
        <w:rPr>
          <w:rFonts w:cstheme="minorHAnsi"/>
        </w:rPr>
        <w:t xml:space="preserve"> unchanged by this request. </w:t>
      </w:r>
      <w:r w:rsidR="009E209B">
        <w:rPr>
          <w:rFonts w:cstheme="minorHAnsi"/>
        </w:rPr>
        <w:t xml:space="preserve"> </w:t>
      </w:r>
      <w:r w:rsidR="00134EB0">
        <w:rPr>
          <w:rFonts w:cstheme="minorHAnsi"/>
        </w:rPr>
        <w:t xml:space="preserve">The </w:t>
      </w:r>
      <w:r w:rsidRPr="00FE66BD" w:rsidR="00134EB0">
        <w:rPr>
          <w:rFonts w:cstheme="minorHAnsi"/>
        </w:rPr>
        <w:t>annual non-hour cost burden</w:t>
      </w:r>
      <w:r w:rsidR="00134EB0">
        <w:rPr>
          <w:rFonts w:cstheme="minorHAnsi"/>
        </w:rPr>
        <w:t xml:space="preserve"> will </w:t>
      </w:r>
      <w:r w:rsidR="002375AE">
        <w:rPr>
          <w:rFonts w:cstheme="minorHAnsi"/>
        </w:rPr>
        <w:t xml:space="preserve">decrease </w:t>
      </w:r>
      <w:r w:rsidR="00134EB0">
        <w:rPr>
          <w:rFonts w:cstheme="minorHAnsi"/>
        </w:rPr>
        <w:t xml:space="preserve">by </w:t>
      </w:r>
      <w:r w:rsidR="00314F7C">
        <w:rPr>
          <w:rFonts w:cstheme="minorHAnsi"/>
        </w:rPr>
        <w:t>$</w:t>
      </w:r>
      <w:r w:rsidR="001E675E">
        <w:rPr>
          <w:rFonts w:cstheme="minorHAnsi"/>
        </w:rPr>
        <w:t>2</w:t>
      </w:r>
      <w:r w:rsidR="00310BA5">
        <w:rPr>
          <w:rFonts w:cstheme="minorHAnsi"/>
        </w:rPr>
        <w:t>5</w:t>
      </w:r>
      <w:r w:rsidR="00314F7C">
        <w:rPr>
          <w:rFonts w:cstheme="minorHAnsi"/>
        </w:rPr>
        <w:t>,</w:t>
      </w:r>
      <w:r w:rsidR="001E675E">
        <w:rPr>
          <w:rFonts w:cstheme="minorHAnsi"/>
        </w:rPr>
        <w:t>8</w:t>
      </w:r>
      <w:r w:rsidR="00314F7C">
        <w:rPr>
          <w:rFonts w:cstheme="minorHAnsi"/>
        </w:rPr>
        <w:t>00</w:t>
      </w:r>
      <w:r w:rsidR="00394BBA">
        <w:rPr>
          <w:rStyle w:val="FootnoteReference"/>
          <w:rFonts w:cstheme="minorHAnsi"/>
        </w:rPr>
        <w:footnoteReference w:id="1"/>
      </w:r>
      <w:r w:rsidR="00314F7C">
        <w:rPr>
          <w:rFonts w:cstheme="minorHAnsi"/>
        </w:rPr>
        <w:t xml:space="preserve"> because</w:t>
      </w:r>
      <w:r w:rsidR="00134EB0">
        <w:rPr>
          <w:rFonts w:cstheme="minorHAnsi"/>
        </w:rPr>
        <w:t xml:space="preserve"> of the new </w:t>
      </w:r>
      <w:r w:rsidR="002375AE">
        <w:rPr>
          <w:rFonts w:cstheme="minorHAnsi"/>
        </w:rPr>
        <w:t>examination extension mechanism</w:t>
      </w:r>
      <w:r w:rsidR="00134EB0">
        <w:rPr>
          <w:rFonts w:cstheme="minorHAnsi"/>
        </w:rPr>
        <w:t xml:space="preserve">. </w:t>
      </w:r>
    </w:p>
    <w:sectPr w:rsidRPr="00FE66BD" w:rsidR="007848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154B" w:rsidRDefault="0021154B" w:rsidP="00394BBA">
      <w:r>
        <w:separator/>
      </w:r>
    </w:p>
  </w:endnote>
  <w:endnote w:type="continuationSeparator" w:id="0">
    <w:p w:rsidR="0021154B" w:rsidRDefault="0021154B" w:rsidP="00394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154B" w:rsidRDefault="0021154B" w:rsidP="00394BBA">
      <w:r>
        <w:separator/>
      </w:r>
    </w:p>
  </w:footnote>
  <w:footnote w:type="continuationSeparator" w:id="0">
    <w:p w:rsidR="0021154B" w:rsidRDefault="0021154B" w:rsidP="00394BBA">
      <w:r>
        <w:continuationSeparator/>
      </w:r>
    </w:p>
  </w:footnote>
  <w:footnote w:id="1">
    <w:p w:rsidR="00394BBA" w:rsidRPr="00FC30EB" w:rsidRDefault="00394BBA">
      <w:pPr>
        <w:pStyle w:val="FootnoteText"/>
        <w:rPr>
          <w:rFonts w:asciiTheme="minorHAnsi" w:hAnsiTheme="minorHAnsi" w:cstheme="minorHAnsi"/>
        </w:rPr>
      </w:pPr>
      <w:r w:rsidRPr="00FC30EB">
        <w:rPr>
          <w:rStyle w:val="FootnoteReference"/>
          <w:rFonts w:asciiTheme="minorHAnsi" w:hAnsiTheme="minorHAnsi" w:cstheme="minorHAnsi"/>
        </w:rPr>
        <w:footnoteRef/>
      </w:r>
      <w:r w:rsidRPr="00FC30EB">
        <w:rPr>
          <w:rFonts w:asciiTheme="minorHAnsi" w:hAnsiTheme="minorHAnsi" w:cstheme="minorHAnsi"/>
        </w:rPr>
        <w:t xml:space="preserve"> This is the product of the number of extension requests (120) multiplied by the</w:t>
      </w:r>
      <w:bookmarkStart w:id="0" w:name="_GoBack"/>
      <w:bookmarkEnd w:id="0"/>
      <w:r w:rsidRPr="00FC30EB">
        <w:rPr>
          <w:rFonts w:asciiTheme="minorHAnsi" w:hAnsiTheme="minorHAnsi" w:cstheme="minorHAnsi"/>
        </w:rPr>
        <w:t xml:space="preserve"> application plus exam fees ($330) minus the extension fee ($115).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EB7ABA"/>
    <w:multiLevelType w:val="hybridMultilevel"/>
    <w:tmpl w:val="4DAE73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FAF"/>
    <w:rsid w:val="00004C8F"/>
    <w:rsid w:val="00016A41"/>
    <w:rsid w:val="00042C50"/>
    <w:rsid w:val="0006095B"/>
    <w:rsid w:val="000A3B40"/>
    <w:rsid w:val="000B047D"/>
    <w:rsid w:val="000C3047"/>
    <w:rsid w:val="000F6182"/>
    <w:rsid w:val="00134EB0"/>
    <w:rsid w:val="001A3E7D"/>
    <w:rsid w:val="001C305B"/>
    <w:rsid w:val="001C3786"/>
    <w:rsid w:val="001E675E"/>
    <w:rsid w:val="0021154B"/>
    <w:rsid w:val="0023467C"/>
    <w:rsid w:val="002375AE"/>
    <w:rsid w:val="00282022"/>
    <w:rsid w:val="0028218F"/>
    <w:rsid w:val="00300DBF"/>
    <w:rsid w:val="00310BA5"/>
    <w:rsid w:val="00314F7C"/>
    <w:rsid w:val="00394BBA"/>
    <w:rsid w:val="00466299"/>
    <w:rsid w:val="004E3F0B"/>
    <w:rsid w:val="005A797D"/>
    <w:rsid w:val="005E0711"/>
    <w:rsid w:val="005E0A2F"/>
    <w:rsid w:val="0067307F"/>
    <w:rsid w:val="006A1F32"/>
    <w:rsid w:val="006A2532"/>
    <w:rsid w:val="006C43FA"/>
    <w:rsid w:val="006F2D06"/>
    <w:rsid w:val="00713FAF"/>
    <w:rsid w:val="007340D3"/>
    <w:rsid w:val="00752808"/>
    <w:rsid w:val="0076034A"/>
    <w:rsid w:val="00784842"/>
    <w:rsid w:val="007A13B0"/>
    <w:rsid w:val="007A500D"/>
    <w:rsid w:val="007B070D"/>
    <w:rsid w:val="0080171F"/>
    <w:rsid w:val="00834380"/>
    <w:rsid w:val="008418DC"/>
    <w:rsid w:val="00864BD6"/>
    <w:rsid w:val="009E209B"/>
    <w:rsid w:val="00A67099"/>
    <w:rsid w:val="00A67F5C"/>
    <w:rsid w:val="00AC46F2"/>
    <w:rsid w:val="00B27538"/>
    <w:rsid w:val="00B533F3"/>
    <w:rsid w:val="00BC1776"/>
    <w:rsid w:val="00BC306F"/>
    <w:rsid w:val="00BF49B1"/>
    <w:rsid w:val="00C62325"/>
    <w:rsid w:val="00C8232B"/>
    <w:rsid w:val="00C90042"/>
    <w:rsid w:val="00CB1141"/>
    <w:rsid w:val="00CC0117"/>
    <w:rsid w:val="00CE6779"/>
    <w:rsid w:val="00D404A3"/>
    <w:rsid w:val="00D540DA"/>
    <w:rsid w:val="00D75E25"/>
    <w:rsid w:val="00D933FF"/>
    <w:rsid w:val="00DB17F9"/>
    <w:rsid w:val="00E54B69"/>
    <w:rsid w:val="00E7698E"/>
    <w:rsid w:val="00E93539"/>
    <w:rsid w:val="00E96B1E"/>
    <w:rsid w:val="00EC48F5"/>
    <w:rsid w:val="00EC6F67"/>
    <w:rsid w:val="00ED2008"/>
    <w:rsid w:val="00ED7DBC"/>
    <w:rsid w:val="00EE1B30"/>
    <w:rsid w:val="00F65DA8"/>
    <w:rsid w:val="00F91B93"/>
    <w:rsid w:val="00FC30EB"/>
    <w:rsid w:val="00FC60B5"/>
    <w:rsid w:val="00FD4975"/>
    <w:rsid w:val="00FE6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AFED4"/>
  <w15:chartTrackingRefBased/>
  <w15:docId w15:val="{2B732993-DF2C-476E-91FA-A85013812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3B4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3FAF"/>
    <w:pPr>
      <w:spacing w:after="0" w:line="240" w:lineRule="auto"/>
    </w:pPr>
  </w:style>
  <w:style w:type="table" w:styleId="TableGrid">
    <w:name w:val="Table Grid"/>
    <w:basedOn w:val="TableNormal"/>
    <w:uiPriority w:val="39"/>
    <w:rsid w:val="00713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533F3"/>
    <w:rPr>
      <w:sz w:val="16"/>
      <w:szCs w:val="16"/>
    </w:rPr>
  </w:style>
  <w:style w:type="paragraph" w:styleId="CommentText">
    <w:name w:val="annotation text"/>
    <w:basedOn w:val="Normal"/>
    <w:link w:val="CommentTextChar"/>
    <w:uiPriority w:val="99"/>
    <w:semiHidden/>
    <w:unhideWhenUsed/>
    <w:rsid w:val="00B533F3"/>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B533F3"/>
    <w:rPr>
      <w:sz w:val="20"/>
      <w:szCs w:val="20"/>
    </w:rPr>
  </w:style>
  <w:style w:type="paragraph" w:styleId="CommentSubject">
    <w:name w:val="annotation subject"/>
    <w:basedOn w:val="CommentText"/>
    <w:next w:val="CommentText"/>
    <w:link w:val="CommentSubjectChar"/>
    <w:uiPriority w:val="99"/>
    <w:semiHidden/>
    <w:unhideWhenUsed/>
    <w:rsid w:val="00B533F3"/>
    <w:rPr>
      <w:b/>
      <w:bCs/>
    </w:rPr>
  </w:style>
  <w:style w:type="character" w:customStyle="1" w:styleId="CommentSubjectChar">
    <w:name w:val="Comment Subject Char"/>
    <w:basedOn w:val="CommentTextChar"/>
    <w:link w:val="CommentSubject"/>
    <w:uiPriority w:val="99"/>
    <w:semiHidden/>
    <w:rsid w:val="00B533F3"/>
    <w:rPr>
      <w:b/>
      <w:bCs/>
      <w:sz w:val="20"/>
      <w:szCs w:val="20"/>
    </w:rPr>
  </w:style>
  <w:style w:type="paragraph" w:styleId="BalloonText">
    <w:name w:val="Balloon Text"/>
    <w:basedOn w:val="Normal"/>
    <w:link w:val="BalloonTextChar"/>
    <w:uiPriority w:val="99"/>
    <w:semiHidden/>
    <w:unhideWhenUsed/>
    <w:rsid w:val="00B533F3"/>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B533F3"/>
    <w:rPr>
      <w:rFonts w:ascii="Segoe UI" w:hAnsi="Segoe UI" w:cs="Segoe UI"/>
      <w:sz w:val="18"/>
      <w:szCs w:val="18"/>
    </w:rPr>
  </w:style>
  <w:style w:type="paragraph" w:styleId="FootnoteText">
    <w:name w:val="footnote text"/>
    <w:basedOn w:val="Normal"/>
    <w:link w:val="FootnoteTextChar"/>
    <w:uiPriority w:val="99"/>
    <w:semiHidden/>
    <w:unhideWhenUsed/>
    <w:rsid w:val="00394BBA"/>
  </w:style>
  <w:style w:type="character" w:customStyle="1" w:styleId="FootnoteTextChar">
    <w:name w:val="Footnote Text Char"/>
    <w:basedOn w:val="DefaultParagraphFont"/>
    <w:link w:val="FootnoteText"/>
    <w:uiPriority w:val="99"/>
    <w:semiHidden/>
    <w:rsid w:val="00394BB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94B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380144">
      <w:bodyDiv w:val="1"/>
      <w:marLeft w:val="0"/>
      <w:marRight w:val="0"/>
      <w:marTop w:val="0"/>
      <w:marBottom w:val="0"/>
      <w:divBdr>
        <w:top w:val="none" w:sz="0" w:space="0" w:color="auto"/>
        <w:left w:val="none" w:sz="0" w:space="0" w:color="auto"/>
        <w:bottom w:val="none" w:sz="0" w:space="0" w:color="auto"/>
        <w:right w:val="none" w:sz="0" w:space="0" w:color="auto"/>
      </w:divBdr>
    </w:div>
    <w:div w:id="355733364">
      <w:bodyDiv w:val="1"/>
      <w:marLeft w:val="0"/>
      <w:marRight w:val="0"/>
      <w:marTop w:val="0"/>
      <w:marBottom w:val="0"/>
      <w:divBdr>
        <w:top w:val="none" w:sz="0" w:space="0" w:color="auto"/>
        <w:left w:val="none" w:sz="0" w:space="0" w:color="auto"/>
        <w:bottom w:val="none" w:sz="0" w:space="0" w:color="auto"/>
        <w:right w:val="none" w:sz="0" w:space="0" w:color="auto"/>
      </w:divBdr>
    </w:div>
    <w:div w:id="863858083">
      <w:bodyDiv w:val="1"/>
      <w:marLeft w:val="0"/>
      <w:marRight w:val="0"/>
      <w:marTop w:val="0"/>
      <w:marBottom w:val="0"/>
      <w:divBdr>
        <w:top w:val="none" w:sz="0" w:space="0" w:color="auto"/>
        <w:left w:val="none" w:sz="0" w:space="0" w:color="auto"/>
        <w:bottom w:val="none" w:sz="0" w:space="0" w:color="auto"/>
        <w:right w:val="none" w:sz="0" w:space="0" w:color="auto"/>
      </w:divBdr>
    </w:div>
    <w:div w:id="898827686">
      <w:bodyDiv w:val="1"/>
      <w:marLeft w:val="0"/>
      <w:marRight w:val="0"/>
      <w:marTop w:val="0"/>
      <w:marBottom w:val="0"/>
      <w:divBdr>
        <w:top w:val="none" w:sz="0" w:space="0" w:color="auto"/>
        <w:left w:val="none" w:sz="0" w:space="0" w:color="auto"/>
        <w:bottom w:val="none" w:sz="0" w:space="0" w:color="auto"/>
        <w:right w:val="none" w:sz="0" w:space="0" w:color="auto"/>
      </w:divBdr>
    </w:div>
    <w:div w:id="913272646">
      <w:bodyDiv w:val="1"/>
      <w:marLeft w:val="0"/>
      <w:marRight w:val="0"/>
      <w:marTop w:val="0"/>
      <w:marBottom w:val="0"/>
      <w:divBdr>
        <w:top w:val="none" w:sz="0" w:space="0" w:color="auto"/>
        <w:left w:val="none" w:sz="0" w:space="0" w:color="auto"/>
        <w:bottom w:val="none" w:sz="0" w:space="0" w:color="auto"/>
        <w:right w:val="none" w:sz="0" w:space="0" w:color="auto"/>
      </w:divBdr>
    </w:div>
    <w:div w:id="1030684965">
      <w:bodyDiv w:val="1"/>
      <w:marLeft w:val="0"/>
      <w:marRight w:val="0"/>
      <w:marTop w:val="0"/>
      <w:marBottom w:val="0"/>
      <w:divBdr>
        <w:top w:val="none" w:sz="0" w:space="0" w:color="auto"/>
        <w:left w:val="none" w:sz="0" w:space="0" w:color="auto"/>
        <w:bottom w:val="none" w:sz="0" w:space="0" w:color="auto"/>
        <w:right w:val="none" w:sz="0" w:space="0" w:color="auto"/>
      </w:divBdr>
    </w:div>
    <w:div w:id="1052118328">
      <w:bodyDiv w:val="1"/>
      <w:marLeft w:val="0"/>
      <w:marRight w:val="0"/>
      <w:marTop w:val="0"/>
      <w:marBottom w:val="0"/>
      <w:divBdr>
        <w:top w:val="none" w:sz="0" w:space="0" w:color="auto"/>
        <w:left w:val="none" w:sz="0" w:space="0" w:color="auto"/>
        <w:bottom w:val="none" w:sz="0" w:space="0" w:color="auto"/>
        <w:right w:val="none" w:sz="0" w:space="0" w:color="auto"/>
      </w:divBdr>
    </w:div>
    <w:div w:id="1078987605">
      <w:bodyDiv w:val="1"/>
      <w:marLeft w:val="0"/>
      <w:marRight w:val="0"/>
      <w:marTop w:val="0"/>
      <w:marBottom w:val="0"/>
      <w:divBdr>
        <w:top w:val="none" w:sz="0" w:space="0" w:color="auto"/>
        <w:left w:val="none" w:sz="0" w:space="0" w:color="auto"/>
        <w:bottom w:val="none" w:sz="0" w:space="0" w:color="auto"/>
        <w:right w:val="none" w:sz="0" w:space="0" w:color="auto"/>
      </w:divBdr>
    </w:div>
    <w:div w:id="1112866851">
      <w:bodyDiv w:val="1"/>
      <w:marLeft w:val="0"/>
      <w:marRight w:val="0"/>
      <w:marTop w:val="0"/>
      <w:marBottom w:val="0"/>
      <w:divBdr>
        <w:top w:val="none" w:sz="0" w:space="0" w:color="auto"/>
        <w:left w:val="none" w:sz="0" w:space="0" w:color="auto"/>
        <w:bottom w:val="none" w:sz="0" w:space="0" w:color="auto"/>
        <w:right w:val="none" w:sz="0" w:space="0" w:color="auto"/>
      </w:divBdr>
    </w:div>
    <w:div w:id="1286737266">
      <w:bodyDiv w:val="1"/>
      <w:marLeft w:val="0"/>
      <w:marRight w:val="0"/>
      <w:marTop w:val="0"/>
      <w:marBottom w:val="0"/>
      <w:divBdr>
        <w:top w:val="none" w:sz="0" w:space="0" w:color="auto"/>
        <w:left w:val="none" w:sz="0" w:space="0" w:color="auto"/>
        <w:bottom w:val="none" w:sz="0" w:space="0" w:color="auto"/>
        <w:right w:val="none" w:sz="0" w:space="0" w:color="auto"/>
      </w:divBdr>
    </w:div>
    <w:div w:id="1344241537">
      <w:bodyDiv w:val="1"/>
      <w:marLeft w:val="0"/>
      <w:marRight w:val="0"/>
      <w:marTop w:val="0"/>
      <w:marBottom w:val="0"/>
      <w:divBdr>
        <w:top w:val="none" w:sz="0" w:space="0" w:color="auto"/>
        <w:left w:val="none" w:sz="0" w:space="0" w:color="auto"/>
        <w:bottom w:val="none" w:sz="0" w:space="0" w:color="auto"/>
        <w:right w:val="none" w:sz="0" w:space="0" w:color="auto"/>
      </w:divBdr>
    </w:div>
    <w:div w:id="1494835550">
      <w:bodyDiv w:val="1"/>
      <w:marLeft w:val="0"/>
      <w:marRight w:val="0"/>
      <w:marTop w:val="0"/>
      <w:marBottom w:val="0"/>
      <w:divBdr>
        <w:top w:val="none" w:sz="0" w:space="0" w:color="auto"/>
        <w:left w:val="none" w:sz="0" w:space="0" w:color="auto"/>
        <w:bottom w:val="none" w:sz="0" w:space="0" w:color="auto"/>
        <w:right w:val="none" w:sz="0" w:space="0" w:color="auto"/>
      </w:divBdr>
    </w:div>
    <w:div w:id="1909339344">
      <w:bodyDiv w:val="1"/>
      <w:marLeft w:val="0"/>
      <w:marRight w:val="0"/>
      <w:marTop w:val="0"/>
      <w:marBottom w:val="0"/>
      <w:divBdr>
        <w:top w:val="none" w:sz="0" w:space="0" w:color="auto"/>
        <w:left w:val="none" w:sz="0" w:space="0" w:color="auto"/>
        <w:bottom w:val="none" w:sz="0" w:space="0" w:color="auto"/>
        <w:right w:val="none" w:sz="0" w:space="0" w:color="auto"/>
      </w:divBdr>
    </w:div>
    <w:div w:id="213374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E85DE8A9-5CD3-41FE-A1A0-70BC17107555" xsi:nil="true"/>
    <Collection_x0020_Number xmlns="E85DE8A9-5CD3-41FE-A1A0-70BC17107555" xsi:nil="true"/>
    <Document_x0020_State xmlns="E85DE8A9-5CD3-41FE-A1A0-70BC17107555" xsi:nil="true"/>
    <Owner xmlns="5DFC53CF-7C17-4489-98AB-5F87C96333B9">
      <UserInfo>
        <DisplayName/>
        <AccountId xsi:nil="true"/>
        <AccountType/>
      </UserInfo>
    </Owner>
    <Initiation_x0020__x0028_Start_x0029_ xmlns="e85de8a9-5cd3-41fe-a1a0-70bc17107555" xsi:nil="true"/>
    <IC_x0020_Category xmlns="E85DE8A9-5CD3-41FE-A1A0-70BC17107555" xsi:nil="true"/>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 xsi:nil="true"/>
    <Business_x0020_Unit xmlns="e85de8a9-5cd3-41fe-a1a0-70bc17107555" xsi:nil="true"/>
    <Expiration_x0020_Date0 xmlns="e85de8a9-5cd3-41fe-a1a0-70bc17107555" xsi:nil="true"/>
    <Approved_x0020_by_x0020_PTO xmlns="E85DE8A9-5CD3-41FE-A1A0-70BC17107555">No</Approved_x0020_by_x0020_PTO>
    <Level xmlns="e85de8a9-5cd3-41fe-a1a0-70bc17107555" xsi:nil="true"/>
    <SharedWithUsers xmlns="5dfc53cf-7c17-4489-98ab-5f87c96333b9">
      <UserInfo>
        <DisplayName>Isaac, Justin (AMBIT)</DisplayName>
        <AccountId>115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7e566b99e8bb0b2a179c2bff7ea7118b">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5e0d94d18c194bab902702e1eaa90dd9"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2" nillable="true" ma:displayName="ICR ID" ma:hidden="true" ma:internalName="ICR_x0020_ID" ma:readOnly="false">
      <xsd:simpleType>
        <xsd:restriction base="dms:Text">
          <xsd:maxLength value="255"/>
        </xsd:restriction>
      </xsd:simpleType>
    </xsd:element>
    <xsd:element name="Level" ma:index="26"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28"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1" nillable="true" ma:displayName="ICR Submission (Start)" ma:format="DateOnly" ma:hidden="true" ma:internalName="ICR_x0020_Submission_x0020__x0028_Start_x0029_" ma:readOnly="false">
      <xsd:simpleType>
        <xsd:restriction base="dms:DateTime"/>
      </xsd:simpleType>
    </xsd:element>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BC9D6-2EC1-47B8-B01E-952217F590D6}">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 ds:uri="5dfc53cf-7c17-4489-98ab-5f87c96333b9"/>
  </ds:schemaRefs>
</ds:datastoreItem>
</file>

<file path=customXml/itemProps2.xml><?xml version="1.0" encoding="utf-8"?>
<ds:datastoreItem xmlns:ds="http://schemas.openxmlformats.org/officeDocument/2006/customXml" ds:itemID="{DD2D8F99-7223-41F2-B0B9-3B3B7A66234A}">
  <ds:schemaRefs>
    <ds:schemaRef ds:uri="http://schemas.microsoft.com/sharepoint/v3/contenttype/forms"/>
  </ds:schemaRefs>
</ds:datastoreItem>
</file>

<file path=customXml/itemProps3.xml><?xml version="1.0" encoding="utf-8"?>
<ds:datastoreItem xmlns:ds="http://schemas.openxmlformats.org/officeDocument/2006/customXml" ds:itemID="{8E8FE60C-D95A-4AD5-B5A9-4A4A52AA8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5A913B-E31E-402F-A3BA-E9525B5BB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Maryam (AMBIT)</dc:creator>
  <cp:keywords/>
  <dc:description/>
  <cp:lastModifiedBy>Hall, Drew</cp:lastModifiedBy>
  <cp:revision>5</cp:revision>
  <dcterms:created xsi:type="dcterms:W3CDTF">2021-12-16T20:18:00Z</dcterms:created>
  <dcterms:modified xsi:type="dcterms:W3CDTF">2021-12-16T20:19:00Z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