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73EE4" w:rsidR="008D1294" w:rsidP="00373EE4" w:rsidRDefault="00EA6C04" w14:paraId="080B78FC" w14:textId="77777777">
      <w:pPr>
        <w:jc w:val="center"/>
        <w:rPr>
          <w:rFonts w:asciiTheme="majorHAnsi" w:hAnsiTheme="majorHAnsi"/>
          <w:sz w:val="28"/>
          <w:u w:val="single"/>
        </w:rPr>
      </w:pPr>
      <w:r w:rsidRPr="00373EE4">
        <w:rPr>
          <w:rFonts w:asciiTheme="majorHAnsi" w:hAnsiTheme="majorHAnsi"/>
          <w:sz w:val="28"/>
          <w:u w:val="single"/>
        </w:rPr>
        <w:t xml:space="preserve">SUPPORTING </w:t>
      </w:r>
      <w:r w:rsidRPr="00373EE4" w:rsidR="00127B46">
        <w:rPr>
          <w:rFonts w:asciiTheme="majorHAnsi" w:hAnsiTheme="majorHAnsi"/>
          <w:sz w:val="28"/>
          <w:u w:val="single"/>
        </w:rPr>
        <w:t>STATEMENT -</w:t>
      </w:r>
      <w:r w:rsidRPr="00373EE4">
        <w:rPr>
          <w:rFonts w:asciiTheme="majorHAnsi" w:hAnsiTheme="majorHAnsi"/>
          <w:sz w:val="28"/>
          <w:u w:val="single"/>
        </w:rPr>
        <w:t xml:space="preserve"> PART A</w:t>
      </w:r>
    </w:p>
    <w:p w:rsidR="00054FBB" w:rsidP="00224D01" w:rsidRDefault="003A46BE" w14:paraId="406881C7" w14:textId="0ACEB20C">
      <w:pPr>
        <w:jc w:val="center"/>
        <w:rPr>
          <w:rFonts w:asciiTheme="majorHAnsi" w:hAnsiTheme="majorHAnsi"/>
          <w:sz w:val="24"/>
        </w:rPr>
      </w:pPr>
      <w:r w:rsidRPr="00373EE4">
        <w:rPr>
          <w:rFonts w:asciiTheme="majorHAnsi" w:hAnsiTheme="majorHAnsi"/>
          <w:sz w:val="24"/>
        </w:rPr>
        <w:t xml:space="preserve">Workplace and Gender Relations </w:t>
      </w:r>
      <w:r w:rsidRPr="00373EE4" w:rsidR="00AE77ED">
        <w:rPr>
          <w:rFonts w:asciiTheme="majorHAnsi" w:hAnsiTheme="majorHAnsi"/>
          <w:sz w:val="24"/>
        </w:rPr>
        <w:t>Survey</w:t>
      </w:r>
      <w:r w:rsidRPr="00373EE4" w:rsidR="00EA6C04">
        <w:rPr>
          <w:rFonts w:asciiTheme="majorHAnsi" w:hAnsiTheme="majorHAnsi"/>
          <w:sz w:val="24"/>
        </w:rPr>
        <w:t xml:space="preserve"> – </w:t>
      </w:r>
      <w:r w:rsidR="006C5A5F">
        <w:rPr>
          <w:rFonts w:asciiTheme="majorHAnsi" w:hAnsiTheme="majorHAnsi"/>
          <w:sz w:val="24"/>
        </w:rPr>
        <w:t>0704-0615</w:t>
      </w:r>
    </w:p>
    <w:p w:rsidRPr="005C2FFB" w:rsidR="005C7428" w:rsidP="006E563D" w:rsidRDefault="0027743E" w14:paraId="4D5AEBAF" w14:textId="00889DFE">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2FFB" w:rsidR="005C7428">
        <w:rPr>
          <w:rFonts w:asciiTheme="majorHAnsi" w:hAnsiTheme="majorHAnsi"/>
          <w:sz w:val="24"/>
          <w:u w:val="single"/>
        </w:rPr>
        <w:t xml:space="preserve">Need for the Information </w:t>
      </w:r>
      <w:r w:rsidRPr="005C2FFB" w:rsidR="0085688C">
        <w:rPr>
          <w:rFonts w:asciiTheme="majorHAnsi" w:hAnsiTheme="majorHAnsi"/>
          <w:sz w:val="24"/>
          <w:u w:val="single"/>
        </w:rPr>
        <w:t>Collection</w:t>
      </w:r>
      <w:r w:rsidR="007F797D">
        <w:rPr>
          <w:rFonts w:asciiTheme="majorHAnsi" w:hAnsiTheme="majorHAnsi"/>
          <w:sz w:val="24"/>
        </w:rPr>
        <w:t xml:space="preserve"> </w:t>
      </w:r>
    </w:p>
    <w:p w:rsidRPr="005C2FFB" w:rsidR="00FA6E11" w:rsidP="00803FDB" w:rsidRDefault="00FA6E11" w14:paraId="36D8F700" w14:textId="77777777">
      <w:pPr>
        <w:spacing w:after="0" w:line="240" w:lineRule="auto"/>
        <w:rPr>
          <w:rFonts w:asciiTheme="majorHAnsi" w:hAnsiTheme="majorHAnsi"/>
          <w:sz w:val="24"/>
        </w:rPr>
      </w:pPr>
    </w:p>
    <w:p w:rsidRPr="005C2FFB" w:rsidR="00803FDB" w:rsidP="00803FDB" w:rsidRDefault="00803FDB" w14:paraId="3410763C" w14:textId="5A1094B2">
      <w:pPr>
        <w:spacing w:after="0" w:line="240" w:lineRule="auto"/>
        <w:rPr>
          <w:rFonts w:asciiTheme="majorHAnsi" w:hAnsiTheme="majorHAnsi"/>
          <w:sz w:val="24"/>
        </w:rPr>
      </w:pPr>
      <w:r w:rsidRPr="005C2FFB">
        <w:rPr>
          <w:rFonts w:asciiTheme="majorHAnsi" w:hAnsiTheme="majorHAnsi"/>
          <w:sz w:val="24"/>
        </w:rPr>
        <w:t xml:space="preserve">Sexual assault, sexual harassment, and gender discrimination remain a major concern across the DoD and for members of Congress. In February 2004, the Under Secretary of Defense for Personnel and Readiness (USD[P&amp;R]) testified before the Senate Armed Services Committee on the prevalence of sexual assault in the DoD and the programs and policies planned to address the issues. In accordance with legislative requirements, the USD(P&amp;R) issued memoranda to the Services that </w:t>
      </w:r>
      <w:r w:rsidRPr="005C2FFB" w:rsidR="00997361">
        <w:rPr>
          <w:rFonts w:asciiTheme="majorHAnsi" w:hAnsiTheme="majorHAnsi"/>
          <w:sz w:val="24"/>
        </w:rPr>
        <w:t>provide</w:t>
      </w:r>
      <w:r w:rsidR="00997361">
        <w:rPr>
          <w:rFonts w:asciiTheme="majorHAnsi" w:hAnsiTheme="majorHAnsi"/>
          <w:sz w:val="24"/>
        </w:rPr>
        <w:t>d</w:t>
      </w:r>
      <w:r w:rsidRPr="005C2FFB" w:rsidR="00997361">
        <w:rPr>
          <w:rFonts w:asciiTheme="majorHAnsi" w:hAnsiTheme="majorHAnsi"/>
          <w:sz w:val="24"/>
        </w:rPr>
        <w:t xml:space="preserve"> </w:t>
      </w:r>
      <w:r w:rsidRPr="005C2FFB">
        <w:rPr>
          <w:rFonts w:asciiTheme="majorHAnsi" w:hAnsiTheme="majorHAnsi"/>
          <w:sz w:val="24"/>
        </w:rPr>
        <w:t xml:space="preserve">DoD policy guidance on sexual assault that included a new standard definition, response capability, training requirements, response actions, and reporting guidance throughout the Department. The Sexual Assault and Prevention Response Office (SAPRO) </w:t>
      </w:r>
      <w:r w:rsidRPr="005C2FFB" w:rsidR="00997361">
        <w:rPr>
          <w:rFonts w:asciiTheme="majorHAnsi" w:hAnsiTheme="majorHAnsi"/>
          <w:sz w:val="24"/>
        </w:rPr>
        <w:t>support</w:t>
      </w:r>
      <w:r w:rsidR="00997361">
        <w:rPr>
          <w:rFonts w:asciiTheme="majorHAnsi" w:hAnsiTheme="majorHAnsi"/>
          <w:sz w:val="24"/>
        </w:rPr>
        <w:t>s the</w:t>
      </w:r>
      <w:r w:rsidRPr="005C2FFB">
        <w:rPr>
          <w:rFonts w:asciiTheme="majorHAnsi" w:hAnsiTheme="majorHAnsi"/>
          <w:sz w:val="24"/>
        </w:rPr>
        <w:t xml:space="preserve"> implementation of the new policy and requires data to assess the prevalence of sexual assaults in the Department and the effectiveness of the programs they have implemented.</w:t>
      </w:r>
    </w:p>
    <w:p w:rsidRPr="005C2FFB" w:rsidR="00803FDB" w:rsidP="00803FDB" w:rsidRDefault="00803FDB" w14:paraId="7694B795" w14:textId="77777777">
      <w:pPr>
        <w:spacing w:after="0" w:line="240" w:lineRule="auto"/>
        <w:rPr>
          <w:rFonts w:asciiTheme="majorHAnsi" w:hAnsiTheme="majorHAnsi"/>
          <w:i/>
          <w:sz w:val="24"/>
        </w:rPr>
      </w:pPr>
    </w:p>
    <w:p w:rsidRPr="005C2FFB" w:rsidR="00B55E9F" w:rsidP="00803FDB" w:rsidRDefault="00803FDB" w14:paraId="4253BC86" w14:textId="492559CA">
      <w:pPr>
        <w:spacing w:after="0" w:line="240" w:lineRule="auto"/>
        <w:rPr>
          <w:rFonts w:asciiTheme="majorHAnsi" w:hAnsiTheme="majorHAnsi"/>
          <w:sz w:val="24"/>
        </w:rPr>
      </w:pPr>
      <w:r w:rsidRPr="005C2FFB">
        <w:rPr>
          <w:rFonts w:asciiTheme="majorHAnsi" w:hAnsiTheme="majorHAnsi"/>
          <w:sz w:val="24"/>
        </w:rPr>
        <w:t xml:space="preserve">The Workplace and Gender Relations </w:t>
      </w:r>
      <w:r w:rsidR="00842BBB">
        <w:rPr>
          <w:rFonts w:asciiTheme="majorHAnsi" w:hAnsiTheme="majorHAnsi"/>
          <w:sz w:val="24"/>
        </w:rPr>
        <w:t>(WGR) s</w:t>
      </w:r>
      <w:r w:rsidRPr="005C2FFB">
        <w:rPr>
          <w:rFonts w:asciiTheme="majorHAnsi" w:hAnsiTheme="majorHAnsi"/>
          <w:sz w:val="24"/>
        </w:rPr>
        <w:t xml:space="preserve">urveys assess the attitudes and opinions of military members on gender issues, including issues relating to sexual harassment, gender discrimination, and sexual assault, as well as the culture and climate of the units/organizations in which Service members serve. </w:t>
      </w:r>
      <w:r w:rsidRPr="005C2FFB" w:rsidR="002A59F0">
        <w:rPr>
          <w:rFonts w:asciiTheme="majorHAnsi" w:hAnsiTheme="majorHAnsi"/>
          <w:sz w:val="24"/>
        </w:rPr>
        <w:t>In accordance with</w:t>
      </w:r>
      <w:r w:rsidR="007A21A0">
        <w:rPr>
          <w:rFonts w:asciiTheme="majorHAnsi" w:hAnsiTheme="majorHAnsi"/>
          <w:sz w:val="24"/>
        </w:rPr>
        <w:t xml:space="preserve"> </w:t>
      </w:r>
      <w:r w:rsidRPr="005C2FFB" w:rsidR="002A59F0">
        <w:rPr>
          <w:rFonts w:asciiTheme="majorHAnsi" w:hAnsiTheme="majorHAnsi"/>
          <w:sz w:val="24"/>
        </w:rPr>
        <w:t>10 U</w:t>
      </w:r>
      <w:r w:rsidR="007A21A0">
        <w:rPr>
          <w:rFonts w:asciiTheme="majorHAnsi" w:hAnsiTheme="majorHAnsi"/>
          <w:sz w:val="24"/>
        </w:rPr>
        <w:t>.</w:t>
      </w:r>
      <w:r w:rsidRPr="005C2FFB" w:rsidR="002A59F0">
        <w:rPr>
          <w:rFonts w:asciiTheme="majorHAnsi" w:hAnsiTheme="majorHAnsi"/>
          <w:sz w:val="24"/>
        </w:rPr>
        <w:t>S</w:t>
      </w:r>
      <w:r w:rsidR="007A21A0">
        <w:rPr>
          <w:rFonts w:asciiTheme="majorHAnsi" w:hAnsiTheme="majorHAnsi"/>
          <w:sz w:val="24"/>
        </w:rPr>
        <w:t>.</w:t>
      </w:r>
      <w:r w:rsidRPr="005C2FFB" w:rsidR="002A59F0">
        <w:rPr>
          <w:rFonts w:asciiTheme="majorHAnsi" w:hAnsiTheme="majorHAnsi"/>
          <w:sz w:val="24"/>
        </w:rPr>
        <w:t>C</w:t>
      </w:r>
      <w:r w:rsidR="007A21A0">
        <w:rPr>
          <w:rFonts w:asciiTheme="majorHAnsi" w:hAnsiTheme="majorHAnsi"/>
          <w:sz w:val="24"/>
        </w:rPr>
        <w:t>.</w:t>
      </w:r>
      <w:r w:rsidRPr="005C2FFB" w:rsidR="002A59F0">
        <w:rPr>
          <w:rFonts w:asciiTheme="majorHAnsi" w:hAnsiTheme="majorHAnsi"/>
          <w:sz w:val="24"/>
        </w:rPr>
        <w:t>, Section 481, the WGR surveys solicit information on the following:</w:t>
      </w:r>
      <w:r w:rsidRPr="005C2FFB">
        <w:rPr>
          <w:rFonts w:asciiTheme="majorHAnsi" w:hAnsiTheme="majorHAnsi"/>
          <w:sz w:val="24"/>
        </w:rPr>
        <w:t xml:space="preserve"> 1) the positive and negative trends for professional and personal relationships between Service members; 2) the specific types of assault that have occurred and the number of times in the preceding year; 3) the effectiveness of DoD policies designed to improve professional relationships between male and female Service </w:t>
      </w:r>
      <w:r w:rsidRPr="005C2FFB">
        <w:rPr>
          <w:rFonts w:asciiTheme="majorHAnsi" w:hAnsiTheme="majorHAnsi"/>
          <w:sz w:val="24"/>
        </w:rPr>
        <w:lastRenderedPageBreak/>
        <w:t>members; 4) the effectiveness of current processes for complaints, reports, and investigations; and, 5) specific issues related to sexual harassment, sexual assault, and gender discrimination that may inform the Department’s prevention and response efforts.</w:t>
      </w:r>
    </w:p>
    <w:p w:rsidRPr="005C2FFB" w:rsidR="00DE6017" w:rsidP="00803FDB" w:rsidRDefault="00DE6017" w14:paraId="21744204" w14:textId="77777777">
      <w:pPr>
        <w:spacing w:after="0" w:line="240" w:lineRule="auto"/>
        <w:rPr>
          <w:rFonts w:asciiTheme="majorHAnsi" w:hAnsiTheme="majorHAnsi"/>
          <w:sz w:val="24"/>
        </w:rPr>
      </w:pPr>
    </w:p>
    <w:p w:rsidRPr="005C2FFB" w:rsidR="00803FDB" w:rsidP="00803FDB" w:rsidRDefault="00803FDB" w14:paraId="0415450F" w14:textId="77777777">
      <w:pPr>
        <w:spacing w:after="0" w:line="240" w:lineRule="auto"/>
        <w:rPr>
          <w:rFonts w:asciiTheme="majorHAnsi" w:hAnsiTheme="majorHAnsi"/>
          <w:sz w:val="24"/>
        </w:rPr>
      </w:pPr>
      <w:r w:rsidRPr="005C2FFB">
        <w:rPr>
          <w:rFonts w:asciiTheme="majorHAnsi" w:hAnsiTheme="majorHAnsi"/>
          <w:sz w:val="24"/>
        </w:rPr>
        <w:t>The legal requirements for the WGR surveys can be found in the following:</w:t>
      </w:r>
    </w:p>
    <w:p w:rsidRPr="005C2FFB" w:rsidR="00803FDB" w:rsidP="00803FDB" w:rsidRDefault="00803FDB" w14:paraId="3F070D5E" w14:textId="77777777">
      <w:pPr>
        <w:spacing w:after="0" w:line="240" w:lineRule="auto"/>
        <w:rPr>
          <w:rFonts w:asciiTheme="majorHAnsi" w:hAnsiTheme="majorHAnsi"/>
          <w:sz w:val="24"/>
        </w:rPr>
      </w:pPr>
    </w:p>
    <w:p w:rsidRPr="00842BBB" w:rsidR="00842BBB" w:rsidP="00842BBB" w:rsidRDefault="00842BBB" w14:paraId="2BCB08BC" w14:textId="42272D2D">
      <w:pPr>
        <w:pStyle w:val="ListParagraph"/>
        <w:numPr>
          <w:ilvl w:val="0"/>
          <w:numId w:val="26"/>
        </w:numPr>
        <w:spacing w:after="0" w:line="240" w:lineRule="auto"/>
        <w:rPr>
          <w:rFonts w:asciiTheme="majorHAnsi" w:hAnsiTheme="majorHAnsi"/>
          <w:sz w:val="24"/>
        </w:rPr>
      </w:pPr>
      <w:r w:rsidRPr="00842BBB">
        <w:rPr>
          <w:rFonts w:asciiTheme="majorHAnsi" w:hAnsiTheme="majorHAnsi"/>
          <w:sz w:val="24"/>
        </w:rPr>
        <w:t>10 U</w:t>
      </w:r>
      <w:r w:rsidR="007A21A0">
        <w:rPr>
          <w:rFonts w:asciiTheme="majorHAnsi" w:hAnsiTheme="majorHAnsi"/>
          <w:sz w:val="24"/>
        </w:rPr>
        <w:t>.</w:t>
      </w:r>
      <w:r w:rsidRPr="00842BBB">
        <w:rPr>
          <w:rFonts w:asciiTheme="majorHAnsi" w:hAnsiTheme="majorHAnsi"/>
          <w:sz w:val="24"/>
        </w:rPr>
        <w:t>S</w:t>
      </w:r>
      <w:r w:rsidR="007A21A0">
        <w:rPr>
          <w:rFonts w:asciiTheme="majorHAnsi" w:hAnsiTheme="majorHAnsi"/>
          <w:sz w:val="24"/>
        </w:rPr>
        <w:t>.</w:t>
      </w:r>
      <w:r w:rsidRPr="00842BBB">
        <w:rPr>
          <w:rFonts w:asciiTheme="majorHAnsi" w:hAnsiTheme="majorHAnsi"/>
          <w:sz w:val="24"/>
        </w:rPr>
        <w:t>C</w:t>
      </w:r>
      <w:r w:rsidR="007A21A0">
        <w:rPr>
          <w:rFonts w:asciiTheme="majorHAnsi" w:hAnsiTheme="majorHAnsi"/>
          <w:sz w:val="24"/>
        </w:rPr>
        <w:t>.</w:t>
      </w:r>
      <w:r w:rsidRPr="00842BBB">
        <w:rPr>
          <w:rFonts w:asciiTheme="majorHAnsi" w:hAnsiTheme="majorHAnsi"/>
          <w:sz w:val="24"/>
        </w:rPr>
        <w:t>, Section 481</w:t>
      </w:r>
    </w:p>
    <w:p w:rsidRPr="00842BBB" w:rsidR="00842BBB" w:rsidP="00842BBB" w:rsidRDefault="00842BBB" w14:paraId="271AEA51" w14:textId="2A96CB2E">
      <w:pPr>
        <w:pStyle w:val="ListParagraph"/>
        <w:numPr>
          <w:ilvl w:val="0"/>
          <w:numId w:val="26"/>
        </w:numPr>
        <w:spacing w:after="0" w:line="240" w:lineRule="auto"/>
        <w:rPr>
          <w:rFonts w:asciiTheme="majorHAnsi" w:hAnsiTheme="majorHAnsi"/>
          <w:sz w:val="24"/>
        </w:rPr>
      </w:pPr>
      <w:r w:rsidRPr="00842BBB">
        <w:rPr>
          <w:rFonts w:asciiTheme="majorHAnsi" w:hAnsiTheme="majorHAnsi"/>
          <w:sz w:val="24"/>
        </w:rPr>
        <w:t>Ronald W. Reagan National Defense Authorization Act (NDAA) for Fiscal Year (FY) 2005</w:t>
      </w:r>
    </w:p>
    <w:p w:rsidRPr="00842BBB" w:rsidR="00842BBB" w:rsidP="00842BBB" w:rsidRDefault="00842BBB" w14:paraId="4E9BECFB" w14:textId="6B9148D2">
      <w:pPr>
        <w:pStyle w:val="ListParagraph"/>
        <w:numPr>
          <w:ilvl w:val="0"/>
          <w:numId w:val="26"/>
        </w:numPr>
        <w:spacing w:after="0" w:line="240" w:lineRule="auto"/>
        <w:rPr>
          <w:rFonts w:asciiTheme="majorHAnsi" w:hAnsiTheme="majorHAnsi"/>
          <w:sz w:val="24"/>
        </w:rPr>
      </w:pPr>
      <w:r w:rsidRPr="00842BBB">
        <w:rPr>
          <w:rFonts w:asciiTheme="majorHAnsi" w:hAnsiTheme="majorHAnsi"/>
          <w:sz w:val="24"/>
        </w:rPr>
        <w:t>P.L. 111-383, Section 1631</w:t>
      </w:r>
    </w:p>
    <w:p w:rsidRPr="00842BBB" w:rsidR="00842BBB" w:rsidP="00842BBB" w:rsidRDefault="00842BBB" w14:paraId="4EDF44EE" w14:textId="00A80470">
      <w:pPr>
        <w:pStyle w:val="ListParagraph"/>
        <w:numPr>
          <w:ilvl w:val="0"/>
          <w:numId w:val="26"/>
        </w:numPr>
        <w:spacing w:after="0" w:line="240" w:lineRule="auto"/>
        <w:rPr>
          <w:rFonts w:asciiTheme="majorHAnsi" w:hAnsiTheme="majorHAnsi"/>
          <w:sz w:val="24"/>
        </w:rPr>
      </w:pPr>
      <w:r w:rsidRPr="00842BBB">
        <w:rPr>
          <w:rFonts w:asciiTheme="majorHAnsi" w:hAnsiTheme="majorHAnsi"/>
          <w:sz w:val="24"/>
        </w:rPr>
        <w:t>NDAA for FY 2013, Section 570</w:t>
      </w:r>
    </w:p>
    <w:p w:rsidRPr="005C2FFB" w:rsidR="00803FDB" w:rsidP="00842BBB" w:rsidRDefault="00842BBB" w14:paraId="0AE24F02" w14:textId="35631948">
      <w:pPr>
        <w:pStyle w:val="ListParagraph"/>
        <w:numPr>
          <w:ilvl w:val="0"/>
          <w:numId w:val="26"/>
        </w:numPr>
        <w:spacing w:after="0" w:line="240" w:lineRule="auto"/>
        <w:rPr>
          <w:rFonts w:asciiTheme="majorHAnsi" w:hAnsiTheme="majorHAnsi"/>
          <w:i/>
          <w:sz w:val="24"/>
        </w:rPr>
      </w:pPr>
      <w:r w:rsidRPr="00842BBB">
        <w:rPr>
          <w:rFonts w:asciiTheme="majorHAnsi" w:hAnsiTheme="majorHAnsi"/>
          <w:sz w:val="24"/>
        </w:rPr>
        <w:t>10 U</w:t>
      </w:r>
      <w:r w:rsidR="007A21A0">
        <w:rPr>
          <w:rFonts w:asciiTheme="majorHAnsi" w:hAnsiTheme="majorHAnsi"/>
          <w:sz w:val="24"/>
        </w:rPr>
        <w:t>.</w:t>
      </w:r>
      <w:r w:rsidRPr="00842BBB">
        <w:rPr>
          <w:rFonts w:asciiTheme="majorHAnsi" w:hAnsiTheme="majorHAnsi"/>
          <w:sz w:val="24"/>
        </w:rPr>
        <w:t>S</w:t>
      </w:r>
      <w:r w:rsidR="007A21A0">
        <w:rPr>
          <w:rFonts w:asciiTheme="majorHAnsi" w:hAnsiTheme="majorHAnsi"/>
          <w:sz w:val="24"/>
        </w:rPr>
        <w:t>.</w:t>
      </w:r>
      <w:r w:rsidRPr="00842BBB">
        <w:rPr>
          <w:rFonts w:asciiTheme="majorHAnsi" w:hAnsiTheme="majorHAnsi"/>
          <w:sz w:val="24"/>
        </w:rPr>
        <w:t>C</w:t>
      </w:r>
      <w:r w:rsidR="007A21A0">
        <w:rPr>
          <w:rFonts w:asciiTheme="majorHAnsi" w:hAnsiTheme="majorHAnsi"/>
          <w:sz w:val="24"/>
        </w:rPr>
        <w:t>.</w:t>
      </w:r>
      <w:r w:rsidRPr="00842BBB">
        <w:rPr>
          <w:rFonts w:asciiTheme="majorHAnsi" w:hAnsiTheme="majorHAnsi"/>
          <w:sz w:val="24"/>
        </w:rPr>
        <w:t>, Section 2358</w:t>
      </w:r>
    </w:p>
    <w:p w:rsidRPr="005C2FFB" w:rsidR="00803FDB" w:rsidP="00803FDB" w:rsidRDefault="00803FDB" w14:paraId="26FDA6CE" w14:textId="77777777">
      <w:pPr>
        <w:spacing w:after="0" w:line="240" w:lineRule="auto"/>
        <w:rPr>
          <w:rFonts w:asciiTheme="majorHAnsi" w:hAnsiTheme="majorHAnsi"/>
          <w:i/>
          <w:sz w:val="24"/>
        </w:rPr>
      </w:pPr>
    </w:p>
    <w:p w:rsidRPr="005C2FFB" w:rsidR="00803FDB" w:rsidP="00803FDB" w:rsidRDefault="00803FDB" w14:paraId="6BF4E8F7" w14:textId="53E6CEA4">
      <w:pPr>
        <w:spacing w:after="0" w:line="240" w:lineRule="auto"/>
        <w:rPr>
          <w:rFonts w:asciiTheme="majorHAnsi" w:hAnsiTheme="majorHAnsi"/>
          <w:sz w:val="24"/>
        </w:rPr>
      </w:pPr>
      <w:r w:rsidRPr="005C2FFB">
        <w:rPr>
          <w:rFonts w:asciiTheme="majorHAnsi" w:hAnsiTheme="majorHAnsi"/>
          <w:sz w:val="24"/>
        </w:rPr>
        <w:t xml:space="preserve">These legal requirements mandate that the WGR surveys solicit information on gender issues, including issues relating to sexual assault (including unwanted sexual contact), gender-based harassment and discrimination, as well as the climate in the Armed Forces for forming professional relationships between male and female members. </w:t>
      </w:r>
      <w:r w:rsidRPr="005C2FFB" w:rsidR="002A59F0">
        <w:rPr>
          <w:rFonts w:asciiTheme="majorHAnsi" w:hAnsiTheme="majorHAnsi"/>
          <w:sz w:val="24"/>
        </w:rPr>
        <w:t xml:space="preserve"> </w:t>
      </w:r>
      <w:r w:rsidRPr="005C2FFB">
        <w:rPr>
          <w:rFonts w:asciiTheme="majorHAnsi" w:hAnsiTheme="majorHAnsi"/>
          <w:sz w:val="24"/>
        </w:rPr>
        <w:t>The legislation further requi</w:t>
      </w:r>
      <w:r w:rsidRPr="005C2FFB" w:rsidR="002A59F0">
        <w:rPr>
          <w:rFonts w:asciiTheme="majorHAnsi" w:hAnsiTheme="majorHAnsi"/>
          <w:sz w:val="24"/>
        </w:rPr>
        <w:t xml:space="preserve">res that a survey is conducted </w:t>
      </w:r>
      <w:r w:rsidRPr="005C2FFB">
        <w:rPr>
          <w:rFonts w:asciiTheme="majorHAnsi" w:hAnsiTheme="majorHAnsi"/>
          <w:sz w:val="24"/>
        </w:rPr>
        <w:t xml:space="preserve">for both Active component and Reserve component military members.  </w:t>
      </w:r>
    </w:p>
    <w:p w:rsidRPr="005C2FFB" w:rsidR="00803FDB" w:rsidP="00803FDB" w:rsidRDefault="00803FDB" w14:paraId="2D9A2FCC" w14:textId="77777777">
      <w:pPr>
        <w:spacing w:after="0" w:line="240" w:lineRule="auto"/>
        <w:rPr>
          <w:rFonts w:asciiTheme="majorHAnsi" w:hAnsiTheme="majorHAnsi"/>
          <w:sz w:val="24"/>
        </w:rPr>
      </w:pPr>
    </w:p>
    <w:p w:rsidRPr="005C2FFB" w:rsidR="006E563D" w:rsidP="00803FDB" w:rsidRDefault="00803FDB" w14:paraId="0F288219" w14:textId="7A585AFD">
      <w:pPr>
        <w:spacing w:after="0" w:line="240" w:lineRule="auto"/>
        <w:rPr>
          <w:rFonts w:asciiTheme="majorHAnsi" w:hAnsiTheme="majorHAnsi"/>
          <w:sz w:val="24"/>
        </w:rPr>
      </w:pPr>
      <w:r w:rsidRPr="005C2FFB">
        <w:rPr>
          <w:rFonts w:asciiTheme="majorHAnsi" w:hAnsiTheme="majorHAnsi"/>
          <w:sz w:val="24"/>
        </w:rPr>
        <w:t>The WGR surveys continue a series of surveys that began in 1988.</w:t>
      </w:r>
      <w:r w:rsidRPr="005C2FFB" w:rsidR="00DE6017">
        <w:rPr>
          <w:rFonts w:asciiTheme="majorHAnsi" w:hAnsiTheme="majorHAnsi"/>
          <w:sz w:val="24"/>
        </w:rPr>
        <w:t xml:space="preserve">  </w:t>
      </w:r>
      <w:r w:rsidR="007A21A0">
        <w:rPr>
          <w:rFonts w:asciiTheme="majorHAnsi" w:hAnsiTheme="majorHAnsi"/>
          <w:sz w:val="24"/>
        </w:rPr>
        <w:t xml:space="preserve">The </w:t>
      </w:r>
      <w:r w:rsidRPr="005C2FFB">
        <w:rPr>
          <w:rFonts w:asciiTheme="majorHAnsi" w:hAnsiTheme="majorHAnsi"/>
          <w:sz w:val="24"/>
        </w:rPr>
        <w:t>O</w:t>
      </w:r>
      <w:r w:rsidR="007A21A0">
        <w:rPr>
          <w:rFonts w:asciiTheme="majorHAnsi" w:hAnsiTheme="majorHAnsi"/>
          <w:sz w:val="24"/>
        </w:rPr>
        <w:t xml:space="preserve">ffice of </w:t>
      </w:r>
      <w:r w:rsidRPr="005C2FFB">
        <w:rPr>
          <w:rFonts w:asciiTheme="majorHAnsi" w:hAnsiTheme="majorHAnsi"/>
          <w:sz w:val="24"/>
        </w:rPr>
        <w:t>P</w:t>
      </w:r>
      <w:r w:rsidR="007A21A0">
        <w:rPr>
          <w:rFonts w:asciiTheme="majorHAnsi" w:hAnsiTheme="majorHAnsi"/>
          <w:sz w:val="24"/>
        </w:rPr>
        <w:t xml:space="preserve">eople </w:t>
      </w:r>
      <w:r w:rsidRPr="005C2FFB">
        <w:rPr>
          <w:rFonts w:asciiTheme="majorHAnsi" w:hAnsiTheme="majorHAnsi"/>
          <w:sz w:val="24"/>
        </w:rPr>
        <w:t>A</w:t>
      </w:r>
      <w:r w:rsidR="007A21A0">
        <w:rPr>
          <w:rFonts w:asciiTheme="majorHAnsi" w:hAnsiTheme="majorHAnsi"/>
          <w:sz w:val="24"/>
        </w:rPr>
        <w:t>nalytics (OPA)</w:t>
      </w:r>
      <w:r w:rsidRPr="005C2FFB">
        <w:rPr>
          <w:rFonts w:asciiTheme="majorHAnsi" w:hAnsiTheme="majorHAnsi"/>
          <w:sz w:val="24"/>
        </w:rPr>
        <w:t xml:space="preserve"> conducted Joint Service gender issues surveys of active duty members in 1988, 1995, 2002, 2006, 2010, 2012, 2016 and 2018, and of Reserve component members in 2004, 2008, 2012, 2015, 2017, and 2019.</w:t>
      </w:r>
    </w:p>
    <w:p w:rsidRPr="005C2FFB" w:rsidR="00510F0C" w:rsidP="006E563D" w:rsidRDefault="00510F0C" w14:paraId="2013BC85" w14:textId="77777777">
      <w:pPr>
        <w:spacing w:after="0" w:line="240" w:lineRule="auto"/>
        <w:rPr>
          <w:rFonts w:asciiTheme="majorHAnsi" w:hAnsiTheme="majorHAnsi"/>
          <w:sz w:val="24"/>
        </w:rPr>
      </w:pPr>
    </w:p>
    <w:p w:rsidRPr="005C2FFB" w:rsidR="005C7428" w:rsidP="006E563D" w:rsidRDefault="00510F0C" w14:paraId="30340013" w14:textId="1A17DB8A">
      <w:pPr>
        <w:spacing w:after="0" w:line="240" w:lineRule="auto"/>
        <w:rPr>
          <w:rFonts w:asciiTheme="majorHAnsi" w:hAnsiTheme="majorHAnsi"/>
          <w:sz w:val="24"/>
        </w:rPr>
      </w:pPr>
      <w:r w:rsidRPr="005C2FFB">
        <w:rPr>
          <w:rFonts w:asciiTheme="majorHAnsi" w:hAnsiTheme="majorHAnsi"/>
          <w:sz w:val="24"/>
        </w:rPr>
        <w:t>2.</w:t>
      </w:r>
      <w:r w:rsidRPr="005C2FFB">
        <w:rPr>
          <w:rFonts w:asciiTheme="majorHAnsi" w:hAnsiTheme="majorHAnsi"/>
          <w:sz w:val="24"/>
        </w:rPr>
        <w:tab/>
      </w:r>
      <w:r w:rsidRPr="005C2FFB" w:rsidR="005C7428">
        <w:rPr>
          <w:rFonts w:asciiTheme="majorHAnsi" w:hAnsiTheme="majorHAnsi"/>
          <w:sz w:val="24"/>
          <w:u w:val="single"/>
        </w:rPr>
        <w:t xml:space="preserve">Use of the </w:t>
      </w:r>
      <w:r w:rsidRPr="005C2FFB" w:rsidR="0085688C">
        <w:rPr>
          <w:rFonts w:asciiTheme="majorHAnsi" w:hAnsiTheme="majorHAnsi"/>
          <w:sz w:val="24"/>
          <w:u w:val="single"/>
        </w:rPr>
        <w:t>Information</w:t>
      </w:r>
      <w:r w:rsidR="007F797D">
        <w:rPr>
          <w:rFonts w:asciiTheme="majorHAnsi" w:hAnsiTheme="majorHAnsi"/>
          <w:sz w:val="24"/>
        </w:rPr>
        <w:t xml:space="preserve"> </w:t>
      </w:r>
    </w:p>
    <w:p w:rsidRPr="005C2FFB" w:rsidR="00FA6E11" w:rsidP="00372B16" w:rsidRDefault="00FA6E11" w14:paraId="5D475ED9" w14:textId="77777777">
      <w:pPr>
        <w:pStyle w:val="ListParagraph"/>
        <w:spacing w:after="0" w:line="240" w:lineRule="auto"/>
        <w:ind w:left="0"/>
        <w:rPr>
          <w:rFonts w:asciiTheme="majorHAnsi" w:hAnsiTheme="majorHAnsi"/>
          <w:sz w:val="24"/>
        </w:rPr>
      </w:pPr>
    </w:p>
    <w:p w:rsidRPr="005C2FFB" w:rsidR="00110375" w:rsidP="00372B16" w:rsidRDefault="00110375" w14:paraId="55F3B6DD" w14:textId="22CDF982">
      <w:pPr>
        <w:pStyle w:val="ListParagraph"/>
        <w:spacing w:after="0" w:line="240" w:lineRule="auto"/>
        <w:ind w:left="0"/>
        <w:rPr>
          <w:rFonts w:asciiTheme="majorHAnsi" w:hAnsiTheme="majorHAnsi"/>
          <w:sz w:val="24"/>
        </w:rPr>
      </w:pPr>
      <w:r w:rsidRPr="005C2FFB">
        <w:rPr>
          <w:rFonts w:asciiTheme="majorHAnsi" w:hAnsiTheme="majorHAnsi"/>
          <w:sz w:val="24"/>
        </w:rPr>
        <w:lastRenderedPageBreak/>
        <w:t>The target population for the WGR includes active duty members s</w:t>
      </w:r>
      <w:r w:rsidR="00842BBB">
        <w:rPr>
          <w:rFonts w:asciiTheme="majorHAnsi" w:hAnsiTheme="majorHAnsi"/>
          <w:sz w:val="24"/>
        </w:rPr>
        <w:t xml:space="preserve">erving in the Active component </w:t>
      </w:r>
      <w:r w:rsidRPr="005C2FFB">
        <w:rPr>
          <w:rFonts w:asciiTheme="majorHAnsi" w:hAnsiTheme="majorHAnsi"/>
          <w:sz w:val="24"/>
        </w:rPr>
        <w:t>from the Army, Navy, Marine Corps, Air Force, and Coast Guard</w:t>
      </w:r>
      <w:r w:rsidR="00842BBB">
        <w:rPr>
          <w:rFonts w:asciiTheme="majorHAnsi" w:hAnsiTheme="majorHAnsi"/>
          <w:sz w:val="24"/>
        </w:rPr>
        <w:t xml:space="preserve"> and Reserve component members </w:t>
      </w:r>
      <w:r w:rsidRPr="005C2FFB">
        <w:rPr>
          <w:rFonts w:asciiTheme="majorHAnsi" w:hAnsiTheme="majorHAnsi"/>
          <w:sz w:val="24"/>
        </w:rPr>
        <w:t>in the Selected Reserve (in Reserve Units, Active Guard/Reserve (AGR/FTS/AR Title 10 and Title 32), and Individual Mobilization Augmentee (IMA) programs) from the Army National Guard, U.S. Army Reserve, U.S. Navy Reserve, U.S. Marine Corps Reserve, Air National Guard, U.S. Air Force Reserve, and Coast Guard Reserve.</w:t>
      </w:r>
    </w:p>
    <w:p w:rsidRPr="005C2FFB" w:rsidR="00510F0C" w:rsidP="00372B16" w:rsidRDefault="00510F0C" w14:paraId="01BB0D96" w14:textId="77777777">
      <w:pPr>
        <w:pStyle w:val="ListParagraph"/>
        <w:spacing w:after="0" w:line="240" w:lineRule="auto"/>
        <w:ind w:left="0"/>
        <w:rPr>
          <w:rFonts w:asciiTheme="majorHAnsi" w:hAnsiTheme="majorHAnsi"/>
          <w:i/>
          <w:sz w:val="24"/>
        </w:rPr>
      </w:pPr>
    </w:p>
    <w:p w:rsidRPr="005C2FFB" w:rsidR="00110375" w:rsidP="00372B16" w:rsidRDefault="00110375" w14:paraId="0004EA0B" w14:textId="38F26E27">
      <w:pPr>
        <w:pStyle w:val="ListParagraph"/>
        <w:spacing w:after="0" w:line="240" w:lineRule="auto"/>
        <w:ind w:left="0"/>
        <w:rPr>
          <w:rFonts w:asciiTheme="majorHAnsi" w:hAnsiTheme="majorHAnsi"/>
          <w:sz w:val="24"/>
        </w:rPr>
      </w:pPr>
      <w:r w:rsidRPr="005C2FFB">
        <w:rPr>
          <w:rFonts w:asciiTheme="majorHAnsi" w:hAnsiTheme="majorHAnsi"/>
          <w:sz w:val="24"/>
        </w:rPr>
        <w:t xml:space="preserve">The WGR surveys provide participants an opportunity to be heard on issues that directly affect them and specifically relate to unwanted gender-related behaviors.  The data generated by the survey will help the DoD assess the effectiveness of current policies and programs and help to inform potential improvements.  </w:t>
      </w:r>
      <w:r w:rsidRPr="005C2FFB" w:rsidR="00DE6017">
        <w:rPr>
          <w:rFonts w:asciiTheme="majorHAnsi" w:hAnsiTheme="majorHAnsi"/>
          <w:sz w:val="24"/>
        </w:rPr>
        <w:t xml:space="preserve">More specifically, information from the WGR surveys will be used by </w:t>
      </w:r>
      <w:r w:rsidR="007A21A0">
        <w:rPr>
          <w:rFonts w:asciiTheme="majorHAnsi" w:hAnsiTheme="majorHAnsi"/>
          <w:sz w:val="24"/>
        </w:rPr>
        <w:t xml:space="preserve">the </w:t>
      </w:r>
      <w:r w:rsidRPr="005C2FFB" w:rsidR="00DE6017">
        <w:rPr>
          <w:rFonts w:asciiTheme="majorHAnsi" w:hAnsiTheme="majorHAnsi"/>
          <w:sz w:val="24"/>
        </w:rPr>
        <w:t>Office of the Under Secretary of Defense for Personnel and Readiness (OUSD[P&amp;R]) policy offices and the Military Departments to assess and improve personnel policies, programs, practices, and training related to gender relations in the military</w:t>
      </w:r>
      <w:r w:rsidR="007A21A0">
        <w:rPr>
          <w:rFonts w:asciiTheme="majorHAnsi" w:hAnsiTheme="majorHAnsi"/>
          <w:sz w:val="24"/>
        </w:rPr>
        <w:t>,</w:t>
      </w:r>
      <w:r w:rsidRPr="005C2FFB">
        <w:rPr>
          <w:rFonts w:asciiTheme="majorHAnsi" w:hAnsiTheme="majorHAnsi"/>
          <w:sz w:val="24"/>
        </w:rPr>
        <w:t xml:space="preserve"> informed by current and statistically reliable information.  This survey is essential for providing insight to policymakers on the prevalence of sexual assault, sexual harassment, and gender discrimination in the military—all of which directly impact Service member health, well-being, and military readiness.</w:t>
      </w:r>
    </w:p>
    <w:p w:rsidRPr="005C2FFB" w:rsidR="001D5225" w:rsidP="00372B16" w:rsidRDefault="001D5225" w14:paraId="466BFA10" w14:textId="376510AE">
      <w:pPr>
        <w:pStyle w:val="ListParagraph"/>
        <w:spacing w:after="0" w:line="240" w:lineRule="auto"/>
        <w:ind w:left="0"/>
        <w:rPr>
          <w:rFonts w:asciiTheme="majorHAnsi" w:hAnsiTheme="majorHAnsi"/>
          <w:sz w:val="24"/>
        </w:rPr>
      </w:pPr>
    </w:p>
    <w:p w:rsidRPr="00E51880" w:rsidR="001D5225" w:rsidP="00054FBB" w:rsidRDefault="001D5225" w14:paraId="13CB0A45" w14:textId="1C6B5F67">
      <w:pPr>
        <w:pStyle w:val="ListParagraph"/>
        <w:spacing w:after="0" w:line="240" w:lineRule="auto"/>
        <w:ind w:left="0"/>
        <w:rPr>
          <w:rFonts w:asciiTheme="majorHAnsi" w:hAnsiTheme="majorHAnsi"/>
          <w:sz w:val="24"/>
        </w:rPr>
      </w:pPr>
      <w:r w:rsidRPr="005C2FFB">
        <w:rPr>
          <w:rFonts w:asciiTheme="majorHAnsi" w:hAnsiTheme="majorHAnsi"/>
          <w:sz w:val="24"/>
        </w:rPr>
        <w:t xml:space="preserve">A distinguishing feature of the WGR surveys is the ability to track changes in the prevalence of unwanted gender-related experiences over time.  OPA does this by maintaining consistency in both content (i.e. the survey constructs and scales) and the survey methodology.  As policies, programs, or legal opinions change, it may become necessary to </w:t>
      </w:r>
      <w:r w:rsidRPr="00E51880">
        <w:rPr>
          <w:rFonts w:asciiTheme="majorHAnsi" w:hAnsiTheme="majorHAnsi"/>
          <w:sz w:val="24"/>
        </w:rPr>
        <w:t>modify the survey content in order to ensure that it best supports the information requirements of the Department and military Services</w:t>
      </w:r>
      <w:r w:rsidR="00054FBB">
        <w:rPr>
          <w:rFonts w:asciiTheme="majorHAnsi" w:hAnsiTheme="majorHAnsi"/>
          <w:sz w:val="24"/>
          <w:szCs w:val="24"/>
        </w:rPr>
        <w:t>.</w:t>
      </w:r>
    </w:p>
    <w:p w:rsidR="007A21A0" w:rsidP="00372B16" w:rsidRDefault="007A21A0" w14:paraId="1F4CD736" w14:textId="77777777">
      <w:pPr>
        <w:pStyle w:val="ListParagraph"/>
        <w:spacing w:after="0" w:line="240" w:lineRule="auto"/>
        <w:ind w:left="0"/>
        <w:rPr>
          <w:rFonts w:asciiTheme="majorHAnsi" w:hAnsiTheme="majorHAnsi"/>
          <w:sz w:val="24"/>
        </w:rPr>
      </w:pPr>
    </w:p>
    <w:p w:rsidRPr="00E51880" w:rsidR="00110375" w:rsidP="00372B16" w:rsidRDefault="00854C3D" w14:paraId="4C820A1B" w14:textId="70FC6F75">
      <w:pPr>
        <w:pStyle w:val="ListParagraph"/>
        <w:spacing w:after="0" w:line="240" w:lineRule="auto"/>
        <w:ind w:left="0"/>
        <w:rPr>
          <w:rFonts w:asciiTheme="majorHAnsi" w:hAnsiTheme="majorHAnsi"/>
          <w:sz w:val="24"/>
        </w:rPr>
      </w:pPr>
      <w:r w:rsidRPr="00E51880">
        <w:rPr>
          <w:rFonts w:asciiTheme="majorHAnsi" w:hAnsiTheme="majorHAnsi"/>
          <w:sz w:val="24"/>
        </w:rPr>
        <w:t xml:space="preserve">OPA </w:t>
      </w:r>
      <w:r w:rsidR="00842BBB">
        <w:rPr>
          <w:rFonts w:asciiTheme="majorHAnsi" w:hAnsiTheme="majorHAnsi"/>
          <w:sz w:val="24"/>
        </w:rPr>
        <w:t>will administer the WGR surveys</w:t>
      </w:r>
      <w:r w:rsidRPr="00E51880">
        <w:rPr>
          <w:rFonts w:asciiTheme="majorHAnsi" w:hAnsiTheme="majorHAnsi"/>
          <w:sz w:val="24"/>
        </w:rPr>
        <w:t xml:space="preserve"> via the web in addition to offering a paper survey option to</w:t>
      </w:r>
      <w:r w:rsidRPr="00E51880" w:rsidR="006C1344">
        <w:rPr>
          <w:rFonts w:asciiTheme="majorHAnsi" w:hAnsiTheme="majorHAnsi"/>
          <w:sz w:val="24"/>
        </w:rPr>
        <w:t xml:space="preserve"> select participants. </w:t>
      </w:r>
      <w:r w:rsidRPr="00E51880">
        <w:rPr>
          <w:rFonts w:asciiTheme="majorHAnsi" w:hAnsiTheme="majorHAnsi"/>
          <w:sz w:val="24"/>
        </w:rPr>
        <w:t xml:space="preserve"> </w:t>
      </w:r>
      <w:r w:rsidRPr="00E51880" w:rsidR="006C1344">
        <w:rPr>
          <w:rFonts w:asciiTheme="majorHAnsi" w:hAnsiTheme="majorHAnsi"/>
          <w:sz w:val="24"/>
        </w:rPr>
        <w:t xml:space="preserve">The survey is administered via proprietary software developed by OPA’s operations contractor.  </w:t>
      </w:r>
      <w:r w:rsidRPr="00E51880">
        <w:rPr>
          <w:rFonts w:asciiTheme="majorHAnsi" w:hAnsiTheme="majorHAnsi"/>
          <w:sz w:val="24"/>
        </w:rPr>
        <w:t xml:space="preserve">To reduce respondent burden, web-based surveys use “smart skip” technology to ensure respondents only answer questions that are applicable to them. </w:t>
      </w:r>
    </w:p>
    <w:p w:rsidRPr="00E51880" w:rsidR="00510F0C" w:rsidP="00372B16" w:rsidRDefault="00510F0C" w14:paraId="33CA97E8" w14:textId="77777777">
      <w:pPr>
        <w:spacing w:after="0" w:line="240" w:lineRule="auto"/>
        <w:ind w:left="-720"/>
        <w:rPr>
          <w:rFonts w:asciiTheme="majorHAnsi" w:hAnsiTheme="majorHAnsi"/>
          <w:i/>
          <w:sz w:val="24"/>
        </w:rPr>
      </w:pPr>
    </w:p>
    <w:p w:rsidR="00324069" w:rsidP="00372B16" w:rsidRDefault="003212A2" w14:paraId="6B365B36" w14:textId="77777777">
      <w:pPr>
        <w:pStyle w:val="ListParagraph"/>
        <w:spacing w:after="0" w:line="240" w:lineRule="auto"/>
        <w:ind w:left="0"/>
        <w:rPr>
          <w:rFonts w:asciiTheme="majorHAnsi" w:hAnsiTheme="majorHAnsi"/>
          <w:sz w:val="24"/>
        </w:rPr>
      </w:pPr>
      <w:r w:rsidRPr="00E51880">
        <w:rPr>
          <w:rFonts w:asciiTheme="majorHAnsi" w:hAnsiTheme="majorHAnsi"/>
          <w:sz w:val="24"/>
        </w:rPr>
        <w:t>Service members start the survey by going to OPA’s consolidated survey landing page (dodsurveys.mil) and entering the unique ticket number</w:t>
      </w:r>
      <w:r w:rsidRPr="00E51880" w:rsidR="006C1344">
        <w:rPr>
          <w:rFonts w:asciiTheme="majorHAnsi" w:hAnsiTheme="majorHAnsi"/>
          <w:sz w:val="24"/>
        </w:rPr>
        <w:t xml:space="preserve"> provided to sample members in individual communications </w:t>
      </w:r>
      <w:r w:rsidRPr="00E51880" w:rsidR="000D51A3">
        <w:rPr>
          <w:rFonts w:asciiTheme="majorHAnsi" w:hAnsiTheme="majorHAnsi"/>
          <w:sz w:val="24"/>
        </w:rPr>
        <w:t xml:space="preserve">(e-mails and postal mail) </w:t>
      </w:r>
      <w:r w:rsidRPr="00E51880" w:rsidR="006C1344">
        <w:rPr>
          <w:rFonts w:asciiTheme="majorHAnsi" w:hAnsiTheme="majorHAnsi"/>
          <w:sz w:val="24"/>
        </w:rPr>
        <w:t>about the survey</w:t>
      </w:r>
      <w:r w:rsidRPr="00E51880">
        <w:rPr>
          <w:rFonts w:asciiTheme="majorHAnsi" w:hAnsiTheme="majorHAnsi"/>
          <w:sz w:val="24"/>
        </w:rPr>
        <w:t xml:space="preserve">.  </w:t>
      </w:r>
      <w:r w:rsidRPr="00E51880" w:rsidR="006C1344">
        <w:rPr>
          <w:rFonts w:asciiTheme="majorHAnsi" w:hAnsiTheme="majorHAnsi"/>
          <w:sz w:val="24"/>
        </w:rPr>
        <w:t xml:space="preserve">Service members who do not have their ticket number can </w:t>
      </w:r>
      <w:r w:rsidRPr="00E51880">
        <w:rPr>
          <w:rFonts w:asciiTheme="majorHAnsi" w:hAnsiTheme="majorHAnsi"/>
          <w:sz w:val="24"/>
        </w:rPr>
        <w:t>also use</w:t>
      </w:r>
      <w:r w:rsidRPr="00E51880" w:rsidR="006C1344">
        <w:rPr>
          <w:rFonts w:asciiTheme="majorHAnsi" w:hAnsiTheme="majorHAnsi"/>
          <w:sz w:val="24"/>
        </w:rPr>
        <w:t xml:space="preserve"> their DoD Identification (DoDID) and day of birth (i.e., 1 to 31) to </w:t>
      </w:r>
      <w:r w:rsidRPr="00E51880">
        <w:rPr>
          <w:rFonts w:asciiTheme="majorHAnsi" w:hAnsiTheme="majorHAnsi"/>
          <w:sz w:val="24"/>
        </w:rPr>
        <w:t xml:space="preserve">lookup their ticket number on a lookup site </w:t>
      </w:r>
      <w:r w:rsidRPr="00E51880" w:rsidR="006C1344">
        <w:rPr>
          <w:rFonts w:asciiTheme="majorHAnsi" w:hAnsiTheme="majorHAnsi"/>
          <w:sz w:val="24"/>
        </w:rPr>
        <w:t>maintained by OPA’s operations contractor</w:t>
      </w:r>
      <w:r w:rsidRPr="00E51880" w:rsidR="000D51A3">
        <w:rPr>
          <w:rFonts w:asciiTheme="majorHAnsi" w:hAnsiTheme="majorHAnsi"/>
          <w:sz w:val="24"/>
        </w:rPr>
        <w:t xml:space="preserve">. </w:t>
      </w:r>
      <w:r w:rsidRPr="00E51880" w:rsidR="006C1344">
        <w:rPr>
          <w:rFonts w:asciiTheme="majorHAnsi" w:hAnsiTheme="majorHAnsi"/>
          <w:sz w:val="24"/>
        </w:rPr>
        <w:t xml:space="preserve"> </w:t>
      </w:r>
      <w:r w:rsidRPr="00E51880" w:rsidR="000D51A3">
        <w:rPr>
          <w:rFonts w:asciiTheme="majorHAnsi" w:hAnsiTheme="majorHAnsi"/>
          <w:sz w:val="24"/>
        </w:rPr>
        <w:t>OPA has</w:t>
      </w:r>
      <w:r w:rsidRPr="00E51880" w:rsidR="006C1344">
        <w:rPr>
          <w:rFonts w:asciiTheme="majorHAnsi" w:hAnsiTheme="majorHAnsi"/>
          <w:sz w:val="24"/>
        </w:rPr>
        <w:t xml:space="preserve"> improved accessibility of the survey site by optimizing it for mobile devices (e.g., smartphones and tablets).</w:t>
      </w:r>
      <w:r w:rsidRPr="00E51880" w:rsidR="000D51A3">
        <w:rPr>
          <w:rFonts w:asciiTheme="majorHAnsi" w:hAnsiTheme="majorHAnsi"/>
          <w:sz w:val="24"/>
        </w:rPr>
        <w:t xml:space="preserve">  Some sample members will also receive a paper copy of the survey via postal mail with a pre-paid envelope enclosed for returning their survey responses.  </w:t>
      </w:r>
      <w:r w:rsidR="00324069">
        <w:rPr>
          <w:rFonts w:asciiTheme="majorHAnsi" w:hAnsiTheme="majorHAnsi"/>
          <w:sz w:val="24"/>
        </w:rPr>
        <w:t xml:space="preserve"> </w:t>
      </w:r>
    </w:p>
    <w:p w:rsidR="00324069" w:rsidP="00372B16" w:rsidRDefault="00324069" w14:paraId="43E03D48" w14:textId="77777777">
      <w:pPr>
        <w:pStyle w:val="ListParagraph"/>
        <w:spacing w:after="0" w:line="240" w:lineRule="auto"/>
        <w:ind w:left="0"/>
        <w:rPr>
          <w:rFonts w:asciiTheme="majorHAnsi" w:hAnsiTheme="majorHAnsi"/>
          <w:sz w:val="24"/>
        </w:rPr>
      </w:pPr>
    </w:p>
    <w:p w:rsidRPr="00E51880" w:rsidR="00110375" w:rsidP="00372B16" w:rsidRDefault="00324069" w14:paraId="7E3280E9" w14:textId="4778AADB">
      <w:pPr>
        <w:pStyle w:val="ListParagraph"/>
        <w:spacing w:after="0" w:line="240" w:lineRule="auto"/>
        <w:ind w:left="0"/>
        <w:rPr>
          <w:rFonts w:asciiTheme="majorHAnsi" w:hAnsiTheme="majorHAnsi"/>
          <w:sz w:val="24"/>
        </w:rPr>
      </w:pPr>
      <w:r>
        <w:rPr>
          <w:rFonts w:asciiTheme="majorHAnsi" w:hAnsiTheme="majorHAnsi"/>
          <w:sz w:val="24"/>
        </w:rPr>
        <w:t xml:space="preserve">Service members who are not randomly selected to participate in the full survey will have the option </w:t>
      </w:r>
      <w:r w:rsidR="007A21A0">
        <w:rPr>
          <w:rFonts w:asciiTheme="majorHAnsi" w:hAnsiTheme="majorHAnsi"/>
          <w:sz w:val="24"/>
        </w:rPr>
        <w:t xml:space="preserve">to </w:t>
      </w:r>
      <w:r>
        <w:rPr>
          <w:rFonts w:asciiTheme="majorHAnsi" w:hAnsiTheme="majorHAnsi"/>
          <w:sz w:val="24"/>
        </w:rPr>
        <w:t xml:space="preserve">take an abbreviated, 10-question, survey.  The abbreviated survey is also accessed via OPA’s survey landing page (dodsurveys.mil).  After entering their DoDID number to confirm that they are not sampled into any of OPA’s full surveys, Service members will be presented with the abbreviated </w:t>
      </w:r>
      <w:r w:rsidR="007A21A0">
        <w:rPr>
          <w:rFonts w:asciiTheme="majorHAnsi" w:hAnsiTheme="majorHAnsi"/>
          <w:sz w:val="24"/>
        </w:rPr>
        <w:t>WGR</w:t>
      </w:r>
      <w:r>
        <w:rPr>
          <w:rFonts w:asciiTheme="majorHAnsi" w:hAnsiTheme="majorHAnsi"/>
          <w:sz w:val="24"/>
        </w:rPr>
        <w:t xml:space="preserve"> Survey. The informed consent web screen advises respondents of precisely which survey they are taking.  Only non-sample members will have the option to take the abbreviated survey.  </w:t>
      </w:r>
    </w:p>
    <w:p w:rsidRPr="00E51880" w:rsidR="00356136" w:rsidP="00372B16" w:rsidRDefault="00356136" w14:paraId="72885E7B" w14:textId="77777777">
      <w:pPr>
        <w:spacing w:after="0" w:line="240" w:lineRule="auto"/>
        <w:ind w:left="-720"/>
        <w:rPr>
          <w:rFonts w:asciiTheme="majorHAnsi" w:hAnsiTheme="majorHAnsi"/>
          <w:sz w:val="24"/>
        </w:rPr>
      </w:pPr>
    </w:p>
    <w:p w:rsidRPr="00E51880" w:rsidR="00356136" w:rsidP="00372B16" w:rsidRDefault="00356136" w14:paraId="749D8DFD" w14:textId="77777777">
      <w:pPr>
        <w:pStyle w:val="ListParagraph"/>
        <w:spacing w:after="0" w:line="240" w:lineRule="auto"/>
        <w:ind w:left="0"/>
        <w:rPr>
          <w:rFonts w:asciiTheme="majorHAnsi" w:hAnsiTheme="majorHAnsi"/>
          <w:sz w:val="24"/>
        </w:rPr>
      </w:pPr>
      <w:r w:rsidRPr="00E51880">
        <w:rPr>
          <w:rFonts w:asciiTheme="majorHAnsi" w:hAnsiTheme="majorHAnsi"/>
          <w:sz w:val="24"/>
        </w:rPr>
        <w:t xml:space="preserve">Persons in the sample who are not active refusers will be contacted by postal and electronic mail (i.e. e-mail) as described </w:t>
      </w:r>
      <w:r w:rsidRPr="00E51880">
        <w:rPr>
          <w:rFonts w:asciiTheme="majorHAnsi" w:hAnsiTheme="majorHAnsi"/>
          <w:sz w:val="24"/>
        </w:rPr>
        <w:lastRenderedPageBreak/>
        <w:t xml:space="preserve">below.  Copies of draft postal letters and e-mail messages are provided as an attachment. </w:t>
      </w:r>
    </w:p>
    <w:p w:rsidRPr="00E51880" w:rsidR="00356136" w:rsidP="00372B16" w:rsidRDefault="00356136" w14:paraId="5B5D261C" w14:textId="77777777">
      <w:pPr>
        <w:pStyle w:val="ListParagraph"/>
        <w:spacing w:after="0" w:line="240" w:lineRule="auto"/>
        <w:ind w:left="0"/>
        <w:rPr>
          <w:rFonts w:asciiTheme="majorHAnsi" w:hAnsiTheme="majorHAnsi"/>
          <w:sz w:val="24"/>
        </w:rPr>
      </w:pPr>
    </w:p>
    <w:p w:rsidRPr="00E51880" w:rsidR="00356136" w:rsidP="00372B16" w:rsidRDefault="00356136" w14:paraId="1F8BDC1C" w14:textId="70EFF53D">
      <w:pPr>
        <w:pStyle w:val="ListParagraph"/>
        <w:spacing w:after="0" w:line="240" w:lineRule="auto"/>
        <w:ind w:left="0"/>
        <w:rPr>
          <w:rFonts w:asciiTheme="majorHAnsi" w:hAnsiTheme="majorHAnsi"/>
          <w:sz w:val="24"/>
        </w:rPr>
      </w:pPr>
      <w:r w:rsidRPr="00E51880">
        <w:rPr>
          <w:rFonts w:asciiTheme="majorHAnsi" w:hAnsiTheme="majorHAnsi"/>
          <w:sz w:val="24"/>
        </w:rPr>
        <w:t>Sample members for whom OPA has postal addresses may receive: one (1) postal announcement letter, one (1) paper surve</w:t>
      </w:r>
      <w:r w:rsidRPr="00E51880" w:rsidR="00E51880">
        <w:rPr>
          <w:rFonts w:asciiTheme="majorHAnsi" w:hAnsiTheme="majorHAnsi"/>
          <w:sz w:val="24"/>
        </w:rPr>
        <w:t>y instrument with</w:t>
      </w:r>
      <w:r w:rsidR="007A21A0">
        <w:rPr>
          <w:rFonts w:asciiTheme="majorHAnsi" w:hAnsiTheme="majorHAnsi"/>
          <w:sz w:val="24"/>
        </w:rPr>
        <w:t xml:space="preserve"> a</w:t>
      </w:r>
      <w:r w:rsidRPr="00E51880" w:rsidR="00E51880">
        <w:rPr>
          <w:rFonts w:asciiTheme="majorHAnsi" w:hAnsiTheme="majorHAnsi"/>
          <w:sz w:val="24"/>
        </w:rPr>
        <w:t xml:space="preserve"> cover letter,</w:t>
      </w:r>
      <w:r w:rsidRPr="00E51880">
        <w:rPr>
          <w:rFonts w:asciiTheme="majorHAnsi" w:hAnsiTheme="majorHAnsi"/>
          <w:sz w:val="24"/>
        </w:rPr>
        <w:t xml:space="preserve"> and one (1) reminder postal letter or postcard.  The postal announcement will be sent on or shortly after the survey opens.  The paper survey instrument (with cover letter) will only be sent to sample members who have not responded.  Sample members for whom OPA has email addresses</w:t>
      </w:r>
      <w:r w:rsidR="00810976">
        <w:rPr>
          <w:rFonts w:asciiTheme="majorHAnsi" w:hAnsiTheme="majorHAnsi"/>
          <w:sz w:val="24"/>
        </w:rPr>
        <w:t xml:space="preserve"> for</w:t>
      </w:r>
      <w:r w:rsidRPr="00E51880">
        <w:rPr>
          <w:rFonts w:asciiTheme="majorHAnsi" w:hAnsiTheme="majorHAnsi"/>
          <w:sz w:val="24"/>
        </w:rPr>
        <w:t xml:space="preserve"> may receive: one (1) annou</w:t>
      </w:r>
      <w:r w:rsidR="00AB0BEB">
        <w:rPr>
          <w:rFonts w:asciiTheme="majorHAnsi" w:hAnsiTheme="majorHAnsi"/>
          <w:sz w:val="24"/>
        </w:rPr>
        <w:t>ncement e-mail and up to seven (</w:t>
      </w:r>
      <w:r w:rsidR="00FE4783">
        <w:rPr>
          <w:rFonts w:asciiTheme="majorHAnsi" w:hAnsiTheme="majorHAnsi"/>
          <w:sz w:val="24"/>
        </w:rPr>
        <w:t>7</w:t>
      </w:r>
      <w:r w:rsidRPr="00E51880">
        <w:rPr>
          <w:rFonts w:asciiTheme="majorHAnsi" w:hAnsiTheme="majorHAnsi"/>
          <w:sz w:val="24"/>
        </w:rPr>
        <w:t xml:space="preserve">) e-mail reminders.  The announcement e-mail will be sent on the day the survey opens or shortly thereafter.  The reminder e-mails will be sent only to those selected sample members who have not yet responded to the survey or who are not active refusers.  The </w:t>
      </w:r>
      <w:r w:rsidR="00FE4783">
        <w:rPr>
          <w:rFonts w:asciiTheme="majorHAnsi" w:hAnsiTheme="majorHAnsi"/>
          <w:sz w:val="24"/>
        </w:rPr>
        <w:t>seven</w:t>
      </w:r>
      <w:r w:rsidRPr="00E51880">
        <w:rPr>
          <w:rFonts w:asciiTheme="majorHAnsi" w:hAnsiTheme="majorHAnsi"/>
          <w:sz w:val="24"/>
        </w:rPr>
        <w:t xml:space="preserve"> e-mail reminders will be sent approximately every seven to ten days.  Survey email notifications will be sent via the software STRONGMAIL.  Only sample members will receive postal or email communications from OPA. </w:t>
      </w:r>
    </w:p>
    <w:p w:rsidRPr="00E51880" w:rsidR="00356136" w:rsidP="00372B16" w:rsidRDefault="00356136" w14:paraId="5387F324" w14:textId="77777777">
      <w:pPr>
        <w:pStyle w:val="ListParagraph"/>
        <w:spacing w:after="0" w:line="240" w:lineRule="auto"/>
        <w:ind w:left="0"/>
        <w:rPr>
          <w:rFonts w:asciiTheme="majorHAnsi" w:hAnsiTheme="majorHAnsi"/>
          <w:sz w:val="24"/>
        </w:rPr>
      </w:pPr>
    </w:p>
    <w:p w:rsidRPr="00E51880" w:rsidR="00110375" w:rsidP="00372B16" w:rsidRDefault="000D51A3" w14:paraId="2187852C" w14:textId="3D3D3622">
      <w:pPr>
        <w:pStyle w:val="ListParagraph"/>
        <w:spacing w:after="0" w:line="240" w:lineRule="auto"/>
        <w:ind w:left="0"/>
        <w:rPr>
          <w:rFonts w:asciiTheme="majorHAnsi" w:hAnsiTheme="majorHAnsi"/>
          <w:sz w:val="24"/>
        </w:rPr>
      </w:pPr>
      <w:r w:rsidRPr="00E51880">
        <w:rPr>
          <w:rFonts w:asciiTheme="majorHAnsi" w:hAnsiTheme="majorHAnsi"/>
          <w:sz w:val="24"/>
        </w:rPr>
        <w:t xml:space="preserve">Letters and e-mails will have instructions on how to stop receiving further reminders. </w:t>
      </w:r>
      <w:r w:rsidRPr="00E51880" w:rsidR="00356136">
        <w:rPr>
          <w:rFonts w:asciiTheme="majorHAnsi" w:hAnsiTheme="majorHAnsi"/>
          <w:sz w:val="24"/>
        </w:rPr>
        <w:t xml:space="preserve"> </w:t>
      </w:r>
      <w:r w:rsidRPr="00E51880">
        <w:rPr>
          <w:rFonts w:asciiTheme="majorHAnsi" w:hAnsiTheme="majorHAnsi"/>
          <w:sz w:val="24"/>
        </w:rPr>
        <w:t xml:space="preserve">Anyone who indicates by phone, fax, postal mail, or e-mail </w:t>
      </w:r>
      <w:r w:rsidR="00810976">
        <w:rPr>
          <w:rFonts w:asciiTheme="majorHAnsi" w:hAnsiTheme="majorHAnsi"/>
          <w:sz w:val="24"/>
        </w:rPr>
        <w:t xml:space="preserve">that </w:t>
      </w:r>
      <w:r w:rsidRPr="00E51880">
        <w:rPr>
          <w:rFonts w:asciiTheme="majorHAnsi" w:hAnsiTheme="majorHAnsi"/>
          <w:sz w:val="24"/>
        </w:rPr>
        <w:t>they do not want to participate in the survey</w:t>
      </w:r>
      <w:r w:rsidR="00810976">
        <w:rPr>
          <w:rFonts w:asciiTheme="majorHAnsi" w:hAnsiTheme="majorHAnsi"/>
          <w:sz w:val="24"/>
        </w:rPr>
        <w:t>,</w:t>
      </w:r>
      <w:r w:rsidRPr="00E51880">
        <w:rPr>
          <w:rFonts w:asciiTheme="majorHAnsi" w:hAnsiTheme="majorHAnsi"/>
          <w:sz w:val="24"/>
        </w:rPr>
        <w:t xml:space="preserve"> will be coded as an active refuser. </w:t>
      </w:r>
      <w:r w:rsidRPr="00E51880" w:rsidR="00356136">
        <w:rPr>
          <w:rFonts w:asciiTheme="majorHAnsi" w:hAnsiTheme="majorHAnsi"/>
          <w:sz w:val="24"/>
        </w:rPr>
        <w:t xml:space="preserve"> </w:t>
      </w:r>
      <w:r w:rsidRPr="00E51880">
        <w:rPr>
          <w:rFonts w:asciiTheme="majorHAnsi" w:hAnsiTheme="majorHAnsi"/>
          <w:sz w:val="24"/>
        </w:rPr>
        <w:t xml:space="preserve">These active refusers can be identified on OPA’s confidential files and the Survey Control System (SCS) files of OPA’s operations contractor. </w:t>
      </w:r>
      <w:r w:rsidRPr="00E51880" w:rsidR="00356136">
        <w:rPr>
          <w:rFonts w:asciiTheme="majorHAnsi" w:hAnsiTheme="majorHAnsi"/>
          <w:sz w:val="24"/>
        </w:rPr>
        <w:t xml:space="preserve"> </w:t>
      </w:r>
      <w:r w:rsidRPr="00E51880">
        <w:rPr>
          <w:rFonts w:asciiTheme="majorHAnsi" w:hAnsiTheme="majorHAnsi"/>
          <w:sz w:val="24"/>
        </w:rPr>
        <w:t xml:space="preserve">These files contain information from our records that were used in designing the sample. </w:t>
      </w:r>
      <w:r w:rsidRPr="00E51880" w:rsidR="00356136">
        <w:rPr>
          <w:rFonts w:asciiTheme="majorHAnsi" w:hAnsiTheme="majorHAnsi"/>
          <w:sz w:val="24"/>
        </w:rPr>
        <w:t xml:space="preserve"> </w:t>
      </w:r>
      <w:r w:rsidRPr="00E51880">
        <w:rPr>
          <w:rFonts w:asciiTheme="majorHAnsi" w:hAnsiTheme="majorHAnsi"/>
          <w:sz w:val="24"/>
        </w:rPr>
        <w:t xml:space="preserve">In addition, the SCS files contain the name and address information that was required to administer the survey. </w:t>
      </w:r>
      <w:r w:rsidRPr="00E51880" w:rsidR="00356136">
        <w:rPr>
          <w:rFonts w:asciiTheme="majorHAnsi" w:hAnsiTheme="majorHAnsi"/>
          <w:sz w:val="24"/>
        </w:rPr>
        <w:t xml:space="preserve"> </w:t>
      </w:r>
      <w:r w:rsidRPr="00E51880">
        <w:rPr>
          <w:rFonts w:asciiTheme="majorHAnsi" w:hAnsiTheme="majorHAnsi"/>
          <w:sz w:val="24"/>
        </w:rPr>
        <w:t xml:space="preserve">Prior to the generation of notifications and reminder lists, active refusers will be excluded from the notification/reminder lists. </w:t>
      </w:r>
      <w:r w:rsidRPr="00E51880" w:rsidR="00356136">
        <w:rPr>
          <w:rFonts w:asciiTheme="majorHAnsi" w:hAnsiTheme="majorHAnsi"/>
          <w:sz w:val="24"/>
        </w:rPr>
        <w:t xml:space="preserve"> </w:t>
      </w:r>
      <w:r w:rsidRPr="00E51880">
        <w:rPr>
          <w:rFonts w:asciiTheme="majorHAnsi" w:hAnsiTheme="majorHAnsi"/>
          <w:sz w:val="24"/>
        </w:rPr>
        <w:t xml:space="preserve">Also, prior to the generation </w:t>
      </w:r>
      <w:r w:rsidRPr="00E51880">
        <w:rPr>
          <w:rFonts w:asciiTheme="majorHAnsi" w:hAnsiTheme="majorHAnsi"/>
          <w:sz w:val="24"/>
        </w:rPr>
        <w:lastRenderedPageBreak/>
        <w:t>of all notification and reminder lists, the members of the sample will be checked against the latest OPA-provided records of the recently deceased.</w:t>
      </w:r>
    </w:p>
    <w:p w:rsidRPr="00E51880" w:rsidR="00EC4111" w:rsidP="00372B16" w:rsidRDefault="00EC4111" w14:paraId="670C9B56" w14:textId="77777777">
      <w:pPr>
        <w:spacing w:after="0" w:line="240" w:lineRule="auto"/>
        <w:ind w:left="-720"/>
        <w:rPr>
          <w:rFonts w:asciiTheme="majorHAnsi" w:hAnsiTheme="majorHAnsi"/>
          <w:i/>
          <w:sz w:val="24"/>
        </w:rPr>
      </w:pPr>
    </w:p>
    <w:p w:rsidRPr="00E51880" w:rsidR="00380B5B" w:rsidP="00372B16" w:rsidRDefault="00380B5B" w14:paraId="69B00E7A" w14:textId="77777777">
      <w:pPr>
        <w:pStyle w:val="ListParagraph"/>
        <w:spacing w:after="0" w:line="240" w:lineRule="auto"/>
        <w:ind w:left="0"/>
        <w:rPr>
          <w:rFonts w:asciiTheme="majorHAnsi" w:hAnsiTheme="majorHAnsi"/>
          <w:i/>
          <w:sz w:val="24"/>
        </w:rPr>
      </w:pPr>
      <w:r w:rsidRPr="00E51880">
        <w:rPr>
          <w:rFonts w:asciiTheme="majorHAnsi" w:hAnsiTheme="majorHAnsi"/>
          <w:sz w:val="24"/>
        </w:rPr>
        <w:t xml:space="preserve">Surveys will be </w:t>
      </w:r>
      <w:r w:rsidRPr="00E51880" w:rsidR="00EC4111">
        <w:rPr>
          <w:rFonts w:asciiTheme="majorHAnsi" w:hAnsiTheme="majorHAnsi"/>
          <w:sz w:val="24"/>
        </w:rPr>
        <w:t xml:space="preserve">primarily </w:t>
      </w:r>
      <w:r w:rsidRPr="00E51880">
        <w:rPr>
          <w:rFonts w:asciiTheme="majorHAnsi" w:hAnsiTheme="majorHAnsi"/>
          <w:sz w:val="24"/>
        </w:rPr>
        <w:t xml:space="preserve">administered via proprietary software developed by OPA’s operations contractor.  OPA and their operations contractor will have access to the completed collection instruments and the resulting electronic database(s).  Each of these organizations’ network sites will be secure and password protected.  Security will be strictly enabled by using physical and software access restrictions.  Each file will be tightly controlled by OPA and by OPA’s operations contractor behind firewalls with password-protected access on a need-to-know basis.  Password protected files will be sent via secure file transfer protocols (FTPs) or DoD </w:t>
      </w:r>
      <w:r w:rsidRPr="00E51880" w:rsidR="00EC4111">
        <w:rPr>
          <w:rFonts w:asciiTheme="majorHAnsi" w:hAnsiTheme="majorHAnsi"/>
          <w:sz w:val="24"/>
        </w:rPr>
        <w:t xml:space="preserve">Secure Access File Exchange (DoD </w:t>
      </w:r>
      <w:r w:rsidRPr="00E51880">
        <w:rPr>
          <w:rFonts w:asciiTheme="majorHAnsi" w:hAnsiTheme="majorHAnsi"/>
          <w:sz w:val="24"/>
        </w:rPr>
        <w:t>Safe</w:t>
      </w:r>
      <w:r w:rsidRPr="00E51880" w:rsidR="00EC4111">
        <w:rPr>
          <w:rFonts w:asciiTheme="majorHAnsi" w:hAnsiTheme="majorHAnsi"/>
          <w:sz w:val="24"/>
        </w:rPr>
        <w:t>)</w:t>
      </w:r>
      <w:r w:rsidRPr="00E51880">
        <w:rPr>
          <w:rFonts w:asciiTheme="majorHAnsi" w:hAnsiTheme="majorHAnsi"/>
          <w:sz w:val="24"/>
        </w:rPr>
        <w:t xml:space="preserve"> to OPA’s operations contractor; FTPs will automatically encrypt files.  Passwords will be conveyed by telephone or sent via a dig</w:t>
      </w:r>
      <w:r w:rsidRPr="00E51880" w:rsidR="00EC4111">
        <w:rPr>
          <w:rFonts w:asciiTheme="majorHAnsi" w:hAnsiTheme="majorHAnsi"/>
          <w:sz w:val="24"/>
        </w:rPr>
        <w:t>itally signed encrypted e-mail.</w:t>
      </w:r>
      <w:r w:rsidRPr="00E51880">
        <w:rPr>
          <w:rFonts w:asciiTheme="majorHAnsi" w:hAnsiTheme="majorHAnsi"/>
          <w:sz w:val="24"/>
        </w:rPr>
        <w:t xml:space="preserve">  </w:t>
      </w:r>
      <w:r w:rsidRPr="00E51880" w:rsidR="00EC4111">
        <w:rPr>
          <w:rFonts w:asciiTheme="majorHAnsi" w:hAnsiTheme="majorHAnsi"/>
          <w:sz w:val="24"/>
        </w:rPr>
        <w:t>OPA’s operations contractor will secure and then shred all hard copies at the end of the project contract.</w:t>
      </w:r>
    </w:p>
    <w:p w:rsidRPr="00E51880" w:rsidR="00EC4111" w:rsidP="00372B16" w:rsidRDefault="00EC4111" w14:paraId="22284F2A" w14:textId="77777777">
      <w:pPr>
        <w:pStyle w:val="ListParagraph"/>
        <w:spacing w:after="0" w:line="240" w:lineRule="auto"/>
        <w:ind w:left="0"/>
        <w:rPr>
          <w:rFonts w:asciiTheme="majorHAnsi" w:hAnsiTheme="majorHAnsi"/>
          <w:sz w:val="24"/>
        </w:rPr>
      </w:pPr>
    </w:p>
    <w:p w:rsidRPr="00E51880" w:rsidR="00380B5B" w:rsidP="00372B16" w:rsidRDefault="00380B5B" w14:paraId="7F71C6DC" w14:textId="77777777">
      <w:pPr>
        <w:pStyle w:val="ListParagraph"/>
        <w:spacing w:after="0" w:line="240" w:lineRule="auto"/>
        <w:ind w:left="0"/>
        <w:rPr>
          <w:rFonts w:asciiTheme="majorHAnsi" w:hAnsiTheme="majorHAnsi"/>
          <w:sz w:val="24"/>
        </w:rPr>
      </w:pPr>
      <w:r w:rsidRPr="00E51880">
        <w:rPr>
          <w:rFonts w:asciiTheme="majorHAnsi" w:hAnsiTheme="majorHAnsi"/>
          <w:sz w:val="24"/>
        </w:rPr>
        <w:t xml:space="preserve">Datasets containing survey responses will never contain names, addresses, or e-mail addresses; rather, they will include only randomly generated identification (ID) numbers.  The data for these surveys will be stored on DoD servers only.  In accordance with the existing data sharing agreement between OPA and the Army Analytics Group (AAG), WGR data may also be stored and analyzed in the Person-Event Data Environment (PDE); a data repository for data storage and analysis maintained and operated by the AAG.  Transfer of data to the PDE will take place via DoD-Safe using encryption and password protection.  WGR data may also be stored and analyzed in Advana (a DoD data repository similar to the AAG’s PDE), pending OPA’s transition from its remote servers to Advana (planned for calendar year 2021). </w:t>
      </w:r>
    </w:p>
    <w:p w:rsidRPr="00E51880" w:rsidR="00380B5B" w:rsidP="00372B16" w:rsidRDefault="00380B5B" w14:paraId="4AE6E680" w14:textId="77777777">
      <w:pPr>
        <w:pStyle w:val="ListParagraph"/>
        <w:spacing w:after="0" w:line="240" w:lineRule="auto"/>
        <w:ind w:left="0"/>
        <w:rPr>
          <w:rFonts w:asciiTheme="majorHAnsi" w:hAnsiTheme="majorHAnsi"/>
          <w:sz w:val="24"/>
        </w:rPr>
      </w:pPr>
    </w:p>
    <w:p w:rsidRPr="00E51880" w:rsidR="00380B5B" w:rsidP="00372B16" w:rsidRDefault="00380B5B" w14:paraId="17258AA7" w14:textId="77777777">
      <w:pPr>
        <w:pStyle w:val="ListParagraph"/>
        <w:spacing w:after="0" w:line="240" w:lineRule="auto"/>
        <w:ind w:left="0"/>
        <w:rPr>
          <w:rFonts w:asciiTheme="majorHAnsi" w:hAnsiTheme="majorHAnsi"/>
          <w:sz w:val="24"/>
        </w:rPr>
      </w:pPr>
      <w:r w:rsidRPr="00E51880">
        <w:rPr>
          <w:rFonts w:asciiTheme="majorHAnsi" w:hAnsiTheme="majorHAnsi"/>
          <w:sz w:val="24"/>
        </w:rPr>
        <w:t xml:space="preserve">Before data can be shared, OPA will perform a confidentiality and data disclosure analysis to reduce the risk of there being a combination of demographic variables that can identify an individual.  To prevent identification, some variables will be removed or combined with other variables for the basic dataset. </w:t>
      </w:r>
      <w:r w:rsidRPr="00E51880" w:rsidR="00EC4111">
        <w:rPr>
          <w:rFonts w:asciiTheme="majorHAnsi" w:hAnsiTheme="majorHAnsi"/>
          <w:sz w:val="24"/>
        </w:rPr>
        <w:t xml:space="preserve"> The sample members most vulnerable to identification would be members who exemplify a particularly rare combination of demographic characteristics, such as high pay grade, women, and/or ethnic minority status, and circumstances that would permit someone with knowledge or access to other military records to possibly merge those data sources to produce identification.  To mitigate this risk, OPA will ensure that there are at least 10 respondents in any cell for any report that is created and distributed.  If there are less than 10 respondents in any cell, variables will be grouped until that threshold is met.</w:t>
      </w:r>
    </w:p>
    <w:p w:rsidRPr="00E51880" w:rsidR="00372B16" w:rsidP="00372B16" w:rsidRDefault="00372B16" w14:paraId="1644ED74" w14:textId="77777777">
      <w:pPr>
        <w:spacing w:after="0" w:line="240" w:lineRule="auto"/>
        <w:ind w:left="-720"/>
        <w:rPr>
          <w:rFonts w:asciiTheme="majorHAnsi" w:hAnsiTheme="majorHAnsi"/>
          <w:i/>
          <w:sz w:val="24"/>
        </w:rPr>
      </w:pPr>
    </w:p>
    <w:p w:rsidRPr="00E51880" w:rsidR="005C7428" w:rsidP="00372B16" w:rsidRDefault="00372B16" w14:paraId="6D564B3D" w14:textId="7B3F617B">
      <w:pPr>
        <w:pStyle w:val="ListParagraph"/>
        <w:spacing w:after="0" w:line="240" w:lineRule="auto"/>
        <w:ind w:left="0"/>
        <w:rPr>
          <w:rFonts w:asciiTheme="majorHAnsi" w:hAnsiTheme="majorHAnsi"/>
          <w:sz w:val="24"/>
        </w:rPr>
      </w:pPr>
      <w:r w:rsidRPr="00E51880">
        <w:rPr>
          <w:rFonts w:asciiTheme="majorHAnsi" w:hAnsiTheme="majorHAnsi"/>
          <w:sz w:val="24"/>
        </w:rPr>
        <w:t xml:space="preserve">Ultimately, results from the WGR surveys have been and will continue to be used by policy leaders to make decisions informed by current and statistically reliable information. </w:t>
      </w:r>
      <w:r w:rsidRPr="00E51880" w:rsidR="00BB7C90">
        <w:rPr>
          <w:rFonts w:asciiTheme="majorHAnsi" w:hAnsiTheme="majorHAnsi"/>
          <w:sz w:val="24"/>
        </w:rPr>
        <w:t xml:space="preserve"> More specifically, the data </w:t>
      </w:r>
      <w:r w:rsidR="00810976">
        <w:rPr>
          <w:rFonts w:asciiTheme="majorHAnsi" w:hAnsiTheme="majorHAnsi"/>
          <w:sz w:val="24"/>
        </w:rPr>
        <w:t>is</w:t>
      </w:r>
      <w:r w:rsidRPr="00E51880" w:rsidR="00BB7C90">
        <w:rPr>
          <w:rFonts w:asciiTheme="majorHAnsi" w:hAnsiTheme="majorHAnsi"/>
          <w:sz w:val="24"/>
        </w:rPr>
        <w:t xml:space="preserve"> used to not only meet congressional reporting requirements, but also in support of </w:t>
      </w:r>
      <w:r w:rsidRPr="00E51880" w:rsidR="00770537">
        <w:rPr>
          <w:rFonts w:asciiTheme="majorHAnsi" w:hAnsiTheme="majorHAnsi"/>
          <w:sz w:val="24"/>
        </w:rPr>
        <w:t>multiple lines of effort</w:t>
      </w:r>
      <w:r w:rsidRPr="00E51880" w:rsidR="00BB7C90">
        <w:rPr>
          <w:rFonts w:asciiTheme="majorHAnsi" w:hAnsiTheme="majorHAnsi"/>
          <w:sz w:val="24"/>
        </w:rPr>
        <w:t xml:space="preserve">: </w:t>
      </w:r>
    </w:p>
    <w:p w:rsidRPr="00E51880" w:rsidR="00CA1780" w:rsidP="00CA1780" w:rsidRDefault="00CA1780" w14:paraId="123A44E6" w14:textId="4ADD4F5D">
      <w:pPr>
        <w:spacing w:after="0"/>
        <w:rPr>
          <w:rFonts w:asciiTheme="majorHAnsi" w:hAnsiTheme="majorHAnsi"/>
          <w:sz w:val="24"/>
        </w:rPr>
      </w:pPr>
    </w:p>
    <w:p w:rsidRPr="00E51880" w:rsidR="00A04285" w:rsidP="00BB7C90" w:rsidRDefault="00BB7C90" w14:paraId="0DB30327" w14:textId="4FF201C2">
      <w:pPr>
        <w:pStyle w:val="ListParagraph"/>
        <w:numPr>
          <w:ilvl w:val="0"/>
          <w:numId w:val="29"/>
        </w:numPr>
        <w:spacing w:after="0"/>
        <w:rPr>
          <w:rFonts w:asciiTheme="majorHAnsi" w:hAnsiTheme="majorHAnsi"/>
          <w:sz w:val="24"/>
        </w:rPr>
      </w:pPr>
      <w:r w:rsidRPr="00E51880">
        <w:rPr>
          <w:rFonts w:asciiTheme="majorHAnsi" w:hAnsiTheme="majorHAnsi"/>
          <w:bCs/>
          <w:sz w:val="24"/>
        </w:rPr>
        <w:t>Assessing the Continuum of Harm</w:t>
      </w:r>
    </w:p>
    <w:p w:rsidRPr="00E51880" w:rsidR="00A04285" w:rsidP="00BB7C90" w:rsidRDefault="00BB7C90" w14:paraId="278CA618" w14:textId="77777777">
      <w:pPr>
        <w:pStyle w:val="ListParagraph"/>
        <w:numPr>
          <w:ilvl w:val="1"/>
          <w:numId w:val="29"/>
        </w:numPr>
        <w:spacing w:after="0"/>
        <w:rPr>
          <w:rFonts w:asciiTheme="majorHAnsi" w:hAnsiTheme="majorHAnsi"/>
          <w:sz w:val="24"/>
        </w:rPr>
      </w:pPr>
      <w:r w:rsidRPr="00E51880">
        <w:rPr>
          <w:rFonts w:asciiTheme="majorHAnsi" w:hAnsiTheme="majorHAnsi"/>
          <w:sz w:val="24"/>
        </w:rPr>
        <w:t xml:space="preserve">Demonstrating the relationship between climate factors (e.g., workplace hostility, sexual harassment, and unit member actions) and sexual assault. </w:t>
      </w:r>
    </w:p>
    <w:p w:rsidRPr="00E51880" w:rsidR="00A04285" w:rsidP="00BB7C90" w:rsidRDefault="00BB7C90" w14:paraId="59CC9FAA" w14:textId="5D51C0FF">
      <w:pPr>
        <w:pStyle w:val="ListParagraph"/>
        <w:numPr>
          <w:ilvl w:val="0"/>
          <w:numId w:val="29"/>
        </w:numPr>
        <w:spacing w:after="0"/>
        <w:rPr>
          <w:rFonts w:asciiTheme="majorHAnsi" w:hAnsiTheme="majorHAnsi"/>
          <w:sz w:val="24"/>
        </w:rPr>
      </w:pPr>
      <w:r w:rsidRPr="00E51880">
        <w:rPr>
          <w:rFonts w:asciiTheme="majorHAnsi" w:hAnsiTheme="majorHAnsi"/>
          <w:bCs/>
          <w:sz w:val="24"/>
        </w:rPr>
        <w:t>DoD Prevention Plan of Action (PPoA)</w:t>
      </w:r>
    </w:p>
    <w:p w:rsidRPr="00E51880" w:rsidR="00A04285" w:rsidP="00BB7C90" w:rsidRDefault="00BB7C90" w14:paraId="1A161866" w14:textId="77777777">
      <w:pPr>
        <w:pStyle w:val="ListParagraph"/>
        <w:numPr>
          <w:ilvl w:val="1"/>
          <w:numId w:val="29"/>
        </w:numPr>
        <w:spacing w:after="0"/>
        <w:rPr>
          <w:rFonts w:asciiTheme="majorHAnsi" w:hAnsiTheme="majorHAnsi"/>
          <w:sz w:val="24"/>
        </w:rPr>
      </w:pPr>
      <w:r w:rsidRPr="00E51880">
        <w:rPr>
          <w:rFonts w:asciiTheme="majorHAnsi" w:hAnsiTheme="majorHAnsi"/>
          <w:sz w:val="24"/>
        </w:rPr>
        <w:t>Recognizes that the collection and use of data—to include data regarding prevalence, risk, &amp; protective factors—is critical to prevention.</w:t>
      </w:r>
    </w:p>
    <w:p w:rsidRPr="00E51880" w:rsidR="00A04285" w:rsidP="00BB7C90" w:rsidRDefault="00BB7C90" w14:paraId="5CB2BA26" w14:textId="77777777">
      <w:pPr>
        <w:pStyle w:val="ListParagraph"/>
        <w:numPr>
          <w:ilvl w:val="0"/>
          <w:numId w:val="29"/>
        </w:numPr>
        <w:spacing w:after="0"/>
        <w:rPr>
          <w:rFonts w:asciiTheme="majorHAnsi" w:hAnsiTheme="majorHAnsi"/>
          <w:sz w:val="24"/>
        </w:rPr>
      </w:pPr>
      <w:r w:rsidRPr="00E51880">
        <w:rPr>
          <w:rFonts w:asciiTheme="majorHAnsi" w:hAnsiTheme="majorHAnsi"/>
          <w:bCs/>
          <w:sz w:val="24"/>
        </w:rPr>
        <w:lastRenderedPageBreak/>
        <w:t xml:space="preserve">Men’s Sexual Assault Prevention &amp; Response Working Group. </w:t>
      </w:r>
    </w:p>
    <w:p w:rsidRPr="00E51880" w:rsidR="00A04285" w:rsidP="00BB7C90" w:rsidRDefault="00BB7C90" w14:paraId="4F9C2D61" w14:textId="77777777">
      <w:pPr>
        <w:pStyle w:val="ListParagraph"/>
        <w:numPr>
          <w:ilvl w:val="1"/>
          <w:numId w:val="29"/>
        </w:numPr>
        <w:spacing w:after="0"/>
        <w:rPr>
          <w:rFonts w:asciiTheme="majorHAnsi" w:hAnsiTheme="majorHAnsi"/>
          <w:sz w:val="24"/>
        </w:rPr>
      </w:pPr>
      <w:r w:rsidRPr="00E51880">
        <w:rPr>
          <w:rFonts w:asciiTheme="majorHAnsi" w:hAnsiTheme="majorHAnsi"/>
          <w:sz w:val="24"/>
        </w:rPr>
        <w:t xml:space="preserve">Improving the Department’s ability to increase awareness about male sexual assault, provide support to the needs of men, promote engagement with the DoD response system by men, and prevent the crime. </w:t>
      </w:r>
    </w:p>
    <w:p w:rsidRPr="00E51880" w:rsidR="00A04285" w:rsidP="00BB7C90" w:rsidRDefault="00BB7C90" w14:paraId="3585B975" w14:textId="0B4C2974">
      <w:pPr>
        <w:pStyle w:val="ListParagraph"/>
        <w:numPr>
          <w:ilvl w:val="0"/>
          <w:numId w:val="29"/>
        </w:numPr>
        <w:spacing w:after="0"/>
        <w:rPr>
          <w:rFonts w:asciiTheme="majorHAnsi" w:hAnsiTheme="majorHAnsi"/>
          <w:sz w:val="24"/>
        </w:rPr>
      </w:pPr>
      <w:r w:rsidRPr="00E51880">
        <w:rPr>
          <w:rFonts w:asciiTheme="majorHAnsi" w:hAnsiTheme="majorHAnsi"/>
          <w:bCs/>
          <w:sz w:val="24"/>
        </w:rPr>
        <w:t xml:space="preserve">Measuring Retaliation &amp; Other Outcomes Associated with Reporting in Support of the DoD’s Comprehensive Strategy to Prevent Retaliation.  </w:t>
      </w:r>
    </w:p>
    <w:p w:rsidRPr="00E51880" w:rsidR="00BB7C90" w:rsidP="00BB7C90" w:rsidRDefault="00BB7C90" w14:paraId="4A412540" w14:textId="273A6F5D">
      <w:pPr>
        <w:pStyle w:val="ListParagraph"/>
        <w:numPr>
          <w:ilvl w:val="1"/>
          <w:numId w:val="29"/>
        </w:numPr>
        <w:spacing w:after="0"/>
        <w:rPr>
          <w:rFonts w:asciiTheme="majorHAnsi" w:hAnsiTheme="majorHAnsi"/>
          <w:sz w:val="24"/>
        </w:rPr>
      </w:pPr>
      <w:r w:rsidRPr="00E51880">
        <w:rPr>
          <w:rFonts w:asciiTheme="majorHAnsi" w:hAnsiTheme="majorHAnsi"/>
          <w:sz w:val="24"/>
        </w:rPr>
        <w:t>Measuring reprisal, ostracism, &amp; maltreatment related to reporting sexual assault.</w:t>
      </w:r>
    </w:p>
    <w:p w:rsidRPr="00E51880" w:rsidR="00CA1780" w:rsidP="00CA1780" w:rsidRDefault="00CA1780" w14:paraId="07CF0EB1" w14:textId="71373B39">
      <w:pPr>
        <w:pStyle w:val="ListParagraph"/>
        <w:numPr>
          <w:ilvl w:val="0"/>
          <w:numId w:val="29"/>
        </w:numPr>
        <w:spacing w:after="0"/>
        <w:rPr>
          <w:rFonts w:asciiTheme="majorHAnsi" w:hAnsiTheme="majorHAnsi"/>
          <w:sz w:val="24"/>
        </w:rPr>
      </w:pPr>
      <w:r w:rsidRPr="00E51880">
        <w:rPr>
          <w:rFonts w:asciiTheme="majorHAnsi" w:hAnsiTheme="majorHAnsi"/>
          <w:sz w:val="24"/>
        </w:rPr>
        <w:t>Program Evaluation &amp; Innovation</w:t>
      </w:r>
    </w:p>
    <w:p w:rsidRPr="00E51880" w:rsidR="00CA1780" w:rsidP="00CA1780" w:rsidRDefault="00CA1780" w14:paraId="3AF070FF" w14:textId="4DFF7D9C">
      <w:pPr>
        <w:pStyle w:val="ListParagraph"/>
        <w:numPr>
          <w:ilvl w:val="1"/>
          <w:numId w:val="29"/>
        </w:numPr>
        <w:spacing w:after="0"/>
        <w:rPr>
          <w:rFonts w:asciiTheme="majorHAnsi" w:hAnsiTheme="majorHAnsi"/>
          <w:sz w:val="24"/>
        </w:rPr>
      </w:pPr>
      <w:r w:rsidRPr="00E51880">
        <w:rPr>
          <w:rFonts w:asciiTheme="majorHAnsi" w:hAnsiTheme="majorHAnsi"/>
          <w:sz w:val="24"/>
        </w:rPr>
        <w:t>Assessing the effectiveness of existing or planned programs</w:t>
      </w:r>
    </w:p>
    <w:p w:rsidRPr="005C2FFB" w:rsidR="00372B16" w:rsidP="00372B16" w:rsidRDefault="00372B16" w14:paraId="229143AB" w14:textId="77777777">
      <w:pPr>
        <w:pStyle w:val="ListParagraph"/>
        <w:spacing w:after="0" w:line="240" w:lineRule="auto"/>
        <w:rPr>
          <w:rFonts w:asciiTheme="majorHAnsi" w:hAnsiTheme="majorHAnsi"/>
          <w:sz w:val="24"/>
        </w:rPr>
      </w:pPr>
    </w:p>
    <w:p w:rsidRPr="005C2FFB" w:rsidR="005C7428" w:rsidP="006E563D" w:rsidRDefault="005C7428" w14:paraId="39DDCF2A" w14:textId="47BD65A2">
      <w:pPr>
        <w:spacing w:after="0" w:line="240" w:lineRule="auto"/>
        <w:rPr>
          <w:rFonts w:asciiTheme="majorHAnsi" w:hAnsiTheme="majorHAnsi"/>
          <w:sz w:val="24"/>
        </w:rPr>
      </w:pPr>
      <w:r w:rsidRPr="005C2FFB">
        <w:rPr>
          <w:rFonts w:asciiTheme="majorHAnsi" w:hAnsiTheme="majorHAnsi"/>
          <w:sz w:val="24"/>
        </w:rPr>
        <w:t xml:space="preserve">3. </w:t>
      </w:r>
      <w:r w:rsidRPr="005C2FFB">
        <w:rPr>
          <w:rFonts w:asciiTheme="majorHAnsi" w:hAnsiTheme="majorHAnsi"/>
          <w:sz w:val="24"/>
        </w:rPr>
        <w:tab/>
      </w:r>
      <w:r w:rsidRPr="005C2FFB">
        <w:rPr>
          <w:rFonts w:asciiTheme="majorHAnsi" w:hAnsiTheme="majorHAnsi"/>
          <w:sz w:val="24"/>
          <w:u w:val="single"/>
        </w:rPr>
        <w:t>Use of Information Technology</w:t>
      </w:r>
      <w:r w:rsidRPr="005C2FFB" w:rsidR="0085688C">
        <w:rPr>
          <w:rFonts w:asciiTheme="majorHAnsi" w:hAnsiTheme="majorHAnsi"/>
          <w:sz w:val="24"/>
          <w:u w:val="single"/>
        </w:rPr>
        <w:t xml:space="preserve"> </w:t>
      </w:r>
    </w:p>
    <w:p w:rsidRPr="005C2FFB" w:rsidR="00FA6E11" w:rsidP="006E563D" w:rsidRDefault="00FA6E11" w14:paraId="46FBC109" w14:textId="77777777">
      <w:pPr>
        <w:spacing w:after="0" w:line="240" w:lineRule="auto"/>
        <w:rPr>
          <w:rFonts w:asciiTheme="majorHAnsi" w:hAnsiTheme="majorHAnsi"/>
          <w:sz w:val="24"/>
        </w:rPr>
      </w:pPr>
    </w:p>
    <w:p w:rsidRPr="005C2FFB" w:rsidR="008635C4" w:rsidP="006E563D" w:rsidRDefault="00372B16" w14:paraId="0D614225" w14:textId="160E8B1E">
      <w:pPr>
        <w:spacing w:after="0" w:line="240" w:lineRule="auto"/>
        <w:rPr>
          <w:rFonts w:asciiTheme="majorHAnsi" w:hAnsiTheme="majorHAnsi"/>
          <w:sz w:val="24"/>
        </w:rPr>
      </w:pPr>
      <w:r w:rsidRPr="005C2FFB">
        <w:rPr>
          <w:rFonts w:asciiTheme="majorHAnsi" w:hAnsiTheme="majorHAnsi"/>
          <w:sz w:val="24"/>
        </w:rPr>
        <w:t>OPA will administer the WGR surveys via the web in addition to offering a paper survey option to select participants</w:t>
      </w:r>
      <w:r w:rsidRPr="005C2FFB" w:rsidR="00E24FE0">
        <w:rPr>
          <w:rFonts w:asciiTheme="majorHAnsi" w:hAnsiTheme="majorHAnsi"/>
          <w:sz w:val="24"/>
        </w:rPr>
        <w:t xml:space="preserve"> (50% of </w:t>
      </w:r>
      <w:r w:rsidRPr="005C2FFB" w:rsidR="00A6347C">
        <w:rPr>
          <w:rFonts w:asciiTheme="majorHAnsi" w:hAnsiTheme="majorHAnsi"/>
          <w:sz w:val="24"/>
        </w:rPr>
        <w:t>Active component</w:t>
      </w:r>
      <w:r w:rsidRPr="005C2FFB" w:rsidR="00E24FE0">
        <w:rPr>
          <w:rFonts w:asciiTheme="majorHAnsi" w:hAnsiTheme="majorHAnsi"/>
          <w:sz w:val="24"/>
        </w:rPr>
        <w:t xml:space="preserve"> sample members and all Reserve component members)</w:t>
      </w:r>
      <w:r w:rsidRPr="005C2FFB">
        <w:rPr>
          <w:rFonts w:asciiTheme="majorHAnsi" w:hAnsiTheme="majorHAnsi"/>
          <w:sz w:val="24"/>
        </w:rPr>
        <w:t xml:space="preserve">.  Consistent with prior years, we expect to receive </w:t>
      </w:r>
      <w:r w:rsidRPr="005C2FFB" w:rsidR="00E24FE0">
        <w:rPr>
          <w:rFonts w:asciiTheme="majorHAnsi" w:hAnsiTheme="majorHAnsi"/>
          <w:sz w:val="24"/>
        </w:rPr>
        <w:t>80-</w:t>
      </w:r>
      <w:r w:rsidRPr="005C2FFB">
        <w:rPr>
          <w:rFonts w:asciiTheme="majorHAnsi" w:hAnsiTheme="majorHAnsi"/>
          <w:sz w:val="24"/>
        </w:rPr>
        <w:t xml:space="preserve">90% </w:t>
      </w:r>
      <w:r w:rsidRPr="005C2FFB" w:rsidR="00E24FE0">
        <w:rPr>
          <w:rFonts w:asciiTheme="majorHAnsi" w:hAnsiTheme="majorHAnsi"/>
          <w:sz w:val="24"/>
        </w:rPr>
        <w:t>of responses via the web survey depending upon the respondent’s component</w:t>
      </w:r>
      <w:r w:rsidRPr="005C2FFB" w:rsidR="00FA6E11">
        <w:rPr>
          <w:rFonts w:asciiTheme="majorHAnsi" w:hAnsiTheme="majorHAnsi"/>
          <w:sz w:val="24"/>
        </w:rPr>
        <w:t xml:space="preserve"> (i.e. OPA typically receives more paper survey responses from members of the Reserve component)</w:t>
      </w:r>
      <w:r w:rsidRPr="005C2FFB" w:rsidR="00E24FE0">
        <w:rPr>
          <w:rFonts w:asciiTheme="majorHAnsi" w:hAnsiTheme="majorHAnsi"/>
          <w:sz w:val="24"/>
        </w:rPr>
        <w:t>.  All communications encourage participants to utilize the web version of the survey</w:t>
      </w:r>
      <w:r w:rsidRPr="005C2FFB" w:rsidR="00A6347C">
        <w:rPr>
          <w:rFonts w:asciiTheme="majorHAnsi" w:hAnsiTheme="majorHAnsi"/>
          <w:sz w:val="24"/>
        </w:rPr>
        <w:t>.  OPA has also improved accessibility of the survey site by optimizing it for mobile devices (e.g., smartphones and tablets) in order to increase the electronic submission rate and the response rate more broadly.</w:t>
      </w:r>
    </w:p>
    <w:p w:rsidRPr="005C2FFB" w:rsidR="00372B16" w:rsidP="006E563D" w:rsidRDefault="00372B16" w14:paraId="67334EA5" w14:textId="77777777">
      <w:pPr>
        <w:spacing w:after="0" w:line="240" w:lineRule="auto"/>
        <w:rPr>
          <w:rFonts w:asciiTheme="majorHAnsi" w:hAnsiTheme="majorHAnsi"/>
          <w:sz w:val="24"/>
        </w:rPr>
      </w:pPr>
    </w:p>
    <w:p w:rsidRPr="005C2FFB" w:rsidR="008635C4" w:rsidP="006E563D" w:rsidRDefault="008635C4" w14:paraId="365CFB8A" w14:textId="05233121">
      <w:pPr>
        <w:spacing w:after="0" w:line="240" w:lineRule="auto"/>
        <w:rPr>
          <w:rFonts w:asciiTheme="majorHAnsi" w:hAnsiTheme="majorHAnsi"/>
          <w:sz w:val="24"/>
        </w:rPr>
      </w:pPr>
      <w:r w:rsidRPr="005C2FFB">
        <w:rPr>
          <w:rFonts w:asciiTheme="majorHAnsi" w:hAnsiTheme="majorHAnsi"/>
          <w:sz w:val="24"/>
        </w:rPr>
        <w:lastRenderedPageBreak/>
        <w:t xml:space="preserve">4. </w:t>
      </w:r>
      <w:r w:rsidRPr="005C2FFB">
        <w:rPr>
          <w:rFonts w:asciiTheme="majorHAnsi" w:hAnsiTheme="majorHAnsi"/>
          <w:sz w:val="24"/>
        </w:rPr>
        <w:tab/>
      </w:r>
      <w:r w:rsidRPr="005C2FFB">
        <w:rPr>
          <w:rFonts w:asciiTheme="majorHAnsi" w:hAnsiTheme="majorHAnsi"/>
          <w:sz w:val="24"/>
          <w:u w:val="single"/>
        </w:rPr>
        <w:t>Non-duplication</w:t>
      </w:r>
      <w:r w:rsidRPr="005C2FFB" w:rsidR="0085688C">
        <w:rPr>
          <w:rFonts w:asciiTheme="majorHAnsi" w:hAnsiTheme="majorHAnsi"/>
          <w:sz w:val="24"/>
          <w:u w:val="single"/>
        </w:rPr>
        <w:t xml:space="preserve"> </w:t>
      </w:r>
    </w:p>
    <w:p w:rsidRPr="005C2FFB" w:rsidR="00FA6E11" w:rsidP="006E563D" w:rsidRDefault="00FA6E11" w14:paraId="21832466" w14:textId="77777777">
      <w:pPr>
        <w:spacing w:after="0" w:line="240" w:lineRule="auto"/>
        <w:rPr>
          <w:rFonts w:asciiTheme="majorHAnsi" w:hAnsiTheme="majorHAnsi"/>
          <w:sz w:val="24"/>
        </w:rPr>
      </w:pPr>
    </w:p>
    <w:p w:rsidRPr="005C2FFB" w:rsidR="00CA15B1" w:rsidP="006E563D" w:rsidRDefault="008635C4" w14:paraId="282AB0AE" w14:textId="43294685">
      <w:pPr>
        <w:spacing w:after="0" w:line="240" w:lineRule="auto"/>
        <w:rPr>
          <w:rFonts w:asciiTheme="majorHAnsi" w:hAnsiTheme="majorHAnsi"/>
          <w:i/>
          <w:sz w:val="24"/>
        </w:rPr>
      </w:pPr>
      <w:r w:rsidRPr="005C2FFB">
        <w:rPr>
          <w:rFonts w:asciiTheme="majorHAnsi" w:hAnsiTheme="majorHAnsi"/>
          <w:sz w:val="24"/>
        </w:rPr>
        <w:t xml:space="preserve">The information obtained through this collection is unique and </w:t>
      </w:r>
      <w:r w:rsidRPr="005C2FFB" w:rsidR="00CA15B1">
        <w:rPr>
          <w:rFonts w:asciiTheme="majorHAnsi" w:hAnsiTheme="majorHAnsi"/>
          <w:sz w:val="24"/>
        </w:rPr>
        <w:t xml:space="preserve">is </w:t>
      </w:r>
      <w:r w:rsidRPr="005C2FFB">
        <w:rPr>
          <w:rFonts w:asciiTheme="majorHAnsi" w:hAnsiTheme="majorHAnsi"/>
          <w:sz w:val="24"/>
        </w:rPr>
        <w:t xml:space="preserve">not already available for use or adaptation from another cleared source. </w:t>
      </w:r>
    </w:p>
    <w:p w:rsidRPr="005C2FFB" w:rsidR="00CA15B1" w:rsidP="006E563D" w:rsidRDefault="00CA15B1" w14:paraId="08C8CAFF" w14:textId="77777777">
      <w:pPr>
        <w:spacing w:after="0" w:line="240" w:lineRule="auto"/>
        <w:rPr>
          <w:rFonts w:asciiTheme="majorHAnsi" w:hAnsiTheme="majorHAnsi"/>
          <w:i/>
          <w:sz w:val="24"/>
        </w:rPr>
      </w:pPr>
    </w:p>
    <w:p w:rsidRPr="005C2FFB" w:rsidR="00CA15B1" w:rsidP="006E563D" w:rsidRDefault="00CA15B1" w14:paraId="1A204C91" w14:textId="1D25BD03">
      <w:pPr>
        <w:spacing w:after="0" w:line="240" w:lineRule="auto"/>
        <w:rPr>
          <w:rFonts w:asciiTheme="majorHAnsi" w:hAnsiTheme="majorHAnsi"/>
          <w:sz w:val="24"/>
        </w:rPr>
      </w:pPr>
      <w:r w:rsidRPr="005C2FFB">
        <w:rPr>
          <w:rFonts w:asciiTheme="majorHAnsi" w:hAnsiTheme="majorHAnsi"/>
          <w:sz w:val="24"/>
        </w:rPr>
        <w:t xml:space="preserve">5. </w:t>
      </w:r>
      <w:r w:rsidRPr="005C2FFB">
        <w:rPr>
          <w:rFonts w:asciiTheme="majorHAnsi" w:hAnsiTheme="majorHAnsi"/>
          <w:sz w:val="24"/>
        </w:rPr>
        <w:tab/>
      </w:r>
      <w:r w:rsidRPr="005C2FFB">
        <w:rPr>
          <w:rFonts w:asciiTheme="majorHAnsi" w:hAnsiTheme="majorHAnsi"/>
          <w:sz w:val="24"/>
          <w:u w:val="single"/>
        </w:rPr>
        <w:t>Burden on Small Businesses</w:t>
      </w:r>
      <w:r w:rsidRPr="005C2FFB" w:rsidR="00A46FE8">
        <w:rPr>
          <w:rFonts w:asciiTheme="majorHAnsi" w:hAnsiTheme="majorHAnsi"/>
          <w:sz w:val="24"/>
          <w:u w:val="single"/>
        </w:rPr>
        <w:t xml:space="preserve"> </w:t>
      </w:r>
    </w:p>
    <w:p w:rsidRPr="005C2FFB" w:rsidR="00FA6E11" w:rsidP="006E563D" w:rsidRDefault="00FA6E11" w14:paraId="1D7D9232" w14:textId="77777777">
      <w:pPr>
        <w:spacing w:after="0" w:line="240" w:lineRule="auto"/>
        <w:rPr>
          <w:rFonts w:asciiTheme="majorHAnsi" w:hAnsiTheme="majorHAnsi"/>
          <w:sz w:val="24"/>
        </w:rPr>
      </w:pPr>
    </w:p>
    <w:p w:rsidRPr="005C2FFB" w:rsidR="002567F9" w:rsidP="006E563D" w:rsidRDefault="002567F9" w14:paraId="6426056E" w14:textId="3F182CDB">
      <w:pPr>
        <w:spacing w:after="0" w:line="240" w:lineRule="auto"/>
        <w:rPr>
          <w:rFonts w:asciiTheme="majorHAnsi" w:hAnsiTheme="majorHAnsi"/>
          <w:i/>
          <w:sz w:val="24"/>
        </w:rPr>
      </w:pPr>
      <w:r w:rsidRPr="005C2FFB">
        <w:rPr>
          <w:rFonts w:asciiTheme="majorHAnsi" w:hAnsiTheme="majorHAnsi"/>
          <w:sz w:val="24"/>
        </w:rPr>
        <w:t>This information collection does not impose a significant economic impact on a substantial number of small businesses or entities.</w:t>
      </w:r>
      <w:r w:rsidRPr="005C2FFB">
        <w:rPr>
          <w:rFonts w:asciiTheme="majorHAnsi" w:hAnsiTheme="majorHAnsi"/>
          <w:i/>
          <w:sz w:val="24"/>
        </w:rPr>
        <w:t xml:space="preserve"> </w:t>
      </w:r>
    </w:p>
    <w:p w:rsidRPr="005C2FFB" w:rsidR="002567F9" w:rsidP="006E563D" w:rsidRDefault="002567F9" w14:paraId="21AB33FD" w14:textId="77777777">
      <w:pPr>
        <w:spacing w:after="0" w:line="240" w:lineRule="auto"/>
        <w:rPr>
          <w:rFonts w:asciiTheme="majorHAnsi" w:hAnsiTheme="majorHAnsi"/>
          <w:i/>
          <w:sz w:val="24"/>
        </w:rPr>
      </w:pPr>
    </w:p>
    <w:p w:rsidR="002567F9" w:rsidP="006E563D" w:rsidRDefault="002567F9" w14:paraId="3FF64162" w14:textId="5EE67D9B">
      <w:pPr>
        <w:spacing w:after="0" w:line="240" w:lineRule="auto"/>
        <w:rPr>
          <w:rFonts w:asciiTheme="majorHAnsi" w:hAnsiTheme="majorHAnsi"/>
          <w:sz w:val="24"/>
          <w:u w:val="single"/>
        </w:rPr>
      </w:pPr>
      <w:r w:rsidRPr="005C2FFB">
        <w:rPr>
          <w:rFonts w:asciiTheme="majorHAnsi" w:hAnsiTheme="majorHAnsi"/>
          <w:sz w:val="24"/>
        </w:rPr>
        <w:t>6.</w:t>
      </w:r>
      <w:r w:rsidRPr="005C2FFB">
        <w:rPr>
          <w:rFonts w:asciiTheme="majorHAnsi" w:hAnsiTheme="majorHAnsi"/>
          <w:sz w:val="24"/>
        </w:rPr>
        <w:tab/>
        <w:t xml:space="preserve"> </w:t>
      </w:r>
      <w:r w:rsidRPr="005C2FFB">
        <w:rPr>
          <w:rFonts w:asciiTheme="majorHAnsi" w:hAnsiTheme="majorHAnsi"/>
          <w:sz w:val="24"/>
          <w:u w:val="single"/>
        </w:rPr>
        <w:t xml:space="preserve">Less Frequent </w:t>
      </w:r>
      <w:r w:rsidRPr="005C2FFB" w:rsidR="0085688C">
        <w:rPr>
          <w:rFonts w:asciiTheme="majorHAnsi" w:hAnsiTheme="majorHAnsi"/>
          <w:sz w:val="24"/>
          <w:u w:val="single"/>
        </w:rPr>
        <w:t xml:space="preserve">Collection </w:t>
      </w:r>
    </w:p>
    <w:p w:rsidRPr="005C2FFB" w:rsidR="0047550F" w:rsidP="006E563D" w:rsidRDefault="0047550F" w14:paraId="4B6D8BE8" w14:textId="77777777">
      <w:pPr>
        <w:spacing w:after="0" w:line="240" w:lineRule="auto"/>
        <w:rPr>
          <w:rFonts w:asciiTheme="majorHAnsi" w:hAnsiTheme="majorHAnsi"/>
          <w:sz w:val="24"/>
        </w:rPr>
      </w:pPr>
    </w:p>
    <w:p w:rsidRPr="005C2FFB" w:rsidR="00F86C35" w:rsidP="006E563D" w:rsidRDefault="00D73C93" w14:paraId="65372996" w14:textId="6EB21749">
      <w:pPr>
        <w:spacing w:after="0" w:line="240" w:lineRule="auto"/>
        <w:rPr>
          <w:rFonts w:asciiTheme="majorHAnsi" w:hAnsiTheme="majorHAnsi"/>
          <w:sz w:val="24"/>
        </w:rPr>
      </w:pPr>
      <w:r w:rsidRPr="005C2FFB">
        <w:rPr>
          <w:rFonts w:asciiTheme="majorHAnsi" w:hAnsiTheme="majorHAnsi"/>
          <w:sz w:val="24"/>
        </w:rPr>
        <w:t>The frequency of collection is drive</w:t>
      </w:r>
      <w:r w:rsidR="00224D01">
        <w:rPr>
          <w:rFonts w:asciiTheme="majorHAnsi" w:hAnsiTheme="majorHAnsi"/>
          <w:sz w:val="24"/>
        </w:rPr>
        <w:t>n by congressional requirement and therefore cannot be reduced.</w:t>
      </w:r>
    </w:p>
    <w:p w:rsidRPr="005C2FFB" w:rsidR="00F86C35" w:rsidP="006E563D" w:rsidRDefault="00F86C35" w14:paraId="1043494B" w14:textId="77777777">
      <w:pPr>
        <w:spacing w:after="0" w:line="240" w:lineRule="auto"/>
        <w:rPr>
          <w:rFonts w:asciiTheme="majorHAnsi" w:hAnsiTheme="majorHAnsi"/>
          <w:i/>
          <w:sz w:val="24"/>
        </w:rPr>
      </w:pPr>
    </w:p>
    <w:p w:rsidRPr="005C2FFB" w:rsidR="00D73C93" w:rsidP="00D73C93" w:rsidRDefault="00F86C35" w14:paraId="005F8802" w14:textId="0D368E63">
      <w:pPr>
        <w:spacing w:after="0" w:line="240" w:lineRule="auto"/>
        <w:rPr>
          <w:rFonts w:asciiTheme="majorHAnsi" w:hAnsiTheme="majorHAnsi"/>
          <w:sz w:val="24"/>
        </w:rPr>
      </w:pPr>
      <w:r w:rsidRPr="005C2FFB">
        <w:rPr>
          <w:rFonts w:asciiTheme="majorHAnsi" w:hAnsiTheme="majorHAnsi"/>
          <w:i/>
          <w:sz w:val="24"/>
        </w:rPr>
        <w:t xml:space="preserve">7. </w:t>
      </w:r>
      <w:r w:rsidRPr="005C2FFB">
        <w:rPr>
          <w:rFonts w:asciiTheme="majorHAnsi" w:hAnsiTheme="majorHAnsi"/>
          <w:i/>
          <w:sz w:val="24"/>
        </w:rPr>
        <w:tab/>
      </w:r>
      <w:r w:rsidRPr="005C2FFB">
        <w:rPr>
          <w:rFonts w:asciiTheme="majorHAnsi" w:hAnsiTheme="majorHAnsi"/>
          <w:sz w:val="24"/>
          <w:u w:val="single"/>
        </w:rPr>
        <w:t>Paperwork Reduction Act Guidelines</w:t>
      </w:r>
      <w:r w:rsidRPr="005C2FFB" w:rsidR="0085688C">
        <w:rPr>
          <w:rFonts w:asciiTheme="majorHAnsi" w:hAnsiTheme="majorHAnsi"/>
          <w:sz w:val="24"/>
          <w:u w:val="single"/>
        </w:rPr>
        <w:t xml:space="preserve"> </w:t>
      </w:r>
    </w:p>
    <w:p w:rsidRPr="005C2FFB" w:rsidR="00FA6E11" w:rsidP="00D73C93" w:rsidRDefault="00FA6E11" w14:paraId="1E3BAD4A" w14:textId="77777777">
      <w:pPr>
        <w:spacing w:after="0" w:line="240" w:lineRule="auto"/>
        <w:rPr>
          <w:rFonts w:asciiTheme="majorHAnsi" w:hAnsiTheme="majorHAnsi"/>
          <w:sz w:val="24"/>
        </w:rPr>
      </w:pPr>
    </w:p>
    <w:p w:rsidRPr="005C2FFB" w:rsidR="00200261" w:rsidP="00D73C93" w:rsidRDefault="00200261" w14:paraId="6BF16C52" w14:textId="301E875C">
      <w:pPr>
        <w:spacing w:after="0" w:line="240" w:lineRule="auto"/>
        <w:rPr>
          <w:rFonts w:asciiTheme="majorHAnsi" w:hAnsiTheme="majorHAnsi"/>
          <w:sz w:val="24"/>
        </w:rPr>
      </w:pPr>
      <w:r w:rsidRPr="005C2FFB">
        <w:rPr>
          <w:rFonts w:asciiTheme="majorHAnsi" w:hAnsiTheme="majorHAnsi"/>
          <w:sz w:val="24"/>
        </w:rPr>
        <w:t>This collection of information does not require collection to be conducted in a manner inconsistent with the guidelines delineated in 5 CFR 1320.5(d)(2).</w:t>
      </w:r>
    </w:p>
    <w:p w:rsidRPr="005C2FFB" w:rsidR="00200261" w:rsidP="00200261" w:rsidRDefault="00200261" w14:paraId="27D57D74" w14:textId="77777777">
      <w:pPr>
        <w:pStyle w:val="NormalWeb"/>
        <w:spacing w:line="288" w:lineRule="atLeast"/>
        <w:rPr>
          <w:rFonts w:asciiTheme="majorHAnsi" w:hAnsiTheme="majorHAnsi" w:eastAsiaTheme="minorHAnsi" w:cstheme="minorBidi"/>
          <w:szCs w:val="22"/>
        </w:rPr>
      </w:pPr>
      <w:r w:rsidRPr="005C2FFB">
        <w:rPr>
          <w:rFonts w:asciiTheme="majorHAnsi" w:hAnsiTheme="majorHAnsi" w:eastAsiaTheme="minorHAnsi" w:cstheme="minorBidi"/>
          <w:szCs w:val="22"/>
        </w:rPr>
        <w:t xml:space="preserve">8. </w:t>
      </w:r>
      <w:r w:rsidRPr="005C2FFB">
        <w:rPr>
          <w:rFonts w:asciiTheme="majorHAnsi" w:hAnsiTheme="majorHAnsi" w:eastAsiaTheme="minorHAnsi" w:cstheme="minorBidi"/>
          <w:szCs w:val="22"/>
        </w:rPr>
        <w:tab/>
        <w:t>Consultation and Public Comments</w:t>
      </w:r>
    </w:p>
    <w:p w:rsidRPr="005C2FFB" w:rsidR="00200261" w:rsidP="00200261" w:rsidRDefault="00200261" w14:paraId="443A9026" w14:textId="77777777">
      <w:pPr>
        <w:pStyle w:val="NormalWeb"/>
        <w:spacing w:line="288" w:lineRule="atLeast"/>
        <w:rPr>
          <w:rFonts w:asciiTheme="majorHAnsi" w:hAnsiTheme="majorHAnsi" w:eastAsiaTheme="minorHAnsi" w:cstheme="minorBidi"/>
          <w:szCs w:val="22"/>
        </w:rPr>
      </w:pPr>
      <w:r w:rsidRPr="005C2FFB">
        <w:rPr>
          <w:rFonts w:asciiTheme="majorHAnsi" w:hAnsiTheme="majorHAnsi" w:eastAsiaTheme="minorHAnsi" w:cstheme="minorBidi"/>
          <w:szCs w:val="22"/>
        </w:rPr>
        <w:t>Part A: PUBLIC NOTICE</w:t>
      </w:r>
    </w:p>
    <w:p w:rsidR="00050C37" w:rsidP="00050C37" w:rsidRDefault="00050C37" w14:paraId="1EAB593B" w14:textId="62492AE8">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60-Day Federal Register Notice (FRN) for the collection published on </w:t>
      </w:r>
      <w:r w:rsidR="00224D01">
        <w:rPr>
          <w:rFonts w:asciiTheme="majorHAnsi" w:hAnsiTheme="majorHAnsi" w:eastAsiaTheme="minorHAnsi" w:cstheme="minorBidi"/>
          <w:szCs w:val="22"/>
        </w:rPr>
        <w:t>Thursday, December 30, 2021.</w:t>
      </w:r>
      <w:r>
        <w:rPr>
          <w:rFonts w:asciiTheme="majorHAnsi" w:hAnsiTheme="majorHAnsi" w:eastAsiaTheme="minorHAnsi" w:cstheme="minorBidi"/>
          <w:szCs w:val="22"/>
        </w:rPr>
        <w:t xml:space="preserve"> The 60-Day FRN citation is</w:t>
      </w:r>
      <w:r w:rsidR="00224D01">
        <w:rPr>
          <w:rFonts w:asciiTheme="majorHAnsi" w:hAnsiTheme="majorHAnsi" w:eastAsiaTheme="minorHAnsi" w:cstheme="minorBidi"/>
          <w:szCs w:val="22"/>
        </w:rPr>
        <w:t xml:space="preserve"> 86 FR 74408</w:t>
      </w:r>
      <w:r>
        <w:rPr>
          <w:rFonts w:asciiTheme="majorHAnsi" w:hAnsiTheme="majorHAnsi" w:eastAsiaTheme="minorHAnsi" w:cstheme="minorBidi"/>
          <w:szCs w:val="22"/>
        </w:rPr>
        <w:t xml:space="preserve"> </w:t>
      </w:r>
      <w:r w:rsidR="00224D01">
        <w:rPr>
          <w:rFonts w:asciiTheme="majorHAnsi" w:hAnsiTheme="majorHAnsi" w:eastAsiaTheme="minorHAnsi" w:cstheme="minorBidi"/>
          <w:szCs w:val="22"/>
        </w:rPr>
        <w:t>FRN 74408.</w:t>
      </w:r>
      <w:r>
        <w:rPr>
          <w:rFonts w:asciiTheme="majorHAnsi" w:hAnsiTheme="majorHAnsi" w:eastAsiaTheme="minorHAnsi" w:cstheme="minorBidi"/>
          <w:szCs w:val="22"/>
        </w:rPr>
        <w:t xml:space="preserve"> </w:t>
      </w:r>
    </w:p>
    <w:p w:rsidR="00050C37" w:rsidP="00050C37" w:rsidRDefault="00050C37" w14:paraId="2E8AE84D" w14:textId="2BFFE1D8">
      <w:pPr>
        <w:pStyle w:val="NormalWeb"/>
        <w:spacing w:line="288" w:lineRule="atLeast"/>
        <w:rPr>
          <w:rFonts w:asciiTheme="majorHAnsi" w:hAnsiTheme="majorHAnsi" w:eastAsiaTheme="minorHAnsi" w:cstheme="minorBidi"/>
          <w:szCs w:val="22"/>
        </w:rPr>
      </w:pPr>
      <w:r w:rsidRPr="00224D01">
        <w:rPr>
          <w:rFonts w:asciiTheme="majorHAnsi" w:hAnsiTheme="majorHAnsi" w:eastAsiaTheme="minorHAnsi" w:cstheme="minorBidi"/>
          <w:szCs w:val="22"/>
        </w:rPr>
        <w:t>No comments were received during the 60-Day Comment Period.</w:t>
      </w:r>
      <w:r>
        <w:rPr>
          <w:rFonts w:asciiTheme="majorHAnsi" w:hAnsiTheme="majorHAnsi" w:eastAsiaTheme="minorHAnsi" w:cstheme="minorBidi"/>
          <w:szCs w:val="22"/>
        </w:rPr>
        <w:t xml:space="preserve"> </w:t>
      </w:r>
    </w:p>
    <w:p w:rsidR="00050C37" w:rsidP="00050C37" w:rsidRDefault="00050C37" w14:paraId="42D2B392" w14:textId="4F86F488">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lastRenderedPageBreak/>
        <w:t xml:space="preserve">A 30-Day Federal Register Notice for the collection published on </w:t>
      </w:r>
      <w:r w:rsidR="00224D01">
        <w:rPr>
          <w:rFonts w:asciiTheme="majorHAnsi" w:hAnsiTheme="majorHAnsi" w:eastAsiaTheme="minorHAnsi" w:cstheme="minorBidi"/>
          <w:szCs w:val="22"/>
        </w:rPr>
        <w:t>Tuesday, March 15, 2022.</w:t>
      </w:r>
      <w:r>
        <w:rPr>
          <w:rFonts w:asciiTheme="majorHAnsi" w:hAnsiTheme="majorHAnsi" w:eastAsiaTheme="minorHAnsi" w:cstheme="minorBidi"/>
          <w:szCs w:val="22"/>
        </w:rPr>
        <w:t xml:space="preserve"> The 30-Day FRN citation is </w:t>
      </w:r>
      <w:r w:rsidRPr="00224D01" w:rsidR="00224D01">
        <w:rPr>
          <w:rFonts w:asciiTheme="majorHAnsi" w:hAnsiTheme="majorHAnsi" w:eastAsiaTheme="minorHAnsi" w:cstheme="minorBidi"/>
          <w:szCs w:val="22"/>
        </w:rPr>
        <w:t xml:space="preserve">87 </w:t>
      </w:r>
      <w:r w:rsidR="00224D01">
        <w:rPr>
          <w:rFonts w:asciiTheme="majorHAnsi" w:hAnsiTheme="majorHAnsi" w:eastAsiaTheme="minorHAnsi" w:cstheme="minorBidi"/>
          <w:szCs w:val="22"/>
        </w:rPr>
        <w:t xml:space="preserve">FR 14523 </w:t>
      </w:r>
      <w:r>
        <w:rPr>
          <w:rFonts w:asciiTheme="majorHAnsi" w:hAnsiTheme="majorHAnsi" w:eastAsiaTheme="minorHAnsi" w:cstheme="minorBidi"/>
          <w:szCs w:val="22"/>
        </w:rPr>
        <w:t xml:space="preserve">FRN </w:t>
      </w:r>
      <w:r w:rsidRPr="00224D01" w:rsidR="00224D01">
        <w:rPr>
          <w:rFonts w:asciiTheme="majorHAnsi" w:hAnsiTheme="majorHAnsi" w:eastAsiaTheme="minorHAnsi" w:cstheme="minorBidi"/>
          <w:szCs w:val="22"/>
        </w:rPr>
        <w:t>14523-14524.</w:t>
      </w:r>
    </w:p>
    <w:p w:rsidRPr="005C2FFB" w:rsidR="00200261" w:rsidP="00200261" w:rsidRDefault="00200261" w14:paraId="57621D20" w14:textId="030FAFFA">
      <w:pPr>
        <w:pStyle w:val="NormalWeb"/>
        <w:spacing w:line="288" w:lineRule="atLeast"/>
        <w:rPr>
          <w:rFonts w:asciiTheme="majorHAnsi" w:hAnsiTheme="majorHAnsi" w:eastAsiaTheme="minorHAnsi" w:cstheme="minorBidi"/>
          <w:szCs w:val="22"/>
        </w:rPr>
      </w:pPr>
      <w:r w:rsidRPr="005C2FFB">
        <w:rPr>
          <w:rFonts w:asciiTheme="majorHAnsi" w:hAnsiTheme="majorHAnsi" w:eastAsiaTheme="minorHAnsi" w:cstheme="minorBidi"/>
          <w:szCs w:val="22"/>
        </w:rPr>
        <w:t>Part B: CONSULTATION</w:t>
      </w:r>
      <w:r w:rsidR="00E51880">
        <w:rPr>
          <w:rFonts w:asciiTheme="majorHAnsi" w:hAnsiTheme="majorHAnsi" w:eastAsiaTheme="minorHAnsi" w:cstheme="minorBidi"/>
          <w:szCs w:val="22"/>
        </w:rPr>
        <w:t xml:space="preserve"> </w:t>
      </w:r>
    </w:p>
    <w:p w:rsidRPr="005C2FFB" w:rsidR="00571698" w:rsidP="00B55E9F" w:rsidRDefault="008507E3" w14:paraId="6A043D99" w14:textId="77777777">
      <w:pPr>
        <w:pStyle w:val="NormalWeb"/>
        <w:spacing w:line="288" w:lineRule="atLeast"/>
        <w:rPr>
          <w:rFonts w:asciiTheme="majorHAnsi" w:hAnsiTheme="majorHAnsi"/>
          <w:i/>
        </w:rPr>
      </w:pPr>
      <w:r w:rsidRPr="005C2FFB">
        <w:rPr>
          <w:rFonts w:asciiTheme="majorHAnsi" w:hAnsiTheme="majorHAnsi" w:eastAsiaTheme="minorHAnsi" w:cstheme="minorBidi"/>
          <w:szCs w:val="22"/>
        </w:rPr>
        <w:t>In 2020, OPA conducted cognitive interviews of Service members from each of the military Departments in order to: 1) gain insight as to the clarity of specific terminology or instructions; 2) ensure that key terms (e.g., “leader”, “immediate supervisor”, “chain of command”) had equivalent meanings; and, 3) understand whether Service member interpretation of specific questions aligned with what the study team intended to measure.  Cognitive interviews are a useful tool for survey improvement and will continue to inform improvements to the WGR survey instruments.</w:t>
      </w:r>
      <w:r w:rsidRPr="005C2FFB" w:rsidR="00571698">
        <w:rPr>
          <w:rFonts w:asciiTheme="majorHAnsi" w:hAnsiTheme="majorHAnsi" w:eastAsiaTheme="minorHAnsi" w:cstheme="minorBidi"/>
          <w:szCs w:val="22"/>
        </w:rPr>
        <w:t xml:space="preserve"> </w:t>
      </w:r>
    </w:p>
    <w:p w:rsidRPr="005C2FFB" w:rsidR="00571698" w:rsidP="006E563D" w:rsidRDefault="006A13FA" w14:paraId="3FBC02C7" w14:textId="79BB6746">
      <w:pPr>
        <w:spacing w:after="0" w:line="240" w:lineRule="auto"/>
        <w:rPr>
          <w:rFonts w:asciiTheme="majorHAnsi" w:hAnsiTheme="majorHAnsi"/>
          <w:sz w:val="24"/>
        </w:rPr>
      </w:pPr>
      <w:r w:rsidRPr="005C2FFB">
        <w:rPr>
          <w:rFonts w:asciiTheme="majorHAnsi" w:hAnsiTheme="majorHAnsi"/>
          <w:sz w:val="24"/>
        </w:rPr>
        <w:t xml:space="preserve">9. </w:t>
      </w:r>
      <w:r w:rsidRPr="005C2FFB">
        <w:rPr>
          <w:rFonts w:asciiTheme="majorHAnsi" w:hAnsiTheme="majorHAnsi"/>
          <w:sz w:val="24"/>
        </w:rPr>
        <w:tab/>
      </w:r>
      <w:r w:rsidRPr="005C2FFB">
        <w:rPr>
          <w:rFonts w:asciiTheme="majorHAnsi" w:hAnsiTheme="majorHAnsi"/>
          <w:sz w:val="24"/>
          <w:u w:val="single"/>
        </w:rPr>
        <w:t>Gifts or Payment</w:t>
      </w:r>
      <w:r w:rsidRPr="005C2FFB" w:rsidR="0085688C">
        <w:rPr>
          <w:rFonts w:asciiTheme="majorHAnsi" w:hAnsiTheme="majorHAnsi"/>
          <w:sz w:val="24"/>
          <w:u w:val="single"/>
        </w:rPr>
        <w:t xml:space="preserve"> </w:t>
      </w:r>
    </w:p>
    <w:p w:rsidRPr="005C2FFB" w:rsidR="00FA6E11" w:rsidP="006A13FA" w:rsidRDefault="00FA6E11" w14:paraId="52A8B466" w14:textId="77777777">
      <w:pPr>
        <w:spacing w:after="0" w:line="240" w:lineRule="auto"/>
        <w:rPr>
          <w:rFonts w:asciiTheme="majorHAnsi" w:hAnsiTheme="majorHAnsi"/>
          <w:sz w:val="24"/>
        </w:rPr>
      </w:pPr>
    </w:p>
    <w:p w:rsidRPr="005C2FFB" w:rsidR="006A13FA" w:rsidP="006A13FA" w:rsidRDefault="006A13FA" w14:paraId="2AC37139" w14:textId="5F797C76">
      <w:pPr>
        <w:spacing w:after="0" w:line="240" w:lineRule="auto"/>
        <w:rPr>
          <w:rFonts w:asciiTheme="majorHAnsi" w:hAnsiTheme="majorHAnsi"/>
          <w:i/>
          <w:sz w:val="24"/>
        </w:rPr>
      </w:pPr>
      <w:r w:rsidRPr="005C2FFB">
        <w:rPr>
          <w:rFonts w:asciiTheme="majorHAnsi" w:hAnsiTheme="majorHAnsi"/>
          <w:sz w:val="24"/>
        </w:rPr>
        <w:t>No payments or gifts are being offered to respondents as an incentive to participate in the collection.</w:t>
      </w:r>
      <w:r w:rsidRPr="005C2FFB">
        <w:rPr>
          <w:rFonts w:asciiTheme="majorHAnsi" w:hAnsiTheme="majorHAnsi"/>
          <w:i/>
          <w:sz w:val="24"/>
        </w:rPr>
        <w:t xml:space="preserve"> </w:t>
      </w:r>
    </w:p>
    <w:p w:rsidRPr="005C2FFB" w:rsidR="006A13FA" w:rsidP="006A13FA" w:rsidRDefault="006A13FA" w14:paraId="26DB64E3" w14:textId="77777777">
      <w:pPr>
        <w:spacing w:after="0" w:line="240" w:lineRule="auto"/>
        <w:rPr>
          <w:rFonts w:asciiTheme="majorHAnsi" w:hAnsiTheme="majorHAnsi"/>
          <w:i/>
          <w:sz w:val="24"/>
        </w:rPr>
      </w:pPr>
    </w:p>
    <w:p w:rsidRPr="005C2FFB" w:rsidR="00F97482" w:rsidP="006A13FA" w:rsidRDefault="00F97482" w14:paraId="49BA0F63" w14:textId="77777777">
      <w:pPr>
        <w:spacing w:after="0" w:line="240" w:lineRule="auto"/>
        <w:rPr>
          <w:rFonts w:asciiTheme="majorHAnsi" w:hAnsiTheme="majorHAnsi"/>
          <w:sz w:val="24"/>
          <w:u w:val="single"/>
        </w:rPr>
      </w:pPr>
      <w:r w:rsidRPr="005C2FFB">
        <w:rPr>
          <w:rFonts w:asciiTheme="majorHAnsi" w:hAnsiTheme="majorHAnsi"/>
          <w:sz w:val="24"/>
        </w:rPr>
        <w:t xml:space="preserve">10. </w:t>
      </w:r>
      <w:r w:rsidRPr="005C2FFB">
        <w:rPr>
          <w:rFonts w:asciiTheme="majorHAnsi" w:hAnsiTheme="majorHAnsi"/>
          <w:sz w:val="24"/>
        </w:rPr>
        <w:tab/>
      </w:r>
      <w:r w:rsidRPr="005C2FFB">
        <w:rPr>
          <w:rFonts w:asciiTheme="majorHAnsi" w:hAnsiTheme="majorHAnsi"/>
          <w:sz w:val="24"/>
          <w:u w:val="single"/>
        </w:rPr>
        <w:t>Confidentiality</w:t>
      </w:r>
      <w:r w:rsidRPr="005C2FFB" w:rsidR="0085688C">
        <w:rPr>
          <w:rFonts w:asciiTheme="majorHAnsi" w:hAnsiTheme="majorHAnsi"/>
          <w:sz w:val="24"/>
          <w:u w:val="single"/>
        </w:rPr>
        <w:t xml:space="preserve"> </w:t>
      </w:r>
    </w:p>
    <w:p w:rsidRPr="005C2FFB" w:rsidR="00FA6E11" w:rsidP="008507E3" w:rsidRDefault="00FA6E11" w14:paraId="4CAE668D" w14:textId="77777777">
      <w:pPr>
        <w:spacing w:after="0" w:line="240" w:lineRule="auto"/>
        <w:rPr>
          <w:rFonts w:asciiTheme="majorHAnsi" w:hAnsiTheme="majorHAnsi"/>
          <w:sz w:val="24"/>
        </w:rPr>
      </w:pPr>
    </w:p>
    <w:p w:rsidR="008D61C8" w:rsidP="006C5A5F" w:rsidRDefault="008D61C8" w14:paraId="3438D190" w14:textId="64FA3175">
      <w:pPr>
        <w:spacing w:after="0" w:line="240" w:lineRule="auto"/>
        <w:rPr>
          <w:rFonts w:asciiTheme="majorHAnsi" w:hAnsiTheme="majorHAnsi"/>
          <w:sz w:val="24"/>
        </w:rPr>
      </w:pPr>
      <w:r>
        <w:rPr>
          <w:rFonts w:asciiTheme="majorHAnsi" w:hAnsiTheme="majorHAnsi"/>
          <w:sz w:val="24"/>
        </w:rPr>
        <w:t>The privacy advisory reads as follows: “</w:t>
      </w:r>
      <w:r w:rsidRPr="008D61C8">
        <w:rPr>
          <w:rFonts w:asciiTheme="majorHAnsi" w:hAnsiTheme="majorHAnsi"/>
          <w:sz w:val="24"/>
        </w:rPr>
        <w:t xml:space="preserve">Participants were identified for the full or abbreviated version of this survey via a process of random selection. These research conditions pose no harm to participants. Your name and contact information have been used only for the distribution of this survey. Your responses to the demographic questions will allow DoD to better analyze all responses among varying demographic groups. Responding to this survey is voluntary. The survey is confidential and your individual responses will not be released to anyone. Therefore, any responses you provide regarding experiences of unwanted gender-related behaviors will not impact </w:t>
      </w:r>
      <w:r w:rsidRPr="008D61C8">
        <w:rPr>
          <w:rFonts w:asciiTheme="majorHAnsi" w:hAnsiTheme="majorHAnsi"/>
          <w:sz w:val="24"/>
        </w:rPr>
        <w:lastRenderedPageBreak/>
        <w:t>your reporting options. The Office of People Analytics (OPA) has received a federal "Certificate of Confidentiality" that provides additional protection against any attempt to subpoena confidential survey records. There is no penalty to you if you choose not to respond. However, maximum participation is encouraged so the data will be complete and representative. This survey assesses the respondent's perspective regarding experiences of sexual harassment, gender discrimination, and sexual assault. Any reference to a perpetrator is not intended to convey guilt or innocence of any person</w:t>
      </w:r>
      <w:r>
        <w:rPr>
          <w:rFonts w:asciiTheme="majorHAnsi" w:hAnsiTheme="majorHAnsi"/>
          <w:sz w:val="24"/>
        </w:rPr>
        <w:t>…</w:t>
      </w:r>
      <w:r w:rsidRPr="008D61C8">
        <w:rPr>
          <w:rFonts w:asciiTheme="majorHAnsi" w:hAnsiTheme="majorHAnsi"/>
          <w:sz w:val="24"/>
        </w:rPr>
        <w:t xml:space="preserve">Once you start answering the survey, if you desire to withdraw your answers, please notify the Survey Processing Center prior to </w:t>
      </w:r>
      <w:r>
        <w:rPr>
          <w:rFonts w:asciiTheme="majorHAnsi" w:hAnsiTheme="majorHAnsi"/>
          <w:sz w:val="24"/>
        </w:rPr>
        <w:t>{survey closing date}</w:t>
      </w:r>
      <w:r w:rsidRPr="008D61C8">
        <w:rPr>
          <w:rFonts w:asciiTheme="majorHAnsi" w:hAnsiTheme="majorHAnsi"/>
          <w:sz w:val="24"/>
        </w:rPr>
        <w:t>. Please include in the e-mail or phone message your name and Ticket Number. Unless withdrawn, partially completed survey data may be used after that date.</w:t>
      </w:r>
      <w:r>
        <w:rPr>
          <w:rFonts w:asciiTheme="majorHAnsi" w:hAnsiTheme="majorHAnsi"/>
          <w:sz w:val="24"/>
        </w:rPr>
        <w:t>”</w:t>
      </w:r>
    </w:p>
    <w:p w:rsidR="008D61C8" w:rsidP="00050C37" w:rsidRDefault="008D61C8" w14:paraId="074E1D6F" w14:textId="77777777">
      <w:pPr>
        <w:spacing w:after="0" w:line="240" w:lineRule="auto"/>
        <w:ind w:left="720"/>
        <w:rPr>
          <w:rFonts w:asciiTheme="majorHAnsi" w:hAnsiTheme="majorHAnsi"/>
          <w:sz w:val="24"/>
        </w:rPr>
      </w:pPr>
    </w:p>
    <w:p w:rsidR="00050C37" w:rsidP="006C5A5F" w:rsidRDefault="008D61C8" w14:paraId="2042B999" w14:textId="10295199">
      <w:pPr>
        <w:spacing w:after="0" w:line="240" w:lineRule="auto"/>
        <w:rPr>
          <w:rFonts w:asciiTheme="majorHAnsi" w:hAnsiTheme="majorHAnsi"/>
          <w:sz w:val="24"/>
        </w:rPr>
      </w:pPr>
      <w:r>
        <w:rPr>
          <w:rFonts w:asciiTheme="majorHAnsi" w:hAnsiTheme="majorHAnsi"/>
          <w:sz w:val="24"/>
        </w:rPr>
        <w:t>For web participants, the privacy statement</w:t>
      </w:r>
      <w:r w:rsidRPr="00E66D63">
        <w:rPr>
          <w:rFonts w:asciiTheme="majorHAnsi" w:hAnsiTheme="majorHAnsi"/>
          <w:sz w:val="24"/>
        </w:rPr>
        <w:t xml:space="preserve"> </w:t>
      </w:r>
      <w:r>
        <w:rPr>
          <w:rFonts w:asciiTheme="majorHAnsi" w:hAnsiTheme="majorHAnsi"/>
          <w:sz w:val="24"/>
        </w:rPr>
        <w:t xml:space="preserve">is visible on a web screen and </w:t>
      </w:r>
      <w:r w:rsidRPr="00E66D63">
        <w:rPr>
          <w:rFonts w:asciiTheme="majorHAnsi" w:hAnsiTheme="majorHAnsi"/>
          <w:sz w:val="24"/>
        </w:rPr>
        <w:t>i</w:t>
      </w:r>
      <w:r>
        <w:rPr>
          <w:rFonts w:asciiTheme="majorHAnsi" w:hAnsiTheme="majorHAnsi"/>
          <w:sz w:val="24"/>
        </w:rPr>
        <w:t>nstructs the participant to:</w:t>
      </w:r>
      <w:r w:rsidRPr="00E66D63">
        <w:rPr>
          <w:rFonts w:asciiTheme="majorHAnsi" w:hAnsiTheme="majorHAnsi"/>
          <w:sz w:val="24"/>
        </w:rPr>
        <w:t xml:space="preserve"> “Click Continue if you agree to take the survey.”  Informed consent is indicated by clicking the ‘Continue’ button and answering the survey questions.  </w:t>
      </w:r>
      <w:r w:rsidR="00E66D63">
        <w:rPr>
          <w:rFonts w:asciiTheme="majorHAnsi" w:hAnsiTheme="majorHAnsi"/>
          <w:sz w:val="24"/>
        </w:rPr>
        <w:t>Participants who elect to participate in the paper survey see the privacy statement/informed consent on the cover of the survey.  All p</w:t>
      </w:r>
      <w:r w:rsidRPr="00E66D63" w:rsidR="00E66D63">
        <w:rPr>
          <w:rFonts w:asciiTheme="majorHAnsi" w:hAnsiTheme="majorHAnsi"/>
          <w:sz w:val="24"/>
        </w:rPr>
        <w:t>articipants can withdraw from the study at any time, and can also request that their data be withdrawn from the study after they’ve submitted it.  Procedures for withdrawing data are provided on the survey communications.</w:t>
      </w:r>
      <w:r w:rsidRPr="00E95FFB" w:rsidR="00050C37">
        <w:rPr>
          <w:rFonts w:asciiTheme="majorHAnsi" w:hAnsiTheme="majorHAnsi"/>
          <w:sz w:val="24"/>
        </w:rPr>
        <w:t xml:space="preserve"> </w:t>
      </w:r>
    </w:p>
    <w:p w:rsidR="00050C37" w:rsidP="00646AB7" w:rsidRDefault="00050C37" w14:paraId="0D04C4AC" w14:textId="5D00E681">
      <w:pPr>
        <w:spacing w:after="0" w:line="240" w:lineRule="auto"/>
        <w:rPr>
          <w:rFonts w:asciiTheme="majorHAnsi" w:hAnsiTheme="majorHAnsi"/>
          <w:sz w:val="24"/>
        </w:rPr>
      </w:pPr>
    </w:p>
    <w:p w:rsidRPr="00646AB7" w:rsidR="00646AB7" w:rsidP="00646AB7" w:rsidRDefault="00646AB7" w14:paraId="27BC7A39" w14:textId="45C656E6">
      <w:pPr>
        <w:spacing w:after="0" w:line="240" w:lineRule="auto"/>
        <w:rPr>
          <w:rFonts w:asciiTheme="majorHAnsi" w:hAnsiTheme="majorHAnsi"/>
          <w:sz w:val="24"/>
        </w:rPr>
      </w:pPr>
      <w:r w:rsidRPr="00646AB7">
        <w:rPr>
          <w:rFonts w:asciiTheme="majorHAnsi" w:hAnsiTheme="majorHAnsi"/>
          <w:sz w:val="24"/>
        </w:rPr>
        <w:t>The System of Record Notice (SORN) for this collection is DMDC 08 (Survey and Census Data Base [October 02, 2007, 72 FR 56062]).</w:t>
      </w:r>
      <w:r w:rsidR="004D023F">
        <w:rPr>
          <w:rFonts w:asciiTheme="majorHAnsi" w:hAnsiTheme="majorHAnsi"/>
          <w:sz w:val="24"/>
        </w:rPr>
        <w:t xml:space="preserve"> </w:t>
      </w:r>
      <w:r w:rsidRPr="004D023F" w:rsidR="004D023F">
        <w:rPr>
          <w:rFonts w:asciiTheme="majorHAnsi" w:hAnsiTheme="majorHAnsi"/>
          <w:sz w:val="24"/>
        </w:rPr>
        <w:t>A copy of the SORN has be</w:t>
      </w:r>
      <w:r w:rsidR="004D023F">
        <w:rPr>
          <w:rFonts w:asciiTheme="majorHAnsi" w:hAnsiTheme="majorHAnsi"/>
          <w:sz w:val="24"/>
        </w:rPr>
        <w:t>en provided with this package for</w:t>
      </w:r>
      <w:r w:rsidRPr="004D023F" w:rsidR="004D023F">
        <w:rPr>
          <w:rFonts w:asciiTheme="majorHAnsi" w:hAnsiTheme="majorHAnsi"/>
          <w:sz w:val="24"/>
        </w:rPr>
        <w:t xml:space="preserve"> OMB’s review.</w:t>
      </w:r>
    </w:p>
    <w:p w:rsidRPr="00646AB7" w:rsidR="00646AB7" w:rsidP="00646AB7" w:rsidRDefault="00646AB7" w14:paraId="04A9B5CD" w14:textId="77777777">
      <w:pPr>
        <w:spacing w:after="0" w:line="240" w:lineRule="auto"/>
        <w:rPr>
          <w:rFonts w:asciiTheme="majorHAnsi" w:hAnsiTheme="majorHAnsi"/>
          <w:sz w:val="24"/>
        </w:rPr>
      </w:pPr>
    </w:p>
    <w:p w:rsidR="00646AB7" w:rsidP="00646AB7" w:rsidRDefault="00646AB7" w14:paraId="09F89172" w14:textId="19D5449C">
      <w:pPr>
        <w:spacing w:after="0" w:line="240" w:lineRule="auto"/>
        <w:rPr>
          <w:rFonts w:asciiTheme="majorHAnsi" w:hAnsiTheme="majorHAnsi"/>
          <w:sz w:val="24"/>
        </w:rPr>
      </w:pPr>
      <w:r w:rsidRPr="00646AB7">
        <w:rPr>
          <w:rFonts w:asciiTheme="majorHAnsi" w:hAnsiTheme="majorHAnsi"/>
          <w:sz w:val="24"/>
        </w:rPr>
        <w:t>The WGR surveys, including the collection of personal numbers, are covered by a PIA (Survey Database,</w:t>
      </w:r>
      <w:r>
        <w:rPr>
          <w:rFonts w:asciiTheme="majorHAnsi" w:hAnsiTheme="majorHAnsi"/>
          <w:sz w:val="24"/>
        </w:rPr>
        <w:t xml:space="preserve"> [December 18, 2020], DHRA/OPA)</w:t>
      </w:r>
      <w:r w:rsidRPr="005C2FFB" w:rsidR="00996894">
        <w:rPr>
          <w:rFonts w:asciiTheme="majorHAnsi" w:hAnsiTheme="majorHAnsi"/>
          <w:sz w:val="24"/>
        </w:rPr>
        <w:t>.</w:t>
      </w:r>
      <w:r w:rsidR="004D023F">
        <w:rPr>
          <w:rFonts w:asciiTheme="majorHAnsi" w:hAnsiTheme="majorHAnsi"/>
          <w:sz w:val="24"/>
        </w:rPr>
        <w:t xml:space="preserve"> A copy of the PIA has been provided with this package for OMB’s review.</w:t>
      </w:r>
    </w:p>
    <w:p w:rsidR="00646AB7" w:rsidP="00646AB7" w:rsidRDefault="00646AB7" w14:paraId="65357107" w14:textId="77777777">
      <w:pPr>
        <w:spacing w:after="0" w:line="240" w:lineRule="auto"/>
        <w:rPr>
          <w:rFonts w:asciiTheme="majorHAnsi" w:hAnsiTheme="majorHAnsi"/>
          <w:sz w:val="24"/>
        </w:rPr>
      </w:pPr>
    </w:p>
    <w:p w:rsidR="00996894" w:rsidP="00646AB7" w:rsidRDefault="00646AB7" w14:paraId="13FE4F1C" w14:textId="32B8C5F6">
      <w:pPr>
        <w:spacing w:after="0" w:line="240" w:lineRule="auto"/>
        <w:rPr>
          <w:rFonts w:asciiTheme="majorHAnsi" w:hAnsiTheme="majorHAnsi"/>
          <w:sz w:val="24"/>
        </w:rPr>
      </w:pPr>
      <w:r>
        <w:rPr>
          <w:rFonts w:asciiTheme="majorHAnsi" w:hAnsiTheme="majorHAnsi"/>
          <w:sz w:val="24"/>
        </w:rPr>
        <w:t xml:space="preserve">The WGR will be covered by a Certificate of Confidentiality issued by the National Institutes of Health (NIH).  </w:t>
      </w:r>
      <w:r w:rsidRPr="005C2FFB" w:rsidR="00996894">
        <w:rPr>
          <w:rFonts w:asciiTheme="majorHAnsi" w:hAnsiTheme="majorHAnsi"/>
          <w:sz w:val="24"/>
        </w:rPr>
        <w:t xml:space="preserve"> </w:t>
      </w:r>
    </w:p>
    <w:p w:rsidR="0005549D" w:rsidP="0005549D" w:rsidRDefault="0005549D" w14:paraId="59CAA723" w14:textId="77777777">
      <w:pPr>
        <w:spacing w:after="0" w:line="240" w:lineRule="auto"/>
        <w:rPr>
          <w:rFonts w:asciiTheme="majorHAnsi" w:hAnsiTheme="majorHAnsi"/>
          <w:sz w:val="24"/>
          <w:highlight w:val="yellow"/>
        </w:rPr>
      </w:pPr>
    </w:p>
    <w:p w:rsidRPr="0005549D" w:rsidR="0005549D" w:rsidP="0005549D" w:rsidRDefault="0005549D" w14:paraId="75FCFBD2" w14:textId="7473A531">
      <w:pPr>
        <w:spacing w:after="0" w:line="240" w:lineRule="auto"/>
        <w:rPr>
          <w:rFonts w:asciiTheme="majorHAnsi" w:hAnsiTheme="majorHAnsi"/>
          <w:sz w:val="24"/>
        </w:rPr>
      </w:pPr>
      <w:r w:rsidRPr="0005549D">
        <w:rPr>
          <w:rFonts w:asciiTheme="majorHAnsi" w:hAnsiTheme="majorHAnsi"/>
          <w:sz w:val="24"/>
        </w:rPr>
        <w:t>The current disposition authority for survey data is N1-330-03-001, item 8. FILE NUMBER: 1805-09 FILE TITLE: Survey and Census Database FILE DESCRIPTION: Records of census forms completed by military members, civilians, and all persons eligible for DoD benefits. Information in this database are used for policy planning purposes, manpower and benefits research, and other manpower research activities, included are: Survey and Census database master file, codebooks, record layouts, and other technical information required to use the database. OSD Records Disposition Schedules SERIES 1800 342 DISPOSITION: Permanent. Cutoff on completion of the report for the DoD office requiring the creation of the report. Transfer master file and system documentation to NARA at cutoff in accordance with the standards of 36 CFR 1228.270 and 36 CFR 1234. AUTHORITY: N1-330-03-00</w:t>
      </w:r>
      <w:r>
        <w:rPr>
          <w:rFonts w:asciiTheme="majorHAnsi" w:hAnsiTheme="majorHAnsi"/>
          <w:sz w:val="24"/>
        </w:rPr>
        <w:t xml:space="preserve"> </w:t>
      </w:r>
      <w:r w:rsidRPr="0005549D">
        <w:rPr>
          <w:rFonts w:asciiTheme="majorHAnsi" w:hAnsiTheme="majorHAnsi"/>
          <w:sz w:val="24"/>
        </w:rPr>
        <w:t>Reports would fall under FILE NUMBER: 103-01.2 FILE TITLE: Policy Files – Evaluation FILE DESCRIPTION: Analyses, studies, and substantive correspondence and memos that evaluate or assist in the evaluation of a process, procedure, or function. These files accumulate in the offices of the Secretary and Deputy Secretary of Defense, immediate offices of the Under and Assistant Secretaries of Defense, or any element of any OSD Component involved in making, promulgating, or analyzing policy relating to a Component's mission. They are not to be confused with Policy and Precedent (102-05.1), Publications (102-06.1), or Instruction (103-02.1) files. NOTE: Use 101-14 for background papers associated with policy case files. DISPOSITION: Permanent. Retire to the WNRC when superseded or obsolete. Transfer to NARA 25 years after cutoff. AUTHORITY: N1-330-93-001, item 2 PRIVACY ACT: Not applicable</w:t>
      </w:r>
    </w:p>
    <w:p w:rsidRPr="0005549D" w:rsidR="0005549D" w:rsidP="0005549D" w:rsidRDefault="0005549D" w14:paraId="0555A027" w14:textId="77777777">
      <w:pPr>
        <w:spacing w:after="0" w:line="240" w:lineRule="auto"/>
        <w:rPr>
          <w:rFonts w:asciiTheme="majorHAnsi" w:hAnsiTheme="majorHAnsi"/>
          <w:sz w:val="24"/>
        </w:rPr>
      </w:pPr>
    </w:p>
    <w:p w:rsidRPr="00A56991" w:rsidR="0005549D" w:rsidP="0005549D" w:rsidRDefault="0005549D" w14:paraId="40EDAB32" w14:textId="77777777">
      <w:pPr>
        <w:spacing w:after="0" w:line="240" w:lineRule="auto"/>
        <w:rPr>
          <w:rFonts w:asciiTheme="majorHAnsi" w:hAnsiTheme="majorHAnsi"/>
          <w:sz w:val="24"/>
        </w:rPr>
      </w:pPr>
      <w:r w:rsidRPr="0005549D">
        <w:rPr>
          <w:rFonts w:asciiTheme="majorHAnsi" w:hAnsiTheme="majorHAnsi"/>
          <w:sz w:val="24"/>
        </w:rPr>
        <w:lastRenderedPageBreak/>
        <w:t>OPA currently has an SF-115 request for disposition authority for all survey records, to include the reports, labeled DAA-0330-2021-0008.  That has a temporary retention of 30 years for confidential data, permanent retention of 30 years for public use data, and permanent retention of 30 years for reports.</w:t>
      </w:r>
    </w:p>
    <w:p w:rsidRPr="005C2FFB" w:rsidR="0005549D" w:rsidP="00646AB7" w:rsidRDefault="0005549D" w14:paraId="758F304D" w14:textId="77777777">
      <w:pPr>
        <w:spacing w:after="0" w:line="240" w:lineRule="auto"/>
        <w:rPr>
          <w:rFonts w:asciiTheme="majorHAnsi" w:hAnsiTheme="majorHAnsi"/>
          <w:sz w:val="24"/>
        </w:rPr>
      </w:pPr>
    </w:p>
    <w:p w:rsidRPr="005C2FFB" w:rsidR="00337EF1" w:rsidP="00337EF1" w:rsidRDefault="00337EF1" w14:paraId="1E2D95CD" w14:textId="3C88C026">
      <w:pPr>
        <w:spacing w:after="0" w:line="240" w:lineRule="auto"/>
        <w:rPr>
          <w:rFonts w:asciiTheme="majorHAnsi" w:hAnsiTheme="majorHAnsi"/>
          <w:sz w:val="24"/>
        </w:rPr>
      </w:pPr>
      <w:r w:rsidRPr="005C2FFB">
        <w:rPr>
          <w:rFonts w:asciiTheme="majorHAnsi" w:hAnsiTheme="majorHAnsi"/>
          <w:sz w:val="24"/>
        </w:rPr>
        <w:t xml:space="preserve">11. </w:t>
      </w:r>
      <w:r w:rsidRPr="005C2FFB">
        <w:rPr>
          <w:rFonts w:asciiTheme="majorHAnsi" w:hAnsiTheme="majorHAnsi"/>
          <w:sz w:val="24"/>
        </w:rPr>
        <w:tab/>
      </w:r>
      <w:r w:rsidRPr="005C2FFB">
        <w:rPr>
          <w:rFonts w:asciiTheme="majorHAnsi" w:hAnsiTheme="majorHAnsi"/>
          <w:sz w:val="24"/>
          <w:u w:val="single"/>
        </w:rPr>
        <w:t>Sensitive Questions</w:t>
      </w:r>
      <w:r w:rsidRPr="005C2FFB" w:rsidR="0085688C">
        <w:rPr>
          <w:rFonts w:asciiTheme="majorHAnsi" w:hAnsiTheme="majorHAnsi"/>
          <w:sz w:val="24"/>
          <w:u w:val="single"/>
        </w:rPr>
        <w:t xml:space="preserve"> </w:t>
      </w:r>
    </w:p>
    <w:p w:rsidRPr="005C2FFB" w:rsidR="00FA6E11" w:rsidP="007A3F04" w:rsidRDefault="00FA6E11" w14:paraId="06F5B6BE" w14:textId="77777777">
      <w:pPr>
        <w:spacing w:after="0" w:line="240" w:lineRule="auto"/>
        <w:rPr>
          <w:rFonts w:asciiTheme="majorHAnsi" w:hAnsiTheme="majorHAnsi"/>
          <w:sz w:val="24"/>
        </w:rPr>
      </w:pPr>
    </w:p>
    <w:p w:rsidRPr="005C2FFB" w:rsidR="007A3F04" w:rsidP="007A3F04" w:rsidRDefault="007A3F04" w14:paraId="55D8AEE4" w14:textId="556EF7DB">
      <w:pPr>
        <w:spacing w:after="0" w:line="240" w:lineRule="auto"/>
        <w:rPr>
          <w:rFonts w:asciiTheme="majorHAnsi" w:hAnsiTheme="majorHAnsi"/>
          <w:sz w:val="24"/>
        </w:rPr>
      </w:pPr>
      <w:r w:rsidRPr="005C2FFB">
        <w:rPr>
          <w:rFonts w:asciiTheme="majorHAnsi" w:hAnsiTheme="majorHAnsi"/>
          <w:sz w:val="24"/>
        </w:rPr>
        <w:t>The WGR surveys ask questions of a sensitive nature including questions related to: experiences of</w:t>
      </w:r>
      <w:r w:rsidRPr="005C2FFB" w:rsidR="00E1174A">
        <w:rPr>
          <w:rFonts w:asciiTheme="majorHAnsi" w:hAnsiTheme="majorHAnsi"/>
          <w:sz w:val="24"/>
        </w:rPr>
        <w:t xml:space="preserve"> unwanted sexual contact/</w:t>
      </w:r>
      <w:r w:rsidRPr="005C2FFB">
        <w:rPr>
          <w:rFonts w:asciiTheme="majorHAnsi" w:hAnsiTheme="majorHAnsi"/>
          <w:sz w:val="24"/>
        </w:rPr>
        <w:t xml:space="preserve">sexual assault, sexual harassment, and gender discrimination.  The survey is scientifically designed to produce the most reliable estimates of unwanted gender related behavior.  To do so, the survey includes behaviorally anchored and specific questions regarding these experiences in lieu of more broad terminology that may be more difficult to interpret.  The WGR surveys provide the Defense Department’s only official estimates of sexual harassment, </w:t>
      </w:r>
      <w:r w:rsidRPr="005C2FFB" w:rsidR="00E1174A">
        <w:rPr>
          <w:rFonts w:asciiTheme="majorHAnsi" w:hAnsiTheme="majorHAnsi"/>
          <w:sz w:val="24"/>
        </w:rPr>
        <w:t>unwanted sexual contact/</w:t>
      </w:r>
      <w:r w:rsidRPr="005C2FFB">
        <w:rPr>
          <w:rFonts w:asciiTheme="majorHAnsi" w:hAnsiTheme="majorHAnsi"/>
          <w:sz w:val="24"/>
        </w:rPr>
        <w:t xml:space="preserve">sexual assault, and gender discrimination making the collection of these data, in a reliable and usable manner, critical to prevention and response.  </w:t>
      </w:r>
      <w:r w:rsidRPr="005C2FFB" w:rsidR="005634B6">
        <w:rPr>
          <w:rFonts w:asciiTheme="majorHAnsi" w:hAnsiTheme="majorHAnsi"/>
          <w:sz w:val="24"/>
        </w:rPr>
        <w:t>Resources are identified for those respondents who may experience distress associated with any of these questions.</w:t>
      </w:r>
    </w:p>
    <w:p w:rsidRPr="005C2FFB" w:rsidR="007A3F04" w:rsidP="007A3F04" w:rsidRDefault="007A3F04" w14:paraId="74BA3D5D" w14:textId="77777777">
      <w:pPr>
        <w:spacing w:after="0" w:line="240" w:lineRule="auto"/>
        <w:rPr>
          <w:rFonts w:asciiTheme="majorHAnsi" w:hAnsiTheme="majorHAnsi"/>
          <w:sz w:val="24"/>
        </w:rPr>
      </w:pPr>
    </w:p>
    <w:p w:rsidRPr="005C2FFB" w:rsidR="007A3F04" w:rsidP="007A3F04" w:rsidRDefault="007A3F04" w14:paraId="27D0FF24" w14:textId="67441A1B">
      <w:pPr>
        <w:spacing w:after="0" w:line="240" w:lineRule="auto"/>
        <w:rPr>
          <w:rFonts w:asciiTheme="majorHAnsi" w:hAnsiTheme="majorHAnsi"/>
          <w:sz w:val="24"/>
        </w:rPr>
      </w:pPr>
      <w:r w:rsidRPr="005C2FFB">
        <w:rPr>
          <w:rFonts w:asciiTheme="majorHAnsi" w:hAnsiTheme="majorHAnsi"/>
          <w:sz w:val="24"/>
        </w:rPr>
        <w:t xml:space="preserve">In order to further support the Defense Department’s sexual assault and sexual harassment prevention efforts, and </w:t>
      </w:r>
      <w:r w:rsidR="00B5287C">
        <w:rPr>
          <w:rFonts w:asciiTheme="majorHAnsi" w:hAnsiTheme="majorHAnsi"/>
          <w:sz w:val="24"/>
        </w:rPr>
        <w:t xml:space="preserve">remain </w:t>
      </w:r>
      <w:r w:rsidRPr="005C2FFB">
        <w:rPr>
          <w:rFonts w:asciiTheme="majorHAnsi" w:hAnsiTheme="majorHAnsi"/>
          <w:sz w:val="24"/>
        </w:rPr>
        <w:t>consistent with the DoD’s Prevention Plan of Action, the WGR surveys will also include questions related to sexism</w:t>
      </w:r>
      <w:r w:rsidRPr="005C2FFB" w:rsidR="005634B6">
        <w:rPr>
          <w:rFonts w:asciiTheme="majorHAnsi" w:hAnsiTheme="majorHAnsi"/>
          <w:sz w:val="24"/>
        </w:rPr>
        <w:t xml:space="preserve">.  </w:t>
      </w:r>
      <w:r w:rsidRPr="005C2FFB">
        <w:rPr>
          <w:rFonts w:asciiTheme="majorHAnsi" w:hAnsiTheme="majorHAnsi"/>
          <w:sz w:val="24"/>
        </w:rPr>
        <w:t xml:space="preserve">These questions are intended to measure attitudes and beliefs that prior research has shown to be correlated with engaging in unwanted gender-related behaviors or </w:t>
      </w:r>
      <w:r w:rsidRPr="005C2FFB" w:rsidR="005634B6">
        <w:rPr>
          <w:rFonts w:asciiTheme="majorHAnsi" w:hAnsiTheme="majorHAnsi"/>
          <w:sz w:val="24"/>
        </w:rPr>
        <w:t>willingness to report</w:t>
      </w:r>
      <w:r w:rsidRPr="005C2FFB">
        <w:rPr>
          <w:rFonts w:asciiTheme="majorHAnsi" w:hAnsiTheme="majorHAnsi"/>
          <w:sz w:val="24"/>
        </w:rPr>
        <w:t xml:space="preserve"> these behaviors to the authorities. </w:t>
      </w:r>
      <w:r w:rsidRPr="005C2FFB" w:rsidR="005634B6">
        <w:rPr>
          <w:rFonts w:asciiTheme="majorHAnsi" w:hAnsiTheme="majorHAnsi"/>
          <w:sz w:val="24"/>
        </w:rPr>
        <w:t xml:space="preserve"> Including t</w:t>
      </w:r>
      <w:r w:rsidRPr="005C2FFB">
        <w:rPr>
          <w:rFonts w:asciiTheme="majorHAnsi" w:hAnsiTheme="majorHAnsi"/>
          <w:sz w:val="24"/>
        </w:rPr>
        <w:t>hese items will</w:t>
      </w:r>
      <w:r w:rsidRPr="005C2FFB" w:rsidR="005634B6">
        <w:rPr>
          <w:rFonts w:asciiTheme="majorHAnsi" w:hAnsiTheme="majorHAnsi"/>
          <w:sz w:val="24"/>
        </w:rPr>
        <w:t xml:space="preserve"> allow OPA to</w:t>
      </w:r>
      <w:r w:rsidRPr="005C2FFB">
        <w:rPr>
          <w:rFonts w:asciiTheme="majorHAnsi" w:hAnsiTheme="majorHAnsi"/>
          <w:sz w:val="24"/>
        </w:rPr>
        <w:t xml:space="preserve"> measure the pervas</w:t>
      </w:r>
      <w:r w:rsidRPr="005C2FFB" w:rsidR="005634B6">
        <w:rPr>
          <w:rFonts w:asciiTheme="majorHAnsi" w:hAnsiTheme="majorHAnsi"/>
          <w:sz w:val="24"/>
        </w:rPr>
        <w:t xml:space="preserve">iveness of these beliefs and provide additional data to </w:t>
      </w:r>
      <w:r w:rsidRPr="005C2FFB">
        <w:rPr>
          <w:rFonts w:asciiTheme="majorHAnsi" w:hAnsiTheme="majorHAnsi"/>
          <w:sz w:val="24"/>
        </w:rPr>
        <w:t xml:space="preserve">support the development of evidence-informed interventions. </w:t>
      </w:r>
    </w:p>
    <w:p w:rsidRPr="005C2FFB" w:rsidR="005634B6" w:rsidP="007A3F04" w:rsidRDefault="005634B6" w14:paraId="17D8C05A" w14:textId="77777777">
      <w:pPr>
        <w:spacing w:after="0" w:line="240" w:lineRule="auto"/>
        <w:rPr>
          <w:rFonts w:asciiTheme="majorHAnsi" w:hAnsiTheme="majorHAnsi"/>
          <w:sz w:val="24"/>
        </w:rPr>
      </w:pPr>
    </w:p>
    <w:p w:rsidRPr="005C2FFB" w:rsidR="00D21AA6" w:rsidP="00337EF1" w:rsidRDefault="005634B6" w14:paraId="7157FFFA" w14:textId="77777777">
      <w:pPr>
        <w:spacing w:after="0" w:line="240" w:lineRule="auto"/>
        <w:rPr>
          <w:rFonts w:asciiTheme="majorHAnsi" w:hAnsiTheme="majorHAnsi"/>
          <w:i/>
          <w:sz w:val="24"/>
        </w:rPr>
      </w:pPr>
      <w:r w:rsidRPr="005C2FFB">
        <w:rPr>
          <w:rFonts w:asciiTheme="majorHAnsi" w:hAnsiTheme="majorHAnsi"/>
          <w:sz w:val="24"/>
        </w:rPr>
        <w:t xml:space="preserve">The WGR surveys also include questions related to sexual orientation, gender identity, race/ethnicity in order to provide the most comprehensive analyses of Service members’ experiences with unwanted gender related behavior and an assessment of risk.  Similarly, questions related to Service members’ perceptions regarding racial harassment and/or discrimination will provide additional insight regarding other aspects of the organizational climate that may be related to the prevalence or risk of sexual harassment and sexual assault.  </w:t>
      </w:r>
    </w:p>
    <w:p w:rsidRPr="005C2FFB" w:rsidR="005634B6" w:rsidP="00337EF1" w:rsidRDefault="005634B6" w14:paraId="58041E5E" w14:textId="77777777">
      <w:pPr>
        <w:spacing w:after="0" w:line="240" w:lineRule="auto"/>
        <w:rPr>
          <w:rFonts w:asciiTheme="majorHAnsi" w:hAnsiTheme="majorHAnsi"/>
          <w:sz w:val="24"/>
        </w:rPr>
      </w:pPr>
    </w:p>
    <w:p w:rsidRPr="005C2FFB" w:rsidR="00D21AA6" w:rsidP="00337EF1" w:rsidRDefault="00D21AA6" w14:paraId="310DE26D" w14:textId="77777777">
      <w:pPr>
        <w:spacing w:after="0" w:line="240" w:lineRule="auto"/>
        <w:rPr>
          <w:rFonts w:asciiTheme="majorHAnsi" w:hAnsiTheme="majorHAnsi"/>
          <w:sz w:val="24"/>
        </w:rPr>
      </w:pPr>
      <w:r w:rsidRPr="005C2FFB">
        <w:rPr>
          <w:rFonts w:asciiTheme="majorHAnsi" w:hAnsiTheme="majorHAnsi"/>
          <w:sz w:val="24"/>
        </w:rPr>
        <w:t xml:space="preserve">12. </w:t>
      </w:r>
      <w:r w:rsidRPr="005C2FFB" w:rsidR="00A76F7E">
        <w:rPr>
          <w:rFonts w:asciiTheme="majorHAnsi" w:hAnsiTheme="majorHAnsi"/>
          <w:sz w:val="24"/>
        </w:rPr>
        <w:tab/>
      </w:r>
      <w:r w:rsidRPr="005C2FFB" w:rsidR="00A76F7E">
        <w:rPr>
          <w:rFonts w:asciiTheme="majorHAnsi" w:hAnsiTheme="majorHAnsi"/>
          <w:sz w:val="24"/>
          <w:u w:val="single"/>
        </w:rPr>
        <w:t>Respondent Burden and its Labor Costs</w:t>
      </w:r>
    </w:p>
    <w:p w:rsidRPr="005C2FFB" w:rsidR="00FA6E11" w:rsidP="00373EE4" w:rsidRDefault="00235D71" w14:paraId="3D4029AC" w14:textId="41C88457">
      <w:pPr>
        <w:pStyle w:val="NormalWeb"/>
        <w:spacing w:after="0" w:afterAutospacing="0" w:line="288" w:lineRule="atLeast"/>
        <w:rPr>
          <w:rFonts w:asciiTheme="majorHAnsi" w:hAnsiTheme="majorHAnsi"/>
          <w:i/>
        </w:rPr>
      </w:pPr>
      <w:r w:rsidRPr="005C2FFB">
        <w:rPr>
          <w:rFonts w:asciiTheme="majorHAnsi" w:hAnsiTheme="majorHAnsi" w:eastAsiaTheme="minorHAnsi" w:cstheme="minorBidi"/>
          <w:szCs w:val="22"/>
        </w:rPr>
        <w:t>Part A: ESTIMATION OF RESPONDENT BURDEN</w:t>
      </w:r>
      <w:r w:rsidRPr="005C2FFB">
        <w:rPr>
          <w:rFonts w:asciiTheme="majorHAnsi" w:hAnsiTheme="majorHAnsi"/>
          <w:i/>
        </w:rPr>
        <w:t xml:space="preserve"> </w:t>
      </w:r>
    </w:p>
    <w:p w:rsidRPr="005C2FFB" w:rsidR="00235D71" w:rsidP="00235D71" w:rsidRDefault="00235D71" w14:paraId="2B19035F" w14:textId="77777777">
      <w:pPr>
        <w:pStyle w:val="ListParagraph"/>
        <w:numPr>
          <w:ilvl w:val="0"/>
          <w:numId w:val="14"/>
        </w:numPr>
        <w:spacing w:after="0" w:line="240" w:lineRule="auto"/>
        <w:rPr>
          <w:rFonts w:asciiTheme="majorHAnsi" w:hAnsiTheme="majorHAnsi"/>
          <w:sz w:val="24"/>
        </w:rPr>
      </w:pPr>
      <w:r w:rsidRPr="005C2FFB">
        <w:rPr>
          <w:rFonts w:asciiTheme="majorHAnsi" w:hAnsiTheme="majorHAnsi"/>
          <w:sz w:val="24"/>
        </w:rPr>
        <w:t>Collection Instrument(s)</w:t>
      </w:r>
    </w:p>
    <w:p w:rsidR="004D2AFA" w:rsidP="00235D71" w:rsidRDefault="00AE77ED" w14:paraId="1851085E" w14:textId="77777777">
      <w:pPr>
        <w:pStyle w:val="ListParagraph"/>
        <w:spacing w:after="0" w:line="240" w:lineRule="auto"/>
        <w:rPr>
          <w:rFonts w:asciiTheme="majorHAnsi" w:hAnsiTheme="majorHAnsi"/>
          <w:sz w:val="24"/>
        </w:rPr>
      </w:pPr>
      <w:r w:rsidRPr="005C2FFB">
        <w:rPr>
          <w:rFonts w:asciiTheme="majorHAnsi" w:hAnsiTheme="majorHAnsi"/>
          <w:sz w:val="24"/>
        </w:rPr>
        <w:t>2021 Workplace and Gender Relations Survey</w:t>
      </w:r>
      <w:r w:rsidR="003B7BB8">
        <w:rPr>
          <w:rFonts w:asciiTheme="majorHAnsi" w:hAnsiTheme="majorHAnsi"/>
          <w:sz w:val="24"/>
        </w:rPr>
        <w:t xml:space="preserve"> (Active component [AC]); </w:t>
      </w:r>
    </w:p>
    <w:p w:rsidR="004D2AFA" w:rsidP="00235D71" w:rsidRDefault="003B7BB8" w14:paraId="538FF284" w14:textId="07BC8B55">
      <w:pPr>
        <w:pStyle w:val="ListParagraph"/>
        <w:spacing w:after="0" w:line="240" w:lineRule="auto"/>
        <w:rPr>
          <w:rFonts w:asciiTheme="majorHAnsi" w:hAnsiTheme="majorHAnsi"/>
          <w:sz w:val="24"/>
        </w:rPr>
      </w:pPr>
      <w:r w:rsidRPr="005C2FFB">
        <w:rPr>
          <w:rFonts w:asciiTheme="majorHAnsi" w:hAnsiTheme="majorHAnsi"/>
          <w:sz w:val="24"/>
        </w:rPr>
        <w:t>2021 Workplace and Gender Relations Survey</w:t>
      </w:r>
      <w:r>
        <w:rPr>
          <w:rFonts w:asciiTheme="majorHAnsi" w:hAnsiTheme="majorHAnsi"/>
          <w:sz w:val="24"/>
        </w:rPr>
        <w:t xml:space="preserve"> (Reserve component</w:t>
      </w:r>
      <w:r w:rsidR="004D2AFA">
        <w:rPr>
          <w:rFonts w:asciiTheme="majorHAnsi" w:hAnsiTheme="majorHAnsi"/>
          <w:sz w:val="24"/>
        </w:rPr>
        <w:t xml:space="preserve"> [RC]</w:t>
      </w:r>
      <w:r>
        <w:rPr>
          <w:rFonts w:asciiTheme="majorHAnsi" w:hAnsiTheme="majorHAnsi"/>
          <w:sz w:val="24"/>
        </w:rPr>
        <w:t xml:space="preserve">); </w:t>
      </w:r>
    </w:p>
    <w:p w:rsidRPr="005C2FFB" w:rsidR="00235D71" w:rsidP="00235D71" w:rsidRDefault="003B7BB8" w14:paraId="79A31346" w14:textId="77BAC7CD">
      <w:pPr>
        <w:pStyle w:val="ListParagraph"/>
        <w:spacing w:after="0" w:line="240" w:lineRule="auto"/>
        <w:rPr>
          <w:rFonts w:asciiTheme="majorHAnsi" w:hAnsiTheme="majorHAnsi"/>
          <w:sz w:val="24"/>
        </w:rPr>
      </w:pPr>
      <w:r w:rsidRPr="005C2FFB">
        <w:rPr>
          <w:rFonts w:asciiTheme="majorHAnsi" w:hAnsiTheme="majorHAnsi"/>
          <w:sz w:val="24"/>
        </w:rPr>
        <w:t xml:space="preserve">2021 Workplace and Gender Relations </w:t>
      </w:r>
      <w:r>
        <w:rPr>
          <w:rFonts w:asciiTheme="majorHAnsi" w:hAnsiTheme="majorHAnsi"/>
          <w:sz w:val="24"/>
        </w:rPr>
        <w:t xml:space="preserve">Abbreviated </w:t>
      </w:r>
      <w:r w:rsidRPr="005C2FFB">
        <w:rPr>
          <w:rFonts w:asciiTheme="majorHAnsi" w:hAnsiTheme="majorHAnsi"/>
          <w:sz w:val="24"/>
        </w:rPr>
        <w:t>Survey</w:t>
      </w:r>
      <w:r>
        <w:rPr>
          <w:rFonts w:asciiTheme="majorHAnsi" w:hAnsiTheme="majorHAnsi"/>
          <w:sz w:val="24"/>
        </w:rPr>
        <w:t xml:space="preserve"> (Abbr)</w:t>
      </w:r>
    </w:p>
    <w:p w:rsidR="004D2AFA" w:rsidP="00235D71" w:rsidRDefault="00520B36" w14:paraId="19DAD167" w14:textId="77777777">
      <w:pPr>
        <w:pStyle w:val="ListParagraph"/>
        <w:numPr>
          <w:ilvl w:val="0"/>
          <w:numId w:val="15"/>
        </w:numPr>
        <w:spacing w:after="0" w:line="240" w:lineRule="auto"/>
        <w:rPr>
          <w:rFonts w:asciiTheme="majorHAnsi" w:hAnsiTheme="majorHAnsi"/>
          <w:sz w:val="24"/>
        </w:rPr>
      </w:pPr>
      <w:r w:rsidRPr="005C2FFB">
        <w:rPr>
          <w:rFonts w:asciiTheme="majorHAnsi" w:hAnsiTheme="majorHAnsi"/>
          <w:sz w:val="24"/>
        </w:rPr>
        <w:t xml:space="preserve">Number of Respondents: </w:t>
      </w:r>
    </w:p>
    <w:p w:rsidR="004D2AFA" w:rsidP="00BD5EAA" w:rsidRDefault="00B25767" w14:paraId="6C0139AB" w14:textId="587CCB32">
      <w:pPr>
        <w:pStyle w:val="ListParagraph"/>
        <w:spacing w:after="0" w:line="240" w:lineRule="auto"/>
        <w:ind w:left="1440"/>
        <w:rPr>
          <w:rFonts w:asciiTheme="majorHAnsi" w:hAnsiTheme="majorHAnsi"/>
          <w:sz w:val="24"/>
        </w:rPr>
      </w:pPr>
      <w:r>
        <w:rPr>
          <w:rFonts w:asciiTheme="majorHAnsi" w:hAnsiTheme="majorHAnsi"/>
          <w:sz w:val="24"/>
        </w:rPr>
        <w:t>152</w:t>
      </w:r>
      <w:r w:rsidR="00E51880">
        <w:rPr>
          <w:rFonts w:asciiTheme="majorHAnsi" w:hAnsiTheme="majorHAnsi"/>
          <w:sz w:val="24"/>
        </w:rPr>
        <w:t>,</w:t>
      </w:r>
      <w:r>
        <w:rPr>
          <w:rFonts w:asciiTheme="majorHAnsi" w:hAnsiTheme="majorHAnsi"/>
          <w:sz w:val="24"/>
        </w:rPr>
        <w:t>1</w:t>
      </w:r>
      <w:r w:rsidR="00E51880">
        <w:rPr>
          <w:rFonts w:asciiTheme="majorHAnsi" w:hAnsiTheme="majorHAnsi"/>
          <w:sz w:val="24"/>
        </w:rPr>
        <w:t>00</w:t>
      </w:r>
      <w:r w:rsidR="003B7BB8">
        <w:rPr>
          <w:rFonts w:asciiTheme="majorHAnsi" w:hAnsiTheme="majorHAnsi"/>
          <w:sz w:val="24"/>
        </w:rPr>
        <w:t xml:space="preserve"> (AC) </w:t>
      </w:r>
    </w:p>
    <w:p w:rsidR="004D2AFA" w:rsidP="00BD5EAA" w:rsidRDefault="00B25767" w14:paraId="6C73BF59" w14:textId="11893E46">
      <w:pPr>
        <w:pStyle w:val="ListParagraph"/>
        <w:spacing w:after="0" w:line="240" w:lineRule="auto"/>
        <w:ind w:left="1440"/>
        <w:rPr>
          <w:rFonts w:asciiTheme="majorHAnsi" w:hAnsiTheme="majorHAnsi"/>
          <w:sz w:val="24"/>
        </w:rPr>
      </w:pPr>
      <w:r>
        <w:rPr>
          <w:rFonts w:asciiTheme="majorHAnsi" w:hAnsiTheme="majorHAnsi"/>
          <w:sz w:val="24"/>
        </w:rPr>
        <w:t xml:space="preserve">50,700 </w:t>
      </w:r>
      <w:r w:rsidR="00084F30">
        <w:rPr>
          <w:rFonts w:asciiTheme="majorHAnsi" w:hAnsiTheme="majorHAnsi"/>
          <w:sz w:val="24"/>
        </w:rPr>
        <w:t>(RC)</w:t>
      </w:r>
      <w:r w:rsidR="003B7BB8">
        <w:rPr>
          <w:rFonts w:asciiTheme="majorHAnsi" w:hAnsiTheme="majorHAnsi"/>
          <w:sz w:val="24"/>
        </w:rPr>
        <w:t xml:space="preserve"> </w:t>
      </w:r>
    </w:p>
    <w:p w:rsidRPr="005C2FFB" w:rsidR="00235D71" w:rsidP="00BD5EAA" w:rsidRDefault="00B25767" w14:paraId="00275460" w14:textId="060E44D8">
      <w:pPr>
        <w:pStyle w:val="ListParagraph"/>
        <w:spacing w:after="0" w:line="240" w:lineRule="auto"/>
        <w:ind w:left="1440"/>
        <w:rPr>
          <w:rFonts w:asciiTheme="majorHAnsi" w:hAnsiTheme="majorHAnsi"/>
          <w:sz w:val="24"/>
        </w:rPr>
      </w:pPr>
      <w:r>
        <w:rPr>
          <w:rFonts w:asciiTheme="majorHAnsi" w:hAnsiTheme="majorHAnsi"/>
          <w:sz w:val="24"/>
        </w:rPr>
        <w:t xml:space="preserve">1,500 </w:t>
      </w:r>
      <w:r w:rsidR="003B7BB8">
        <w:rPr>
          <w:rFonts w:asciiTheme="majorHAnsi" w:hAnsiTheme="majorHAnsi"/>
          <w:sz w:val="24"/>
        </w:rPr>
        <w:t>(Abbr)</w:t>
      </w:r>
      <w:r w:rsidR="00E51880">
        <w:rPr>
          <w:rFonts w:asciiTheme="majorHAnsi" w:hAnsiTheme="majorHAnsi"/>
          <w:sz w:val="24"/>
        </w:rPr>
        <w:t xml:space="preserve"> </w:t>
      </w:r>
    </w:p>
    <w:p w:rsidRPr="005C2FFB" w:rsidR="00235D71" w:rsidP="00235D71" w:rsidRDefault="00A76F7E" w14:paraId="7FDCA8BC" w14:textId="3900CDFB">
      <w:pPr>
        <w:pStyle w:val="ListParagraph"/>
        <w:numPr>
          <w:ilvl w:val="0"/>
          <w:numId w:val="15"/>
        </w:numPr>
        <w:spacing w:after="0" w:line="240" w:lineRule="auto"/>
        <w:rPr>
          <w:rFonts w:asciiTheme="majorHAnsi" w:hAnsiTheme="majorHAnsi"/>
          <w:sz w:val="24"/>
        </w:rPr>
      </w:pPr>
      <w:r w:rsidRPr="005C2FFB">
        <w:rPr>
          <w:rFonts w:asciiTheme="majorHAnsi" w:hAnsiTheme="majorHAnsi"/>
          <w:sz w:val="24"/>
        </w:rPr>
        <w:t>Number of Responses Per</w:t>
      </w:r>
      <w:r w:rsidRPr="005C2FFB" w:rsidR="00520B36">
        <w:rPr>
          <w:rFonts w:asciiTheme="majorHAnsi" w:hAnsiTheme="majorHAnsi"/>
          <w:sz w:val="24"/>
        </w:rPr>
        <w:t xml:space="preserve"> Respondent: </w:t>
      </w:r>
      <w:r w:rsidR="00E51880">
        <w:rPr>
          <w:rFonts w:asciiTheme="majorHAnsi" w:hAnsiTheme="majorHAnsi"/>
          <w:sz w:val="24"/>
        </w:rPr>
        <w:t>1</w:t>
      </w:r>
    </w:p>
    <w:p w:rsidR="004D2AFA" w:rsidP="00235D71" w:rsidRDefault="00A76F7E" w14:paraId="77383BA6" w14:textId="09477125">
      <w:pPr>
        <w:pStyle w:val="ListParagraph"/>
        <w:numPr>
          <w:ilvl w:val="0"/>
          <w:numId w:val="15"/>
        </w:numPr>
        <w:spacing w:after="0" w:line="240" w:lineRule="auto"/>
        <w:rPr>
          <w:rFonts w:asciiTheme="majorHAnsi" w:hAnsiTheme="majorHAnsi"/>
          <w:sz w:val="24"/>
        </w:rPr>
      </w:pPr>
      <w:r w:rsidRPr="005C2FFB">
        <w:rPr>
          <w:rFonts w:asciiTheme="majorHAnsi" w:hAnsiTheme="majorHAnsi"/>
          <w:sz w:val="24"/>
        </w:rPr>
        <w:t>Num</w:t>
      </w:r>
      <w:r w:rsidR="00E51880">
        <w:rPr>
          <w:rFonts w:asciiTheme="majorHAnsi" w:hAnsiTheme="majorHAnsi"/>
          <w:sz w:val="24"/>
        </w:rPr>
        <w:t>ber of Total Annual Responses:</w:t>
      </w:r>
      <w:r w:rsidRPr="005C2FFB" w:rsidR="00AE77ED">
        <w:rPr>
          <w:rFonts w:asciiTheme="majorHAnsi" w:hAnsiTheme="majorHAnsi"/>
          <w:sz w:val="24"/>
        </w:rPr>
        <w:t xml:space="preserve"> </w:t>
      </w:r>
      <w:r w:rsidR="00F63F70">
        <w:rPr>
          <w:rFonts w:asciiTheme="majorHAnsi" w:hAnsiTheme="majorHAnsi"/>
          <w:sz w:val="24"/>
        </w:rPr>
        <w:t>204,300</w:t>
      </w:r>
    </w:p>
    <w:p w:rsidR="004D2AFA" w:rsidP="00BD5EAA" w:rsidRDefault="004D2AFA" w14:paraId="1D5C71CF" w14:textId="4486EF59">
      <w:pPr>
        <w:pStyle w:val="ListParagraph"/>
        <w:spacing w:after="0" w:line="240" w:lineRule="auto"/>
        <w:ind w:left="1440"/>
        <w:rPr>
          <w:rFonts w:asciiTheme="majorHAnsi" w:hAnsiTheme="majorHAnsi"/>
          <w:sz w:val="24"/>
        </w:rPr>
      </w:pPr>
      <w:r>
        <w:rPr>
          <w:rFonts w:asciiTheme="majorHAnsi" w:hAnsiTheme="majorHAnsi"/>
          <w:sz w:val="24"/>
        </w:rPr>
        <w:t xml:space="preserve">152,100 (AC) </w:t>
      </w:r>
    </w:p>
    <w:p w:rsidR="004D2AFA" w:rsidP="00BD5EAA" w:rsidRDefault="004D2AFA" w14:paraId="147CA276" w14:textId="479B3303">
      <w:pPr>
        <w:pStyle w:val="ListParagraph"/>
        <w:spacing w:after="0" w:line="240" w:lineRule="auto"/>
        <w:ind w:left="1440"/>
        <w:rPr>
          <w:rFonts w:asciiTheme="majorHAnsi" w:hAnsiTheme="majorHAnsi"/>
          <w:sz w:val="24"/>
        </w:rPr>
      </w:pPr>
      <w:r>
        <w:rPr>
          <w:rFonts w:asciiTheme="majorHAnsi" w:hAnsiTheme="majorHAnsi"/>
          <w:sz w:val="24"/>
        </w:rPr>
        <w:t xml:space="preserve">50,700 (RC) </w:t>
      </w:r>
    </w:p>
    <w:p w:rsidRPr="005C2FFB" w:rsidR="00235D71" w:rsidP="00BD5EAA" w:rsidRDefault="004D2AFA" w14:paraId="4F42278A" w14:textId="468C1B46">
      <w:pPr>
        <w:pStyle w:val="ListParagraph"/>
        <w:spacing w:after="0" w:line="240" w:lineRule="auto"/>
        <w:ind w:left="1440"/>
        <w:rPr>
          <w:rFonts w:asciiTheme="majorHAnsi" w:hAnsiTheme="majorHAnsi"/>
          <w:sz w:val="24"/>
        </w:rPr>
      </w:pPr>
      <w:r>
        <w:rPr>
          <w:rFonts w:asciiTheme="majorHAnsi" w:hAnsiTheme="majorHAnsi"/>
          <w:sz w:val="24"/>
        </w:rPr>
        <w:t xml:space="preserve">1,500 (Abbr) </w:t>
      </w:r>
    </w:p>
    <w:p w:rsidR="004D2AFA" w:rsidP="00A56995" w:rsidRDefault="00A76F7E" w14:paraId="6FF3C454" w14:textId="77777777">
      <w:pPr>
        <w:pStyle w:val="ListParagraph"/>
        <w:numPr>
          <w:ilvl w:val="0"/>
          <w:numId w:val="15"/>
        </w:numPr>
        <w:spacing w:after="0" w:line="240" w:lineRule="auto"/>
        <w:rPr>
          <w:rFonts w:asciiTheme="majorHAnsi" w:hAnsiTheme="majorHAnsi"/>
          <w:sz w:val="24"/>
        </w:rPr>
      </w:pPr>
      <w:r w:rsidRPr="005C2FFB">
        <w:rPr>
          <w:rFonts w:asciiTheme="majorHAnsi" w:hAnsiTheme="majorHAnsi"/>
          <w:sz w:val="24"/>
        </w:rPr>
        <w:t>Response Time</w:t>
      </w:r>
      <w:r w:rsidRPr="005C2FFB" w:rsidR="00520B36">
        <w:rPr>
          <w:rFonts w:asciiTheme="majorHAnsi" w:hAnsiTheme="majorHAnsi"/>
          <w:sz w:val="24"/>
        </w:rPr>
        <w:t xml:space="preserve">: </w:t>
      </w:r>
    </w:p>
    <w:p w:rsidR="004D2AFA" w:rsidP="00BD5EAA" w:rsidRDefault="00E51880" w14:paraId="50C01C0B" w14:textId="633AED6D">
      <w:pPr>
        <w:pStyle w:val="ListParagraph"/>
        <w:spacing w:after="0" w:line="240" w:lineRule="auto"/>
        <w:ind w:left="1440"/>
        <w:rPr>
          <w:rFonts w:asciiTheme="majorHAnsi" w:hAnsiTheme="majorHAnsi"/>
          <w:sz w:val="24"/>
        </w:rPr>
      </w:pPr>
      <w:r>
        <w:rPr>
          <w:rFonts w:asciiTheme="majorHAnsi" w:hAnsiTheme="majorHAnsi"/>
          <w:sz w:val="24"/>
        </w:rPr>
        <w:t>0.5 hours</w:t>
      </w:r>
      <w:r w:rsidR="004D2AFA">
        <w:rPr>
          <w:rFonts w:asciiTheme="majorHAnsi" w:hAnsiTheme="majorHAnsi"/>
          <w:sz w:val="24"/>
        </w:rPr>
        <w:t xml:space="preserve"> (AC</w:t>
      </w:r>
      <w:r w:rsidR="00084F30">
        <w:rPr>
          <w:rFonts w:asciiTheme="majorHAnsi" w:hAnsiTheme="majorHAnsi"/>
          <w:sz w:val="24"/>
        </w:rPr>
        <w:t>)</w:t>
      </w:r>
    </w:p>
    <w:p w:rsidR="004D2AFA" w:rsidP="00BD5EAA" w:rsidRDefault="00084F30" w14:paraId="315D8D80" w14:textId="372C4A6A">
      <w:pPr>
        <w:pStyle w:val="ListParagraph"/>
        <w:spacing w:after="0" w:line="240" w:lineRule="auto"/>
        <w:ind w:left="1440"/>
        <w:rPr>
          <w:rFonts w:asciiTheme="majorHAnsi" w:hAnsiTheme="majorHAnsi"/>
          <w:sz w:val="24"/>
        </w:rPr>
      </w:pPr>
      <w:r>
        <w:rPr>
          <w:rFonts w:asciiTheme="majorHAnsi" w:hAnsiTheme="majorHAnsi"/>
          <w:sz w:val="24"/>
        </w:rPr>
        <w:t>0.5 hours (RC)</w:t>
      </w:r>
      <w:r w:rsidR="004D2AFA">
        <w:rPr>
          <w:rFonts w:asciiTheme="majorHAnsi" w:hAnsiTheme="majorHAnsi"/>
          <w:sz w:val="24"/>
        </w:rPr>
        <w:t xml:space="preserve"> </w:t>
      </w:r>
    </w:p>
    <w:p w:rsidRPr="005C2FFB" w:rsidR="00502FF3" w:rsidP="00BD5EAA" w:rsidRDefault="004D2AFA" w14:paraId="37F3A8EF" w14:textId="66B3522D">
      <w:pPr>
        <w:pStyle w:val="ListParagraph"/>
        <w:spacing w:after="0" w:line="240" w:lineRule="auto"/>
        <w:ind w:left="1440"/>
        <w:rPr>
          <w:rFonts w:asciiTheme="majorHAnsi" w:hAnsiTheme="majorHAnsi"/>
          <w:sz w:val="24"/>
        </w:rPr>
      </w:pPr>
      <w:r>
        <w:rPr>
          <w:rFonts w:asciiTheme="majorHAnsi" w:hAnsiTheme="majorHAnsi"/>
          <w:sz w:val="24"/>
        </w:rPr>
        <w:t>0.10 hours (Abbr)</w:t>
      </w:r>
    </w:p>
    <w:p w:rsidR="004D2AFA" w:rsidP="00235D71" w:rsidRDefault="00A56995" w14:paraId="105FF17E" w14:textId="0864718D">
      <w:pPr>
        <w:pStyle w:val="ListParagraph"/>
        <w:numPr>
          <w:ilvl w:val="0"/>
          <w:numId w:val="15"/>
        </w:numPr>
        <w:spacing w:after="0" w:line="240" w:lineRule="auto"/>
        <w:rPr>
          <w:rFonts w:asciiTheme="majorHAnsi" w:hAnsiTheme="majorHAnsi"/>
          <w:sz w:val="24"/>
        </w:rPr>
      </w:pPr>
      <w:r w:rsidRPr="005C2FFB">
        <w:rPr>
          <w:rFonts w:asciiTheme="majorHAnsi" w:hAnsiTheme="majorHAnsi"/>
          <w:sz w:val="24"/>
        </w:rPr>
        <w:t>Respondent Burden Hours:</w:t>
      </w:r>
    </w:p>
    <w:p w:rsidR="004D2AFA" w:rsidP="00BD5EAA" w:rsidRDefault="004D2AFA" w14:paraId="25B51A00" w14:textId="1064E29A">
      <w:pPr>
        <w:pStyle w:val="ListParagraph"/>
        <w:spacing w:after="0" w:line="240" w:lineRule="auto"/>
        <w:ind w:left="1440"/>
        <w:rPr>
          <w:rFonts w:asciiTheme="majorHAnsi" w:hAnsiTheme="majorHAnsi"/>
          <w:sz w:val="24"/>
        </w:rPr>
      </w:pPr>
      <w:r>
        <w:rPr>
          <w:rFonts w:asciiTheme="majorHAnsi" w:hAnsiTheme="majorHAnsi"/>
          <w:sz w:val="24"/>
        </w:rPr>
        <w:lastRenderedPageBreak/>
        <w:t>76,050</w:t>
      </w:r>
      <w:r w:rsidRPr="005C2FFB" w:rsidR="00A77157">
        <w:rPr>
          <w:rFonts w:asciiTheme="majorHAnsi" w:hAnsiTheme="majorHAnsi"/>
          <w:sz w:val="24"/>
        </w:rPr>
        <w:t xml:space="preserve"> hours </w:t>
      </w:r>
      <w:r w:rsidR="003B7BB8">
        <w:rPr>
          <w:rFonts w:asciiTheme="majorHAnsi" w:hAnsiTheme="majorHAnsi"/>
          <w:sz w:val="24"/>
        </w:rPr>
        <w:t xml:space="preserve">(AC) </w:t>
      </w:r>
    </w:p>
    <w:p w:rsidR="004D2AFA" w:rsidP="00BD5EAA" w:rsidRDefault="004D2AFA" w14:paraId="0A0184D8" w14:textId="0D497619">
      <w:pPr>
        <w:pStyle w:val="ListParagraph"/>
        <w:spacing w:after="0" w:line="240" w:lineRule="auto"/>
        <w:ind w:left="1440"/>
        <w:rPr>
          <w:rFonts w:asciiTheme="majorHAnsi" w:hAnsiTheme="majorHAnsi"/>
          <w:sz w:val="24"/>
        </w:rPr>
      </w:pPr>
      <w:r>
        <w:rPr>
          <w:rFonts w:asciiTheme="majorHAnsi" w:hAnsiTheme="majorHAnsi"/>
          <w:sz w:val="24"/>
        </w:rPr>
        <w:t xml:space="preserve">25,350 hours </w:t>
      </w:r>
      <w:r w:rsidR="00084F30">
        <w:rPr>
          <w:rFonts w:asciiTheme="majorHAnsi" w:hAnsiTheme="majorHAnsi"/>
          <w:sz w:val="24"/>
        </w:rPr>
        <w:t>(RC)</w:t>
      </w:r>
    </w:p>
    <w:p w:rsidRPr="005C2FFB" w:rsidR="00A76F7E" w:rsidP="00BD5EAA" w:rsidRDefault="004D2AFA" w14:paraId="19A49D76" w14:textId="2272B2CD">
      <w:pPr>
        <w:pStyle w:val="ListParagraph"/>
        <w:spacing w:after="0" w:line="240" w:lineRule="auto"/>
        <w:ind w:left="1440"/>
        <w:rPr>
          <w:rFonts w:asciiTheme="majorHAnsi" w:hAnsiTheme="majorHAnsi"/>
          <w:sz w:val="24"/>
        </w:rPr>
      </w:pPr>
      <w:r>
        <w:rPr>
          <w:rFonts w:asciiTheme="majorHAnsi" w:hAnsiTheme="majorHAnsi"/>
          <w:sz w:val="24"/>
        </w:rPr>
        <w:t xml:space="preserve">150 hours </w:t>
      </w:r>
      <w:r w:rsidR="003B7BB8">
        <w:rPr>
          <w:rFonts w:asciiTheme="majorHAnsi" w:hAnsiTheme="majorHAnsi"/>
          <w:sz w:val="24"/>
        </w:rPr>
        <w:t>(Abbr)</w:t>
      </w:r>
    </w:p>
    <w:p w:rsidRPr="005C2FFB" w:rsidR="00B55E9F" w:rsidP="00B55E9F" w:rsidRDefault="00B55E9F" w14:paraId="5B397A07" w14:textId="77777777">
      <w:pPr>
        <w:pStyle w:val="ListParagraph"/>
        <w:spacing w:after="0" w:line="240" w:lineRule="auto"/>
        <w:ind w:left="1440"/>
        <w:rPr>
          <w:rFonts w:asciiTheme="majorHAnsi" w:hAnsiTheme="majorHAnsi"/>
          <w:sz w:val="24"/>
        </w:rPr>
      </w:pPr>
    </w:p>
    <w:p w:rsidRPr="005C2FFB" w:rsidR="00235D71" w:rsidP="00235D71" w:rsidRDefault="00E51880" w14:paraId="470B474B" w14:textId="244D7FB7">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p>
    <w:p w:rsidRPr="00BD5EAA" w:rsidR="00235D71" w:rsidP="00BD5EAA" w:rsidRDefault="00373EE4" w14:paraId="16BADF8A" w14:textId="0955E027">
      <w:pPr>
        <w:pStyle w:val="ListParagraph"/>
        <w:numPr>
          <w:ilvl w:val="1"/>
          <w:numId w:val="14"/>
        </w:numPr>
        <w:spacing w:after="0" w:line="240" w:lineRule="auto"/>
        <w:rPr>
          <w:rFonts w:asciiTheme="majorHAnsi" w:hAnsiTheme="majorHAnsi"/>
          <w:sz w:val="24"/>
        </w:rPr>
      </w:pPr>
      <w:r w:rsidRPr="005C2FFB">
        <w:rPr>
          <w:rFonts w:asciiTheme="majorHAnsi" w:hAnsiTheme="majorHAnsi"/>
          <w:sz w:val="24"/>
        </w:rPr>
        <w:t>Total Number of Respondents</w:t>
      </w:r>
      <w:r w:rsidRPr="005C2FFB" w:rsidR="00235D71">
        <w:rPr>
          <w:rFonts w:asciiTheme="majorHAnsi" w:hAnsiTheme="majorHAnsi"/>
          <w:sz w:val="24"/>
        </w:rPr>
        <w:t xml:space="preserve">: </w:t>
      </w:r>
      <w:r w:rsidR="004D2AFA">
        <w:rPr>
          <w:rFonts w:asciiTheme="majorHAnsi" w:hAnsiTheme="majorHAnsi"/>
          <w:sz w:val="24"/>
        </w:rPr>
        <w:t>204,300</w:t>
      </w:r>
    </w:p>
    <w:p w:rsidRPr="00BD5EAA" w:rsidR="00235D71" w:rsidP="00BD5EAA" w:rsidRDefault="00235D71" w14:paraId="1A1E7C10" w14:textId="3E84E01B">
      <w:pPr>
        <w:pStyle w:val="ListParagraph"/>
        <w:numPr>
          <w:ilvl w:val="1"/>
          <w:numId w:val="14"/>
        </w:numPr>
        <w:spacing w:after="0" w:line="240" w:lineRule="auto"/>
        <w:rPr>
          <w:rFonts w:asciiTheme="majorHAnsi" w:hAnsiTheme="majorHAnsi"/>
          <w:sz w:val="24"/>
        </w:rPr>
      </w:pPr>
      <w:r w:rsidRPr="005C2FFB">
        <w:rPr>
          <w:rFonts w:asciiTheme="majorHAnsi" w:hAnsiTheme="majorHAnsi"/>
          <w:sz w:val="24"/>
        </w:rPr>
        <w:t xml:space="preserve">Total Number of Annual Responses: </w:t>
      </w:r>
      <w:r w:rsidR="004D2AFA">
        <w:rPr>
          <w:rFonts w:asciiTheme="majorHAnsi" w:hAnsiTheme="majorHAnsi"/>
          <w:sz w:val="24"/>
        </w:rPr>
        <w:t>204,300</w:t>
      </w:r>
    </w:p>
    <w:p w:rsidR="004D2AFA" w:rsidP="00337EF1" w:rsidRDefault="00235D71" w14:paraId="418B5E4A" w14:textId="714CB674">
      <w:pPr>
        <w:pStyle w:val="ListParagraph"/>
        <w:numPr>
          <w:ilvl w:val="1"/>
          <w:numId w:val="14"/>
        </w:numPr>
        <w:spacing w:after="0" w:line="240" w:lineRule="auto"/>
        <w:rPr>
          <w:rFonts w:asciiTheme="majorHAnsi" w:hAnsiTheme="majorHAnsi"/>
          <w:sz w:val="24"/>
        </w:rPr>
      </w:pPr>
      <w:r w:rsidRPr="005C2FFB">
        <w:rPr>
          <w:rFonts w:asciiTheme="majorHAnsi" w:hAnsiTheme="majorHAnsi"/>
          <w:sz w:val="24"/>
        </w:rPr>
        <w:t xml:space="preserve">Total Respondent Burden Hours: </w:t>
      </w:r>
      <w:r w:rsidR="004D2AFA">
        <w:rPr>
          <w:rFonts w:asciiTheme="majorHAnsi" w:hAnsiTheme="majorHAnsi"/>
          <w:sz w:val="24"/>
        </w:rPr>
        <w:t>101,550 hours</w:t>
      </w:r>
    </w:p>
    <w:p w:rsidRPr="005C2FFB" w:rsidR="00520B36" w:rsidP="00337EF1" w:rsidRDefault="00520B36" w14:paraId="38742F23" w14:textId="77777777">
      <w:pPr>
        <w:spacing w:after="0" w:line="240" w:lineRule="auto"/>
        <w:rPr>
          <w:rFonts w:asciiTheme="majorHAnsi" w:hAnsiTheme="majorHAnsi"/>
          <w:sz w:val="24"/>
        </w:rPr>
      </w:pPr>
    </w:p>
    <w:p w:rsidRPr="005C2FFB" w:rsidR="00235D71" w:rsidP="00373EE4" w:rsidRDefault="00235D71" w14:paraId="5C41221D" w14:textId="77777777">
      <w:pPr>
        <w:spacing w:after="0" w:line="240" w:lineRule="auto"/>
        <w:rPr>
          <w:rFonts w:asciiTheme="majorHAnsi" w:hAnsiTheme="majorHAnsi"/>
          <w:sz w:val="24"/>
        </w:rPr>
      </w:pPr>
      <w:r w:rsidRPr="005C2FFB">
        <w:rPr>
          <w:rFonts w:asciiTheme="majorHAnsi" w:hAnsiTheme="majorHAnsi"/>
          <w:sz w:val="24"/>
        </w:rPr>
        <w:t>Part B: LABOR COST OF RESPONDENT BURDEN</w:t>
      </w:r>
    </w:p>
    <w:p w:rsidRPr="005C2FFB" w:rsidR="00235D71" w:rsidP="00235D71" w:rsidRDefault="00235D71" w14:paraId="49C6888D" w14:textId="77777777">
      <w:pPr>
        <w:pStyle w:val="ListParagraph"/>
        <w:numPr>
          <w:ilvl w:val="0"/>
          <w:numId w:val="16"/>
        </w:numPr>
        <w:spacing w:after="0" w:line="240" w:lineRule="auto"/>
        <w:rPr>
          <w:rFonts w:asciiTheme="majorHAnsi" w:hAnsiTheme="majorHAnsi"/>
          <w:sz w:val="24"/>
        </w:rPr>
      </w:pPr>
      <w:r w:rsidRPr="005C2FFB">
        <w:rPr>
          <w:rFonts w:asciiTheme="majorHAnsi" w:hAnsiTheme="majorHAnsi"/>
          <w:sz w:val="24"/>
        </w:rPr>
        <w:t>Collection Instrument(s)</w:t>
      </w:r>
    </w:p>
    <w:p w:rsidR="00961254" w:rsidP="00961254" w:rsidRDefault="00961254" w14:paraId="6A136A54" w14:textId="77777777">
      <w:pPr>
        <w:pStyle w:val="ListParagraph"/>
        <w:spacing w:after="0" w:line="240" w:lineRule="auto"/>
        <w:rPr>
          <w:rFonts w:asciiTheme="majorHAnsi" w:hAnsiTheme="majorHAnsi"/>
          <w:sz w:val="24"/>
        </w:rPr>
      </w:pPr>
      <w:r w:rsidRPr="005C2FFB">
        <w:rPr>
          <w:rFonts w:asciiTheme="majorHAnsi" w:hAnsiTheme="majorHAnsi"/>
          <w:sz w:val="24"/>
        </w:rPr>
        <w:t>2021 Workplace and Gender Relations Survey</w:t>
      </w:r>
      <w:r>
        <w:rPr>
          <w:rFonts w:asciiTheme="majorHAnsi" w:hAnsiTheme="majorHAnsi"/>
          <w:sz w:val="24"/>
        </w:rPr>
        <w:t xml:space="preserve"> (Active component [AC]); </w:t>
      </w:r>
    </w:p>
    <w:p w:rsidR="00961254" w:rsidP="00961254" w:rsidRDefault="00961254" w14:paraId="05E30970" w14:textId="77777777">
      <w:pPr>
        <w:pStyle w:val="ListParagraph"/>
        <w:spacing w:after="0" w:line="240" w:lineRule="auto"/>
        <w:rPr>
          <w:rFonts w:asciiTheme="majorHAnsi" w:hAnsiTheme="majorHAnsi"/>
          <w:sz w:val="24"/>
        </w:rPr>
      </w:pPr>
      <w:r w:rsidRPr="005C2FFB">
        <w:rPr>
          <w:rFonts w:asciiTheme="majorHAnsi" w:hAnsiTheme="majorHAnsi"/>
          <w:sz w:val="24"/>
        </w:rPr>
        <w:t>2021 Workplace and Gender Relations Survey</w:t>
      </w:r>
      <w:r>
        <w:rPr>
          <w:rFonts w:asciiTheme="majorHAnsi" w:hAnsiTheme="majorHAnsi"/>
          <w:sz w:val="24"/>
        </w:rPr>
        <w:t xml:space="preserve"> (Reserve component [RC]); </w:t>
      </w:r>
    </w:p>
    <w:p w:rsidRPr="005C2FFB" w:rsidR="00235D71" w:rsidP="00961254" w:rsidRDefault="00961254" w14:paraId="60717724" w14:textId="68068494">
      <w:pPr>
        <w:pStyle w:val="ListParagraph"/>
        <w:spacing w:after="0" w:line="240" w:lineRule="auto"/>
        <w:rPr>
          <w:rFonts w:asciiTheme="majorHAnsi" w:hAnsiTheme="majorHAnsi"/>
          <w:sz w:val="24"/>
        </w:rPr>
      </w:pPr>
      <w:r w:rsidRPr="005C2FFB">
        <w:rPr>
          <w:rFonts w:asciiTheme="majorHAnsi" w:hAnsiTheme="majorHAnsi"/>
          <w:sz w:val="24"/>
        </w:rPr>
        <w:t xml:space="preserve">2021 Workplace and Gender Relations </w:t>
      </w:r>
      <w:r>
        <w:rPr>
          <w:rFonts w:asciiTheme="majorHAnsi" w:hAnsiTheme="majorHAnsi"/>
          <w:sz w:val="24"/>
        </w:rPr>
        <w:t xml:space="preserve">Abbreviated </w:t>
      </w:r>
      <w:r w:rsidRPr="005C2FFB">
        <w:rPr>
          <w:rFonts w:asciiTheme="majorHAnsi" w:hAnsiTheme="majorHAnsi"/>
          <w:sz w:val="24"/>
        </w:rPr>
        <w:t>Survey</w:t>
      </w:r>
      <w:r>
        <w:rPr>
          <w:rFonts w:asciiTheme="majorHAnsi" w:hAnsiTheme="majorHAnsi"/>
          <w:sz w:val="24"/>
        </w:rPr>
        <w:t xml:space="preserve"> (Abbr)</w:t>
      </w:r>
    </w:p>
    <w:p w:rsidR="00084F30" w:rsidP="00235D71" w:rsidRDefault="00235D71" w14:paraId="3FEEE1A1" w14:textId="76B08AF3">
      <w:pPr>
        <w:pStyle w:val="ListParagraph"/>
        <w:numPr>
          <w:ilvl w:val="0"/>
          <w:numId w:val="17"/>
        </w:numPr>
        <w:spacing w:after="0" w:line="240" w:lineRule="auto"/>
        <w:rPr>
          <w:rFonts w:asciiTheme="majorHAnsi" w:hAnsiTheme="majorHAnsi"/>
          <w:sz w:val="24"/>
        </w:rPr>
      </w:pPr>
      <w:r w:rsidRPr="005C2FFB">
        <w:rPr>
          <w:rFonts w:asciiTheme="majorHAnsi" w:hAnsiTheme="majorHAnsi"/>
          <w:sz w:val="24"/>
        </w:rPr>
        <w:t xml:space="preserve">Number of Total Annual Responses: </w:t>
      </w:r>
      <w:r w:rsidR="00F63F70">
        <w:rPr>
          <w:rFonts w:asciiTheme="majorHAnsi" w:hAnsiTheme="majorHAnsi"/>
          <w:sz w:val="24"/>
        </w:rPr>
        <w:t>204,300</w:t>
      </w:r>
    </w:p>
    <w:p w:rsidR="00084F30" w:rsidP="00084F30" w:rsidRDefault="00084F30" w14:paraId="3DEDB415" w14:textId="4BBCBCAB">
      <w:pPr>
        <w:pStyle w:val="ListParagraph"/>
        <w:spacing w:after="0" w:line="240" w:lineRule="auto"/>
        <w:ind w:left="1440"/>
        <w:rPr>
          <w:rFonts w:asciiTheme="majorHAnsi" w:hAnsiTheme="majorHAnsi"/>
          <w:sz w:val="24"/>
        </w:rPr>
      </w:pPr>
      <w:r>
        <w:rPr>
          <w:rFonts w:asciiTheme="majorHAnsi" w:hAnsiTheme="majorHAnsi"/>
          <w:sz w:val="24"/>
        </w:rPr>
        <w:t xml:space="preserve">152,100 (AC) </w:t>
      </w:r>
    </w:p>
    <w:p w:rsidR="00084F30" w:rsidP="00084F30" w:rsidRDefault="00084F30" w14:paraId="632266FD" w14:textId="411A34A9">
      <w:pPr>
        <w:pStyle w:val="ListParagraph"/>
        <w:spacing w:after="0" w:line="240" w:lineRule="auto"/>
        <w:ind w:left="1440"/>
        <w:rPr>
          <w:rFonts w:asciiTheme="majorHAnsi" w:hAnsiTheme="majorHAnsi"/>
          <w:sz w:val="24"/>
        </w:rPr>
      </w:pPr>
      <w:r>
        <w:rPr>
          <w:rFonts w:asciiTheme="majorHAnsi" w:hAnsiTheme="majorHAnsi"/>
          <w:sz w:val="24"/>
        </w:rPr>
        <w:t xml:space="preserve">50,700 (RC) </w:t>
      </w:r>
    </w:p>
    <w:p w:rsidRPr="005C2FFB" w:rsidR="00235D71" w:rsidP="00BD5EAA" w:rsidRDefault="00084F30" w14:paraId="7BF48BD2" w14:textId="5D19092A">
      <w:pPr>
        <w:pStyle w:val="ListParagraph"/>
        <w:spacing w:after="0" w:line="240" w:lineRule="auto"/>
        <w:ind w:left="1440"/>
        <w:rPr>
          <w:rFonts w:asciiTheme="majorHAnsi" w:hAnsiTheme="majorHAnsi"/>
          <w:sz w:val="24"/>
        </w:rPr>
      </w:pPr>
      <w:r>
        <w:rPr>
          <w:rFonts w:asciiTheme="majorHAnsi" w:hAnsiTheme="majorHAnsi"/>
          <w:sz w:val="24"/>
        </w:rPr>
        <w:t xml:space="preserve">1,500 (Abbr) </w:t>
      </w:r>
    </w:p>
    <w:p w:rsidR="00084F30" w:rsidP="00A56995" w:rsidRDefault="00A56995" w14:paraId="30ABAAB4" w14:textId="77777777">
      <w:pPr>
        <w:pStyle w:val="ListParagraph"/>
        <w:numPr>
          <w:ilvl w:val="0"/>
          <w:numId w:val="17"/>
        </w:numPr>
        <w:spacing w:after="0" w:line="240" w:lineRule="auto"/>
        <w:rPr>
          <w:rFonts w:asciiTheme="majorHAnsi" w:hAnsiTheme="majorHAnsi"/>
          <w:sz w:val="24"/>
        </w:rPr>
      </w:pPr>
      <w:r w:rsidRPr="005C2FFB">
        <w:rPr>
          <w:rFonts w:asciiTheme="majorHAnsi" w:hAnsiTheme="majorHAnsi"/>
          <w:sz w:val="24"/>
        </w:rPr>
        <w:t>Response Time</w:t>
      </w:r>
      <w:r w:rsidRPr="005C2FFB" w:rsidR="00235D71">
        <w:rPr>
          <w:rFonts w:asciiTheme="majorHAnsi" w:hAnsiTheme="majorHAnsi"/>
          <w:sz w:val="24"/>
        </w:rPr>
        <w:t xml:space="preserve">: </w:t>
      </w:r>
      <w:r w:rsidR="00E51880">
        <w:rPr>
          <w:rFonts w:asciiTheme="majorHAnsi" w:hAnsiTheme="majorHAnsi"/>
          <w:sz w:val="24"/>
        </w:rPr>
        <w:t xml:space="preserve"> </w:t>
      </w:r>
    </w:p>
    <w:p w:rsidR="00084F30" w:rsidP="00084F30" w:rsidRDefault="00084F30" w14:paraId="44C076E2" w14:textId="61ECDB3F">
      <w:pPr>
        <w:pStyle w:val="ListParagraph"/>
        <w:spacing w:after="0" w:line="240" w:lineRule="auto"/>
        <w:ind w:left="1440"/>
        <w:rPr>
          <w:rFonts w:asciiTheme="majorHAnsi" w:hAnsiTheme="majorHAnsi"/>
          <w:sz w:val="24"/>
        </w:rPr>
      </w:pPr>
      <w:r>
        <w:rPr>
          <w:rFonts w:asciiTheme="majorHAnsi" w:hAnsiTheme="majorHAnsi"/>
          <w:sz w:val="24"/>
        </w:rPr>
        <w:t>0.5 hours (AC)</w:t>
      </w:r>
    </w:p>
    <w:p w:rsidR="00084F30" w:rsidP="00084F30" w:rsidRDefault="00084F30" w14:paraId="269D9E7C" w14:textId="6A14E183">
      <w:pPr>
        <w:pStyle w:val="ListParagraph"/>
        <w:spacing w:after="0" w:line="240" w:lineRule="auto"/>
        <w:ind w:left="1440"/>
        <w:rPr>
          <w:rFonts w:asciiTheme="majorHAnsi" w:hAnsiTheme="majorHAnsi"/>
          <w:sz w:val="24"/>
        </w:rPr>
      </w:pPr>
      <w:r>
        <w:rPr>
          <w:rFonts w:asciiTheme="majorHAnsi" w:hAnsiTheme="majorHAnsi"/>
          <w:sz w:val="24"/>
        </w:rPr>
        <w:t xml:space="preserve">0.5 hours (RC) </w:t>
      </w:r>
    </w:p>
    <w:p w:rsidRPr="005C2FFB" w:rsidR="00235D71" w:rsidP="00BD5EAA" w:rsidRDefault="00084F30" w14:paraId="6FA4FF22" w14:textId="24818393">
      <w:pPr>
        <w:pStyle w:val="ListParagraph"/>
        <w:spacing w:after="0" w:line="240" w:lineRule="auto"/>
        <w:ind w:left="1440"/>
        <w:rPr>
          <w:rFonts w:asciiTheme="majorHAnsi" w:hAnsiTheme="majorHAnsi"/>
          <w:sz w:val="24"/>
        </w:rPr>
      </w:pPr>
      <w:r>
        <w:rPr>
          <w:rFonts w:asciiTheme="majorHAnsi" w:hAnsiTheme="majorHAnsi"/>
          <w:sz w:val="24"/>
        </w:rPr>
        <w:t>0.10 hours (Abbr)</w:t>
      </w:r>
    </w:p>
    <w:p w:rsidRPr="00BD5EAA" w:rsidR="00235D71" w:rsidP="00BD5EAA" w:rsidRDefault="00235D71" w14:paraId="27DCA155" w14:textId="6382C56C">
      <w:pPr>
        <w:pStyle w:val="ListParagraph"/>
        <w:numPr>
          <w:ilvl w:val="0"/>
          <w:numId w:val="17"/>
        </w:numPr>
        <w:spacing w:after="0" w:line="240" w:lineRule="auto"/>
        <w:rPr>
          <w:rFonts w:asciiTheme="majorHAnsi" w:hAnsiTheme="majorHAnsi"/>
          <w:sz w:val="24"/>
        </w:rPr>
      </w:pPr>
      <w:r w:rsidRPr="005C2FFB">
        <w:rPr>
          <w:rFonts w:asciiTheme="majorHAnsi" w:hAnsiTheme="majorHAnsi"/>
          <w:sz w:val="24"/>
        </w:rPr>
        <w:t xml:space="preserve">Respondent Hourly Wage: </w:t>
      </w:r>
      <w:r w:rsidRPr="00BD5EAA" w:rsidR="00E51880">
        <w:rPr>
          <w:rFonts w:asciiTheme="majorHAnsi" w:hAnsiTheme="majorHAnsi"/>
          <w:sz w:val="24"/>
        </w:rPr>
        <w:t>$51.56</w:t>
      </w:r>
    </w:p>
    <w:p w:rsidR="00084F30" w:rsidP="00235D71" w:rsidRDefault="00C35ED2" w14:paraId="703A0C97" w14:textId="77777777">
      <w:pPr>
        <w:pStyle w:val="ListParagraph"/>
        <w:numPr>
          <w:ilvl w:val="0"/>
          <w:numId w:val="17"/>
        </w:numPr>
        <w:spacing w:after="0" w:line="240" w:lineRule="auto"/>
        <w:rPr>
          <w:rFonts w:asciiTheme="majorHAnsi" w:hAnsiTheme="majorHAnsi"/>
          <w:sz w:val="24"/>
        </w:rPr>
      </w:pPr>
      <w:r w:rsidRPr="005C2FFB">
        <w:rPr>
          <w:rFonts w:asciiTheme="majorHAnsi" w:hAnsiTheme="majorHAnsi"/>
          <w:sz w:val="24"/>
        </w:rPr>
        <w:t>Labor Burden per Response</w:t>
      </w:r>
      <w:r w:rsidRPr="005C2FFB" w:rsidR="00235D71">
        <w:rPr>
          <w:rFonts w:asciiTheme="majorHAnsi" w:hAnsiTheme="majorHAnsi"/>
          <w:sz w:val="24"/>
        </w:rPr>
        <w:t xml:space="preserve">: </w:t>
      </w:r>
    </w:p>
    <w:p w:rsidR="00084F30" w:rsidP="00BD5EAA" w:rsidRDefault="00C35ED2" w14:paraId="2E1C5133" w14:textId="2A363413">
      <w:pPr>
        <w:pStyle w:val="ListParagraph"/>
        <w:spacing w:after="0" w:line="240" w:lineRule="auto"/>
        <w:ind w:left="1440"/>
        <w:rPr>
          <w:rFonts w:asciiTheme="majorHAnsi" w:hAnsiTheme="majorHAnsi"/>
          <w:sz w:val="24"/>
        </w:rPr>
      </w:pPr>
      <w:r w:rsidRPr="005C2FFB">
        <w:rPr>
          <w:rFonts w:asciiTheme="majorHAnsi" w:hAnsiTheme="majorHAnsi"/>
          <w:sz w:val="24"/>
        </w:rPr>
        <w:t>$25.78</w:t>
      </w:r>
      <w:r w:rsidR="003B7BB8">
        <w:rPr>
          <w:rFonts w:asciiTheme="majorHAnsi" w:hAnsiTheme="majorHAnsi"/>
          <w:sz w:val="24"/>
        </w:rPr>
        <w:t xml:space="preserve"> (AC) </w:t>
      </w:r>
    </w:p>
    <w:p w:rsidR="00084F30" w:rsidP="00BD5EAA" w:rsidRDefault="00084F30" w14:paraId="37A490BD" w14:textId="36D4A45F">
      <w:pPr>
        <w:pStyle w:val="ListParagraph"/>
        <w:spacing w:after="0" w:line="240" w:lineRule="auto"/>
        <w:ind w:left="1440"/>
        <w:rPr>
          <w:rFonts w:asciiTheme="majorHAnsi" w:hAnsiTheme="majorHAnsi"/>
          <w:sz w:val="24"/>
        </w:rPr>
      </w:pPr>
      <w:r w:rsidRPr="005C2FFB">
        <w:rPr>
          <w:rFonts w:asciiTheme="majorHAnsi" w:hAnsiTheme="majorHAnsi"/>
          <w:sz w:val="24"/>
        </w:rPr>
        <w:t>$25.78</w:t>
      </w:r>
      <w:r>
        <w:rPr>
          <w:rFonts w:asciiTheme="majorHAnsi" w:hAnsiTheme="majorHAnsi"/>
          <w:sz w:val="24"/>
        </w:rPr>
        <w:t xml:space="preserve"> (RC)</w:t>
      </w:r>
      <w:r w:rsidR="003B7BB8">
        <w:rPr>
          <w:rFonts w:asciiTheme="majorHAnsi" w:hAnsiTheme="majorHAnsi"/>
          <w:sz w:val="24"/>
        </w:rPr>
        <w:t xml:space="preserve"> </w:t>
      </w:r>
    </w:p>
    <w:p w:rsidRPr="005C2FFB" w:rsidR="00235D71" w:rsidP="00BD5EAA" w:rsidRDefault="00084F30" w14:paraId="5625F599" w14:textId="411011E7">
      <w:pPr>
        <w:pStyle w:val="ListParagraph"/>
        <w:spacing w:after="0" w:line="240" w:lineRule="auto"/>
        <w:ind w:left="1440"/>
        <w:rPr>
          <w:rFonts w:asciiTheme="majorHAnsi" w:hAnsiTheme="majorHAnsi"/>
          <w:sz w:val="24"/>
        </w:rPr>
      </w:pPr>
      <w:r>
        <w:rPr>
          <w:rFonts w:asciiTheme="majorHAnsi" w:hAnsiTheme="majorHAnsi"/>
          <w:sz w:val="24"/>
        </w:rPr>
        <w:t xml:space="preserve">$5.16 </w:t>
      </w:r>
      <w:r w:rsidR="003B7BB8">
        <w:rPr>
          <w:rFonts w:asciiTheme="majorHAnsi" w:hAnsiTheme="majorHAnsi"/>
          <w:sz w:val="24"/>
        </w:rPr>
        <w:t>(Abbr)</w:t>
      </w:r>
    </w:p>
    <w:p w:rsidR="00084F30" w:rsidP="00235D71" w:rsidRDefault="00C35ED2" w14:paraId="5A8A96BA" w14:textId="30375295">
      <w:pPr>
        <w:pStyle w:val="ListParagraph"/>
        <w:numPr>
          <w:ilvl w:val="0"/>
          <w:numId w:val="17"/>
        </w:numPr>
        <w:spacing w:after="0" w:line="240" w:lineRule="auto"/>
        <w:rPr>
          <w:rFonts w:asciiTheme="majorHAnsi" w:hAnsiTheme="majorHAnsi"/>
          <w:sz w:val="24"/>
        </w:rPr>
      </w:pPr>
      <w:r w:rsidRPr="005C2FFB">
        <w:rPr>
          <w:rFonts w:asciiTheme="majorHAnsi" w:hAnsiTheme="majorHAnsi"/>
          <w:sz w:val="24"/>
        </w:rPr>
        <w:t>Total Labor Burden</w:t>
      </w:r>
      <w:r w:rsidRPr="005C2FFB" w:rsidR="00235D71">
        <w:rPr>
          <w:rFonts w:asciiTheme="majorHAnsi" w:hAnsiTheme="majorHAnsi"/>
          <w:sz w:val="24"/>
        </w:rPr>
        <w:t xml:space="preserve">: </w:t>
      </w:r>
      <w:r w:rsidR="00F63F70">
        <w:rPr>
          <w:rFonts w:asciiTheme="majorHAnsi" w:hAnsiTheme="majorHAnsi"/>
          <w:sz w:val="24"/>
        </w:rPr>
        <w:t>$5,235,924</w:t>
      </w:r>
    </w:p>
    <w:p w:rsidR="00084F30" w:rsidP="00BD5EAA" w:rsidRDefault="00C35ED2" w14:paraId="7FBC5152" w14:textId="74EA0590">
      <w:pPr>
        <w:pStyle w:val="ListParagraph"/>
        <w:spacing w:after="0" w:line="240" w:lineRule="auto"/>
        <w:ind w:left="1440"/>
        <w:rPr>
          <w:rFonts w:asciiTheme="majorHAnsi" w:hAnsiTheme="majorHAnsi"/>
          <w:sz w:val="24"/>
        </w:rPr>
      </w:pPr>
      <w:r w:rsidRPr="005C2FFB">
        <w:rPr>
          <w:rFonts w:asciiTheme="majorHAnsi" w:hAnsiTheme="majorHAnsi"/>
          <w:sz w:val="24"/>
        </w:rPr>
        <w:t>$</w:t>
      </w:r>
      <w:r w:rsidR="00084F30">
        <w:rPr>
          <w:rFonts w:asciiTheme="majorHAnsi" w:hAnsiTheme="majorHAnsi"/>
          <w:sz w:val="24"/>
        </w:rPr>
        <w:t>3</w:t>
      </w:r>
      <w:r w:rsidRPr="005C2FFB" w:rsidR="00084F30">
        <w:rPr>
          <w:rFonts w:asciiTheme="majorHAnsi" w:hAnsiTheme="majorHAnsi"/>
          <w:sz w:val="24"/>
        </w:rPr>
        <w:t>,</w:t>
      </w:r>
      <w:r w:rsidR="00084F30">
        <w:rPr>
          <w:rFonts w:asciiTheme="majorHAnsi" w:hAnsiTheme="majorHAnsi"/>
          <w:sz w:val="24"/>
        </w:rPr>
        <w:t>921</w:t>
      </w:r>
      <w:r w:rsidRPr="005C2FFB">
        <w:rPr>
          <w:rFonts w:asciiTheme="majorHAnsi" w:hAnsiTheme="majorHAnsi"/>
          <w:sz w:val="24"/>
        </w:rPr>
        <w:t>,1</w:t>
      </w:r>
      <w:r w:rsidR="00084F30">
        <w:rPr>
          <w:rFonts w:asciiTheme="majorHAnsi" w:hAnsiTheme="majorHAnsi"/>
          <w:sz w:val="24"/>
        </w:rPr>
        <w:t>38</w:t>
      </w:r>
      <w:r w:rsidR="003B7BB8">
        <w:rPr>
          <w:rFonts w:asciiTheme="majorHAnsi" w:hAnsiTheme="majorHAnsi"/>
          <w:sz w:val="24"/>
        </w:rPr>
        <w:t xml:space="preserve"> (AC) </w:t>
      </w:r>
    </w:p>
    <w:p w:rsidR="00084F30" w:rsidP="00BD5EAA" w:rsidRDefault="00084F30" w14:paraId="5D089867" w14:textId="543E9F72">
      <w:pPr>
        <w:pStyle w:val="ListParagraph"/>
        <w:spacing w:after="0" w:line="240" w:lineRule="auto"/>
        <w:ind w:left="1440"/>
        <w:rPr>
          <w:rFonts w:asciiTheme="majorHAnsi" w:hAnsiTheme="majorHAnsi"/>
          <w:sz w:val="24"/>
        </w:rPr>
      </w:pPr>
      <w:r>
        <w:rPr>
          <w:rFonts w:asciiTheme="majorHAnsi" w:hAnsiTheme="majorHAnsi"/>
          <w:sz w:val="24"/>
        </w:rPr>
        <w:t>$1,307,046 (RC)</w:t>
      </w:r>
    </w:p>
    <w:p w:rsidRPr="005C2FFB" w:rsidR="00235D71" w:rsidP="00BD5EAA" w:rsidRDefault="00961254" w14:paraId="094BBF82" w14:textId="45390E58">
      <w:pPr>
        <w:pStyle w:val="ListParagraph"/>
        <w:spacing w:after="0" w:line="240" w:lineRule="auto"/>
        <w:ind w:left="1440"/>
        <w:rPr>
          <w:rFonts w:asciiTheme="majorHAnsi" w:hAnsiTheme="majorHAnsi"/>
          <w:sz w:val="24"/>
        </w:rPr>
      </w:pPr>
      <w:r>
        <w:rPr>
          <w:rFonts w:asciiTheme="majorHAnsi" w:hAnsiTheme="majorHAnsi"/>
          <w:sz w:val="24"/>
        </w:rPr>
        <w:t>$7,74</w:t>
      </w:r>
      <w:r w:rsidR="00084F30">
        <w:rPr>
          <w:rFonts w:asciiTheme="majorHAnsi" w:hAnsiTheme="majorHAnsi"/>
          <w:sz w:val="24"/>
        </w:rPr>
        <w:t xml:space="preserve">0 </w:t>
      </w:r>
      <w:r w:rsidR="003B7BB8">
        <w:rPr>
          <w:rFonts w:asciiTheme="majorHAnsi" w:hAnsiTheme="majorHAnsi"/>
          <w:sz w:val="24"/>
        </w:rPr>
        <w:t>(Abbr)</w:t>
      </w:r>
    </w:p>
    <w:p w:rsidRPr="005C2FFB" w:rsidR="00B55E9F" w:rsidP="00B55E9F" w:rsidRDefault="00B55E9F" w14:paraId="39FE984C" w14:textId="77777777">
      <w:pPr>
        <w:pStyle w:val="ListParagraph"/>
        <w:spacing w:after="0" w:line="240" w:lineRule="auto"/>
        <w:ind w:left="1440"/>
        <w:rPr>
          <w:rFonts w:asciiTheme="majorHAnsi" w:hAnsiTheme="majorHAnsi"/>
          <w:sz w:val="24"/>
        </w:rPr>
      </w:pPr>
    </w:p>
    <w:p w:rsidRPr="005C2FFB" w:rsidR="00235D71" w:rsidP="00235D71" w:rsidRDefault="00235D71" w14:paraId="77256CAE" w14:textId="77777777">
      <w:pPr>
        <w:pStyle w:val="ListParagraph"/>
        <w:numPr>
          <w:ilvl w:val="0"/>
          <w:numId w:val="16"/>
        </w:numPr>
        <w:spacing w:after="0" w:line="240" w:lineRule="auto"/>
        <w:rPr>
          <w:rFonts w:asciiTheme="majorHAnsi" w:hAnsiTheme="majorHAnsi"/>
          <w:sz w:val="24"/>
        </w:rPr>
      </w:pPr>
      <w:r w:rsidRPr="005C2FFB">
        <w:rPr>
          <w:rFonts w:asciiTheme="majorHAnsi" w:hAnsiTheme="majorHAnsi"/>
          <w:sz w:val="24"/>
        </w:rPr>
        <w:lastRenderedPageBreak/>
        <w:t xml:space="preserve">Overall Labor Burden </w:t>
      </w:r>
    </w:p>
    <w:p w:rsidRPr="00BD5EAA" w:rsidR="00084F30" w:rsidP="00BD5EAA" w:rsidRDefault="00235D71" w14:paraId="42837B64" w14:textId="50E46657">
      <w:pPr>
        <w:pStyle w:val="ListParagraph"/>
        <w:numPr>
          <w:ilvl w:val="1"/>
          <w:numId w:val="16"/>
        </w:numPr>
        <w:spacing w:after="0" w:line="240" w:lineRule="auto"/>
        <w:rPr>
          <w:rFonts w:asciiTheme="majorHAnsi" w:hAnsiTheme="majorHAnsi"/>
          <w:sz w:val="24"/>
        </w:rPr>
      </w:pPr>
      <w:r w:rsidRPr="005C2FFB">
        <w:rPr>
          <w:rFonts w:asciiTheme="majorHAnsi" w:hAnsiTheme="majorHAnsi"/>
          <w:sz w:val="24"/>
        </w:rPr>
        <w:t>T</w:t>
      </w:r>
      <w:r w:rsidRPr="005C2FFB" w:rsidR="00C35ED2">
        <w:rPr>
          <w:rFonts w:asciiTheme="majorHAnsi" w:hAnsiTheme="majorHAnsi"/>
          <w:sz w:val="24"/>
        </w:rPr>
        <w:t>otal Number of Annual Responses</w:t>
      </w:r>
      <w:r w:rsidRPr="005C2FFB">
        <w:rPr>
          <w:rFonts w:asciiTheme="majorHAnsi" w:hAnsiTheme="majorHAnsi"/>
          <w:sz w:val="24"/>
        </w:rPr>
        <w:t xml:space="preserve">: </w:t>
      </w:r>
      <w:r w:rsidR="00084F30">
        <w:rPr>
          <w:rFonts w:asciiTheme="majorHAnsi" w:hAnsiTheme="majorHAnsi"/>
          <w:sz w:val="24"/>
        </w:rPr>
        <w:t>204,300</w:t>
      </w:r>
    </w:p>
    <w:p w:rsidRPr="00BD5EAA" w:rsidR="00235D71" w:rsidP="00BD5EAA" w:rsidRDefault="00C35ED2" w14:paraId="0392460A" w14:textId="06A3020F">
      <w:pPr>
        <w:pStyle w:val="ListParagraph"/>
        <w:numPr>
          <w:ilvl w:val="1"/>
          <w:numId w:val="16"/>
        </w:numPr>
        <w:spacing w:after="0" w:line="240" w:lineRule="auto"/>
        <w:rPr>
          <w:rFonts w:asciiTheme="majorHAnsi" w:hAnsiTheme="majorHAnsi"/>
          <w:sz w:val="24"/>
        </w:rPr>
      </w:pPr>
      <w:r w:rsidRPr="005C2FFB">
        <w:rPr>
          <w:rFonts w:asciiTheme="majorHAnsi" w:hAnsiTheme="majorHAnsi"/>
          <w:sz w:val="24"/>
        </w:rPr>
        <w:t>Total Labor Burden</w:t>
      </w:r>
      <w:r w:rsidRPr="005C2FFB" w:rsidR="00235D71">
        <w:rPr>
          <w:rFonts w:asciiTheme="majorHAnsi" w:hAnsiTheme="majorHAnsi"/>
          <w:sz w:val="24"/>
        </w:rPr>
        <w:t xml:space="preserve">: </w:t>
      </w:r>
      <w:r w:rsidR="00961254">
        <w:rPr>
          <w:rFonts w:asciiTheme="majorHAnsi" w:hAnsiTheme="majorHAnsi"/>
          <w:sz w:val="24"/>
        </w:rPr>
        <w:t>$5,235,924</w:t>
      </w:r>
    </w:p>
    <w:p w:rsidRPr="005C2FFB" w:rsidR="00520B36" w:rsidP="006F2DF8" w:rsidRDefault="00520B36" w14:paraId="1D959712" w14:textId="77777777">
      <w:pPr>
        <w:spacing w:after="0" w:line="240" w:lineRule="auto"/>
        <w:rPr>
          <w:rFonts w:asciiTheme="majorHAnsi" w:hAnsiTheme="majorHAnsi"/>
          <w:sz w:val="24"/>
        </w:rPr>
      </w:pPr>
    </w:p>
    <w:p w:rsidRPr="005C2FFB" w:rsidR="00520B36" w:rsidP="0019309D" w:rsidRDefault="0019309D" w14:paraId="0ED1522D" w14:textId="77777777">
      <w:pPr>
        <w:spacing w:after="0" w:line="240" w:lineRule="auto"/>
        <w:rPr>
          <w:rFonts w:asciiTheme="majorHAnsi" w:hAnsiTheme="majorHAnsi"/>
          <w:sz w:val="24"/>
        </w:rPr>
      </w:pPr>
      <w:r w:rsidRPr="005C2FFB">
        <w:rPr>
          <w:rFonts w:asciiTheme="majorHAnsi" w:hAnsiTheme="majorHAnsi"/>
          <w:sz w:val="24"/>
        </w:rPr>
        <w:t xml:space="preserve">The Respondent hourly wage was determined by using the Department of </w:t>
      </w:r>
      <w:r w:rsidRPr="005C2FFB" w:rsidR="00FE58B8">
        <w:rPr>
          <w:rFonts w:asciiTheme="majorHAnsi" w:hAnsiTheme="majorHAnsi"/>
          <w:sz w:val="24"/>
        </w:rPr>
        <w:t>Defense Cost Guidance Portal</w:t>
      </w:r>
      <w:r w:rsidRPr="005C2FFB">
        <w:rPr>
          <w:rFonts w:asciiTheme="majorHAnsi" w:hAnsiTheme="majorHAnsi"/>
          <w:sz w:val="24"/>
        </w:rPr>
        <w:t xml:space="preserve"> (</w:t>
      </w:r>
      <w:r w:rsidRPr="005C2FFB" w:rsidR="00FE58B8">
        <w:rPr>
          <w:rFonts w:asciiTheme="majorHAnsi" w:hAnsiTheme="majorHAnsi"/>
          <w:sz w:val="24"/>
        </w:rPr>
        <w:t>https://www.cape.osd.mil/</w:t>
      </w:r>
      <w:r w:rsidRPr="005C2FFB" w:rsidR="008A06EF">
        <w:rPr>
          <w:rFonts w:asciiTheme="majorHAnsi" w:hAnsiTheme="majorHAnsi"/>
          <w:sz w:val="24"/>
        </w:rPr>
        <w:t>)</w:t>
      </w:r>
    </w:p>
    <w:p w:rsidRPr="005C2FFB" w:rsidR="006F2DF8" w:rsidP="00337EF1" w:rsidRDefault="006F2DF8" w14:paraId="0F4A4A83" w14:textId="77777777">
      <w:pPr>
        <w:spacing w:after="0" w:line="240" w:lineRule="auto"/>
        <w:rPr>
          <w:rFonts w:asciiTheme="majorHAnsi" w:hAnsiTheme="majorHAnsi"/>
          <w:sz w:val="24"/>
        </w:rPr>
      </w:pPr>
    </w:p>
    <w:p w:rsidRPr="005C2FFB" w:rsidR="0019309D" w:rsidP="00337EF1" w:rsidRDefault="0019309D" w14:paraId="301945FA" w14:textId="41559E72">
      <w:pPr>
        <w:spacing w:after="0" w:line="240" w:lineRule="auto"/>
        <w:rPr>
          <w:rFonts w:asciiTheme="majorHAnsi" w:hAnsiTheme="majorHAnsi"/>
          <w:sz w:val="24"/>
        </w:rPr>
      </w:pPr>
      <w:r w:rsidRPr="005C2FFB">
        <w:rPr>
          <w:rFonts w:asciiTheme="majorHAnsi" w:hAnsiTheme="majorHAnsi"/>
          <w:sz w:val="24"/>
        </w:rPr>
        <w:t>13.</w:t>
      </w:r>
      <w:r w:rsidRPr="005C2FFB">
        <w:rPr>
          <w:rFonts w:asciiTheme="majorHAnsi" w:hAnsiTheme="majorHAnsi"/>
          <w:sz w:val="24"/>
        </w:rPr>
        <w:tab/>
      </w:r>
      <w:r w:rsidRPr="005C2FFB">
        <w:rPr>
          <w:rFonts w:asciiTheme="majorHAnsi" w:hAnsiTheme="majorHAnsi"/>
          <w:sz w:val="24"/>
          <w:u w:val="single"/>
        </w:rPr>
        <w:t>Respondent Costs Other Than Burden Hour Costs</w:t>
      </w:r>
      <w:r w:rsidRPr="005C2FFB" w:rsidR="0085688C">
        <w:rPr>
          <w:rFonts w:asciiTheme="majorHAnsi" w:hAnsiTheme="majorHAnsi"/>
          <w:sz w:val="24"/>
          <w:u w:val="single"/>
        </w:rPr>
        <w:t xml:space="preserve"> </w:t>
      </w:r>
    </w:p>
    <w:p w:rsidRPr="005C2FFB" w:rsidR="00FA6E11" w:rsidP="0019309D" w:rsidRDefault="00FA6E11" w14:paraId="76DBC4EE" w14:textId="77777777">
      <w:pPr>
        <w:spacing w:after="0" w:line="240" w:lineRule="auto"/>
        <w:rPr>
          <w:rFonts w:asciiTheme="majorHAnsi" w:hAnsiTheme="majorHAnsi"/>
          <w:sz w:val="24"/>
        </w:rPr>
      </w:pPr>
    </w:p>
    <w:p w:rsidRPr="005C2FFB" w:rsidR="0019309D" w:rsidP="0019309D" w:rsidRDefault="0019309D" w14:paraId="549E5F1C" w14:textId="4489D5CC">
      <w:pPr>
        <w:spacing w:after="0" w:line="240" w:lineRule="auto"/>
        <w:rPr>
          <w:rFonts w:asciiTheme="majorHAnsi" w:hAnsiTheme="majorHAnsi"/>
          <w:sz w:val="24"/>
        </w:rPr>
      </w:pPr>
      <w:r w:rsidRPr="005C2FFB">
        <w:rPr>
          <w:rFonts w:asciiTheme="majorHAnsi" w:hAnsiTheme="majorHAnsi"/>
          <w:sz w:val="24"/>
        </w:rPr>
        <w:t xml:space="preserve">There are no annualized costs to respondents other than the labor burden costs addressed in Section 12 of this document to complete this collection. </w:t>
      </w:r>
    </w:p>
    <w:p w:rsidRPr="005C2FFB" w:rsidR="0019309D" w:rsidP="0019309D" w:rsidRDefault="0019309D" w14:paraId="5AB3A676" w14:textId="77777777">
      <w:pPr>
        <w:spacing w:after="0" w:line="240" w:lineRule="auto"/>
        <w:rPr>
          <w:rFonts w:asciiTheme="majorHAnsi" w:hAnsiTheme="majorHAnsi"/>
          <w:sz w:val="24"/>
        </w:rPr>
      </w:pPr>
    </w:p>
    <w:p w:rsidRPr="005C2FFB" w:rsidR="00F25499" w:rsidP="0019309D" w:rsidRDefault="00F25499" w14:paraId="3905EF49" w14:textId="77777777">
      <w:pPr>
        <w:spacing w:after="0" w:line="240" w:lineRule="auto"/>
        <w:rPr>
          <w:rFonts w:asciiTheme="majorHAnsi" w:hAnsiTheme="majorHAnsi"/>
          <w:sz w:val="24"/>
        </w:rPr>
      </w:pPr>
      <w:r w:rsidRPr="005C2FFB">
        <w:rPr>
          <w:rFonts w:asciiTheme="majorHAnsi" w:hAnsiTheme="majorHAnsi"/>
          <w:sz w:val="24"/>
        </w:rPr>
        <w:t xml:space="preserve">14. </w:t>
      </w:r>
      <w:r w:rsidRPr="005C2FFB">
        <w:rPr>
          <w:rFonts w:asciiTheme="majorHAnsi" w:hAnsiTheme="majorHAnsi"/>
          <w:sz w:val="24"/>
        </w:rPr>
        <w:tab/>
      </w:r>
      <w:r w:rsidRPr="005C2FFB">
        <w:rPr>
          <w:rFonts w:asciiTheme="majorHAnsi" w:hAnsiTheme="majorHAnsi"/>
          <w:sz w:val="24"/>
          <w:u w:val="single"/>
        </w:rPr>
        <w:t>Cost to the Federal Government</w:t>
      </w:r>
    </w:p>
    <w:p w:rsidRPr="005C2FFB" w:rsidR="00235D71" w:rsidP="0019309D" w:rsidRDefault="00235D71" w14:paraId="33B98502" w14:textId="77777777">
      <w:pPr>
        <w:spacing w:after="0" w:line="240" w:lineRule="auto"/>
        <w:rPr>
          <w:rFonts w:asciiTheme="majorHAnsi" w:hAnsiTheme="majorHAnsi"/>
          <w:sz w:val="24"/>
        </w:rPr>
      </w:pPr>
    </w:p>
    <w:p w:rsidRPr="005C2FFB" w:rsidR="00235D71" w:rsidP="00722FDB" w:rsidRDefault="00235D71" w14:paraId="6F306E1F" w14:textId="77777777">
      <w:pPr>
        <w:spacing w:after="0" w:line="240" w:lineRule="auto"/>
        <w:rPr>
          <w:rFonts w:asciiTheme="majorHAnsi" w:hAnsiTheme="majorHAnsi"/>
          <w:sz w:val="24"/>
        </w:rPr>
      </w:pPr>
      <w:r w:rsidRPr="005C2FFB">
        <w:rPr>
          <w:rFonts w:asciiTheme="majorHAnsi" w:hAnsiTheme="majorHAnsi"/>
          <w:sz w:val="24"/>
        </w:rPr>
        <w:t>Part A: LABOR COST TO THE FEDERAL GOVERNMENT</w:t>
      </w:r>
    </w:p>
    <w:p w:rsidRPr="005C2FFB" w:rsidR="00235D71" w:rsidP="00235D71" w:rsidRDefault="00235D71" w14:paraId="2FFD97A5" w14:textId="77777777">
      <w:pPr>
        <w:pStyle w:val="ListParagraph"/>
        <w:numPr>
          <w:ilvl w:val="0"/>
          <w:numId w:val="18"/>
        </w:numPr>
        <w:spacing w:after="0" w:line="240" w:lineRule="auto"/>
        <w:rPr>
          <w:rFonts w:asciiTheme="majorHAnsi" w:hAnsiTheme="majorHAnsi"/>
          <w:sz w:val="24"/>
        </w:rPr>
      </w:pPr>
      <w:r w:rsidRPr="005C2FFB">
        <w:rPr>
          <w:rFonts w:asciiTheme="majorHAnsi" w:hAnsiTheme="majorHAnsi"/>
          <w:sz w:val="24"/>
        </w:rPr>
        <w:t>Collection Instrument(s)</w:t>
      </w:r>
    </w:p>
    <w:p w:rsidR="00961254" w:rsidP="00961254" w:rsidRDefault="00961254" w14:paraId="00E0E1FE" w14:textId="77777777">
      <w:pPr>
        <w:pStyle w:val="ListParagraph"/>
        <w:spacing w:after="0" w:line="240" w:lineRule="auto"/>
        <w:rPr>
          <w:rFonts w:asciiTheme="majorHAnsi" w:hAnsiTheme="majorHAnsi"/>
          <w:sz w:val="24"/>
        </w:rPr>
      </w:pPr>
      <w:r w:rsidRPr="005C2FFB">
        <w:rPr>
          <w:rFonts w:asciiTheme="majorHAnsi" w:hAnsiTheme="majorHAnsi"/>
          <w:sz w:val="24"/>
        </w:rPr>
        <w:t>2021 Workplace and Gender Relations Survey</w:t>
      </w:r>
      <w:r>
        <w:rPr>
          <w:rFonts w:asciiTheme="majorHAnsi" w:hAnsiTheme="majorHAnsi"/>
          <w:sz w:val="24"/>
        </w:rPr>
        <w:t xml:space="preserve"> (Active component [AC]); </w:t>
      </w:r>
    </w:p>
    <w:p w:rsidR="00961254" w:rsidP="00961254" w:rsidRDefault="00961254" w14:paraId="4E4A6CE5" w14:textId="77777777">
      <w:pPr>
        <w:pStyle w:val="ListParagraph"/>
        <w:spacing w:after="0" w:line="240" w:lineRule="auto"/>
        <w:rPr>
          <w:rFonts w:asciiTheme="majorHAnsi" w:hAnsiTheme="majorHAnsi"/>
          <w:sz w:val="24"/>
        </w:rPr>
      </w:pPr>
      <w:r w:rsidRPr="005C2FFB">
        <w:rPr>
          <w:rFonts w:asciiTheme="majorHAnsi" w:hAnsiTheme="majorHAnsi"/>
          <w:sz w:val="24"/>
        </w:rPr>
        <w:t>2021 Workplace and Gender Relations Survey</w:t>
      </w:r>
      <w:r>
        <w:rPr>
          <w:rFonts w:asciiTheme="majorHAnsi" w:hAnsiTheme="majorHAnsi"/>
          <w:sz w:val="24"/>
        </w:rPr>
        <w:t xml:space="preserve"> (Reserve component [RC]); </w:t>
      </w:r>
    </w:p>
    <w:p w:rsidRPr="005C2FFB" w:rsidR="00235D71" w:rsidP="00961254" w:rsidRDefault="00961254" w14:paraId="2EAF5C80" w14:textId="31A52CEE">
      <w:pPr>
        <w:pStyle w:val="ListParagraph"/>
        <w:spacing w:after="0" w:line="240" w:lineRule="auto"/>
        <w:rPr>
          <w:rFonts w:asciiTheme="majorHAnsi" w:hAnsiTheme="majorHAnsi"/>
          <w:sz w:val="24"/>
        </w:rPr>
      </w:pPr>
      <w:r w:rsidRPr="005C2FFB">
        <w:rPr>
          <w:rFonts w:asciiTheme="majorHAnsi" w:hAnsiTheme="majorHAnsi"/>
          <w:sz w:val="24"/>
        </w:rPr>
        <w:t xml:space="preserve">2021 Workplace and Gender Relations </w:t>
      </w:r>
      <w:r>
        <w:rPr>
          <w:rFonts w:asciiTheme="majorHAnsi" w:hAnsiTheme="majorHAnsi"/>
          <w:sz w:val="24"/>
        </w:rPr>
        <w:t xml:space="preserve">Abbreviated </w:t>
      </w:r>
      <w:r w:rsidRPr="005C2FFB">
        <w:rPr>
          <w:rFonts w:asciiTheme="majorHAnsi" w:hAnsiTheme="majorHAnsi"/>
          <w:sz w:val="24"/>
        </w:rPr>
        <w:t>Survey</w:t>
      </w:r>
      <w:r>
        <w:rPr>
          <w:rFonts w:asciiTheme="majorHAnsi" w:hAnsiTheme="majorHAnsi"/>
          <w:sz w:val="24"/>
        </w:rPr>
        <w:t xml:space="preserve"> (Abbr)</w:t>
      </w:r>
    </w:p>
    <w:p w:rsidRPr="005C2FFB" w:rsidR="00235D71" w:rsidP="00235D71" w:rsidRDefault="00235D71" w14:paraId="187C5FE3" w14:textId="6CE0F9A5">
      <w:pPr>
        <w:pStyle w:val="ListParagraph"/>
        <w:numPr>
          <w:ilvl w:val="0"/>
          <w:numId w:val="19"/>
        </w:numPr>
        <w:spacing w:after="0" w:line="240" w:lineRule="auto"/>
        <w:rPr>
          <w:rFonts w:asciiTheme="majorHAnsi" w:hAnsiTheme="majorHAnsi"/>
          <w:sz w:val="24"/>
        </w:rPr>
      </w:pPr>
      <w:r w:rsidRPr="005C2FFB">
        <w:rPr>
          <w:rFonts w:asciiTheme="majorHAnsi" w:hAnsiTheme="majorHAnsi"/>
          <w:sz w:val="24"/>
        </w:rPr>
        <w:t xml:space="preserve">Number of Total Annual Responses: </w:t>
      </w:r>
      <w:r w:rsidRPr="005C2FFB" w:rsidR="00735913">
        <w:rPr>
          <w:rFonts w:asciiTheme="majorHAnsi" w:hAnsiTheme="majorHAnsi"/>
          <w:sz w:val="24"/>
        </w:rPr>
        <w:t>20</w:t>
      </w:r>
      <w:r w:rsidR="00961254">
        <w:rPr>
          <w:rFonts w:asciiTheme="majorHAnsi" w:hAnsiTheme="majorHAnsi"/>
          <w:sz w:val="24"/>
        </w:rPr>
        <w:t>4</w:t>
      </w:r>
      <w:r w:rsidRPr="005C2FFB" w:rsidR="00735913">
        <w:rPr>
          <w:rFonts w:asciiTheme="majorHAnsi" w:hAnsiTheme="majorHAnsi"/>
          <w:sz w:val="24"/>
        </w:rPr>
        <w:t>,</w:t>
      </w:r>
      <w:r w:rsidR="00961254">
        <w:rPr>
          <w:rFonts w:asciiTheme="majorHAnsi" w:hAnsiTheme="majorHAnsi"/>
          <w:sz w:val="24"/>
        </w:rPr>
        <w:t>3</w:t>
      </w:r>
      <w:r w:rsidRPr="005C2FFB" w:rsidR="00735913">
        <w:rPr>
          <w:rFonts w:asciiTheme="majorHAnsi" w:hAnsiTheme="majorHAnsi"/>
          <w:sz w:val="24"/>
        </w:rPr>
        <w:t>00</w:t>
      </w:r>
    </w:p>
    <w:p w:rsidRPr="005C2FFB" w:rsidR="00235D71" w:rsidP="00235D71" w:rsidRDefault="00235D71" w14:paraId="76774295" w14:textId="77777777">
      <w:pPr>
        <w:pStyle w:val="ListParagraph"/>
        <w:numPr>
          <w:ilvl w:val="0"/>
          <w:numId w:val="19"/>
        </w:numPr>
        <w:spacing w:after="0" w:line="240" w:lineRule="auto"/>
        <w:rPr>
          <w:rFonts w:asciiTheme="majorHAnsi" w:hAnsiTheme="majorHAnsi"/>
          <w:sz w:val="24"/>
        </w:rPr>
      </w:pPr>
      <w:r w:rsidRPr="005C2FFB">
        <w:rPr>
          <w:rFonts w:asciiTheme="majorHAnsi" w:hAnsiTheme="majorHAnsi"/>
          <w:sz w:val="24"/>
        </w:rPr>
        <w:t xml:space="preserve">Processing Time per Response: </w:t>
      </w:r>
      <w:r w:rsidRPr="005C2FFB" w:rsidR="00017B1C">
        <w:rPr>
          <w:rFonts w:asciiTheme="majorHAnsi" w:hAnsiTheme="majorHAnsi"/>
          <w:sz w:val="24"/>
        </w:rPr>
        <w:t xml:space="preserve">.02 </w:t>
      </w:r>
      <w:r w:rsidRPr="005C2FFB">
        <w:rPr>
          <w:rFonts w:asciiTheme="majorHAnsi" w:hAnsiTheme="majorHAnsi"/>
          <w:sz w:val="24"/>
        </w:rPr>
        <w:t>hours</w:t>
      </w:r>
    </w:p>
    <w:p w:rsidRPr="005C2FFB" w:rsidR="00017B1C" w:rsidP="00285E68" w:rsidRDefault="00235D71" w14:paraId="58423408" w14:textId="0DF98C89">
      <w:pPr>
        <w:pStyle w:val="ListParagraph"/>
        <w:numPr>
          <w:ilvl w:val="0"/>
          <w:numId w:val="19"/>
        </w:numPr>
        <w:spacing w:after="0" w:line="240" w:lineRule="auto"/>
        <w:rPr>
          <w:rFonts w:asciiTheme="majorHAnsi" w:hAnsiTheme="majorHAnsi"/>
          <w:sz w:val="24"/>
        </w:rPr>
      </w:pPr>
      <w:r w:rsidRPr="005C2FFB">
        <w:rPr>
          <w:rFonts w:asciiTheme="majorHAnsi" w:hAnsiTheme="majorHAnsi"/>
          <w:sz w:val="24"/>
        </w:rPr>
        <w:t>Hourly Wage of</w:t>
      </w:r>
      <w:r w:rsidR="00E51880">
        <w:rPr>
          <w:rFonts w:asciiTheme="majorHAnsi" w:hAnsiTheme="majorHAnsi"/>
          <w:sz w:val="24"/>
        </w:rPr>
        <w:t xml:space="preserve"> Worker(s) Processing Responses</w:t>
      </w:r>
      <w:r w:rsidRPr="005C2FFB">
        <w:rPr>
          <w:rFonts w:asciiTheme="majorHAnsi" w:hAnsiTheme="majorHAnsi"/>
          <w:sz w:val="24"/>
        </w:rPr>
        <w:t>: $</w:t>
      </w:r>
      <w:r w:rsidRPr="005C2FFB" w:rsidR="00017B1C">
        <w:rPr>
          <w:rFonts w:asciiTheme="majorHAnsi" w:hAnsiTheme="majorHAnsi"/>
          <w:sz w:val="24"/>
        </w:rPr>
        <w:t>81.35</w:t>
      </w:r>
    </w:p>
    <w:p w:rsidRPr="005C2FFB" w:rsidR="00235D71" w:rsidP="00235D71" w:rsidRDefault="00E51880" w14:paraId="7ED2F1F1" w14:textId="6C573623">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Cost to Process Each Response: </w:t>
      </w:r>
      <w:r w:rsidRPr="005C2FFB" w:rsidR="00235D71">
        <w:rPr>
          <w:rFonts w:asciiTheme="majorHAnsi" w:hAnsiTheme="majorHAnsi"/>
          <w:sz w:val="24"/>
        </w:rPr>
        <w:t>$</w:t>
      </w:r>
      <w:r w:rsidRPr="005C2FFB" w:rsidR="00017B1C">
        <w:rPr>
          <w:rFonts w:asciiTheme="majorHAnsi" w:hAnsiTheme="majorHAnsi"/>
          <w:sz w:val="24"/>
        </w:rPr>
        <w:t>1.</w:t>
      </w:r>
      <w:r w:rsidR="00940816">
        <w:rPr>
          <w:rFonts w:asciiTheme="majorHAnsi" w:hAnsiTheme="majorHAnsi"/>
          <w:sz w:val="24"/>
        </w:rPr>
        <w:t>63</w:t>
      </w:r>
    </w:p>
    <w:p w:rsidRPr="005C2FFB" w:rsidR="00235D71" w:rsidP="00235D71" w:rsidRDefault="00E51880" w14:paraId="7D989EFC" w14:textId="04414F32">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Total Cost to Process Responses: </w:t>
      </w:r>
      <w:r w:rsidRPr="005C2FFB" w:rsidR="00235D71">
        <w:rPr>
          <w:rFonts w:asciiTheme="majorHAnsi" w:hAnsiTheme="majorHAnsi"/>
          <w:sz w:val="24"/>
        </w:rPr>
        <w:t>$</w:t>
      </w:r>
      <w:r w:rsidRPr="005C2FFB" w:rsidR="00017B1C">
        <w:rPr>
          <w:rFonts w:asciiTheme="majorHAnsi" w:hAnsiTheme="majorHAnsi"/>
          <w:sz w:val="24"/>
        </w:rPr>
        <w:t>3</w:t>
      </w:r>
      <w:r w:rsidR="00B5287C">
        <w:rPr>
          <w:rFonts w:asciiTheme="majorHAnsi" w:hAnsiTheme="majorHAnsi"/>
          <w:sz w:val="24"/>
        </w:rPr>
        <w:t>32,396.1</w:t>
      </w:r>
    </w:p>
    <w:p w:rsidRPr="005C2FFB" w:rsidR="00B55E9F" w:rsidP="00B55E9F" w:rsidRDefault="00B55E9F" w14:paraId="6318343D" w14:textId="77777777">
      <w:pPr>
        <w:pStyle w:val="ListParagraph"/>
        <w:spacing w:after="0" w:line="240" w:lineRule="auto"/>
        <w:ind w:left="1440"/>
        <w:rPr>
          <w:rFonts w:asciiTheme="majorHAnsi" w:hAnsiTheme="majorHAnsi"/>
          <w:sz w:val="24"/>
        </w:rPr>
      </w:pPr>
    </w:p>
    <w:p w:rsidRPr="005C2FFB" w:rsidR="00235D71" w:rsidP="00235D71" w:rsidRDefault="00235D71" w14:paraId="3298EA64" w14:textId="77777777">
      <w:pPr>
        <w:pStyle w:val="ListParagraph"/>
        <w:numPr>
          <w:ilvl w:val="0"/>
          <w:numId w:val="18"/>
        </w:numPr>
        <w:spacing w:after="0" w:line="240" w:lineRule="auto"/>
        <w:rPr>
          <w:rFonts w:asciiTheme="majorHAnsi" w:hAnsiTheme="majorHAnsi"/>
          <w:sz w:val="24"/>
        </w:rPr>
      </w:pPr>
      <w:r w:rsidRPr="005C2FFB">
        <w:rPr>
          <w:rFonts w:asciiTheme="majorHAnsi" w:hAnsiTheme="majorHAnsi"/>
          <w:sz w:val="24"/>
        </w:rPr>
        <w:t>Overall Labor Burden to the Federal Government</w:t>
      </w:r>
    </w:p>
    <w:p w:rsidRPr="005C2FFB" w:rsidR="00235D71" w:rsidP="00235D71" w:rsidRDefault="00235D71" w14:paraId="2F64DD30" w14:textId="30F06EA9">
      <w:pPr>
        <w:pStyle w:val="ListParagraph"/>
        <w:numPr>
          <w:ilvl w:val="1"/>
          <w:numId w:val="18"/>
        </w:numPr>
        <w:spacing w:after="0" w:line="240" w:lineRule="auto"/>
        <w:rPr>
          <w:rFonts w:asciiTheme="majorHAnsi" w:hAnsiTheme="majorHAnsi"/>
          <w:sz w:val="24"/>
        </w:rPr>
      </w:pPr>
      <w:r w:rsidRPr="005C2FFB">
        <w:rPr>
          <w:rFonts w:asciiTheme="majorHAnsi" w:hAnsiTheme="majorHAnsi"/>
          <w:sz w:val="24"/>
        </w:rPr>
        <w:t>T</w:t>
      </w:r>
      <w:r w:rsidRPr="005C2FFB" w:rsidR="003771E7">
        <w:rPr>
          <w:rFonts w:asciiTheme="majorHAnsi" w:hAnsiTheme="majorHAnsi"/>
          <w:sz w:val="24"/>
        </w:rPr>
        <w:t>otal Number of Annual Responses</w:t>
      </w:r>
      <w:r w:rsidRPr="005C2FFB">
        <w:rPr>
          <w:rFonts w:asciiTheme="majorHAnsi" w:hAnsiTheme="majorHAnsi"/>
          <w:sz w:val="24"/>
        </w:rPr>
        <w:t xml:space="preserve">: </w:t>
      </w:r>
      <w:r w:rsidRPr="005C2FFB" w:rsidR="00285E68">
        <w:rPr>
          <w:rFonts w:asciiTheme="majorHAnsi" w:hAnsiTheme="majorHAnsi"/>
          <w:sz w:val="24"/>
        </w:rPr>
        <w:t>20</w:t>
      </w:r>
      <w:r w:rsidR="00961254">
        <w:rPr>
          <w:rFonts w:asciiTheme="majorHAnsi" w:hAnsiTheme="majorHAnsi"/>
          <w:sz w:val="24"/>
        </w:rPr>
        <w:t>4</w:t>
      </w:r>
      <w:r w:rsidRPr="005C2FFB" w:rsidR="00285E68">
        <w:rPr>
          <w:rFonts w:asciiTheme="majorHAnsi" w:hAnsiTheme="majorHAnsi"/>
          <w:sz w:val="24"/>
        </w:rPr>
        <w:t>,</w:t>
      </w:r>
      <w:r w:rsidR="00961254">
        <w:rPr>
          <w:rFonts w:asciiTheme="majorHAnsi" w:hAnsiTheme="majorHAnsi"/>
          <w:sz w:val="24"/>
        </w:rPr>
        <w:t>3</w:t>
      </w:r>
      <w:r w:rsidRPr="005C2FFB" w:rsidR="00285E68">
        <w:rPr>
          <w:rFonts w:asciiTheme="majorHAnsi" w:hAnsiTheme="majorHAnsi"/>
          <w:sz w:val="24"/>
        </w:rPr>
        <w:t>00</w:t>
      </w:r>
    </w:p>
    <w:p w:rsidRPr="005C2FFB" w:rsidR="00B55E9F" w:rsidP="00722FDB" w:rsidRDefault="003771E7" w14:paraId="4B8652A1" w14:textId="3114A806">
      <w:pPr>
        <w:pStyle w:val="ListParagraph"/>
        <w:numPr>
          <w:ilvl w:val="1"/>
          <w:numId w:val="18"/>
        </w:numPr>
        <w:spacing w:after="0" w:line="240" w:lineRule="auto"/>
        <w:rPr>
          <w:rFonts w:asciiTheme="majorHAnsi" w:hAnsiTheme="majorHAnsi"/>
          <w:sz w:val="24"/>
        </w:rPr>
      </w:pPr>
      <w:r w:rsidRPr="005C2FFB">
        <w:rPr>
          <w:rFonts w:asciiTheme="majorHAnsi" w:hAnsiTheme="majorHAnsi"/>
          <w:sz w:val="24"/>
        </w:rPr>
        <w:t>Total Labor Burden</w:t>
      </w:r>
      <w:r w:rsidRPr="005C2FFB" w:rsidR="00235D71">
        <w:rPr>
          <w:rFonts w:asciiTheme="majorHAnsi" w:hAnsiTheme="majorHAnsi"/>
          <w:i/>
          <w:sz w:val="24"/>
        </w:rPr>
        <w:t xml:space="preserve">: </w:t>
      </w:r>
      <w:r w:rsidRPr="005C2FFB" w:rsidR="00285E68">
        <w:rPr>
          <w:rFonts w:asciiTheme="majorHAnsi" w:hAnsiTheme="majorHAnsi"/>
          <w:sz w:val="24"/>
        </w:rPr>
        <w:t>$</w:t>
      </w:r>
      <w:r w:rsidR="00B5287C">
        <w:rPr>
          <w:rFonts w:asciiTheme="majorHAnsi" w:hAnsiTheme="majorHAnsi"/>
          <w:sz w:val="24"/>
        </w:rPr>
        <w:t>332,396.1</w:t>
      </w:r>
    </w:p>
    <w:p w:rsidRPr="005C2FFB" w:rsidR="00B55E9F" w:rsidP="00B55E9F" w:rsidRDefault="00B55E9F" w14:paraId="7B1CBC4F" w14:textId="77777777">
      <w:pPr>
        <w:spacing w:after="0" w:line="240" w:lineRule="auto"/>
        <w:rPr>
          <w:rFonts w:asciiTheme="majorHAnsi" w:hAnsiTheme="majorHAnsi"/>
          <w:sz w:val="24"/>
        </w:rPr>
      </w:pPr>
    </w:p>
    <w:p w:rsidRPr="005C2FFB" w:rsidR="00486235" w:rsidP="00722FDB" w:rsidRDefault="00235D71" w14:paraId="18710A07" w14:textId="77777777">
      <w:pPr>
        <w:spacing w:after="0" w:line="240" w:lineRule="auto"/>
        <w:rPr>
          <w:rFonts w:asciiTheme="majorHAnsi" w:hAnsiTheme="majorHAnsi"/>
          <w:sz w:val="24"/>
        </w:rPr>
      </w:pPr>
      <w:r w:rsidRPr="005C2FFB">
        <w:rPr>
          <w:rFonts w:asciiTheme="majorHAnsi" w:hAnsiTheme="majorHAnsi"/>
          <w:sz w:val="24"/>
        </w:rPr>
        <w:lastRenderedPageBreak/>
        <w:t>Part B: OPERATIONAL AND MAINTENANCE COSTS</w:t>
      </w:r>
      <w:r w:rsidRPr="005C2FFB" w:rsidR="00486235">
        <w:rPr>
          <w:rFonts w:asciiTheme="majorHAnsi" w:hAnsiTheme="majorHAnsi"/>
          <w:i/>
          <w:sz w:val="24"/>
        </w:rPr>
        <w:t xml:space="preserve"> </w:t>
      </w:r>
    </w:p>
    <w:p w:rsidRPr="005C2FFB" w:rsidR="00235D71" w:rsidP="00722FDB" w:rsidRDefault="00235D71" w14:paraId="439A749A" w14:textId="77777777">
      <w:pPr>
        <w:spacing w:after="0" w:line="240" w:lineRule="auto"/>
        <w:rPr>
          <w:rFonts w:asciiTheme="majorHAnsi" w:hAnsiTheme="majorHAnsi"/>
          <w:sz w:val="24"/>
        </w:rPr>
      </w:pPr>
    </w:p>
    <w:p w:rsidRPr="005C2FFB" w:rsidR="00235D71" w:rsidP="00235D71" w:rsidRDefault="00235D71" w14:paraId="17780B6B" w14:textId="77777777">
      <w:pPr>
        <w:pStyle w:val="ListParagraph"/>
        <w:numPr>
          <w:ilvl w:val="0"/>
          <w:numId w:val="20"/>
        </w:numPr>
        <w:spacing w:after="0" w:line="240" w:lineRule="auto"/>
        <w:rPr>
          <w:rFonts w:asciiTheme="majorHAnsi" w:hAnsiTheme="majorHAnsi"/>
          <w:i/>
          <w:sz w:val="24"/>
        </w:rPr>
      </w:pPr>
      <w:r w:rsidRPr="005C2FFB">
        <w:rPr>
          <w:rFonts w:asciiTheme="majorHAnsi" w:hAnsiTheme="majorHAnsi"/>
          <w:sz w:val="24"/>
        </w:rPr>
        <w:t>Cost Categories</w:t>
      </w:r>
    </w:p>
    <w:p w:rsidRPr="005C2FFB" w:rsidR="00235D71" w:rsidP="00235D71" w:rsidRDefault="00235D71" w14:paraId="735AC8AE" w14:textId="77777777">
      <w:pPr>
        <w:pStyle w:val="ListParagraph"/>
        <w:numPr>
          <w:ilvl w:val="1"/>
          <w:numId w:val="20"/>
        </w:numPr>
        <w:spacing w:after="0" w:line="240" w:lineRule="auto"/>
        <w:rPr>
          <w:rFonts w:asciiTheme="majorHAnsi" w:hAnsiTheme="majorHAnsi"/>
          <w:i/>
          <w:sz w:val="24"/>
        </w:rPr>
      </w:pPr>
      <w:r w:rsidRPr="005C2FFB">
        <w:rPr>
          <w:rFonts w:asciiTheme="majorHAnsi" w:hAnsiTheme="majorHAnsi"/>
          <w:sz w:val="24"/>
        </w:rPr>
        <w:t>Equipment: $</w:t>
      </w:r>
      <w:r w:rsidRPr="005C2FFB" w:rsidR="00017870">
        <w:rPr>
          <w:rFonts w:asciiTheme="majorHAnsi" w:hAnsiTheme="majorHAnsi"/>
          <w:sz w:val="24"/>
        </w:rPr>
        <w:t>0</w:t>
      </w:r>
    </w:p>
    <w:p w:rsidRPr="005C2FFB" w:rsidR="00235D71" w:rsidP="00235D71" w:rsidRDefault="00235D71" w14:paraId="7CD1BFFB" w14:textId="219DA7A5">
      <w:pPr>
        <w:pStyle w:val="ListParagraph"/>
        <w:numPr>
          <w:ilvl w:val="1"/>
          <w:numId w:val="20"/>
        </w:numPr>
        <w:spacing w:after="0" w:line="240" w:lineRule="auto"/>
        <w:rPr>
          <w:rFonts w:asciiTheme="majorHAnsi" w:hAnsiTheme="majorHAnsi"/>
          <w:i/>
          <w:sz w:val="24"/>
        </w:rPr>
      </w:pPr>
      <w:r w:rsidRPr="005C2FFB">
        <w:rPr>
          <w:rFonts w:asciiTheme="majorHAnsi" w:hAnsiTheme="majorHAnsi"/>
          <w:sz w:val="24"/>
        </w:rPr>
        <w:t>Printing: $</w:t>
      </w:r>
      <w:r w:rsidR="00B5287C">
        <w:rPr>
          <w:rFonts w:asciiTheme="majorHAnsi" w:hAnsiTheme="majorHAnsi"/>
          <w:sz w:val="24"/>
        </w:rPr>
        <w:t>0</w:t>
      </w:r>
    </w:p>
    <w:p w:rsidRPr="005C2FFB" w:rsidR="00235D71" w:rsidP="00235D71" w:rsidRDefault="00235D71" w14:paraId="15BEFB4B" w14:textId="77777777">
      <w:pPr>
        <w:pStyle w:val="ListParagraph"/>
        <w:numPr>
          <w:ilvl w:val="1"/>
          <w:numId w:val="20"/>
        </w:numPr>
        <w:spacing w:after="0" w:line="240" w:lineRule="auto"/>
        <w:rPr>
          <w:rFonts w:asciiTheme="majorHAnsi" w:hAnsiTheme="majorHAnsi"/>
          <w:i/>
          <w:sz w:val="24"/>
        </w:rPr>
      </w:pPr>
      <w:r w:rsidRPr="005C2FFB">
        <w:rPr>
          <w:rFonts w:asciiTheme="majorHAnsi" w:hAnsiTheme="majorHAnsi"/>
          <w:sz w:val="24"/>
        </w:rPr>
        <w:t>Postage: $</w:t>
      </w:r>
      <w:r w:rsidRPr="005C2FFB" w:rsidR="00017870">
        <w:rPr>
          <w:rFonts w:asciiTheme="majorHAnsi" w:hAnsiTheme="majorHAnsi"/>
          <w:sz w:val="24"/>
        </w:rPr>
        <w:t>1,320,000</w:t>
      </w:r>
    </w:p>
    <w:p w:rsidRPr="005C2FFB" w:rsidR="00235D71" w:rsidP="00235D71" w:rsidRDefault="00235D71" w14:paraId="5ABB3081" w14:textId="383517AB">
      <w:pPr>
        <w:pStyle w:val="ListParagraph"/>
        <w:numPr>
          <w:ilvl w:val="1"/>
          <w:numId w:val="20"/>
        </w:numPr>
        <w:spacing w:after="0" w:line="240" w:lineRule="auto"/>
        <w:rPr>
          <w:rFonts w:asciiTheme="majorHAnsi" w:hAnsiTheme="majorHAnsi"/>
          <w:i/>
          <w:sz w:val="24"/>
        </w:rPr>
      </w:pPr>
      <w:r w:rsidRPr="005C2FFB">
        <w:rPr>
          <w:rFonts w:asciiTheme="majorHAnsi" w:hAnsiTheme="majorHAnsi"/>
          <w:sz w:val="24"/>
        </w:rPr>
        <w:t>Software Purchases: $</w:t>
      </w:r>
      <w:r w:rsidR="00B5287C">
        <w:rPr>
          <w:rFonts w:asciiTheme="majorHAnsi" w:hAnsiTheme="majorHAnsi"/>
          <w:sz w:val="24"/>
        </w:rPr>
        <w:t>0</w:t>
      </w:r>
    </w:p>
    <w:p w:rsidRPr="005C2FFB" w:rsidR="00235D71" w:rsidP="00235D71" w:rsidRDefault="00235D71" w14:paraId="5A40B0E9" w14:textId="77777777">
      <w:pPr>
        <w:pStyle w:val="ListParagraph"/>
        <w:numPr>
          <w:ilvl w:val="1"/>
          <w:numId w:val="20"/>
        </w:numPr>
        <w:spacing w:after="0" w:line="240" w:lineRule="auto"/>
        <w:rPr>
          <w:rFonts w:asciiTheme="majorHAnsi" w:hAnsiTheme="majorHAnsi"/>
          <w:i/>
          <w:sz w:val="24"/>
        </w:rPr>
      </w:pPr>
      <w:r w:rsidRPr="005C2FFB">
        <w:rPr>
          <w:rFonts w:asciiTheme="majorHAnsi" w:hAnsiTheme="majorHAnsi"/>
          <w:sz w:val="24"/>
        </w:rPr>
        <w:t>Licensing Costs: $</w:t>
      </w:r>
      <w:r w:rsidRPr="005C2FFB" w:rsidR="00017870">
        <w:rPr>
          <w:rFonts w:asciiTheme="majorHAnsi" w:hAnsiTheme="majorHAnsi"/>
          <w:sz w:val="24"/>
        </w:rPr>
        <w:t>0</w:t>
      </w:r>
    </w:p>
    <w:p w:rsidRPr="005C2FFB" w:rsidR="00235D71" w:rsidP="00235D71" w:rsidRDefault="00235D71" w14:paraId="7ECFB1A2" w14:textId="77777777">
      <w:pPr>
        <w:pStyle w:val="ListParagraph"/>
        <w:numPr>
          <w:ilvl w:val="1"/>
          <w:numId w:val="20"/>
        </w:numPr>
        <w:spacing w:after="0" w:line="240" w:lineRule="auto"/>
        <w:rPr>
          <w:rFonts w:asciiTheme="majorHAnsi" w:hAnsiTheme="majorHAnsi"/>
          <w:i/>
          <w:sz w:val="24"/>
        </w:rPr>
      </w:pPr>
      <w:r w:rsidRPr="005C2FFB">
        <w:rPr>
          <w:rFonts w:asciiTheme="majorHAnsi" w:hAnsiTheme="majorHAnsi"/>
          <w:sz w:val="24"/>
        </w:rPr>
        <w:t>Other: $</w:t>
      </w:r>
      <w:r w:rsidRPr="005C2FFB" w:rsidR="003771E7">
        <w:rPr>
          <w:rFonts w:asciiTheme="majorHAnsi" w:hAnsiTheme="majorHAnsi"/>
          <w:sz w:val="24"/>
        </w:rPr>
        <w:t>2,900,000</w:t>
      </w:r>
    </w:p>
    <w:p w:rsidRPr="005C2FFB" w:rsidR="00B55E9F" w:rsidP="00B55E9F" w:rsidRDefault="00B55E9F" w14:paraId="00DE8FA3" w14:textId="77777777">
      <w:pPr>
        <w:pStyle w:val="ListParagraph"/>
        <w:spacing w:after="0" w:line="240" w:lineRule="auto"/>
        <w:ind w:left="1440"/>
        <w:rPr>
          <w:rFonts w:asciiTheme="majorHAnsi" w:hAnsiTheme="majorHAnsi"/>
          <w:i/>
          <w:sz w:val="24"/>
        </w:rPr>
      </w:pPr>
    </w:p>
    <w:p w:rsidRPr="005C2FFB" w:rsidR="00235D71" w:rsidP="00B55E9F" w:rsidRDefault="00B55E9F" w14:paraId="75391663" w14:textId="77777777">
      <w:pPr>
        <w:pStyle w:val="ListParagraph"/>
        <w:numPr>
          <w:ilvl w:val="0"/>
          <w:numId w:val="20"/>
        </w:numPr>
        <w:spacing w:after="0" w:line="240" w:lineRule="auto"/>
        <w:rPr>
          <w:rFonts w:asciiTheme="majorHAnsi" w:hAnsiTheme="majorHAnsi"/>
          <w:i/>
          <w:sz w:val="24"/>
        </w:rPr>
      </w:pPr>
      <w:r w:rsidRPr="005C2FFB">
        <w:rPr>
          <w:rFonts w:asciiTheme="majorHAnsi" w:hAnsiTheme="majorHAnsi"/>
          <w:sz w:val="24"/>
        </w:rPr>
        <w:t>Total Operational and Maintenance Cost: $</w:t>
      </w:r>
      <w:r w:rsidRPr="005C2FFB" w:rsidR="00017870">
        <w:rPr>
          <w:rFonts w:asciiTheme="majorHAnsi" w:hAnsiTheme="majorHAnsi"/>
          <w:sz w:val="24"/>
        </w:rPr>
        <w:t>4,220,000</w:t>
      </w:r>
    </w:p>
    <w:p w:rsidRPr="005C2FFB" w:rsidR="00B55E9F" w:rsidP="00B55E9F" w:rsidRDefault="00B55E9F" w14:paraId="2A1CBA52" w14:textId="77777777">
      <w:pPr>
        <w:spacing w:after="0" w:line="240" w:lineRule="auto"/>
        <w:rPr>
          <w:rFonts w:asciiTheme="majorHAnsi" w:hAnsiTheme="majorHAnsi"/>
          <w:i/>
          <w:sz w:val="24"/>
        </w:rPr>
      </w:pPr>
    </w:p>
    <w:p w:rsidRPr="005C2FFB" w:rsidR="00B55E9F" w:rsidP="00B55E9F" w:rsidRDefault="00B55E9F" w14:paraId="2B249F73" w14:textId="77777777">
      <w:pPr>
        <w:spacing w:after="0" w:line="240" w:lineRule="auto"/>
        <w:rPr>
          <w:rFonts w:asciiTheme="majorHAnsi" w:hAnsiTheme="majorHAnsi"/>
          <w:sz w:val="24"/>
        </w:rPr>
      </w:pPr>
      <w:r w:rsidRPr="005C2FFB">
        <w:rPr>
          <w:rFonts w:asciiTheme="majorHAnsi" w:hAnsiTheme="majorHAnsi"/>
          <w:sz w:val="24"/>
        </w:rPr>
        <w:t>Part C: TOTAL COST TO THE FEDERAL GOVERNMENT</w:t>
      </w:r>
    </w:p>
    <w:p w:rsidRPr="005C2FFB" w:rsidR="00B55E9F" w:rsidP="00B55E9F" w:rsidRDefault="00B55E9F" w14:paraId="3705D971" w14:textId="77777777">
      <w:pPr>
        <w:spacing w:after="0" w:line="240" w:lineRule="auto"/>
        <w:rPr>
          <w:rFonts w:asciiTheme="majorHAnsi" w:hAnsiTheme="majorHAnsi"/>
          <w:sz w:val="24"/>
        </w:rPr>
      </w:pPr>
    </w:p>
    <w:p w:rsidRPr="005C2FFB" w:rsidR="00B55E9F" w:rsidP="00373EE4" w:rsidRDefault="00B55E9F" w14:paraId="767395A5" w14:textId="2F59C66E">
      <w:pPr>
        <w:pStyle w:val="ListParagraph"/>
        <w:numPr>
          <w:ilvl w:val="0"/>
          <w:numId w:val="22"/>
        </w:numPr>
        <w:spacing w:after="0" w:line="240" w:lineRule="auto"/>
        <w:rPr>
          <w:rFonts w:asciiTheme="majorHAnsi" w:hAnsiTheme="majorHAnsi"/>
          <w:sz w:val="24"/>
        </w:rPr>
      </w:pPr>
      <w:r w:rsidRPr="005C2FFB">
        <w:rPr>
          <w:rFonts w:asciiTheme="majorHAnsi" w:hAnsiTheme="majorHAnsi"/>
          <w:sz w:val="24"/>
        </w:rPr>
        <w:t>Total Labor Cost to the Federal Government: $</w:t>
      </w:r>
      <w:r w:rsidRPr="005C2FFB" w:rsidR="003771E7">
        <w:rPr>
          <w:rFonts w:asciiTheme="majorHAnsi" w:hAnsiTheme="majorHAnsi"/>
          <w:sz w:val="24"/>
        </w:rPr>
        <w:t>3</w:t>
      </w:r>
      <w:r w:rsidR="00940816">
        <w:rPr>
          <w:rFonts w:asciiTheme="majorHAnsi" w:hAnsiTheme="majorHAnsi"/>
          <w:sz w:val="24"/>
        </w:rPr>
        <w:t>33</w:t>
      </w:r>
      <w:r w:rsidRPr="005C2FFB" w:rsidR="003771E7">
        <w:rPr>
          <w:rFonts w:asciiTheme="majorHAnsi" w:hAnsiTheme="majorHAnsi"/>
          <w:sz w:val="24"/>
        </w:rPr>
        <w:t>,00</w:t>
      </w:r>
      <w:r w:rsidR="00940816">
        <w:rPr>
          <w:rFonts w:asciiTheme="majorHAnsi" w:hAnsiTheme="majorHAnsi"/>
          <w:sz w:val="24"/>
        </w:rPr>
        <w:t>9</w:t>
      </w:r>
    </w:p>
    <w:p w:rsidRPr="00212397" w:rsidR="00B55E9F" w:rsidP="00B55E9F" w:rsidRDefault="00B55E9F" w14:paraId="110758EB" w14:textId="0C232BC8">
      <w:pPr>
        <w:pStyle w:val="ListParagraph"/>
        <w:numPr>
          <w:ilvl w:val="0"/>
          <w:numId w:val="22"/>
        </w:numPr>
        <w:spacing w:after="0" w:line="240" w:lineRule="auto"/>
        <w:rPr>
          <w:rFonts w:asciiTheme="majorHAnsi" w:hAnsiTheme="majorHAnsi"/>
          <w:sz w:val="24"/>
        </w:rPr>
      </w:pPr>
      <w:r w:rsidRPr="005C2FFB">
        <w:rPr>
          <w:rFonts w:asciiTheme="majorHAnsi" w:hAnsiTheme="majorHAnsi"/>
          <w:sz w:val="24"/>
        </w:rPr>
        <w:t>Total Operational and Maintenance Costs: $</w:t>
      </w:r>
      <w:r w:rsidRPr="005C2FFB" w:rsidR="003771E7">
        <w:rPr>
          <w:rFonts w:asciiTheme="majorHAnsi" w:hAnsiTheme="majorHAnsi"/>
          <w:sz w:val="24"/>
        </w:rPr>
        <w:t>4,220,000</w:t>
      </w:r>
    </w:p>
    <w:p w:rsidRPr="005C2FFB" w:rsidR="00B55E9F" w:rsidP="00B55E9F" w:rsidRDefault="00B55E9F" w14:paraId="61EAFABF" w14:textId="16B12684">
      <w:pPr>
        <w:pStyle w:val="ListParagraph"/>
        <w:numPr>
          <w:ilvl w:val="0"/>
          <w:numId w:val="22"/>
        </w:numPr>
        <w:spacing w:after="0" w:line="240" w:lineRule="auto"/>
        <w:rPr>
          <w:rFonts w:asciiTheme="majorHAnsi" w:hAnsiTheme="majorHAnsi"/>
          <w:sz w:val="24"/>
        </w:rPr>
      </w:pPr>
      <w:r w:rsidRPr="005C2FFB">
        <w:rPr>
          <w:rFonts w:asciiTheme="majorHAnsi" w:hAnsiTheme="majorHAnsi"/>
          <w:sz w:val="24"/>
        </w:rPr>
        <w:t>Total</w:t>
      </w:r>
      <w:r w:rsidRPr="005C2FFB" w:rsidR="003771E7">
        <w:rPr>
          <w:rFonts w:asciiTheme="majorHAnsi" w:hAnsiTheme="majorHAnsi"/>
          <w:sz w:val="24"/>
        </w:rPr>
        <w:t xml:space="preserve"> Cost to the Federal Government</w:t>
      </w:r>
      <w:r w:rsidRPr="005C2FFB">
        <w:rPr>
          <w:rFonts w:asciiTheme="majorHAnsi" w:hAnsiTheme="majorHAnsi"/>
          <w:sz w:val="24"/>
        </w:rPr>
        <w:t>: $</w:t>
      </w:r>
      <w:r w:rsidRPr="005C2FFB" w:rsidR="003771E7">
        <w:rPr>
          <w:rFonts w:asciiTheme="majorHAnsi" w:hAnsiTheme="majorHAnsi"/>
          <w:sz w:val="24"/>
        </w:rPr>
        <w:t>4,5</w:t>
      </w:r>
      <w:r w:rsidR="00940816">
        <w:rPr>
          <w:rFonts w:asciiTheme="majorHAnsi" w:hAnsiTheme="majorHAnsi"/>
          <w:sz w:val="24"/>
        </w:rPr>
        <w:t>53</w:t>
      </w:r>
      <w:r w:rsidRPr="005C2FFB" w:rsidR="003771E7">
        <w:rPr>
          <w:rFonts w:asciiTheme="majorHAnsi" w:hAnsiTheme="majorHAnsi"/>
          <w:sz w:val="24"/>
        </w:rPr>
        <w:t>,00</w:t>
      </w:r>
      <w:r w:rsidR="00940816">
        <w:rPr>
          <w:rFonts w:asciiTheme="majorHAnsi" w:hAnsiTheme="majorHAnsi"/>
          <w:sz w:val="24"/>
        </w:rPr>
        <w:t>9</w:t>
      </w:r>
    </w:p>
    <w:p w:rsidRPr="005C2FFB" w:rsidR="00486235" w:rsidP="00486235" w:rsidRDefault="00486235" w14:paraId="0EA26741" w14:textId="77777777">
      <w:pPr>
        <w:spacing w:after="0" w:line="240" w:lineRule="auto"/>
        <w:rPr>
          <w:rFonts w:asciiTheme="majorHAnsi" w:hAnsiTheme="majorHAnsi"/>
          <w:sz w:val="24"/>
        </w:rPr>
      </w:pPr>
    </w:p>
    <w:p w:rsidRPr="005C2FFB" w:rsidR="00DA2B37" w:rsidP="00486235" w:rsidRDefault="00DA2B37" w14:paraId="075FD161" w14:textId="2034A3B5">
      <w:pPr>
        <w:spacing w:after="0" w:line="240" w:lineRule="auto"/>
        <w:rPr>
          <w:rFonts w:asciiTheme="majorHAnsi" w:hAnsiTheme="majorHAnsi"/>
          <w:sz w:val="24"/>
          <w:u w:val="single"/>
        </w:rPr>
      </w:pPr>
      <w:r w:rsidRPr="005C2FFB">
        <w:rPr>
          <w:rFonts w:asciiTheme="majorHAnsi" w:hAnsiTheme="majorHAnsi"/>
          <w:sz w:val="24"/>
        </w:rPr>
        <w:t xml:space="preserve">15. </w:t>
      </w:r>
      <w:r w:rsidRPr="005C2FFB">
        <w:rPr>
          <w:rFonts w:asciiTheme="majorHAnsi" w:hAnsiTheme="majorHAnsi"/>
          <w:sz w:val="24"/>
        </w:rPr>
        <w:tab/>
      </w:r>
      <w:r w:rsidRPr="005C2FFB">
        <w:rPr>
          <w:rFonts w:asciiTheme="majorHAnsi" w:hAnsiTheme="majorHAnsi"/>
          <w:sz w:val="24"/>
          <w:u w:val="single"/>
        </w:rPr>
        <w:t>Reasons for Change in Burden</w:t>
      </w:r>
      <w:r w:rsidRPr="005C2FFB" w:rsidR="0085688C">
        <w:rPr>
          <w:rFonts w:asciiTheme="majorHAnsi" w:hAnsiTheme="majorHAnsi"/>
          <w:sz w:val="24"/>
          <w:u w:val="single"/>
        </w:rPr>
        <w:t xml:space="preserve"> </w:t>
      </w:r>
    </w:p>
    <w:p w:rsidRPr="005C2FFB" w:rsidR="00FA6E11" w:rsidP="003771E7" w:rsidRDefault="00FA6E11" w14:paraId="7F969C70" w14:textId="77777777">
      <w:pPr>
        <w:spacing w:after="0" w:line="240" w:lineRule="auto"/>
        <w:rPr>
          <w:rFonts w:asciiTheme="majorHAnsi" w:hAnsiTheme="majorHAnsi"/>
          <w:sz w:val="24"/>
        </w:rPr>
      </w:pPr>
    </w:p>
    <w:p w:rsidRPr="005C2FFB" w:rsidR="00DA2B37" w:rsidP="003771E7" w:rsidRDefault="00DA2B37" w14:paraId="01F02286" w14:textId="4BA6539C">
      <w:pPr>
        <w:spacing w:after="0" w:line="240" w:lineRule="auto"/>
        <w:rPr>
          <w:rFonts w:asciiTheme="majorHAnsi" w:hAnsiTheme="majorHAnsi"/>
          <w:sz w:val="24"/>
        </w:rPr>
      </w:pPr>
      <w:r w:rsidRPr="005C2FFB">
        <w:rPr>
          <w:rFonts w:asciiTheme="majorHAnsi" w:hAnsiTheme="majorHAnsi"/>
          <w:sz w:val="24"/>
        </w:rPr>
        <w:t>Th</w:t>
      </w:r>
      <w:r w:rsidR="00054FBB">
        <w:rPr>
          <w:rFonts w:asciiTheme="majorHAnsi" w:hAnsiTheme="majorHAnsi"/>
          <w:sz w:val="24"/>
        </w:rPr>
        <w:t>ere has been no change in burden since the last approval</w:t>
      </w:r>
      <w:r w:rsidRPr="005C2FFB">
        <w:rPr>
          <w:rFonts w:asciiTheme="majorHAnsi" w:hAnsiTheme="majorHAnsi"/>
          <w:sz w:val="24"/>
        </w:rPr>
        <w:t xml:space="preserve">. </w:t>
      </w:r>
    </w:p>
    <w:p w:rsidRPr="005C2FFB" w:rsidR="00DA2B37" w:rsidP="00486235" w:rsidRDefault="00DA2B37" w14:paraId="74692F91" w14:textId="77777777">
      <w:pPr>
        <w:spacing w:after="0" w:line="240" w:lineRule="auto"/>
        <w:rPr>
          <w:rFonts w:asciiTheme="majorHAnsi" w:hAnsiTheme="majorHAnsi"/>
          <w:sz w:val="24"/>
        </w:rPr>
      </w:pPr>
    </w:p>
    <w:p w:rsidRPr="005C2FFB" w:rsidR="00C62D17" w:rsidP="00373EE4" w:rsidRDefault="005C3A95" w14:paraId="0252B30F" w14:textId="07A59437">
      <w:pPr>
        <w:spacing w:after="0" w:line="240" w:lineRule="auto"/>
        <w:rPr>
          <w:rFonts w:asciiTheme="majorHAnsi" w:hAnsiTheme="majorHAnsi"/>
          <w:sz w:val="24"/>
        </w:rPr>
      </w:pPr>
      <w:r w:rsidRPr="005C2FFB">
        <w:rPr>
          <w:rFonts w:asciiTheme="majorHAnsi" w:hAnsiTheme="majorHAnsi"/>
          <w:sz w:val="24"/>
        </w:rPr>
        <w:t xml:space="preserve">16. </w:t>
      </w:r>
      <w:r w:rsidRPr="005C2FFB">
        <w:rPr>
          <w:rFonts w:asciiTheme="majorHAnsi" w:hAnsiTheme="majorHAnsi"/>
          <w:sz w:val="24"/>
        </w:rPr>
        <w:tab/>
      </w:r>
      <w:r w:rsidRPr="005C2FFB">
        <w:rPr>
          <w:rFonts w:asciiTheme="majorHAnsi" w:hAnsiTheme="majorHAnsi"/>
          <w:sz w:val="24"/>
          <w:u w:val="single"/>
        </w:rPr>
        <w:t>Publication of Results</w:t>
      </w:r>
      <w:r w:rsidRPr="005C2FFB">
        <w:rPr>
          <w:rFonts w:asciiTheme="majorHAnsi" w:hAnsiTheme="majorHAnsi"/>
          <w:sz w:val="24"/>
        </w:rPr>
        <w:t xml:space="preserve"> </w:t>
      </w:r>
    </w:p>
    <w:p w:rsidRPr="005C2FFB" w:rsidR="00FA6E11" w:rsidP="00486235" w:rsidRDefault="00FA6E11" w14:paraId="2228CBA5" w14:textId="77777777">
      <w:pPr>
        <w:spacing w:after="0" w:line="240" w:lineRule="auto"/>
        <w:rPr>
          <w:rFonts w:asciiTheme="majorHAnsi" w:hAnsiTheme="majorHAnsi"/>
          <w:sz w:val="24"/>
        </w:rPr>
      </w:pPr>
    </w:p>
    <w:p w:rsidRPr="005C2FFB" w:rsidR="009D7FBF" w:rsidP="00486235" w:rsidRDefault="008A218A" w14:paraId="39AC07B6" w14:textId="047BE526">
      <w:pPr>
        <w:spacing w:after="0" w:line="240" w:lineRule="auto"/>
        <w:rPr>
          <w:rFonts w:asciiTheme="majorHAnsi" w:hAnsiTheme="majorHAnsi"/>
          <w:sz w:val="24"/>
        </w:rPr>
      </w:pPr>
      <w:r w:rsidRPr="005C2FFB">
        <w:rPr>
          <w:rFonts w:asciiTheme="majorHAnsi" w:hAnsiTheme="majorHAnsi"/>
          <w:sz w:val="24"/>
        </w:rPr>
        <w:t xml:space="preserve">The </w:t>
      </w:r>
      <w:r w:rsidRPr="005C2FFB" w:rsidR="003771E7">
        <w:rPr>
          <w:rFonts w:asciiTheme="majorHAnsi" w:hAnsiTheme="majorHAnsi"/>
          <w:sz w:val="24"/>
        </w:rPr>
        <w:t xml:space="preserve">survey administration will take approximately a year and a half to complete – to include survey design and development, fielding and administration, and data analysis and reporting. </w:t>
      </w:r>
      <w:r w:rsidRPr="005C2FFB">
        <w:rPr>
          <w:rFonts w:asciiTheme="majorHAnsi" w:hAnsiTheme="majorHAnsi"/>
          <w:sz w:val="24"/>
        </w:rPr>
        <w:t xml:space="preserve"> OPA will field the survey</w:t>
      </w:r>
      <w:r w:rsidRPr="005C2FFB" w:rsidR="003771E7">
        <w:rPr>
          <w:rFonts w:asciiTheme="majorHAnsi" w:hAnsiTheme="majorHAnsi"/>
          <w:sz w:val="24"/>
        </w:rPr>
        <w:t xml:space="preserve"> between </w:t>
      </w:r>
      <w:r w:rsidRPr="005C2FFB" w:rsidR="00E1174A">
        <w:rPr>
          <w:rFonts w:asciiTheme="majorHAnsi" w:hAnsiTheme="majorHAnsi"/>
          <w:sz w:val="24"/>
        </w:rPr>
        <w:t>December 2021</w:t>
      </w:r>
      <w:r w:rsidRPr="005C2FFB" w:rsidR="003771E7">
        <w:rPr>
          <w:rFonts w:asciiTheme="majorHAnsi" w:hAnsiTheme="majorHAnsi"/>
          <w:sz w:val="24"/>
        </w:rPr>
        <w:t xml:space="preserve"> and </w:t>
      </w:r>
      <w:r w:rsidRPr="005C2FFB" w:rsidR="00E1174A">
        <w:rPr>
          <w:rFonts w:asciiTheme="majorHAnsi" w:hAnsiTheme="majorHAnsi"/>
          <w:sz w:val="24"/>
        </w:rPr>
        <w:t>March of 2022</w:t>
      </w:r>
      <w:r w:rsidRPr="005C2FFB">
        <w:rPr>
          <w:rFonts w:asciiTheme="majorHAnsi" w:hAnsiTheme="majorHAnsi"/>
          <w:sz w:val="24"/>
        </w:rPr>
        <w:t xml:space="preserve"> and then continuing </w:t>
      </w:r>
      <w:r w:rsidRPr="005C2FFB" w:rsidR="003771E7">
        <w:rPr>
          <w:rFonts w:asciiTheme="majorHAnsi" w:hAnsiTheme="majorHAnsi"/>
          <w:sz w:val="24"/>
        </w:rPr>
        <w:t>on a biennial basis</w:t>
      </w:r>
      <w:r w:rsidRPr="005C2FFB">
        <w:rPr>
          <w:rFonts w:asciiTheme="majorHAnsi" w:hAnsiTheme="majorHAnsi"/>
          <w:sz w:val="24"/>
        </w:rPr>
        <w:t xml:space="preserve"> (i.e. every other year)</w:t>
      </w:r>
      <w:r w:rsidRPr="005C2FFB" w:rsidR="003771E7">
        <w:rPr>
          <w:rFonts w:asciiTheme="majorHAnsi" w:hAnsiTheme="majorHAnsi"/>
          <w:sz w:val="24"/>
        </w:rPr>
        <w:t>.</w:t>
      </w:r>
      <w:r w:rsidRPr="005C2FFB">
        <w:rPr>
          <w:rFonts w:asciiTheme="majorHAnsi" w:hAnsiTheme="majorHAnsi"/>
          <w:sz w:val="24"/>
        </w:rPr>
        <w:t xml:space="preserve"> </w:t>
      </w:r>
      <w:r w:rsidRPr="005C2FFB" w:rsidR="003771E7">
        <w:rPr>
          <w:rFonts w:asciiTheme="majorHAnsi" w:hAnsiTheme="majorHAnsi"/>
          <w:sz w:val="24"/>
        </w:rPr>
        <w:t xml:space="preserve"> </w:t>
      </w:r>
    </w:p>
    <w:p w:rsidRPr="005C2FFB" w:rsidR="00373EE4" w:rsidP="00486235" w:rsidRDefault="00373EE4" w14:paraId="17B0B2FB" w14:textId="77777777">
      <w:pPr>
        <w:spacing w:after="0" w:line="240" w:lineRule="auto"/>
        <w:rPr>
          <w:rFonts w:asciiTheme="majorHAnsi" w:hAnsiTheme="majorHAnsi"/>
          <w:sz w:val="24"/>
        </w:rPr>
      </w:pPr>
    </w:p>
    <w:p w:rsidRPr="005C2FFB" w:rsidR="00DA2B37" w:rsidP="00486235" w:rsidRDefault="00373EE4" w14:paraId="70CEF3D7" w14:textId="23A54B70">
      <w:pPr>
        <w:spacing w:after="0" w:line="240" w:lineRule="auto"/>
        <w:rPr>
          <w:rFonts w:asciiTheme="majorHAnsi" w:hAnsiTheme="majorHAnsi"/>
          <w:sz w:val="24"/>
        </w:rPr>
      </w:pPr>
      <w:r w:rsidRPr="005C2FFB">
        <w:rPr>
          <w:rFonts w:asciiTheme="majorHAnsi" w:hAnsiTheme="majorHAnsi"/>
          <w:sz w:val="24"/>
        </w:rPr>
        <w:t xml:space="preserve">In total, OPA will publish a minimum of three reports related to the survey—an Overview Report; a Statistical Methodology Report; and, a Results and Trends Report (i.e. tabulations of </w:t>
      </w:r>
      <w:r w:rsidRPr="005C2FFB">
        <w:rPr>
          <w:rFonts w:asciiTheme="majorHAnsi" w:hAnsiTheme="majorHAnsi"/>
          <w:sz w:val="24"/>
        </w:rPr>
        <w:lastRenderedPageBreak/>
        <w:t xml:space="preserve">responses).  </w:t>
      </w:r>
      <w:r w:rsidRPr="005C2FFB" w:rsidR="003771E7">
        <w:rPr>
          <w:rFonts w:asciiTheme="majorHAnsi" w:hAnsiTheme="majorHAnsi"/>
          <w:sz w:val="24"/>
        </w:rPr>
        <w:t xml:space="preserve">Tabulations of responses will be </w:t>
      </w:r>
      <w:r w:rsidRPr="005C2FFB" w:rsidR="008A218A">
        <w:rPr>
          <w:rFonts w:asciiTheme="majorHAnsi" w:hAnsiTheme="majorHAnsi"/>
          <w:sz w:val="24"/>
        </w:rPr>
        <w:t xml:space="preserve">prepared </w:t>
      </w:r>
      <w:r w:rsidRPr="005C2FFB" w:rsidR="003771E7">
        <w:rPr>
          <w:rFonts w:asciiTheme="majorHAnsi" w:hAnsiTheme="majorHAnsi"/>
          <w:sz w:val="24"/>
        </w:rPr>
        <w:t xml:space="preserve">between </w:t>
      </w:r>
      <w:r w:rsidRPr="005C2FFB" w:rsidR="00E1174A">
        <w:rPr>
          <w:rFonts w:asciiTheme="majorHAnsi" w:hAnsiTheme="majorHAnsi"/>
          <w:sz w:val="24"/>
        </w:rPr>
        <w:t xml:space="preserve">April </w:t>
      </w:r>
      <w:r w:rsidRPr="005C2FFB" w:rsidR="003771E7">
        <w:rPr>
          <w:rFonts w:asciiTheme="majorHAnsi" w:hAnsiTheme="majorHAnsi"/>
          <w:sz w:val="24"/>
        </w:rPr>
        <w:t>and Ma</w:t>
      </w:r>
      <w:r w:rsidRPr="005C2FFB" w:rsidR="00E1174A">
        <w:rPr>
          <w:rFonts w:asciiTheme="majorHAnsi" w:hAnsiTheme="majorHAnsi"/>
          <w:sz w:val="24"/>
        </w:rPr>
        <w:t xml:space="preserve">y </w:t>
      </w:r>
      <w:r w:rsidRPr="005C2FFB" w:rsidR="003771E7">
        <w:rPr>
          <w:rFonts w:asciiTheme="majorHAnsi" w:hAnsiTheme="majorHAnsi"/>
          <w:sz w:val="24"/>
        </w:rPr>
        <w:t xml:space="preserve">immediately following the survey administration and an overview report and briefings by </w:t>
      </w:r>
      <w:r w:rsidRPr="005C2FFB" w:rsidR="00E1174A">
        <w:rPr>
          <w:rFonts w:asciiTheme="majorHAnsi" w:hAnsiTheme="majorHAnsi"/>
          <w:sz w:val="24"/>
        </w:rPr>
        <w:t xml:space="preserve">September </w:t>
      </w:r>
      <w:r w:rsidR="00E51880">
        <w:rPr>
          <w:rFonts w:asciiTheme="majorHAnsi" w:hAnsiTheme="majorHAnsi"/>
          <w:sz w:val="24"/>
        </w:rPr>
        <w:t>1</w:t>
      </w:r>
      <w:r w:rsidRPr="00E51880" w:rsidR="00E51880">
        <w:rPr>
          <w:rFonts w:asciiTheme="majorHAnsi" w:hAnsiTheme="majorHAnsi"/>
          <w:sz w:val="24"/>
          <w:vertAlign w:val="superscript"/>
        </w:rPr>
        <w:t>st</w:t>
      </w:r>
      <w:r w:rsidR="00E51880">
        <w:rPr>
          <w:rFonts w:asciiTheme="majorHAnsi" w:hAnsiTheme="majorHAnsi"/>
          <w:sz w:val="24"/>
        </w:rPr>
        <w:t xml:space="preserve"> all </w:t>
      </w:r>
      <w:r w:rsidRPr="005C2FFB" w:rsidR="003771E7">
        <w:rPr>
          <w:rFonts w:asciiTheme="majorHAnsi" w:hAnsiTheme="majorHAnsi"/>
          <w:sz w:val="24"/>
        </w:rPr>
        <w:t>of the calendar year immediately following the surve</w:t>
      </w:r>
      <w:r w:rsidRPr="005C2FFB" w:rsidR="008A218A">
        <w:rPr>
          <w:rFonts w:asciiTheme="majorHAnsi" w:hAnsiTheme="majorHAnsi"/>
          <w:sz w:val="24"/>
        </w:rPr>
        <w:t>y administration</w:t>
      </w:r>
      <w:r w:rsidRPr="005C2FFB" w:rsidR="00E1174A">
        <w:rPr>
          <w:rFonts w:asciiTheme="majorHAnsi" w:hAnsiTheme="majorHAnsi"/>
          <w:sz w:val="24"/>
        </w:rPr>
        <w:t xml:space="preserve">. </w:t>
      </w:r>
      <w:r w:rsidRPr="005C2FFB" w:rsidR="009D7FBF">
        <w:rPr>
          <w:rFonts w:asciiTheme="majorHAnsi" w:hAnsiTheme="majorHAnsi"/>
          <w:sz w:val="24"/>
        </w:rPr>
        <w:t xml:space="preserve"> </w:t>
      </w:r>
      <w:r w:rsidRPr="005C2FFB" w:rsidR="008A218A">
        <w:rPr>
          <w:rFonts w:asciiTheme="majorHAnsi" w:hAnsiTheme="majorHAnsi"/>
          <w:sz w:val="24"/>
        </w:rPr>
        <w:t>Dat</w:t>
      </w:r>
      <w:r w:rsidRPr="005C2FFB" w:rsidR="003771E7">
        <w:rPr>
          <w:rFonts w:asciiTheme="majorHAnsi" w:hAnsiTheme="majorHAnsi"/>
          <w:sz w:val="24"/>
        </w:rPr>
        <w:t xml:space="preserve">a will be analyzed on an ongoing basis beyond the mandatory reporting in order to support further analyses or information requirements that develop during the course of, or after, briefings and delivery of the </w:t>
      </w:r>
      <w:r w:rsidRPr="005C2FFB" w:rsidR="009D7FBF">
        <w:rPr>
          <w:rFonts w:asciiTheme="majorHAnsi" w:hAnsiTheme="majorHAnsi"/>
          <w:sz w:val="24"/>
        </w:rPr>
        <w:t xml:space="preserve">survey </w:t>
      </w:r>
      <w:r w:rsidRPr="005C2FFB" w:rsidR="003771E7">
        <w:rPr>
          <w:rFonts w:asciiTheme="majorHAnsi" w:hAnsiTheme="majorHAnsi"/>
          <w:sz w:val="24"/>
        </w:rPr>
        <w:t>report</w:t>
      </w:r>
      <w:r w:rsidRPr="005C2FFB" w:rsidR="009D7FBF">
        <w:rPr>
          <w:rFonts w:asciiTheme="majorHAnsi" w:hAnsiTheme="majorHAnsi"/>
          <w:sz w:val="24"/>
        </w:rPr>
        <w:t>s</w:t>
      </w:r>
      <w:r w:rsidRPr="005C2FFB" w:rsidR="003771E7">
        <w:rPr>
          <w:rFonts w:asciiTheme="majorHAnsi" w:hAnsiTheme="majorHAnsi"/>
          <w:sz w:val="24"/>
        </w:rPr>
        <w:t>.</w:t>
      </w:r>
    </w:p>
    <w:p w:rsidRPr="005C2FFB" w:rsidR="005C3A95" w:rsidP="00486235" w:rsidRDefault="005C3A95" w14:paraId="4E6D62D6" w14:textId="77777777">
      <w:pPr>
        <w:spacing w:after="0" w:line="240" w:lineRule="auto"/>
        <w:rPr>
          <w:rFonts w:asciiTheme="majorHAnsi" w:hAnsiTheme="majorHAnsi"/>
          <w:sz w:val="24"/>
        </w:rPr>
      </w:pPr>
    </w:p>
    <w:p w:rsidRPr="005C2FFB" w:rsidR="005C3A95" w:rsidP="00486235" w:rsidRDefault="005C3A95" w14:paraId="55757C97" w14:textId="7CDB2730">
      <w:pPr>
        <w:spacing w:after="0" w:line="240" w:lineRule="auto"/>
        <w:rPr>
          <w:rFonts w:asciiTheme="majorHAnsi" w:hAnsiTheme="majorHAnsi"/>
          <w:sz w:val="24"/>
        </w:rPr>
      </w:pPr>
      <w:r w:rsidRPr="005C2FFB">
        <w:rPr>
          <w:rFonts w:asciiTheme="majorHAnsi" w:hAnsiTheme="majorHAnsi"/>
          <w:sz w:val="24"/>
        </w:rPr>
        <w:t xml:space="preserve">17. </w:t>
      </w:r>
      <w:r w:rsidRPr="005C2FFB" w:rsidR="00C62D17">
        <w:rPr>
          <w:rFonts w:asciiTheme="majorHAnsi" w:hAnsiTheme="majorHAnsi"/>
          <w:sz w:val="24"/>
        </w:rPr>
        <w:tab/>
      </w:r>
      <w:r w:rsidRPr="005C2FFB" w:rsidR="00C62D17">
        <w:rPr>
          <w:rFonts w:asciiTheme="majorHAnsi" w:hAnsiTheme="majorHAnsi"/>
          <w:sz w:val="24"/>
          <w:u w:val="single"/>
        </w:rPr>
        <w:t>Non-Display of OMB Expiration Date</w:t>
      </w:r>
      <w:r w:rsidRPr="005C2FFB" w:rsidR="0085688C">
        <w:rPr>
          <w:rFonts w:asciiTheme="majorHAnsi" w:hAnsiTheme="majorHAnsi"/>
          <w:sz w:val="24"/>
          <w:u w:val="single"/>
        </w:rPr>
        <w:t xml:space="preserve"> </w:t>
      </w:r>
    </w:p>
    <w:p w:rsidRPr="005C2FFB" w:rsidR="00FA6E11" w:rsidP="00486235" w:rsidRDefault="00FA6E11" w14:paraId="5F55AF30" w14:textId="77777777">
      <w:pPr>
        <w:spacing w:after="0" w:line="240" w:lineRule="auto"/>
        <w:rPr>
          <w:rFonts w:asciiTheme="majorHAnsi" w:hAnsiTheme="majorHAnsi"/>
          <w:sz w:val="24"/>
        </w:rPr>
      </w:pPr>
    </w:p>
    <w:p w:rsidRPr="005C2FFB" w:rsidR="00C62D17" w:rsidP="00486235" w:rsidRDefault="00C62D17" w14:paraId="17398653" w14:textId="7CFBB4D8">
      <w:pPr>
        <w:spacing w:after="0" w:line="240" w:lineRule="auto"/>
        <w:rPr>
          <w:rFonts w:asciiTheme="majorHAnsi" w:hAnsiTheme="majorHAnsi"/>
          <w:sz w:val="24"/>
        </w:rPr>
      </w:pPr>
      <w:r w:rsidRPr="005C2FFB">
        <w:rPr>
          <w:rFonts w:asciiTheme="majorHAnsi" w:hAnsiTheme="majorHAnsi"/>
          <w:sz w:val="24"/>
        </w:rPr>
        <w:t xml:space="preserve">We are not seeking approval to omit the display of the expiration date of the OMB approval on the collection instrument. </w:t>
      </w:r>
    </w:p>
    <w:p w:rsidRPr="005C2FFB" w:rsidR="00C62D17" w:rsidP="00486235" w:rsidRDefault="00C62D17" w14:paraId="14E2CCFC" w14:textId="77777777">
      <w:pPr>
        <w:spacing w:after="0" w:line="240" w:lineRule="auto"/>
        <w:rPr>
          <w:rFonts w:asciiTheme="majorHAnsi" w:hAnsiTheme="majorHAnsi"/>
          <w:sz w:val="24"/>
        </w:rPr>
      </w:pPr>
    </w:p>
    <w:p w:rsidRPr="005C2FFB" w:rsidR="00C62D17" w:rsidP="00486235" w:rsidRDefault="00C62D17" w14:paraId="5BDEA72D" w14:textId="7E7B6328">
      <w:pPr>
        <w:spacing w:after="0" w:line="240" w:lineRule="auto"/>
        <w:rPr>
          <w:rFonts w:asciiTheme="majorHAnsi" w:hAnsiTheme="majorHAnsi"/>
          <w:sz w:val="24"/>
        </w:rPr>
      </w:pPr>
      <w:r w:rsidRPr="005C2FFB">
        <w:rPr>
          <w:rFonts w:asciiTheme="majorHAnsi" w:hAnsiTheme="majorHAnsi"/>
          <w:sz w:val="24"/>
        </w:rPr>
        <w:t xml:space="preserve">18. </w:t>
      </w:r>
      <w:r w:rsidRPr="005C2FFB">
        <w:rPr>
          <w:rFonts w:asciiTheme="majorHAnsi" w:hAnsiTheme="majorHAnsi"/>
          <w:sz w:val="24"/>
        </w:rPr>
        <w:tab/>
      </w:r>
      <w:r w:rsidRPr="005C2FFB">
        <w:rPr>
          <w:rFonts w:asciiTheme="majorHAnsi" w:hAnsiTheme="majorHAnsi"/>
          <w:sz w:val="24"/>
          <w:u w:val="single"/>
        </w:rPr>
        <w:t>Exceptions to “Certification for Paperwork Reduction Submissions”</w:t>
      </w:r>
      <w:r w:rsidRPr="005C2FFB" w:rsidR="0085688C">
        <w:rPr>
          <w:rFonts w:asciiTheme="majorHAnsi" w:hAnsiTheme="majorHAnsi"/>
          <w:sz w:val="24"/>
          <w:u w:val="single"/>
        </w:rPr>
        <w:t xml:space="preserve"> </w:t>
      </w:r>
    </w:p>
    <w:p w:rsidRPr="005C2FFB" w:rsidR="00FA6E11" w:rsidP="00486235" w:rsidRDefault="00FA6E11" w14:paraId="51AD35F4" w14:textId="77777777">
      <w:pPr>
        <w:spacing w:after="0" w:line="240" w:lineRule="auto"/>
        <w:rPr>
          <w:rFonts w:asciiTheme="majorHAnsi" w:hAnsiTheme="majorHAnsi"/>
          <w:sz w:val="24"/>
        </w:rPr>
      </w:pPr>
    </w:p>
    <w:p w:rsidRPr="00C62D17" w:rsidR="00A50A0F" w:rsidP="00B55E9F" w:rsidRDefault="00A50A0F" w14:paraId="65EDA756" w14:textId="2A3113C6">
      <w:pPr>
        <w:spacing w:after="0" w:line="240" w:lineRule="auto"/>
        <w:rPr>
          <w:rFonts w:asciiTheme="majorHAnsi" w:hAnsiTheme="majorHAnsi"/>
          <w:i/>
          <w:sz w:val="24"/>
        </w:rPr>
      </w:pPr>
      <w:r w:rsidRPr="005C2FFB">
        <w:rPr>
          <w:rFonts w:asciiTheme="majorHAnsi" w:hAnsiTheme="majorHAnsi"/>
          <w:sz w:val="24"/>
        </w:rPr>
        <w:t>We are not requesting</w:t>
      </w:r>
      <w:bookmarkStart w:name="_GoBack" w:id="0"/>
      <w:bookmarkEnd w:id="0"/>
      <w:r w:rsidRPr="005C2FFB">
        <w:rPr>
          <w:rFonts w:asciiTheme="majorHAnsi" w:hAnsiTheme="majorHAnsi"/>
          <w:sz w:val="24"/>
        </w:rPr>
        <w:t xml:space="preserve"> an</w:t>
      </w:r>
      <w:r w:rsidRPr="005C2FFB" w:rsidR="00420AE9">
        <w:rPr>
          <w:rFonts w:asciiTheme="majorHAnsi" w:hAnsiTheme="majorHAnsi"/>
          <w:sz w:val="24"/>
        </w:rPr>
        <w:t>y</w:t>
      </w:r>
      <w:r w:rsidRPr="005C2FFB">
        <w:rPr>
          <w:rFonts w:asciiTheme="majorHAnsi" w:hAnsiTheme="majorHAnsi"/>
          <w:sz w:val="24"/>
        </w:rPr>
        <w:t xml:space="preserve"> exemption</w:t>
      </w:r>
      <w:r w:rsidRPr="005C2FFB" w:rsidR="00420AE9">
        <w:rPr>
          <w:rFonts w:asciiTheme="majorHAnsi" w:hAnsiTheme="majorHAnsi"/>
          <w:sz w:val="24"/>
        </w:rPr>
        <w:t>s</w:t>
      </w:r>
      <w:r w:rsidRPr="005C2FFB">
        <w:rPr>
          <w:rFonts w:asciiTheme="majorHAnsi" w:hAnsiTheme="majorHAnsi"/>
          <w:sz w:val="24"/>
        </w:rPr>
        <w:t xml:space="preserve"> to the provisions </w:t>
      </w:r>
      <w:r w:rsidRPr="005C2FFB" w:rsidR="00420AE9">
        <w:rPr>
          <w:rFonts w:asciiTheme="majorHAnsi" w:hAnsiTheme="majorHAnsi"/>
          <w:sz w:val="24"/>
        </w:rPr>
        <w:t>stated in 5 CFR 1320.9.</w:t>
      </w:r>
      <w:r w:rsidRPr="00FA6E11" w:rsidR="00420AE9">
        <w:rPr>
          <w:rFonts w:asciiTheme="majorHAnsi" w:hAnsiTheme="majorHAnsi"/>
          <w:sz w:val="24"/>
        </w:rPr>
        <w:t xml:space="preserve"> </w:t>
      </w:r>
    </w:p>
    <w:sectPr w:rsidRPr="00C62D17"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5667A2" w14:textId="77777777" w:rsidR="004C6FD4" w:rsidRDefault="004C6FD4" w:rsidP="00FB569C">
      <w:pPr>
        <w:spacing w:after="0" w:line="240" w:lineRule="auto"/>
      </w:pPr>
      <w:r>
        <w:separator/>
      </w:r>
    </w:p>
  </w:endnote>
  <w:endnote w:type="continuationSeparator" w:id="0">
    <w:p w14:paraId="698F8E9F" w14:textId="77777777" w:rsidR="004C6FD4" w:rsidRDefault="004C6FD4"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10B862" w14:textId="77777777" w:rsidR="004C6FD4" w:rsidRDefault="004C6FD4" w:rsidP="00FB569C">
      <w:pPr>
        <w:spacing w:after="0" w:line="240" w:lineRule="auto"/>
      </w:pPr>
      <w:r>
        <w:separator/>
      </w:r>
    </w:p>
  </w:footnote>
  <w:footnote w:type="continuationSeparator" w:id="0">
    <w:p w14:paraId="52CB56ED" w14:textId="77777777" w:rsidR="004C6FD4" w:rsidRDefault="004C6FD4"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74304C"/>
    <w:multiLevelType w:val="hybridMultilevel"/>
    <w:tmpl w:val="33187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7C2D19"/>
    <w:multiLevelType w:val="hybridMultilevel"/>
    <w:tmpl w:val="B66CEAB2"/>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4D4558"/>
    <w:multiLevelType w:val="hybridMultilevel"/>
    <w:tmpl w:val="2D92A94E"/>
    <w:lvl w:ilvl="0" w:tplc="C484812C">
      <w:start w:val="1"/>
      <w:numFmt w:val="bullet"/>
      <w:lvlText w:val=""/>
      <w:lvlJc w:val="left"/>
      <w:pPr>
        <w:tabs>
          <w:tab w:val="num" w:pos="720"/>
        </w:tabs>
        <w:ind w:left="720" w:hanging="360"/>
      </w:pPr>
      <w:rPr>
        <w:rFonts w:ascii="Wingdings 2" w:hAnsi="Wingdings 2" w:hint="default"/>
      </w:rPr>
    </w:lvl>
    <w:lvl w:ilvl="1" w:tplc="09A674CC">
      <w:numFmt w:val="bullet"/>
      <w:lvlText w:val="–"/>
      <w:lvlJc w:val="left"/>
      <w:pPr>
        <w:tabs>
          <w:tab w:val="num" w:pos="1440"/>
        </w:tabs>
        <w:ind w:left="1440" w:hanging="360"/>
      </w:pPr>
      <w:rPr>
        <w:rFonts w:ascii="Arial Black" w:hAnsi="Arial Black" w:hint="default"/>
      </w:rPr>
    </w:lvl>
    <w:lvl w:ilvl="2" w:tplc="49C0BC36" w:tentative="1">
      <w:start w:val="1"/>
      <w:numFmt w:val="bullet"/>
      <w:lvlText w:val=""/>
      <w:lvlJc w:val="left"/>
      <w:pPr>
        <w:tabs>
          <w:tab w:val="num" w:pos="2160"/>
        </w:tabs>
        <w:ind w:left="2160" w:hanging="360"/>
      </w:pPr>
      <w:rPr>
        <w:rFonts w:ascii="Wingdings 2" w:hAnsi="Wingdings 2" w:hint="default"/>
      </w:rPr>
    </w:lvl>
    <w:lvl w:ilvl="3" w:tplc="FE4098C0" w:tentative="1">
      <w:start w:val="1"/>
      <w:numFmt w:val="bullet"/>
      <w:lvlText w:val=""/>
      <w:lvlJc w:val="left"/>
      <w:pPr>
        <w:tabs>
          <w:tab w:val="num" w:pos="2880"/>
        </w:tabs>
        <w:ind w:left="2880" w:hanging="360"/>
      </w:pPr>
      <w:rPr>
        <w:rFonts w:ascii="Wingdings 2" w:hAnsi="Wingdings 2" w:hint="default"/>
      </w:rPr>
    </w:lvl>
    <w:lvl w:ilvl="4" w:tplc="642074F6" w:tentative="1">
      <w:start w:val="1"/>
      <w:numFmt w:val="bullet"/>
      <w:lvlText w:val=""/>
      <w:lvlJc w:val="left"/>
      <w:pPr>
        <w:tabs>
          <w:tab w:val="num" w:pos="3600"/>
        </w:tabs>
        <w:ind w:left="3600" w:hanging="360"/>
      </w:pPr>
      <w:rPr>
        <w:rFonts w:ascii="Wingdings 2" w:hAnsi="Wingdings 2" w:hint="default"/>
      </w:rPr>
    </w:lvl>
    <w:lvl w:ilvl="5" w:tplc="6FDCDC4E" w:tentative="1">
      <w:start w:val="1"/>
      <w:numFmt w:val="bullet"/>
      <w:lvlText w:val=""/>
      <w:lvlJc w:val="left"/>
      <w:pPr>
        <w:tabs>
          <w:tab w:val="num" w:pos="4320"/>
        </w:tabs>
        <w:ind w:left="4320" w:hanging="360"/>
      </w:pPr>
      <w:rPr>
        <w:rFonts w:ascii="Wingdings 2" w:hAnsi="Wingdings 2" w:hint="default"/>
      </w:rPr>
    </w:lvl>
    <w:lvl w:ilvl="6" w:tplc="5E740F78" w:tentative="1">
      <w:start w:val="1"/>
      <w:numFmt w:val="bullet"/>
      <w:lvlText w:val=""/>
      <w:lvlJc w:val="left"/>
      <w:pPr>
        <w:tabs>
          <w:tab w:val="num" w:pos="5040"/>
        </w:tabs>
        <w:ind w:left="5040" w:hanging="360"/>
      </w:pPr>
      <w:rPr>
        <w:rFonts w:ascii="Wingdings 2" w:hAnsi="Wingdings 2" w:hint="default"/>
      </w:rPr>
    </w:lvl>
    <w:lvl w:ilvl="7" w:tplc="DE1086E0" w:tentative="1">
      <w:start w:val="1"/>
      <w:numFmt w:val="bullet"/>
      <w:lvlText w:val=""/>
      <w:lvlJc w:val="left"/>
      <w:pPr>
        <w:tabs>
          <w:tab w:val="num" w:pos="5760"/>
        </w:tabs>
        <w:ind w:left="5760" w:hanging="360"/>
      </w:pPr>
      <w:rPr>
        <w:rFonts w:ascii="Wingdings 2" w:hAnsi="Wingdings 2" w:hint="default"/>
      </w:rPr>
    </w:lvl>
    <w:lvl w:ilvl="8" w:tplc="E4EE1418" w:tentative="1">
      <w:start w:val="1"/>
      <w:numFmt w:val="bullet"/>
      <w:lvlText w:val=""/>
      <w:lvlJc w:val="left"/>
      <w:pPr>
        <w:tabs>
          <w:tab w:val="num" w:pos="6480"/>
        </w:tabs>
        <w:ind w:left="6480" w:hanging="360"/>
      </w:pPr>
      <w:rPr>
        <w:rFonts w:ascii="Wingdings 2" w:hAnsi="Wingdings 2" w:hint="default"/>
      </w:rPr>
    </w:lvl>
  </w:abstractNum>
  <w:abstractNum w:abstractNumId="23"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FC5BAB"/>
    <w:multiLevelType w:val="hybridMultilevel"/>
    <w:tmpl w:val="00FC04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F5446EA"/>
    <w:multiLevelType w:val="hybridMultilevel"/>
    <w:tmpl w:val="96E43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0"/>
  </w:num>
  <w:num w:numId="3">
    <w:abstractNumId w:val="11"/>
  </w:num>
  <w:num w:numId="4">
    <w:abstractNumId w:val="10"/>
  </w:num>
  <w:num w:numId="5">
    <w:abstractNumId w:val="20"/>
  </w:num>
  <w:num w:numId="6">
    <w:abstractNumId w:val="1"/>
  </w:num>
  <w:num w:numId="7">
    <w:abstractNumId w:val="21"/>
  </w:num>
  <w:num w:numId="8">
    <w:abstractNumId w:val="18"/>
  </w:num>
  <w:num w:numId="9">
    <w:abstractNumId w:val="23"/>
  </w:num>
  <w:num w:numId="10">
    <w:abstractNumId w:val="3"/>
  </w:num>
  <w:num w:numId="11">
    <w:abstractNumId w:val="17"/>
  </w:num>
  <w:num w:numId="12">
    <w:abstractNumId w:val="19"/>
  </w:num>
  <w:num w:numId="13">
    <w:abstractNumId w:val="27"/>
  </w:num>
  <w:num w:numId="14">
    <w:abstractNumId w:val="28"/>
  </w:num>
  <w:num w:numId="15">
    <w:abstractNumId w:val="9"/>
  </w:num>
  <w:num w:numId="16">
    <w:abstractNumId w:val="8"/>
  </w:num>
  <w:num w:numId="17">
    <w:abstractNumId w:val="13"/>
  </w:num>
  <w:num w:numId="18">
    <w:abstractNumId w:val="7"/>
  </w:num>
  <w:num w:numId="19">
    <w:abstractNumId w:val="6"/>
  </w:num>
  <w:num w:numId="20">
    <w:abstractNumId w:val="5"/>
  </w:num>
  <w:num w:numId="21">
    <w:abstractNumId w:val="14"/>
  </w:num>
  <w:num w:numId="22">
    <w:abstractNumId w:val="2"/>
  </w:num>
  <w:num w:numId="23">
    <w:abstractNumId w:val="4"/>
  </w:num>
  <w:num w:numId="24">
    <w:abstractNumId w:val="24"/>
  </w:num>
  <w:num w:numId="25">
    <w:abstractNumId w:val="25"/>
  </w:num>
  <w:num w:numId="26">
    <w:abstractNumId w:val="12"/>
  </w:num>
  <w:num w:numId="27">
    <w:abstractNumId w:val="26"/>
  </w:num>
  <w:num w:numId="28">
    <w:abstractNumId w:val="15"/>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17870"/>
    <w:rsid w:val="00017B1C"/>
    <w:rsid w:val="00050C37"/>
    <w:rsid w:val="00054FBB"/>
    <w:rsid w:val="0005549D"/>
    <w:rsid w:val="00084F30"/>
    <w:rsid w:val="000B0E70"/>
    <w:rsid w:val="000D51A3"/>
    <w:rsid w:val="00101FA2"/>
    <w:rsid w:val="00105F45"/>
    <w:rsid w:val="00110375"/>
    <w:rsid w:val="00127B46"/>
    <w:rsid w:val="0019309D"/>
    <w:rsid w:val="001D5225"/>
    <w:rsid w:val="001F526C"/>
    <w:rsid w:val="00200261"/>
    <w:rsid w:val="00203BC2"/>
    <w:rsid w:val="00211832"/>
    <w:rsid w:val="00212397"/>
    <w:rsid w:val="00222D1B"/>
    <w:rsid w:val="00224D01"/>
    <w:rsid w:val="00235D71"/>
    <w:rsid w:val="0024335E"/>
    <w:rsid w:val="00254DCF"/>
    <w:rsid w:val="002567F9"/>
    <w:rsid w:val="0027743E"/>
    <w:rsid w:val="00285E68"/>
    <w:rsid w:val="00294E92"/>
    <w:rsid w:val="002A59F0"/>
    <w:rsid w:val="002D7713"/>
    <w:rsid w:val="003132E7"/>
    <w:rsid w:val="003212A2"/>
    <w:rsid w:val="00324069"/>
    <w:rsid w:val="00331D7E"/>
    <w:rsid w:val="00337EF1"/>
    <w:rsid w:val="00340D9B"/>
    <w:rsid w:val="00350B0D"/>
    <w:rsid w:val="00356136"/>
    <w:rsid w:val="00372B16"/>
    <w:rsid w:val="00373EE4"/>
    <w:rsid w:val="003771E7"/>
    <w:rsid w:val="00380B5B"/>
    <w:rsid w:val="00394A8A"/>
    <w:rsid w:val="003A46BE"/>
    <w:rsid w:val="003B5601"/>
    <w:rsid w:val="003B7BB8"/>
    <w:rsid w:val="003C0540"/>
    <w:rsid w:val="00420AE9"/>
    <w:rsid w:val="0047550F"/>
    <w:rsid w:val="00480AFF"/>
    <w:rsid w:val="00486235"/>
    <w:rsid w:val="00490797"/>
    <w:rsid w:val="004C6FD4"/>
    <w:rsid w:val="004C74D6"/>
    <w:rsid w:val="004D023F"/>
    <w:rsid w:val="004D2AFA"/>
    <w:rsid w:val="004F4F5D"/>
    <w:rsid w:val="00502FF3"/>
    <w:rsid w:val="00510F0C"/>
    <w:rsid w:val="00520B36"/>
    <w:rsid w:val="00551282"/>
    <w:rsid w:val="005634B6"/>
    <w:rsid w:val="00571698"/>
    <w:rsid w:val="00576EDB"/>
    <w:rsid w:val="00594B6B"/>
    <w:rsid w:val="00596BBA"/>
    <w:rsid w:val="005C2FFB"/>
    <w:rsid w:val="005C3A95"/>
    <w:rsid w:val="005C7428"/>
    <w:rsid w:val="005D5C81"/>
    <w:rsid w:val="00642741"/>
    <w:rsid w:val="00643B52"/>
    <w:rsid w:val="00646AB7"/>
    <w:rsid w:val="0065530D"/>
    <w:rsid w:val="00690748"/>
    <w:rsid w:val="006A13FA"/>
    <w:rsid w:val="006C1344"/>
    <w:rsid w:val="006C5A5F"/>
    <w:rsid w:val="006E563D"/>
    <w:rsid w:val="006F2DF8"/>
    <w:rsid w:val="00722FDB"/>
    <w:rsid w:val="00735913"/>
    <w:rsid w:val="00770537"/>
    <w:rsid w:val="0077261C"/>
    <w:rsid w:val="00777CA4"/>
    <w:rsid w:val="007A21A0"/>
    <w:rsid w:val="007A3F04"/>
    <w:rsid w:val="007E437D"/>
    <w:rsid w:val="007F797D"/>
    <w:rsid w:val="00803FDB"/>
    <w:rsid w:val="00810976"/>
    <w:rsid w:val="00842BBB"/>
    <w:rsid w:val="008507E3"/>
    <w:rsid w:val="00854C3D"/>
    <w:rsid w:val="0085688C"/>
    <w:rsid w:val="008635C4"/>
    <w:rsid w:val="008962CA"/>
    <w:rsid w:val="008A06EF"/>
    <w:rsid w:val="008A218A"/>
    <w:rsid w:val="008D1294"/>
    <w:rsid w:val="008D61C8"/>
    <w:rsid w:val="008E3029"/>
    <w:rsid w:val="008E38F9"/>
    <w:rsid w:val="00940816"/>
    <w:rsid w:val="00961254"/>
    <w:rsid w:val="0098628F"/>
    <w:rsid w:val="0098734E"/>
    <w:rsid w:val="00994F2B"/>
    <w:rsid w:val="00996894"/>
    <w:rsid w:val="00997361"/>
    <w:rsid w:val="009A6246"/>
    <w:rsid w:val="009B552C"/>
    <w:rsid w:val="009D7FBF"/>
    <w:rsid w:val="009F2544"/>
    <w:rsid w:val="00A04285"/>
    <w:rsid w:val="00A46FE8"/>
    <w:rsid w:val="00A50A0F"/>
    <w:rsid w:val="00A56995"/>
    <w:rsid w:val="00A6347C"/>
    <w:rsid w:val="00A76F7E"/>
    <w:rsid w:val="00A77157"/>
    <w:rsid w:val="00A906E4"/>
    <w:rsid w:val="00AB0BEB"/>
    <w:rsid w:val="00AE77ED"/>
    <w:rsid w:val="00B25767"/>
    <w:rsid w:val="00B5287C"/>
    <w:rsid w:val="00B52F4E"/>
    <w:rsid w:val="00B55E9F"/>
    <w:rsid w:val="00B85D1F"/>
    <w:rsid w:val="00B933B0"/>
    <w:rsid w:val="00BB7C90"/>
    <w:rsid w:val="00BD5EAA"/>
    <w:rsid w:val="00BD7755"/>
    <w:rsid w:val="00C33684"/>
    <w:rsid w:val="00C35ED2"/>
    <w:rsid w:val="00C62D17"/>
    <w:rsid w:val="00C808F4"/>
    <w:rsid w:val="00CA15B1"/>
    <w:rsid w:val="00CA1780"/>
    <w:rsid w:val="00CC24D5"/>
    <w:rsid w:val="00CC2835"/>
    <w:rsid w:val="00D21AA6"/>
    <w:rsid w:val="00D41E45"/>
    <w:rsid w:val="00D462F7"/>
    <w:rsid w:val="00D734A2"/>
    <w:rsid w:val="00D73C93"/>
    <w:rsid w:val="00DA2B37"/>
    <w:rsid w:val="00DE6017"/>
    <w:rsid w:val="00DF78ED"/>
    <w:rsid w:val="00E1174A"/>
    <w:rsid w:val="00E24FE0"/>
    <w:rsid w:val="00E51880"/>
    <w:rsid w:val="00E5409A"/>
    <w:rsid w:val="00E65D41"/>
    <w:rsid w:val="00E66D63"/>
    <w:rsid w:val="00E855D4"/>
    <w:rsid w:val="00E95FFB"/>
    <w:rsid w:val="00EA6C04"/>
    <w:rsid w:val="00EC4111"/>
    <w:rsid w:val="00F25499"/>
    <w:rsid w:val="00F63F70"/>
    <w:rsid w:val="00F86C35"/>
    <w:rsid w:val="00F97482"/>
    <w:rsid w:val="00FA6E11"/>
    <w:rsid w:val="00FB569C"/>
    <w:rsid w:val="00FE4783"/>
    <w:rsid w:val="00FE5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422DD"/>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7C90"/>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73EE4"/>
    <w:rPr>
      <w:sz w:val="16"/>
      <w:szCs w:val="16"/>
    </w:rPr>
  </w:style>
  <w:style w:type="paragraph" w:styleId="CommentText">
    <w:name w:val="annotation text"/>
    <w:basedOn w:val="Normal"/>
    <w:link w:val="CommentTextChar"/>
    <w:uiPriority w:val="99"/>
    <w:semiHidden/>
    <w:unhideWhenUsed/>
    <w:rsid w:val="00373EE4"/>
    <w:pPr>
      <w:spacing w:line="240" w:lineRule="auto"/>
    </w:pPr>
    <w:rPr>
      <w:sz w:val="20"/>
      <w:szCs w:val="20"/>
    </w:rPr>
  </w:style>
  <w:style w:type="character" w:customStyle="1" w:styleId="CommentTextChar">
    <w:name w:val="Comment Text Char"/>
    <w:basedOn w:val="DefaultParagraphFont"/>
    <w:link w:val="CommentText"/>
    <w:uiPriority w:val="99"/>
    <w:semiHidden/>
    <w:rsid w:val="00373EE4"/>
    <w:rPr>
      <w:sz w:val="20"/>
      <w:szCs w:val="20"/>
    </w:rPr>
  </w:style>
  <w:style w:type="paragraph" w:styleId="CommentSubject">
    <w:name w:val="annotation subject"/>
    <w:basedOn w:val="CommentText"/>
    <w:next w:val="CommentText"/>
    <w:link w:val="CommentSubjectChar"/>
    <w:uiPriority w:val="99"/>
    <w:semiHidden/>
    <w:unhideWhenUsed/>
    <w:rsid w:val="00373EE4"/>
    <w:rPr>
      <w:b/>
      <w:bCs/>
    </w:rPr>
  </w:style>
  <w:style w:type="character" w:customStyle="1" w:styleId="CommentSubjectChar">
    <w:name w:val="Comment Subject Char"/>
    <w:basedOn w:val="CommentTextChar"/>
    <w:link w:val="CommentSubject"/>
    <w:uiPriority w:val="99"/>
    <w:semiHidden/>
    <w:rsid w:val="00373EE4"/>
    <w:rPr>
      <w:b/>
      <w:bCs/>
      <w:sz w:val="20"/>
      <w:szCs w:val="20"/>
    </w:rPr>
  </w:style>
  <w:style w:type="paragraph" w:customStyle="1" w:styleId="Normal1">
    <w:name w:val="Normal1"/>
    <w:rsid w:val="001D5225"/>
    <w:pPr>
      <w:spacing w:after="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409132">
      <w:bodyDiv w:val="1"/>
      <w:marLeft w:val="0"/>
      <w:marRight w:val="0"/>
      <w:marTop w:val="0"/>
      <w:marBottom w:val="0"/>
      <w:divBdr>
        <w:top w:val="none" w:sz="0" w:space="0" w:color="auto"/>
        <w:left w:val="none" w:sz="0" w:space="0" w:color="auto"/>
        <w:bottom w:val="none" w:sz="0" w:space="0" w:color="auto"/>
        <w:right w:val="none" w:sz="0" w:space="0" w:color="auto"/>
      </w:divBdr>
    </w:div>
    <w:div w:id="1896774277">
      <w:bodyDiv w:val="1"/>
      <w:marLeft w:val="0"/>
      <w:marRight w:val="0"/>
      <w:marTop w:val="0"/>
      <w:marBottom w:val="0"/>
      <w:divBdr>
        <w:top w:val="none" w:sz="0" w:space="0" w:color="auto"/>
        <w:left w:val="none" w:sz="0" w:space="0" w:color="auto"/>
        <w:bottom w:val="none" w:sz="0" w:space="0" w:color="auto"/>
        <w:right w:val="none" w:sz="0" w:space="0" w:color="auto"/>
      </w:divBdr>
      <w:divsChild>
        <w:div w:id="356011162">
          <w:marLeft w:val="274"/>
          <w:marRight w:val="0"/>
          <w:marTop w:val="0"/>
          <w:marBottom w:val="80"/>
          <w:divBdr>
            <w:top w:val="none" w:sz="0" w:space="0" w:color="auto"/>
            <w:left w:val="none" w:sz="0" w:space="0" w:color="auto"/>
            <w:bottom w:val="none" w:sz="0" w:space="0" w:color="auto"/>
            <w:right w:val="none" w:sz="0" w:space="0" w:color="auto"/>
          </w:divBdr>
        </w:div>
        <w:div w:id="359672372">
          <w:marLeft w:val="634"/>
          <w:marRight w:val="0"/>
          <w:marTop w:val="0"/>
          <w:marBottom w:val="80"/>
          <w:divBdr>
            <w:top w:val="none" w:sz="0" w:space="0" w:color="auto"/>
            <w:left w:val="none" w:sz="0" w:space="0" w:color="auto"/>
            <w:bottom w:val="none" w:sz="0" w:space="0" w:color="auto"/>
            <w:right w:val="none" w:sz="0" w:space="0" w:color="auto"/>
          </w:divBdr>
        </w:div>
        <w:div w:id="1685667621">
          <w:marLeft w:val="274"/>
          <w:marRight w:val="0"/>
          <w:marTop w:val="0"/>
          <w:marBottom w:val="80"/>
          <w:divBdr>
            <w:top w:val="none" w:sz="0" w:space="0" w:color="auto"/>
            <w:left w:val="none" w:sz="0" w:space="0" w:color="auto"/>
            <w:bottom w:val="none" w:sz="0" w:space="0" w:color="auto"/>
            <w:right w:val="none" w:sz="0" w:space="0" w:color="auto"/>
          </w:divBdr>
        </w:div>
        <w:div w:id="1960842237">
          <w:marLeft w:val="634"/>
          <w:marRight w:val="0"/>
          <w:marTop w:val="0"/>
          <w:marBottom w:val="80"/>
          <w:divBdr>
            <w:top w:val="none" w:sz="0" w:space="0" w:color="auto"/>
            <w:left w:val="none" w:sz="0" w:space="0" w:color="auto"/>
            <w:bottom w:val="none" w:sz="0" w:space="0" w:color="auto"/>
            <w:right w:val="none" w:sz="0" w:space="0" w:color="auto"/>
          </w:divBdr>
        </w:div>
        <w:div w:id="63140564">
          <w:marLeft w:val="274"/>
          <w:marRight w:val="0"/>
          <w:marTop w:val="0"/>
          <w:marBottom w:val="80"/>
          <w:divBdr>
            <w:top w:val="none" w:sz="0" w:space="0" w:color="auto"/>
            <w:left w:val="none" w:sz="0" w:space="0" w:color="auto"/>
            <w:bottom w:val="none" w:sz="0" w:space="0" w:color="auto"/>
            <w:right w:val="none" w:sz="0" w:space="0" w:color="auto"/>
          </w:divBdr>
        </w:div>
        <w:div w:id="1075470946">
          <w:marLeft w:val="634"/>
          <w:marRight w:val="0"/>
          <w:marTop w:val="0"/>
          <w:marBottom w:val="80"/>
          <w:divBdr>
            <w:top w:val="none" w:sz="0" w:space="0" w:color="auto"/>
            <w:left w:val="none" w:sz="0" w:space="0" w:color="auto"/>
            <w:bottom w:val="none" w:sz="0" w:space="0" w:color="auto"/>
            <w:right w:val="none" w:sz="0" w:space="0" w:color="auto"/>
          </w:divBdr>
        </w:div>
        <w:div w:id="1278829865">
          <w:marLeft w:val="274"/>
          <w:marRight w:val="0"/>
          <w:marTop w:val="0"/>
          <w:marBottom w:val="80"/>
          <w:divBdr>
            <w:top w:val="none" w:sz="0" w:space="0" w:color="auto"/>
            <w:left w:val="none" w:sz="0" w:space="0" w:color="auto"/>
            <w:bottom w:val="none" w:sz="0" w:space="0" w:color="auto"/>
            <w:right w:val="none" w:sz="0" w:space="0" w:color="auto"/>
          </w:divBdr>
        </w:div>
        <w:div w:id="209539945">
          <w:marLeft w:val="634"/>
          <w:marRight w:val="0"/>
          <w:marTop w:val="0"/>
          <w:marBottom w:val="8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3951</Words>
  <Characters>22523</Characters>
  <Application>Microsoft Office Word</Application>
  <DocSecurity>4</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26422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Kim, Brandon H CTR WHS ESD</cp:lastModifiedBy>
  <cp:revision>2</cp:revision>
  <cp:lastPrinted>2016-09-20T19:55:00Z</cp:lastPrinted>
  <dcterms:created xsi:type="dcterms:W3CDTF">2022-03-21T14:35:00Z</dcterms:created>
  <dcterms:modified xsi:type="dcterms:W3CDTF">2022-03-21T14:35:00Z</dcterms:modified>
</cp:coreProperties>
</file>