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0F98" w:rsidP="00021323" w:rsidRDefault="00EA0F98" w14:paraId="793D6160" w14:textId="77777777">
      <w:pPr>
        <w:pStyle w:val="Title"/>
        <w:rPr>
          <w:b w:val="0"/>
          <w:szCs w:val="24"/>
        </w:rPr>
      </w:pPr>
      <w:r>
        <w:rPr>
          <w:b w:val="0"/>
          <w:szCs w:val="24"/>
        </w:rPr>
        <w:t>U.S. Food and Drug Administration</w:t>
      </w:r>
    </w:p>
    <w:p w:rsidR="00EA0F98" w:rsidP="00021323" w:rsidRDefault="00EA0F98" w14:paraId="42CDA2ED" w14:textId="77777777">
      <w:pPr>
        <w:pStyle w:val="Title"/>
        <w:rPr>
          <w:b w:val="0"/>
          <w:szCs w:val="24"/>
        </w:rPr>
      </w:pPr>
    </w:p>
    <w:p w:rsidR="0047570B" w:rsidP="00021323" w:rsidRDefault="0047570B" w14:paraId="65F02C19" w14:textId="77777777">
      <w:pPr>
        <w:pStyle w:val="Title"/>
        <w:rPr>
          <w:b w:val="0"/>
          <w:szCs w:val="24"/>
        </w:rPr>
      </w:pPr>
      <w:r w:rsidRPr="001054ED">
        <w:rPr>
          <w:b w:val="0"/>
          <w:szCs w:val="24"/>
        </w:rPr>
        <w:t>Manufactured Food Regulatory Program Standards</w:t>
      </w:r>
    </w:p>
    <w:p w:rsidRPr="001054ED" w:rsidR="00A874C5" w:rsidP="00021323" w:rsidRDefault="00A874C5" w14:paraId="49D8984B" w14:textId="77777777">
      <w:pPr>
        <w:pStyle w:val="Title"/>
        <w:rPr>
          <w:b w:val="0"/>
          <w:szCs w:val="24"/>
        </w:rPr>
      </w:pPr>
    </w:p>
    <w:p w:rsidR="001054ED" w:rsidP="007A0C9D" w:rsidRDefault="00EA0F98" w14:paraId="15574D97" w14:textId="77777777">
      <w:pPr>
        <w:pStyle w:val="Title"/>
        <w:rPr>
          <w:b w:val="0"/>
          <w:szCs w:val="24"/>
        </w:rPr>
      </w:pPr>
      <w:r>
        <w:rPr>
          <w:b w:val="0"/>
          <w:szCs w:val="24"/>
        </w:rPr>
        <w:t xml:space="preserve">OMB Control No. </w:t>
      </w:r>
      <w:r w:rsidRPr="001054ED" w:rsidR="007A0C9D">
        <w:rPr>
          <w:b w:val="0"/>
          <w:szCs w:val="24"/>
        </w:rPr>
        <w:t>0910-0601</w:t>
      </w:r>
    </w:p>
    <w:p w:rsidR="001054ED" w:rsidP="007A0C9D" w:rsidRDefault="001054ED" w14:paraId="51485340" w14:textId="77777777">
      <w:pPr>
        <w:pStyle w:val="Title"/>
        <w:rPr>
          <w:b w:val="0"/>
          <w:szCs w:val="24"/>
        </w:rPr>
      </w:pPr>
    </w:p>
    <w:p w:rsidR="00E41263" w:rsidP="00832A62" w:rsidRDefault="007A0C9D" w14:paraId="066A59C4" w14:textId="23DDB592">
      <w:pPr>
        <w:pStyle w:val="Heading4"/>
        <w:jc w:val="center"/>
        <w:rPr>
          <w:b w:val="0"/>
          <w:szCs w:val="24"/>
        </w:rPr>
      </w:pPr>
      <w:r w:rsidRPr="001054ED">
        <w:rPr>
          <w:b w:val="0"/>
          <w:szCs w:val="24"/>
        </w:rPr>
        <w:t>SUPPORTING STATEMENT</w:t>
      </w:r>
    </w:p>
    <w:p w:rsidR="00E41263" w:rsidRDefault="00E41263" w14:paraId="5557C998" w14:textId="77777777">
      <w:pPr>
        <w:pStyle w:val="Heading4"/>
        <w:rPr>
          <w:b w:val="0"/>
          <w:szCs w:val="24"/>
        </w:rPr>
      </w:pPr>
    </w:p>
    <w:p w:rsidR="008A22D9" w:rsidRDefault="00D77A45" w14:paraId="6C3B1A51" w14:textId="2E1777B3">
      <w:pPr>
        <w:pStyle w:val="Heading4"/>
      </w:pPr>
      <w:r>
        <w:t>A</w:t>
      </w:r>
      <w:r w:rsidR="008A22D9">
        <w:t>.</w:t>
      </w:r>
      <w:r w:rsidR="008A22D9">
        <w:tab/>
        <w:t>J</w:t>
      </w:r>
      <w:r w:rsidR="00DE322B">
        <w:t>ustification</w:t>
      </w:r>
    </w:p>
    <w:p w:rsidR="008A22D9" w:rsidRDefault="008A22D9" w14:paraId="326D7E2D" w14:textId="77777777">
      <w:pPr>
        <w:rPr>
          <w:rFonts w:ascii="Times New Roman" w:hAnsi="Times New Roman"/>
          <w:sz w:val="22"/>
        </w:rPr>
      </w:pPr>
    </w:p>
    <w:p w:rsidRPr="001054ED" w:rsidR="008A22D9" w:rsidRDefault="008A22D9" w14:paraId="2D8E5BCA"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 xml:space="preserve">Circumstances </w:t>
      </w:r>
      <w:r w:rsidRPr="001054ED" w:rsidR="00D77A45">
        <w:rPr>
          <w:rFonts w:ascii="Times New Roman" w:hAnsi="Times New Roman"/>
          <w:u w:val="single"/>
        </w:rPr>
        <w:t>Making the Collection of Information Necessary</w:t>
      </w:r>
    </w:p>
    <w:p w:rsidR="00AB36CC" w:rsidRDefault="00AB36CC" w14:paraId="7FF67DFC" w14:textId="77777777">
      <w:pPr>
        <w:rPr>
          <w:rFonts w:ascii="Times New Roman" w:hAnsi="Times New Roman"/>
          <w:sz w:val="22"/>
        </w:rPr>
      </w:pPr>
    </w:p>
    <w:p w:rsidR="00C703DB" w:rsidP="00832A62" w:rsidRDefault="00E41263" w14:paraId="7B2C2C31" w14:textId="3AB02F57">
      <w:pPr>
        <w:ind w:left="540"/>
        <w:rPr>
          <w:rFonts w:ascii="Times New Roman" w:hAnsi="Times New Roman"/>
        </w:rPr>
      </w:pPr>
      <w:r w:rsidRPr="00E41263">
        <w:rPr>
          <w:rFonts w:ascii="Times New Roman" w:hAnsi="Times New Roman"/>
          <w:szCs w:val="24"/>
        </w:rPr>
        <w:t>This information collection supports</w:t>
      </w:r>
      <w:r w:rsidR="00512C49">
        <w:rPr>
          <w:rFonts w:ascii="Times New Roman" w:hAnsi="Times New Roman"/>
          <w:szCs w:val="24"/>
        </w:rPr>
        <w:t xml:space="preserve"> </w:t>
      </w:r>
      <w:r w:rsidR="00651EBD">
        <w:rPr>
          <w:rFonts w:ascii="Times New Roman" w:hAnsi="Times New Roman"/>
          <w:szCs w:val="24"/>
        </w:rPr>
        <w:t xml:space="preserve">the </w:t>
      </w:r>
      <w:r w:rsidRPr="00E41263">
        <w:rPr>
          <w:rFonts w:ascii="Times New Roman" w:hAnsi="Times New Roman"/>
          <w:szCs w:val="24"/>
        </w:rPr>
        <w:t>F</w:t>
      </w:r>
      <w:r w:rsidR="00651EBD">
        <w:rPr>
          <w:rFonts w:ascii="Times New Roman" w:hAnsi="Times New Roman"/>
          <w:szCs w:val="24"/>
        </w:rPr>
        <w:t>ood and Drug Administration</w:t>
      </w:r>
      <w:r w:rsidR="00AB36CC">
        <w:rPr>
          <w:rFonts w:ascii="Times New Roman" w:hAnsi="Times New Roman"/>
          <w:szCs w:val="24"/>
        </w:rPr>
        <w:t xml:space="preserve"> (</w:t>
      </w:r>
      <w:r w:rsidR="00651EBD">
        <w:rPr>
          <w:rFonts w:ascii="Times New Roman" w:hAnsi="Times New Roman"/>
          <w:szCs w:val="24"/>
        </w:rPr>
        <w:t xml:space="preserve">FDA, </w:t>
      </w:r>
      <w:proofErr w:type="gramStart"/>
      <w:r w:rsidR="00651EBD">
        <w:rPr>
          <w:rFonts w:ascii="Times New Roman" w:hAnsi="Times New Roman"/>
          <w:szCs w:val="24"/>
        </w:rPr>
        <w:t>us</w:t>
      </w:r>
      <w:proofErr w:type="gramEnd"/>
      <w:r w:rsidR="00651EBD">
        <w:rPr>
          <w:rFonts w:ascii="Times New Roman" w:hAnsi="Times New Roman"/>
          <w:szCs w:val="24"/>
        </w:rPr>
        <w:t xml:space="preserve"> or we</w:t>
      </w:r>
      <w:r w:rsidR="00AB36CC">
        <w:rPr>
          <w:rFonts w:ascii="Times New Roman" w:hAnsi="Times New Roman"/>
          <w:szCs w:val="24"/>
        </w:rPr>
        <w:t>)</w:t>
      </w:r>
      <w:r w:rsidRPr="00E41263">
        <w:rPr>
          <w:rFonts w:ascii="Times New Roman" w:hAnsi="Times New Roman"/>
          <w:szCs w:val="24"/>
        </w:rPr>
        <w:t xml:space="preserve"> “</w:t>
      </w:r>
      <w:bookmarkStart w:name="_Hlk107570042" w:id="0"/>
      <w:r w:rsidRPr="00E41263">
        <w:rPr>
          <w:rFonts w:ascii="Times New Roman" w:hAnsi="Times New Roman"/>
          <w:szCs w:val="24"/>
        </w:rPr>
        <w:t>Manufactured Food Regulatory Program Standards</w:t>
      </w:r>
      <w:bookmarkEnd w:id="0"/>
      <w:r w:rsidRPr="00E41263">
        <w:rPr>
          <w:rFonts w:ascii="Times New Roman" w:hAnsi="Times New Roman"/>
          <w:szCs w:val="24"/>
        </w:rPr>
        <w:t>.</w:t>
      </w:r>
      <w:r>
        <w:rPr>
          <w:rFonts w:ascii="Times New Roman" w:hAnsi="Times New Roman"/>
          <w:szCs w:val="24"/>
        </w:rPr>
        <w:t>”</w:t>
      </w:r>
      <w:r w:rsidRPr="00E41263">
        <w:rPr>
          <w:rFonts w:ascii="Times New Roman" w:hAnsi="Times New Roman"/>
          <w:szCs w:val="24"/>
        </w:rPr>
        <w:t xml:space="preserve"> </w:t>
      </w:r>
      <w:r w:rsidR="00F10F88">
        <w:rPr>
          <w:rFonts w:ascii="Times New Roman" w:hAnsi="Times New Roman"/>
          <w:szCs w:val="24"/>
        </w:rPr>
        <w:t xml:space="preserve"> </w:t>
      </w:r>
      <w:r w:rsidRPr="00E41263" w:rsidR="00875E84">
        <w:rPr>
          <w:rFonts w:ascii="Times New Roman" w:hAnsi="Times New Roman"/>
          <w:szCs w:val="24"/>
        </w:rPr>
        <w:t>We recommend that States use these program standards as the framework to design and manage their manufactured food programs.</w:t>
      </w:r>
      <w:r w:rsidR="00875E84">
        <w:rPr>
          <w:rFonts w:ascii="Times New Roman" w:hAnsi="Times New Roman"/>
        </w:rPr>
        <w:t xml:space="preserve">  </w:t>
      </w:r>
      <w:r w:rsidR="00EA0F98">
        <w:rPr>
          <w:rFonts w:ascii="Times New Roman" w:hAnsi="Times New Roman"/>
        </w:rPr>
        <w:t xml:space="preserve">The Secretary is authorized under the </w:t>
      </w:r>
      <w:r w:rsidR="00817B56">
        <w:rPr>
          <w:rFonts w:ascii="Times New Roman" w:hAnsi="Times New Roman"/>
        </w:rPr>
        <w:t xml:space="preserve">FDA Food Safety Modernization Act (Pub. L. 111-353) to collect and share information with the States. </w:t>
      </w:r>
      <w:r w:rsidR="00875E84">
        <w:rPr>
          <w:rFonts w:ascii="Times New Roman" w:hAnsi="Times New Roman"/>
        </w:rPr>
        <w:t>The collection is necessary to determine and develop inspection programs when jurisdiction overlaps between FDA and State agencies.</w:t>
      </w:r>
    </w:p>
    <w:p w:rsidR="00C703DB" w:rsidP="00C703DB" w:rsidRDefault="00C703DB" w14:paraId="6647C9ED" w14:textId="1A113D95">
      <w:pPr>
        <w:ind w:left="360"/>
        <w:rPr>
          <w:rFonts w:ascii="Times New Roman" w:hAnsi="Times New Roman"/>
          <w:szCs w:val="24"/>
        </w:rPr>
      </w:pPr>
    </w:p>
    <w:p w:rsidR="00AB36CC" w:rsidP="00AB36CC" w:rsidRDefault="00E54A10" w14:paraId="6C2DD597" w14:textId="1A4E8106">
      <w:pPr>
        <w:ind w:left="540"/>
        <w:rPr>
          <w:rFonts w:ascii="Times New Roman" w:hAnsi="Times New Roman"/>
        </w:rPr>
      </w:pPr>
      <w:r>
        <w:rPr>
          <w:rFonts w:ascii="Times New Roman" w:hAnsi="Times New Roman"/>
        </w:rPr>
        <w:t xml:space="preserve">We request </w:t>
      </w:r>
      <w:r w:rsidR="00AB36CC">
        <w:rPr>
          <w:rFonts w:ascii="Times New Roman" w:hAnsi="Times New Roman"/>
        </w:rPr>
        <w:t>OMB approval of the information collection contained in the</w:t>
      </w:r>
      <w:r w:rsidR="00875E84">
        <w:rPr>
          <w:rFonts w:ascii="Times New Roman" w:hAnsi="Times New Roman"/>
          <w:szCs w:val="24"/>
        </w:rPr>
        <w:t xml:space="preserve"> </w:t>
      </w:r>
      <w:r w:rsidRPr="00E41263" w:rsidR="00B941E2">
        <w:rPr>
          <w:rFonts w:ascii="Times New Roman" w:hAnsi="Times New Roman"/>
          <w:szCs w:val="24"/>
        </w:rPr>
        <w:t>Manufactured Food Regulatory Program Standards</w:t>
      </w:r>
      <w:r w:rsidR="00AB36CC">
        <w:rPr>
          <w:rFonts w:ascii="Times New Roman" w:hAnsi="Times New Roman"/>
        </w:rPr>
        <w:t>.</w:t>
      </w:r>
      <w:r w:rsidR="00B941E2">
        <w:rPr>
          <w:rFonts w:ascii="Times New Roman" w:hAnsi="Times New Roman"/>
        </w:rPr>
        <w:t xml:space="preserve"> </w:t>
      </w:r>
    </w:p>
    <w:p w:rsidR="00DC4C98" w:rsidP="0081093A" w:rsidRDefault="00DC4C98" w14:paraId="6B908C0C" w14:textId="77777777">
      <w:pPr>
        <w:rPr>
          <w:rFonts w:ascii="Times New Roman" w:hAnsi="Times New Roman"/>
        </w:rPr>
      </w:pPr>
    </w:p>
    <w:p w:rsidRPr="001054ED" w:rsidR="008A22D9" w:rsidRDefault="007E4F0C" w14:paraId="23599814"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Purpose and Use of the Information Collection</w:t>
      </w:r>
    </w:p>
    <w:p w:rsidR="008A22D9" w:rsidRDefault="008A22D9" w14:paraId="3F2C0A83" w14:textId="77777777">
      <w:pPr>
        <w:ind w:left="540"/>
        <w:rPr>
          <w:rFonts w:ascii="Times New Roman" w:hAnsi="Times New Roman"/>
        </w:rPr>
      </w:pPr>
    </w:p>
    <w:p w:rsidR="00012C22" w:rsidP="00860EAC" w:rsidRDefault="00012C22" w14:paraId="46A76E25" w14:textId="19FF080B">
      <w:pPr>
        <w:pStyle w:val="BodyTextIndent"/>
      </w:pPr>
      <w:r w:rsidRPr="00012C22">
        <w:rPr>
          <w:color w:val="333333"/>
          <w:szCs w:val="21"/>
        </w:rPr>
        <w:t>The goal of the Manufactured Food Regulatory Program Standards (MFRPS) is to implement a nationally integrated, risk-based, food safety system focused on protecting public health. The MFRPS establish a uniform basis for measuring and improving the performance of prevention, intervention, and response activities of manufactured food regulatory programs in the United States. The development and implementation of the standards will help Federal and State programs better direct their regulatory activities toward reducing foodborne illness</w:t>
      </w:r>
      <w:r>
        <w:rPr>
          <w:color w:val="333333"/>
          <w:szCs w:val="21"/>
        </w:rPr>
        <w:t>.</w:t>
      </w:r>
      <w:r w:rsidRPr="00E54A10" w:rsidR="00E54A10">
        <w:t xml:space="preserve"> </w:t>
      </w:r>
      <w:r w:rsidRPr="009A00B3" w:rsidR="00E54A10">
        <w:t>Additional information is available on our website at: https://www.fda.gov/federal-state-local-tribal-and-territorial-officials/regulatory-program-standards/manufactured-food-regulatory-program-standards-mfrps</w:t>
      </w:r>
    </w:p>
    <w:p w:rsidR="00EE3CF7" w:rsidP="00724EA0" w:rsidRDefault="00EE3CF7" w14:paraId="61AFFEC8" w14:textId="77777777">
      <w:pPr>
        <w:ind w:left="540"/>
        <w:rPr>
          <w:rFonts w:ascii="Times New Roman" w:hAnsi="Times New Roman"/>
        </w:rPr>
      </w:pPr>
    </w:p>
    <w:p w:rsidRPr="00012C22" w:rsidR="00012C22" w:rsidDel="00C703DB" w:rsidP="00832A62" w:rsidRDefault="00012C22" w14:paraId="275AA9AC" w14:textId="67E011A1">
      <w:pPr>
        <w:pStyle w:val="BodyTextIndent"/>
      </w:pPr>
      <w:r w:rsidRPr="00012C22" w:rsidDel="00C703DB">
        <w:t xml:space="preserve">FDA recommends that a State program enrolled in the MFRPS use the worksheets and forms contained in the standards; however, alternate forms that are equivalent may be used. The State program maintains documentation (guidance, procedures, documents, and forms) required by the 10 standards, which must be current and fit for use.  In the first year of implementing the program standards, the State program conducts a baseline self-assessment of the documentation to determine if it meets the elements of each standard. The State program must participate in additional verification audits in subsequent years.  After 5 years, FDA will conduct a comprehensive program audit of the documentation.  As part of the program audit, the auditor reviews the records and supporting documents </w:t>
      </w:r>
      <w:r w:rsidRPr="00012C22" w:rsidDel="00C703DB">
        <w:lastRenderedPageBreak/>
        <w:t xml:space="preserve">required by the criteria in each standard to determine if the self-assessment and improvement plan accurately reflect the State program’s level of conformance with each of the standards.  If the State program fails to meet all program elements and documentation requirements of a standard, it develops a strategic plan which includes the following: (1) the individual element of documentation requirement of the standard that was not met, (2) improvements needed to meet the program element or documentation requirement of the standard, and (3) projected completion dates for each task.  </w:t>
      </w:r>
    </w:p>
    <w:p w:rsidRPr="009A00B3" w:rsidR="009A00B3" w:rsidP="009A00B3" w:rsidRDefault="00AB36CC" w14:paraId="407D2008" w14:textId="64D9305D">
      <w:pPr>
        <w:spacing w:before="100" w:beforeAutospacing="1" w:after="100" w:afterAutospacing="1"/>
        <w:ind w:left="540"/>
        <w:rPr>
          <w:rFonts w:ascii="Times New Roman" w:hAnsi="Times New Roman"/>
          <w:szCs w:val="24"/>
        </w:rPr>
      </w:pPr>
      <w:r w:rsidRPr="00E41263">
        <w:rPr>
          <w:rFonts w:ascii="Times New Roman" w:hAnsi="Times New Roman"/>
          <w:i/>
          <w:iCs/>
          <w:szCs w:val="24"/>
        </w:rPr>
        <w:t>Description of Respondents:</w:t>
      </w:r>
      <w:r w:rsidRPr="00E41263">
        <w:rPr>
          <w:rFonts w:ascii="Times New Roman" w:hAnsi="Times New Roman"/>
          <w:szCs w:val="24"/>
        </w:rPr>
        <w:t xml:space="preserve"> Respondents are State Departments of Agriculture or Health enrolled in the MFRPS (State Governments).</w:t>
      </w:r>
      <w:r w:rsidRPr="009A00B3" w:rsidR="009A00B3">
        <w:rPr>
          <w:rFonts w:ascii="Times New Roman" w:hAnsi="Times New Roman"/>
          <w:szCs w:val="24"/>
        </w:rPr>
        <w:t xml:space="preserve"> There are 44 State programs enrolled in the MFRPS under cooperative agreements.</w:t>
      </w:r>
    </w:p>
    <w:p w:rsidR="008A22D9" w:rsidP="002F2467" w:rsidRDefault="008A22D9" w14:paraId="4DEA9F3C" w14:textId="77777777">
      <w:pPr>
        <w:pStyle w:val="BodyTextIndent"/>
      </w:pPr>
    </w:p>
    <w:p w:rsidRPr="001054ED" w:rsidR="008A22D9" w:rsidRDefault="00065A9D" w14:paraId="3CEB964A" w14:textId="77777777">
      <w:pPr>
        <w:numPr>
          <w:ilvl w:val="0"/>
          <w:numId w:val="2"/>
        </w:numPr>
        <w:tabs>
          <w:tab w:val="clear"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 xml:space="preserve">Use of Improved </w:t>
      </w:r>
      <w:r w:rsidRPr="001054ED" w:rsidR="008A22D9">
        <w:rPr>
          <w:rFonts w:ascii="Times New Roman" w:hAnsi="Times New Roman"/>
          <w:u w:val="single"/>
        </w:rPr>
        <w:t>Information Technology</w:t>
      </w:r>
      <w:r w:rsidRPr="001054ED">
        <w:rPr>
          <w:rFonts w:ascii="Times New Roman" w:hAnsi="Times New Roman"/>
          <w:u w:val="single"/>
        </w:rPr>
        <w:t xml:space="preserve"> and Burden Reduction</w:t>
      </w:r>
    </w:p>
    <w:p w:rsidR="008A22D9" w:rsidRDefault="008A22D9" w14:paraId="34F17863" w14:textId="77777777">
      <w:pPr>
        <w:ind w:left="540"/>
        <w:rPr>
          <w:rFonts w:ascii="Times New Roman" w:hAnsi="Times New Roman"/>
          <w:u w:val="single"/>
        </w:rPr>
      </w:pPr>
    </w:p>
    <w:p w:rsidRPr="006A762E" w:rsidR="008A22D9" w:rsidRDefault="00065A9D" w14:paraId="2EA45032" w14:textId="77777777">
      <w:pPr>
        <w:ind w:left="540"/>
        <w:rPr>
          <w:rFonts w:ascii="Times New Roman" w:hAnsi="Times New Roman"/>
        </w:rPr>
      </w:pPr>
      <w:r>
        <w:rPr>
          <w:rFonts w:ascii="Times New Roman" w:hAnsi="Times New Roman"/>
        </w:rPr>
        <w:t>FDA estimates that 98 percent of the respondents will use electronic means to fulfill the agency’s requirement or request</w:t>
      </w:r>
      <w:r w:rsidR="00737B29">
        <w:rPr>
          <w:rFonts w:ascii="Times New Roman" w:hAnsi="Times New Roman"/>
        </w:rPr>
        <w:t xml:space="preserve">. </w:t>
      </w:r>
      <w:r w:rsidR="003415D2">
        <w:rPr>
          <w:rFonts w:ascii="Times New Roman" w:hAnsi="Times New Roman"/>
        </w:rPr>
        <w:t>Current pra</w:t>
      </w:r>
      <w:r w:rsidR="00EB4472">
        <w:rPr>
          <w:rFonts w:ascii="Times New Roman" w:hAnsi="Times New Roman"/>
        </w:rPr>
        <w:t xml:space="preserve">ctices allow </w:t>
      </w:r>
      <w:r w:rsidR="008A22D9">
        <w:rPr>
          <w:rFonts w:ascii="Times New Roman" w:hAnsi="Times New Roman"/>
        </w:rPr>
        <w:t xml:space="preserve">the reporting and recordkeeping </w:t>
      </w:r>
      <w:r w:rsidR="008B7175">
        <w:rPr>
          <w:rFonts w:ascii="Times New Roman" w:hAnsi="Times New Roman"/>
        </w:rPr>
        <w:t>requirements to be met through</w:t>
      </w:r>
      <w:r w:rsidR="008A22D9">
        <w:rPr>
          <w:rFonts w:ascii="Times New Roman" w:hAnsi="Times New Roman"/>
        </w:rPr>
        <w:t xml:space="preserve"> electronic means</w:t>
      </w:r>
      <w:r w:rsidR="00737B29">
        <w:rPr>
          <w:rFonts w:ascii="Times New Roman" w:hAnsi="Times New Roman"/>
        </w:rPr>
        <w:t xml:space="preserve">. </w:t>
      </w:r>
      <w:r w:rsidRPr="006A762E" w:rsidR="006A762E">
        <w:rPr>
          <w:rFonts w:ascii="Times New Roman" w:hAnsi="Times New Roman"/>
        </w:rPr>
        <w:t xml:space="preserve">The </w:t>
      </w:r>
      <w:r w:rsidR="00155DE6">
        <w:rPr>
          <w:rFonts w:ascii="Times New Roman" w:hAnsi="Times New Roman"/>
        </w:rPr>
        <w:t xml:space="preserve">fill-in </w:t>
      </w:r>
      <w:r w:rsidR="00EB4472">
        <w:rPr>
          <w:rFonts w:ascii="Times New Roman" w:hAnsi="Times New Roman"/>
        </w:rPr>
        <w:t xml:space="preserve">forms and worksheets will be </w:t>
      </w:r>
      <w:r w:rsidRPr="006A762E" w:rsidR="006A762E">
        <w:rPr>
          <w:rFonts w:ascii="Times New Roman" w:hAnsi="Times New Roman"/>
        </w:rPr>
        <w:t>in Portable Document</w:t>
      </w:r>
      <w:r w:rsidR="00EB4472">
        <w:rPr>
          <w:rFonts w:ascii="Times New Roman" w:hAnsi="Times New Roman"/>
        </w:rPr>
        <w:t xml:space="preserve"> For</w:t>
      </w:r>
      <w:r w:rsidR="000D6DE9">
        <w:rPr>
          <w:rFonts w:ascii="Times New Roman" w:hAnsi="Times New Roman"/>
        </w:rPr>
        <w:t>mat (PDF)</w:t>
      </w:r>
      <w:r w:rsidR="00DC4C98">
        <w:rPr>
          <w:rFonts w:ascii="Times New Roman" w:hAnsi="Times New Roman"/>
        </w:rPr>
        <w:t>, Excel</w:t>
      </w:r>
      <w:r w:rsidR="000D6DE9">
        <w:rPr>
          <w:rFonts w:ascii="Times New Roman" w:hAnsi="Times New Roman"/>
        </w:rPr>
        <w:t xml:space="preserve"> </w:t>
      </w:r>
      <w:r w:rsidR="006B639C">
        <w:rPr>
          <w:rFonts w:ascii="Times New Roman" w:hAnsi="Times New Roman"/>
        </w:rPr>
        <w:t xml:space="preserve">or Word Format </w:t>
      </w:r>
      <w:r w:rsidR="00155DE6">
        <w:rPr>
          <w:rFonts w:ascii="Times New Roman" w:hAnsi="Times New Roman"/>
        </w:rPr>
        <w:t>and available on the internet</w:t>
      </w:r>
      <w:r w:rsidR="00737B29">
        <w:rPr>
          <w:rFonts w:ascii="Times New Roman" w:hAnsi="Times New Roman"/>
        </w:rPr>
        <w:t xml:space="preserve">. </w:t>
      </w:r>
      <w:r w:rsidR="00EB4472">
        <w:rPr>
          <w:rFonts w:ascii="Times New Roman" w:hAnsi="Times New Roman"/>
        </w:rPr>
        <w:t xml:space="preserve">  </w:t>
      </w:r>
    </w:p>
    <w:p w:rsidR="00EE3CF7" w:rsidRDefault="00EE3CF7" w14:paraId="7F888374" w14:textId="77777777">
      <w:pPr>
        <w:ind w:left="540"/>
        <w:rPr>
          <w:rFonts w:ascii="Times New Roman" w:hAnsi="Times New Roman"/>
        </w:rPr>
      </w:pPr>
    </w:p>
    <w:p w:rsidRPr="001054ED" w:rsidR="008A22D9" w:rsidRDefault="008A22D9" w14:paraId="15545760"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Efforts to Identify Duplication and Simil</w:t>
      </w:r>
      <w:r w:rsidRPr="001054ED" w:rsidR="00065A9D">
        <w:rPr>
          <w:rFonts w:ascii="Times New Roman" w:hAnsi="Times New Roman"/>
          <w:u w:val="single"/>
        </w:rPr>
        <w:t>ar Information</w:t>
      </w:r>
    </w:p>
    <w:p w:rsidR="008A22D9" w:rsidRDefault="008A22D9" w14:paraId="5FA8A968" w14:textId="77777777">
      <w:pPr>
        <w:ind w:left="540"/>
        <w:rPr>
          <w:rFonts w:ascii="Times New Roman" w:hAnsi="Times New Roman"/>
        </w:rPr>
      </w:pPr>
    </w:p>
    <w:p w:rsidR="008A22D9" w:rsidRDefault="009F5ED6" w14:paraId="6477E913" w14:textId="77777777">
      <w:pPr>
        <w:ind w:left="540"/>
        <w:rPr>
          <w:rFonts w:ascii="Times New Roman" w:hAnsi="Times New Roman"/>
        </w:rPr>
      </w:pPr>
      <w:r>
        <w:rPr>
          <w:rFonts w:ascii="Times New Roman" w:hAnsi="Times New Roman"/>
        </w:rPr>
        <w:t xml:space="preserve">The </w:t>
      </w:r>
      <w:r w:rsidR="008A22D9">
        <w:rPr>
          <w:rFonts w:ascii="Times New Roman" w:hAnsi="Times New Roman"/>
        </w:rPr>
        <w:t xml:space="preserve">information </w:t>
      </w:r>
      <w:r>
        <w:rPr>
          <w:rFonts w:ascii="Times New Roman" w:hAnsi="Times New Roman"/>
        </w:rPr>
        <w:t>described</w:t>
      </w:r>
      <w:r w:rsidR="00BF3C2D">
        <w:rPr>
          <w:rFonts w:ascii="Times New Roman" w:hAnsi="Times New Roman"/>
        </w:rPr>
        <w:t xml:space="preserve"> is not duplicative and must be obtained from the States.</w:t>
      </w:r>
      <w:r w:rsidR="008A22D9">
        <w:rPr>
          <w:rFonts w:ascii="Times New Roman" w:hAnsi="Times New Roman"/>
        </w:rPr>
        <w:t xml:space="preserve"> </w:t>
      </w:r>
    </w:p>
    <w:p w:rsidR="004D30B4" w:rsidRDefault="004D30B4" w14:paraId="43DD3615" w14:textId="77777777">
      <w:pPr>
        <w:ind w:left="540"/>
        <w:rPr>
          <w:rFonts w:ascii="Times New Roman" w:hAnsi="Times New Roman"/>
        </w:rPr>
      </w:pPr>
    </w:p>
    <w:p w:rsidRPr="001054ED" w:rsidR="008A22D9" w:rsidRDefault="008A22D9" w14:paraId="069BCCDE"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Impact on Small Business or Other Small Entities</w:t>
      </w:r>
    </w:p>
    <w:p w:rsidR="008A22D9" w:rsidRDefault="008A22D9" w14:paraId="220F2210" w14:textId="77777777">
      <w:pPr>
        <w:ind w:left="540"/>
        <w:rPr>
          <w:rFonts w:ascii="Times New Roman" w:hAnsi="Times New Roman"/>
        </w:rPr>
      </w:pPr>
    </w:p>
    <w:p w:rsidR="009F5ED6" w:rsidRDefault="00BF3C2D" w14:paraId="399A893E" w14:textId="77777777">
      <w:pPr>
        <w:ind w:left="540"/>
        <w:rPr>
          <w:rFonts w:ascii="Times New Roman" w:hAnsi="Times New Roman"/>
        </w:rPr>
      </w:pPr>
      <w:r>
        <w:rPr>
          <w:rFonts w:ascii="Times New Roman" w:hAnsi="Times New Roman"/>
        </w:rPr>
        <w:t xml:space="preserve">FDA </w:t>
      </w:r>
      <w:r w:rsidR="002F5C06">
        <w:rPr>
          <w:rFonts w:ascii="Times New Roman" w:hAnsi="Times New Roman"/>
        </w:rPr>
        <w:t>does not anticipate</w:t>
      </w:r>
      <w:r>
        <w:rPr>
          <w:rFonts w:ascii="Times New Roman" w:hAnsi="Times New Roman"/>
        </w:rPr>
        <w:t xml:space="preserve"> </w:t>
      </w:r>
      <w:r w:rsidR="002F5C06">
        <w:rPr>
          <w:rFonts w:ascii="Times New Roman" w:hAnsi="Times New Roman"/>
        </w:rPr>
        <w:t xml:space="preserve">responses from small businesses and does not believe it </w:t>
      </w:r>
      <w:r w:rsidR="007863CC">
        <w:rPr>
          <w:rFonts w:ascii="Times New Roman" w:hAnsi="Times New Roman"/>
        </w:rPr>
        <w:t>will adversely</w:t>
      </w:r>
      <w:r w:rsidR="008A22D9">
        <w:rPr>
          <w:rFonts w:ascii="Times New Roman" w:hAnsi="Times New Roman"/>
        </w:rPr>
        <w:t xml:space="preserve"> affect small businesses or other small entities</w:t>
      </w:r>
      <w:r w:rsidR="00737B29">
        <w:rPr>
          <w:rFonts w:ascii="Times New Roman" w:hAnsi="Times New Roman"/>
        </w:rPr>
        <w:t xml:space="preserve">. </w:t>
      </w:r>
      <w:r w:rsidR="00DC4C98">
        <w:rPr>
          <w:rFonts w:ascii="Times New Roman" w:hAnsi="Times New Roman"/>
        </w:rPr>
        <w:t xml:space="preserve">The Manufactured Food Standards do not impact business or small entities. </w:t>
      </w:r>
    </w:p>
    <w:p w:rsidR="008A22D9" w:rsidRDefault="008A22D9" w14:paraId="788FE9A9" w14:textId="77777777">
      <w:pPr>
        <w:ind w:left="540"/>
        <w:rPr>
          <w:rFonts w:ascii="Times New Roman" w:hAnsi="Times New Roman"/>
        </w:rPr>
      </w:pPr>
    </w:p>
    <w:p w:rsidRPr="001054ED" w:rsidR="008A22D9" w:rsidRDefault="008A22D9" w14:paraId="4403E5F1"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Consequences of Collecting the I</w:t>
      </w:r>
      <w:r w:rsidRPr="001054ED" w:rsidR="008E7BF9">
        <w:rPr>
          <w:rFonts w:ascii="Times New Roman" w:hAnsi="Times New Roman"/>
          <w:u w:val="single"/>
        </w:rPr>
        <w:t>nformation Less Frequently</w:t>
      </w:r>
    </w:p>
    <w:p w:rsidR="008A22D9" w:rsidRDefault="008A22D9" w14:paraId="6499179B" w14:textId="45BDB904">
      <w:pPr>
        <w:ind w:left="540"/>
        <w:rPr>
          <w:rFonts w:ascii="Times New Roman" w:hAnsi="Times New Roman"/>
        </w:rPr>
      </w:pPr>
    </w:p>
    <w:p w:rsidR="00C0200A" w:rsidP="00C0200A" w:rsidRDefault="00C0200A" w14:paraId="004533E0" w14:textId="584F7643">
      <w:pPr>
        <w:ind w:left="540"/>
        <w:rPr>
          <w:rFonts w:ascii="Times New Roman" w:hAnsi="Times New Roman"/>
        </w:rPr>
      </w:pPr>
      <w:r>
        <w:rPr>
          <w:rFonts w:ascii="Times New Roman" w:hAnsi="Times New Roman"/>
        </w:rPr>
        <w:t>Collecting the information solicited in this collection less frequently would negatively impact FDA’s ability to evaluate annual grantee performance. The annual collection is proportionate and appropriate.</w:t>
      </w:r>
    </w:p>
    <w:p w:rsidRPr="003D238D" w:rsidR="008A22D9" w:rsidRDefault="003B0C4B" w14:paraId="326211AF" w14:textId="77777777">
      <w:pPr>
        <w:ind w:left="540"/>
        <w:rPr>
          <w:rFonts w:ascii="Times New Roman" w:hAnsi="Times New Roman"/>
          <w:szCs w:val="24"/>
        </w:rPr>
      </w:pPr>
      <w:r w:rsidRPr="003D238D">
        <w:rPr>
          <w:rFonts w:ascii="Times New Roman" w:hAnsi="Times New Roman"/>
          <w:szCs w:val="24"/>
        </w:rPr>
        <w:t xml:space="preserve">  </w:t>
      </w:r>
    </w:p>
    <w:p w:rsidR="008A22D9" w:rsidRDefault="008A22D9" w14:paraId="774D3E89" w14:textId="77777777">
      <w:pPr>
        <w:pStyle w:val="BodyText"/>
        <w:ind w:left="540"/>
      </w:pPr>
      <w:r>
        <w:t>There are no technical or legal obstacles to the collection of this information.</w:t>
      </w:r>
    </w:p>
    <w:p w:rsidR="008A22D9" w:rsidRDefault="008A22D9" w14:paraId="69651769" w14:textId="77777777">
      <w:pPr>
        <w:ind w:left="540"/>
        <w:rPr>
          <w:rFonts w:ascii="Times New Roman" w:hAnsi="Times New Roman"/>
        </w:rPr>
      </w:pPr>
    </w:p>
    <w:p w:rsidRPr="001054ED" w:rsidR="008A22D9" w:rsidRDefault="008A22D9" w14:paraId="66400AE8"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Consistency with the Guidelines in 5 C</w:t>
      </w:r>
      <w:r w:rsidRPr="001054ED" w:rsidR="002C6C2F">
        <w:rPr>
          <w:rFonts w:ascii="Times New Roman" w:hAnsi="Times New Roman"/>
          <w:u w:val="single"/>
        </w:rPr>
        <w:t>FR 1320.5</w:t>
      </w:r>
    </w:p>
    <w:p w:rsidR="008A22D9" w:rsidRDefault="008A22D9" w14:paraId="41EF5879" w14:textId="77777777">
      <w:pPr>
        <w:ind w:left="540"/>
        <w:rPr>
          <w:rFonts w:ascii="Times New Roman" w:hAnsi="Times New Roman"/>
        </w:rPr>
      </w:pPr>
    </w:p>
    <w:p w:rsidR="008A22D9" w:rsidRDefault="002C6C2F" w14:paraId="1621ECE8" w14:textId="77777777">
      <w:pPr>
        <w:ind w:left="540"/>
        <w:rPr>
          <w:rFonts w:ascii="Times New Roman" w:hAnsi="Times New Roman"/>
        </w:rPr>
      </w:pPr>
      <w:r>
        <w:rPr>
          <w:rFonts w:ascii="Times New Roman" w:hAnsi="Times New Roman"/>
        </w:rPr>
        <w:t>There are no special circumstances for this collection of this information</w:t>
      </w:r>
      <w:r w:rsidR="00737B29">
        <w:rPr>
          <w:rFonts w:ascii="Times New Roman" w:hAnsi="Times New Roman"/>
        </w:rPr>
        <w:t xml:space="preserve">. </w:t>
      </w:r>
    </w:p>
    <w:p w:rsidR="008A22D9" w:rsidRDefault="008A22D9" w14:paraId="2E8A36AE" w14:textId="77777777">
      <w:pPr>
        <w:ind w:left="540"/>
        <w:rPr>
          <w:rFonts w:ascii="Times New Roman" w:hAnsi="Times New Roman"/>
        </w:rPr>
      </w:pPr>
    </w:p>
    <w:p w:rsidRPr="001054ED" w:rsidR="008A22D9" w:rsidRDefault="000C04D6" w14:paraId="0760861C" w14:textId="77777777">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Comments in Response to the Federal Register Notice and Efforts to Consult Outside the Agency</w:t>
      </w:r>
    </w:p>
    <w:p w:rsidR="008A22D9" w:rsidRDefault="008A22D9" w14:paraId="1D058BEF" w14:textId="77777777">
      <w:pPr>
        <w:ind w:left="540"/>
        <w:rPr>
          <w:rFonts w:ascii="Times New Roman" w:hAnsi="Times New Roman"/>
          <w:u w:val="single"/>
        </w:rPr>
      </w:pPr>
    </w:p>
    <w:p w:rsidR="0000779B" w:rsidP="00ED6C2D" w:rsidRDefault="0000779B" w14:paraId="78D6064B" w14:textId="1964D432">
      <w:pPr>
        <w:ind w:left="540"/>
        <w:rPr>
          <w:rFonts w:ascii="Times New Roman" w:hAnsi="Times New Roman"/>
          <w:szCs w:val="24"/>
        </w:rPr>
      </w:pPr>
      <w:r w:rsidRPr="00ED6C2D">
        <w:rPr>
          <w:rFonts w:ascii="Times New Roman" w:hAnsi="Times New Roman"/>
          <w:szCs w:val="24"/>
        </w:rPr>
        <w:lastRenderedPageBreak/>
        <w:t>In accordance with 5 CFR 1320.8(d), FDA published a 60</w:t>
      </w:r>
      <w:r w:rsidR="00832A62">
        <w:rPr>
          <w:rFonts w:ascii="Times New Roman" w:hAnsi="Times New Roman"/>
          <w:szCs w:val="24"/>
        </w:rPr>
        <w:t>-</w:t>
      </w:r>
      <w:r w:rsidRPr="00ED6C2D">
        <w:rPr>
          <w:rFonts w:ascii="Times New Roman" w:hAnsi="Times New Roman"/>
          <w:szCs w:val="24"/>
        </w:rPr>
        <w:t xml:space="preserve">day notice for public comment in the </w:t>
      </w:r>
      <w:r w:rsidRPr="00832A62" w:rsidR="00512C49">
        <w:rPr>
          <w:rFonts w:ascii="Times New Roman" w:hAnsi="Times New Roman"/>
          <w:i/>
          <w:iCs/>
          <w:szCs w:val="24"/>
        </w:rPr>
        <w:t>Federal Register</w:t>
      </w:r>
      <w:r w:rsidR="00512C49">
        <w:rPr>
          <w:rFonts w:ascii="Times New Roman" w:hAnsi="Times New Roman"/>
          <w:szCs w:val="24"/>
        </w:rPr>
        <w:t xml:space="preserve"> </w:t>
      </w:r>
      <w:r w:rsidRPr="00ED6C2D">
        <w:rPr>
          <w:rFonts w:ascii="Times New Roman" w:hAnsi="Times New Roman"/>
          <w:szCs w:val="24"/>
        </w:rPr>
        <w:t>of</w:t>
      </w:r>
      <w:r w:rsidR="007E63C8">
        <w:rPr>
          <w:rFonts w:ascii="Times New Roman" w:hAnsi="Times New Roman"/>
          <w:szCs w:val="24"/>
        </w:rPr>
        <w:t xml:space="preserve"> </w:t>
      </w:r>
      <w:r w:rsidR="00381E37">
        <w:rPr>
          <w:rFonts w:ascii="Times New Roman" w:hAnsi="Times New Roman"/>
          <w:szCs w:val="24"/>
        </w:rPr>
        <w:t>1/13</w:t>
      </w:r>
      <w:r w:rsidR="007E63C8">
        <w:rPr>
          <w:rFonts w:ascii="Times New Roman" w:hAnsi="Times New Roman"/>
          <w:szCs w:val="24"/>
        </w:rPr>
        <w:t>/</w:t>
      </w:r>
      <w:r w:rsidR="00381E37">
        <w:rPr>
          <w:rFonts w:ascii="Times New Roman" w:hAnsi="Times New Roman"/>
          <w:szCs w:val="24"/>
        </w:rPr>
        <w:t>2022</w:t>
      </w:r>
      <w:r w:rsidRPr="00ED6C2D" w:rsidR="00381E37">
        <w:rPr>
          <w:rFonts w:ascii="Times New Roman" w:hAnsi="Times New Roman"/>
          <w:szCs w:val="24"/>
        </w:rPr>
        <w:t xml:space="preserve"> </w:t>
      </w:r>
      <w:r w:rsidRPr="00ED6C2D">
        <w:rPr>
          <w:rFonts w:ascii="Times New Roman" w:hAnsi="Times New Roman"/>
          <w:szCs w:val="24"/>
        </w:rPr>
        <w:t>(</w:t>
      </w:r>
      <w:r w:rsidR="007E63C8">
        <w:rPr>
          <w:rFonts w:ascii="Times New Roman" w:hAnsi="Times New Roman"/>
          <w:szCs w:val="24"/>
        </w:rPr>
        <w:t>8</w:t>
      </w:r>
      <w:r w:rsidR="00381E37">
        <w:rPr>
          <w:rFonts w:ascii="Times New Roman" w:hAnsi="Times New Roman"/>
          <w:szCs w:val="24"/>
        </w:rPr>
        <w:t>7</w:t>
      </w:r>
      <w:r w:rsidR="007E63C8">
        <w:rPr>
          <w:rFonts w:ascii="Times New Roman" w:hAnsi="Times New Roman"/>
          <w:szCs w:val="24"/>
        </w:rPr>
        <w:t xml:space="preserve"> FR </w:t>
      </w:r>
      <w:r w:rsidR="00381E37">
        <w:rPr>
          <w:rFonts w:ascii="Times New Roman" w:hAnsi="Times New Roman"/>
          <w:szCs w:val="24"/>
        </w:rPr>
        <w:t>2162</w:t>
      </w:r>
      <w:r w:rsidRPr="00ED6C2D">
        <w:rPr>
          <w:rFonts w:ascii="Times New Roman" w:hAnsi="Times New Roman"/>
          <w:szCs w:val="24"/>
        </w:rPr>
        <w:t xml:space="preserve">) to which the agency received </w:t>
      </w:r>
      <w:r w:rsidR="005C13F9">
        <w:rPr>
          <w:rFonts w:ascii="Times New Roman" w:hAnsi="Times New Roman"/>
          <w:szCs w:val="24"/>
        </w:rPr>
        <w:t>no</w:t>
      </w:r>
      <w:r w:rsidRPr="00ED6C2D">
        <w:rPr>
          <w:rFonts w:ascii="Times New Roman" w:hAnsi="Times New Roman"/>
          <w:szCs w:val="24"/>
        </w:rPr>
        <w:t xml:space="preserve"> comments.    </w:t>
      </w:r>
    </w:p>
    <w:p w:rsidR="00AC739D" w:rsidP="00AC739D" w:rsidRDefault="00AC739D" w14:paraId="45A02AC4" w14:textId="77777777">
      <w:pPr>
        <w:ind w:left="540"/>
        <w:rPr>
          <w:rFonts w:ascii="Times New Roman" w:hAnsi="Times New Roman"/>
          <w:szCs w:val="24"/>
        </w:rPr>
      </w:pPr>
    </w:p>
    <w:p w:rsidR="00134983" w:rsidP="00AC739D" w:rsidRDefault="00AC739D" w14:paraId="77E55F2C" w14:textId="5BFD913C">
      <w:pPr>
        <w:ind w:left="540"/>
        <w:rPr>
          <w:rFonts w:ascii="Times New Roman" w:hAnsi="Times New Roman"/>
          <w:szCs w:val="24"/>
        </w:rPr>
      </w:pPr>
      <w:r w:rsidRPr="00AC739D">
        <w:rPr>
          <w:rFonts w:ascii="Times New Roman" w:hAnsi="Times New Roman"/>
          <w:szCs w:val="24"/>
        </w:rPr>
        <w:t>Subsequent to the publication of the 60-day notice, in collaboration with the State Governments, FDA completed a revision of the program standards. In an effort to improve program effectiveness, understanding and clarity, changes include those to program definitions, inspection procedures, appendices and assessment worksheets that may be used by the States who have adopted the MFRPS.</w:t>
      </w:r>
      <w:r w:rsidR="00CD14EB">
        <w:rPr>
          <w:rFonts w:ascii="Times New Roman" w:hAnsi="Times New Roman"/>
          <w:szCs w:val="24"/>
        </w:rPr>
        <w:t xml:space="preserve">  The revised program standards are available in docket</w:t>
      </w:r>
      <w:r w:rsidRPr="00AC739D">
        <w:rPr>
          <w:rFonts w:ascii="Times New Roman" w:hAnsi="Times New Roman"/>
          <w:szCs w:val="24"/>
        </w:rPr>
        <w:t xml:space="preserve"> </w:t>
      </w:r>
      <w:r w:rsidRPr="00CD14EB" w:rsidR="00CD14EB">
        <w:rPr>
          <w:rFonts w:ascii="Times New Roman" w:hAnsi="Times New Roman"/>
          <w:szCs w:val="24"/>
        </w:rPr>
        <w:t>FDA-2010-N-0414-000</w:t>
      </w:r>
      <w:r w:rsidR="00CD14EB">
        <w:rPr>
          <w:rFonts w:ascii="Times New Roman" w:hAnsi="Times New Roman"/>
          <w:szCs w:val="24"/>
        </w:rPr>
        <w:t>6.</w:t>
      </w:r>
    </w:p>
    <w:p w:rsidR="00134983" w:rsidP="00AC739D" w:rsidRDefault="00134983" w14:paraId="31061FEA" w14:textId="77777777">
      <w:pPr>
        <w:ind w:left="540"/>
        <w:rPr>
          <w:rFonts w:ascii="Times New Roman" w:hAnsi="Times New Roman"/>
          <w:szCs w:val="24"/>
        </w:rPr>
      </w:pPr>
    </w:p>
    <w:p w:rsidR="00977E4A" w:rsidP="00AC739D" w:rsidRDefault="00AC739D" w14:paraId="71534414" w14:textId="1C06CA4C">
      <w:pPr>
        <w:ind w:left="540"/>
        <w:rPr>
          <w:rFonts w:ascii="Times New Roman" w:hAnsi="Times New Roman"/>
          <w:szCs w:val="24"/>
        </w:rPr>
      </w:pPr>
      <w:r w:rsidRPr="00AC739D">
        <w:rPr>
          <w:rFonts w:ascii="Times New Roman" w:hAnsi="Times New Roman"/>
          <w:szCs w:val="24"/>
        </w:rPr>
        <w:t xml:space="preserve">The </w:t>
      </w:r>
      <w:r w:rsidR="00556B95">
        <w:rPr>
          <w:rFonts w:ascii="Times New Roman" w:hAnsi="Times New Roman"/>
          <w:szCs w:val="24"/>
        </w:rPr>
        <w:t xml:space="preserve">revision of the program standards is </w:t>
      </w:r>
      <w:r w:rsidRPr="00AC739D">
        <w:rPr>
          <w:rFonts w:ascii="Times New Roman" w:hAnsi="Times New Roman"/>
          <w:szCs w:val="24"/>
        </w:rPr>
        <w:t xml:space="preserve">the result of external collaboration and coordination between FDA and the Association of Food and Drug Officials (AFDO) Manufactured Food Regulatory Program Alliance (MFRPA) and the Partnership for Food Protection (PFP) Governing Council (GC).  We consider any formal comments received on the previous edition of the program standards and feedback obtained from our collaboration with the States.  </w:t>
      </w:r>
    </w:p>
    <w:p w:rsidR="00B069D1" w:rsidP="001A1EB6" w:rsidRDefault="00B069D1" w14:paraId="2B434847" w14:textId="27F01992">
      <w:pPr>
        <w:ind w:left="540"/>
        <w:rPr>
          <w:rFonts w:ascii="Times New Roman" w:hAnsi="Times New Roman"/>
          <w:szCs w:val="24"/>
        </w:rPr>
      </w:pPr>
    </w:p>
    <w:p w:rsidR="00A66B7F" w:rsidP="00832A62" w:rsidRDefault="00977E4A" w14:paraId="7A894D57" w14:textId="1235281A">
      <w:pPr>
        <w:ind w:left="540"/>
        <w:rPr>
          <w:rFonts w:ascii="Times New Roman" w:hAnsi="Times New Roman"/>
          <w:szCs w:val="24"/>
        </w:rPr>
      </w:pPr>
      <w:r w:rsidRPr="00977E4A">
        <w:rPr>
          <w:rFonts w:ascii="Times New Roman" w:hAnsi="Times New Roman"/>
          <w:szCs w:val="24"/>
        </w:rPr>
        <w:t>The FDA work</w:t>
      </w:r>
      <w:r>
        <w:rPr>
          <w:rFonts w:ascii="Times New Roman" w:hAnsi="Times New Roman"/>
          <w:szCs w:val="24"/>
        </w:rPr>
        <w:t>ed</w:t>
      </w:r>
      <w:r w:rsidRPr="00977E4A">
        <w:rPr>
          <w:rFonts w:ascii="Times New Roman" w:hAnsi="Times New Roman"/>
          <w:szCs w:val="24"/>
        </w:rPr>
        <w:t xml:space="preserve"> closely with </w:t>
      </w:r>
      <w:r w:rsidR="00A66B7F">
        <w:rPr>
          <w:rFonts w:ascii="Times New Roman" w:hAnsi="Times New Roman"/>
          <w:szCs w:val="24"/>
        </w:rPr>
        <w:t xml:space="preserve">state agencies participating in the MFRPS program </w:t>
      </w:r>
      <w:r w:rsidRPr="00977E4A">
        <w:rPr>
          <w:rFonts w:ascii="Times New Roman" w:hAnsi="Times New Roman"/>
          <w:szCs w:val="24"/>
        </w:rPr>
        <w:t xml:space="preserve">through the </w:t>
      </w:r>
      <w:r w:rsidR="00A66B7F">
        <w:rPr>
          <w:rFonts w:ascii="Times New Roman" w:hAnsi="Times New Roman"/>
          <w:szCs w:val="24"/>
        </w:rPr>
        <w:t xml:space="preserve">AFDO </w:t>
      </w:r>
      <w:r w:rsidRPr="00977E4A">
        <w:rPr>
          <w:rFonts w:ascii="Times New Roman" w:hAnsi="Times New Roman"/>
          <w:szCs w:val="24"/>
        </w:rPr>
        <w:t xml:space="preserve">Manufactured Food Regulatory Program Alliance </w:t>
      </w:r>
      <w:r w:rsidR="00230152">
        <w:rPr>
          <w:rFonts w:ascii="Times New Roman" w:hAnsi="Times New Roman"/>
          <w:szCs w:val="24"/>
        </w:rPr>
        <w:t>Board</w:t>
      </w:r>
      <w:r w:rsidRPr="00977E4A">
        <w:rPr>
          <w:rFonts w:ascii="Times New Roman" w:hAnsi="Times New Roman"/>
          <w:szCs w:val="24"/>
        </w:rPr>
        <w:t xml:space="preserve"> to review </w:t>
      </w:r>
      <w:r w:rsidR="00A66B7F">
        <w:rPr>
          <w:rFonts w:ascii="Times New Roman" w:hAnsi="Times New Roman"/>
          <w:szCs w:val="24"/>
        </w:rPr>
        <w:t xml:space="preserve">and evaluate </w:t>
      </w:r>
      <w:r w:rsidRPr="00977E4A">
        <w:rPr>
          <w:rFonts w:ascii="Times New Roman" w:hAnsi="Times New Roman"/>
          <w:szCs w:val="24"/>
        </w:rPr>
        <w:t>the</w:t>
      </w:r>
      <w:r w:rsidR="00A66B7F">
        <w:rPr>
          <w:rFonts w:ascii="Times New Roman" w:hAnsi="Times New Roman"/>
          <w:szCs w:val="24"/>
        </w:rPr>
        <w:t xml:space="preserve"> program standards</w:t>
      </w:r>
      <w:r w:rsidRPr="00977E4A">
        <w:rPr>
          <w:rFonts w:ascii="Times New Roman" w:hAnsi="Times New Roman"/>
          <w:szCs w:val="24"/>
        </w:rPr>
        <w:t xml:space="preserve">. </w:t>
      </w:r>
      <w:r w:rsidR="001A1EB6">
        <w:rPr>
          <w:rFonts w:ascii="Times New Roman" w:hAnsi="Times New Roman"/>
          <w:szCs w:val="24"/>
        </w:rPr>
        <w:t>The c</w:t>
      </w:r>
      <w:r w:rsidRPr="00977E4A">
        <w:rPr>
          <w:rFonts w:ascii="Times New Roman" w:hAnsi="Times New Roman"/>
          <w:szCs w:val="24"/>
        </w:rPr>
        <w:t xml:space="preserve">hanges </w:t>
      </w:r>
      <w:r>
        <w:rPr>
          <w:rFonts w:ascii="Times New Roman" w:hAnsi="Times New Roman"/>
          <w:szCs w:val="24"/>
        </w:rPr>
        <w:t>were</w:t>
      </w:r>
      <w:r w:rsidRPr="00977E4A">
        <w:rPr>
          <w:rFonts w:ascii="Times New Roman" w:hAnsi="Times New Roman"/>
          <w:szCs w:val="24"/>
        </w:rPr>
        <w:t xml:space="preserve"> proposed by the FDA, or by </w:t>
      </w:r>
      <w:r w:rsidR="009B4F3D">
        <w:rPr>
          <w:rFonts w:ascii="Times New Roman" w:hAnsi="Times New Roman"/>
          <w:szCs w:val="24"/>
        </w:rPr>
        <w:t xml:space="preserve">the </w:t>
      </w:r>
      <w:r w:rsidRPr="00977E4A">
        <w:rPr>
          <w:rFonts w:ascii="Times New Roman" w:hAnsi="Times New Roman"/>
          <w:szCs w:val="24"/>
        </w:rPr>
        <w:t>regulatory state programs</w:t>
      </w:r>
      <w:r w:rsidR="00A041F1">
        <w:rPr>
          <w:rFonts w:ascii="Times New Roman" w:hAnsi="Times New Roman"/>
          <w:szCs w:val="24"/>
        </w:rPr>
        <w:t>, and</w:t>
      </w:r>
      <w:r w:rsidRPr="00977E4A">
        <w:rPr>
          <w:rFonts w:ascii="Times New Roman" w:hAnsi="Times New Roman"/>
          <w:szCs w:val="24"/>
        </w:rPr>
        <w:t xml:space="preserve"> provided to the </w:t>
      </w:r>
      <w:r w:rsidR="00435E0B">
        <w:rPr>
          <w:rFonts w:ascii="Times New Roman" w:hAnsi="Times New Roman"/>
          <w:szCs w:val="24"/>
        </w:rPr>
        <w:t xml:space="preserve">PFP-GC </w:t>
      </w:r>
      <w:r w:rsidRPr="00977E4A">
        <w:rPr>
          <w:rFonts w:ascii="Times New Roman" w:hAnsi="Times New Roman"/>
          <w:szCs w:val="24"/>
        </w:rPr>
        <w:t xml:space="preserve">for review and comment. </w:t>
      </w:r>
      <w:r w:rsidRPr="00D80F51" w:rsidR="00230152">
        <w:rPr>
          <w:rFonts w:ascii="Times New Roman" w:hAnsi="Times New Roman"/>
          <w:szCs w:val="24"/>
        </w:rPr>
        <w:t xml:space="preserve">Comments received from the </w:t>
      </w:r>
      <w:r w:rsidR="00A66B7F">
        <w:rPr>
          <w:rFonts w:ascii="Times New Roman" w:hAnsi="Times New Roman"/>
          <w:szCs w:val="24"/>
        </w:rPr>
        <w:t>S</w:t>
      </w:r>
      <w:r w:rsidRPr="00D80F51" w:rsidR="00230152">
        <w:rPr>
          <w:rFonts w:ascii="Times New Roman" w:hAnsi="Times New Roman"/>
          <w:szCs w:val="24"/>
        </w:rPr>
        <w:t>tates, the MFRPA Board, and the PFP were reviewed and incorporated into a final draft. The final draft standards were provided to all participating state agencies for review before the MFRPA Board voted on accepting proposed revisions</w:t>
      </w:r>
      <w:r w:rsidR="00A66B7F">
        <w:rPr>
          <w:rFonts w:ascii="Times New Roman" w:hAnsi="Times New Roman"/>
          <w:szCs w:val="24"/>
        </w:rPr>
        <w:t>.</w:t>
      </w:r>
    </w:p>
    <w:p w:rsidR="00B069D1" w:rsidP="0000779B" w:rsidRDefault="00B069D1" w14:paraId="49E8F932" w14:textId="77777777">
      <w:pPr>
        <w:rPr>
          <w:rFonts w:ascii="Candara" w:hAnsi="Candara"/>
          <w:color w:val="1F497D"/>
          <w:szCs w:val="24"/>
        </w:rPr>
      </w:pPr>
    </w:p>
    <w:p w:rsidR="008A22D9" w:rsidRDefault="008A22D9" w14:paraId="68C0891B" w14:textId="77777777">
      <w:pPr>
        <w:widowControl w:val="0"/>
        <w:tabs>
          <w:tab w:val="left" w:pos="-1440"/>
          <w:tab w:val="left" w:pos="540"/>
        </w:tabs>
        <w:ind w:left="540" w:hanging="540"/>
        <w:rPr>
          <w:rFonts w:ascii="Times New Roman" w:hAnsi="Times New Roman"/>
          <w:b/>
        </w:rPr>
      </w:pPr>
      <w:r w:rsidRPr="001054ED">
        <w:rPr>
          <w:rFonts w:ascii="Times New Roman" w:hAnsi="Times New Roman"/>
        </w:rPr>
        <w:t>9.</w:t>
      </w:r>
      <w:r>
        <w:rPr>
          <w:rFonts w:ascii="Times New Roman" w:hAnsi="Times New Roman"/>
          <w:b/>
        </w:rPr>
        <w:tab/>
      </w:r>
      <w:r w:rsidRPr="001054ED">
        <w:rPr>
          <w:rFonts w:ascii="Times New Roman" w:hAnsi="Times New Roman"/>
          <w:u w:val="single"/>
        </w:rPr>
        <w:t>Explanation of any Payment of Gift to Respondents</w:t>
      </w:r>
    </w:p>
    <w:p w:rsidR="008A22D9" w:rsidRDefault="008A22D9" w14:paraId="3D58BBF5" w14:textId="77777777">
      <w:pPr>
        <w:ind w:left="540"/>
        <w:rPr>
          <w:rFonts w:ascii="Times New Roman" w:hAnsi="Times New Roman"/>
        </w:rPr>
      </w:pPr>
    </w:p>
    <w:p w:rsidR="00007B06" w:rsidRDefault="00007B06" w14:paraId="102F761B" w14:textId="77777777">
      <w:pPr>
        <w:ind w:left="540"/>
        <w:rPr>
          <w:rFonts w:ascii="Times New Roman" w:hAnsi="Times New Roman"/>
        </w:rPr>
      </w:pPr>
      <w:r>
        <w:rPr>
          <w:rFonts w:ascii="Times New Roman" w:hAnsi="Times New Roman"/>
        </w:rPr>
        <w:t>No gift or payment is offered to respondents for completing the information collection. The standards do correspond to a grant program that conforms to federal regulations.</w:t>
      </w:r>
    </w:p>
    <w:p w:rsidR="00007B06" w:rsidRDefault="00007B06" w14:paraId="07D2A3F5" w14:textId="77777777">
      <w:pPr>
        <w:ind w:left="540"/>
        <w:rPr>
          <w:rFonts w:ascii="Times New Roman" w:hAnsi="Times New Roman"/>
        </w:rPr>
      </w:pPr>
    </w:p>
    <w:p w:rsidRPr="00086714" w:rsidR="00B230CE" w:rsidRDefault="00B230CE" w14:paraId="36E89FAF" w14:textId="7DA0B07B">
      <w:pPr>
        <w:ind w:left="540"/>
        <w:rPr>
          <w:rFonts w:ascii="Times New Roman" w:hAnsi="Times New Roman"/>
        </w:rPr>
      </w:pPr>
      <w:r w:rsidRPr="00DC4C98">
        <w:rPr>
          <w:rFonts w:ascii="Times New Roman" w:hAnsi="Times New Roman"/>
        </w:rPr>
        <w:t xml:space="preserve">States can apply for a cooperative agreement allowing them to </w:t>
      </w:r>
      <w:r w:rsidRPr="00C97A8C">
        <w:rPr>
          <w:rFonts w:ascii="Times New Roman" w:hAnsi="Times New Roman"/>
        </w:rPr>
        <w:t>receive up to $300,000</w:t>
      </w:r>
      <w:r w:rsidRPr="00DC4C98">
        <w:rPr>
          <w:rFonts w:ascii="Times New Roman" w:hAnsi="Times New Roman"/>
        </w:rPr>
        <w:t xml:space="preserve"> each year for a period of five years to work toward significant conformance with the ten standards. </w:t>
      </w:r>
      <w:r w:rsidRPr="00DC4C98" w:rsidR="006332E4">
        <w:rPr>
          <w:rFonts w:ascii="Times New Roman" w:hAnsi="Times New Roman"/>
        </w:rPr>
        <w:t>The States will conduct a baseline self-</w:t>
      </w:r>
      <w:r w:rsidRPr="00086714" w:rsidR="008D5CBD">
        <w:rPr>
          <w:rFonts w:ascii="Times New Roman" w:hAnsi="Times New Roman"/>
        </w:rPr>
        <w:t xml:space="preserve">assessment and </w:t>
      </w:r>
      <w:r w:rsidRPr="00086714" w:rsidR="007B6456">
        <w:rPr>
          <w:rFonts w:ascii="Times New Roman" w:hAnsi="Times New Roman"/>
        </w:rPr>
        <w:t>develop a</w:t>
      </w:r>
      <w:r w:rsidRPr="00086714" w:rsidR="008D5CBD">
        <w:rPr>
          <w:rFonts w:ascii="Times New Roman" w:hAnsi="Times New Roman"/>
        </w:rPr>
        <w:t xml:space="preserve"> strategic plan</w:t>
      </w:r>
      <w:r w:rsidRPr="00086714" w:rsidR="006332E4">
        <w:rPr>
          <w:rFonts w:ascii="Times New Roman" w:hAnsi="Times New Roman"/>
        </w:rPr>
        <w:t xml:space="preserve"> to fully implement the program standard </w:t>
      </w:r>
      <w:r w:rsidR="00E07E23">
        <w:rPr>
          <w:rFonts w:ascii="Times New Roman" w:hAnsi="Times New Roman"/>
        </w:rPr>
        <w:t>within</w:t>
      </w:r>
      <w:r w:rsidRPr="00086714" w:rsidR="00E07E23">
        <w:rPr>
          <w:rFonts w:ascii="Times New Roman" w:hAnsi="Times New Roman"/>
        </w:rPr>
        <w:t xml:space="preserve"> </w:t>
      </w:r>
      <w:r w:rsidRPr="00086714" w:rsidR="006332E4">
        <w:rPr>
          <w:rFonts w:ascii="Times New Roman" w:hAnsi="Times New Roman"/>
        </w:rPr>
        <w:t>five years</w:t>
      </w:r>
      <w:r w:rsidR="00737B29">
        <w:rPr>
          <w:rFonts w:ascii="Times New Roman" w:hAnsi="Times New Roman"/>
        </w:rPr>
        <w:t xml:space="preserve">. </w:t>
      </w:r>
      <w:r w:rsidR="00C40410">
        <w:rPr>
          <w:rFonts w:ascii="Times New Roman" w:hAnsi="Times New Roman"/>
        </w:rPr>
        <w:t>States apply for additional funds for continual improvement and enhancement projects for the next awarded cooperative agreement being offered to support the enrollment of the MFRPS</w:t>
      </w:r>
      <w:r w:rsidR="00E07E23">
        <w:rPr>
          <w:rFonts w:ascii="Times New Roman" w:hAnsi="Times New Roman"/>
        </w:rPr>
        <w:t xml:space="preserve"> after they have met full conformance</w:t>
      </w:r>
      <w:r w:rsidR="00C40410">
        <w:rPr>
          <w:rFonts w:ascii="Times New Roman" w:hAnsi="Times New Roman"/>
        </w:rPr>
        <w:t xml:space="preserve">. </w:t>
      </w:r>
    </w:p>
    <w:p w:rsidR="00EE3CF7" w:rsidRDefault="00EE3CF7" w14:paraId="52284F87" w14:textId="77777777">
      <w:pPr>
        <w:ind w:left="540"/>
        <w:rPr>
          <w:rFonts w:ascii="Times New Roman" w:hAnsi="Times New Roman"/>
        </w:rPr>
      </w:pPr>
    </w:p>
    <w:p w:rsidRPr="007E63C8" w:rsidR="008A22D9" w:rsidP="007E63C8" w:rsidRDefault="008A22D9" w14:paraId="3CDE3813" w14:textId="77777777">
      <w:pPr>
        <w:widowControl w:val="0"/>
        <w:tabs>
          <w:tab w:val="left" w:pos="-1440"/>
          <w:tab w:val="left" w:pos="540"/>
        </w:tabs>
        <w:ind w:left="540" w:hanging="540"/>
      </w:pPr>
      <w:r w:rsidRPr="00CD233E">
        <w:rPr>
          <w:rFonts w:ascii="Times New Roman" w:hAnsi="Times New Roman"/>
        </w:rPr>
        <w:t>10</w:t>
      </w:r>
      <w:r w:rsidRPr="007E63C8">
        <w:t>.</w:t>
      </w:r>
      <w:r w:rsidRPr="007E63C8">
        <w:rPr>
          <w:b/>
        </w:rPr>
        <w:tab/>
      </w:r>
      <w:r w:rsidRPr="00832A62">
        <w:rPr>
          <w:rFonts w:ascii="Times New Roman" w:hAnsi="Times New Roman"/>
          <w:u w:val="single"/>
        </w:rPr>
        <w:t>Assurance of Confidentiality Provided to Respondent</w:t>
      </w:r>
      <w:r w:rsidRPr="00832A62" w:rsidR="003239BB">
        <w:rPr>
          <w:rFonts w:ascii="Times New Roman" w:hAnsi="Times New Roman"/>
          <w:u w:val="single"/>
        </w:rPr>
        <w:t>s</w:t>
      </w:r>
    </w:p>
    <w:p w:rsidRPr="007E63C8" w:rsidR="007E63C8" w:rsidP="007E63C8" w:rsidRDefault="007E63C8" w14:paraId="3419F623" w14:textId="77777777">
      <w:pPr>
        <w:widowControl w:val="0"/>
        <w:tabs>
          <w:tab w:val="left" w:pos="-1440"/>
          <w:tab w:val="left" w:pos="540"/>
        </w:tabs>
        <w:ind w:left="540" w:hanging="540"/>
      </w:pPr>
    </w:p>
    <w:p w:rsidR="008A22D9" w:rsidRDefault="007E63C8" w14:paraId="63047042" w14:textId="77777777">
      <w:pPr>
        <w:ind w:left="540"/>
        <w:rPr>
          <w:rFonts w:ascii="Times New Roman" w:hAnsi="Times New Roman"/>
        </w:rPr>
      </w:pPr>
      <w:r>
        <w:rPr>
          <w:rFonts w:ascii="Times New Roman" w:hAnsi="Times New Roman"/>
        </w:rPr>
        <w:t>This ICR is not collecting personally identifiable information (PII) or other dat</w:t>
      </w:r>
      <w:r w:rsidR="007D13D0">
        <w:rPr>
          <w:rFonts w:ascii="Times New Roman" w:hAnsi="Times New Roman"/>
        </w:rPr>
        <w:t>a</w:t>
      </w:r>
      <w:r>
        <w:rPr>
          <w:rFonts w:ascii="Times New Roman" w:hAnsi="Times New Roman"/>
        </w:rPr>
        <w:t xml:space="preserve"> of a personal nature.  Information collected is about state food safety programs through the </w:t>
      </w:r>
      <w:r>
        <w:rPr>
          <w:rFonts w:ascii="Times New Roman" w:hAnsi="Times New Roman"/>
        </w:rPr>
        <w:lastRenderedPageBreak/>
        <w:t>Manufactured Food Regulatory Program Standards which ranges from information about state laws and regulations to procedures for dealing with foodborne illness outbreaks.</w:t>
      </w:r>
    </w:p>
    <w:p w:rsidR="007E63C8" w:rsidRDefault="007E63C8" w14:paraId="3C53821F" w14:textId="77777777">
      <w:pPr>
        <w:ind w:left="540"/>
        <w:rPr>
          <w:rFonts w:ascii="Times New Roman" w:hAnsi="Times New Roman"/>
        </w:rPr>
      </w:pPr>
    </w:p>
    <w:p w:rsidR="008A22D9" w:rsidP="00F7201A" w:rsidRDefault="008A22D9" w14:paraId="6AB3B98C" w14:textId="77777777">
      <w:pPr>
        <w:pStyle w:val="BodyTextIndent"/>
      </w:pPr>
      <w:r>
        <w:t>Under the Freedom of Information Act (FOIA) (5 U.S.C. 552), the public has broad access to government documents</w:t>
      </w:r>
      <w:r w:rsidR="00737B29">
        <w:t xml:space="preserve">. </w:t>
      </w:r>
      <w:r>
        <w:t>However, FOIA provides certain exemptions from mandatory public disclosure of government records (5 U.S.C. 552(b)(1-9)</w:t>
      </w:r>
      <w:r w:rsidR="00737B29">
        <w:t xml:space="preserve">. </w:t>
      </w:r>
      <w:r>
        <w:t>FDA will make the fullest possible disclosure of records to the public, consistent with the rights of individuals to privacy, the property rights of persons in trade and confidential commercial or financ</w:t>
      </w:r>
      <w:r w:rsidR="00F7201A">
        <w:t xml:space="preserve">ial information. </w:t>
      </w:r>
    </w:p>
    <w:p w:rsidR="007E63C8" w:rsidP="00F7201A" w:rsidRDefault="007E63C8" w14:paraId="0BE22B58" w14:textId="77777777">
      <w:pPr>
        <w:pStyle w:val="BodyTextIndent"/>
      </w:pPr>
    </w:p>
    <w:p w:rsidR="007E63C8" w:rsidP="00F7201A" w:rsidRDefault="007E63C8" w14:paraId="7EA58FA1" w14:textId="77777777">
      <w:pPr>
        <w:pStyle w:val="BodyTextIndent"/>
      </w:pPr>
      <w:r>
        <w:t>In preparing this Supporting Statement, FDA staff consulted with the FDA Privacy Office to ensure appropriate handling of information collected.  FDA determined that PII is not collected, and the Privacy Act does not apply to this collection.</w:t>
      </w:r>
    </w:p>
    <w:p w:rsidR="008A22D9" w:rsidRDefault="008A22D9" w14:paraId="30840A53" w14:textId="77777777">
      <w:pPr>
        <w:rPr>
          <w:rFonts w:ascii="Times New Roman" w:hAnsi="Times New Roman"/>
        </w:rPr>
      </w:pPr>
    </w:p>
    <w:p w:rsidR="008A22D9" w:rsidRDefault="008A22D9" w14:paraId="548CEF4A" w14:textId="77777777">
      <w:pPr>
        <w:widowControl w:val="0"/>
        <w:tabs>
          <w:tab w:val="left" w:pos="-1440"/>
          <w:tab w:val="left" w:pos="540"/>
        </w:tabs>
        <w:ind w:left="540" w:hanging="540"/>
        <w:rPr>
          <w:rFonts w:ascii="Times New Roman" w:hAnsi="Times New Roman"/>
          <w:b/>
        </w:rPr>
      </w:pPr>
      <w:r w:rsidRPr="001054ED">
        <w:rPr>
          <w:rFonts w:ascii="Times New Roman" w:hAnsi="Times New Roman"/>
        </w:rPr>
        <w:t>11.</w:t>
      </w:r>
      <w:r>
        <w:rPr>
          <w:rFonts w:ascii="Times New Roman" w:hAnsi="Times New Roman"/>
          <w:b/>
        </w:rPr>
        <w:tab/>
      </w:r>
      <w:r w:rsidRPr="001054ED">
        <w:rPr>
          <w:rFonts w:ascii="Times New Roman" w:hAnsi="Times New Roman"/>
          <w:u w:val="single"/>
        </w:rPr>
        <w:t>Justification of Sensitive Questions</w:t>
      </w:r>
    </w:p>
    <w:p w:rsidR="008A22D9" w:rsidRDefault="008A22D9" w14:paraId="3DC4BB41" w14:textId="77777777">
      <w:pPr>
        <w:rPr>
          <w:rFonts w:ascii="Times New Roman" w:hAnsi="Times New Roman"/>
          <w:u w:val="single"/>
        </w:rPr>
      </w:pPr>
    </w:p>
    <w:p w:rsidR="008A22D9" w:rsidRDefault="008A22D9" w14:paraId="3F50907E" w14:textId="77777777">
      <w:pPr>
        <w:pStyle w:val="BodyTextIndent"/>
      </w:pPr>
      <w:r>
        <w:t>This information collection does not include questions pertaining to sexual behavior, attitude, religious beliefs, or any other matters that are commonly considered private or sensitive in nature.</w:t>
      </w:r>
    </w:p>
    <w:p w:rsidR="008A22D9" w:rsidRDefault="008A22D9" w14:paraId="10C4107C" w14:textId="77777777">
      <w:pPr>
        <w:rPr>
          <w:rFonts w:ascii="Times New Roman" w:hAnsi="Times New Roman"/>
        </w:rPr>
      </w:pPr>
    </w:p>
    <w:p w:rsidR="008A22D9" w:rsidRDefault="008A22D9" w14:paraId="4CB92F4D" w14:textId="77777777">
      <w:pPr>
        <w:widowControl w:val="0"/>
        <w:tabs>
          <w:tab w:val="left" w:pos="-1440"/>
          <w:tab w:val="left" w:pos="540"/>
        </w:tabs>
        <w:ind w:left="540" w:hanging="540"/>
        <w:rPr>
          <w:rFonts w:ascii="Times New Roman" w:hAnsi="Times New Roman"/>
          <w:b/>
          <w:u w:val="single"/>
        </w:rPr>
      </w:pPr>
      <w:r w:rsidRPr="001054ED">
        <w:rPr>
          <w:rFonts w:ascii="Times New Roman" w:hAnsi="Times New Roman"/>
        </w:rPr>
        <w:t>12.</w:t>
      </w:r>
      <w:r>
        <w:rPr>
          <w:rFonts w:ascii="Times New Roman" w:hAnsi="Times New Roman"/>
          <w:b/>
        </w:rPr>
        <w:tab/>
      </w:r>
      <w:r w:rsidRPr="001054ED">
        <w:rPr>
          <w:rFonts w:ascii="Times New Roman" w:hAnsi="Times New Roman"/>
          <w:u w:val="single"/>
        </w:rPr>
        <w:t>Estimate</w:t>
      </w:r>
      <w:r w:rsidRPr="001054ED" w:rsidR="003239BB">
        <w:rPr>
          <w:rFonts w:ascii="Times New Roman" w:hAnsi="Times New Roman"/>
          <w:u w:val="single"/>
        </w:rPr>
        <w:t>s</w:t>
      </w:r>
      <w:r w:rsidRPr="001054ED">
        <w:rPr>
          <w:rFonts w:ascii="Times New Roman" w:hAnsi="Times New Roman"/>
          <w:u w:val="single"/>
        </w:rPr>
        <w:t xml:space="preserve"> of </w:t>
      </w:r>
      <w:r w:rsidRPr="001054ED" w:rsidR="003239BB">
        <w:rPr>
          <w:rFonts w:ascii="Times New Roman" w:hAnsi="Times New Roman"/>
          <w:u w:val="single"/>
        </w:rPr>
        <w:t xml:space="preserve">Annualized </w:t>
      </w:r>
      <w:r w:rsidRPr="001054ED">
        <w:rPr>
          <w:rFonts w:ascii="Times New Roman" w:hAnsi="Times New Roman"/>
          <w:u w:val="single"/>
        </w:rPr>
        <w:t xml:space="preserve">Burden </w:t>
      </w:r>
      <w:r w:rsidRPr="001054ED" w:rsidR="003239BB">
        <w:rPr>
          <w:rFonts w:ascii="Times New Roman" w:hAnsi="Times New Roman"/>
          <w:u w:val="single"/>
        </w:rPr>
        <w:t>Hours and Costs</w:t>
      </w:r>
    </w:p>
    <w:p w:rsidR="00DE322B" w:rsidRDefault="00DE322B" w14:paraId="77587709" w14:textId="77777777">
      <w:pPr>
        <w:widowControl w:val="0"/>
        <w:tabs>
          <w:tab w:val="left" w:pos="-1440"/>
          <w:tab w:val="left" w:pos="540"/>
        </w:tabs>
        <w:ind w:left="540" w:hanging="540"/>
        <w:rPr>
          <w:rFonts w:ascii="Times New Roman" w:hAnsi="Times New Roman"/>
          <w:b/>
          <w:u w:val="single"/>
        </w:rPr>
      </w:pPr>
    </w:p>
    <w:p w:rsidR="00DE322B" w:rsidRDefault="00DE322B" w14:paraId="17DB7AD9" w14:textId="77777777">
      <w:pPr>
        <w:widowControl w:val="0"/>
        <w:tabs>
          <w:tab w:val="left" w:pos="-1440"/>
          <w:tab w:val="left" w:pos="540"/>
        </w:tabs>
        <w:ind w:left="540" w:hanging="540"/>
        <w:rPr>
          <w:rFonts w:ascii="Times New Roman" w:hAnsi="Times New Roman"/>
          <w:b/>
        </w:rPr>
      </w:pPr>
      <w:r w:rsidRPr="001054ED">
        <w:rPr>
          <w:rFonts w:ascii="Times New Roman" w:hAnsi="Times New Roman"/>
          <w:b/>
        </w:rPr>
        <w:tab/>
      </w:r>
      <w:r w:rsidRPr="001054ED">
        <w:rPr>
          <w:rFonts w:ascii="Times New Roman" w:hAnsi="Times New Roman"/>
        </w:rPr>
        <w:t>12a.</w:t>
      </w:r>
      <w:r w:rsidRPr="001054ED">
        <w:rPr>
          <w:rFonts w:ascii="Times New Roman" w:hAnsi="Times New Roman"/>
          <w:b/>
        </w:rPr>
        <w:tab/>
      </w:r>
      <w:r w:rsidRPr="001054ED">
        <w:rPr>
          <w:rFonts w:ascii="Times New Roman" w:hAnsi="Times New Roman"/>
          <w:u w:val="single"/>
        </w:rPr>
        <w:t>Annualized Hour Burden Estimate</w:t>
      </w:r>
    </w:p>
    <w:p w:rsidR="008A22D9" w:rsidRDefault="008A22D9" w14:paraId="6B83EE81" w14:textId="3F955A36">
      <w:pPr>
        <w:widowControl w:val="0"/>
        <w:ind w:left="540"/>
        <w:rPr>
          <w:rFonts w:ascii="Times New Roman" w:hAnsi="Times New Roman"/>
        </w:rPr>
      </w:pPr>
    </w:p>
    <w:p w:rsidRPr="00CE7C92" w:rsidR="005D11B4" w:rsidRDefault="008A22D9" w14:paraId="3F61CC91" w14:textId="4BE4BE36">
      <w:pPr>
        <w:ind w:left="540"/>
        <w:rPr>
          <w:rFonts w:ascii="Times New Roman" w:hAnsi="Times New Roman"/>
        </w:rPr>
      </w:pPr>
      <w:r>
        <w:rPr>
          <w:rFonts w:ascii="Times New Roman" w:hAnsi="Times New Roman"/>
        </w:rPr>
        <w:t xml:space="preserve">The total estimated </w:t>
      </w:r>
      <w:r w:rsidRPr="00E07E23">
        <w:rPr>
          <w:rFonts w:ascii="Times New Roman" w:hAnsi="Times New Roman"/>
        </w:rPr>
        <w:t xml:space="preserve">annual reporting </w:t>
      </w:r>
      <w:r w:rsidRPr="00E07E23" w:rsidR="00CF5329">
        <w:rPr>
          <w:rFonts w:ascii="Times New Roman" w:hAnsi="Times New Roman"/>
        </w:rPr>
        <w:t xml:space="preserve">burden </w:t>
      </w:r>
      <w:r w:rsidR="00CE7C92">
        <w:rPr>
          <w:rFonts w:ascii="Times New Roman" w:hAnsi="Times New Roman"/>
        </w:rPr>
        <w:t xml:space="preserve">was determined by capturing the average amount of time for each respondent </w:t>
      </w:r>
      <w:r w:rsidR="00992757">
        <w:rPr>
          <w:rFonts w:ascii="Times New Roman" w:hAnsi="Times New Roman"/>
        </w:rPr>
        <w:t>to</w:t>
      </w:r>
      <w:r w:rsidR="00CE7C92">
        <w:rPr>
          <w:rFonts w:ascii="Times New Roman" w:hAnsi="Times New Roman"/>
        </w:rPr>
        <w:t xml:space="preserve"> assess the current state of the program and work toward implementation of each of the ten standards contained in the MFRPS</w:t>
      </w:r>
      <w:r w:rsidR="00737B29">
        <w:rPr>
          <w:rFonts w:ascii="Times New Roman" w:hAnsi="Times New Roman"/>
        </w:rPr>
        <w:t xml:space="preserve">. </w:t>
      </w:r>
      <w:r w:rsidR="00274C59">
        <w:rPr>
          <w:rFonts w:ascii="Times New Roman" w:hAnsi="Times New Roman"/>
        </w:rPr>
        <w:t xml:space="preserve">The hours per respondent will </w:t>
      </w:r>
      <w:r w:rsidR="00DC4C98">
        <w:rPr>
          <w:rFonts w:ascii="Times New Roman" w:hAnsi="Times New Roman"/>
        </w:rPr>
        <w:t xml:space="preserve">average </w:t>
      </w:r>
      <w:r w:rsidR="00274C59">
        <w:rPr>
          <w:rFonts w:ascii="Times New Roman" w:hAnsi="Times New Roman"/>
        </w:rPr>
        <w:t>the same to account for continu</w:t>
      </w:r>
      <w:r w:rsidR="00992757">
        <w:rPr>
          <w:rFonts w:ascii="Times New Roman" w:hAnsi="Times New Roman"/>
        </w:rPr>
        <w:t>al</w:t>
      </w:r>
      <w:r w:rsidR="00274C59">
        <w:rPr>
          <w:rFonts w:ascii="Times New Roman" w:hAnsi="Times New Roman"/>
        </w:rPr>
        <w:t xml:space="preserve"> improvement and self-sufficiency in the program.</w:t>
      </w:r>
    </w:p>
    <w:p w:rsidR="00EE3CF7" w:rsidRDefault="00EE3CF7" w14:paraId="078D1228" w14:textId="49FE4526">
      <w:pPr>
        <w:ind w:left="540"/>
        <w:rPr>
          <w:rFonts w:ascii="Times New Roman" w:hAnsi="Times New Roman"/>
          <w:sz w:val="22"/>
          <w:szCs w:val="22"/>
        </w:rPr>
      </w:pPr>
    </w:p>
    <w:p w:rsidR="00DC4BEF" w:rsidP="00832A62" w:rsidRDefault="00BB291C" w14:paraId="425C1229" w14:textId="409DA302">
      <w:pPr>
        <w:spacing w:line="480" w:lineRule="auto"/>
        <w:contextualSpacing/>
        <w:rPr>
          <w:rFonts w:ascii="Times New Roman" w:hAnsi="Times New Roman"/>
          <w:sz w:val="22"/>
          <w:szCs w:val="22"/>
        </w:rPr>
      </w:pPr>
      <w:r>
        <w:rPr>
          <w:rFonts w:ascii="Times New Roman" w:hAnsi="Times New Roman"/>
          <w:sz w:val="22"/>
          <w:szCs w:val="22"/>
        </w:rPr>
        <w:t xml:space="preserve">          </w:t>
      </w:r>
      <w:r w:rsidRPr="00B440CE" w:rsidR="00DC4BEF">
        <w:rPr>
          <w:rFonts w:ascii="Times New Roman" w:hAnsi="Times New Roman"/>
          <w:sz w:val="22"/>
          <w:szCs w:val="22"/>
        </w:rPr>
        <w:t>FDA estimates the burden of this collection of information as follows: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4"/>
        <w:gridCol w:w="1571"/>
        <w:gridCol w:w="1694"/>
        <w:gridCol w:w="1739"/>
        <w:gridCol w:w="1457"/>
        <w:gridCol w:w="1315"/>
      </w:tblGrid>
      <w:tr w:rsidRPr="00B440CE" w:rsidR="00FB7D9D" w:rsidTr="00EE3CF7" w14:paraId="546E576A" w14:textId="77777777">
        <w:trPr>
          <w:cantSplit/>
          <w:trHeight w:val="458"/>
          <w:tblHeader/>
        </w:trPr>
        <w:tc>
          <w:tcPr>
            <w:tcW w:w="5000" w:type="pct"/>
            <w:gridSpan w:val="6"/>
            <w:shd w:val="clear" w:color="auto" w:fill="auto"/>
          </w:tcPr>
          <w:p w:rsidRPr="00832A62" w:rsidR="00FB7D9D" w:rsidP="00921616" w:rsidRDefault="00FB7D9D" w14:paraId="4337F2E7" w14:textId="77777777">
            <w:pPr>
              <w:keepNext/>
              <w:jc w:val="center"/>
              <w:rPr>
                <w:rFonts w:ascii="Times New Roman" w:hAnsi="Times New Roman"/>
                <w:sz w:val="20"/>
              </w:rPr>
            </w:pPr>
            <w:r w:rsidRPr="00832A62">
              <w:rPr>
                <w:rFonts w:ascii="Times New Roman" w:hAnsi="Times New Roman"/>
                <w:sz w:val="20"/>
              </w:rPr>
              <w:t>Table 1.—Estimated Annual Reporting Burden</w:t>
            </w:r>
            <w:r w:rsidRPr="00832A62">
              <w:rPr>
                <w:rFonts w:ascii="Times New Roman" w:hAnsi="Times New Roman"/>
                <w:sz w:val="20"/>
                <w:vertAlign w:val="superscript"/>
              </w:rPr>
              <w:t>1</w:t>
            </w:r>
          </w:p>
        </w:tc>
      </w:tr>
      <w:tr w:rsidRPr="00B440CE" w:rsidR="00DC4BEF" w:rsidTr="00921616" w14:paraId="5BEE72F5" w14:textId="77777777">
        <w:trPr>
          <w:cantSplit/>
          <w:trHeight w:val="805"/>
          <w:tblHeader/>
        </w:trPr>
        <w:tc>
          <w:tcPr>
            <w:tcW w:w="842" w:type="pct"/>
            <w:shd w:val="clear" w:color="auto" w:fill="auto"/>
          </w:tcPr>
          <w:p w:rsidRPr="00832A62" w:rsidR="00DC4BEF" w:rsidP="00921616" w:rsidRDefault="00DC4BEF" w14:paraId="281C72FF" w14:textId="14855058">
            <w:pPr>
              <w:keepNext/>
              <w:jc w:val="center"/>
              <w:rPr>
                <w:rFonts w:ascii="Times New Roman" w:hAnsi="Times New Roman"/>
                <w:sz w:val="20"/>
              </w:rPr>
            </w:pPr>
            <w:r w:rsidRPr="00832A62">
              <w:rPr>
                <w:rFonts w:ascii="Times New Roman" w:hAnsi="Times New Roman"/>
                <w:sz w:val="20"/>
              </w:rPr>
              <w:t>Respondent</w:t>
            </w:r>
            <w:r w:rsidRPr="00832A62" w:rsidR="00DC43DD">
              <w:rPr>
                <w:rFonts w:ascii="Times New Roman" w:hAnsi="Times New Roman"/>
                <w:sz w:val="20"/>
              </w:rPr>
              <w:t>; Activity</w:t>
            </w:r>
          </w:p>
          <w:p w:rsidRPr="00832A62" w:rsidR="00DC4BEF" w:rsidP="00921616" w:rsidRDefault="00DC4BEF" w14:paraId="66747348" w14:textId="77777777">
            <w:pPr>
              <w:keepNext/>
              <w:jc w:val="center"/>
              <w:rPr>
                <w:rFonts w:ascii="Times New Roman" w:hAnsi="Times New Roman"/>
                <w:sz w:val="20"/>
              </w:rPr>
            </w:pPr>
          </w:p>
        </w:tc>
        <w:tc>
          <w:tcPr>
            <w:tcW w:w="840" w:type="pct"/>
            <w:shd w:val="clear" w:color="auto" w:fill="auto"/>
          </w:tcPr>
          <w:p w:rsidRPr="00832A62" w:rsidR="00DC4BEF" w:rsidP="00921616" w:rsidRDefault="00DC4BEF" w14:paraId="1C777869" w14:textId="77777777">
            <w:pPr>
              <w:keepNext/>
              <w:jc w:val="center"/>
              <w:rPr>
                <w:rFonts w:ascii="Times New Roman" w:hAnsi="Times New Roman"/>
                <w:sz w:val="20"/>
              </w:rPr>
            </w:pPr>
            <w:r w:rsidRPr="00832A62">
              <w:rPr>
                <w:rFonts w:ascii="Times New Roman" w:hAnsi="Times New Roman"/>
                <w:sz w:val="20"/>
              </w:rPr>
              <w:t>No. of Respondents</w:t>
            </w:r>
          </w:p>
          <w:p w:rsidRPr="00832A62" w:rsidR="00DC4BEF" w:rsidP="00921616" w:rsidRDefault="00DC4BEF" w14:paraId="2E531329" w14:textId="77777777">
            <w:pPr>
              <w:keepNext/>
              <w:tabs>
                <w:tab w:val="left" w:pos="1000"/>
              </w:tabs>
              <w:jc w:val="center"/>
              <w:rPr>
                <w:rFonts w:ascii="Times New Roman" w:hAnsi="Times New Roman"/>
                <w:sz w:val="20"/>
              </w:rPr>
            </w:pPr>
          </w:p>
        </w:tc>
        <w:tc>
          <w:tcPr>
            <w:tcW w:w="906" w:type="pct"/>
            <w:shd w:val="clear" w:color="auto" w:fill="auto"/>
          </w:tcPr>
          <w:p w:rsidRPr="00832A62" w:rsidR="00DC4BEF" w:rsidP="00921616" w:rsidRDefault="00DC4BEF" w14:paraId="4412DC84" w14:textId="77777777">
            <w:pPr>
              <w:keepNext/>
              <w:jc w:val="center"/>
              <w:rPr>
                <w:rFonts w:ascii="Times New Roman" w:hAnsi="Times New Roman"/>
                <w:sz w:val="20"/>
              </w:rPr>
            </w:pPr>
            <w:r w:rsidRPr="00832A62">
              <w:rPr>
                <w:rFonts w:ascii="Times New Roman" w:hAnsi="Times New Roman"/>
                <w:bCs/>
                <w:sz w:val="20"/>
              </w:rPr>
              <w:t>No. of Responses per Respondent</w:t>
            </w:r>
          </w:p>
          <w:p w:rsidRPr="00832A62" w:rsidR="00DC4BEF" w:rsidP="00921616" w:rsidRDefault="00DC4BEF" w14:paraId="22A29EE1" w14:textId="77777777">
            <w:pPr>
              <w:keepNext/>
              <w:jc w:val="center"/>
              <w:rPr>
                <w:rFonts w:ascii="Times New Roman" w:hAnsi="Times New Roman"/>
                <w:sz w:val="20"/>
              </w:rPr>
            </w:pPr>
          </w:p>
        </w:tc>
        <w:tc>
          <w:tcPr>
            <w:tcW w:w="930" w:type="pct"/>
            <w:shd w:val="clear" w:color="auto" w:fill="auto"/>
          </w:tcPr>
          <w:p w:rsidRPr="00832A62" w:rsidR="00DC4BEF" w:rsidP="00921616" w:rsidRDefault="00DC4BEF" w14:paraId="53B5D8EE" w14:textId="77777777">
            <w:pPr>
              <w:keepNext/>
              <w:jc w:val="center"/>
              <w:rPr>
                <w:rFonts w:ascii="Times New Roman" w:hAnsi="Times New Roman"/>
                <w:sz w:val="20"/>
              </w:rPr>
            </w:pPr>
            <w:r w:rsidRPr="00832A62">
              <w:rPr>
                <w:rFonts w:ascii="Times New Roman" w:hAnsi="Times New Roman"/>
                <w:sz w:val="20"/>
              </w:rPr>
              <w:t>Total Annual Responses</w:t>
            </w:r>
          </w:p>
          <w:p w:rsidRPr="00832A62" w:rsidR="00DC4BEF" w:rsidP="00921616" w:rsidRDefault="00DC4BEF" w14:paraId="02500F56" w14:textId="77777777">
            <w:pPr>
              <w:keepNext/>
              <w:jc w:val="center"/>
              <w:rPr>
                <w:rFonts w:ascii="Times New Roman" w:hAnsi="Times New Roman"/>
                <w:sz w:val="20"/>
              </w:rPr>
            </w:pPr>
          </w:p>
        </w:tc>
        <w:tc>
          <w:tcPr>
            <w:tcW w:w="779" w:type="pct"/>
            <w:shd w:val="clear" w:color="auto" w:fill="auto"/>
          </w:tcPr>
          <w:p w:rsidRPr="00832A62" w:rsidR="00DC4BEF" w:rsidP="00921616" w:rsidRDefault="00DC4BEF" w14:paraId="546906CB" w14:textId="77777777">
            <w:pPr>
              <w:keepNext/>
              <w:jc w:val="center"/>
              <w:rPr>
                <w:rFonts w:ascii="Times New Roman" w:hAnsi="Times New Roman"/>
                <w:sz w:val="20"/>
              </w:rPr>
            </w:pPr>
            <w:r w:rsidRPr="00832A62">
              <w:rPr>
                <w:rFonts w:ascii="Times New Roman" w:hAnsi="Times New Roman"/>
                <w:bCs/>
                <w:sz w:val="20"/>
              </w:rPr>
              <w:t>Average Burden per Response</w:t>
            </w:r>
          </w:p>
          <w:p w:rsidRPr="00832A62" w:rsidR="00DC4BEF" w:rsidP="00921616" w:rsidRDefault="00DC4BEF" w14:paraId="5C368E8F" w14:textId="77777777">
            <w:pPr>
              <w:keepNext/>
              <w:tabs>
                <w:tab w:val="left" w:pos="650"/>
              </w:tabs>
              <w:jc w:val="center"/>
              <w:rPr>
                <w:rFonts w:ascii="Times New Roman" w:hAnsi="Times New Roman"/>
                <w:sz w:val="20"/>
              </w:rPr>
            </w:pPr>
          </w:p>
        </w:tc>
        <w:tc>
          <w:tcPr>
            <w:tcW w:w="703" w:type="pct"/>
            <w:shd w:val="clear" w:color="auto" w:fill="auto"/>
          </w:tcPr>
          <w:p w:rsidRPr="00832A62" w:rsidR="00DC4BEF" w:rsidP="00921616" w:rsidRDefault="00DC4BEF" w14:paraId="3407FB9C" w14:textId="77777777">
            <w:pPr>
              <w:keepNext/>
              <w:jc w:val="center"/>
              <w:rPr>
                <w:rFonts w:ascii="Times New Roman" w:hAnsi="Times New Roman"/>
                <w:sz w:val="20"/>
              </w:rPr>
            </w:pPr>
            <w:r w:rsidRPr="00832A62">
              <w:rPr>
                <w:rFonts w:ascii="Times New Roman" w:hAnsi="Times New Roman"/>
                <w:sz w:val="20"/>
              </w:rPr>
              <w:t>Total Hours</w:t>
            </w:r>
          </w:p>
          <w:p w:rsidRPr="00832A62" w:rsidR="00DC4BEF" w:rsidP="00921616" w:rsidRDefault="00DC4BEF" w14:paraId="314C6C96" w14:textId="77777777">
            <w:pPr>
              <w:keepNext/>
              <w:jc w:val="center"/>
              <w:rPr>
                <w:rFonts w:ascii="Times New Roman" w:hAnsi="Times New Roman"/>
                <w:sz w:val="20"/>
              </w:rPr>
            </w:pPr>
          </w:p>
        </w:tc>
      </w:tr>
      <w:tr w:rsidRPr="00B440CE" w:rsidR="00DC4BEF" w:rsidTr="00921616" w14:paraId="241A996B" w14:textId="77777777">
        <w:trPr>
          <w:cantSplit/>
          <w:trHeight w:val="1064"/>
          <w:tblHeader/>
        </w:trPr>
        <w:tc>
          <w:tcPr>
            <w:tcW w:w="842" w:type="pct"/>
            <w:shd w:val="clear" w:color="auto" w:fill="auto"/>
          </w:tcPr>
          <w:p w:rsidRPr="00832A62" w:rsidR="00DC4BEF" w:rsidP="00921616" w:rsidRDefault="00DC4BEF" w14:paraId="65BD113F" w14:textId="350583B0">
            <w:pPr>
              <w:keepNext/>
              <w:rPr>
                <w:rFonts w:ascii="Times New Roman" w:hAnsi="Times New Roman"/>
                <w:sz w:val="20"/>
              </w:rPr>
            </w:pPr>
            <w:r w:rsidRPr="00832A62">
              <w:rPr>
                <w:rFonts w:ascii="Times New Roman" w:hAnsi="Times New Roman"/>
                <w:sz w:val="20"/>
              </w:rPr>
              <w:t>State</w:t>
            </w:r>
            <w:r w:rsidRPr="00832A62" w:rsidR="00D3687A">
              <w:rPr>
                <w:rFonts w:ascii="Times New Roman" w:hAnsi="Times New Roman"/>
                <w:sz w:val="20"/>
              </w:rPr>
              <w:t xml:space="preserve"> Governments; Development and reporting of data consistent with MFRPS</w:t>
            </w:r>
          </w:p>
        </w:tc>
        <w:tc>
          <w:tcPr>
            <w:tcW w:w="840" w:type="pct"/>
            <w:shd w:val="clear" w:color="auto" w:fill="auto"/>
          </w:tcPr>
          <w:p w:rsidRPr="00832A62" w:rsidR="00DC4BEF" w:rsidP="00921616" w:rsidRDefault="00DC4BEF" w14:paraId="214B7B79" w14:textId="77777777">
            <w:pPr>
              <w:keepNext/>
              <w:tabs>
                <w:tab w:val="left" w:pos="1000"/>
              </w:tabs>
              <w:jc w:val="center"/>
              <w:rPr>
                <w:rFonts w:ascii="Times New Roman" w:hAnsi="Times New Roman"/>
                <w:sz w:val="20"/>
              </w:rPr>
            </w:pPr>
          </w:p>
          <w:p w:rsidRPr="00832A62" w:rsidR="00DC4BEF" w:rsidP="00921616" w:rsidRDefault="00DC4BEF" w14:paraId="67CCA5C6" w14:textId="08AED7C9">
            <w:pPr>
              <w:keepNext/>
              <w:tabs>
                <w:tab w:val="left" w:pos="1000"/>
              </w:tabs>
              <w:jc w:val="center"/>
              <w:rPr>
                <w:rFonts w:ascii="Times New Roman" w:hAnsi="Times New Roman"/>
                <w:sz w:val="20"/>
              </w:rPr>
            </w:pPr>
            <w:r w:rsidRPr="00832A62">
              <w:rPr>
                <w:rFonts w:ascii="Times New Roman" w:hAnsi="Times New Roman"/>
                <w:sz w:val="20"/>
              </w:rPr>
              <w:t>4</w:t>
            </w:r>
            <w:r w:rsidRPr="00832A62" w:rsidR="00CB6425">
              <w:rPr>
                <w:rFonts w:ascii="Times New Roman" w:hAnsi="Times New Roman"/>
                <w:sz w:val="20"/>
              </w:rPr>
              <w:t>4</w:t>
            </w:r>
          </w:p>
        </w:tc>
        <w:tc>
          <w:tcPr>
            <w:tcW w:w="906" w:type="pct"/>
            <w:shd w:val="clear" w:color="auto" w:fill="auto"/>
          </w:tcPr>
          <w:p w:rsidRPr="00832A62" w:rsidR="00DC4BEF" w:rsidP="00921616" w:rsidRDefault="00DC4BEF" w14:paraId="31008E73" w14:textId="77777777">
            <w:pPr>
              <w:keepNext/>
              <w:jc w:val="center"/>
              <w:rPr>
                <w:rFonts w:ascii="Times New Roman" w:hAnsi="Times New Roman"/>
                <w:sz w:val="20"/>
              </w:rPr>
            </w:pPr>
          </w:p>
          <w:p w:rsidRPr="00832A62" w:rsidR="00DC4BEF" w:rsidP="00921616" w:rsidRDefault="00DC4BEF" w14:paraId="7D658C5E" w14:textId="77777777">
            <w:pPr>
              <w:keepNext/>
              <w:jc w:val="center"/>
              <w:rPr>
                <w:rFonts w:ascii="Times New Roman" w:hAnsi="Times New Roman"/>
                <w:bCs/>
                <w:sz w:val="20"/>
              </w:rPr>
            </w:pPr>
            <w:r w:rsidRPr="00832A62">
              <w:rPr>
                <w:rFonts w:ascii="Times New Roman" w:hAnsi="Times New Roman"/>
                <w:sz w:val="20"/>
              </w:rPr>
              <w:t>1</w:t>
            </w:r>
          </w:p>
        </w:tc>
        <w:tc>
          <w:tcPr>
            <w:tcW w:w="930" w:type="pct"/>
            <w:shd w:val="clear" w:color="auto" w:fill="auto"/>
          </w:tcPr>
          <w:p w:rsidRPr="00832A62" w:rsidR="00DC4BEF" w:rsidP="00921616" w:rsidRDefault="00DC4BEF" w14:paraId="3BC6F400" w14:textId="77777777">
            <w:pPr>
              <w:keepNext/>
              <w:jc w:val="center"/>
              <w:rPr>
                <w:rFonts w:ascii="Times New Roman" w:hAnsi="Times New Roman"/>
                <w:sz w:val="20"/>
              </w:rPr>
            </w:pPr>
          </w:p>
          <w:p w:rsidRPr="00832A62" w:rsidR="00DC4BEF" w:rsidP="00921616" w:rsidRDefault="00DC4BEF" w14:paraId="5A8B7598" w14:textId="36990207">
            <w:pPr>
              <w:keepNext/>
              <w:jc w:val="center"/>
              <w:rPr>
                <w:rFonts w:ascii="Times New Roman" w:hAnsi="Times New Roman"/>
                <w:sz w:val="20"/>
              </w:rPr>
            </w:pPr>
            <w:r w:rsidRPr="00832A62">
              <w:rPr>
                <w:rFonts w:ascii="Times New Roman" w:hAnsi="Times New Roman"/>
                <w:sz w:val="20"/>
              </w:rPr>
              <w:t>4</w:t>
            </w:r>
            <w:r w:rsidRPr="00832A62" w:rsidR="00CB6425">
              <w:rPr>
                <w:rFonts w:ascii="Times New Roman" w:hAnsi="Times New Roman"/>
                <w:sz w:val="20"/>
              </w:rPr>
              <w:t>4</w:t>
            </w:r>
          </w:p>
        </w:tc>
        <w:tc>
          <w:tcPr>
            <w:tcW w:w="779" w:type="pct"/>
            <w:shd w:val="clear" w:color="auto" w:fill="auto"/>
          </w:tcPr>
          <w:p w:rsidRPr="00832A62" w:rsidR="00DC4BEF" w:rsidP="00921616" w:rsidRDefault="00DC4BEF" w14:paraId="332B4101" w14:textId="77777777">
            <w:pPr>
              <w:keepNext/>
              <w:tabs>
                <w:tab w:val="left" w:pos="650"/>
              </w:tabs>
              <w:jc w:val="center"/>
              <w:rPr>
                <w:rFonts w:ascii="Times New Roman" w:hAnsi="Times New Roman"/>
                <w:sz w:val="20"/>
              </w:rPr>
            </w:pPr>
          </w:p>
          <w:p w:rsidRPr="00832A62" w:rsidR="00DC4BEF" w:rsidP="00921616" w:rsidRDefault="00DC4BEF" w14:paraId="1D6995B6" w14:textId="77777777">
            <w:pPr>
              <w:keepNext/>
              <w:tabs>
                <w:tab w:val="left" w:pos="650"/>
              </w:tabs>
              <w:jc w:val="center"/>
              <w:rPr>
                <w:rFonts w:ascii="Times New Roman" w:hAnsi="Times New Roman"/>
                <w:bCs/>
                <w:sz w:val="20"/>
              </w:rPr>
            </w:pPr>
            <w:r w:rsidRPr="00832A62">
              <w:rPr>
                <w:rFonts w:ascii="Times New Roman" w:hAnsi="Times New Roman"/>
                <w:sz w:val="20"/>
              </w:rPr>
              <w:t>569</w:t>
            </w:r>
          </w:p>
        </w:tc>
        <w:tc>
          <w:tcPr>
            <w:tcW w:w="703" w:type="pct"/>
            <w:shd w:val="clear" w:color="auto" w:fill="auto"/>
          </w:tcPr>
          <w:p w:rsidRPr="00832A62" w:rsidR="00DC4BEF" w:rsidP="00921616" w:rsidRDefault="00DC4BEF" w14:paraId="76A1327E" w14:textId="77777777">
            <w:pPr>
              <w:keepNext/>
              <w:jc w:val="center"/>
              <w:rPr>
                <w:rFonts w:ascii="Times New Roman" w:hAnsi="Times New Roman"/>
                <w:sz w:val="20"/>
              </w:rPr>
            </w:pPr>
          </w:p>
          <w:p w:rsidRPr="00832A62" w:rsidR="00DC4BEF" w:rsidP="00921616" w:rsidRDefault="00CB6425" w14:paraId="211B01A3" w14:textId="26EF8F60">
            <w:pPr>
              <w:keepNext/>
              <w:jc w:val="center"/>
              <w:rPr>
                <w:rFonts w:ascii="Times New Roman" w:hAnsi="Times New Roman"/>
                <w:sz w:val="20"/>
              </w:rPr>
            </w:pPr>
            <w:r w:rsidRPr="00832A62">
              <w:rPr>
                <w:rFonts w:ascii="Times New Roman" w:hAnsi="Times New Roman"/>
                <w:sz w:val="20"/>
              </w:rPr>
              <w:t>25,036</w:t>
            </w:r>
          </w:p>
        </w:tc>
      </w:tr>
    </w:tbl>
    <w:p w:rsidR="001A1EB6" w:rsidP="00832A62" w:rsidRDefault="00DC4BEF" w14:paraId="466804B3" w14:textId="27F09E64">
      <w:pPr>
        <w:spacing w:after="240"/>
        <w:rPr>
          <w:rFonts w:ascii="Times New Roman" w:hAnsi="Times New Roman"/>
          <w:sz w:val="22"/>
          <w:szCs w:val="22"/>
        </w:rPr>
      </w:pPr>
      <w:r w:rsidRPr="00B440CE">
        <w:rPr>
          <w:rFonts w:ascii="Times New Roman" w:hAnsi="Times New Roman"/>
          <w:sz w:val="22"/>
          <w:szCs w:val="22"/>
          <w:vertAlign w:val="superscript"/>
        </w:rPr>
        <w:t>1</w:t>
      </w:r>
      <w:r w:rsidRPr="00B440CE">
        <w:rPr>
          <w:rFonts w:ascii="Times New Roman" w:hAnsi="Times New Roman"/>
          <w:sz w:val="22"/>
          <w:szCs w:val="22"/>
        </w:rPr>
        <w:t>There are no capital costs or operating and maintenance costs associated with this collection of information.</w:t>
      </w:r>
    </w:p>
    <w:p w:rsidR="00FB7D9D" w:rsidRDefault="00140C8D" w14:paraId="6612E314" w14:textId="33FCB511">
      <w:pPr>
        <w:ind w:left="720"/>
        <w:rPr>
          <w:rFonts w:ascii="Times New Roman" w:hAnsi="Times New Roman"/>
          <w:sz w:val="22"/>
          <w:szCs w:val="22"/>
        </w:rPr>
      </w:pPr>
      <w:r>
        <w:rPr>
          <w:rFonts w:ascii="Times New Roman" w:hAnsi="Times New Roman"/>
          <w:sz w:val="22"/>
          <w:szCs w:val="22"/>
        </w:rPr>
        <w:lastRenderedPageBreak/>
        <w:t>T</w:t>
      </w:r>
      <w:r w:rsidRPr="00B440CE" w:rsidR="00FB7D9D">
        <w:rPr>
          <w:rFonts w:ascii="Times New Roman" w:hAnsi="Times New Roman"/>
          <w:sz w:val="22"/>
          <w:szCs w:val="22"/>
        </w:rPr>
        <w:t xml:space="preserve">he </w:t>
      </w:r>
      <w:r w:rsidR="001A1EB6">
        <w:rPr>
          <w:rFonts w:ascii="Times New Roman" w:hAnsi="Times New Roman"/>
          <w:sz w:val="22"/>
          <w:szCs w:val="22"/>
        </w:rPr>
        <w:t xml:space="preserve">annual </w:t>
      </w:r>
      <w:r w:rsidRPr="00B440CE" w:rsidR="00FB7D9D">
        <w:rPr>
          <w:rFonts w:ascii="Times New Roman" w:hAnsi="Times New Roman"/>
          <w:sz w:val="22"/>
          <w:szCs w:val="22"/>
        </w:rPr>
        <w:t xml:space="preserve">recordkeeping </w:t>
      </w:r>
      <w:r>
        <w:rPr>
          <w:rFonts w:ascii="Times New Roman" w:hAnsi="Times New Roman"/>
          <w:sz w:val="22"/>
          <w:szCs w:val="22"/>
        </w:rPr>
        <w:t xml:space="preserve">burden associated with </w:t>
      </w:r>
      <w:r w:rsidRPr="00B440CE" w:rsidR="00FB7D9D">
        <w:rPr>
          <w:rFonts w:ascii="Times New Roman" w:hAnsi="Times New Roman"/>
          <w:sz w:val="22"/>
          <w:szCs w:val="22"/>
        </w:rPr>
        <w:t xml:space="preserve">documenting conformance to the program standards </w:t>
      </w:r>
      <w:r>
        <w:rPr>
          <w:rFonts w:ascii="Times New Roman" w:hAnsi="Times New Roman"/>
          <w:sz w:val="22"/>
          <w:szCs w:val="22"/>
        </w:rPr>
        <w:t>average to 40 hours per record</w:t>
      </w:r>
      <w:r w:rsidRPr="00B440CE" w:rsidR="00FB7D9D">
        <w:rPr>
          <w:rFonts w:ascii="Times New Roman" w:hAnsi="Times New Roman"/>
          <w:sz w:val="22"/>
          <w:szCs w:val="22"/>
        </w:rPr>
        <w:t>.</w:t>
      </w:r>
    </w:p>
    <w:p w:rsidR="001A1EB6" w:rsidP="00CD233E" w:rsidRDefault="001A1EB6" w14:paraId="00BB2209" w14:textId="77777777">
      <w:pPr>
        <w:ind w:left="720"/>
        <w:rPr>
          <w:rFonts w:ascii="Times New Roman" w:hAnsi="Times New Roman"/>
          <w:sz w:val="22"/>
          <w:szCs w:val="22"/>
        </w:rPr>
      </w:pP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530"/>
        <w:gridCol w:w="1715"/>
        <w:gridCol w:w="1709"/>
        <w:gridCol w:w="1442"/>
        <w:gridCol w:w="1339"/>
      </w:tblGrid>
      <w:tr w:rsidRPr="00B440CE" w:rsidR="00FB7D9D" w:rsidTr="00EE3CF7" w14:paraId="2B0E097A" w14:textId="77777777">
        <w:trPr>
          <w:trHeight w:val="458"/>
          <w:tblHeader/>
        </w:trPr>
        <w:tc>
          <w:tcPr>
            <w:tcW w:w="5000" w:type="pct"/>
            <w:gridSpan w:val="6"/>
            <w:shd w:val="clear" w:color="auto" w:fill="auto"/>
          </w:tcPr>
          <w:p w:rsidRPr="00832A62" w:rsidR="00FB7D9D" w:rsidP="00921616" w:rsidRDefault="00FB7D9D" w14:paraId="757BD7AD" w14:textId="7BFA0DDB">
            <w:pPr>
              <w:keepNext/>
              <w:jc w:val="center"/>
              <w:rPr>
                <w:rFonts w:ascii="Times New Roman" w:hAnsi="Times New Roman"/>
                <w:sz w:val="20"/>
              </w:rPr>
            </w:pPr>
            <w:r w:rsidRPr="00832A62">
              <w:rPr>
                <w:rFonts w:ascii="Times New Roman" w:hAnsi="Times New Roman"/>
                <w:sz w:val="20"/>
              </w:rPr>
              <w:t>Table 2.—Estimated Annual Recordkeeping Burden</w:t>
            </w:r>
          </w:p>
        </w:tc>
      </w:tr>
      <w:tr w:rsidRPr="00B440CE" w:rsidR="00DC4BEF" w:rsidTr="00832A62" w14:paraId="178114A8" w14:textId="77777777">
        <w:trPr>
          <w:trHeight w:val="1133"/>
          <w:tblHeader/>
        </w:trPr>
        <w:tc>
          <w:tcPr>
            <w:tcW w:w="864" w:type="pct"/>
            <w:shd w:val="clear" w:color="auto" w:fill="auto"/>
          </w:tcPr>
          <w:p w:rsidRPr="00832A62" w:rsidR="00DC4BEF" w:rsidRDefault="00DC4BEF" w14:paraId="71BD13BE" w14:textId="77777777">
            <w:pPr>
              <w:keepNext/>
              <w:jc w:val="center"/>
              <w:rPr>
                <w:rFonts w:ascii="Times New Roman" w:hAnsi="Times New Roman"/>
                <w:sz w:val="20"/>
              </w:rPr>
            </w:pPr>
            <w:r w:rsidRPr="00832A62">
              <w:rPr>
                <w:rFonts w:ascii="Times New Roman" w:hAnsi="Times New Roman"/>
                <w:sz w:val="20"/>
              </w:rPr>
              <w:t>Respondent</w:t>
            </w:r>
          </w:p>
        </w:tc>
        <w:tc>
          <w:tcPr>
            <w:tcW w:w="818" w:type="pct"/>
            <w:shd w:val="clear" w:color="auto" w:fill="auto"/>
          </w:tcPr>
          <w:p w:rsidRPr="00832A62" w:rsidR="00DC4BEF" w:rsidRDefault="00DC4BEF" w14:paraId="30AEB8CE" w14:textId="77777777">
            <w:pPr>
              <w:keepNext/>
              <w:jc w:val="center"/>
              <w:rPr>
                <w:rFonts w:ascii="Times New Roman" w:hAnsi="Times New Roman"/>
                <w:sz w:val="20"/>
              </w:rPr>
            </w:pPr>
            <w:r w:rsidRPr="00832A62">
              <w:rPr>
                <w:rFonts w:ascii="Times New Roman" w:hAnsi="Times New Roman"/>
                <w:sz w:val="20"/>
              </w:rPr>
              <w:t>No. of Recordkeepers</w:t>
            </w:r>
          </w:p>
        </w:tc>
        <w:tc>
          <w:tcPr>
            <w:tcW w:w="917" w:type="pct"/>
            <w:shd w:val="clear" w:color="auto" w:fill="auto"/>
          </w:tcPr>
          <w:p w:rsidRPr="00832A62" w:rsidR="00DC4BEF" w:rsidRDefault="00DC4BEF" w14:paraId="731D7405" w14:textId="77777777">
            <w:pPr>
              <w:keepNext/>
              <w:jc w:val="center"/>
              <w:rPr>
                <w:rFonts w:ascii="Times New Roman" w:hAnsi="Times New Roman"/>
                <w:sz w:val="20"/>
              </w:rPr>
            </w:pPr>
            <w:r w:rsidRPr="00832A62">
              <w:rPr>
                <w:rFonts w:ascii="Times New Roman" w:hAnsi="Times New Roman"/>
                <w:bCs/>
                <w:sz w:val="20"/>
              </w:rPr>
              <w:t>No. of Records per Recordkeeper</w:t>
            </w:r>
          </w:p>
        </w:tc>
        <w:tc>
          <w:tcPr>
            <w:tcW w:w="914" w:type="pct"/>
            <w:shd w:val="clear" w:color="auto" w:fill="auto"/>
          </w:tcPr>
          <w:p w:rsidRPr="00832A62" w:rsidR="00DC4BEF" w:rsidRDefault="00DC4BEF" w14:paraId="271F5C41" w14:textId="77777777">
            <w:pPr>
              <w:keepNext/>
              <w:jc w:val="center"/>
              <w:rPr>
                <w:rFonts w:ascii="Times New Roman" w:hAnsi="Times New Roman"/>
                <w:sz w:val="20"/>
              </w:rPr>
            </w:pPr>
            <w:r w:rsidRPr="00832A62">
              <w:rPr>
                <w:rFonts w:ascii="Times New Roman" w:hAnsi="Times New Roman"/>
                <w:sz w:val="20"/>
              </w:rPr>
              <w:t>Total Annual Records</w:t>
            </w:r>
          </w:p>
        </w:tc>
        <w:tc>
          <w:tcPr>
            <w:tcW w:w="771" w:type="pct"/>
            <w:shd w:val="clear" w:color="auto" w:fill="auto"/>
          </w:tcPr>
          <w:p w:rsidRPr="00832A62" w:rsidR="00DC4BEF" w:rsidRDefault="00DC4BEF" w14:paraId="4C099030" w14:textId="56C4C675">
            <w:pPr>
              <w:keepNext/>
              <w:jc w:val="center"/>
              <w:rPr>
                <w:rFonts w:ascii="Times New Roman" w:hAnsi="Times New Roman"/>
                <w:sz w:val="20"/>
              </w:rPr>
            </w:pPr>
            <w:r w:rsidRPr="00832A62">
              <w:rPr>
                <w:rFonts w:ascii="Times New Roman" w:hAnsi="Times New Roman"/>
                <w:bCs/>
                <w:sz w:val="20"/>
              </w:rPr>
              <w:t>Average Burden per Record</w:t>
            </w:r>
            <w:r w:rsidRPr="00832A62" w:rsidR="00B440CE">
              <w:rPr>
                <w:rFonts w:ascii="Times New Roman" w:hAnsi="Times New Roman"/>
                <w:bCs/>
                <w:sz w:val="20"/>
              </w:rPr>
              <w:t>-</w:t>
            </w:r>
            <w:r w:rsidRPr="00832A62">
              <w:rPr>
                <w:rFonts w:ascii="Times New Roman" w:hAnsi="Times New Roman"/>
                <w:bCs/>
                <w:sz w:val="20"/>
              </w:rPr>
              <w:t>keeping</w:t>
            </w:r>
          </w:p>
        </w:tc>
        <w:tc>
          <w:tcPr>
            <w:tcW w:w="716" w:type="pct"/>
            <w:shd w:val="clear" w:color="auto" w:fill="auto"/>
          </w:tcPr>
          <w:p w:rsidRPr="00832A62" w:rsidR="00DC4BEF" w:rsidRDefault="00DC4BEF" w14:paraId="1E074224" w14:textId="77777777">
            <w:pPr>
              <w:keepNext/>
              <w:jc w:val="center"/>
              <w:rPr>
                <w:rFonts w:ascii="Times New Roman" w:hAnsi="Times New Roman"/>
                <w:sz w:val="20"/>
              </w:rPr>
            </w:pPr>
            <w:r w:rsidRPr="00832A62">
              <w:rPr>
                <w:rFonts w:ascii="Times New Roman" w:hAnsi="Times New Roman"/>
                <w:sz w:val="20"/>
              </w:rPr>
              <w:t>Total Hours</w:t>
            </w:r>
          </w:p>
        </w:tc>
      </w:tr>
      <w:tr w:rsidRPr="00B440CE" w:rsidR="00DC4BEF" w:rsidTr="00921616" w14:paraId="1B6E6467" w14:textId="77777777">
        <w:trPr>
          <w:trHeight w:val="1340"/>
        </w:trPr>
        <w:tc>
          <w:tcPr>
            <w:tcW w:w="864" w:type="pct"/>
            <w:shd w:val="clear" w:color="auto" w:fill="auto"/>
          </w:tcPr>
          <w:p w:rsidRPr="00832A62" w:rsidR="00DC4BEF" w:rsidP="00921616" w:rsidRDefault="00DC4BEF" w14:paraId="4284894E" w14:textId="45154C16">
            <w:pPr>
              <w:keepNext/>
              <w:jc w:val="center"/>
              <w:rPr>
                <w:rFonts w:ascii="Times New Roman" w:hAnsi="Times New Roman"/>
                <w:sz w:val="20"/>
              </w:rPr>
            </w:pPr>
            <w:r w:rsidRPr="00832A62">
              <w:rPr>
                <w:rFonts w:ascii="Times New Roman" w:hAnsi="Times New Roman"/>
                <w:sz w:val="20"/>
              </w:rPr>
              <w:t xml:space="preserve">State </w:t>
            </w:r>
            <w:r w:rsidRPr="00832A62" w:rsidR="00D3687A">
              <w:rPr>
                <w:rFonts w:ascii="Times New Roman" w:hAnsi="Times New Roman"/>
                <w:sz w:val="20"/>
              </w:rPr>
              <w:t>Governments; Maintenance of data records consistent with the MFRPS</w:t>
            </w:r>
          </w:p>
        </w:tc>
        <w:tc>
          <w:tcPr>
            <w:tcW w:w="818" w:type="pct"/>
            <w:shd w:val="clear" w:color="auto" w:fill="auto"/>
          </w:tcPr>
          <w:p w:rsidRPr="00832A62" w:rsidR="00DC4BEF" w:rsidP="00921616" w:rsidRDefault="00DC4BEF" w14:paraId="71944E0C" w14:textId="77777777">
            <w:pPr>
              <w:keepNext/>
              <w:jc w:val="center"/>
              <w:rPr>
                <w:rFonts w:ascii="Times New Roman" w:hAnsi="Times New Roman"/>
                <w:sz w:val="20"/>
              </w:rPr>
            </w:pPr>
          </w:p>
          <w:p w:rsidRPr="00832A62" w:rsidR="00DC4BEF" w:rsidP="00921616" w:rsidRDefault="00DC4BEF" w14:paraId="618324F5" w14:textId="4F5C1EA1">
            <w:pPr>
              <w:keepNext/>
              <w:jc w:val="center"/>
              <w:rPr>
                <w:rFonts w:ascii="Times New Roman" w:hAnsi="Times New Roman"/>
                <w:sz w:val="20"/>
              </w:rPr>
            </w:pPr>
            <w:r w:rsidRPr="00832A62">
              <w:rPr>
                <w:rFonts w:ascii="Times New Roman" w:hAnsi="Times New Roman"/>
                <w:sz w:val="20"/>
              </w:rPr>
              <w:t>4</w:t>
            </w:r>
            <w:r w:rsidRPr="00832A62" w:rsidR="00CB6425">
              <w:rPr>
                <w:rFonts w:ascii="Times New Roman" w:hAnsi="Times New Roman"/>
                <w:sz w:val="20"/>
              </w:rPr>
              <w:t>4</w:t>
            </w:r>
          </w:p>
        </w:tc>
        <w:tc>
          <w:tcPr>
            <w:tcW w:w="917" w:type="pct"/>
            <w:shd w:val="clear" w:color="auto" w:fill="auto"/>
          </w:tcPr>
          <w:p w:rsidRPr="00832A62" w:rsidR="00DC4BEF" w:rsidP="00921616" w:rsidRDefault="00DC4BEF" w14:paraId="7F2DBBEB" w14:textId="77777777">
            <w:pPr>
              <w:keepNext/>
              <w:jc w:val="center"/>
              <w:rPr>
                <w:rFonts w:ascii="Times New Roman" w:hAnsi="Times New Roman"/>
                <w:sz w:val="20"/>
              </w:rPr>
            </w:pPr>
          </w:p>
          <w:p w:rsidRPr="00832A62" w:rsidR="00DC4BEF" w:rsidP="00921616" w:rsidRDefault="00DC4BEF" w14:paraId="188F1C50" w14:textId="77777777">
            <w:pPr>
              <w:keepNext/>
              <w:jc w:val="center"/>
              <w:rPr>
                <w:rFonts w:ascii="Times New Roman" w:hAnsi="Times New Roman"/>
                <w:sz w:val="20"/>
              </w:rPr>
            </w:pPr>
            <w:r w:rsidRPr="00832A62">
              <w:rPr>
                <w:rFonts w:ascii="Times New Roman" w:hAnsi="Times New Roman"/>
                <w:sz w:val="20"/>
              </w:rPr>
              <w:t>10</w:t>
            </w:r>
          </w:p>
        </w:tc>
        <w:tc>
          <w:tcPr>
            <w:tcW w:w="914" w:type="pct"/>
            <w:shd w:val="clear" w:color="auto" w:fill="auto"/>
          </w:tcPr>
          <w:p w:rsidRPr="00832A62" w:rsidR="00DC4BEF" w:rsidP="00921616" w:rsidRDefault="00DC4BEF" w14:paraId="453DD8F1" w14:textId="77777777">
            <w:pPr>
              <w:keepNext/>
              <w:jc w:val="center"/>
              <w:rPr>
                <w:rFonts w:ascii="Times New Roman" w:hAnsi="Times New Roman"/>
                <w:sz w:val="20"/>
              </w:rPr>
            </w:pPr>
          </w:p>
          <w:p w:rsidRPr="00832A62" w:rsidR="00DC4BEF" w:rsidP="00921616" w:rsidRDefault="00DC4BEF" w14:paraId="70B87202" w14:textId="1C0FEEA4">
            <w:pPr>
              <w:keepNext/>
              <w:jc w:val="center"/>
              <w:rPr>
                <w:rFonts w:ascii="Times New Roman" w:hAnsi="Times New Roman"/>
                <w:sz w:val="20"/>
              </w:rPr>
            </w:pPr>
            <w:r w:rsidRPr="00832A62">
              <w:rPr>
                <w:rFonts w:ascii="Times New Roman" w:hAnsi="Times New Roman"/>
                <w:sz w:val="20"/>
              </w:rPr>
              <w:t>4</w:t>
            </w:r>
            <w:r w:rsidRPr="00832A62" w:rsidR="00CB6425">
              <w:rPr>
                <w:rFonts w:ascii="Times New Roman" w:hAnsi="Times New Roman"/>
                <w:sz w:val="20"/>
              </w:rPr>
              <w:t>4</w:t>
            </w:r>
            <w:r w:rsidRPr="00832A62">
              <w:rPr>
                <w:rFonts w:ascii="Times New Roman" w:hAnsi="Times New Roman"/>
                <w:sz w:val="20"/>
              </w:rPr>
              <w:t>0</w:t>
            </w:r>
          </w:p>
        </w:tc>
        <w:tc>
          <w:tcPr>
            <w:tcW w:w="771" w:type="pct"/>
            <w:shd w:val="clear" w:color="auto" w:fill="auto"/>
          </w:tcPr>
          <w:p w:rsidRPr="00832A62" w:rsidR="00DC4BEF" w:rsidP="00921616" w:rsidRDefault="00DC4BEF" w14:paraId="6EFABC79" w14:textId="77777777">
            <w:pPr>
              <w:keepNext/>
              <w:jc w:val="center"/>
              <w:rPr>
                <w:rFonts w:ascii="Times New Roman" w:hAnsi="Times New Roman"/>
                <w:sz w:val="20"/>
              </w:rPr>
            </w:pPr>
          </w:p>
          <w:p w:rsidRPr="00832A62" w:rsidR="00DC4BEF" w:rsidP="00921616" w:rsidRDefault="00DC4BEF" w14:paraId="241D50A4" w14:textId="77777777">
            <w:pPr>
              <w:keepNext/>
              <w:jc w:val="center"/>
              <w:rPr>
                <w:rFonts w:ascii="Times New Roman" w:hAnsi="Times New Roman"/>
                <w:sz w:val="20"/>
              </w:rPr>
            </w:pPr>
            <w:r w:rsidRPr="00832A62">
              <w:rPr>
                <w:rFonts w:ascii="Times New Roman" w:hAnsi="Times New Roman"/>
                <w:sz w:val="20"/>
              </w:rPr>
              <w:t>40</w:t>
            </w:r>
          </w:p>
        </w:tc>
        <w:tc>
          <w:tcPr>
            <w:tcW w:w="716" w:type="pct"/>
            <w:shd w:val="clear" w:color="auto" w:fill="auto"/>
          </w:tcPr>
          <w:p w:rsidRPr="00832A62" w:rsidR="00DC4BEF" w:rsidP="00921616" w:rsidRDefault="00DC4BEF" w14:paraId="13AB5F99" w14:textId="77777777">
            <w:pPr>
              <w:keepNext/>
              <w:jc w:val="center"/>
              <w:rPr>
                <w:rFonts w:ascii="Times New Roman" w:hAnsi="Times New Roman"/>
                <w:sz w:val="20"/>
              </w:rPr>
            </w:pPr>
          </w:p>
          <w:p w:rsidRPr="00832A62" w:rsidR="00DC4BEF" w:rsidP="00921616" w:rsidRDefault="00DC4BEF" w14:paraId="307F3704" w14:textId="2A42CF7D">
            <w:pPr>
              <w:keepNext/>
              <w:jc w:val="center"/>
              <w:rPr>
                <w:rFonts w:ascii="Times New Roman" w:hAnsi="Times New Roman"/>
                <w:sz w:val="20"/>
              </w:rPr>
            </w:pPr>
            <w:r w:rsidRPr="00832A62">
              <w:rPr>
                <w:rFonts w:ascii="Times New Roman" w:hAnsi="Times New Roman"/>
                <w:sz w:val="20"/>
              </w:rPr>
              <w:t>17,</w:t>
            </w:r>
            <w:r w:rsidRPr="00832A62" w:rsidR="00CB6425">
              <w:rPr>
                <w:rFonts w:ascii="Times New Roman" w:hAnsi="Times New Roman"/>
                <w:sz w:val="20"/>
              </w:rPr>
              <w:t>6</w:t>
            </w:r>
            <w:r w:rsidRPr="00832A62">
              <w:rPr>
                <w:rFonts w:ascii="Times New Roman" w:hAnsi="Times New Roman"/>
                <w:sz w:val="20"/>
              </w:rPr>
              <w:t>00</w:t>
            </w:r>
          </w:p>
        </w:tc>
      </w:tr>
    </w:tbl>
    <w:p w:rsidRPr="00832A62" w:rsidR="00DC4BEF" w:rsidP="00832A62" w:rsidRDefault="00FB7D9D" w14:paraId="750E95FC" w14:textId="431283A2">
      <w:pPr>
        <w:rPr>
          <w:rFonts w:ascii="Times New Roman" w:hAnsi="Times New Roman"/>
          <w:sz w:val="20"/>
        </w:rPr>
      </w:pPr>
      <w:r w:rsidRPr="00832A62">
        <w:rPr>
          <w:rFonts w:ascii="Times New Roman" w:hAnsi="Times New Roman"/>
          <w:sz w:val="20"/>
          <w:vertAlign w:val="superscript"/>
        </w:rPr>
        <w:t>1</w:t>
      </w:r>
      <w:r w:rsidRPr="00832A62">
        <w:rPr>
          <w:rFonts w:ascii="Times New Roman" w:hAnsi="Times New Roman"/>
          <w:sz w:val="20"/>
        </w:rPr>
        <w:t>There are no capital costs or operating and maintenance costs associated with this collection of information.</w:t>
      </w:r>
    </w:p>
    <w:p w:rsidR="00192552" w:rsidP="00CD233E" w:rsidRDefault="00192552" w14:paraId="3850AF39" w14:textId="0A5F0197">
      <w:pPr>
        <w:widowControl w:val="0"/>
        <w:tabs>
          <w:tab w:val="left" w:pos="540"/>
        </w:tabs>
        <w:rPr>
          <w:rFonts w:ascii="Times New Roman" w:hAnsi="Times New Roman"/>
          <w:sz w:val="22"/>
          <w:szCs w:val="22"/>
          <w:vertAlign w:val="superscript"/>
        </w:rPr>
      </w:pPr>
    </w:p>
    <w:p w:rsidR="00C64A74" w:rsidP="00C64A74" w:rsidRDefault="00192552" w14:paraId="1F3B0751" w14:textId="5FD7953B">
      <w:pPr>
        <w:tabs>
          <w:tab w:val="left" w:pos="-720"/>
          <w:tab w:val="left" w:pos="0"/>
          <w:tab w:val="left" w:pos="1440"/>
          <w:tab w:val="left" w:pos="2160"/>
          <w:tab w:val="left" w:pos="3600"/>
          <w:tab w:val="left" w:pos="4320"/>
          <w:tab w:val="left" w:leader="dot" w:pos="4500"/>
        </w:tabs>
        <w:ind w:left="540" w:right="720"/>
        <w:rPr>
          <w:rFonts w:ascii="Times New Roman" w:hAnsi="Times New Roman"/>
        </w:rPr>
      </w:pPr>
      <w:r>
        <w:rPr>
          <w:rFonts w:ascii="Times New Roman" w:hAnsi="Times New Roman"/>
        </w:rPr>
        <w:t xml:space="preserve">One additional State has enrolled in the program since our last evaluation.  The total estimated burden for this collection has increased by 969 hours to 42,636 hours among 44 respondents, from a previous total of 41,667 hours among 43 respondents.  </w:t>
      </w:r>
      <w:r w:rsidR="00C64A74">
        <w:rPr>
          <w:rFonts w:ascii="Times New Roman" w:hAnsi="Times New Roman"/>
        </w:rPr>
        <w:t>Th</w:t>
      </w:r>
      <w:r w:rsidR="00D1464E">
        <w:rPr>
          <w:rFonts w:ascii="Times New Roman" w:hAnsi="Times New Roman"/>
        </w:rPr>
        <w:t>e burden</w:t>
      </w:r>
      <w:r w:rsidR="00C64A74">
        <w:rPr>
          <w:rFonts w:ascii="Times New Roman" w:hAnsi="Times New Roman"/>
        </w:rPr>
        <w:t xml:space="preserve"> increase is due to the one additional respondent.  </w:t>
      </w:r>
    </w:p>
    <w:p w:rsidRPr="00B440CE" w:rsidR="00DC4BEF" w:rsidRDefault="00DC4BEF" w14:paraId="4B9CEB31" w14:textId="77777777">
      <w:pPr>
        <w:widowControl w:val="0"/>
        <w:tabs>
          <w:tab w:val="left" w:pos="540"/>
        </w:tabs>
        <w:ind w:left="540" w:hanging="540"/>
        <w:rPr>
          <w:rFonts w:ascii="Times New Roman" w:hAnsi="Times New Roman"/>
          <w:sz w:val="22"/>
          <w:szCs w:val="22"/>
        </w:rPr>
      </w:pPr>
    </w:p>
    <w:p w:rsidR="008A22D9" w:rsidRDefault="008A22D9" w14:paraId="5DF7A060" w14:textId="77777777">
      <w:pPr>
        <w:widowControl w:val="0"/>
        <w:tabs>
          <w:tab w:val="left" w:pos="540"/>
        </w:tabs>
        <w:ind w:left="540" w:hanging="540"/>
        <w:rPr>
          <w:rFonts w:ascii="Times New Roman" w:hAnsi="Times New Roman"/>
          <w:b/>
          <w:u w:val="single"/>
        </w:rPr>
      </w:pPr>
      <w:r w:rsidRPr="001054ED">
        <w:rPr>
          <w:rFonts w:ascii="Times New Roman" w:hAnsi="Times New Roman"/>
        </w:rPr>
        <w:t>13.</w:t>
      </w:r>
      <w:r>
        <w:rPr>
          <w:rFonts w:ascii="Times New Roman" w:hAnsi="Times New Roman"/>
          <w:b/>
        </w:rPr>
        <w:tab/>
      </w:r>
      <w:r w:rsidRPr="001054ED">
        <w:rPr>
          <w:rFonts w:ascii="Times New Roman" w:hAnsi="Times New Roman"/>
          <w:u w:val="single"/>
        </w:rPr>
        <w:t>Estimate of the Other Total Annual Cost</w:t>
      </w:r>
      <w:r w:rsidRPr="001054ED" w:rsidR="00CC73B1">
        <w:rPr>
          <w:rFonts w:ascii="Times New Roman" w:hAnsi="Times New Roman"/>
          <w:u w:val="single"/>
        </w:rPr>
        <w:t xml:space="preserve">s </w:t>
      </w:r>
      <w:r w:rsidRPr="001054ED">
        <w:rPr>
          <w:rFonts w:ascii="Times New Roman" w:hAnsi="Times New Roman"/>
          <w:u w:val="single"/>
        </w:rPr>
        <w:t xml:space="preserve">to Respondents </w:t>
      </w:r>
      <w:r w:rsidRPr="001054ED" w:rsidR="00CC73B1">
        <w:rPr>
          <w:rFonts w:ascii="Times New Roman" w:hAnsi="Times New Roman"/>
          <w:u w:val="single"/>
        </w:rPr>
        <w:t>and/</w:t>
      </w:r>
      <w:r w:rsidRPr="001054ED">
        <w:rPr>
          <w:rFonts w:ascii="Times New Roman" w:hAnsi="Times New Roman"/>
          <w:u w:val="single"/>
        </w:rPr>
        <w:t>or Recordkeepers</w:t>
      </w:r>
      <w:r w:rsidRPr="001054ED" w:rsidR="00CC73B1">
        <w:rPr>
          <w:rFonts w:ascii="Times New Roman" w:hAnsi="Times New Roman"/>
          <w:u w:val="single"/>
        </w:rPr>
        <w:t>/Capital Costs</w:t>
      </w:r>
    </w:p>
    <w:p w:rsidR="00D3401D" w:rsidP="00D3401D" w:rsidRDefault="00D3401D" w14:paraId="7FD05A17" w14:textId="77777777">
      <w:pPr>
        <w:tabs>
          <w:tab w:val="left" w:pos="900"/>
        </w:tabs>
        <w:ind w:left="540"/>
        <w:rPr>
          <w:rFonts w:ascii="Times New Roman" w:hAnsi="Times New Roman"/>
          <w:b/>
        </w:rPr>
      </w:pPr>
    </w:p>
    <w:p w:rsidRPr="008F370F" w:rsidR="008A22D9" w:rsidP="008F370F" w:rsidRDefault="00DC6184" w14:paraId="2916EC06" w14:textId="0B86FCDA">
      <w:pPr>
        <w:tabs>
          <w:tab w:val="left" w:pos="900"/>
        </w:tabs>
        <w:ind w:left="540"/>
        <w:rPr>
          <w:rFonts w:ascii="Times New Roman" w:hAnsi="Times New Roman"/>
        </w:rPr>
      </w:pPr>
      <w:r w:rsidRPr="00D3401D">
        <w:rPr>
          <w:rFonts w:ascii="Times New Roman" w:hAnsi="Times New Roman"/>
        </w:rPr>
        <w:t>There are no capital</w:t>
      </w:r>
      <w:r w:rsidR="00DE322B">
        <w:rPr>
          <w:rFonts w:ascii="Times New Roman" w:hAnsi="Times New Roman"/>
        </w:rPr>
        <w:t xml:space="preserve">, start-up, </w:t>
      </w:r>
      <w:proofErr w:type="gramStart"/>
      <w:r w:rsidRPr="00D3401D">
        <w:rPr>
          <w:rFonts w:ascii="Times New Roman" w:hAnsi="Times New Roman"/>
        </w:rPr>
        <w:t>operating</w:t>
      </w:r>
      <w:proofErr w:type="gramEnd"/>
      <w:r w:rsidR="00DE322B">
        <w:rPr>
          <w:rFonts w:ascii="Times New Roman" w:hAnsi="Times New Roman"/>
        </w:rPr>
        <w:t xml:space="preserve"> or</w:t>
      </w:r>
      <w:r w:rsidRPr="00D3401D">
        <w:rPr>
          <w:rFonts w:ascii="Times New Roman" w:hAnsi="Times New Roman"/>
        </w:rPr>
        <w:t xml:space="preserve"> maintenance costs associated with this collection of </w:t>
      </w:r>
      <w:r w:rsidRPr="00A71B13">
        <w:rPr>
          <w:rFonts w:ascii="Times New Roman" w:hAnsi="Times New Roman"/>
        </w:rPr>
        <w:t>information</w:t>
      </w:r>
      <w:r w:rsidRPr="00A71B13" w:rsidR="00D3401D">
        <w:rPr>
          <w:rFonts w:ascii="Times New Roman" w:hAnsi="Times New Roman"/>
        </w:rPr>
        <w:t>.</w:t>
      </w:r>
    </w:p>
    <w:p w:rsidRPr="00A71B13" w:rsidR="008A22D9" w:rsidRDefault="008A22D9" w14:paraId="6F6978F2" w14:textId="77777777">
      <w:pPr>
        <w:tabs>
          <w:tab w:val="left" w:pos="-720"/>
          <w:tab w:val="left" w:pos="0"/>
          <w:tab w:val="left" w:pos="1440"/>
          <w:tab w:val="left" w:pos="2160"/>
          <w:tab w:val="left" w:pos="3600"/>
          <w:tab w:val="left" w:pos="4320"/>
          <w:tab w:val="left" w:leader="dot" w:pos="4500"/>
        </w:tabs>
        <w:ind w:left="720" w:right="720"/>
        <w:rPr>
          <w:rFonts w:ascii="Times New Roman" w:hAnsi="Times New Roman"/>
          <w:b/>
        </w:rPr>
      </w:pPr>
    </w:p>
    <w:p w:rsidRPr="008F370F" w:rsidR="008F370F" w:rsidP="008F370F" w:rsidRDefault="008F370F" w14:paraId="10EF502D" w14:textId="77777777">
      <w:pPr>
        <w:ind w:left="540" w:hanging="540"/>
        <w:rPr>
          <w:rFonts w:ascii="Times New Roman" w:hAnsi="Times New Roman" w:eastAsia="Calibri"/>
          <w:b/>
          <w:bCs/>
          <w:szCs w:val="24"/>
          <w:u w:val="single"/>
        </w:rPr>
      </w:pPr>
      <w:r w:rsidRPr="008F370F">
        <w:rPr>
          <w:rFonts w:ascii="Times New Roman" w:hAnsi="Times New Roman" w:eastAsia="Calibri"/>
          <w:color w:val="000000"/>
          <w:szCs w:val="24"/>
        </w:rPr>
        <w:t>14.</w:t>
      </w:r>
      <w:r w:rsidRPr="008F370F">
        <w:rPr>
          <w:rFonts w:ascii="Times New Roman" w:hAnsi="Times New Roman" w:eastAsia="Calibri"/>
          <w:b/>
          <w:bCs/>
          <w:color w:val="000000"/>
          <w:szCs w:val="24"/>
        </w:rPr>
        <w:t xml:space="preserve">    </w:t>
      </w:r>
      <w:r w:rsidRPr="008F370F">
        <w:rPr>
          <w:rFonts w:ascii="Times New Roman" w:hAnsi="Times New Roman" w:eastAsia="Calibri"/>
          <w:color w:val="000000"/>
          <w:szCs w:val="24"/>
          <w:u w:val="single"/>
        </w:rPr>
        <w:t>Annualized Cost to the Federal Government</w:t>
      </w:r>
    </w:p>
    <w:p w:rsidRPr="008F370F" w:rsidR="008F370F" w:rsidP="008F370F" w:rsidRDefault="008F370F" w14:paraId="47E39382" w14:textId="77777777">
      <w:pPr>
        <w:rPr>
          <w:rFonts w:ascii="Calibri" w:hAnsi="Calibri" w:eastAsia="Calibri" w:cs="Calibri"/>
          <w:sz w:val="22"/>
          <w:szCs w:val="22"/>
        </w:rPr>
      </w:pPr>
    </w:p>
    <w:p w:rsidRPr="008F370F" w:rsidR="008F370F" w:rsidP="008F370F" w:rsidRDefault="008F370F" w14:paraId="009EAECF" w14:textId="77777777">
      <w:pPr>
        <w:rPr>
          <w:rFonts w:ascii="Times New Roman" w:hAnsi="Times New Roman" w:eastAsia="Calibri"/>
          <w:color w:val="000000"/>
          <w:szCs w:val="24"/>
        </w:rPr>
      </w:pPr>
      <w:r w:rsidRPr="008F370F">
        <w:rPr>
          <w:rFonts w:ascii="Times New Roman" w:hAnsi="Times New Roman" w:eastAsia="Calibri"/>
          <w:color w:val="000000"/>
          <w:szCs w:val="24"/>
        </w:rPr>
        <w:t>Staff needs specific to this collection include effort to review report submissions, provide technical guidance to program participants on using the forms, and facilitation of periodic review and updates to the MFRPS when needed.</w:t>
      </w:r>
    </w:p>
    <w:p w:rsidRPr="008F370F" w:rsidR="008F370F" w:rsidP="008F370F" w:rsidRDefault="008F370F" w14:paraId="62A4E0BD" w14:textId="77777777">
      <w:pPr>
        <w:rPr>
          <w:rFonts w:ascii="Verdana" w:hAnsi="Verdana" w:eastAsia="Calibri" w:cs="Calibri"/>
          <w:color w:val="000000"/>
          <w:szCs w:val="24"/>
        </w:rPr>
      </w:pPr>
    </w:p>
    <w:tbl>
      <w:tblPr>
        <w:tblW w:w="0" w:type="auto"/>
        <w:tblInd w:w="-5" w:type="dxa"/>
        <w:tblCellMar>
          <w:left w:w="0" w:type="dxa"/>
          <w:right w:w="0" w:type="dxa"/>
        </w:tblCellMar>
        <w:tblLook w:val="04A0" w:firstRow="1" w:lastRow="0" w:firstColumn="1" w:lastColumn="0" w:noHBand="0" w:noVBand="1"/>
      </w:tblPr>
      <w:tblGrid>
        <w:gridCol w:w="2430"/>
        <w:gridCol w:w="2160"/>
        <w:gridCol w:w="2520"/>
        <w:gridCol w:w="1530"/>
      </w:tblGrid>
      <w:tr w:rsidRPr="008F370F" w:rsidR="008F370F" w:rsidTr="008F370F" w14:paraId="6273C781" w14:textId="77777777">
        <w:tc>
          <w:tcPr>
            <w:tcW w:w="8640"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6A4E8C93"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 xml:space="preserve">Table </w:t>
            </w:r>
            <w:proofErr w:type="gramStart"/>
            <w:r w:rsidRPr="008F370F">
              <w:rPr>
                <w:rFonts w:ascii="Times New Roman" w:hAnsi="Times New Roman" w:eastAsia="Calibri"/>
                <w:color w:val="000000"/>
                <w:szCs w:val="24"/>
              </w:rPr>
              <w:t>5.--</w:t>
            </w:r>
            <w:proofErr w:type="gramEnd"/>
            <w:r w:rsidRPr="008F370F">
              <w:rPr>
                <w:rFonts w:ascii="Times New Roman" w:hAnsi="Times New Roman" w:eastAsia="Calibri"/>
                <w:color w:val="000000"/>
                <w:szCs w:val="24"/>
              </w:rPr>
              <w:t>Estimated Government Costs</w:t>
            </w:r>
            <w:r w:rsidRPr="008F370F">
              <w:rPr>
                <w:rFonts w:ascii="Times New Roman" w:hAnsi="Times New Roman" w:eastAsia="Calibri"/>
                <w:color w:val="000000"/>
                <w:szCs w:val="24"/>
                <w:vertAlign w:val="superscript"/>
              </w:rPr>
              <w:t>1</w:t>
            </w:r>
            <w:r w:rsidRPr="008F370F">
              <w:rPr>
                <w:rFonts w:ascii="Times New Roman" w:hAnsi="Times New Roman" w:eastAsia="Calibri"/>
                <w:color w:val="000000"/>
                <w:szCs w:val="24"/>
              </w:rPr>
              <w:t xml:space="preserve"> Using the 2022 Salary Tables</w:t>
            </w:r>
          </w:p>
        </w:tc>
      </w:tr>
      <w:tr w:rsidRPr="008F370F" w:rsidR="008F370F" w:rsidTr="008F370F" w14:paraId="1E598BF9" w14:textId="77777777">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0EB9937B"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Government Personnel</w:t>
            </w:r>
          </w:p>
        </w:tc>
        <w:tc>
          <w:tcPr>
            <w:tcW w:w="216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005B9394"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Effort Commitment</w:t>
            </w:r>
          </w:p>
        </w:tc>
        <w:tc>
          <w:tcPr>
            <w:tcW w:w="252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54394997"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Average Annual Salary</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34C901DF"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Total Costs</w:t>
            </w:r>
          </w:p>
        </w:tc>
      </w:tr>
      <w:tr w:rsidRPr="008F370F" w:rsidR="008F370F" w:rsidTr="008F370F" w14:paraId="7F00FD08" w14:textId="77777777">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6C5B9FA1"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GS-12 (1)</w:t>
            </w:r>
          </w:p>
        </w:tc>
        <w:tc>
          <w:tcPr>
            <w:tcW w:w="216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1207CAF8"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5%</w:t>
            </w:r>
          </w:p>
        </w:tc>
        <w:tc>
          <w:tcPr>
            <w:tcW w:w="252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500239B9"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$79,363</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006D5FCD"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$3,968.15</w:t>
            </w:r>
          </w:p>
        </w:tc>
      </w:tr>
      <w:tr w:rsidRPr="008F370F" w:rsidR="008F370F" w:rsidTr="008F370F" w14:paraId="63DF019B" w14:textId="77777777">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63F819A3"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GS-13 (5 @ 25% each)</w:t>
            </w:r>
          </w:p>
        </w:tc>
        <w:tc>
          <w:tcPr>
            <w:tcW w:w="216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3FFC5FA7"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125%</w:t>
            </w:r>
          </w:p>
        </w:tc>
        <w:tc>
          <w:tcPr>
            <w:tcW w:w="252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4FEE508D"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$100,664</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0495049F"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$125,830</w:t>
            </w:r>
          </w:p>
        </w:tc>
      </w:tr>
      <w:tr w:rsidRPr="008F370F" w:rsidR="008F370F" w:rsidTr="008F370F" w14:paraId="3A42634F" w14:textId="77777777">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7D4D79D6"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GS-14 (1)</w:t>
            </w:r>
          </w:p>
        </w:tc>
        <w:tc>
          <w:tcPr>
            <w:tcW w:w="216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2048017A"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10%</w:t>
            </w:r>
          </w:p>
        </w:tc>
        <w:tc>
          <w:tcPr>
            <w:tcW w:w="252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056D6D2E"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$118,955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5202389B"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$11,895.50</w:t>
            </w:r>
          </w:p>
        </w:tc>
      </w:tr>
      <w:tr w:rsidRPr="008F370F" w:rsidR="008F370F" w:rsidTr="008F370F" w14:paraId="5CF72539" w14:textId="77777777">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1FE88EBD"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GS-15 (1)</w:t>
            </w:r>
          </w:p>
        </w:tc>
        <w:tc>
          <w:tcPr>
            <w:tcW w:w="216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37B8B59D"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5%</w:t>
            </w:r>
          </w:p>
        </w:tc>
        <w:tc>
          <w:tcPr>
            <w:tcW w:w="252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441C106A"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$139,923</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03AE9E2F"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$6,996.15</w:t>
            </w:r>
          </w:p>
        </w:tc>
      </w:tr>
      <w:tr w:rsidRPr="008F370F" w:rsidR="008F370F" w:rsidTr="008F370F" w14:paraId="1574EC2F" w14:textId="77777777">
        <w:tc>
          <w:tcPr>
            <w:tcW w:w="7110"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105BE5BC"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Total</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8F370F" w:rsidR="008F370F" w:rsidP="008F370F" w:rsidRDefault="008F370F" w14:paraId="30891199" w14:textId="77777777">
            <w:pPr>
              <w:autoSpaceDE w:val="0"/>
              <w:autoSpaceDN w:val="0"/>
              <w:rPr>
                <w:rFonts w:ascii="Times New Roman" w:hAnsi="Times New Roman" w:eastAsia="Calibri"/>
                <w:color w:val="000000"/>
                <w:szCs w:val="24"/>
              </w:rPr>
            </w:pPr>
            <w:r w:rsidRPr="008F370F">
              <w:rPr>
                <w:rFonts w:ascii="Times New Roman" w:hAnsi="Times New Roman" w:eastAsia="Calibri"/>
                <w:color w:val="000000"/>
                <w:szCs w:val="24"/>
              </w:rPr>
              <w:t>$148,659.80</w:t>
            </w:r>
          </w:p>
        </w:tc>
      </w:tr>
    </w:tbl>
    <w:p w:rsidRPr="00CA3D26" w:rsidR="00EE3CF7" w:rsidP="0081093A" w:rsidRDefault="00EE3CF7" w14:paraId="04E48E33" w14:textId="77777777">
      <w:pPr>
        <w:rPr>
          <w:rFonts w:ascii="Times New Roman" w:hAnsi="Times New Roman"/>
        </w:rPr>
      </w:pPr>
    </w:p>
    <w:p w:rsidR="008F370F" w:rsidRDefault="008F370F" w14:paraId="240995FA" w14:textId="77777777">
      <w:pPr>
        <w:rPr>
          <w:rFonts w:ascii="Times New Roman" w:hAnsi="Times New Roman"/>
        </w:rPr>
      </w:pPr>
      <w:r>
        <w:rPr>
          <w:rFonts w:ascii="Times New Roman" w:hAnsi="Times New Roman"/>
        </w:rPr>
        <w:br w:type="page"/>
      </w:r>
    </w:p>
    <w:p w:rsidR="008A22D9" w:rsidRDefault="008A22D9" w14:paraId="59099741" w14:textId="686FCC9D">
      <w:pPr>
        <w:widowControl w:val="0"/>
        <w:tabs>
          <w:tab w:val="left" w:pos="540"/>
        </w:tabs>
        <w:rPr>
          <w:rFonts w:ascii="Times New Roman" w:hAnsi="Times New Roman"/>
          <w:b/>
        </w:rPr>
      </w:pPr>
      <w:r w:rsidRPr="001054ED">
        <w:rPr>
          <w:rFonts w:ascii="Times New Roman" w:hAnsi="Times New Roman"/>
        </w:rPr>
        <w:lastRenderedPageBreak/>
        <w:t>15.</w:t>
      </w:r>
      <w:r>
        <w:rPr>
          <w:rFonts w:ascii="Times New Roman" w:hAnsi="Times New Roman"/>
          <w:b/>
        </w:rPr>
        <w:tab/>
      </w:r>
      <w:r w:rsidRPr="001054ED">
        <w:rPr>
          <w:rFonts w:ascii="Times New Roman" w:hAnsi="Times New Roman"/>
          <w:u w:val="single"/>
        </w:rPr>
        <w:t>Explanation for Program Changes or Adjustments</w:t>
      </w:r>
    </w:p>
    <w:p w:rsidR="008A22D9" w:rsidRDefault="008A22D9" w14:paraId="5FFC7D8A"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rsidR="00FB7D9D" w:rsidP="00D80F51" w:rsidRDefault="00192552" w14:paraId="74690AAB" w14:textId="7294EA33">
      <w:pPr>
        <w:tabs>
          <w:tab w:val="left" w:pos="-720"/>
          <w:tab w:val="left" w:pos="0"/>
          <w:tab w:val="left" w:pos="1440"/>
          <w:tab w:val="left" w:pos="2160"/>
          <w:tab w:val="left" w:pos="3600"/>
          <w:tab w:val="left" w:pos="4320"/>
          <w:tab w:val="left" w:leader="dot" w:pos="4500"/>
        </w:tabs>
        <w:ind w:left="540" w:right="720"/>
        <w:rPr>
          <w:rFonts w:ascii="Times New Roman" w:hAnsi="Times New Roman"/>
        </w:rPr>
      </w:pPr>
      <w:r w:rsidRPr="005B450C">
        <w:rPr>
          <w:rFonts w:ascii="Times New Roman" w:hAnsi="Times New Roman"/>
        </w:rPr>
        <w:t>We have adjusted the number of respondents to the information collection to reflect the enrollment of an additional State since our last evaluation.</w:t>
      </w:r>
      <w:r>
        <w:rPr>
          <w:rFonts w:ascii="Times New Roman" w:hAnsi="Times New Roman"/>
        </w:rPr>
        <w:t xml:space="preserve">  </w:t>
      </w:r>
    </w:p>
    <w:p w:rsidR="00CF7622" w:rsidP="00CC73B1" w:rsidRDefault="00737B29" w14:paraId="1D4075F4" w14:textId="4F2FF98B">
      <w:pPr>
        <w:pStyle w:val="BlockText"/>
      </w:pPr>
      <w:r>
        <w:t xml:space="preserve"> </w:t>
      </w:r>
    </w:p>
    <w:p w:rsidRPr="001054ED" w:rsidR="008A22D9" w:rsidRDefault="008A22D9" w14:paraId="4CF9CDF5" w14:textId="77777777">
      <w:pPr>
        <w:widowControl w:val="0"/>
        <w:numPr>
          <w:ilvl w:val="0"/>
          <w:numId w:val="4"/>
        </w:numPr>
        <w:rPr>
          <w:rFonts w:ascii="Times New Roman" w:hAnsi="Times New Roman"/>
          <w:u w:val="single"/>
        </w:rPr>
      </w:pPr>
      <w:r w:rsidRPr="001054ED">
        <w:rPr>
          <w:rFonts w:ascii="Times New Roman" w:hAnsi="Times New Roman"/>
          <w:u w:val="single"/>
        </w:rPr>
        <w:t>Plans for Tabulation and Publication and Project Time Schedule</w:t>
      </w:r>
    </w:p>
    <w:p w:rsidRPr="00C673C7" w:rsidR="008A22D9" w:rsidRDefault="008A22D9" w14:paraId="265F1250" w14:textId="77777777">
      <w:pPr>
        <w:pStyle w:val="Header"/>
        <w:widowControl w:val="0"/>
        <w:tabs>
          <w:tab w:val="clear" w:pos="4320"/>
          <w:tab w:val="clear" w:pos="8640"/>
          <w:tab w:val="left" w:pos="540"/>
        </w:tabs>
        <w:ind w:left="540"/>
        <w:rPr>
          <w:rFonts w:ascii="Times New Roman" w:hAnsi="Times New Roman"/>
        </w:rPr>
      </w:pPr>
    </w:p>
    <w:p w:rsidR="008A22D9" w:rsidRDefault="008A22D9" w14:paraId="284E4687" w14:textId="77777777">
      <w:pPr>
        <w:pStyle w:val="BlockText"/>
      </w:pPr>
      <w:r>
        <w:t>FDA does not intend to publish the results of this information collection.</w:t>
      </w:r>
    </w:p>
    <w:p w:rsidR="008A22D9" w:rsidRDefault="008A22D9" w14:paraId="5DF47D1C"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rsidRPr="001054ED" w:rsidR="008A22D9" w:rsidRDefault="008A22D9" w14:paraId="077093BC" w14:textId="77777777">
      <w:pPr>
        <w:widowControl w:val="0"/>
        <w:tabs>
          <w:tab w:val="left" w:pos="540"/>
        </w:tabs>
        <w:rPr>
          <w:rFonts w:ascii="Times New Roman" w:hAnsi="Times New Roman"/>
        </w:rPr>
      </w:pPr>
      <w:r w:rsidRPr="001054ED">
        <w:rPr>
          <w:rFonts w:ascii="Times New Roman" w:hAnsi="Times New Roman"/>
        </w:rPr>
        <w:t>17.</w:t>
      </w:r>
      <w:r>
        <w:rPr>
          <w:rFonts w:ascii="Times New Roman" w:hAnsi="Times New Roman"/>
          <w:b/>
        </w:rPr>
        <w:tab/>
      </w:r>
      <w:r w:rsidRPr="001054ED">
        <w:rPr>
          <w:rFonts w:ascii="Times New Roman" w:hAnsi="Times New Roman"/>
          <w:u w:val="single"/>
        </w:rPr>
        <w:t>Reason(s) Display of OMB Expiration Date is Inappropriate</w:t>
      </w:r>
    </w:p>
    <w:p w:rsidRPr="00C673C7" w:rsidR="008A22D9" w:rsidRDefault="008A22D9" w14:paraId="04E050BE"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rsidR="008A22D9" w:rsidRDefault="001C3FDC" w14:paraId="2C863A67"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rPr>
      </w:pPr>
      <w:r>
        <w:rPr>
          <w:rFonts w:ascii="Times New Roman" w:hAnsi="Times New Roman"/>
        </w:rPr>
        <w:t>Not a</w:t>
      </w:r>
      <w:r w:rsidR="008A22D9">
        <w:rPr>
          <w:rFonts w:ascii="Times New Roman" w:hAnsi="Times New Roman"/>
        </w:rPr>
        <w:t>pplicable</w:t>
      </w:r>
      <w:r>
        <w:rPr>
          <w:rFonts w:ascii="Times New Roman" w:hAnsi="Times New Roman"/>
        </w:rPr>
        <w:t>.</w:t>
      </w:r>
    </w:p>
    <w:p w:rsidR="008A22D9" w:rsidRDefault="008A22D9" w14:paraId="347B4FCB" w14:textId="77777777">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rsidRPr="001054ED" w:rsidR="008A22D9" w:rsidRDefault="008A22D9" w14:paraId="79B0F86F" w14:textId="77777777">
      <w:pPr>
        <w:widowControl w:val="0"/>
        <w:tabs>
          <w:tab w:val="left" w:pos="540"/>
        </w:tabs>
        <w:rPr>
          <w:rFonts w:ascii="Times New Roman" w:hAnsi="Times New Roman"/>
        </w:rPr>
      </w:pPr>
      <w:r w:rsidRPr="001054ED">
        <w:rPr>
          <w:rFonts w:ascii="Times New Roman" w:hAnsi="Times New Roman"/>
        </w:rPr>
        <w:t>18.</w:t>
      </w:r>
      <w:r>
        <w:rPr>
          <w:rFonts w:ascii="Times New Roman" w:hAnsi="Times New Roman"/>
          <w:b/>
        </w:rPr>
        <w:tab/>
      </w:r>
      <w:r w:rsidRPr="001054ED">
        <w:rPr>
          <w:rFonts w:ascii="Times New Roman" w:hAnsi="Times New Roman"/>
          <w:u w:val="single"/>
        </w:rPr>
        <w:t>Exception to Certification for Paperwork Reduction Act Submissions</w:t>
      </w:r>
    </w:p>
    <w:p w:rsidRPr="00C673C7" w:rsidR="008A22D9" w:rsidRDefault="008A22D9" w14:paraId="1537A46D" w14:textId="77777777">
      <w:pPr>
        <w:tabs>
          <w:tab w:val="left" w:pos="-1440"/>
          <w:tab w:val="left" w:pos="-720"/>
          <w:tab w:val="left" w:pos="720"/>
          <w:tab w:val="left" w:pos="1440"/>
          <w:tab w:val="left" w:pos="2880"/>
          <w:tab w:val="left" w:pos="3600"/>
          <w:tab w:val="left" w:leader="dot" w:pos="3780"/>
        </w:tabs>
        <w:rPr>
          <w:rFonts w:ascii="Times New Roman" w:hAnsi="Times New Roman"/>
        </w:rPr>
      </w:pPr>
    </w:p>
    <w:p w:rsidR="008A22D9" w:rsidP="004D30B4" w:rsidRDefault="008A22D9" w14:paraId="12ABA4DE" w14:textId="77777777">
      <w:pPr>
        <w:ind w:firstLine="720"/>
      </w:pPr>
      <w:r>
        <w:rPr>
          <w:rFonts w:ascii="Times New Roman" w:hAnsi="Times New Roman"/>
        </w:rPr>
        <w:t>There are no exceptions to the certification.</w:t>
      </w:r>
    </w:p>
    <w:sectPr w:rsidR="008A22D9" w:rsidSect="00E16C5D">
      <w:headerReference w:type="default" r:id="rId8"/>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1716" w14:textId="77777777" w:rsidR="002B470E" w:rsidRDefault="002B470E">
      <w:r>
        <w:separator/>
      </w:r>
    </w:p>
  </w:endnote>
  <w:endnote w:type="continuationSeparator" w:id="0">
    <w:p w14:paraId="48D5F043" w14:textId="77777777" w:rsidR="002B470E" w:rsidRDefault="002B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26D9" w14:textId="77777777" w:rsidR="006346BA" w:rsidRDefault="00634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A06E8" w14:textId="77777777" w:rsidR="006346BA" w:rsidRDefault="00634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232D" w14:textId="77777777" w:rsidR="006346BA" w:rsidRDefault="00634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4BD">
      <w:rPr>
        <w:rStyle w:val="PageNumber"/>
        <w:noProof/>
      </w:rPr>
      <w:t>1</w:t>
    </w:r>
    <w:r>
      <w:rPr>
        <w:rStyle w:val="PageNumber"/>
      </w:rPr>
      <w:fldChar w:fldCharType="end"/>
    </w:r>
  </w:p>
  <w:p w14:paraId="64F25481" w14:textId="77777777" w:rsidR="006346BA" w:rsidRDefault="00634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4287" w14:textId="77777777" w:rsidR="002B470E" w:rsidRDefault="002B470E">
      <w:r>
        <w:separator/>
      </w:r>
    </w:p>
  </w:footnote>
  <w:footnote w:type="continuationSeparator" w:id="0">
    <w:p w14:paraId="1204EF38" w14:textId="77777777" w:rsidR="002B470E" w:rsidRDefault="002B4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150D" w14:textId="77777777" w:rsidR="006346BA" w:rsidRDefault="006346BA">
    <w:pPr>
      <w:widowControl w:val="0"/>
      <w:rPr>
        <w:rFonts w:ascii="Times New Roman" w:hAnsi="Times New Roman"/>
      </w:rPr>
    </w:pPr>
  </w:p>
  <w:p w14:paraId="31AE7881" w14:textId="77777777" w:rsidR="006346BA" w:rsidRDefault="006346BA">
    <w:pPr>
      <w:widowControl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C62C10"/>
    <w:multiLevelType w:val="singleLevel"/>
    <w:tmpl w:val="5544A46C"/>
    <w:lvl w:ilvl="0">
      <w:start w:val="1"/>
      <w:numFmt w:val="decimal"/>
      <w:lvlText w:val="%1."/>
      <w:lvlJc w:val="left"/>
      <w:pPr>
        <w:tabs>
          <w:tab w:val="num" w:pos="360"/>
        </w:tabs>
        <w:ind w:left="360" w:hanging="360"/>
      </w:pPr>
      <w:rPr>
        <w:rFonts w:hint="default"/>
        <w:b w:val="0"/>
        <w:u w:val="none"/>
      </w:rPr>
    </w:lvl>
  </w:abstractNum>
  <w:abstractNum w:abstractNumId="2" w15:restartNumberingAfterBreak="0">
    <w:nsid w:val="18495EC5"/>
    <w:multiLevelType w:val="singleLevel"/>
    <w:tmpl w:val="DE2002D8"/>
    <w:lvl w:ilvl="0">
      <w:start w:val="16"/>
      <w:numFmt w:val="decimal"/>
      <w:lvlText w:val="%1."/>
      <w:lvlJc w:val="left"/>
      <w:pPr>
        <w:tabs>
          <w:tab w:val="num" w:pos="540"/>
        </w:tabs>
        <w:ind w:left="540" w:hanging="540"/>
      </w:pPr>
      <w:rPr>
        <w:rFonts w:hint="default"/>
        <w:u w:val="none"/>
      </w:rPr>
    </w:lvl>
  </w:abstractNum>
  <w:abstractNum w:abstractNumId="3" w15:restartNumberingAfterBreak="0">
    <w:nsid w:val="2DF67DF7"/>
    <w:multiLevelType w:val="hybridMultilevel"/>
    <w:tmpl w:val="6AF009F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C362F6"/>
    <w:multiLevelType w:val="hybridMultilevel"/>
    <w:tmpl w:val="C5DE5F6C"/>
    <w:lvl w:ilvl="0" w:tplc="9EB4F97C">
      <w:start w:val="1"/>
      <w:numFmt w:val="upperLetter"/>
      <w:lvlText w:val="%1."/>
      <w:lvlJc w:val="left"/>
      <w:pPr>
        <w:tabs>
          <w:tab w:val="num" w:pos="540"/>
        </w:tabs>
        <w:ind w:left="540" w:hanging="540"/>
      </w:pPr>
      <w:rPr>
        <w:rFonts w:ascii="Times New Roman" w:hAnsi="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F900394"/>
    <w:multiLevelType w:val="hybridMultilevel"/>
    <w:tmpl w:val="C6DA33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F74C8C"/>
    <w:multiLevelType w:val="hybridMultilevel"/>
    <w:tmpl w:val="49BAEC5C"/>
    <w:lvl w:ilvl="0" w:tplc="761A6558">
      <w:start w:val="1"/>
      <w:numFmt w:val="upperLetter"/>
      <w:lvlText w:val="%1."/>
      <w:lvlJc w:val="left"/>
      <w:pPr>
        <w:tabs>
          <w:tab w:val="num" w:pos="1080"/>
        </w:tabs>
        <w:ind w:left="1080" w:hanging="72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B7584B"/>
    <w:multiLevelType w:val="hybridMultilevel"/>
    <w:tmpl w:val="E9BA4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EE7012"/>
    <w:multiLevelType w:val="hybridMultilevel"/>
    <w:tmpl w:val="67D48F1C"/>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790339C"/>
    <w:multiLevelType w:val="singleLevel"/>
    <w:tmpl w:val="6142801C"/>
    <w:lvl w:ilvl="0">
      <w:start w:val="19"/>
      <w:numFmt w:val="decimal"/>
      <w:lvlText w:val="%1."/>
      <w:lvlJc w:val="left"/>
      <w:pPr>
        <w:tabs>
          <w:tab w:val="num" w:pos="540"/>
        </w:tabs>
        <w:ind w:left="540" w:hanging="540"/>
      </w:pPr>
      <w:rPr>
        <w:rFonts w:hint="default"/>
        <w:u w:val="none"/>
      </w:rPr>
    </w:lvl>
  </w:abstractNum>
  <w:abstractNum w:abstractNumId="10" w15:restartNumberingAfterBreak="0">
    <w:nsid w:val="797B4879"/>
    <w:multiLevelType w:val="hybridMultilevel"/>
    <w:tmpl w:val="2F620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5F6B6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11"/>
  </w:num>
  <w:num w:numId="4">
    <w:abstractNumId w:val="2"/>
  </w:num>
  <w:num w:numId="5">
    <w:abstractNumId w:val="9"/>
  </w:num>
  <w:num w:numId="6">
    <w:abstractNumId w:val="3"/>
  </w:num>
  <w:num w:numId="7">
    <w:abstractNumId w:val="8"/>
  </w:num>
  <w:num w:numId="8">
    <w:abstractNumId w:val="5"/>
  </w:num>
  <w:num w:numId="9">
    <w:abstractNumId w:val="10"/>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70"/>
    <w:rsid w:val="00000B2A"/>
    <w:rsid w:val="000027CA"/>
    <w:rsid w:val="0000779B"/>
    <w:rsid w:val="00007B06"/>
    <w:rsid w:val="00010410"/>
    <w:rsid w:val="00012C22"/>
    <w:rsid w:val="000203A5"/>
    <w:rsid w:val="00021323"/>
    <w:rsid w:val="00022B44"/>
    <w:rsid w:val="0002332A"/>
    <w:rsid w:val="000314FC"/>
    <w:rsid w:val="00033FCE"/>
    <w:rsid w:val="0004472E"/>
    <w:rsid w:val="00052BE0"/>
    <w:rsid w:val="000545B9"/>
    <w:rsid w:val="00063890"/>
    <w:rsid w:val="00063D0D"/>
    <w:rsid w:val="00065A9D"/>
    <w:rsid w:val="00086714"/>
    <w:rsid w:val="000A4022"/>
    <w:rsid w:val="000B61BE"/>
    <w:rsid w:val="000C04D6"/>
    <w:rsid w:val="000C44D3"/>
    <w:rsid w:val="000C63AF"/>
    <w:rsid w:val="000D4843"/>
    <w:rsid w:val="000D5FFC"/>
    <w:rsid w:val="000D6DE9"/>
    <w:rsid w:val="000E1B03"/>
    <w:rsid w:val="000F5507"/>
    <w:rsid w:val="000F7BA1"/>
    <w:rsid w:val="0010198F"/>
    <w:rsid w:val="00102BE5"/>
    <w:rsid w:val="001034BD"/>
    <w:rsid w:val="001054ED"/>
    <w:rsid w:val="00105EEA"/>
    <w:rsid w:val="00113862"/>
    <w:rsid w:val="00120630"/>
    <w:rsid w:val="00123844"/>
    <w:rsid w:val="001317A1"/>
    <w:rsid w:val="00134983"/>
    <w:rsid w:val="00134F94"/>
    <w:rsid w:val="00140C8D"/>
    <w:rsid w:val="0014504D"/>
    <w:rsid w:val="001510F1"/>
    <w:rsid w:val="0015481D"/>
    <w:rsid w:val="00155DE6"/>
    <w:rsid w:val="00172803"/>
    <w:rsid w:val="001764CF"/>
    <w:rsid w:val="00177118"/>
    <w:rsid w:val="00177390"/>
    <w:rsid w:val="00180BDA"/>
    <w:rsid w:val="00181ECD"/>
    <w:rsid w:val="00184B9D"/>
    <w:rsid w:val="00185492"/>
    <w:rsid w:val="001858B4"/>
    <w:rsid w:val="00192552"/>
    <w:rsid w:val="001964E0"/>
    <w:rsid w:val="001A1EB6"/>
    <w:rsid w:val="001B1932"/>
    <w:rsid w:val="001C27BC"/>
    <w:rsid w:val="001C3FDC"/>
    <w:rsid w:val="001D0CEC"/>
    <w:rsid w:val="001D0E44"/>
    <w:rsid w:val="001E3C42"/>
    <w:rsid w:val="001E3CF8"/>
    <w:rsid w:val="001F3FD7"/>
    <w:rsid w:val="001F70BE"/>
    <w:rsid w:val="0020653C"/>
    <w:rsid w:val="00206D82"/>
    <w:rsid w:val="0022785D"/>
    <w:rsid w:val="00230152"/>
    <w:rsid w:val="0023614B"/>
    <w:rsid w:val="00254769"/>
    <w:rsid w:val="002657A3"/>
    <w:rsid w:val="00273053"/>
    <w:rsid w:val="00274C59"/>
    <w:rsid w:val="00281769"/>
    <w:rsid w:val="00283C7A"/>
    <w:rsid w:val="0028619C"/>
    <w:rsid w:val="00294685"/>
    <w:rsid w:val="002B0680"/>
    <w:rsid w:val="002B34AD"/>
    <w:rsid w:val="002B470E"/>
    <w:rsid w:val="002C6C2F"/>
    <w:rsid w:val="002E17F1"/>
    <w:rsid w:val="002E1ADF"/>
    <w:rsid w:val="002F0DFD"/>
    <w:rsid w:val="002F2467"/>
    <w:rsid w:val="002F595C"/>
    <w:rsid w:val="002F5C06"/>
    <w:rsid w:val="00302C6B"/>
    <w:rsid w:val="003036D2"/>
    <w:rsid w:val="003239BB"/>
    <w:rsid w:val="00326DB2"/>
    <w:rsid w:val="0033395C"/>
    <w:rsid w:val="003415D2"/>
    <w:rsid w:val="003418A0"/>
    <w:rsid w:val="003507BA"/>
    <w:rsid w:val="00376321"/>
    <w:rsid w:val="00381E37"/>
    <w:rsid w:val="0038374F"/>
    <w:rsid w:val="003856DE"/>
    <w:rsid w:val="00392D19"/>
    <w:rsid w:val="003955C0"/>
    <w:rsid w:val="003A1526"/>
    <w:rsid w:val="003B0C4B"/>
    <w:rsid w:val="003C0CC8"/>
    <w:rsid w:val="003D030C"/>
    <w:rsid w:val="003D238D"/>
    <w:rsid w:val="003E0D53"/>
    <w:rsid w:val="003E3E28"/>
    <w:rsid w:val="003F31AE"/>
    <w:rsid w:val="003F43FF"/>
    <w:rsid w:val="0040544C"/>
    <w:rsid w:val="004234D5"/>
    <w:rsid w:val="00423993"/>
    <w:rsid w:val="00430B2D"/>
    <w:rsid w:val="004336FB"/>
    <w:rsid w:val="00435E0B"/>
    <w:rsid w:val="00435FD6"/>
    <w:rsid w:val="00445DCB"/>
    <w:rsid w:val="0045566C"/>
    <w:rsid w:val="00473C81"/>
    <w:rsid w:val="0047501E"/>
    <w:rsid w:val="0047570B"/>
    <w:rsid w:val="00483E9C"/>
    <w:rsid w:val="00494572"/>
    <w:rsid w:val="004977B9"/>
    <w:rsid w:val="004A1E91"/>
    <w:rsid w:val="004A5A13"/>
    <w:rsid w:val="004B6C21"/>
    <w:rsid w:val="004C1EC3"/>
    <w:rsid w:val="004C55B0"/>
    <w:rsid w:val="004D30B4"/>
    <w:rsid w:val="004D6092"/>
    <w:rsid w:val="004F1357"/>
    <w:rsid w:val="004F46CC"/>
    <w:rsid w:val="004F72A3"/>
    <w:rsid w:val="00505356"/>
    <w:rsid w:val="00507DEF"/>
    <w:rsid w:val="00512C49"/>
    <w:rsid w:val="0051388E"/>
    <w:rsid w:val="00514536"/>
    <w:rsid w:val="00542318"/>
    <w:rsid w:val="0054247F"/>
    <w:rsid w:val="00544BC7"/>
    <w:rsid w:val="00556B95"/>
    <w:rsid w:val="005571F6"/>
    <w:rsid w:val="00575E01"/>
    <w:rsid w:val="0059335F"/>
    <w:rsid w:val="00595779"/>
    <w:rsid w:val="0059615A"/>
    <w:rsid w:val="005A29FE"/>
    <w:rsid w:val="005B1B2E"/>
    <w:rsid w:val="005B450C"/>
    <w:rsid w:val="005B4DA1"/>
    <w:rsid w:val="005B7EED"/>
    <w:rsid w:val="005C13F9"/>
    <w:rsid w:val="005D11B4"/>
    <w:rsid w:val="005E0824"/>
    <w:rsid w:val="005E127E"/>
    <w:rsid w:val="005F7F72"/>
    <w:rsid w:val="006064CD"/>
    <w:rsid w:val="00613B12"/>
    <w:rsid w:val="00617622"/>
    <w:rsid w:val="006231A7"/>
    <w:rsid w:val="00624A16"/>
    <w:rsid w:val="00624A81"/>
    <w:rsid w:val="006332E4"/>
    <w:rsid w:val="006333E3"/>
    <w:rsid w:val="006346BA"/>
    <w:rsid w:val="0063477F"/>
    <w:rsid w:val="00634F79"/>
    <w:rsid w:val="00636471"/>
    <w:rsid w:val="00645559"/>
    <w:rsid w:val="00651EBD"/>
    <w:rsid w:val="00654BF3"/>
    <w:rsid w:val="0066218A"/>
    <w:rsid w:val="0067158D"/>
    <w:rsid w:val="00673D08"/>
    <w:rsid w:val="00676DE9"/>
    <w:rsid w:val="00682E39"/>
    <w:rsid w:val="00685F7F"/>
    <w:rsid w:val="0069588B"/>
    <w:rsid w:val="006A22F4"/>
    <w:rsid w:val="006A762E"/>
    <w:rsid w:val="006B639C"/>
    <w:rsid w:val="006B63D1"/>
    <w:rsid w:val="006C12C1"/>
    <w:rsid w:val="006E44FE"/>
    <w:rsid w:val="006F27AC"/>
    <w:rsid w:val="006F5D67"/>
    <w:rsid w:val="00703638"/>
    <w:rsid w:val="00714D32"/>
    <w:rsid w:val="00720571"/>
    <w:rsid w:val="00724EA0"/>
    <w:rsid w:val="00735884"/>
    <w:rsid w:val="00737B29"/>
    <w:rsid w:val="007414B2"/>
    <w:rsid w:val="00745E5D"/>
    <w:rsid w:val="00762F83"/>
    <w:rsid w:val="007822AA"/>
    <w:rsid w:val="0078420C"/>
    <w:rsid w:val="007863CC"/>
    <w:rsid w:val="0078739E"/>
    <w:rsid w:val="007905A5"/>
    <w:rsid w:val="007977AB"/>
    <w:rsid w:val="007A0C9D"/>
    <w:rsid w:val="007A404B"/>
    <w:rsid w:val="007B6456"/>
    <w:rsid w:val="007C1087"/>
    <w:rsid w:val="007C349A"/>
    <w:rsid w:val="007C377B"/>
    <w:rsid w:val="007C5853"/>
    <w:rsid w:val="007C5CD5"/>
    <w:rsid w:val="007C7293"/>
    <w:rsid w:val="007D13D0"/>
    <w:rsid w:val="007D6A7D"/>
    <w:rsid w:val="007E31C9"/>
    <w:rsid w:val="007E340C"/>
    <w:rsid w:val="007E4F0C"/>
    <w:rsid w:val="007E63C8"/>
    <w:rsid w:val="007E733D"/>
    <w:rsid w:val="007F3921"/>
    <w:rsid w:val="008049BF"/>
    <w:rsid w:val="00807349"/>
    <w:rsid w:val="0081093A"/>
    <w:rsid w:val="00813B61"/>
    <w:rsid w:val="00817B56"/>
    <w:rsid w:val="008208DC"/>
    <w:rsid w:val="0082158A"/>
    <w:rsid w:val="00831F96"/>
    <w:rsid w:val="00832A62"/>
    <w:rsid w:val="00835F5F"/>
    <w:rsid w:val="00845364"/>
    <w:rsid w:val="0085191E"/>
    <w:rsid w:val="00851FA1"/>
    <w:rsid w:val="00860EAC"/>
    <w:rsid w:val="00863862"/>
    <w:rsid w:val="0086777A"/>
    <w:rsid w:val="008713C5"/>
    <w:rsid w:val="00875E84"/>
    <w:rsid w:val="00884229"/>
    <w:rsid w:val="0088732B"/>
    <w:rsid w:val="00892408"/>
    <w:rsid w:val="008A22D9"/>
    <w:rsid w:val="008A6B96"/>
    <w:rsid w:val="008B7175"/>
    <w:rsid w:val="008C5893"/>
    <w:rsid w:val="008D2F9D"/>
    <w:rsid w:val="008D5CBD"/>
    <w:rsid w:val="008E0A9B"/>
    <w:rsid w:val="008E29F7"/>
    <w:rsid w:val="008E7BF9"/>
    <w:rsid w:val="008F0A07"/>
    <w:rsid w:val="008F370F"/>
    <w:rsid w:val="008F37F3"/>
    <w:rsid w:val="008F5054"/>
    <w:rsid w:val="008F7FB8"/>
    <w:rsid w:val="009058D7"/>
    <w:rsid w:val="009121C9"/>
    <w:rsid w:val="00913644"/>
    <w:rsid w:val="0092080E"/>
    <w:rsid w:val="00921322"/>
    <w:rsid w:val="00921616"/>
    <w:rsid w:val="00923C1A"/>
    <w:rsid w:val="009253C6"/>
    <w:rsid w:val="009265EB"/>
    <w:rsid w:val="00935745"/>
    <w:rsid w:val="00942C35"/>
    <w:rsid w:val="0094489C"/>
    <w:rsid w:val="0095732B"/>
    <w:rsid w:val="00977E4A"/>
    <w:rsid w:val="00981267"/>
    <w:rsid w:val="00985530"/>
    <w:rsid w:val="00992757"/>
    <w:rsid w:val="009A00B3"/>
    <w:rsid w:val="009A18D3"/>
    <w:rsid w:val="009A3AC3"/>
    <w:rsid w:val="009A6B95"/>
    <w:rsid w:val="009B4F3D"/>
    <w:rsid w:val="009B69E9"/>
    <w:rsid w:val="009C50E0"/>
    <w:rsid w:val="009C63A2"/>
    <w:rsid w:val="009E4E10"/>
    <w:rsid w:val="009E4F0A"/>
    <w:rsid w:val="009F0DA7"/>
    <w:rsid w:val="009F5ED6"/>
    <w:rsid w:val="00A02607"/>
    <w:rsid w:val="00A041F1"/>
    <w:rsid w:val="00A0470A"/>
    <w:rsid w:val="00A144E0"/>
    <w:rsid w:val="00A25318"/>
    <w:rsid w:val="00A3003B"/>
    <w:rsid w:val="00A31ED1"/>
    <w:rsid w:val="00A33C06"/>
    <w:rsid w:val="00A42170"/>
    <w:rsid w:val="00A465F9"/>
    <w:rsid w:val="00A55C21"/>
    <w:rsid w:val="00A6303A"/>
    <w:rsid w:val="00A658BE"/>
    <w:rsid w:val="00A66B7F"/>
    <w:rsid w:val="00A71B13"/>
    <w:rsid w:val="00A727A9"/>
    <w:rsid w:val="00A8707D"/>
    <w:rsid w:val="00A874C5"/>
    <w:rsid w:val="00A94758"/>
    <w:rsid w:val="00A964C7"/>
    <w:rsid w:val="00AA1681"/>
    <w:rsid w:val="00AA2936"/>
    <w:rsid w:val="00AB36CC"/>
    <w:rsid w:val="00AC20E2"/>
    <w:rsid w:val="00AC5881"/>
    <w:rsid w:val="00AC739D"/>
    <w:rsid w:val="00AD1D62"/>
    <w:rsid w:val="00AD6E21"/>
    <w:rsid w:val="00AF1CE6"/>
    <w:rsid w:val="00AF48D8"/>
    <w:rsid w:val="00AF7ADB"/>
    <w:rsid w:val="00B02636"/>
    <w:rsid w:val="00B05483"/>
    <w:rsid w:val="00B069D1"/>
    <w:rsid w:val="00B230CE"/>
    <w:rsid w:val="00B24601"/>
    <w:rsid w:val="00B30068"/>
    <w:rsid w:val="00B40BC0"/>
    <w:rsid w:val="00B434CB"/>
    <w:rsid w:val="00B440CE"/>
    <w:rsid w:val="00B47783"/>
    <w:rsid w:val="00B52225"/>
    <w:rsid w:val="00B572E0"/>
    <w:rsid w:val="00B61617"/>
    <w:rsid w:val="00B67600"/>
    <w:rsid w:val="00B829EC"/>
    <w:rsid w:val="00B87768"/>
    <w:rsid w:val="00B941E2"/>
    <w:rsid w:val="00B95830"/>
    <w:rsid w:val="00BA1099"/>
    <w:rsid w:val="00BA539D"/>
    <w:rsid w:val="00BB291C"/>
    <w:rsid w:val="00BC0F36"/>
    <w:rsid w:val="00BC3D24"/>
    <w:rsid w:val="00BC77AD"/>
    <w:rsid w:val="00BE12AC"/>
    <w:rsid w:val="00BE3048"/>
    <w:rsid w:val="00BF3C2D"/>
    <w:rsid w:val="00BF4ADE"/>
    <w:rsid w:val="00BF70BD"/>
    <w:rsid w:val="00BF7724"/>
    <w:rsid w:val="00C0200A"/>
    <w:rsid w:val="00C175C7"/>
    <w:rsid w:val="00C3101F"/>
    <w:rsid w:val="00C40410"/>
    <w:rsid w:val="00C42C5B"/>
    <w:rsid w:val="00C56D07"/>
    <w:rsid w:val="00C60CCE"/>
    <w:rsid w:val="00C612B8"/>
    <w:rsid w:val="00C64A74"/>
    <w:rsid w:val="00C673C7"/>
    <w:rsid w:val="00C67616"/>
    <w:rsid w:val="00C703DB"/>
    <w:rsid w:val="00C821E7"/>
    <w:rsid w:val="00C84B85"/>
    <w:rsid w:val="00C97A8C"/>
    <w:rsid w:val="00CA3D26"/>
    <w:rsid w:val="00CB5269"/>
    <w:rsid w:val="00CB5BC4"/>
    <w:rsid w:val="00CB6425"/>
    <w:rsid w:val="00CC5474"/>
    <w:rsid w:val="00CC55CF"/>
    <w:rsid w:val="00CC5E61"/>
    <w:rsid w:val="00CC73B1"/>
    <w:rsid w:val="00CD14EB"/>
    <w:rsid w:val="00CD233E"/>
    <w:rsid w:val="00CE7C92"/>
    <w:rsid w:val="00CF5329"/>
    <w:rsid w:val="00CF7622"/>
    <w:rsid w:val="00D027B7"/>
    <w:rsid w:val="00D10612"/>
    <w:rsid w:val="00D1464E"/>
    <w:rsid w:val="00D205D1"/>
    <w:rsid w:val="00D22819"/>
    <w:rsid w:val="00D27ED0"/>
    <w:rsid w:val="00D3401D"/>
    <w:rsid w:val="00D3687A"/>
    <w:rsid w:val="00D36C40"/>
    <w:rsid w:val="00D4262F"/>
    <w:rsid w:val="00D47025"/>
    <w:rsid w:val="00D54BC0"/>
    <w:rsid w:val="00D562BB"/>
    <w:rsid w:val="00D575BE"/>
    <w:rsid w:val="00D65A80"/>
    <w:rsid w:val="00D665A9"/>
    <w:rsid w:val="00D6732A"/>
    <w:rsid w:val="00D77A45"/>
    <w:rsid w:val="00D77B06"/>
    <w:rsid w:val="00D80F51"/>
    <w:rsid w:val="00D8538B"/>
    <w:rsid w:val="00D9079B"/>
    <w:rsid w:val="00D91B16"/>
    <w:rsid w:val="00DA482E"/>
    <w:rsid w:val="00DA77B6"/>
    <w:rsid w:val="00DB25D3"/>
    <w:rsid w:val="00DB443D"/>
    <w:rsid w:val="00DC2F6F"/>
    <w:rsid w:val="00DC43DD"/>
    <w:rsid w:val="00DC4BEF"/>
    <w:rsid w:val="00DC4C98"/>
    <w:rsid w:val="00DC6184"/>
    <w:rsid w:val="00DC6F39"/>
    <w:rsid w:val="00DC76A0"/>
    <w:rsid w:val="00DD0F01"/>
    <w:rsid w:val="00DD67B3"/>
    <w:rsid w:val="00DD684B"/>
    <w:rsid w:val="00DD732F"/>
    <w:rsid w:val="00DD7A4C"/>
    <w:rsid w:val="00DE322B"/>
    <w:rsid w:val="00DE5E61"/>
    <w:rsid w:val="00DF154B"/>
    <w:rsid w:val="00DF6A94"/>
    <w:rsid w:val="00DF7568"/>
    <w:rsid w:val="00E07E23"/>
    <w:rsid w:val="00E131FE"/>
    <w:rsid w:val="00E143E8"/>
    <w:rsid w:val="00E16C5D"/>
    <w:rsid w:val="00E23914"/>
    <w:rsid w:val="00E24F14"/>
    <w:rsid w:val="00E3004D"/>
    <w:rsid w:val="00E332A8"/>
    <w:rsid w:val="00E374D7"/>
    <w:rsid w:val="00E41263"/>
    <w:rsid w:val="00E54A10"/>
    <w:rsid w:val="00E5776C"/>
    <w:rsid w:val="00E719BB"/>
    <w:rsid w:val="00E72358"/>
    <w:rsid w:val="00E762EA"/>
    <w:rsid w:val="00E871A7"/>
    <w:rsid w:val="00E87E01"/>
    <w:rsid w:val="00E908C3"/>
    <w:rsid w:val="00EA0F98"/>
    <w:rsid w:val="00EA2412"/>
    <w:rsid w:val="00EA2DB7"/>
    <w:rsid w:val="00EB4472"/>
    <w:rsid w:val="00EB576B"/>
    <w:rsid w:val="00EC6563"/>
    <w:rsid w:val="00ED3E61"/>
    <w:rsid w:val="00ED5E4B"/>
    <w:rsid w:val="00ED667E"/>
    <w:rsid w:val="00ED6C2D"/>
    <w:rsid w:val="00EE3CF7"/>
    <w:rsid w:val="00EE523A"/>
    <w:rsid w:val="00EF7F34"/>
    <w:rsid w:val="00F042A8"/>
    <w:rsid w:val="00F10F88"/>
    <w:rsid w:val="00F17F03"/>
    <w:rsid w:val="00F2709F"/>
    <w:rsid w:val="00F37B75"/>
    <w:rsid w:val="00F50D98"/>
    <w:rsid w:val="00F5333A"/>
    <w:rsid w:val="00F7201A"/>
    <w:rsid w:val="00F7497C"/>
    <w:rsid w:val="00F8080B"/>
    <w:rsid w:val="00F80C4C"/>
    <w:rsid w:val="00F816EC"/>
    <w:rsid w:val="00F84FA3"/>
    <w:rsid w:val="00F9469F"/>
    <w:rsid w:val="00FA096B"/>
    <w:rsid w:val="00FA5A07"/>
    <w:rsid w:val="00FB7D9D"/>
    <w:rsid w:val="00FC1E91"/>
    <w:rsid w:val="00FC284E"/>
    <w:rsid w:val="00FC3693"/>
    <w:rsid w:val="00FC7F7A"/>
    <w:rsid w:val="00FF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C14BD"/>
  <w15:docId w15:val="{9DC1E465-4CF1-419E-BC09-A97EF8B7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260"/>
      </w:tabs>
      <w:ind w:firstLine="900"/>
      <w:outlineLvl w:val="0"/>
    </w:pPr>
    <w:rPr>
      <w:rFonts w:ascii="Times New Roman" w:hAnsi="Times New Roman"/>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hAnsi="Times New Roman"/>
      <w:b/>
      <w:u w:val="single"/>
    </w:rPr>
  </w:style>
  <w:style w:type="paragraph" w:styleId="Heading3">
    <w:name w:val="heading 3"/>
    <w:basedOn w:val="Normal"/>
    <w:next w:val="Normal"/>
    <w:qFormat/>
    <w:pPr>
      <w:keepNext/>
      <w:widowControl w:val="0"/>
      <w:tabs>
        <w:tab w:val="left" w:pos="-1440"/>
        <w:tab w:val="left" w:pos="-720"/>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540"/>
      <w:outlineLvl w:val="2"/>
    </w:pPr>
    <w:rPr>
      <w:rFonts w:ascii="Times New Roman" w:hAnsi="Times New Roman"/>
    </w:rPr>
  </w:style>
  <w:style w:type="paragraph" w:styleId="Heading4">
    <w:name w:val="heading 4"/>
    <w:basedOn w:val="Normal"/>
    <w:next w:val="Normal"/>
    <w:qFormat/>
    <w:pPr>
      <w:keepNext/>
      <w:widowControl w:val="0"/>
      <w:tabs>
        <w:tab w:val="left" w:pos="540"/>
      </w:tabs>
      <w:outlineLvl w:val="3"/>
    </w:pPr>
    <w:rPr>
      <w:rFonts w:ascii="Times New Roman" w:hAnsi="Times New Roman"/>
      <w:b/>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rFonts w:ascii="Times New Roman" w:hAnsi="Times New Roman"/>
      <w:b/>
      <w:sz w:val="28"/>
    </w:rPr>
  </w:style>
  <w:style w:type="paragraph" w:styleId="Heading6">
    <w:name w:val="heading 6"/>
    <w:basedOn w:val="Normal"/>
    <w:next w:val="Normal"/>
    <w:qFormat/>
    <w:pPr>
      <w:keepNext/>
      <w:tabs>
        <w:tab w:val="center" w:pos="7200"/>
      </w:tabs>
      <w:jc w:val="center"/>
      <w:outlineLvl w:val="5"/>
    </w:pPr>
    <w:rPr>
      <w:rFonts w:ascii="Times New Roman" w:hAnsi="Times New Roman"/>
      <w:b/>
    </w:rPr>
  </w:style>
  <w:style w:type="paragraph" w:styleId="Heading7">
    <w:name w:val="heading 7"/>
    <w:basedOn w:val="Normal"/>
    <w:next w:val="Normal"/>
    <w:qFormat/>
    <w:pPr>
      <w:keepNext/>
      <w:widowControl w:val="0"/>
      <w:ind w:left="540"/>
      <w:outlineLvl w:val="6"/>
    </w:pPr>
    <w:rPr>
      <w:rFonts w:ascii="Times New Roman" w:hAnsi="Times New Roman"/>
      <w:snapToGrid w:val="0"/>
      <w:color w:val="000000"/>
      <w:u w:val="single"/>
    </w:rPr>
  </w:style>
  <w:style w:type="paragraph" w:styleId="Heading8">
    <w:name w:val="heading 8"/>
    <w:basedOn w:val="Normal"/>
    <w:next w:val="Normal"/>
    <w:qFormat/>
    <w:pPr>
      <w:keepNext/>
      <w:ind w:left="540"/>
      <w:outlineLvl w:val="7"/>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widowControl w:val="0"/>
      <w:ind w:left="720" w:hanging="720"/>
    </w:pPr>
    <w:rPr>
      <w:rFonts w:ascii="Courier" w:hAnsi="Courier"/>
      <w:snapToGrid w:val="0"/>
    </w:rPr>
  </w:style>
  <w:style w:type="paragraph" w:styleId="Title">
    <w:name w:val="Title"/>
    <w:basedOn w:val="Normal"/>
    <w:qFormat/>
    <w:pPr>
      <w:widowControl w:val="0"/>
      <w:jc w:val="center"/>
    </w:pPr>
    <w:rPr>
      <w:rFonts w:ascii="Times New Roman" w:hAnsi="Times New Roman"/>
      <w:b/>
    </w:rPr>
  </w:style>
  <w:style w:type="paragraph" w:styleId="Caption">
    <w:name w:val="caption"/>
    <w:basedOn w:val="Normal"/>
    <w:next w:val="Normal"/>
    <w:qFormat/>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s>
    </w:pPr>
    <w:rPr>
      <w:rFonts w:ascii="Univers" w:hAnsi="Univers"/>
    </w:rPr>
  </w:style>
  <w:style w:type="paragraph" w:styleId="BodyTextIndent">
    <w:name w:val="Body Text Indent"/>
    <w:basedOn w:val="Normal"/>
    <w:pPr>
      <w:ind w:left="540"/>
    </w:pPr>
    <w:rPr>
      <w:rFonts w:ascii="Times New Roman" w:hAnsi="Times New Roman"/>
    </w:rPr>
  </w:style>
  <w:style w:type="character" w:styleId="Hyperlink">
    <w:name w:val="Hyperlink"/>
    <w:rPr>
      <w:color w:val="0000FF"/>
      <w:u w:val="single"/>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rPr>
  </w:style>
  <w:style w:type="paragraph" w:styleId="BodyTextIndent2">
    <w:name w:val="Body Text Indent 2"/>
    <w:basedOn w:val="Normal"/>
    <w:pPr>
      <w:ind w:left="1260"/>
    </w:pPr>
    <w:rPr>
      <w:rFonts w:ascii="Times New Roman" w:hAnsi="Times New Roman"/>
    </w:rPr>
  </w:style>
  <w:style w:type="paragraph" w:styleId="BlockText">
    <w:name w:val="Block Text"/>
    <w:basedOn w:val="Normal"/>
    <w:pPr>
      <w:tabs>
        <w:tab w:val="left" w:pos="-720"/>
        <w:tab w:val="left" w:pos="0"/>
        <w:tab w:val="left" w:pos="1440"/>
        <w:tab w:val="left" w:pos="2160"/>
        <w:tab w:val="left" w:pos="3600"/>
        <w:tab w:val="left" w:pos="4320"/>
        <w:tab w:val="left" w:leader="dot" w:pos="4500"/>
      </w:tabs>
      <w:ind w:left="540" w:right="720"/>
    </w:pPr>
    <w:rPr>
      <w:rFonts w:ascii="Times New Roman" w:hAnsi="Times New Roman"/>
    </w:rPr>
  </w:style>
  <w:style w:type="paragraph" w:styleId="BodyTextIndent3">
    <w:name w:val="Body Text Indent 3"/>
    <w:basedOn w:val="Normal"/>
    <w:pPr>
      <w:tabs>
        <w:tab w:val="left" w:pos="-1440"/>
        <w:tab w:val="left" w:pos="-720"/>
        <w:tab w:val="left" w:pos="720"/>
        <w:tab w:val="left" w:pos="1440"/>
        <w:tab w:val="left" w:pos="2880"/>
        <w:tab w:val="left" w:pos="3600"/>
        <w:tab w:val="left" w:leader="dot" w:pos="3780"/>
      </w:tabs>
      <w:ind w:left="2880" w:hanging="2340"/>
    </w:pPr>
    <w:rPr>
      <w:rFonts w:ascii="Times New Roman" w:hAnsi="Times New Roman"/>
    </w:rPr>
  </w:style>
  <w:style w:type="paragraph" w:styleId="BodyText2">
    <w:name w:val="Body Text 2"/>
    <w:basedOn w:val="Normal"/>
    <w:pPr>
      <w:tabs>
        <w:tab w:val="left" w:pos="-1440"/>
        <w:tab w:val="left" w:pos="-720"/>
        <w:tab w:val="left" w:pos="720"/>
        <w:tab w:val="left" w:pos="1440"/>
        <w:tab w:val="left" w:pos="2880"/>
        <w:tab w:val="left" w:pos="3600"/>
        <w:tab w:val="left" w:leader="dot" w:pos="3780"/>
      </w:tabs>
      <w:jc w:val="center"/>
    </w:pPr>
    <w:rPr>
      <w:rFonts w:ascii="Times New Roman" w:hAnsi="Times New Roman"/>
      <w:b/>
    </w:rPr>
  </w:style>
  <w:style w:type="paragraph" w:styleId="BalloonText">
    <w:name w:val="Balloon Text"/>
    <w:basedOn w:val="Normal"/>
    <w:semiHidden/>
    <w:rsid w:val="00E143E8"/>
    <w:rPr>
      <w:rFonts w:ascii="Tahoma" w:hAnsi="Tahoma" w:cs="Tahoma"/>
      <w:sz w:val="16"/>
      <w:szCs w:val="16"/>
    </w:rPr>
  </w:style>
  <w:style w:type="table" w:styleId="TableGrid">
    <w:name w:val="Table Grid"/>
    <w:basedOn w:val="TableNormal"/>
    <w:rsid w:val="00D3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F2467"/>
    <w:rPr>
      <w:sz w:val="20"/>
    </w:rPr>
  </w:style>
  <w:style w:type="character" w:styleId="FootnoteReference">
    <w:name w:val="footnote reference"/>
    <w:semiHidden/>
    <w:rsid w:val="002F2467"/>
    <w:rPr>
      <w:vertAlign w:val="superscript"/>
    </w:rPr>
  </w:style>
  <w:style w:type="character" w:styleId="CommentReference">
    <w:name w:val="annotation reference"/>
    <w:semiHidden/>
    <w:rsid w:val="00E5776C"/>
    <w:rPr>
      <w:sz w:val="16"/>
      <w:szCs w:val="16"/>
    </w:rPr>
  </w:style>
  <w:style w:type="paragraph" w:styleId="CommentText">
    <w:name w:val="annotation text"/>
    <w:basedOn w:val="Normal"/>
    <w:semiHidden/>
    <w:rsid w:val="00E5776C"/>
    <w:rPr>
      <w:sz w:val="20"/>
    </w:rPr>
  </w:style>
  <w:style w:type="paragraph" w:styleId="CommentSubject">
    <w:name w:val="annotation subject"/>
    <w:basedOn w:val="CommentText"/>
    <w:next w:val="CommentText"/>
    <w:semiHidden/>
    <w:rsid w:val="00E5776C"/>
    <w:rPr>
      <w:b/>
      <w:bCs/>
    </w:rPr>
  </w:style>
  <w:style w:type="paragraph" w:styleId="Revision">
    <w:name w:val="Revision"/>
    <w:hidden/>
    <w:uiPriority w:val="99"/>
    <w:semiHidden/>
    <w:rsid w:val="00086714"/>
    <w:rPr>
      <w:rFonts w:ascii="Arial" w:hAnsi="Arial"/>
      <w:sz w:val="24"/>
    </w:rPr>
  </w:style>
  <w:style w:type="paragraph" w:styleId="ListParagraph">
    <w:name w:val="List Paragraph"/>
    <w:basedOn w:val="Normal"/>
    <w:uiPriority w:val="34"/>
    <w:qFormat/>
    <w:rsid w:val="007E63C8"/>
    <w:pPr>
      <w:ind w:left="720"/>
      <w:contextualSpacing/>
    </w:pPr>
  </w:style>
  <w:style w:type="character" w:styleId="UnresolvedMention">
    <w:name w:val="Unresolved Mention"/>
    <w:basedOn w:val="DefaultParagraphFont"/>
    <w:uiPriority w:val="99"/>
    <w:semiHidden/>
    <w:unhideWhenUsed/>
    <w:rsid w:val="009A0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99195">
      <w:bodyDiv w:val="1"/>
      <w:marLeft w:val="0"/>
      <w:marRight w:val="0"/>
      <w:marTop w:val="0"/>
      <w:marBottom w:val="0"/>
      <w:divBdr>
        <w:top w:val="none" w:sz="0" w:space="0" w:color="auto"/>
        <w:left w:val="none" w:sz="0" w:space="0" w:color="auto"/>
        <w:bottom w:val="none" w:sz="0" w:space="0" w:color="auto"/>
        <w:right w:val="none" w:sz="0" w:space="0" w:color="auto"/>
      </w:divBdr>
    </w:div>
    <w:div w:id="512185881">
      <w:bodyDiv w:val="1"/>
      <w:marLeft w:val="0"/>
      <w:marRight w:val="0"/>
      <w:marTop w:val="0"/>
      <w:marBottom w:val="0"/>
      <w:divBdr>
        <w:top w:val="none" w:sz="0" w:space="0" w:color="auto"/>
        <w:left w:val="none" w:sz="0" w:space="0" w:color="auto"/>
        <w:bottom w:val="none" w:sz="0" w:space="0" w:color="auto"/>
        <w:right w:val="none" w:sz="0" w:space="0" w:color="auto"/>
      </w:divBdr>
    </w:div>
    <w:div w:id="1079444194">
      <w:bodyDiv w:val="1"/>
      <w:marLeft w:val="0"/>
      <w:marRight w:val="0"/>
      <w:marTop w:val="0"/>
      <w:marBottom w:val="0"/>
      <w:divBdr>
        <w:top w:val="none" w:sz="0" w:space="0" w:color="auto"/>
        <w:left w:val="none" w:sz="0" w:space="0" w:color="auto"/>
        <w:bottom w:val="none" w:sz="0" w:space="0" w:color="auto"/>
        <w:right w:val="none" w:sz="0" w:space="0" w:color="auto"/>
      </w:divBdr>
    </w:div>
    <w:div w:id="1214270256">
      <w:bodyDiv w:val="1"/>
      <w:marLeft w:val="0"/>
      <w:marRight w:val="0"/>
      <w:marTop w:val="0"/>
      <w:marBottom w:val="0"/>
      <w:divBdr>
        <w:top w:val="none" w:sz="0" w:space="0" w:color="auto"/>
        <w:left w:val="none" w:sz="0" w:space="0" w:color="auto"/>
        <w:bottom w:val="none" w:sz="0" w:space="0" w:color="auto"/>
        <w:right w:val="none" w:sz="0" w:space="0" w:color="auto"/>
      </w:divBdr>
    </w:div>
    <w:div w:id="1390152638">
      <w:bodyDiv w:val="1"/>
      <w:marLeft w:val="2"/>
      <w:marRight w:val="2"/>
      <w:marTop w:val="1"/>
      <w:marBottom w:val="2"/>
      <w:divBdr>
        <w:top w:val="none" w:sz="0" w:space="0" w:color="auto"/>
        <w:left w:val="none" w:sz="0" w:space="0" w:color="auto"/>
        <w:bottom w:val="none" w:sz="0" w:space="0" w:color="auto"/>
        <w:right w:val="none" w:sz="0" w:space="0" w:color="auto"/>
      </w:divBdr>
      <w:divsChild>
        <w:div w:id="321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BEEE9-6187-4CD0-B915-86975B69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1668</Words>
  <Characters>9891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OMB INFORMATION COLLECTION FOR</vt:lpstr>
    </vt:vector>
  </TitlesOfParts>
  <Company>FDA/CDRH</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FOR</dc:title>
  <dc:subject/>
  <dc:creator>Chris Colburn</dc:creator>
  <cp:keywords/>
  <cp:lastModifiedBy>Capezzuto, JonnaLynn</cp:lastModifiedBy>
  <cp:revision>2</cp:revision>
  <cp:lastPrinted>2010-02-17T17:27:00Z</cp:lastPrinted>
  <dcterms:created xsi:type="dcterms:W3CDTF">2022-08-10T13:20:00Z</dcterms:created>
  <dcterms:modified xsi:type="dcterms:W3CDTF">2022-08-10T13:20:00Z</dcterms:modified>
</cp:coreProperties>
</file>