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0815" w:rsidRDefault="003B0815" w14:paraId="776DA394" w14:textId="77777777">
      <w:pPr>
        <w:jc w:val="center"/>
        <w:rPr>
          <w:rFonts w:ascii="Book Antiqua" w:hAnsi="Book Antiqua"/>
          <w:b/>
          <w:sz w:val="28"/>
          <w:szCs w:val="28"/>
        </w:rPr>
      </w:pPr>
    </w:p>
    <w:p w:rsidR="003B0815" w:rsidRDefault="003B0815" w14:paraId="44296B7D" w14:textId="77777777">
      <w:pPr>
        <w:jc w:val="center"/>
        <w:rPr>
          <w:rFonts w:ascii="Book Antiqua" w:hAnsi="Book Antiqua"/>
          <w:b/>
          <w:sz w:val="28"/>
          <w:szCs w:val="28"/>
        </w:rPr>
      </w:pPr>
    </w:p>
    <w:p w:rsidR="003B0815" w:rsidRDefault="003B0815" w14:paraId="040D64AB" w14:textId="77777777">
      <w:pPr>
        <w:jc w:val="center"/>
        <w:rPr>
          <w:rFonts w:ascii="Book Antiqua" w:hAnsi="Book Antiqua"/>
          <w:b/>
          <w:sz w:val="28"/>
          <w:szCs w:val="28"/>
        </w:rPr>
      </w:pPr>
    </w:p>
    <w:p w:rsidR="003B0815" w:rsidRDefault="003B0815" w14:paraId="10DBA7D3" w14:textId="77777777">
      <w:pPr>
        <w:jc w:val="center"/>
        <w:rPr>
          <w:rFonts w:ascii="Book Antiqua" w:hAnsi="Book Antiqua"/>
          <w:b/>
          <w:sz w:val="28"/>
          <w:szCs w:val="28"/>
        </w:rPr>
      </w:pPr>
    </w:p>
    <w:p w:rsidR="003B0815" w:rsidRDefault="003B0815" w14:paraId="55C209DD" w14:textId="77777777">
      <w:pPr>
        <w:jc w:val="center"/>
        <w:rPr>
          <w:rFonts w:ascii="Book Antiqua" w:hAnsi="Book Antiqua"/>
          <w:b/>
          <w:sz w:val="28"/>
          <w:szCs w:val="28"/>
        </w:rPr>
      </w:pPr>
    </w:p>
    <w:p w:rsidR="003B0815" w:rsidRDefault="003B0815" w14:paraId="100156AE" w14:textId="77777777">
      <w:pPr>
        <w:jc w:val="center"/>
        <w:rPr>
          <w:rFonts w:ascii="Book Antiqua" w:hAnsi="Book Antiqua"/>
          <w:b/>
          <w:sz w:val="28"/>
          <w:szCs w:val="28"/>
        </w:rPr>
      </w:pPr>
    </w:p>
    <w:p w:rsidR="003B0815" w:rsidRDefault="003B0815" w14:paraId="1E66FA33" w14:textId="77777777">
      <w:pPr>
        <w:jc w:val="center"/>
        <w:rPr>
          <w:rFonts w:ascii="Book Antiqua" w:hAnsi="Book Antiqua"/>
          <w:b/>
          <w:sz w:val="28"/>
          <w:szCs w:val="28"/>
        </w:rPr>
      </w:pPr>
    </w:p>
    <w:p w:rsidR="003B0815" w:rsidRDefault="003B0815" w14:paraId="6F9937B6" w14:textId="77777777">
      <w:pPr>
        <w:jc w:val="center"/>
        <w:rPr>
          <w:rFonts w:ascii="Book Antiqua" w:hAnsi="Book Antiqua"/>
          <w:b/>
          <w:sz w:val="28"/>
          <w:szCs w:val="28"/>
        </w:rPr>
      </w:pPr>
    </w:p>
    <w:p w:rsidR="003B0815" w:rsidRDefault="003B0815" w14:paraId="63FB425E" w14:textId="77777777">
      <w:pPr>
        <w:jc w:val="center"/>
        <w:rPr>
          <w:rFonts w:ascii="Book Antiqua" w:hAnsi="Book Antiqua"/>
          <w:b/>
          <w:sz w:val="28"/>
          <w:szCs w:val="28"/>
        </w:rPr>
      </w:pPr>
      <w:r>
        <w:rPr>
          <w:rFonts w:ascii="Book Antiqua" w:hAnsi="Book Antiqua"/>
          <w:b/>
          <w:sz w:val="28"/>
          <w:szCs w:val="28"/>
        </w:rPr>
        <w:t>REGULATORY EVALUATION</w:t>
      </w:r>
    </w:p>
    <w:p w:rsidR="003B0815" w:rsidRDefault="003B0815" w14:paraId="392DF6BA" w14:textId="77777777">
      <w:pPr>
        <w:jc w:val="center"/>
        <w:rPr>
          <w:rFonts w:ascii="Book Antiqua" w:hAnsi="Book Antiqua"/>
          <w:b/>
          <w:sz w:val="28"/>
          <w:szCs w:val="28"/>
        </w:rPr>
      </w:pPr>
    </w:p>
    <w:p w:rsidR="003B0815" w:rsidRDefault="003B0815" w14:paraId="335F0A99" w14:textId="77777777">
      <w:pPr>
        <w:jc w:val="center"/>
        <w:rPr>
          <w:rFonts w:ascii="Book Antiqua" w:hAnsi="Book Antiqua"/>
          <w:b/>
          <w:sz w:val="28"/>
          <w:szCs w:val="28"/>
        </w:rPr>
      </w:pPr>
    </w:p>
    <w:p w:rsidR="003B0815" w:rsidRDefault="003B0815" w14:paraId="60265EEE" w14:textId="77777777">
      <w:pPr>
        <w:jc w:val="center"/>
        <w:rPr>
          <w:rFonts w:ascii="Book Antiqua" w:hAnsi="Book Antiqua"/>
          <w:b/>
          <w:sz w:val="28"/>
          <w:szCs w:val="28"/>
        </w:rPr>
      </w:pPr>
    </w:p>
    <w:p w:rsidR="003B0815" w:rsidRDefault="003B0815" w14:paraId="3B14B803" w14:textId="77777777">
      <w:pPr>
        <w:jc w:val="center"/>
        <w:rPr>
          <w:rFonts w:ascii="Book Antiqua" w:hAnsi="Book Antiqua"/>
          <w:b/>
          <w:sz w:val="28"/>
          <w:szCs w:val="28"/>
        </w:rPr>
      </w:pPr>
    </w:p>
    <w:p w:rsidR="003B0815" w:rsidRDefault="003B0815" w14:paraId="24E425FB" w14:textId="77777777">
      <w:pPr>
        <w:jc w:val="center"/>
        <w:rPr>
          <w:rFonts w:ascii="Book Antiqua" w:hAnsi="Book Antiqua"/>
          <w:b/>
          <w:sz w:val="28"/>
          <w:szCs w:val="28"/>
        </w:rPr>
      </w:pPr>
    </w:p>
    <w:p w:rsidR="003B0815" w:rsidRDefault="003B0815" w14:paraId="5F91CE52" w14:textId="77777777">
      <w:pPr>
        <w:jc w:val="center"/>
        <w:rPr>
          <w:rFonts w:ascii="Book Antiqua" w:hAnsi="Book Antiqua"/>
          <w:b/>
          <w:sz w:val="28"/>
          <w:szCs w:val="28"/>
        </w:rPr>
      </w:pPr>
    </w:p>
    <w:p w:rsidR="003B0815" w:rsidRDefault="003B0815" w14:paraId="77A50C35" w14:textId="77777777">
      <w:pPr>
        <w:jc w:val="center"/>
        <w:rPr>
          <w:rFonts w:ascii="Book Antiqua" w:hAnsi="Book Antiqua"/>
          <w:b/>
          <w:sz w:val="28"/>
          <w:szCs w:val="28"/>
        </w:rPr>
      </w:pPr>
      <w:r>
        <w:rPr>
          <w:rFonts w:ascii="Book Antiqua" w:hAnsi="Book Antiqua"/>
          <w:b/>
          <w:sz w:val="28"/>
          <w:szCs w:val="28"/>
        </w:rPr>
        <w:t>FINAL RULE</w:t>
      </w:r>
    </w:p>
    <w:p w:rsidR="003B0815" w:rsidRDefault="003B0815" w14:paraId="11D24717" w14:textId="77777777">
      <w:pPr>
        <w:jc w:val="center"/>
        <w:rPr>
          <w:rFonts w:ascii="Book Antiqua" w:hAnsi="Book Antiqua"/>
          <w:b/>
          <w:sz w:val="28"/>
          <w:szCs w:val="28"/>
        </w:rPr>
      </w:pPr>
    </w:p>
    <w:p w:rsidR="003B0815" w:rsidRDefault="003B0815" w14:paraId="4AFDFE51" w14:textId="77777777">
      <w:pPr>
        <w:jc w:val="center"/>
        <w:rPr>
          <w:rFonts w:ascii="Book Antiqua" w:hAnsi="Book Antiqua"/>
          <w:b/>
          <w:sz w:val="28"/>
          <w:szCs w:val="28"/>
        </w:rPr>
      </w:pPr>
    </w:p>
    <w:p w:rsidR="003B0815" w:rsidRDefault="003B0815" w14:paraId="0D1255C7" w14:textId="77777777">
      <w:pPr>
        <w:jc w:val="center"/>
        <w:rPr>
          <w:rFonts w:ascii="Book Antiqua" w:hAnsi="Book Antiqua"/>
          <w:b/>
          <w:sz w:val="28"/>
          <w:szCs w:val="28"/>
        </w:rPr>
      </w:pPr>
    </w:p>
    <w:p w:rsidR="003B0815" w:rsidRDefault="003B0815" w14:paraId="1371596F" w14:textId="77777777">
      <w:pPr>
        <w:jc w:val="center"/>
        <w:rPr>
          <w:rFonts w:ascii="Book Antiqua" w:hAnsi="Book Antiqua"/>
          <w:b/>
          <w:sz w:val="28"/>
          <w:szCs w:val="28"/>
        </w:rPr>
      </w:pPr>
      <w:r>
        <w:rPr>
          <w:rFonts w:ascii="Book Antiqua" w:hAnsi="Book Antiqua"/>
          <w:b/>
          <w:sz w:val="28"/>
          <w:szCs w:val="28"/>
        </w:rPr>
        <w:t>SECURE FLIGHT</w:t>
      </w:r>
    </w:p>
    <w:p w:rsidR="003B0815" w:rsidRDefault="003B0815" w14:paraId="7E80BC41" w14:textId="77777777">
      <w:pPr>
        <w:jc w:val="center"/>
        <w:rPr>
          <w:rFonts w:ascii="Book Antiqua" w:hAnsi="Book Antiqua"/>
          <w:b/>
          <w:sz w:val="28"/>
          <w:szCs w:val="28"/>
        </w:rPr>
      </w:pPr>
    </w:p>
    <w:p w:rsidR="003B0815" w:rsidRDefault="003B0815" w14:paraId="2BC30E03" w14:textId="77777777">
      <w:pPr>
        <w:jc w:val="center"/>
        <w:rPr>
          <w:rFonts w:ascii="Book Antiqua" w:hAnsi="Book Antiqua"/>
          <w:b/>
          <w:sz w:val="28"/>
          <w:szCs w:val="28"/>
        </w:rPr>
      </w:pPr>
      <w:r>
        <w:rPr>
          <w:rFonts w:ascii="Book Antiqua" w:hAnsi="Book Antiqua"/>
          <w:b/>
          <w:sz w:val="28"/>
          <w:szCs w:val="28"/>
        </w:rPr>
        <w:t>(49 CFR 1560)</w:t>
      </w:r>
    </w:p>
    <w:p w:rsidR="003B0815" w:rsidRDefault="003B0815" w14:paraId="74FD616D" w14:textId="77777777">
      <w:pPr>
        <w:jc w:val="center"/>
        <w:rPr>
          <w:rFonts w:ascii="Book Antiqua" w:hAnsi="Book Antiqua"/>
          <w:b/>
          <w:sz w:val="28"/>
          <w:szCs w:val="28"/>
        </w:rPr>
      </w:pPr>
    </w:p>
    <w:p w:rsidR="003B0815" w:rsidRDefault="003B0815" w14:paraId="378F98B8" w14:textId="77777777">
      <w:pPr>
        <w:jc w:val="center"/>
        <w:rPr>
          <w:rFonts w:ascii="Book Antiqua" w:hAnsi="Book Antiqua"/>
          <w:b/>
          <w:sz w:val="28"/>
          <w:szCs w:val="28"/>
        </w:rPr>
      </w:pPr>
    </w:p>
    <w:p w:rsidR="003B0815" w:rsidRDefault="003B0815" w14:paraId="1AE2AA15" w14:textId="77777777">
      <w:pPr>
        <w:jc w:val="center"/>
        <w:rPr>
          <w:rFonts w:ascii="Book Antiqua" w:hAnsi="Book Antiqua"/>
          <w:b/>
          <w:sz w:val="28"/>
          <w:szCs w:val="28"/>
        </w:rPr>
      </w:pPr>
    </w:p>
    <w:p w:rsidR="003B0815" w:rsidRDefault="003B0815" w14:paraId="04A395F0" w14:textId="77777777">
      <w:pPr>
        <w:jc w:val="center"/>
        <w:rPr>
          <w:rFonts w:ascii="Book Antiqua" w:hAnsi="Book Antiqua"/>
          <w:b/>
          <w:sz w:val="28"/>
          <w:szCs w:val="28"/>
        </w:rPr>
      </w:pPr>
      <w:r>
        <w:rPr>
          <w:rFonts w:ascii="Book Antiqua" w:hAnsi="Book Antiqua"/>
          <w:b/>
          <w:sz w:val="28"/>
          <w:szCs w:val="28"/>
        </w:rPr>
        <w:t>Regulatory and Economic Analysis</w:t>
      </w:r>
    </w:p>
    <w:p w:rsidR="003B0815" w:rsidRDefault="003B0815" w14:paraId="12BBD568" w14:textId="77777777">
      <w:pPr>
        <w:jc w:val="center"/>
        <w:rPr>
          <w:rFonts w:ascii="Book Antiqua" w:hAnsi="Book Antiqua"/>
          <w:b/>
          <w:sz w:val="28"/>
          <w:szCs w:val="28"/>
        </w:rPr>
      </w:pPr>
      <w:r>
        <w:rPr>
          <w:rFonts w:ascii="Book Antiqua" w:hAnsi="Book Antiqua"/>
          <w:b/>
          <w:sz w:val="28"/>
          <w:szCs w:val="28"/>
        </w:rPr>
        <w:t>Transportation Sector Network Management</w:t>
      </w:r>
    </w:p>
    <w:p w:rsidR="003B0815" w:rsidRDefault="003B0815" w14:paraId="4AF6B99E" w14:textId="77777777">
      <w:pPr>
        <w:jc w:val="center"/>
        <w:rPr>
          <w:rFonts w:ascii="Book Antiqua" w:hAnsi="Book Antiqua"/>
          <w:b/>
          <w:sz w:val="28"/>
          <w:szCs w:val="28"/>
        </w:rPr>
      </w:pPr>
      <w:r>
        <w:rPr>
          <w:rFonts w:ascii="Book Antiqua" w:hAnsi="Book Antiqua"/>
          <w:b/>
          <w:sz w:val="28"/>
          <w:szCs w:val="28"/>
        </w:rPr>
        <w:t>Transportation Security Administration</w:t>
      </w:r>
    </w:p>
    <w:p w:rsidR="003B0815" w:rsidRDefault="003B0815" w14:paraId="763BBD22" w14:textId="77777777">
      <w:pPr>
        <w:jc w:val="center"/>
        <w:rPr>
          <w:rFonts w:ascii="Book Antiqua" w:hAnsi="Book Antiqua"/>
          <w:b/>
          <w:sz w:val="28"/>
          <w:szCs w:val="28"/>
        </w:rPr>
      </w:pPr>
      <w:r>
        <w:rPr>
          <w:rFonts w:ascii="Book Antiqua" w:hAnsi="Book Antiqua"/>
          <w:b/>
          <w:sz w:val="28"/>
          <w:szCs w:val="28"/>
        </w:rPr>
        <w:t>Department of Homeland Security</w:t>
      </w:r>
    </w:p>
    <w:p w:rsidR="003B0815" w:rsidRDefault="003B0815" w14:paraId="6CD3C047" w14:textId="77777777">
      <w:pPr>
        <w:jc w:val="center"/>
        <w:rPr>
          <w:rFonts w:ascii="Book Antiqua" w:hAnsi="Book Antiqua"/>
          <w:b/>
          <w:sz w:val="28"/>
          <w:szCs w:val="28"/>
        </w:rPr>
      </w:pPr>
    </w:p>
    <w:p w:rsidR="003B0815" w:rsidRDefault="003B0815" w14:paraId="1284589C" w14:textId="77777777">
      <w:pPr>
        <w:jc w:val="center"/>
        <w:rPr>
          <w:rFonts w:ascii="Book Antiqua" w:hAnsi="Book Antiqua"/>
          <w:b/>
          <w:sz w:val="28"/>
          <w:szCs w:val="28"/>
        </w:rPr>
      </w:pPr>
    </w:p>
    <w:p w:rsidR="003B0815" w:rsidRDefault="003B0815" w14:paraId="7A48130A" w14:textId="77777777">
      <w:pPr>
        <w:jc w:val="center"/>
        <w:rPr>
          <w:rFonts w:ascii="Book Antiqua" w:hAnsi="Book Antiqua"/>
          <w:b/>
          <w:sz w:val="28"/>
          <w:szCs w:val="28"/>
        </w:rPr>
      </w:pPr>
    </w:p>
    <w:p w:rsidR="003B0815" w:rsidRDefault="003B0815" w14:paraId="3A0F5394" w14:textId="77777777">
      <w:pPr>
        <w:jc w:val="center"/>
        <w:rPr>
          <w:rFonts w:ascii="Book Antiqua" w:hAnsi="Book Antiqua"/>
          <w:b/>
          <w:sz w:val="28"/>
          <w:szCs w:val="28"/>
        </w:rPr>
      </w:pPr>
    </w:p>
    <w:p w:rsidR="003B0815" w:rsidRDefault="003B0815" w14:paraId="790632CC" w14:textId="77777777">
      <w:pPr>
        <w:jc w:val="center"/>
        <w:rPr>
          <w:rFonts w:ascii="Book Antiqua" w:hAnsi="Book Antiqua"/>
          <w:b/>
          <w:sz w:val="28"/>
          <w:szCs w:val="28"/>
        </w:rPr>
      </w:pPr>
    </w:p>
    <w:p w:rsidR="003B0815" w:rsidRDefault="003B0815" w14:paraId="7DD7BABC" w14:textId="77777777">
      <w:pPr>
        <w:jc w:val="center"/>
        <w:rPr>
          <w:rFonts w:ascii="Book Antiqua" w:hAnsi="Book Antiqua"/>
          <w:b/>
          <w:sz w:val="28"/>
          <w:szCs w:val="28"/>
        </w:rPr>
        <w:sectPr w:rsidR="003B08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Pr>
          <w:rFonts w:ascii="Book Antiqua" w:hAnsi="Book Antiqua"/>
          <w:b/>
          <w:sz w:val="28"/>
          <w:szCs w:val="28"/>
        </w:rPr>
        <w:t>October 17, 2008</w:t>
      </w:r>
    </w:p>
    <w:p w:rsidR="003B0815" w:rsidRDefault="003B0815" w14:paraId="5823BD99" w14:textId="77777777">
      <w:pPr>
        <w:jc w:val="center"/>
        <w:rPr>
          <w:rFonts w:ascii="Book Antiqua" w:hAnsi="Book Antiqua"/>
          <w:b/>
          <w:sz w:val="28"/>
          <w:szCs w:val="28"/>
        </w:rPr>
      </w:pPr>
      <w:r>
        <w:rPr>
          <w:rFonts w:ascii="Book Antiqua" w:hAnsi="Book Antiqua"/>
          <w:b/>
          <w:sz w:val="28"/>
          <w:szCs w:val="28"/>
        </w:rPr>
        <w:lastRenderedPageBreak/>
        <w:t>CONTENTS</w:t>
      </w:r>
    </w:p>
    <w:p w:rsidR="003B0815" w:rsidRDefault="003B0815" w14:paraId="6E2D87CC" w14:textId="77777777">
      <w:pPr>
        <w:jc w:val="center"/>
        <w:rPr>
          <w:rFonts w:ascii="Book Antiqua" w:hAnsi="Book Antiqua"/>
          <w:b/>
          <w:sz w:val="28"/>
          <w:szCs w:val="28"/>
        </w:rPr>
      </w:pPr>
    </w:p>
    <w:p w:rsidR="003B0815" w:rsidRDefault="003B0815" w14:paraId="63BF888E" w14:textId="77777777">
      <w:pPr>
        <w:pStyle w:val="TOC1"/>
        <w:tabs>
          <w:tab w:val="right" w:leader="dot" w:pos="9350"/>
        </w:tabs>
        <w:rPr>
          <w:b w:val="0"/>
          <w:bCs w:val="0"/>
          <w:caps w:val="0"/>
          <w:noProof/>
          <w:szCs w:val="24"/>
        </w:rPr>
      </w:pPr>
      <w:r>
        <w:rPr>
          <w:rFonts w:ascii="Book Antiqua" w:hAnsi="Book Antiqua"/>
          <w:caps w:val="0"/>
          <w:sz w:val="22"/>
          <w:szCs w:val="22"/>
        </w:rPr>
        <w:fldChar w:fldCharType="begin" w:fldLock="1"/>
      </w:r>
      <w:r>
        <w:rPr>
          <w:rFonts w:ascii="Book Antiqua" w:hAnsi="Book Antiqua"/>
          <w:caps w:val="0"/>
          <w:sz w:val="22"/>
          <w:szCs w:val="22"/>
        </w:rPr>
        <w:instrText xml:space="preserve"> TOC \h \z \t "Reg Eval Header,1,Reg Eval Part Header,2,Reg Eval Section Header,3,Reg Eval Section Subheader,4" </w:instrText>
      </w:r>
      <w:r>
        <w:rPr>
          <w:rFonts w:ascii="Book Antiqua" w:hAnsi="Book Antiqua"/>
          <w:caps w:val="0"/>
          <w:sz w:val="22"/>
          <w:szCs w:val="22"/>
        </w:rPr>
        <w:fldChar w:fldCharType="separate"/>
      </w:r>
      <w:hyperlink w:history="1" w:anchor="_Toc202683368">
        <w:r>
          <w:rPr>
            <w:rStyle w:val="Hyperlink"/>
            <w:noProof/>
          </w:rPr>
          <w:t>REGULATORY IMPACT ANALYSES</w:t>
        </w:r>
        <w:r>
          <w:rPr>
            <w:noProof/>
            <w:webHidden/>
          </w:rPr>
          <w:tab/>
        </w:r>
        <w:r>
          <w:rPr>
            <w:noProof/>
            <w:webHidden/>
          </w:rPr>
          <w:fldChar w:fldCharType="begin" w:fldLock="1"/>
        </w:r>
        <w:r>
          <w:rPr>
            <w:noProof/>
            <w:webHidden/>
          </w:rPr>
          <w:instrText xml:space="preserve"> PAGEREF _Toc202683368 \h </w:instrText>
        </w:r>
        <w:r>
          <w:rPr>
            <w:noProof/>
          </w:rPr>
        </w:r>
        <w:r>
          <w:rPr>
            <w:noProof/>
            <w:webHidden/>
          </w:rPr>
          <w:fldChar w:fldCharType="separate"/>
        </w:r>
        <w:r>
          <w:rPr>
            <w:noProof/>
            <w:webHidden/>
          </w:rPr>
          <w:t>8</w:t>
        </w:r>
        <w:r>
          <w:rPr>
            <w:noProof/>
            <w:webHidden/>
          </w:rPr>
          <w:fldChar w:fldCharType="end"/>
        </w:r>
      </w:hyperlink>
    </w:p>
    <w:p w:rsidR="003B0815" w:rsidRDefault="003B0815" w14:paraId="45E69BB5" w14:textId="77777777">
      <w:pPr>
        <w:pStyle w:val="TOC2"/>
        <w:tabs>
          <w:tab w:val="right" w:leader="dot" w:pos="9350"/>
        </w:tabs>
        <w:rPr>
          <w:smallCaps w:val="0"/>
          <w:noProof/>
          <w:sz w:val="24"/>
          <w:szCs w:val="24"/>
        </w:rPr>
      </w:pPr>
      <w:hyperlink w:history="1" w:anchor="_Toc202683369">
        <w:r>
          <w:rPr>
            <w:rStyle w:val="Hyperlink"/>
            <w:noProof/>
          </w:rPr>
          <w:t>Part 1: E.O. 12866 Regulatory Evaluation</w:t>
        </w:r>
        <w:r>
          <w:rPr>
            <w:noProof/>
            <w:webHidden/>
          </w:rPr>
          <w:tab/>
        </w:r>
        <w:r>
          <w:rPr>
            <w:noProof/>
            <w:webHidden/>
          </w:rPr>
          <w:fldChar w:fldCharType="begin" w:fldLock="1"/>
        </w:r>
        <w:r>
          <w:rPr>
            <w:noProof/>
            <w:webHidden/>
          </w:rPr>
          <w:instrText xml:space="preserve"> PAGEREF _Toc202683369 \h </w:instrText>
        </w:r>
        <w:r>
          <w:rPr>
            <w:noProof/>
          </w:rPr>
        </w:r>
        <w:r>
          <w:rPr>
            <w:noProof/>
            <w:webHidden/>
          </w:rPr>
          <w:fldChar w:fldCharType="separate"/>
        </w:r>
        <w:r>
          <w:rPr>
            <w:noProof/>
            <w:webHidden/>
          </w:rPr>
          <w:t>9</w:t>
        </w:r>
        <w:r>
          <w:rPr>
            <w:noProof/>
            <w:webHidden/>
          </w:rPr>
          <w:fldChar w:fldCharType="end"/>
        </w:r>
      </w:hyperlink>
    </w:p>
    <w:p w:rsidR="003B0815" w:rsidRDefault="003B0815" w14:paraId="3AF04CB7" w14:textId="77777777">
      <w:pPr>
        <w:pStyle w:val="TOC3"/>
        <w:tabs>
          <w:tab w:val="right" w:leader="dot" w:pos="9350"/>
        </w:tabs>
        <w:rPr>
          <w:i w:val="0"/>
          <w:iCs w:val="0"/>
          <w:noProof/>
          <w:sz w:val="24"/>
          <w:szCs w:val="24"/>
        </w:rPr>
      </w:pPr>
      <w:hyperlink w:history="1" w:anchor="_Toc202683370">
        <w:r>
          <w:rPr>
            <w:rStyle w:val="Hyperlink"/>
            <w:noProof/>
          </w:rPr>
          <w:t>Section 1: Execut</w:t>
        </w:r>
        <w:r>
          <w:rPr>
            <w:rStyle w:val="Hyperlink"/>
            <w:noProof/>
          </w:rPr>
          <w:t>i</w:t>
        </w:r>
        <w:r>
          <w:rPr>
            <w:rStyle w:val="Hyperlink"/>
            <w:noProof/>
          </w:rPr>
          <w:t>ve Summary</w:t>
        </w:r>
        <w:r>
          <w:rPr>
            <w:noProof/>
            <w:webHidden/>
          </w:rPr>
          <w:tab/>
        </w:r>
        <w:r>
          <w:rPr>
            <w:noProof/>
            <w:webHidden/>
          </w:rPr>
          <w:fldChar w:fldCharType="begin" w:fldLock="1"/>
        </w:r>
        <w:r>
          <w:rPr>
            <w:noProof/>
            <w:webHidden/>
          </w:rPr>
          <w:instrText xml:space="preserve"> PAGEREF _Toc202683370 \h </w:instrText>
        </w:r>
        <w:r>
          <w:rPr>
            <w:noProof/>
          </w:rPr>
        </w:r>
        <w:r>
          <w:rPr>
            <w:noProof/>
            <w:webHidden/>
          </w:rPr>
          <w:fldChar w:fldCharType="separate"/>
        </w:r>
        <w:r>
          <w:rPr>
            <w:noProof/>
            <w:webHidden/>
          </w:rPr>
          <w:t>9</w:t>
        </w:r>
        <w:r>
          <w:rPr>
            <w:noProof/>
            <w:webHidden/>
          </w:rPr>
          <w:fldChar w:fldCharType="end"/>
        </w:r>
      </w:hyperlink>
    </w:p>
    <w:p w:rsidR="003B0815" w:rsidRDefault="003B0815" w14:paraId="2FBBD9C7" w14:textId="77777777">
      <w:pPr>
        <w:pStyle w:val="TOC4"/>
        <w:tabs>
          <w:tab w:val="right" w:leader="dot" w:pos="9350"/>
        </w:tabs>
        <w:rPr>
          <w:noProof/>
          <w:sz w:val="24"/>
          <w:szCs w:val="24"/>
        </w:rPr>
      </w:pPr>
      <w:hyperlink w:history="1" w:anchor="_Toc202683371">
        <w:r>
          <w:rPr>
            <w:rStyle w:val="Hyperlink"/>
            <w:noProof/>
          </w:rPr>
          <w:t>1.1.1 A-4 Accounting Statement</w:t>
        </w:r>
        <w:r>
          <w:rPr>
            <w:noProof/>
            <w:webHidden/>
          </w:rPr>
          <w:tab/>
        </w:r>
        <w:r>
          <w:rPr>
            <w:noProof/>
            <w:webHidden/>
          </w:rPr>
          <w:fldChar w:fldCharType="begin" w:fldLock="1"/>
        </w:r>
        <w:r>
          <w:rPr>
            <w:noProof/>
            <w:webHidden/>
          </w:rPr>
          <w:instrText xml:space="preserve"> PAGEREF _Toc202683371 \h </w:instrText>
        </w:r>
        <w:r>
          <w:rPr>
            <w:noProof/>
          </w:rPr>
        </w:r>
        <w:r>
          <w:rPr>
            <w:noProof/>
            <w:webHidden/>
          </w:rPr>
          <w:fldChar w:fldCharType="separate"/>
        </w:r>
        <w:r>
          <w:rPr>
            <w:noProof/>
            <w:webHidden/>
          </w:rPr>
          <w:t>9</w:t>
        </w:r>
        <w:r>
          <w:rPr>
            <w:noProof/>
            <w:webHidden/>
          </w:rPr>
          <w:fldChar w:fldCharType="end"/>
        </w:r>
      </w:hyperlink>
    </w:p>
    <w:p w:rsidR="003B0815" w:rsidRDefault="003B0815" w14:paraId="549E8434" w14:textId="77777777">
      <w:pPr>
        <w:pStyle w:val="TOC4"/>
        <w:tabs>
          <w:tab w:val="right" w:leader="dot" w:pos="9350"/>
        </w:tabs>
        <w:rPr>
          <w:noProof/>
          <w:sz w:val="24"/>
          <w:szCs w:val="24"/>
        </w:rPr>
      </w:pPr>
      <w:hyperlink w:history="1" w:anchor="_Toc202683372">
        <w:r>
          <w:rPr>
            <w:rStyle w:val="Hyperlink"/>
            <w:noProof/>
          </w:rPr>
          <w:t>1.1.2 Overview of the Analysis</w:t>
        </w:r>
        <w:r>
          <w:rPr>
            <w:noProof/>
            <w:webHidden/>
          </w:rPr>
          <w:tab/>
        </w:r>
        <w:r>
          <w:rPr>
            <w:noProof/>
            <w:webHidden/>
          </w:rPr>
          <w:fldChar w:fldCharType="begin" w:fldLock="1"/>
        </w:r>
        <w:r>
          <w:rPr>
            <w:noProof/>
            <w:webHidden/>
          </w:rPr>
          <w:instrText xml:space="preserve"> PAGEREF _Toc202683372 \h </w:instrText>
        </w:r>
        <w:r>
          <w:rPr>
            <w:noProof/>
          </w:rPr>
        </w:r>
        <w:r>
          <w:rPr>
            <w:noProof/>
            <w:webHidden/>
          </w:rPr>
          <w:fldChar w:fldCharType="separate"/>
        </w:r>
        <w:r>
          <w:rPr>
            <w:noProof/>
            <w:webHidden/>
          </w:rPr>
          <w:t>11</w:t>
        </w:r>
        <w:r>
          <w:rPr>
            <w:noProof/>
            <w:webHidden/>
          </w:rPr>
          <w:fldChar w:fldCharType="end"/>
        </w:r>
      </w:hyperlink>
    </w:p>
    <w:p w:rsidR="003B0815" w:rsidRDefault="003B0815" w14:paraId="6042A1B8" w14:textId="77777777">
      <w:pPr>
        <w:pStyle w:val="TOC3"/>
        <w:tabs>
          <w:tab w:val="right" w:leader="dot" w:pos="9350"/>
        </w:tabs>
        <w:rPr>
          <w:i w:val="0"/>
          <w:iCs w:val="0"/>
          <w:noProof/>
          <w:sz w:val="24"/>
          <w:szCs w:val="24"/>
        </w:rPr>
      </w:pPr>
      <w:hyperlink w:history="1" w:anchor="_Toc202683373">
        <w:r>
          <w:rPr>
            <w:rStyle w:val="Hyperlink"/>
            <w:noProof/>
          </w:rPr>
          <w:t>Section 2: Terms and Definitions</w:t>
        </w:r>
        <w:r>
          <w:rPr>
            <w:noProof/>
            <w:webHidden/>
          </w:rPr>
          <w:tab/>
        </w:r>
        <w:r>
          <w:rPr>
            <w:noProof/>
            <w:webHidden/>
          </w:rPr>
          <w:fldChar w:fldCharType="begin" w:fldLock="1"/>
        </w:r>
        <w:r>
          <w:rPr>
            <w:noProof/>
            <w:webHidden/>
          </w:rPr>
          <w:instrText xml:space="preserve"> PAGEREF _Toc202683373 \h </w:instrText>
        </w:r>
        <w:r>
          <w:rPr>
            <w:noProof/>
          </w:rPr>
        </w:r>
        <w:r>
          <w:rPr>
            <w:noProof/>
            <w:webHidden/>
          </w:rPr>
          <w:fldChar w:fldCharType="separate"/>
        </w:r>
        <w:r>
          <w:rPr>
            <w:noProof/>
            <w:webHidden/>
          </w:rPr>
          <w:t>20</w:t>
        </w:r>
        <w:r>
          <w:rPr>
            <w:noProof/>
            <w:webHidden/>
          </w:rPr>
          <w:fldChar w:fldCharType="end"/>
        </w:r>
      </w:hyperlink>
    </w:p>
    <w:p w:rsidR="003B0815" w:rsidRDefault="003B0815" w14:paraId="77430015" w14:textId="77777777">
      <w:pPr>
        <w:pStyle w:val="TOC3"/>
        <w:tabs>
          <w:tab w:val="right" w:leader="dot" w:pos="9350"/>
        </w:tabs>
        <w:rPr>
          <w:i w:val="0"/>
          <w:iCs w:val="0"/>
          <w:noProof/>
          <w:sz w:val="24"/>
          <w:szCs w:val="24"/>
        </w:rPr>
      </w:pPr>
      <w:hyperlink w:history="1" w:anchor="_Toc202683374">
        <w:r>
          <w:rPr>
            <w:rStyle w:val="Hyperlink"/>
            <w:noProof/>
          </w:rPr>
          <w:t>Section 3: Background and Summary of the Rule</w:t>
        </w:r>
        <w:r>
          <w:rPr>
            <w:noProof/>
            <w:webHidden/>
          </w:rPr>
          <w:tab/>
        </w:r>
        <w:r>
          <w:rPr>
            <w:noProof/>
            <w:webHidden/>
          </w:rPr>
          <w:fldChar w:fldCharType="begin" w:fldLock="1"/>
        </w:r>
        <w:r>
          <w:rPr>
            <w:noProof/>
            <w:webHidden/>
          </w:rPr>
          <w:instrText xml:space="preserve"> PAGEREF _Toc202683374 \h </w:instrText>
        </w:r>
        <w:r>
          <w:rPr>
            <w:noProof/>
          </w:rPr>
        </w:r>
        <w:r>
          <w:rPr>
            <w:noProof/>
            <w:webHidden/>
          </w:rPr>
          <w:fldChar w:fldCharType="separate"/>
        </w:r>
        <w:r>
          <w:rPr>
            <w:noProof/>
            <w:webHidden/>
          </w:rPr>
          <w:t>23</w:t>
        </w:r>
        <w:r>
          <w:rPr>
            <w:noProof/>
            <w:webHidden/>
          </w:rPr>
          <w:fldChar w:fldCharType="end"/>
        </w:r>
      </w:hyperlink>
    </w:p>
    <w:p w:rsidR="003B0815" w:rsidRDefault="003B0815" w14:paraId="60672993" w14:textId="77777777">
      <w:pPr>
        <w:pStyle w:val="TOC4"/>
        <w:tabs>
          <w:tab w:val="right" w:leader="dot" w:pos="9350"/>
        </w:tabs>
        <w:rPr>
          <w:noProof/>
          <w:sz w:val="24"/>
          <w:szCs w:val="24"/>
        </w:rPr>
      </w:pPr>
      <w:hyperlink w:history="1" w:anchor="_Toc202683375">
        <w:r>
          <w:rPr>
            <w:rStyle w:val="Hyperlink"/>
            <w:noProof/>
          </w:rPr>
          <w:t>1.3.1 Background of the Rule</w:t>
        </w:r>
        <w:r>
          <w:rPr>
            <w:noProof/>
            <w:webHidden/>
          </w:rPr>
          <w:tab/>
        </w:r>
        <w:r>
          <w:rPr>
            <w:noProof/>
            <w:webHidden/>
          </w:rPr>
          <w:fldChar w:fldCharType="begin" w:fldLock="1"/>
        </w:r>
        <w:r>
          <w:rPr>
            <w:noProof/>
            <w:webHidden/>
          </w:rPr>
          <w:instrText xml:space="preserve"> PAGEREF _Toc202683375 \h </w:instrText>
        </w:r>
        <w:r>
          <w:rPr>
            <w:noProof/>
          </w:rPr>
        </w:r>
        <w:r>
          <w:rPr>
            <w:noProof/>
            <w:webHidden/>
          </w:rPr>
          <w:fldChar w:fldCharType="separate"/>
        </w:r>
        <w:r>
          <w:rPr>
            <w:noProof/>
            <w:webHidden/>
          </w:rPr>
          <w:t>23</w:t>
        </w:r>
        <w:r>
          <w:rPr>
            <w:noProof/>
            <w:webHidden/>
          </w:rPr>
          <w:fldChar w:fldCharType="end"/>
        </w:r>
      </w:hyperlink>
    </w:p>
    <w:p w:rsidR="003B0815" w:rsidRDefault="003B0815" w14:paraId="70B2E7A8" w14:textId="77777777">
      <w:pPr>
        <w:pStyle w:val="TOC4"/>
        <w:tabs>
          <w:tab w:val="right" w:leader="dot" w:pos="9350"/>
        </w:tabs>
        <w:rPr>
          <w:noProof/>
          <w:sz w:val="24"/>
          <w:szCs w:val="24"/>
        </w:rPr>
      </w:pPr>
      <w:hyperlink w:history="1" w:anchor="_Toc202683376">
        <w:r>
          <w:rPr>
            <w:rStyle w:val="Hyperlink"/>
            <w:noProof/>
          </w:rPr>
          <w:t>1.3.2 Historical PNR Testing Determined Data Collection Requirements</w:t>
        </w:r>
        <w:r>
          <w:rPr>
            <w:noProof/>
            <w:webHidden/>
          </w:rPr>
          <w:tab/>
        </w:r>
        <w:r>
          <w:rPr>
            <w:noProof/>
            <w:webHidden/>
          </w:rPr>
          <w:fldChar w:fldCharType="begin" w:fldLock="1"/>
        </w:r>
        <w:r>
          <w:rPr>
            <w:noProof/>
            <w:webHidden/>
          </w:rPr>
          <w:instrText xml:space="preserve"> PAGEREF _Toc202683376 \h </w:instrText>
        </w:r>
        <w:r>
          <w:rPr>
            <w:noProof/>
          </w:rPr>
        </w:r>
        <w:r>
          <w:rPr>
            <w:noProof/>
            <w:webHidden/>
          </w:rPr>
          <w:fldChar w:fldCharType="separate"/>
        </w:r>
        <w:r>
          <w:rPr>
            <w:noProof/>
            <w:webHidden/>
          </w:rPr>
          <w:t>24</w:t>
        </w:r>
        <w:r>
          <w:rPr>
            <w:noProof/>
            <w:webHidden/>
          </w:rPr>
          <w:fldChar w:fldCharType="end"/>
        </w:r>
      </w:hyperlink>
    </w:p>
    <w:p w:rsidR="003B0815" w:rsidRDefault="003B0815" w14:paraId="1A6E1085" w14:textId="77777777">
      <w:pPr>
        <w:pStyle w:val="TOC4"/>
        <w:tabs>
          <w:tab w:val="right" w:leader="dot" w:pos="9350"/>
        </w:tabs>
        <w:rPr>
          <w:noProof/>
          <w:sz w:val="24"/>
          <w:szCs w:val="24"/>
        </w:rPr>
      </w:pPr>
      <w:hyperlink w:history="1" w:anchor="_Toc202683377">
        <w:r>
          <w:rPr>
            <w:rStyle w:val="Hyperlink"/>
            <w:noProof/>
          </w:rPr>
          <w:t>1.3.3 Summary of the Final Rule</w:t>
        </w:r>
        <w:r>
          <w:rPr>
            <w:noProof/>
            <w:webHidden/>
          </w:rPr>
          <w:tab/>
        </w:r>
        <w:r>
          <w:rPr>
            <w:noProof/>
            <w:webHidden/>
          </w:rPr>
          <w:fldChar w:fldCharType="begin" w:fldLock="1"/>
        </w:r>
        <w:r>
          <w:rPr>
            <w:noProof/>
            <w:webHidden/>
          </w:rPr>
          <w:instrText xml:space="preserve"> PAGEREF _Toc202683377 \h </w:instrText>
        </w:r>
        <w:r>
          <w:rPr>
            <w:noProof/>
          </w:rPr>
        </w:r>
        <w:r>
          <w:rPr>
            <w:noProof/>
            <w:webHidden/>
          </w:rPr>
          <w:fldChar w:fldCharType="separate"/>
        </w:r>
        <w:r>
          <w:rPr>
            <w:noProof/>
            <w:webHidden/>
          </w:rPr>
          <w:t>26</w:t>
        </w:r>
        <w:r>
          <w:rPr>
            <w:noProof/>
            <w:webHidden/>
          </w:rPr>
          <w:fldChar w:fldCharType="end"/>
        </w:r>
      </w:hyperlink>
    </w:p>
    <w:p w:rsidR="003B0815" w:rsidRDefault="003B0815" w14:paraId="0B7C74CB" w14:textId="77777777">
      <w:pPr>
        <w:pStyle w:val="TOC3"/>
        <w:tabs>
          <w:tab w:val="right" w:leader="dot" w:pos="9350"/>
        </w:tabs>
        <w:rPr>
          <w:i w:val="0"/>
          <w:iCs w:val="0"/>
          <w:noProof/>
          <w:sz w:val="24"/>
          <w:szCs w:val="24"/>
        </w:rPr>
      </w:pPr>
      <w:hyperlink w:history="1" w:anchor="_Toc202683378">
        <w:r>
          <w:rPr>
            <w:rStyle w:val="Hyperlink"/>
            <w:noProof/>
          </w:rPr>
          <w:t>Section 4: Establishing a Baseline: Passenger Air Transportation Today</w:t>
        </w:r>
        <w:r>
          <w:rPr>
            <w:noProof/>
            <w:webHidden/>
          </w:rPr>
          <w:tab/>
        </w:r>
        <w:r>
          <w:rPr>
            <w:noProof/>
            <w:webHidden/>
          </w:rPr>
          <w:fldChar w:fldCharType="begin" w:fldLock="1"/>
        </w:r>
        <w:r>
          <w:rPr>
            <w:noProof/>
            <w:webHidden/>
          </w:rPr>
          <w:instrText xml:space="preserve"> PAGEREF _Toc202683378 \h </w:instrText>
        </w:r>
        <w:r>
          <w:rPr>
            <w:noProof/>
          </w:rPr>
        </w:r>
        <w:r>
          <w:rPr>
            <w:noProof/>
            <w:webHidden/>
          </w:rPr>
          <w:fldChar w:fldCharType="separate"/>
        </w:r>
        <w:r>
          <w:rPr>
            <w:noProof/>
            <w:webHidden/>
          </w:rPr>
          <w:t>33</w:t>
        </w:r>
        <w:r>
          <w:rPr>
            <w:noProof/>
            <w:webHidden/>
          </w:rPr>
          <w:fldChar w:fldCharType="end"/>
        </w:r>
      </w:hyperlink>
    </w:p>
    <w:p w:rsidR="003B0815" w:rsidRDefault="003B0815" w14:paraId="4099453F" w14:textId="77777777">
      <w:pPr>
        <w:pStyle w:val="TOC4"/>
        <w:tabs>
          <w:tab w:val="right" w:leader="dot" w:pos="9350"/>
        </w:tabs>
        <w:rPr>
          <w:noProof/>
          <w:sz w:val="24"/>
          <w:szCs w:val="24"/>
        </w:rPr>
      </w:pPr>
      <w:hyperlink w:history="1" w:anchor="_Toc202683379">
        <w:r>
          <w:rPr>
            <w:rStyle w:val="Hyperlink"/>
            <w:noProof/>
          </w:rPr>
          <w:t>1.4.1 Regulated Parties</w:t>
        </w:r>
        <w:r>
          <w:rPr>
            <w:noProof/>
            <w:webHidden/>
          </w:rPr>
          <w:tab/>
        </w:r>
        <w:r>
          <w:rPr>
            <w:noProof/>
            <w:webHidden/>
          </w:rPr>
          <w:fldChar w:fldCharType="begin" w:fldLock="1"/>
        </w:r>
        <w:r>
          <w:rPr>
            <w:noProof/>
            <w:webHidden/>
          </w:rPr>
          <w:instrText xml:space="preserve"> PAGEREF _Toc202683379 \h </w:instrText>
        </w:r>
        <w:r>
          <w:rPr>
            <w:noProof/>
          </w:rPr>
        </w:r>
        <w:r>
          <w:rPr>
            <w:noProof/>
            <w:webHidden/>
          </w:rPr>
          <w:fldChar w:fldCharType="separate"/>
        </w:r>
        <w:r>
          <w:rPr>
            <w:noProof/>
            <w:webHidden/>
          </w:rPr>
          <w:t>33</w:t>
        </w:r>
        <w:r>
          <w:rPr>
            <w:noProof/>
            <w:webHidden/>
          </w:rPr>
          <w:fldChar w:fldCharType="end"/>
        </w:r>
      </w:hyperlink>
    </w:p>
    <w:p w:rsidR="003B0815" w:rsidRDefault="003B0815" w14:paraId="53024FE3" w14:textId="77777777">
      <w:pPr>
        <w:pStyle w:val="TOC4"/>
        <w:tabs>
          <w:tab w:val="right" w:leader="dot" w:pos="9350"/>
        </w:tabs>
        <w:rPr>
          <w:noProof/>
          <w:sz w:val="24"/>
          <w:szCs w:val="24"/>
        </w:rPr>
      </w:pPr>
      <w:hyperlink w:history="1" w:anchor="_Toc202683380">
        <w:r>
          <w:rPr>
            <w:rStyle w:val="Hyperlink"/>
            <w:noProof/>
          </w:rPr>
          <w:t>1.4.2 The Airline Reservation Process</w:t>
        </w:r>
        <w:r>
          <w:rPr>
            <w:noProof/>
            <w:webHidden/>
          </w:rPr>
          <w:tab/>
        </w:r>
        <w:r>
          <w:rPr>
            <w:noProof/>
            <w:webHidden/>
          </w:rPr>
          <w:fldChar w:fldCharType="begin" w:fldLock="1"/>
        </w:r>
        <w:r>
          <w:rPr>
            <w:noProof/>
            <w:webHidden/>
          </w:rPr>
          <w:instrText xml:space="preserve"> PAGEREF _Toc202683380 \h </w:instrText>
        </w:r>
        <w:r>
          <w:rPr>
            <w:noProof/>
          </w:rPr>
        </w:r>
        <w:r>
          <w:rPr>
            <w:noProof/>
            <w:webHidden/>
          </w:rPr>
          <w:fldChar w:fldCharType="separate"/>
        </w:r>
        <w:r>
          <w:rPr>
            <w:noProof/>
            <w:webHidden/>
          </w:rPr>
          <w:t>46</w:t>
        </w:r>
        <w:r>
          <w:rPr>
            <w:noProof/>
            <w:webHidden/>
          </w:rPr>
          <w:fldChar w:fldCharType="end"/>
        </w:r>
      </w:hyperlink>
    </w:p>
    <w:p w:rsidR="003B0815" w:rsidRDefault="003B0815" w14:paraId="1ABF94AE" w14:textId="77777777">
      <w:pPr>
        <w:pStyle w:val="TOC4"/>
        <w:tabs>
          <w:tab w:val="right" w:leader="dot" w:pos="9350"/>
        </w:tabs>
        <w:rPr>
          <w:noProof/>
          <w:sz w:val="24"/>
          <w:szCs w:val="24"/>
        </w:rPr>
      </w:pPr>
      <w:hyperlink w:history="1" w:anchor="_Toc202683381">
        <w:r>
          <w:rPr>
            <w:rStyle w:val="Hyperlink"/>
            <w:noProof/>
          </w:rPr>
          <w:t>1.4.3 Watch List Matching Today</w:t>
        </w:r>
        <w:r>
          <w:rPr>
            <w:noProof/>
            <w:webHidden/>
          </w:rPr>
          <w:tab/>
        </w:r>
        <w:r>
          <w:rPr>
            <w:noProof/>
            <w:webHidden/>
          </w:rPr>
          <w:fldChar w:fldCharType="begin" w:fldLock="1"/>
        </w:r>
        <w:r>
          <w:rPr>
            <w:noProof/>
            <w:webHidden/>
          </w:rPr>
          <w:instrText xml:space="preserve"> PAGEREF _Toc202683381 \h </w:instrText>
        </w:r>
        <w:r>
          <w:rPr>
            <w:noProof/>
          </w:rPr>
        </w:r>
        <w:r>
          <w:rPr>
            <w:noProof/>
            <w:webHidden/>
          </w:rPr>
          <w:fldChar w:fldCharType="separate"/>
        </w:r>
        <w:r>
          <w:rPr>
            <w:noProof/>
            <w:webHidden/>
          </w:rPr>
          <w:t>53</w:t>
        </w:r>
        <w:r>
          <w:rPr>
            <w:noProof/>
            <w:webHidden/>
          </w:rPr>
          <w:fldChar w:fldCharType="end"/>
        </w:r>
      </w:hyperlink>
    </w:p>
    <w:p w:rsidR="003B0815" w:rsidRDefault="003B0815" w14:paraId="42B78930" w14:textId="77777777">
      <w:pPr>
        <w:pStyle w:val="TOC3"/>
        <w:tabs>
          <w:tab w:val="right" w:leader="dot" w:pos="9350"/>
        </w:tabs>
        <w:rPr>
          <w:i w:val="0"/>
          <w:iCs w:val="0"/>
          <w:noProof/>
          <w:sz w:val="24"/>
          <w:szCs w:val="24"/>
        </w:rPr>
      </w:pPr>
      <w:hyperlink w:history="1" w:anchor="_Toc202683382">
        <w:r>
          <w:rPr>
            <w:rStyle w:val="Hyperlink"/>
            <w:noProof/>
          </w:rPr>
          <w:t>Section 5: Benefits</w:t>
        </w:r>
        <w:r>
          <w:rPr>
            <w:noProof/>
            <w:webHidden/>
          </w:rPr>
          <w:tab/>
        </w:r>
        <w:r>
          <w:rPr>
            <w:noProof/>
            <w:webHidden/>
          </w:rPr>
          <w:fldChar w:fldCharType="begin" w:fldLock="1"/>
        </w:r>
        <w:r>
          <w:rPr>
            <w:noProof/>
            <w:webHidden/>
          </w:rPr>
          <w:instrText xml:space="preserve"> PAGEREF _Toc202683382 \h </w:instrText>
        </w:r>
        <w:r>
          <w:rPr>
            <w:noProof/>
          </w:rPr>
        </w:r>
        <w:r>
          <w:rPr>
            <w:noProof/>
            <w:webHidden/>
          </w:rPr>
          <w:fldChar w:fldCharType="separate"/>
        </w:r>
        <w:r>
          <w:rPr>
            <w:noProof/>
            <w:webHidden/>
          </w:rPr>
          <w:t>55</w:t>
        </w:r>
        <w:r>
          <w:rPr>
            <w:noProof/>
            <w:webHidden/>
          </w:rPr>
          <w:fldChar w:fldCharType="end"/>
        </w:r>
      </w:hyperlink>
    </w:p>
    <w:p w:rsidR="003B0815" w:rsidRDefault="003B0815" w14:paraId="1616D633" w14:textId="77777777">
      <w:pPr>
        <w:pStyle w:val="TOC4"/>
        <w:tabs>
          <w:tab w:val="right" w:leader="dot" w:pos="9350"/>
        </w:tabs>
        <w:rPr>
          <w:noProof/>
          <w:sz w:val="24"/>
          <w:szCs w:val="24"/>
        </w:rPr>
      </w:pPr>
      <w:hyperlink w:history="1" w:anchor="_Toc202683383">
        <w:r>
          <w:rPr>
            <w:rStyle w:val="Hyperlink"/>
            <w:noProof/>
          </w:rPr>
          <w:t>1.5.1 Summary of Benefits</w:t>
        </w:r>
        <w:r>
          <w:rPr>
            <w:noProof/>
            <w:webHidden/>
          </w:rPr>
          <w:tab/>
        </w:r>
        <w:r>
          <w:rPr>
            <w:noProof/>
            <w:webHidden/>
          </w:rPr>
          <w:fldChar w:fldCharType="begin" w:fldLock="1"/>
        </w:r>
        <w:r>
          <w:rPr>
            <w:noProof/>
            <w:webHidden/>
          </w:rPr>
          <w:instrText xml:space="preserve"> PAGEREF _Toc202683383 \h </w:instrText>
        </w:r>
        <w:r>
          <w:rPr>
            <w:noProof/>
          </w:rPr>
        </w:r>
        <w:r>
          <w:rPr>
            <w:noProof/>
            <w:webHidden/>
          </w:rPr>
          <w:fldChar w:fldCharType="separate"/>
        </w:r>
        <w:r>
          <w:rPr>
            <w:noProof/>
            <w:webHidden/>
          </w:rPr>
          <w:t>55</w:t>
        </w:r>
        <w:r>
          <w:rPr>
            <w:noProof/>
            <w:webHidden/>
          </w:rPr>
          <w:fldChar w:fldCharType="end"/>
        </w:r>
      </w:hyperlink>
    </w:p>
    <w:p w:rsidR="003B0815" w:rsidRDefault="003B0815" w14:paraId="05241B41" w14:textId="77777777">
      <w:pPr>
        <w:pStyle w:val="TOC4"/>
        <w:tabs>
          <w:tab w:val="right" w:leader="dot" w:pos="9350"/>
        </w:tabs>
        <w:rPr>
          <w:noProof/>
          <w:sz w:val="24"/>
          <w:szCs w:val="24"/>
        </w:rPr>
      </w:pPr>
      <w:hyperlink w:history="1" w:anchor="_Toc202683384">
        <w:r>
          <w:rPr>
            <w:rStyle w:val="Hyperlink"/>
            <w:noProof/>
          </w:rPr>
          <w:t>1.5.2 Improved Security and Additional Access for Non-traveling Individuals</w:t>
        </w:r>
        <w:r>
          <w:rPr>
            <w:noProof/>
            <w:webHidden/>
          </w:rPr>
          <w:tab/>
        </w:r>
        <w:r>
          <w:rPr>
            <w:noProof/>
            <w:webHidden/>
          </w:rPr>
          <w:fldChar w:fldCharType="begin" w:fldLock="1"/>
        </w:r>
        <w:r>
          <w:rPr>
            <w:noProof/>
            <w:webHidden/>
          </w:rPr>
          <w:instrText xml:space="preserve"> PAGEREF _Toc202683384 \h </w:instrText>
        </w:r>
        <w:r>
          <w:rPr>
            <w:noProof/>
          </w:rPr>
        </w:r>
        <w:r>
          <w:rPr>
            <w:noProof/>
            <w:webHidden/>
          </w:rPr>
          <w:fldChar w:fldCharType="separate"/>
        </w:r>
        <w:r>
          <w:rPr>
            <w:noProof/>
            <w:webHidden/>
          </w:rPr>
          <w:t>56</w:t>
        </w:r>
        <w:r>
          <w:rPr>
            <w:noProof/>
            <w:webHidden/>
          </w:rPr>
          <w:fldChar w:fldCharType="end"/>
        </w:r>
      </w:hyperlink>
    </w:p>
    <w:p w:rsidR="003B0815" w:rsidRDefault="003B0815" w14:paraId="55362CFB" w14:textId="77777777">
      <w:pPr>
        <w:pStyle w:val="TOC4"/>
        <w:tabs>
          <w:tab w:val="right" w:leader="dot" w:pos="9350"/>
        </w:tabs>
        <w:rPr>
          <w:noProof/>
          <w:sz w:val="24"/>
          <w:szCs w:val="24"/>
        </w:rPr>
      </w:pPr>
      <w:hyperlink w:history="1" w:anchor="_Toc202683385">
        <w:r>
          <w:rPr>
            <w:rStyle w:val="Hyperlink"/>
            <w:noProof/>
          </w:rPr>
          <w:t>1.5.3 Reduced False Positives</w:t>
        </w:r>
        <w:r>
          <w:rPr>
            <w:noProof/>
            <w:webHidden/>
          </w:rPr>
          <w:tab/>
        </w:r>
        <w:r>
          <w:rPr>
            <w:noProof/>
            <w:webHidden/>
          </w:rPr>
          <w:fldChar w:fldCharType="begin" w:fldLock="1"/>
        </w:r>
        <w:r>
          <w:rPr>
            <w:noProof/>
            <w:webHidden/>
          </w:rPr>
          <w:instrText xml:space="preserve"> PAGEREF _Toc202683385 \h </w:instrText>
        </w:r>
        <w:r>
          <w:rPr>
            <w:noProof/>
          </w:rPr>
        </w:r>
        <w:r>
          <w:rPr>
            <w:noProof/>
            <w:webHidden/>
          </w:rPr>
          <w:fldChar w:fldCharType="separate"/>
        </w:r>
        <w:r>
          <w:rPr>
            <w:noProof/>
            <w:webHidden/>
          </w:rPr>
          <w:t>57</w:t>
        </w:r>
        <w:r>
          <w:rPr>
            <w:noProof/>
            <w:webHidden/>
          </w:rPr>
          <w:fldChar w:fldCharType="end"/>
        </w:r>
      </w:hyperlink>
    </w:p>
    <w:p w:rsidR="003B0815" w:rsidRDefault="003B0815" w14:paraId="1A688502" w14:textId="77777777">
      <w:pPr>
        <w:pStyle w:val="TOC4"/>
        <w:tabs>
          <w:tab w:val="right" w:leader="dot" w:pos="9350"/>
        </w:tabs>
        <w:rPr>
          <w:noProof/>
          <w:sz w:val="24"/>
          <w:szCs w:val="24"/>
        </w:rPr>
      </w:pPr>
      <w:hyperlink w:history="1" w:anchor="_Toc202683386">
        <w:r>
          <w:rPr>
            <w:rStyle w:val="Hyperlink"/>
            <w:noProof/>
          </w:rPr>
          <w:t>1.5.4 Airlines Relieved of Watch List Responsibilities</w:t>
        </w:r>
        <w:r>
          <w:rPr>
            <w:noProof/>
            <w:webHidden/>
          </w:rPr>
          <w:tab/>
        </w:r>
        <w:r>
          <w:rPr>
            <w:noProof/>
            <w:webHidden/>
          </w:rPr>
          <w:fldChar w:fldCharType="begin" w:fldLock="1"/>
        </w:r>
        <w:r>
          <w:rPr>
            <w:noProof/>
            <w:webHidden/>
          </w:rPr>
          <w:instrText xml:space="preserve"> PAGEREF _Toc202683386 \h </w:instrText>
        </w:r>
        <w:r>
          <w:rPr>
            <w:noProof/>
          </w:rPr>
        </w:r>
        <w:r>
          <w:rPr>
            <w:noProof/>
            <w:webHidden/>
          </w:rPr>
          <w:fldChar w:fldCharType="separate"/>
        </w:r>
        <w:r>
          <w:rPr>
            <w:noProof/>
            <w:webHidden/>
          </w:rPr>
          <w:t>58</w:t>
        </w:r>
        <w:r>
          <w:rPr>
            <w:noProof/>
            <w:webHidden/>
          </w:rPr>
          <w:fldChar w:fldCharType="end"/>
        </w:r>
      </w:hyperlink>
    </w:p>
    <w:p w:rsidR="003B0815" w:rsidRDefault="003B0815" w14:paraId="36C35FD0" w14:textId="77777777">
      <w:pPr>
        <w:pStyle w:val="TOC4"/>
        <w:tabs>
          <w:tab w:val="right" w:leader="dot" w:pos="9350"/>
        </w:tabs>
        <w:rPr>
          <w:noProof/>
          <w:sz w:val="24"/>
          <w:szCs w:val="24"/>
        </w:rPr>
      </w:pPr>
      <w:hyperlink w:history="1" w:anchor="_Toc202683387">
        <w:r>
          <w:rPr>
            <w:rStyle w:val="Hyperlink"/>
            <w:noProof/>
          </w:rPr>
          <w:t>1.5.5 More Accurate Matching</w:t>
        </w:r>
        <w:r>
          <w:rPr>
            <w:noProof/>
            <w:webHidden/>
          </w:rPr>
          <w:tab/>
        </w:r>
        <w:r>
          <w:rPr>
            <w:noProof/>
            <w:webHidden/>
          </w:rPr>
          <w:fldChar w:fldCharType="begin" w:fldLock="1"/>
        </w:r>
        <w:r>
          <w:rPr>
            <w:noProof/>
            <w:webHidden/>
          </w:rPr>
          <w:instrText xml:space="preserve"> PAGEREF _Toc202683387 \h </w:instrText>
        </w:r>
        <w:r>
          <w:rPr>
            <w:noProof/>
          </w:rPr>
        </w:r>
        <w:r>
          <w:rPr>
            <w:noProof/>
            <w:webHidden/>
          </w:rPr>
          <w:fldChar w:fldCharType="separate"/>
        </w:r>
        <w:r>
          <w:rPr>
            <w:noProof/>
            <w:webHidden/>
          </w:rPr>
          <w:t>59</w:t>
        </w:r>
        <w:r>
          <w:rPr>
            <w:noProof/>
            <w:webHidden/>
          </w:rPr>
          <w:fldChar w:fldCharType="end"/>
        </w:r>
      </w:hyperlink>
    </w:p>
    <w:p w:rsidR="003B0815" w:rsidRDefault="003B0815" w14:paraId="003F9059" w14:textId="77777777">
      <w:pPr>
        <w:pStyle w:val="TOC4"/>
        <w:tabs>
          <w:tab w:val="right" w:leader="dot" w:pos="9350"/>
        </w:tabs>
        <w:rPr>
          <w:noProof/>
          <w:sz w:val="24"/>
          <w:szCs w:val="24"/>
        </w:rPr>
      </w:pPr>
      <w:hyperlink w:history="1" w:anchor="_Toc202683388">
        <w:r>
          <w:rPr>
            <w:rStyle w:val="Hyperlink"/>
            <w:noProof/>
          </w:rPr>
          <w:t>1.5.6 Increased Watch List Security</w:t>
        </w:r>
        <w:r>
          <w:rPr>
            <w:noProof/>
            <w:webHidden/>
          </w:rPr>
          <w:tab/>
        </w:r>
        <w:r>
          <w:rPr>
            <w:noProof/>
            <w:webHidden/>
          </w:rPr>
          <w:fldChar w:fldCharType="begin" w:fldLock="1"/>
        </w:r>
        <w:r>
          <w:rPr>
            <w:noProof/>
            <w:webHidden/>
          </w:rPr>
          <w:instrText xml:space="preserve"> PAGEREF _Toc202683388 \h </w:instrText>
        </w:r>
        <w:r>
          <w:rPr>
            <w:noProof/>
          </w:rPr>
        </w:r>
        <w:r>
          <w:rPr>
            <w:noProof/>
            <w:webHidden/>
          </w:rPr>
          <w:fldChar w:fldCharType="separate"/>
        </w:r>
        <w:r>
          <w:rPr>
            <w:noProof/>
            <w:webHidden/>
          </w:rPr>
          <w:t>60</w:t>
        </w:r>
        <w:r>
          <w:rPr>
            <w:noProof/>
            <w:webHidden/>
          </w:rPr>
          <w:fldChar w:fldCharType="end"/>
        </w:r>
      </w:hyperlink>
    </w:p>
    <w:p w:rsidR="003B0815" w:rsidRDefault="003B0815" w14:paraId="21915B62" w14:textId="77777777">
      <w:pPr>
        <w:pStyle w:val="TOC4"/>
        <w:tabs>
          <w:tab w:val="right" w:leader="dot" w:pos="9350"/>
        </w:tabs>
        <w:rPr>
          <w:noProof/>
          <w:sz w:val="24"/>
          <w:szCs w:val="24"/>
        </w:rPr>
      </w:pPr>
      <w:hyperlink w:history="1" w:anchor="_Toc202683389">
        <w:r>
          <w:rPr>
            <w:rStyle w:val="Hyperlink"/>
            <w:noProof/>
          </w:rPr>
          <w:t>1.5.7 Consolidated Regulatory Policy</w:t>
        </w:r>
        <w:r>
          <w:rPr>
            <w:noProof/>
            <w:webHidden/>
          </w:rPr>
          <w:tab/>
        </w:r>
        <w:r>
          <w:rPr>
            <w:noProof/>
            <w:webHidden/>
          </w:rPr>
          <w:fldChar w:fldCharType="begin" w:fldLock="1"/>
        </w:r>
        <w:r>
          <w:rPr>
            <w:noProof/>
            <w:webHidden/>
          </w:rPr>
          <w:instrText xml:space="preserve"> PAGEREF _Toc202683389 \h </w:instrText>
        </w:r>
        <w:r>
          <w:rPr>
            <w:noProof/>
          </w:rPr>
        </w:r>
        <w:r>
          <w:rPr>
            <w:noProof/>
            <w:webHidden/>
          </w:rPr>
          <w:fldChar w:fldCharType="separate"/>
        </w:r>
        <w:r>
          <w:rPr>
            <w:noProof/>
            <w:webHidden/>
          </w:rPr>
          <w:t>60</w:t>
        </w:r>
        <w:r>
          <w:rPr>
            <w:noProof/>
            <w:webHidden/>
          </w:rPr>
          <w:fldChar w:fldCharType="end"/>
        </w:r>
      </w:hyperlink>
    </w:p>
    <w:p w:rsidR="003B0815" w:rsidRDefault="003B0815" w14:paraId="606B8928" w14:textId="77777777">
      <w:pPr>
        <w:pStyle w:val="TOC4"/>
        <w:tabs>
          <w:tab w:val="right" w:leader="dot" w:pos="9350"/>
        </w:tabs>
        <w:rPr>
          <w:noProof/>
          <w:sz w:val="24"/>
          <w:szCs w:val="24"/>
        </w:rPr>
      </w:pPr>
      <w:hyperlink w:history="1" w:anchor="_Toc202683390">
        <w:r>
          <w:rPr>
            <w:rStyle w:val="Hyperlink"/>
            <w:noProof/>
          </w:rPr>
          <w:t>1.5.8 Boarding Pass Authentication</w:t>
        </w:r>
        <w:r>
          <w:rPr>
            <w:noProof/>
            <w:webHidden/>
          </w:rPr>
          <w:tab/>
        </w:r>
        <w:r>
          <w:rPr>
            <w:noProof/>
            <w:webHidden/>
          </w:rPr>
          <w:fldChar w:fldCharType="begin" w:fldLock="1"/>
        </w:r>
        <w:r>
          <w:rPr>
            <w:noProof/>
            <w:webHidden/>
          </w:rPr>
          <w:instrText xml:space="preserve"> PAGEREF _Toc202683390 \h </w:instrText>
        </w:r>
        <w:r>
          <w:rPr>
            <w:noProof/>
          </w:rPr>
        </w:r>
        <w:r>
          <w:rPr>
            <w:noProof/>
            <w:webHidden/>
          </w:rPr>
          <w:fldChar w:fldCharType="separate"/>
        </w:r>
        <w:r>
          <w:rPr>
            <w:noProof/>
            <w:webHidden/>
          </w:rPr>
          <w:t>60</w:t>
        </w:r>
        <w:r>
          <w:rPr>
            <w:noProof/>
            <w:webHidden/>
          </w:rPr>
          <w:fldChar w:fldCharType="end"/>
        </w:r>
      </w:hyperlink>
    </w:p>
    <w:p w:rsidR="003B0815" w:rsidRDefault="003B0815" w14:paraId="1879A17E" w14:textId="77777777">
      <w:pPr>
        <w:pStyle w:val="TOC4"/>
        <w:tabs>
          <w:tab w:val="right" w:leader="dot" w:pos="9350"/>
        </w:tabs>
        <w:rPr>
          <w:noProof/>
          <w:sz w:val="24"/>
          <w:szCs w:val="24"/>
        </w:rPr>
      </w:pPr>
      <w:hyperlink w:history="1" w:anchor="_Toc202683391">
        <w:r>
          <w:rPr>
            <w:rStyle w:val="Hyperlink"/>
            <w:noProof/>
          </w:rPr>
          <w:t>1.5.9 Break-Even Analysis</w:t>
        </w:r>
        <w:r>
          <w:rPr>
            <w:noProof/>
            <w:webHidden/>
          </w:rPr>
          <w:tab/>
        </w:r>
        <w:r>
          <w:rPr>
            <w:noProof/>
            <w:webHidden/>
          </w:rPr>
          <w:fldChar w:fldCharType="begin" w:fldLock="1"/>
        </w:r>
        <w:r>
          <w:rPr>
            <w:noProof/>
            <w:webHidden/>
          </w:rPr>
          <w:instrText xml:space="preserve"> PAGEREF _Toc202683391 \h </w:instrText>
        </w:r>
        <w:r>
          <w:rPr>
            <w:noProof/>
          </w:rPr>
        </w:r>
        <w:r>
          <w:rPr>
            <w:noProof/>
            <w:webHidden/>
          </w:rPr>
          <w:fldChar w:fldCharType="separate"/>
        </w:r>
        <w:r>
          <w:rPr>
            <w:noProof/>
            <w:webHidden/>
          </w:rPr>
          <w:t>60</w:t>
        </w:r>
        <w:r>
          <w:rPr>
            <w:noProof/>
            <w:webHidden/>
          </w:rPr>
          <w:fldChar w:fldCharType="end"/>
        </w:r>
      </w:hyperlink>
    </w:p>
    <w:p w:rsidR="003B0815" w:rsidRDefault="003B0815" w14:paraId="0D353013" w14:textId="77777777">
      <w:pPr>
        <w:pStyle w:val="TOC3"/>
        <w:tabs>
          <w:tab w:val="right" w:leader="dot" w:pos="9350"/>
        </w:tabs>
        <w:rPr>
          <w:i w:val="0"/>
          <w:iCs w:val="0"/>
          <w:noProof/>
          <w:sz w:val="24"/>
          <w:szCs w:val="24"/>
        </w:rPr>
      </w:pPr>
      <w:hyperlink w:history="1" w:anchor="_Toc202683392">
        <w:r>
          <w:rPr>
            <w:rStyle w:val="Hyperlink"/>
            <w:noProof/>
          </w:rPr>
          <w:t>Section 6: Costs</w:t>
        </w:r>
        <w:r>
          <w:rPr>
            <w:noProof/>
            <w:webHidden/>
          </w:rPr>
          <w:tab/>
        </w:r>
        <w:r>
          <w:rPr>
            <w:noProof/>
            <w:webHidden/>
          </w:rPr>
          <w:fldChar w:fldCharType="begin" w:fldLock="1"/>
        </w:r>
        <w:r>
          <w:rPr>
            <w:noProof/>
            <w:webHidden/>
          </w:rPr>
          <w:instrText xml:space="preserve"> PAGEREF _Toc202683392 \h </w:instrText>
        </w:r>
        <w:r>
          <w:rPr>
            <w:noProof/>
          </w:rPr>
        </w:r>
        <w:r>
          <w:rPr>
            <w:noProof/>
            <w:webHidden/>
          </w:rPr>
          <w:fldChar w:fldCharType="separate"/>
        </w:r>
        <w:r>
          <w:rPr>
            <w:noProof/>
            <w:webHidden/>
          </w:rPr>
          <w:t>67</w:t>
        </w:r>
        <w:r>
          <w:rPr>
            <w:noProof/>
            <w:webHidden/>
          </w:rPr>
          <w:fldChar w:fldCharType="end"/>
        </w:r>
      </w:hyperlink>
    </w:p>
    <w:p w:rsidR="003B0815" w:rsidRDefault="003B0815" w14:paraId="4C81FF73" w14:textId="77777777">
      <w:pPr>
        <w:pStyle w:val="TOC4"/>
        <w:tabs>
          <w:tab w:val="right" w:leader="dot" w:pos="9350"/>
        </w:tabs>
        <w:rPr>
          <w:noProof/>
          <w:sz w:val="24"/>
          <w:szCs w:val="24"/>
        </w:rPr>
      </w:pPr>
      <w:hyperlink w:history="1" w:anchor="_Toc202683393">
        <w:r>
          <w:rPr>
            <w:rStyle w:val="Hyperlink"/>
            <w:noProof/>
          </w:rPr>
          <w:t>1.6.1 Summary of Costs</w:t>
        </w:r>
        <w:r>
          <w:rPr>
            <w:noProof/>
            <w:webHidden/>
          </w:rPr>
          <w:tab/>
        </w:r>
        <w:r>
          <w:rPr>
            <w:noProof/>
            <w:webHidden/>
          </w:rPr>
          <w:fldChar w:fldCharType="begin" w:fldLock="1"/>
        </w:r>
        <w:r>
          <w:rPr>
            <w:noProof/>
            <w:webHidden/>
          </w:rPr>
          <w:instrText xml:space="preserve"> PAGEREF _Toc202683393 \h </w:instrText>
        </w:r>
        <w:r>
          <w:rPr>
            <w:noProof/>
          </w:rPr>
        </w:r>
        <w:r>
          <w:rPr>
            <w:noProof/>
            <w:webHidden/>
          </w:rPr>
          <w:fldChar w:fldCharType="separate"/>
        </w:r>
        <w:r>
          <w:rPr>
            <w:noProof/>
            <w:webHidden/>
          </w:rPr>
          <w:t>67</w:t>
        </w:r>
        <w:r>
          <w:rPr>
            <w:noProof/>
            <w:webHidden/>
          </w:rPr>
          <w:fldChar w:fldCharType="end"/>
        </w:r>
      </w:hyperlink>
    </w:p>
    <w:p w:rsidR="003B0815" w:rsidRDefault="003B0815" w14:paraId="3231C19C" w14:textId="77777777">
      <w:pPr>
        <w:pStyle w:val="TOC4"/>
        <w:tabs>
          <w:tab w:val="right" w:leader="dot" w:pos="9350"/>
        </w:tabs>
        <w:rPr>
          <w:noProof/>
          <w:sz w:val="24"/>
          <w:szCs w:val="24"/>
        </w:rPr>
      </w:pPr>
      <w:hyperlink w:history="1" w:anchor="_Toc202683394">
        <w:r>
          <w:rPr>
            <w:rStyle w:val="Hyperlink"/>
            <w:noProof/>
          </w:rPr>
          <w:t>1.6.2 Airline Reprogramming and Implementation Costs</w:t>
        </w:r>
        <w:r>
          <w:rPr>
            <w:noProof/>
            <w:webHidden/>
          </w:rPr>
          <w:tab/>
        </w:r>
        <w:r>
          <w:rPr>
            <w:noProof/>
            <w:webHidden/>
          </w:rPr>
          <w:fldChar w:fldCharType="begin" w:fldLock="1"/>
        </w:r>
        <w:r>
          <w:rPr>
            <w:noProof/>
            <w:webHidden/>
          </w:rPr>
          <w:instrText xml:space="preserve"> PAGEREF _Toc202683394 \h </w:instrText>
        </w:r>
        <w:r>
          <w:rPr>
            <w:noProof/>
          </w:rPr>
        </w:r>
        <w:r>
          <w:rPr>
            <w:noProof/>
            <w:webHidden/>
          </w:rPr>
          <w:fldChar w:fldCharType="separate"/>
        </w:r>
        <w:r>
          <w:rPr>
            <w:noProof/>
            <w:webHidden/>
          </w:rPr>
          <w:t>68</w:t>
        </w:r>
        <w:r>
          <w:rPr>
            <w:noProof/>
            <w:webHidden/>
          </w:rPr>
          <w:fldChar w:fldCharType="end"/>
        </w:r>
      </w:hyperlink>
    </w:p>
    <w:p w:rsidR="003B0815" w:rsidRDefault="003B0815" w14:paraId="39DD478D" w14:textId="77777777">
      <w:pPr>
        <w:pStyle w:val="TOC4"/>
        <w:tabs>
          <w:tab w:val="right" w:leader="dot" w:pos="9350"/>
        </w:tabs>
        <w:rPr>
          <w:noProof/>
          <w:sz w:val="24"/>
          <w:szCs w:val="24"/>
        </w:rPr>
      </w:pPr>
      <w:hyperlink w:history="1" w:anchor="_Toc202683395">
        <w:r>
          <w:rPr>
            <w:rStyle w:val="Hyperlink"/>
            <w:noProof/>
          </w:rPr>
          <w:t>1.6.3 Airline Data Collection Costs</w:t>
        </w:r>
        <w:r>
          <w:rPr>
            <w:noProof/>
            <w:webHidden/>
          </w:rPr>
          <w:tab/>
        </w:r>
        <w:r>
          <w:rPr>
            <w:noProof/>
            <w:webHidden/>
          </w:rPr>
          <w:fldChar w:fldCharType="begin" w:fldLock="1"/>
        </w:r>
        <w:r>
          <w:rPr>
            <w:noProof/>
            <w:webHidden/>
          </w:rPr>
          <w:instrText xml:space="preserve"> PAGEREF _Toc202683395 \h </w:instrText>
        </w:r>
        <w:r>
          <w:rPr>
            <w:noProof/>
          </w:rPr>
        </w:r>
        <w:r>
          <w:rPr>
            <w:noProof/>
            <w:webHidden/>
          </w:rPr>
          <w:fldChar w:fldCharType="separate"/>
        </w:r>
        <w:r>
          <w:rPr>
            <w:noProof/>
            <w:webHidden/>
          </w:rPr>
          <w:t>79</w:t>
        </w:r>
        <w:r>
          <w:rPr>
            <w:noProof/>
            <w:webHidden/>
          </w:rPr>
          <w:fldChar w:fldCharType="end"/>
        </w:r>
      </w:hyperlink>
    </w:p>
    <w:p w:rsidR="003B0815" w:rsidRDefault="003B0815" w14:paraId="790EC9CE" w14:textId="77777777">
      <w:pPr>
        <w:pStyle w:val="TOC4"/>
        <w:tabs>
          <w:tab w:val="right" w:leader="dot" w:pos="9350"/>
        </w:tabs>
        <w:rPr>
          <w:noProof/>
          <w:sz w:val="24"/>
          <w:szCs w:val="24"/>
        </w:rPr>
      </w:pPr>
      <w:hyperlink w:history="1" w:anchor="_Toc202683396">
        <w:r>
          <w:rPr>
            <w:rStyle w:val="Hyperlink"/>
            <w:noProof/>
          </w:rPr>
          <w:t>1.6.4 Trave</w:t>
        </w:r>
        <w:r>
          <w:rPr>
            <w:rStyle w:val="Hyperlink"/>
            <w:noProof/>
          </w:rPr>
          <w:t>l</w:t>
        </w:r>
        <w:r>
          <w:rPr>
            <w:rStyle w:val="Hyperlink"/>
            <w:noProof/>
          </w:rPr>
          <w:t xml:space="preserve"> </w:t>
        </w:r>
        <w:r>
          <w:rPr>
            <w:rStyle w:val="Hyperlink"/>
            <w:noProof/>
          </w:rPr>
          <w:t>Agencies</w:t>
        </w:r>
        <w:r>
          <w:rPr>
            <w:noProof/>
            <w:webHidden/>
          </w:rPr>
          <w:tab/>
        </w:r>
        <w:r>
          <w:rPr>
            <w:noProof/>
            <w:webHidden/>
          </w:rPr>
          <w:fldChar w:fldCharType="begin" w:fldLock="1"/>
        </w:r>
        <w:r>
          <w:rPr>
            <w:noProof/>
            <w:webHidden/>
          </w:rPr>
          <w:instrText xml:space="preserve"> PAGEREF _Toc202683396 \h </w:instrText>
        </w:r>
        <w:r>
          <w:rPr>
            <w:noProof/>
          </w:rPr>
        </w:r>
        <w:r>
          <w:rPr>
            <w:noProof/>
            <w:webHidden/>
          </w:rPr>
          <w:fldChar w:fldCharType="separate"/>
        </w:r>
        <w:r>
          <w:rPr>
            <w:noProof/>
            <w:webHidden/>
          </w:rPr>
          <w:t>86</w:t>
        </w:r>
        <w:r>
          <w:rPr>
            <w:noProof/>
            <w:webHidden/>
          </w:rPr>
          <w:fldChar w:fldCharType="end"/>
        </w:r>
      </w:hyperlink>
    </w:p>
    <w:p w:rsidR="003B0815" w:rsidRDefault="003B0815" w14:paraId="4760DF05" w14:textId="77777777">
      <w:pPr>
        <w:pStyle w:val="TOC4"/>
        <w:tabs>
          <w:tab w:val="right" w:leader="dot" w:pos="9350"/>
        </w:tabs>
        <w:rPr>
          <w:noProof/>
          <w:sz w:val="24"/>
          <w:szCs w:val="24"/>
        </w:rPr>
      </w:pPr>
      <w:hyperlink w:history="1" w:anchor="_Toc202683397">
        <w:r>
          <w:rPr>
            <w:rStyle w:val="Hyperlink"/>
            <w:noProof/>
          </w:rPr>
          <w:t>1.6.5 Government Costs</w:t>
        </w:r>
        <w:r>
          <w:rPr>
            <w:noProof/>
            <w:webHidden/>
          </w:rPr>
          <w:tab/>
        </w:r>
        <w:r>
          <w:rPr>
            <w:noProof/>
            <w:webHidden/>
          </w:rPr>
          <w:fldChar w:fldCharType="begin" w:fldLock="1"/>
        </w:r>
        <w:r>
          <w:rPr>
            <w:noProof/>
            <w:webHidden/>
          </w:rPr>
          <w:instrText xml:space="preserve"> PAGEREF _Toc202683397 \h </w:instrText>
        </w:r>
        <w:r>
          <w:rPr>
            <w:noProof/>
          </w:rPr>
        </w:r>
        <w:r>
          <w:rPr>
            <w:noProof/>
            <w:webHidden/>
          </w:rPr>
          <w:fldChar w:fldCharType="separate"/>
        </w:r>
        <w:r>
          <w:rPr>
            <w:noProof/>
            <w:webHidden/>
          </w:rPr>
          <w:t>93</w:t>
        </w:r>
        <w:r>
          <w:rPr>
            <w:noProof/>
            <w:webHidden/>
          </w:rPr>
          <w:fldChar w:fldCharType="end"/>
        </w:r>
      </w:hyperlink>
    </w:p>
    <w:p w:rsidR="003B0815" w:rsidRDefault="003B0815" w14:paraId="6A588DF8" w14:textId="77777777">
      <w:pPr>
        <w:pStyle w:val="TOC4"/>
        <w:tabs>
          <w:tab w:val="right" w:leader="dot" w:pos="9350"/>
        </w:tabs>
        <w:rPr>
          <w:noProof/>
          <w:sz w:val="24"/>
          <w:szCs w:val="24"/>
        </w:rPr>
      </w:pPr>
      <w:hyperlink w:history="1" w:anchor="_Toc202683398">
        <w:r>
          <w:rPr>
            <w:rStyle w:val="Hyperlink"/>
            <w:noProof/>
          </w:rPr>
          <w:t>1.6.6 Opport</w:t>
        </w:r>
        <w:r>
          <w:rPr>
            <w:rStyle w:val="Hyperlink"/>
            <w:noProof/>
          </w:rPr>
          <w:t>u</w:t>
        </w:r>
        <w:r>
          <w:rPr>
            <w:rStyle w:val="Hyperlink"/>
            <w:noProof/>
          </w:rPr>
          <w:t>n</w:t>
        </w:r>
        <w:r>
          <w:rPr>
            <w:rStyle w:val="Hyperlink"/>
            <w:noProof/>
          </w:rPr>
          <w:t>i</w:t>
        </w:r>
        <w:r>
          <w:rPr>
            <w:rStyle w:val="Hyperlink"/>
            <w:noProof/>
          </w:rPr>
          <w:t>ty Costs to Travelers</w:t>
        </w:r>
        <w:r>
          <w:rPr>
            <w:noProof/>
            <w:webHidden/>
          </w:rPr>
          <w:tab/>
        </w:r>
        <w:r>
          <w:rPr>
            <w:noProof/>
            <w:webHidden/>
          </w:rPr>
          <w:fldChar w:fldCharType="begin" w:fldLock="1"/>
        </w:r>
        <w:r>
          <w:rPr>
            <w:noProof/>
            <w:webHidden/>
          </w:rPr>
          <w:instrText xml:space="preserve"> PAGEREF _Toc202683398 \h </w:instrText>
        </w:r>
        <w:r>
          <w:rPr>
            <w:noProof/>
          </w:rPr>
        </w:r>
        <w:r>
          <w:rPr>
            <w:noProof/>
            <w:webHidden/>
          </w:rPr>
          <w:fldChar w:fldCharType="separate"/>
        </w:r>
        <w:r>
          <w:rPr>
            <w:noProof/>
            <w:webHidden/>
          </w:rPr>
          <w:t>108</w:t>
        </w:r>
        <w:r>
          <w:rPr>
            <w:noProof/>
            <w:webHidden/>
          </w:rPr>
          <w:fldChar w:fldCharType="end"/>
        </w:r>
      </w:hyperlink>
    </w:p>
    <w:p w:rsidR="003B0815" w:rsidRDefault="003B0815" w14:paraId="624B440D" w14:textId="77777777">
      <w:pPr>
        <w:pStyle w:val="TOC3"/>
        <w:tabs>
          <w:tab w:val="right" w:leader="dot" w:pos="9350"/>
        </w:tabs>
        <w:rPr>
          <w:i w:val="0"/>
          <w:iCs w:val="0"/>
          <w:noProof/>
          <w:sz w:val="24"/>
          <w:szCs w:val="24"/>
        </w:rPr>
      </w:pPr>
      <w:hyperlink w:history="1" w:anchor="_Toc202683399">
        <w:r>
          <w:rPr>
            <w:rStyle w:val="Hyperlink"/>
            <w:noProof/>
          </w:rPr>
          <w:t>Section 7: Sen</w:t>
        </w:r>
        <w:r>
          <w:rPr>
            <w:rStyle w:val="Hyperlink"/>
            <w:noProof/>
          </w:rPr>
          <w:t>s</w:t>
        </w:r>
        <w:r>
          <w:rPr>
            <w:rStyle w:val="Hyperlink"/>
            <w:noProof/>
          </w:rPr>
          <w:t>itivity Analysis</w:t>
        </w:r>
        <w:r>
          <w:rPr>
            <w:noProof/>
            <w:webHidden/>
          </w:rPr>
          <w:tab/>
        </w:r>
        <w:r>
          <w:rPr>
            <w:noProof/>
            <w:webHidden/>
          </w:rPr>
          <w:fldChar w:fldCharType="begin" w:fldLock="1"/>
        </w:r>
        <w:r>
          <w:rPr>
            <w:noProof/>
            <w:webHidden/>
          </w:rPr>
          <w:instrText xml:space="preserve"> PAGEREF _Toc202683399 \h </w:instrText>
        </w:r>
        <w:r>
          <w:rPr>
            <w:noProof/>
          </w:rPr>
        </w:r>
        <w:r>
          <w:rPr>
            <w:noProof/>
            <w:webHidden/>
          </w:rPr>
          <w:fldChar w:fldCharType="separate"/>
        </w:r>
        <w:r>
          <w:rPr>
            <w:noProof/>
            <w:webHidden/>
          </w:rPr>
          <w:t>123</w:t>
        </w:r>
        <w:r>
          <w:rPr>
            <w:noProof/>
            <w:webHidden/>
          </w:rPr>
          <w:fldChar w:fldCharType="end"/>
        </w:r>
      </w:hyperlink>
    </w:p>
    <w:p w:rsidR="003B0815" w:rsidRDefault="003B0815" w14:paraId="7C7E8235" w14:textId="77777777">
      <w:pPr>
        <w:pStyle w:val="TOC4"/>
        <w:tabs>
          <w:tab w:val="right" w:leader="dot" w:pos="9350"/>
        </w:tabs>
        <w:rPr>
          <w:noProof/>
          <w:sz w:val="24"/>
          <w:szCs w:val="24"/>
        </w:rPr>
      </w:pPr>
      <w:hyperlink w:history="1" w:anchor="_Toc202683400">
        <w:r>
          <w:rPr>
            <w:rStyle w:val="Hyperlink"/>
            <w:noProof/>
          </w:rPr>
          <w:t>Section 1.7.1 Airline Reservation Time Estimates</w:t>
        </w:r>
        <w:r>
          <w:rPr>
            <w:noProof/>
            <w:webHidden/>
          </w:rPr>
          <w:tab/>
        </w:r>
        <w:r>
          <w:rPr>
            <w:noProof/>
            <w:webHidden/>
          </w:rPr>
          <w:fldChar w:fldCharType="begin" w:fldLock="1"/>
        </w:r>
        <w:r>
          <w:rPr>
            <w:noProof/>
            <w:webHidden/>
          </w:rPr>
          <w:instrText xml:space="preserve"> PAGEREF _Toc202683400 \h </w:instrText>
        </w:r>
        <w:r>
          <w:rPr>
            <w:noProof/>
          </w:rPr>
        </w:r>
        <w:r>
          <w:rPr>
            <w:noProof/>
            <w:webHidden/>
          </w:rPr>
          <w:fldChar w:fldCharType="separate"/>
        </w:r>
        <w:r>
          <w:rPr>
            <w:noProof/>
            <w:webHidden/>
          </w:rPr>
          <w:t>123</w:t>
        </w:r>
        <w:r>
          <w:rPr>
            <w:noProof/>
            <w:webHidden/>
          </w:rPr>
          <w:fldChar w:fldCharType="end"/>
        </w:r>
      </w:hyperlink>
    </w:p>
    <w:p w:rsidR="003B0815" w:rsidRDefault="003B0815" w14:paraId="1C562324" w14:textId="77777777">
      <w:pPr>
        <w:pStyle w:val="TOC4"/>
        <w:tabs>
          <w:tab w:val="right" w:leader="dot" w:pos="9350"/>
        </w:tabs>
        <w:rPr>
          <w:noProof/>
          <w:sz w:val="24"/>
          <w:szCs w:val="24"/>
        </w:rPr>
      </w:pPr>
      <w:hyperlink w:history="1" w:anchor="_Toc202683401">
        <w:r>
          <w:rPr>
            <w:rStyle w:val="Hyperlink"/>
            <w:noProof/>
          </w:rPr>
          <w:t>Section 1.7.2 Domestic Reservations</w:t>
        </w:r>
        <w:r>
          <w:rPr>
            <w:noProof/>
            <w:webHidden/>
          </w:rPr>
          <w:tab/>
        </w:r>
        <w:r>
          <w:rPr>
            <w:noProof/>
            <w:webHidden/>
          </w:rPr>
          <w:fldChar w:fldCharType="begin" w:fldLock="1"/>
        </w:r>
        <w:r>
          <w:rPr>
            <w:noProof/>
            <w:webHidden/>
          </w:rPr>
          <w:instrText xml:space="preserve"> PAGEREF _Toc202683401 \h </w:instrText>
        </w:r>
        <w:r>
          <w:rPr>
            <w:noProof/>
          </w:rPr>
        </w:r>
        <w:r>
          <w:rPr>
            <w:noProof/>
            <w:webHidden/>
          </w:rPr>
          <w:fldChar w:fldCharType="separate"/>
        </w:r>
        <w:r>
          <w:rPr>
            <w:noProof/>
            <w:webHidden/>
          </w:rPr>
          <w:t>124</w:t>
        </w:r>
        <w:r>
          <w:rPr>
            <w:noProof/>
            <w:webHidden/>
          </w:rPr>
          <w:fldChar w:fldCharType="end"/>
        </w:r>
      </w:hyperlink>
    </w:p>
    <w:p w:rsidR="003B0815" w:rsidRDefault="003B0815" w14:paraId="2F8EE788" w14:textId="77777777">
      <w:pPr>
        <w:pStyle w:val="TOC4"/>
        <w:tabs>
          <w:tab w:val="right" w:leader="dot" w:pos="9350"/>
        </w:tabs>
        <w:rPr>
          <w:noProof/>
          <w:sz w:val="24"/>
          <w:szCs w:val="24"/>
        </w:rPr>
      </w:pPr>
      <w:hyperlink w:history="1" w:anchor="_Toc202683402">
        <w:r>
          <w:rPr>
            <w:rStyle w:val="Hyperlink"/>
            <w:noProof/>
          </w:rPr>
          <w:t>Section 1.7.3 Changes in the Distribution of Reservation Methods</w:t>
        </w:r>
        <w:r>
          <w:rPr>
            <w:noProof/>
            <w:webHidden/>
          </w:rPr>
          <w:tab/>
        </w:r>
        <w:r>
          <w:rPr>
            <w:noProof/>
            <w:webHidden/>
          </w:rPr>
          <w:fldChar w:fldCharType="begin" w:fldLock="1"/>
        </w:r>
        <w:r>
          <w:rPr>
            <w:noProof/>
            <w:webHidden/>
          </w:rPr>
          <w:instrText xml:space="preserve"> PAGEREF _Toc202683402 \h </w:instrText>
        </w:r>
        <w:r>
          <w:rPr>
            <w:noProof/>
          </w:rPr>
        </w:r>
        <w:r>
          <w:rPr>
            <w:noProof/>
            <w:webHidden/>
          </w:rPr>
          <w:fldChar w:fldCharType="separate"/>
        </w:r>
        <w:r>
          <w:rPr>
            <w:noProof/>
            <w:webHidden/>
          </w:rPr>
          <w:t>124</w:t>
        </w:r>
        <w:r>
          <w:rPr>
            <w:noProof/>
            <w:webHidden/>
          </w:rPr>
          <w:fldChar w:fldCharType="end"/>
        </w:r>
      </w:hyperlink>
    </w:p>
    <w:p w:rsidR="003B0815" w:rsidRDefault="003B0815" w14:paraId="185522E0" w14:textId="77777777">
      <w:pPr>
        <w:pStyle w:val="TOC4"/>
        <w:tabs>
          <w:tab w:val="right" w:leader="dot" w:pos="9350"/>
        </w:tabs>
        <w:rPr>
          <w:noProof/>
          <w:sz w:val="24"/>
          <w:szCs w:val="24"/>
        </w:rPr>
      </w:pPr>
      <w:hyperlink w:history="1" w:anchor="_Toc202683404">
        <w:r>
          <w:rPr>
            <w:rStyle w:val="Hyperlink"/>
            <w:noProof/>
          </w:rPr>
          <w:t>Section 1.7.4 Sensitivity Analysis Summary</w:t>
        </w:r>
        <w:r>
          <w:rPr>
            <w:noProof/>
            <w:webHidden/>
          </w:rPr>
          <w:tab/>
        </w:r>
        <w:r>
          <w:rPr>
            <w:noProof/>
            <w:webHidden/>
          </w:rPr>
          <w:fldChar w:fldCharType="begin" w:fldLock="1"/>
        </w:r>
        <w:r>
          <w:rPr>
            <w:noProof/>
            <w:webHidden/>
          </w:rPr>
          <w:instrText xml:space="preserve"> PAGEREF _Toc202683404 \h </w:instrText>
        </w:r>
        <w:r>
          <w:rPr>
            <w:noProof/>
          </w:rPr>
        </w:r>
        <w:r>
          <w:rPr>
            <w:noProof/>
            <w:webHidden/>
          </w:rPr>
          <w:fldChar w:fldCharType="separate"/>
        </w:r>
        <w:r>
          <w:rPr>
            <w:noProof/>
            <w:webHidden/>
          </w:rPr>
          <w:t>126</w:t>
        </w:r>
        <w:r>
          <w:rPr>
            <w:noProof/>
            <w:webHidden/>
          </w:rPr>
          <w:fldChar w:fldCharType="end"/>
        </w:r>
      </w:hyperlink>
    </w:p>
    <w:p w:rsidR="003B0815" w:rsidRDefault="003B0815" w14:paraId="1527B662" w14:textId="77777777">
      <w:pPr>
        <w:pStyle w:val="TOC3"/>
        <w:tabs>
          <w:tab w:val="right" w:leader="dot" w:pos="9350"/>
        </w:tabs>
        <w:rPr>
          <w:i w:val="0"/>
          <w:iCs w:val="0"/>
          <w:noProof/>
          <w:sz w:val="24"/>
          <w:szCs w:val="24"/>
        </w:rPr>
      </w:pPr>
      <w:hyperlink w:history="1" w:anchor="_Toc202683405">
        <w:r>
          <w:rPr>
            <w:rStyle w:val="Hyperlink"/>
            <w:noProof/>
          </w:rPr>
          <w:t>Section 8: Comparison of Costs and Benefits of Regulatory Alternatives</w:t>
        </w:r>
        <w:r>
          <w:rPr>
            <w:noProof/>
            <w:webHidden/>
          </w:rPr>
          <w:tab/>
        </w:r>
        <w:r>
          <w:rPr>
            <w:noProof/>
            <w:webHidden/>
          </w:rPr>
          <w:fldChar w:fldCharType="begin" w:fldLock="1"/>
        </w:r>
        <w:r>
          <w:rPr>
            <w:noProof/>
            <w:webHidden/>
          </w:rPr>
          <w:instrText xml:space="preserve"> PAGEREF _Toc202683405 \h </w:instrText>
        </w:r>
        <w:r>
          <w:rPr>
            <w:noProof/>
          </w:rPr>
        </w:r>
        <w:r>
          <w:rPr>
            <w:noProof/>
            <w:webHidden/>
          </w:rPr>
          <w:fldChar w:fldCharType="separate"/>
        </w:r>
        <w:r>
          <w:rPr>
            <w:noProof/>
            <w:webHidden/>
          </w:rPr>
          <w:t>128</w:t>
        </w:r>
        <w:r>
          <w:rPr>
            <w:noProof/>
            <w:webHidden/>
          </w:rPr>
          <w:fldChar w:fldCharType="end"/>
        </w:r>
      </w:hyperlink>
    </w:p>
    <w:p w:rsidR="003B0815" w:rsidRDefault="003B0815" w14:paraId="2F8C7A43" w14:textId="77777777">
      <w:pPr>
        <w:pStyle w:val="TOC4"/>
        <w:tabs>
          <w:tab w:val="right" w:leader="dot" w:pos="9350"/>
        </w:tabs>
        <w:rPr>
          <w:noProof/>
          <w:sz w:val="24"/>
          <w:szCs w:val="24"/>
        </w:rPr>
      </w:pPr>
      <w:hyperlink w:history="1" w:anchor="_Toc202683406">
        <w:r>
          <w:rPr>
            <w:rStyle w:val="Hyperlink"/>
            <w:noProof/>
          </w:rPr>
          <w:t>Section 1.8.1 Qua</w:t>
        </w:r>
        <w:r>
          <w:rPr>
            <w:rStyle w:val="Hyperlink"/>
            <w:noProof/>
          </w:rPr>
          <w:t>l</w:t>
        </w:r>
        <w:r>
          <w:rPr>
            <w:rStyle w:val="Hyperlink"/>
            <w:noProof/>
          </w:rPr>
          <w:t>itative Alternatives</w:t>
        </w:r>
        <w:r>
          <w:rPr>
            <w:noProof/>
            <w:webHidden/>
          </w:rPr>
          <w:tab/>
        </w:r>
        <w:r>
          <w:rPr>
            <w:noProof/>
            <w:webHidden/>
          </w:rPr>
          <w:fldChar w:fldCharType="begin" w:fldLock="1"/>
        </w:r>
        <w:r>
          <w:rPr>
            <w:noProof/>
            <w:webHidden/>
          </w:rPr>
          <w:instrText xml:space="preserve"> PAGEREF _Toc202683406 \h </w:instrText>
        </w:r>
        <w:r>
          <w:rPr>
            <w:noProof/>
          </w:rPr>
        </w:r>
        <w:r>
          <w:rPr>
            <w:noProof/>
            <w:webHidden/>
          </w:rPr>
          <w:fldChar w:fldCharType="separate"/>
        </w:r>
        <w:r>
          <w:rPr>
            <w:noProof/>
            <w:webHidden/>
          </w:rPr>
          <w:t>129</w:t>
        </w:r>
        <w:r>
          <w:rPr>
            <w:noProof/>
            <w:webHidden/>
          </w:rPr>
          <w:fldChar w:fldCharType="end"/>
        </w:r>
      </w:hyperlink>
    </w:p>
    <w:p w:rsidR="003B0815" w:rsidRDefault="003B0815" w14:paraId="3B3B19B5" w14:textId="77777777">
      <w:pPr>
        <w:pStyle w:val="TOC4"/>
        <w:tabs>
          <w:tab w:val="right" w:leader="dot" w:pos="9350"/>
        </w:tabs>
        <w:rPr>
          <w:noProof/>
          <w:sz w:val="24"/>
          <w:szCs w:val="24"/>
        </w:rPr>
      </w:pPr>
      <w:hyperlink w:history="1" w:anchor="_Toc202683407">
        <w:r>
          <w:rPr>
            <w:rStyle w:val="Hyperlink"/>
            <w:noProof/>
          </w:rPr>
          <w:t>Section 1.8.2 Quantitative Alternatives</w:t>
        </w:r>
        <w:r>
          <w:rPr>
            <w:noProof/>
            <w:webHidden/>
          </w:rPr>
          <w:tab/>
        </w:r>
        <w:r>
          <w:rPr>
            <w:noProof/>
            <w:webHidden/>
          </w:rPr>
          <w:fldChar w:fldCharType="begin" w:fldLock="1"/>
        </w:r>
        <w:r>
          <w:rPr>
            <w:noProof/>
            <w:webHidden/>
          </w:rPr>
          <w:instrText xml:space="preserve"> PAGEREF _Toc202683407 \h </w:instrText>
        </w:r>
        <w:r>
          <w:rPr>
            <w:noProof/>
          </w:rPr>
        </w:r>
        <w:r>
          <w:rPr>
            <w:noProof/>
            <w:webHidden/>
          </w:rPr>
          <w:fldChar w:fldCharType="separate"/>
        </w:r>
        <w:r>
          <w:rPr>
            <w:noProof/>
            <w:webHidden/>
          </w:rPr>
          <w:t>131</w:t>
        </w:r>
        <w:r>
          <w:rPr>
            <w:noProof/>
            <w:webHidden/>
          </w:rPr>
          <w:fldChar w:fldCharType="end"/>
        </w:r>
      </w:hyperlink>
    </w:p>
    <w:p w:rsidR="003B0815" w:rsidRDefault="003B0815" w14:paraId="65560586" w14:textId="77777777">
      <w:pPr>
        <w:pStyle w:val="TOC4"/>
        <w:tabs>
          <w:tab w:val="right" w:leader="dot" w:pos="9350"/>
        </w:tabs>
        <w:rPr>
          <w:noProof/>
          <w:sz w:val="24"/>
          <w:szCs w:val="24"/>
        </w:rPr>
      </w:pPr>
      <w:hyperlink w:history="1" w:anchor="_Toc202683408">
        <w:r>
          <w:rPr>
            <w:rStyle w:val="Hyperlink"/>
            <w:noProof/>
          </w:rPr>
          <w:t>Section 1.8.3 Comparison of Preferred Alternative Against Timing Variations</w:t>
        </w:r>
        <w:r>
          <w:rPr>
            <w:noProof/>
            <w:webHidden/>
          </w:rPr>
          <w:tab/>
        </w:r>
        <w:r>
          <w:rPr>
            <w:noProof/>
            <w:webHidden/>
          </w:rPr>
          <w:fldChar w:fldCharType="begin" w:fldLock="1"/>
        </w:r>
        <w:r>
          <w:rPr>
            <w:noProof/>
            <w:webHidden/>
          </w:rPr>
          <w:instrText xml:space="preserve"> PAGEREF _Toc202683408 \h </w:instrText>
        </w:r>
        <w:r>
          <w:rPr>
            <w:noProof/>
          </w:rPr>
        </w:r>
        <w:r>
          <w:rPr>
            <w:noProof/>
            <w:webHidden/>
          </w:rPr>
          <w:fldChar w:fldCharType="separate"/>
        </w:r>
        <w:r>
          <w:rPr>
            <w:noProof/>
            <w:webHidden/>
          </w:rPr>
          <w:t>137</w:t>
        </w:r>
        <w:r>
          <w:rPr>
            <w:noProof/>
            <w:webHidden/>
          </w:rPr>
          <w:fldChar w:fldCharType="end"/>
        </w:r>
      </w:hyperlink>
    </w:p>
    <w:p w:rsidR="003B0815" w:rsidRDefault="003B0815" w14:paraId="301EDE8A" w14:textId="77777777">
      <w:pPr>
        <w:pStyle w:val="TOC2"/>
        <w:tabs>
          <w:tab w:val="right" w:leader="dot" w:pos="9350"/>
        </w:tabs>
        <w:rPr>
          <w:smallCaps w:val="0"/>
          <w:noProof/>
          <w:sz w:val="24"/>
          <w:szCs w:val="24"/>
        </w:rPr>
      </w:pPr>
      <w:hyperlink w:history="1" w:anchor="_Toc202683409">
        <w:r>
          <w:rPr>
            <w:rStyle w:val="Hyperlink"/>
            <w:noProof/>
          </w:rPr>
          <w:t>Part 2: Final Regulatory Flexibility Analysis (FRFA)</w:t>
        </w:r>
        <w:r>
          <w:rPr>
            <w:noProof/>
            <w:webHidden/>
          </w:rPr>
          <w:tab/>
        </w:r>
        <w:r>
          <w:rPr>
            <w:noProof/>
            <w:webHidden/>
          </w:rPr>
          <w:fldChar w:fldCharType="begin" w:fldLock="1"/>
        </w:r>
        <w:r>
          <w:rPr>
            <w:noProof/>
            <w:webHidden/>
          </w:rPr>
          <w:instrText xml:space="preserve"> PAGEREF _Toc202683409 \h </w:instrText>
        </w:r>
        <w:r>
          <w:rPr>
            <w:noProof/>
          </w:rPr>
        </w:r>
        <w:r>
          <w:rPr>
            <w:noProof/>
            <w:webHidden/>
          </w:rPr>
          <w:fldChar w:fldCharType="separate"/>
        </w:r>
        <w:r>
          <w:rPr>
            <w:noProof/>
            <w:webHidden/>
          </w:rPr>
          <w:t>164</w:t>
        </w:r>
        <w:r>
          <w:rPr>
            <w:noProof/>
            <w:webHidden/>
          </w:rPr>
          <w:fldChar w:fldCharType="end"/>
        </w:r>
      </w:hyperlink>
    </w:p>
    <w:p w:rsidR="003B0815" w:rsidRDefault="003B0815" w14:paraId="2B4C2D73" w14:textId="77777777">
      <w:pPr>
        <w:pStyle w:val="TOC3"/>
        <w:tabs>
          <w:tab w:val="right" w:leader="dot" w:pos="9350"/>
        </w:tabs>
        <w:rPr>
          <w:i w:val="0"/>
          <w:iCs w:val="0"/>
          <w:noProof/>
          <w:sz w:val="24"/>
          <w:szCs w:val="24"/>
        </w:rPr>
      </w:pPr>
      <w:hyperlink w:history="1" w:anchor="_Toc202683410">
        <w:r>
          <w:rPr>
            <w:rStyle w:val="Hyperlink"/>
            <w:rFonts w:eastAsia="MS Mincho"/>
            <w:noProof/>
          </w:rPr>
          <w:t>Section 1: Reasons for and Objectives of the Final Rule</w:t>
        </w:r>
        <w:r>
          <w:rPr>
            <w:noProof/>
            <w:webHidden/>
          </w:rPr>
          <w:tab/>
        </w:r>
        <w:r>
          <w:rPr>
            <w:noProof/>
            <w:webHidden/>
          </w:rPr>
          <w:fldChar w:fldCharType="begin" w:fldLock="1"/>
        </w:r>
        <w:r>
          <w:rPr>
            <w:noProof/>
            <w:webHidden/>
          </w:rPr>
          <w:instrText xml:space="preserve"> PAGEREF _Toc202683410 \h </w:instrText>
        </w:r>
        <w:r>
          <w:rPr>
            <w:noProof/>
          </w:rPr>
        </w:r>
        <w:r>
          <w:rPr>
            <w:noProof/>
            <w:webHidden/>
          </w:rPr>
          <w:fldChar w:fldCharType="separate"/>
        </w:r>
        <w:r>
          <w:rPr>
            <w:noProof/>
            <w:webHidden/>
          </w:rPr>
          <w:t>164</w:t>
        </w:r>
        <w:r>
          <w:rPr>
            <w:noProof/>
            <w:webHidden/>
          </w:rPr>
          <w:fldChar w:fldCharType="end"/>
        </w:r>
      </w:hyperlink>
    </w:p>
    <w:p w:rsidR="003B0815" w:rsidRDefault="003B0815" w14:paraId="24785C09" w14:textId="77777777">
      <w:pPr>
        <w:pStyle w:val="TOC4"/>
        <w:tabs>
          <w:tab w:val="right" w:leader="dot" w:pos="9350"/>
        </w:tabs>
        <w:rPr>
          <w:noProof/>
          <w:sz w:val="24"/>
          <w:szCs w:val="24"/>
        </w:rPr>
      </w:pPr>
      <w:hyperlink w:history="1" w:anchor="_Toc202683411">
        <w:r>
          <w:rPr>
            <w:rStyle w:val="Hyperlink"/>
            <w:rFonts w:eastAsia="MS Mincho"/>
            <w:noProof/>
          </w:rPr>
          <w:t>2.1.1 Reason for the Final Rule</w:t>
        </w:r>
        <w:r>
          <w:rPr>
            <w:noProof/>
            <w:webHidden/>
          </w:rPr>
          <w:tab/>
        </w:r>
        <w:r>
          <w:rPr>
            <w:noProof/>
            <w:webHidden/>
          </w:rPr>
          <w:fldChar w:fldCharType="begin" w:fldLock="1"/>
        </w:r>
        <w:r>
          <w:rPr>
            <w:noProof/>
            <w:webHidden/>
          </w:rPr>
          <w:instrText xml:space="preserve"> PAGEREF _Toc202683411 \h </w:instrText>
        </w:r>
        <w:r>
          <w:rPr>
            <w:noProof/>
          </w:rPr>
        </w:r>
        <w:r>
          <w:rPr>
            <w:noProof/>
            <w:webHidden/>
          </w:rPr>
          <w:fldChar w:fldCharType="separate"/>
        </w:r>
        <w:r>
          <w:rPr>
            <w:noProof/>
            <w:webHidden/>
          </w:rPr>
          <w:t>143</w:t>
        </w:r>
        <w:r>
          <w:rPr>
            <w:noProof/>
            <w:webHidden/>
          </w:rPr>
          <w:fldChar w:fldCharType="end"/>
        </w:r>
      </w:hyperlink>
    </w:p>
    <w:p w:rsidR="003B0815" w:rsidRDefault="003B0815" w14:paraId="386F9525" w14:textId="77777777">
      <w:pPr>
        <w:pStyle w:val="TOC4"/>
        <w:tabs>
          <w:tab w:val="right" w:leader="dot" w:pos="9350"/>
        </w:tabs>
        <w:rPr>
          <w:noProof/>
          <w:sz w:val="24"/>
          <w:szCs w:val="24"/>
        </w:rPr>
      </w:pPr>
      <w:hyperlink w:history="1" w:anchor="_Toc202683412">
        <w:r>
          <w:rPr>
            <w:rStyle w:val="Hyperlink"/>
            <w:noProof/>
          </w:rPr>
          <w:t>2.1.2 Objective of the Final Rule</w:t>
        </w:r>
        <w:r>
          <w:rPr>
            <w:noProof/>
            <w:webHidden/>
          </w:rPr>
          <w:tab/>
        </w:r>
        <w:r>
          <w:rPr>
            <w:noProof/>
            <w:webHidden/>
          </w:rPr>
          <w:fldChar w:fldCharType="begin" w:fldLock="1"/>
        </w:r>
        <w:r>
          <w:rPr>
            <w:noProof/>
            <w:webHidden/>
          </w:rPr>
          <w:instrText xml:space="preserve"> PAGEREF _Toc202683412 \h </w:instrText>
        </w:r>
        <w:r>
          <w:rPr>
            <w:noProof/>
          </w:rPr>
        </w:r>
        <w:r>
          <w:rPr>
            <w:noProof/>
            <w:webHidden/>
          </w:rPr>
          <w:fldChar w:fldCharType="separate"/>
        </w:r>
        <w:r>
          <w:rPr>
            <w:noProof/>
            <w:webHidden/>
          </w:rPr>
          <w:t>143</w:t>
        </w:r>
        <w:r>
          <w:rPr>
            <w:noProof/>
            <w:webHidden/>
          </w:rPr>
          <w:fldChar w:fldCharType="end"/>
        </w:r>
      </w:hyperlink>
    </w:p>
    <w:p w:rsidR="003B0815" w:rsidRDefault="003B0815" w14:paraId="2BB9780C" w14:textId="77777777">
      <w:pPr>
        <w:pStyle w:val="TOC3"/>
        <w:tabs>
          <w:tab w:val="right" w:leader="dot" w:pos="9350"/>
        </w:tabs>
        <w:rPr>
          <w:i w:val="0"/>
          <w:iCs w:val="0"/>
          <w:noProof/>
          <w:sz w:val="24"/>
          <w:szCs w:val="24"/>
        </w:rPr>
      </w:pPr>
      <w:hyperlink w:history="1" w:anchor="_Toc202683413">
        <w:r>
          <w:rPr>
            <w:rStyle w:val="Hyperlink"/>
            <w:rFonts w:eastAsia="MS Mincho"/>
            <w:noProof/>
          </w:rPr>
          <w:t>Section 2: Affected Small Business Population and Estimated Impact of Compliance</w:t>
        </w:r>
        <w:r>
          <w:rPr>
            <w:noProof/>
            <w:webHidden/>
          </w:rPr>
          <w:tab/>
        </w:r>
        <w:r>
          <w:rPr>
            <w:noProof/>
            <w:webHidden/>
          </w:rPr>
          <w:fldChar w:fldCharType="begin" w:fldLock="1"/>
        </w:r>
        <w:r>
          <w:rPr>
            <w:noProof/>
            <w:webHidden/>
          </w:rPr>
          <w:instrText xml:space="preserve"> PAGEREF _Toc202683413 \h </w:instrText>
        </w:r>
        <w:r>
          <w:rPr>
            <w:noProof/>
          </w:rPr>
        </w:r>
        <w:r>
          <w:rPr>
            <w:noProof/>
            <w:webHidden/>
          </w:rPr>
          <w:fldChar w:fldCharType="separate"/>
        </w:r>
        <w:r>
          <w:rPr>
            <w:noProof/>
            <w:webHidden/>
          </w:rPr>
          <w:t>144</w:t>
        </w:r>
        <w:r>
          <w:rPr>
            <w:noProof/>
            <w:webHidden/>
          </w:rPr>
          <w:fldChar w:fldCharType="end"/>
        </w:r>
      </w:hyperlink>
    </w:p>
    <w:p w:rsidR="003B0815" w:rsidRDefault="003B0815" w14:paraId="053F2267" w14:textId="77777777">
      <w:pPr>
        <w:pStyle w:val="TOC4"/>
        <w:tabs>
          <w:tab w:val="right" w:leader="dot" w:pos="9350"/>
        </w:tabs>
        <w:rPr>
          <w:noProof/>
          <w:sz w:val="24"/>
          <w:szCs w:val="24"/>
        </w:rPr>
      </w:pPr>
      <w:hyperlink w:history="1" w:anchor="_Toc202683414">
        <w:r>
          <w:rPr>
            <w:rStyle w:val="Hyperlink"/>
            <w:rFonts w:eastAsia="MS Mincho"/>
            <w:noProof/>
          </w:rPr>
          <w:t xml:space="preserve">2.2.1 Aircraft Operator </w:t>
        </w:r>
        <w:r>
          <w:rPr>
            <w:rStyle w:val="Hyperlink"/>
            <w:rFonts w:eastAsia="MS Mincho"/>
            <w:noProof/>
          </w:rPr>
          <w:t>S</w:t>
        </w:r>
        <w:r>
          <w:rPr>
            <w:rStyle w:val="Hyperlink"/>
            <w:rFonts w:eastAsia="MS Mincho"/>
            <w:noProof/>
          </w:rPr>
          <w:t>mall Business Population</w:t>
        </w:r>
        <w:r>
          <w:rPr>
            <w:noProof/>
            <w:webHidden/>
          </w:rPr>
          <w:tab/>
        </w:r>
        <w:r>
          <w:rPr>
            <w:noProof/>
            <w:webHidden/>
          </w:rPr>
          <w:fldChar w:fldCharType="begin" w:fldLock="1"/>
        </w:r>
        <w:r>
          <w:rPr>
            <w:noProof/>
            <w:webHidden/>
          </w:rPr>
          <w:instrText xml:space="preserve"> PAGEREF _Toc202683414 \h </w:instrText>
        </w:r>
        <w:r>
          <w:rPr>
            <w:noProof/>
          </w:rPr>
        </w:r>
        <w:r>
          <w:rPr>
            <w:noProof/>
            <w:webHidden/>
          </w:rPr>
          <w:fldChar w:fldCharType="separate"/>
        </w:r>
        <w:r>
          <w:rPr>
            <w:noProof/>
            <w:webHidden/>
          </w:rPr>
          <w:t>144</w:t>
        </w:r>
        <w:r>
          <w:rPr>
            <w:noProof/>
            <w:webHidden/>
          </w:rPr>
          <w:fldChar w:fldCharType="end"/>
        </w:r>
      </w:hyperlink>
    </w:p>
    <w:p w:rsidR="003B0815" w:rsidRDefault="003B0815" w14:paraId="62178C2D" w14:textId="77777777">
      <w:pPr>
        <w:pStyle w:val="TOC4"/>
        <w:tabs>
          <w:tab w:val="right" w:leader="dot" w:pos="9350"/>
        </w:tabs>
        <w:rPr>
          <w:noProof/>
          <w:sz w:val="24"/>
          <w:szCs w:val="24"/>
        </w:rPr>
      </w:pPr>
      <w:hyperlink w:history="1" w:anchor="_Toc202683415">
        <w:r>
          <w:rPr>
            <w:rStyle w:val="Hyperlink"/>
            <w:rFonts w:eastAsia="MS Mincho"/>
            <w:noProof/>
          </w:rPr>
          <w:t>2.2.2 Estimated Impact to Aircraft Operator Small Businesses</w:t>
        </w:r>
        <w:r>
          <w:rPr>
            <w:noProof/>
            <w:webHidden/>
          </w:rPr>
          <w:tab/>
        </w:r>
        <w:r>
          <w:rPr>
            <w:noProof/>
            <w:webHidden/>
          </w:rPr>
          <w:fldChar w:fldCharType="begin" w:fldLock="1"/>
        </w:r>
        <w:r>
          <w:rPr>
            <w:noProof/>
            <w:webHidden/>
          </w:rPr>
          <w:instrText xml:space="preserve"> PAGEREF _Toc202683415 \h </w:instrText>
        </w:r>
        <w:r>
          <w:rPr>
            <w:noProof/>
          </w:rPr>
        </w:r>
        <w:r>
          <w:rPr>
            <w:noProof/>
            <w:webHidden/>
          </w:rPr>
          <w:fldChar w:fldCharType="separate"/>
        </w:r>
        <w:r>
          <w:rPr>
            <w:noProof/>
            <w:webHidden/>
          </w:rPr>
          <w:t>146</w:t>
        </w:r>
        <w:r>
          <w:rPr>
            <w:noProof/>
            <w:webHidden/>
          </w:rPr>
          <w:fldChar w:fldCharType="end"/>
        </w:r>
      </w:hyperlink>
    </w:p>
    <w:p w:rsidR="003B0815" w:rsidRDefault="003B0815" w14:paraId="3C69947B" w14:textId="77777777">
      <w:pPr>
        <w:pStyle w:val="TOC4"/>
        <w:tabs>
          <w:tab w:val="right" w:leader="dot" w:pos="9350"/>
        </w:tabs>
        <w:rPr>
          <w:noProof/>
          <w:sz w:val="24"/>
          <w:szCs w:val="24"/>
        </w:rPr>
      </w:pPr>
      <w:hyperlink w:history="1" w:anchor="_Toc202683416">
        <w:r>
          <w:rPr>
            <w:rStyle w:val="Hyperlink"/>
            <w:noProof/>
          </w:rPr>
          <w:t>2.2.3 Travel Agency Small Business Population</w:t>
        </w:r>
        <w:r>
          <w:rPr>
            <w:noProof/>
            <w:webHidden/>
          </w:rPr>
          <w:tab/>
        </w:r>
        <w:r>
          <w:rPr>
            <w:noProof/>
            <w:webHidden/>
          </w:rPr>
          <w:fldChar w:fldCharType="begin" w:fldLock="1"/>
        </w:r>
        <w:r>
          <w:rPr>
            <w:noProof/>
            <w:webHidden/>
          </w:rPr>
          <w:instrText xml:space="preserve"> PAGEREF _Toc202683416 \h </w:instrText>
        </w:r>
        <w:r>
          <w:rPr>
            <w:noProof/>
          </w:rPr>
        </w:r>
        <w:r>
          <w:rPr>
            <w:noProof/>
            <w:webHidden/>
          </w:rPr>
          <w:fldChar w:fldCharType="separate"/>
        </w:r>
        <w:r>
          <w:rPr>
            <w:noProof/>
            <w:webHidden/>
          </w:rPr>
          <w:t>150</w:t>
        </w:r>
        <w:r>
          <w:rPr>
            <w:noProof/>
            <w:webHidden/>
          </w:rPr>
          <w:fldChar w:fldCharType="end"/>
        </w:r>
      </w:hyperlink>
    </w:p>
    <w:p w:rsidR="003B0815" w:rsidRDefault="003B0815" w14:paraId="39720F5F" w14:textId="77777777">
      <w:pPr>
        <w:pStyle w:val="TOC4"/>
        <w:tabs>
          <w:tab w:val="right" w:leader="dot" w:pos="9350"/>
        </w:tabs>
        <w:rPr>
          <w:noProof/>
          <w:sz w:val="24"/>
          <w:szCs w:val="24"/>
        </w:rPr>
      </w:pPr>
      <w:hyperlink w:history="1" w:anchor="_Toc202683417">
        <w:r>
          <w:rPr>
            <w:rStyle w:val="Hyperlink"/>
            <w:noProof/>
          </w:rPr>
          <w:t>2.2.4 Estimated Impact to Travel Agency Small Businesses</w:t>
        </w:r>
        <w:r>
          <w:rPr>
            <w:noProof/>
            <w:webHidden/>
          </w:rPr>
          <w:tab/>
        </w:r>
        <w:r>
          <w:rPr>
            <w:noProof/>
            <w:webHidden/>
          </w:rPr>
          <w:fldChar w:fldCharType="begin" w:fldLock="1"/>
        </w:r>
        <w:r>
          <w:rPr>
            <w:noProof/>
            <w:webHidden/>
          </w:rPr>
          <w:instrText xml:space="preserve"> PAGEREF _Toc202683417 \h </w:instrText>
        </w:r>
        <w:r>
          <w:rPr>
            <w:noProof/>
          </w:rPr>
        </w:r>
        <w:r>
          <w:rPr>
            <w:noProof/>
            <w:webHidden/>
          </w:rPr>
          <w:fldChar w:fldCharType="separate"/>
        </w:r>
        <w:r>
          <w:rPr>
            <w:noProof/>
            <w:webHidden/>
          </w:rPr>
          <w:t>152</w:t>
        </w:r>
        <w:r>
          <w:rPr>
            <w:noProof/>
            <w:webHidden/>
          </w:rPr>
          <w:fldChar w:fldCharType="end"/>
        </w:r>
      </w:hyperlink>
    </w:p>
    <w:p w:rsidR="003B0815" w:rsidRDefault="003B0815" w14:paraId="67C47D6F" w14:textId="77777777">
      <w:pPr>
        <w:pStyle w:val="TOC3"/>
        <w:tabs>
          <w:tab w:val="right" w:leader="dot" w:pos="9350"/>
        </w:tabs>
        <w:rPr>
          <w:i w:val="0"/>
          <w:iCs w:val="0"/>
          <w:noProof/>
          <w:sz w:val="24"/>
          <w:szCs w:val="24"/>
        </w:rPr>
      </w:pPr>
      <w:hyperlink w:history="1" w:anchor="_Toc202683418">
        <w:r>
          <w:rPr>
            <w:rStyle w:val="Hyperlink"/>
            <w:rFonts w:eastAsia="MS Mincho"/>
            <w:noProof/>
          </w:rPr>
          <w:t>Section 3: Significant Alternatives Considered</w:t>
        </w:r>
        <w:r>
          <w:rPr>
            <w:noProof/>
            <w:webHidden/>
          </w:rPr>
          <w:tab/>
        </w:r>
        <w:r>
          <w:rPr>
            <w:noProof/>
            <w:webHidden/>
          </w:rPr>
          <w:fldChar w:fldCharType="begin" w:fldLock="1"/>
        </w:r>
        <w:r>
          <w:rPr>
            <w:noProof/>
            <w:webHidden/>
          </w:rPr>
          <w:instrText xml:space="preserve"> PAGEREF _Toc202683418 \h </w:instrText>
        </w:r>
        <w:r>
          <w:rPr>
            <w:noProof/>
          </w:rPr>
        </w:r>
        <w:r>
          <w:rPr>
            <w:noProof/>
            <w:webHidden/>
          </w:rPr>
          <w:fldChar w:fldCharType="separate"/>
        </w:r>
        <w:r>
          <w:rPr>
            <w:noProof/>
            <w:webHidden/>
          </w:rPr>
          <w:t>154</w:t>
        </w:r>
        <w:r>
          <w:rPr>
            <w:noProof/>
            <w:webHidden/>
          </w:rPr>
          <w:fldChar w:fldCharType="end"/>
        </w:r>
      </w:hyperlink>
    </w:p>
    <w:p w:rsidR="003B0815" w:rsidRDefault="003B0815" w14:paraId="780D07ED" w14:textId="77777777">
      <w:pPr>
        <w:pStyle w:val="TOC3"/>
        <w:tabs>
          <w:tab w:val="right" w:leader="dot" w:pos="9350"/>
        </w:tabs>
        <w:rPr>
          <w:i w:val="0"/>
          <w:iCs w:val="0"/>
          <w:noProof/>
          <w:sz w:val="24"/>
          <w:szCs w:val="24"/>
        </w:rPr>
      </w:pPr>
      <w:hyperlink w:history="1" w:anchor="_Toc202683419">
        <w:r>
          <w:rPr>
            <w:rStyle w:val="Hyperlink"/>
            <w:rFonts w:eastAsia="MS Mincho"/>
            <w:noProof/>
          </w:rPr>
          <w:t>Section 4: Identification of Duplicative or Overlapping Federal Rules</w:t>
        </w:r>
        <w:r>
          <w:rPr>
            <w:noProof/>
            <w:webHidden/>
          </w:rPr>
          <w:tab/>
        </w:r>
        <w:r>
          <w:rPr>
            <w:noProof/>
            <w:webHidden/>
          </w:rPr>
          <w:fldChar w:fldCharType="begin" w:fldLock="1"/>
        </w:r>
        <w:r>
          <w:rPr>
            <w:noProof/>
            <w:webHidden/>
          </w:rPr>
          <w:instrText xml:space="preserve"> PAGEREF _Toc202683419 \h </w:instrText>
        </w:r>
        <w:r>
          <w:rPr>
            <w:noProof/>
          </w:rPr>
        </w:r>
        <w:r>
          <w:rPr>
            <w:noProof/>
            <w:webHidden/>
          </w:rPr>
          <w:fldChar w:fldCharType="separate"/>
        </w:r>
        <w:r>
          <w:rPr>
            <w:noProof/>
            <w:webHidden/>
          </w:rPr>
          <w:t>154</w:t>
        </w:r>
        <w:r>
          <w:rPr>
            <w:noProof/>
            <w:webHidden/>
          </w:rPr>
          <w:fldChar w:fldCharType="end"/>
        </w:r>
      </w:hyperlink>
    </w:p>
    <w:p w:rsidR="003B0815" w:rsidRDefault="003B0815" w14:paraId="26F611ED" w14:textId="77777777">
      <w:pPr>
        <w:pStyle w:val="TOC3"/>
        <w:tabs>
          <w:tab w:val="right" w:leader="dot" w:pos="9350"/>
        </w:tabs>
        <w:rPr>
          <w:i w:val="0"/>
          <w:iCs w:val="0"/>
          <w:noProof/>
          <w:sz w:val="24"/>
          <w:szCs w:val="24"/>
        </w:rPr>
      </w:pPr>
      <w:hyperlink w:history="1" w:anchor="_Toc202683420">
        <w:r>
          <w:rPr>
            <w:rStyle w:val="Hyperlink"/>
            <w:rFonts w:eastAsia="MS Mincho"/>
            <w:noProof/>
          </w:rPr>
          <w:t>Section 5: Final Determination of No Significant Impact</w:t>
        </w:r>
        <w:r>
          <w:rPr>
            <w:noProof/>
            <w:webHidden/>
          </w:rPr>
          <w:tab/>
        </w:r>
        <w:r>
          <w:rPr>
            <w:noProof/>
            <w:webHidden/>
          </w:rPr>
          <w:fldChar w:fldCharType="begin" w:fldLock="1"/>
        </w:r>
        <w:r>
          <w:rPr>
            <w:noProof/>
            <w:webHidden/>
          </w:rPr>
          <w:instrText xml:space="preserve"> PAGEREF _Toc202683420 \h </w:instrText>
        </w:r>
        <w:r>
          <w:rPr>
            <w:noProof/>
          </w:rPr>
        </w:r>
        <w:r>
          <w:rPr>
            <w:noProof/>
            <w:webHidden/>
          </w:rPr>
          <w:fldChar w:fldCharType="separate"/>
        </w:r>
        <w:r>
          <w:rPr>
            <w:noProof/>
            <w:webHidden/>
          </w:rPr>
          <w:t>155</w:t>
        </w:r>
        <w:r>
          <w:rPr>
            <w:noProof/>
            <w:webHidden/>
          </w:rPr>
          <w:fldChar w:fldCharType="end"/>
        </w:r>
      </w:hyperlink>
    </w:p>
    <w:p w:rsidR="003B0815" w:rsidRDefault="003B0815" w14:paraId="491A6A45" w14:textId="77777777">
      <w:pPr>
        <w:pStyle w:val="TOC2"/>
        <w:tabs>
          <w:tab w:val="right" w:leader="dot" w:pos="9350"/>
        </w:tabs>
        <w:rPr>
          <w:smallCaps w:val="0"/>
          <w:noProof/>
          <w:sz w:val="24"/>
          <w:szCs w:val="24"/>
        </w:rPr>
      </w:pPr>
      <w:hyperlink w:history="1" w:anchor="_Toc202683421">
        <w:r>
          <w:rPr>
            <w:rStyle w:val="Hyperlink"/>
            <w:noProof/>
          </w:rPr>
          <w:t>Part 3: International Trade Impact Assessment</w:t>
        </w:r>
        <w:r>
          <w:rPr>
            <w:noProof/>
            <w:webHidden/>
          </w:rPr>
          <w:tab/>
        </w:r>
        <w:r>
          <w:rPr>
            <w:noProof/>
            <w:webHidden/>
          </w:rPr>
          <w:fldChar w:fldCharType="begin" w:fldLock="1"/>
        </w:r>
        <w:r>
          <w:rPr>
            <w:noProof/>
            <w:webHidden/>
          </w:rPr>
          <w:instrText xml:space="preserve"> PAGEREF _Toc202683421 \h </w:instrText>
        </w:r>
        <w:r>
          <w:rPr>
            <w:noProof/>
          </w:rPr>
        </w:r>
        <w:r>
          <w:rPr>
            <w:noProof/>
            <w:webHidden/>
          </w:rPr>
          <w:fldChar w:fldCharType="separate"/>
        </w:r>
        <w:r>
          <w:rPr>
            <w:noProof/>
            <w:webHidden/>
          </w:rPr>
          <w:t>156</w:t>
        </w:r>
        <w:r>
          <w:rPr>
            <w:noProof/>
            <w:webHidden/>
          </w:rPr>
          <w:fldChar w:fldCharType="end"/>
        </w:r>
      </w:hyperlink>
    </w:p>
    <w:p w:rsidR="003B0815" w:rsidRDefault="003B0815" w14:paraId="156BA340" w14:textId="77777777">
      <w:pPr>
        <w:pStyle w:val="TOC2"/>
        <w:tabs>
          <w:tab w:val="right" w:leader="dot" w:pos="9350"/>
        </w:tabs>
        <w:rPr>
          <w:smallCaps w:val="0"/>
          <w:noProof/>
          <w:sz w:val="24"/>
          <w:szCs w:val="24"/>
        </w:rPr>
      </w:pPr>
      <w:hyperlink w:history="1" w:anchor="_Toc202683422">
        <w:r>
          <w:rPr>
            <w:rStyle w:val="Hyperlink"/>
            <w:noProof/>
          </w:rPr>
          <w:t>Part 4: Unfunded Mandates Reform Act</w:t>
        </w:r>
        <w:r>
          <w:rPr>
            <w:noProof/>
            <w:webHidden/>
          </w:rPr>
          <w:tab/>
        </w:r>
        <w:r>
          <w:rPr>
            <w:noProof/>
            <w:webHidden/>
          </w:rPr>
          <w:fldChar w:fldCharType="begin" w:fldLock="1"/>
        </w:r>
        <w:r>
          <w:rPr>
            <w:noProof/>
            <w:webHidden/>
          </w:rPr>
          <w:instrText xml:space="preserve"> PAGEREF _Toc202683422 \h </w:instrText>
        </w:r>
        <w:r>
          <w:rPr>
            <w:noProof/>
          </w:rPr>
        </w:r>
        <w:r>
          <w:rPr>
            <w:noProof/>
            <w:webHidden/>
          </w:rPr>
          <w:fldChar w:fldCharType="separate"/>
        </w:r>
        <w:r>
          <w:rPr>
            <w:noProof/>
            <w:webHidden/>
          </w:rPr>
          <w:t>157</w:t>
        </w:r>
        <w:r>
          <w:rPr>
            <w:noProof/>
            <w:webHidden/>
          </w:rPr>
          <w:fldChar w:fldCharType="end"/>
        </w:r>
      </w:hyperlink>
    </w:p>
    <w:p w:rsidR="003B0815" w:rsidRDefault="003B0815" w14:paraId="5D627AFB" w14:textId="77777777">
      <w:pPr>
        <w:pStyle w:val="TOC1"/>
        <w:tabs>
          <w:tab w:val="right" w:leader="dot" w:pos="9350"/>
        </w:tabs>
        <w:rPr>
          <w:sz w:val="28"/>
          <w:szCs w:val="28"/>
        </w:rPr>
      </w:pPr>
      <w:r>
        <w:fldChar w:fldCharType="end"/>
      </w:r>
    </w:p>
    <w:p w:rsidR="003B0815" w:rsidRDefault="003B0815" w14:paraId="2614D9E2" w14:textId="77777777">
      <w:pPr>
        <w:rPr>
          <w:rFonts w:ascii="Book Antiqua" w:hAnsi="Book Antiqua"/>
          <w:b/>
          <w:sz w:val="28"/>
          <w:szCs w:val="28"/>
        </w:rPr>
        <w:sectPr w:rsidR="003B0815">
          <w:pgSz w:w="12240" w:h="15840"/>
          <w:pgMar w:top="1440" w:right="1440" w:bottom="1440" w:left="1440" w:header="720" w:footer="720" w:gutter="0"/>
          <w:cols w:space="720"/>
          <w:titlePg/>
          <w:docGrid w:linePitch="360"/>
        </w:sectPr>
      </w:pPr>
    </w:p>
    <w:p w:rsidR="003B0815" w:rsidRDefault="003B0815" w14:paraId="08F77FC2" w14:textId="77777777">
      <w:pPr>
        <w:jc w:val="center"/>
        <w:rPr>
          <w:rFonts w:ascii="Book Antiqua" w:hAnsi="Book Antiqua"/>
          <w:b/>
          <w:sz w:val="28"/>
          <w:szCs w:val="28"/>
        </w:rPr>
      </w:pPr>
      <w:r>
        <w:rPr>
          <w:rFonts w:ascii="Book Antiqua" w:hAnsi="Book Antiqua"/>
          <w:b/>
          <w:sz w:val="28"/>
          <w:szCs w:val="28"/>
        </w:rPr>
        <w:t>List of Tables</w:t>
      </w:r>
    </w:p>
    <w:p w:rsidR="003B0815" w:rsidRDefault="003B0815" w14:paraId="19ECE1FD" w14:textId="77777777">
      <w:pPr>
        <w:jc w:val="center"/>
        <w:rPr>
          <w:rFonts w:ascii="Book Antiqua" w:hAnsi="Book Antiqua"/>
          <w:b/>
          <w:sz w:val="28"/>
          <w:szCs w:val="28"/>
        </w:rPr>
      </w:pPr>
    </w:p>
    <w:p w:rsidR="003B0815" w:rsidRDefault="003B0815" w14:paraId="2FA65657" w14:textId="77777777">
      <w:pPr>
        <w:pStyle w:val="TableofFigures"/>
        <w:tabs>
          <w:tab w:val="right" w:leader="dot" w:pos="9350"/>
        </w:tabs>
        <w:rPr>
          <w:smallCaps w:val="0"/>
          <w:noProof/>
          <w:sz w:val="24"/>
          <w:szCs w:val="24"/>
        </w:rPr>
      </w:pPr>
      <w:r>
        <w:rPr>
          <w:b/>
          <w:sz w:val="22"/>
          <w:szCs w:val="22"/>
        </w:rPr>
        <w:fldChar w:fldCharType="begin" w:fldLock="1"/>
      </w:r>
      <w:r>
        <w:rPr>
          <w:b/>
          <w:sz w:val="22"/>
          <w:szCs w:val="22"/>
        </w:rPr>
        <w:instrText xml:space="preserve"> TOC \h \z \t "Reg Eval Table Header" \c </w:instrText>
      </w:r>
      <w:r>
        <w:rPr>
          <w:b/>
          <w:sz w:val="22"/>
          <w:szCs w:val="22"/>
        </w:rPr>
        <w:fldChar w:fldCharType="separate"/>
      </w:r>
      <w:hyperlink w:history="1" w:anchor="_Toc207109496">
        <w:r>
          <w:rPr>
            <w:rStyle w:val="Hyperlink"/>
            <w:noProof/>
          </w:rPr>
          <w:t>Total and Average Costs (Millions)</w:t>
        </w:r>
        <w:r>
          <w:rPr>
            <w:noProof/>
            <w:webHidden/>
          </w:rPr>
          <w:tab/>
        </w:r>
        <w:r>
          <w:rPr>
            <w:noProof/>
            <w:webHidden/>
          </w:rPr>
          <w:fldChar w:fldCharType="begin" w:fldLock="1"/>
        </w:r>
        <w:r>
          <w:rPr>
            <w:noProof/>
            <w:webHidden/>
          </w:rPr>
          <w:instrText xml:space="preserve"> PAGEREF _Toc207109496 \h </w:instrText>
        </w:r>
        <w:r>
          <w:rPr>
            <w:noProof/>
          </w:rPr>
        </w:r>
        <w:r>
          <w:rPr>
            <w:noProof/>
            <w:webHidden/>
          </w:rPr>
          <w:fldChar w:fldCharType="separate"/>
        </w:r>
        <w:r>
          <w:rPr>
            <w:noProof/>
            <w:webHidden/>
          </w:rPr>
          <w:t>12</w:t>
        </w:r>
        <w:r>
          <w:rPr>
            <w:noProof/>
            <w:webHidden/>
          </w:rPr>
          <w:fldChar w:fldCharType="end"/>
        </w:r>
      </w:hyperlink>
    </w:p>
    <w:p w:rsidR="003B0815" w:rsidRDefault="003B0815" w14:paraId="1B4B209F" w14:textId="77777777">
      <w:pPr>
        <w:pStyle w:val="TableofFigures"/>
        <w:tabs>
          <w:tab w:val="right" w:leader="dot" w:pos="9350"/>
        </w:tabs>
        <w:rPr>
          <w:smallCaps w:val="0"/>
          <w:noProof/>
          <w:sz w:val="24"/>
          <w:szCs w:val="24"/>
        </w:rPr>
      </w:pPr>
      <w:hyperlink w:history="1" w:anchor="_Toc207109497">
        <w:r>
          <w:rPr>
            <w:rStyle w:val="Hyperlink"/>
            <w:noProof/>
          </w:rPr>
          <w:t>Changes in Secure Flight Cost Estimates from NPRM Cost Estimates</w:t>
        </w:r>
        <w:r>
          <w:rPr>
            <w:noProof/>
            <w:webHidden/>
          </w:rPr>
          <w:tab/>
        </w:r>
        <w:r>
          <w:rPr>
            <w:noProof/>
            <w:webHidden/>
          </w:rPr>
          <w:fldChar w:fldCharType="begin" w:fldLock="1"/>
        </w:r>
        <w:r>
          <w:rPr>
            <w:noProof/>
            <w:webHidden/>
          </w:rPr>
          <w:instrText xml:space="preserve"> PAGEREF _Toc207109497 \h </w:instrText>
        </w:r>
        <w:r>
          <w:rPr>
            <w:noProof/>
          </w:rPr>
        </w:r>
        <w:r>
          <w:rPr>
            <w:noProof/>
            <w:webHidden/>
          </w:rPr>
          <w:fldChar w:fldCharType="separate"/>
        </w:r>
        <w:r>
          <w:rPr>
            <w:noProof/>
            <w:webHidden/>
          </w:rPr>
          <w:t>14</w:t>
        </w:r>
        <w:r>
          <w:rPr>
            <w:noProof/>
            <w:webHidden/>
          </w:rPr>
          <w:fldChar w:fldCharType="end"/>
        </w:r>
      </w:hyperlink>
    </w:p>
    <w:p w:rsidR="003B0815" w:rsidRDefault="003B0815" w14:paraId="2C2F4583" w14:textId="77777777">
      <w:pPr>
        <w:pStyle w:val="TableofFigures"/>
        <w:tabs>
          <w:tab w:val="right" w:leader="dot" w:pos="9350"/>
        </w:tabs>
        <w:rPr>
          <w:smallCaps w:val="0"/>
          <w:noProof/>
          <w:sz w:val="24"/>
          <w:szCs w:val="24"/>
        </w:rPr>
      </w:pPr>
      <w:hyperlink w:history="1" w:anchor="_Toc207109498">
        <w:r>
          <w:rPr>
            <w:rStyle w:val="Hyperlink"/>
            <w:noProof/>
          </w:rPr>
          <w:t>Table 1.4.1.a Covered Carrier Forecasted Enplanements</w:t>
        </w:r>
        <w:r>
          <w:rPr>
            <w:noProof/>
            <w:webHidden/>
          </w:rPr>
          <w:tab/>
        </w:r>
        <w:r>
          <w:rPr>
            <w:noProof/>
            <w:webHidden/>
          </w:rPr>
          <w:fldChar w:fldCharType="begin" w:fldLock="1"/>
        </w:r>
        <w:r>
          <w:rPr>
            <w:noProof/>
            <w:webHidden/>
          </w:rPr>
          <w:instrText xml:space="preserve"> PAGEREF _Toc207109498 \h </w:instrText>
        </w:r>
        <w:r>
          <w:rPr>
            <w:noProof/>
          </w:rPr>
        </w:r>
        <w:r>
          <w:rPr>
            <w:noProof/>
            <w:webHidden/>
          </w:rPr>
          <w:fldChar w:fldCharType="separate"/>
        </w:r>
        <w:r>
          <w:rPr>
            <w:noProof/>
            <w:webHidden/>
          </w:rPr>
          <w:t>32</w:t>
        </w:r>
        <w:r>
          <w:rPr>
            <w:noProof/>
            <w:webHidden/>
          </w:rPr>
          <w:fldChar w:fldCharType="end"/>
        </w:r>
      </w:hyperlink>
    </w:p>
    <w:p w:rsidR="003B0815" w:rsidRDefault="003B0815" w14:paraId="2C8A6C96" w14:textId="77777777">
      <w:pPr>
        <w:pStyle w:val="TableofFigures"/>
        <w:tabs>
          <w:tab w:val="right" w:leader="dot" w:pos="9350"/>
        </w:tabs>
        <w:rPr>
          <w:smallCaps w:val="0"/>
          <w:noProof/>
          <w:sz w:val="24"/>
          <w:szCs w:val="24"/>
        </w:rPr>
      </w:pPr>
      <w:hyperlink w:history="1" w:anchor="_Toc207109499">
        <w:r>
          <w:rPr>
            <w:rStyle w:val="Hyperlink"/>
            <w:noProof/>
            <w:lang w:val="fr-FR"/>
          </w:rPr>
          <w:t>Table 1.4.1.b Large Carrier Revenue Classifications</w:t>
        </w:r>
        <w:r>
          <w:rPr>
            <w:noProof/>
            <w:webHidden/>
          </w:rPr>
          <w:tab/>
        </w:r>
        <w:r>
          <w:rPr>
            <w:noProof/>
            <w:webHidden/>
          </w:rPr>
          <w:fldChar w:fldCharType="begin" w:fldLock="1"/>
        </w:r>
        <w:r>
          <w:rPr>
            <w:noProof/>
            <w:webHidden/>
          </w:rPr>
          <w:instrText xml:space="preserve"> PAGEREF _Toc207109499 \h </w:instrText>
        </w:r>
        <w:r>
          <w:rPr>
            <w:noProof/>
          </w:rPr>
        </w:r>
        <w:r>
          <w:rPr>
            <w:noProof/>
            <w:webHidden/>
          </w:rPr>
          <w:fldChar w:fldCharType="separate"/>
        </w:r>
        <w:r>
          <w:rPr>
            <w:noProof/>
            <w:webHidden/>
          </w:rPr>
          <w:t>33</w:t>
        </w:r>
        <w:r>
          <w:rPr>
            <w:noProof/>
            <w:webHidden/>
          </w:rPr>
          <w:fldChar w:fldCharType="end"/>
        </w:r>
      </w:hyperlink>
    </w:p>
    <w:p w:rsidR="003B0815" w:rsidRDefault="003B0815" w14:paraId="55748098" w14:textId="77777777">
      <w:pPr>
        <w:pStyle w:val="TableofFigures"/>
        <w:tabs>
          <w:tab w:val="right" w:leader="dot" w:pos="9350"/>
        </w:tabs>
        <w:rPr>
          <w:smallCaps w:val="0"/>
          <w:noProof/>
          <w:sz w:val="24"/>
          <w:szCs w:val="24"/>
        </w:rPr>
      </w:pPr>
      <w:hyperlink w:history="1" w:anchor="_Toc207109500">
        <w:r>
          <w:rPr>
            <w:rStyle w:val="Hyperlink"/>
            <w:noProof/>
          </w:rPr>
          <w:t>Table 1.4.1.c  Count of Secure Flight Domestic Aircraft Operators by BTS Class</w:t>
        </w:r>
        <w:r>
          <w:rPr>
            <w:noProof/>
            <w:webHidden/>
          </w:rPr>
          <w:tab/>
        </w:r>
        <w:r>
          <w:rPr>
            <w:noProof/>
            <w:webHidden/>
          </w:rPr>
          <w:fldChar w:fldCharType="begin" w:fldLock="1"/>
        </w:r>
        <w:r>
          <w:rPr>
            <w:noProof/>
            <w:webHidden/>
          </w:rPr>
          <w:instrText xml:space="preserve"> PAGEREF _Toc207109500 \h </w:instrText>
        </w:r>
        <w:r>
          <w:rPr>
            <w:noProof/>
          </w:rPr>
        </w:r>
        <w:r>
          <w:rPr>
            <w:noProof/>
            <w:webHidden/>
          </w:rPr>
          <w:fldChar w:fldCharType="separate"/>
        </w:r>
        <w:r>
          <w:rPr>
            <w:noProof/>
            <w:webHidden/>
          </w:rPr>
          <w:t>33</w:t>
        </w:r>
        <w:r>
          <w:rPr>
            <w:noProof/>
            <w:webHidden/>
          </w:rPr>
          <w:fldChar w:fldCharType="end"/>
        </w:r>
      </w:hyperlink>
    </w:p>
    <w:p w:rsidR="003B0815" w:rsidRDefault="003B0815" w14:paraId="717639B5" w14:textId="77777777">
      <w:pPr>
        <w:pStyle w:val="TableofFigures"/>
        <w:tabs>
          <w:tab w:val="right" w:leader="dot" w:pos="9350"/>
        </w:tabs>
        <w:rPr>
          <w:smallCaps w:val="0"/>
          <w:noProof/>
          <w:sz w:val="24"/>
          <w:szCs w:val="24"/>
        </w:rPr>
      </w:pPr>
      <w:hyperlink w:history="1" w:anchor="_Toc207109501">
        <w:r>
          <w:rPr>
            <w:rStyle w:val="Hyperlink"/>
            <w:noProof/>
          </w:rPr>
          <w:t>Table 1.4.1.d Airline vs. GDS/host ARS Reprogramming Effort</w:t>
        </w:r>
        <w:r>
          <w:rPr>
            <w:noProof/>
            <w:webHidden/>
          </w:rPr>
          <w:tab/>
        </w:r>
        <w:r>
          <w:rPr>
            <w:noProof/>
            <w:webHidden/>
          </w:rPr>
          <w:fldChar w:fldCharType="begin" w:fldLock="1"/>
        </w:r>
        <w:r>
          <w:rPr>
            <w:noProof/>
            <w:webHidden/>
          </w:rPr>
          <w:instrText xml:space="preserve"> PAGEREF _Toc207109501 \h </w:instrText>
        </w:r>
        <w:r>
          <w:rPr>
            <w:noProof/>
          </w:rPr>
        </w:r>
        <w:r>
          <w:rPr>
            <w:noProof/>
            <w:webHidden/>
          </w:rPr>
          <w:fldChar w:fldCharType="separate"/>
        </w:r>
        <w:r>
          <w:rPr>
            <w:noProof/>
            <w:webHidden/>
          </w:rPr>
          <w:t>36</w:t>
        </w:r>
        <w:r>
          <w:rPr>
            <w:noProof/>
            <w:webHidden/>
          </w:rPr>
          <w:fldChar w:fldCharType="end"/>
        </w:r>
      </w:hyperlink>
    </w:p>
    <w:p w:rsidR="003B0815" w:rsidRDefault="003B0815" w14:paraId="5F90C392" w14:textId="77777777">
      <w:pPr>
        <w:pStyle w:val="TableofFigures"/>
        <w:tabs>
          <w:tab w:val="right" w:leader="dot" w:pos="9350"/>
        </w:tabs>
        <w:rPr>
          <w:smallCaps w:val="0"/>
          <w:noProof/>
          <w:sz w:val="24"/>
          <w:szCs w:val="24"/>
        </w:rPr>
      </w:pPr>
      <w:hyperlink w:history="1" w:anchor="_Toc207109502">
        <w:r>
          <w:rPr>
            <w:rStyle w:val="Hyperlink"/>
            <w:noProof/>
          </w:rPr>
          <w:t>Table 1.4.1.e Major Secure Flight Implementation Groupings</w:t>
        </w:r>
        <w:r>
          <w:rPr>
            <w:noProof/>
            <w:webHidden/>
          </w:rPr>
          <w:tab/>
        </w:r>
        <w:r>
          <w:rPr>
            <w:noProof/>
            <w:webHidden/>
          </w:rPr>
          <w:fldChar w:fldCharType="begin" w:fldLock="1"/>
        </w:r>
        <w:r>
          <w:rPr>
            <w:noProof/>
            <w:webHidden/>
          </w:rPr>
          <w:instrText xml:space="preserve"> PAGEREF _Toc207109502 \h </w:instrText>
        </w:r>
        <w:r>
          <w:rPr>
            <w:noProof/>
          </w:rPr>
        </w:r>
        <w:r>
          <w:rPr>
            <w:noProof/>
            <w:webHidden/>
          </w:rPr>
          <w:fldChar w:fldCharType="separate"/>
        </w:r>
        <w:r>
          <w:rPr>
            <w:noProof/>
            <w:webHidden/>
          </w:rPr>
          <w:t>37</w:t>
        </w:r>
        <w:r>
          <w:rPr>
            <w:noProof/>
            <w:webHidden/>
          </w:rPr>
          <w:fldChar w:fldCharType="end"/>
        </w:r>
      </w:hyperlink>
    </w:p>
    <w:p w:rsidR="003B0815" w:rsidRDefault="003B0815" w14:paraId="4FABAAC1" w14:textId="77777777">
      <w:pPr>
        <w:pStyle w:val="TableofFigures"/>
        <w:tabs>
          <w:tab w:val="right" w:leader="dot" w:pos="9350"/>
        </w:tabs>
        <w:rPr>
          <w:smallCaps w:val="0"/>
          <w:noProof/>
          <w:sz w:val="24"/>
          <w:szCs w:val="24"/>
        </w:rPr>
      </w:pPr>
      <w:hyperlink w:history="1" w:anchor="_Toc207109503">
        <w:r>
          <w:rPr>
            <w:rStyle w:val="Hyperlink"/>
            <w:noProof/>
          </w:rPr>
          <w:t>Table 1.4.1.f  Secure Flight Large* Domestic Carriers Reporting to APIS</w:t>
        </w:r>
        <w:r>
          <w:rPr>
            <w:noProof/>
            <w:webHidden/>
          </w:rPr>
          <w:tab/>
        </w:r>
        <w:r>
          <w:rPr>
            <w:noProof/>
            <w:webHidden/>
          </w:rPr>
          <w:fldChar w:fldCharType="begin" w:fldLock="1"/>
        </w:r>
        <w:r>
          <w:rPr>
            <w:noProof/>
            <w:webHidden/>
          </w:rPr>
          <w:instrText xml:space="preserve"> PAGEREF _Toc207109503 \h </w:instrText>
        </w:r>
        <w:r>
          <w:rPr>
            <w:noProof/>
          </w:rPr>
        </w:r>
        <w:r>
          <w:rPr>
            <w:noProof/>
            <w:webHidden/>
          </w:rPr>
          <w:fldChar w:fldCharType="separate"/>
        </w:r>
        <w:r>
          <w:rPr>
            <w:noProof/>
            <w:webHidden/>
          </w:rPr>
          <w:t>39</w:t>
        </w:r>
        <w:r>
          <w:rPr>
            <w:noProof/>
            <w:webHidden/>
          </w:rPr>
          <w:fldChar w:fldCharType="end"/>
        </w:r>
      </w:hyperlink>
    </w:p>
    <w:p w:rsidR="003B0815" w:rsidRDefault="003B0815" w14:paraId="07C28B7A" w14:textId="77777777">
      <w:pPr>
        <w:pStyle w:val="TableofFigures"/>
        <w:tabs>
          <w:tab w:val="right" w:leader="dot" w:pos="9350"/>
        </w:tabs>
        <w:rPr>
          <w:smallCaps w:val="0"/>
          <w:noProof/>
          <w:sz w:val="24"/>
          <w:szCs w:val="24"/>
        </w:rPr>
      </w:pPr>
      <w:hyperlink w:history="1" w:anchor="_Toc207109504">
        <w:r>
          <w:rPr>
            <w:rStyle w:val="Hyperlink"/>
            <w:noProof/>
          </w:rPr>
          <w:t>Table 1.4.1.g International Enplanement Shares</w:t>
        </w:r>
        <w:r>
          <w:rPr>
            <w:noProof/>
            <w:webHidden/>
          </w:rPr>
          <w:tab/>
        </w:r>
        <w:r>
          <w:rPr>
            <w:noProof/>
            <w:webHidden/>
          </w:rPr>
          <w:fldChar w:fldCharType="begin" w:fldLock="1"/>
        </w:r>
        <w:r>
          <w:rPr>
            <w:noProof/>
            <w:webHidden/>
          </w:rPr>
          <w:instrText xml:space="preserve"> PAGEREF _Toc207109504 \h </w:instrText>
        </w:r>
        <w:r>
          <w:rPr>
            <w:noProof/>
          </w:rPr>
        </w:r>
        <w:r>
          <w:rPr>
            <w:noProof/>
            <w:webHidden/>
          </w:rPr>
          <w:fldChar w:fldCharType="separate"/>
        </w:r>
        <w:r>
          <w:rPr>
            <w:noProof/>
            <w:webHidden/>
          </w:rPr>
          <w:t>40</w:t>
        </w:r>
        <w:r>
          <w:rPr>
            <w:noProof/>
            <w:webHidden/>
          </w:rPr>
          <w:fldChar w:fldCharType="end"/>
        </w:r>
      </w:hyperlink>
    </w:p>
    <w:p w:rsidR="003B0815" w:rsidRDefault="003B0815" w14:paraId="4D6D873C" w14:textId="77777777">
      <w:pPr>
        <w:pStyle w:val="TableofFigures"/>
        <w:tabs>
          <w:tab w:val="right" w:leader="dot" w:pos="9350"/>
        </w:tabs>
        <w:rPr>
          <w:smallCaps w:val="0"/>
          <w:noProof/>
          <w:sz w:val="24"/>
          <w:szCs w:val="24"/>
        </w:rPr>
      </w:pPr>
      <w:hyperlink w:history="1" w:anchor="_Toc207109505">
        <w:r>
          <w:rPr>
            <w:rStyle w:val="Hyperlink"/>
            <w:noProof/>
          </w:rPr>
          <w:t>Table 1.4.1.h Projected Secure Flight Covered International Passengers (Millions)</w:t>
        </w:r>
        <w:r>
          <w:rPr>
            <w:noProof/>
            <w:webHidden/>
          </w:rPr>
          <w:tab/>
        </w:r>
        <w:r>
          <w:rPr>
            <w:noProof/>
            <w:webHidden/>
          </w:rPr>
          <w:fldChar w:fldCharType="begin" w:fldLock="1"/>
        </w:r>
        <w:r>
          <w:rPr>
            <w:noProof/>
            <w:webHidden/>
          </w:rPr>
          <w:instrText xml:space="preserve"> PAGEREF _Toc207109505 \h </w:instrText>
        </w:r>
        <w:r>
          <w:rPr>
            <w:noProof/>
          </w:rPr>
        </w:r>
        <w:r>
          <w:rPr>
            <w:noProof/>
            <w:webHidden/>
          </w:rPr>
          <w:fldChar w:fldCharType="separate"/>
        </w:r>
        <w:r>
          <w:rPr>
            <w:noProof/>
            <w:webHidden/>
          </w:rPr>
          <w:t>42</w:t>
        </w:r>
        <w:r>
          <w:rPr>
            <w:noProof/>
            <w:webHidden/>
          </w:rPr>
          <w:fldChar w:fldCharType="end"/>
        </w:r>
      </w:hyperlink>
    </w:p>
    <w:p w:rsidR="003B0815" w:rsidRDefault="003B0815" w14:paraId="7DE9E04F" w14:textId="77777777">
      <w:pPr>
        <w:pStyle w:val="TableofFigures"/>
        <w:tabs>
          <w:tab w:val="right" w:leader="dot" w:pos="9350"/>
        </w:tabs>
        <w:rPr>
          <w:smallCaps w:val="0"/>
          <w:noProof/>
          <w:sz w:val="24"/>
          <w:szCs w:val="24"/>
        </w:rPr>
      </w:pPr>
      <w:hyperlink w:history="1" w:anchor="_Toc207109506">
        <w:r>
          <w:rPr>
            <w:rStyle w:val="Hyperlink"/>
            <w:noProof/>
          </w:rPr>
          <w:t>Table 1.4.2.a Percent of Roundtrip Itineraries</w:t>
        </w:r>
        <w:r>
          <w:rPr>
            <w:noProof/>
            <w:webHidden/>
          </w:rPr>
          <w:tab/>
        </w:r>
        <w:r>
          <w:rPr>
            <w:noProof/>
            <w:webHidden/>
          </w:rPr>
          <w:fldChar w:fldCharType="begin" w:fldLock="1"/>
        </w:r>
        <w:r>
          <w:rPr>
            <w:noProof/>
            <w:webHidden/>
          </w:rPr>
          <w:instrText xml:space="preserve"> PAGEREF _Toc207109506 \h </w:instrText>
        </w:r>
        <w:r>
          <w:rPr>
            <w:noProof/>
          </w:rPr>
        </w:r>
        <w:r>
          <w:rPr>
            <w:noProof/>
            <w:webHidden/>
          </w:rPr>
          <w:fldChar w:fldCharType="separate"/>
        </w:r>
        <w:r>
          <w:rPr>
            <w:noProof/>
            <w:webHidden/>
          </w:rPr>
          <w:t>46</w:t>
        </w:r>
        <w:r>
          <w:rPr>
            <w:noProof/>
            <w:webHidden/>
          </w:rPr>
          <w:fldChar w:fldCharType="end"/>
        </w:r>
      </w:hyperlink>
    </w:p>
    <w:p w:rsidR="003B0815" w:rsidRDefault="003B0815" w14:paraId="104F3CE6" w14:textId="77777777">
      <w:pPr>
        <w:pStyle w:val="TableofFigures"/>
        <w:tabs>
          <w:tab w:val="right" w:leader="dot" w:pos="9350"/>
        </w:tabs>
        <w:rPr>
          <w:smallCaps w:val="0"/>
          <w:noProof/>
          <w:sz w:val="24"/>
          <w:szCs w:val="24"/>
        </w:rPr>
      </w:pPr>
      <w:hyperlink w:history="1" w:anchor="_Toc207109507">
        <w:r>
          <w:rPr>
            <w:rStyle w:val="Hyperlink"/>
            <w:bCs/>
            <w:noProof/>
          </w:rPr>
          <w:t>Table 1.4.2.b Covered Carrier Forecasted Domestic Reservations (Millions)</w:t>
        </w:r>
        <w:r>
          <w:rPr>
            <w:noProof/>
            <w:webHidden/>
          </w:rPr>
          <w:tab/>
        </w:r>
        <w:r>
          <w:rPr>
            <w:noProof/>
            <w:webHidden/>
          </w:rPr>
          <w:fldChar w:fldCharType="begin" w:fldLock="1"/>
        </w:r>
        <w:r>
          <w:rPr>
            <w:noProof/>
            <w:webHidden/>
          </w:rPr>
          <w:instrText xml:space="preserve"> PAGEREF _Toc207109507 \h </w:instrText>
        </w:r>
        <w:r>
          <w:rPr>
            <w:noProof/>
          </w:rPr>
        </w:r>
        <w:r>
          <w:rPr>
            <w:noProof/>
            <w:webHidden/>
          </w:rPr>
          <w:fldChar w:fldCharType="separate"/>
        </w:r>
        <w:r>
          <w:rPr>
            <w:noProof/>
            <w:webHidden/>
          </w:rPr>
          <w:t>47</w:t>
        </w:r>
        <w:r>
          <w:rPr>
            <w:noProof/>
            <w:webHidden/>
          </w:rPr>
          <w:fldChar w:fldCharType="end"/>
        </w:r>
      </w:hyperlink>
    </w:p>
    <w:p w:rsidR="003B0815" w:rsidRDefault="003B0815" w14:paraId="4AE00351" w14:textId="77777777">
      <w:pPr>
        <w:pStyle w:val="TableofFigures"/>
        <w:tabs>
          <w:tab w:val="right" w:leader="dot" w:pos="9350"/>
        </w:tabs>
        <w:rPr>
          <w:smallCaps w:val="0"/>
          <w:noProof/>
          <w:sz w:val="24"/>
          <w:szCs w:val="24"/>
        </w:rPr>
      </w:pPr>
      <w:hyperlink w:history="1" w:anchor="_Toc207109508">
        <w:r>
          <w:rPr>
            <w:rStyle w:val="Hyperlink"/>
            <w:bCs/>
            <w:noProof/>
          </w:rPr>
          <w:t>Table 1.4.2.c Forecasted Group 4 Reservations</w:t>
        </w:r>
        <w:r>
          <w:rPr>
            <w:noProof/>
            <w:webHidden/>
          </w:rPr>
          <w:tab/>
        </w:r>
        <w:r>
          <w:rPr>
            <w:noProof/>
            <w:webHidden/>
          </w:rPr>
          <w:fldChar w:fldCharType="begin" w:fldLock="1"/>
        </w:r>
        <w:r>
          <w:rPr>
            <w:noProof/>
            <w:webHidden/>
          </w:rPr>
          <w:instrText xml:space="preserve"> PAGEREF _Toc207109508 \h </w:instrText>
        </w:r>
        <w:r>
          <w:rPr>
            <w:noProof/>
          </w:rPr>
        </w:r>
        <w:r>
          <w:rPr>
            <w:noProof/>
            <w:webHidden/>
          </w:rPr>
          <w:fldChar w:fldCharType="separate"/>
        </w:r>
        <w:r>
          <w:rPr>
            <w:noProof/>
            <w:webHidden/>
          </w:rPr>
          <w:t>50</w:t>
        </w:r>
        <w:r>
          <w:rPr>
            <w:noProof/>
            <w:webHidden/>
          </w:rPr>
          <w:fldChar w:fldCharType="end"/>
        </w:r>
      </w:hyperlink>
    </w:p>
    <w:p w:rsidR="003B0815" w:rsidRDefault="003B0815" w14:paraId="0EEC2A5F" w14:textId="77777777">
      <w:pPr>
        <w:pStyle w:val="TableofFigures"/>
        <w:tabs>
          <w:tab w:val="right" w:leader="dot" w:pos="9350"/>
        </w:tabs>
        <w:rPr>
          <w:smallCaps w:val="0"/>
          <w:noProof/>
          <w:sz w:val="24"/>
          <w:szCs w:val="24"/>
        </w:rPr>
      </w:pPr>
      <w:hyperlink w:history="1" w:anchor="_Toc207109509">
        <w:r>
          <w:rPr>
            <w:rStyle w:val="Hyperlink"/>
            <w:bCs/>
            <w:noProof/>
          </w:rPr>
          <w:t>Table 1.4.2.d Covered Carrier Forecasted International Reservations (Millions)</w:t>
        </w:r>
        <w:r>
          <w:rPr>
            <w:noProof/>
            <w:webHidden/>
          </w:rPr>
          <w:tab/>
        </w:r>
        <w:r>
          <w:rPr>
            <w:noProof/>
            <w:webHidden/>
          </w:rPr>
          <w:fldChar w:fldCharType="begin" w:fldLock="1"/>
        </w:r>
        <w:r>
          <w:rPr>
            <w:noProof/>
            <w:webHidden/>
          </w:rPr>
          <w:instrText xml:space="preserve"> PAGEREF _Toc207109509 \h </w:instrText>
        </w:r>
        <w:r>
          <w:rPr>
            <w:noProof/>
          </w:rPr>
        </w:r>
        <w:r>
          <w:rPr>
            <w:noProof/>
            <w:webHidden/>
          </w:rPr>
          <w:fldChar w:fldCharType="separate"/>
        </w:r>
        <w:r>
          <w:rPr>
            <w:noProof/>
            <w:webHidden/>
          </w:rPr>
          <w:t>51</w:t>
        </w:r>
        <w:r>
          <w:rPr>
            <w:noProof/>
            <w:webHidden/>
          </w:rPr>
          <w:fldChar w:fldCharType="end"/>
        </w:r>
      </w:hyperlink>
    </w:p>
    <w:p w:rsidR="003B0815" w:rsidRDefault="003B0815" w14:paraId="1522403A" w14:textId="77777777">
      <w:pPr>
        <w:pStyle w:val="TableofFigures"/>
        <w:tabs>
          <w:tab w:val="right" w:leader="dot" w:pos="9350"/>
        </w:tabs>
        <w:rPr>
          <w:smallCaps w:val="0"/>
          <w:noProof/>
          <w:sz w:val="24"/>
          <w:szCs w:val="24"/>
        </w:rPr>
      </w:pPr>
      <w:hyperlink w:history="1" w:anchor="_Toc207109510">
        <w:r>
          <w:rPr>
            <w:rStyle w:val="Hyperlink"/>
            <w:noProof/>
          </w:rPr>
          <w:t>Table 1.5.9.a: Required Reduction in Annual Risk Required (%) for  Secure Flight Annualized Undiscounted Costs ($326.2 M) to Equal Expected Benefits (Avoided Loss), by Attack Scenario</w:t>
        </w:r>
        <w:r>
          <w:rPr>
            <w:noProof/>
            <w:webHidden/>
          </w:rPr>
          <w:tab/>
        </w:r>
        <w:r>
          <w:rPr>
            <w:noProof/>
            <w:webHidden/>
          </w:rPr>
          <w:fldChar w:fldCharType="begin" w:fldLock="1"/>
        </w:r>
        <w:r>
          <w:rPr>
            <w:noProof/>
            <w:webHidden/>
          </w:rPr>
          <w:instrText xml:space="preserve"> PAGEREF _Toc207109510 \h </w:instrText>
        </w:r>
        <w:r>
          <w:rPr>
            <w:noProof/>
          </w:rPr>
        </w:r>
        <w:r>
          <w:rPr>
            <w:noProof/>
            <w:webHidden/>
          </w:rPr>
          <w:fldChar w:fldCharType="separate"/>
        </w:r>
        <w:r>
          <w:rPr>
            <w:noProof/>
            <w:webHidden/>
          </w:rPr>
          <w:t>62</w:t>
        </w:r>
        <w:r>
          <w:rPr>
            <w:noProof/>
            <w:webHidden/>
          </w:rPr>
          <w:fldChar w:fldCharType="end"/>
        </w:r>
      </w:hyperlink>
    </w:p>
    <w:p w:rsidR="003B0815" w:rsidRDefault="003B0815" w14:paraId="5E06B002" w14:textId="77777777">
      <w:pPr>
        <w:pStyle w:val="TableofFigures"/>
        <w:tabs>
          <w:tab w:val="right" w:leader="dot" w:pos="9350"/>
        </w:tabs>
        <w:rPr>
          <w:smallCaps w:val="0"/>
          <w:noProof/>
          <w:sz w:val="24"/>
          <w:szCs w:val="24"/>
        </w:rPr>
      </w:pPr>
      <w:hyperlink w:history="1" w:anchor="_Toc207109511">
        <w:r>
          <w:rPr>
            <w:rStyle w:val="Hyperlink"/>
            <w:noProof/>
          </w:rPr>
          <w:t>Figure 1.5.9.b: Secure Flight Breakeven Frontier for Cost Beneficial Reduction of Annual Aviation Terror Attack Risk, by Attack Consequence (Annualized Undiscounted Secure Flight Primary Cost = $326.2 M)</w:t>
        </w:r>
        <w:r>
          <w:rPr>
            <w:noProof/>
            <w:webHidden/>
          </w:rPr>
          <w:tab/>
        </w:r>
        <w:r>
          <w:rPr>
            <w:noProof/>
            <w:webHidden/>
          </w:rPr>
          <w:fldChar w:fldCharType="begin" w:fldLock="1"/>
        </w:r>
        <w:r>
          <w:rPr>
            <w:noProof/>
            <w:webHidden/>
          </w:rPr>
          <w:instrText xml:space="preserve"> PAGEREF _Toc207109511 \h </w:instrText>
        </w:r>
        <w:r>
          <w:rPr>
            <w:noProof/>
          </w:rPr>
        </w:r>
        <w:r>
          <w:rPr>
            <w:noProof/>
            <w:webHidden/>
          </w:rPr>
          <w:fldChar w:fldCharType="separate"/>
        </w:r>
        <w:r>
          <w:rPr>
            <w:noProof/>
            <w:webHidden/>
          </w:rPr>
          <w:t>63</w:t>
        </w:r>
        <w:r>
          <w:rPr>
            <w:noProof/>
            <w:webHidden/>
          </w:rPr>
          <w:fldChar w:fldCharType="end"/>
        </w:r>
      </w:hyperlink>
    </w:p>
    <w:p w:rsidR="003B0815" w:rsidRDefault="003B0815" w14:paraId="419B2CBF" w14:textId="77777777">
      <w:pPr>
        <w:pStyle w:val="TableofFigures"/>
        <w:tabs>
          <w:tab w:val="right" w:leader="dot" w:pos="9350"/>
        </w:tabs>
        <w:rPr>
          <w:smallCaps w:val="0"/>
          <w:noProof/>
          <w:sz w:val="24"/>
          <w:szCs w:val="24"/>
        </w:rPr>
      </w:pPr>
      <w:hyperlink w:history="1" w:anchor="_Toc207109512">
        <w:r>
          <w:rPr>
            <w:rStyle w:val="Hyperlink"/>
            <w:bCs/>
            <w:noProof/>
          </w:rPr>
          <w:t>Table 1.6.1.a Total Secure Flight Costs, Millions of 2005 $</w:t>
        </w:r>
        <w:r>
          <w:rPr>
            <w:noProof/>
            <w:webHidden/>
          </w:rPr>
          <w:tab/>
        </w:r>
        <w:r>
          <w:rPr>
            <w:noProof/>
            <w:webHidden/>
          </w:rPr>
          <w:fldChar w:fldCharType="begin" w:fldLock="1"/>
        </w:r>
        <w:r>
          <w:rPr>
            <w:noProof/>
            <w:webHidden/>
          </w:rPr>
          <w:instrText xml:space="preserve"> PAGEREF _Toc207109512 \h </w:instrText>
        </w:r>
        <w:r>
          <w:rPr>
            <w:noProof/>
          </w:rPr>
        </w:r>
        <w:r>
          <w:rPr>
            <w:noProof/>
            <w:webHidden/>
          </w:rPr>
          <w:fldChar w:fldCharType="separate"/>
        </w:r>
        <w:r>
          <w:rPr>
            <w:noProof/>
            <w:webHidden/>
          </w:rPr>
          <w:t>65</w:t>
        </w:r>
        <w:r>
          <w:rPr>
            <w:noProof/>
            <w:webHidden/>
          </w:rPr>
          <w:fldChar w:fldCharType="end"/>
        </w:r>
      </w:hyperlink>
    </w:p>
    <w:p w:rsidR="003B0815" w:rsidRDefault="003B0815" w14:paraId="79106410" w14:textId="77777777">
      <w:pPr>
        <w:pStyle w:val="TableofFigures"/>
        <w:tabs>
          <w:tab w:val="right" w:leader="dot" w:pos="9350"/>
        </w:tabs>
        <w:rPr>
          <w:smallCaps w:val="0"/>
          <w:noProof/>
          <w:sz w:val="24"/>
          <w:szCs w:val="24"/>
        </w:rPr>
      </w:pPr>
      <w:hyperlink w:history="1" w:anchor="_Toc207109513">
        <w:r>
          <w:rPr>
            <w:rStyle w:val="Hyperlink"/>
            <w:bCs/>
            <w:noProof/>
          </w:rPr>
          <w:t>Table 1.6.1.b Total Secure Flight Costs, Discounted 7% and 3%</w:t>
        </w:r>
        <w:r>
          <w:rPr>
            <w:noProof/>
            <w:webHidden/>
          </w:rPr>
          <w:tab/>
        </w:r>
        <w:r>
          <w:rPr>
            <w:noProof/>
            <w:webHidden/>
          </w:rPr>
          <w:fldChar w:fldCharType="begin" w:fldLock="1"/>
        </w:r>
        <w:r>
          <w:rPr>
            <w:noProof/>
            <w:webHidden/>
          </w:rPr>
          <w:instrText xml:space="preserve"> PAGEREF _Toc207109513 \h </w:instrText>
        </w:r>
        <w:r>
          <w:rPr>
            <w:noProof/>
          </w:rPr>
        </w:r>
        <w:r>
          <w:rPr>
            <w:noProof/>
            <w:webHidden/>
          </w:rPr>
          <w:fldChar w:fldCharType="separate"/>
        </w:r>
        <w:r>
          <w:rPr>
            <w:noProof/>
            <w:webHidden/>
          </w:rPr>
          <w:t>66</w:t>
        </w:r>
        <w:r>
          <w:rPr>
            <w:noProof/>
            <w:webHidden/>
          </w:rPr>
          <w:fldChar w:fldCharType="end"/>
        </w:r>
      </w:hyperlink>
    </w:p>
    <w:p w:rsidR="003B0815" w:rsidRDefault="003B0815" w14:paraId="04DBC15D" w14:textId="77777777">
      <w:pPr>
        <w:pStyle w:val="TableofFigures"/>
        <w:tabs>
          <w:tab w:val="right" w:leader="dot" w:pos="9350"/>
        </w:tabs>
        <w:rPr>
          <w:smallCaps w:val="0"/>
          <w:noProof/>
          <w:sz w:val="24"/>
          <w:szCs w:val="24"/>
        </w:rPr>
      </w:pPr>
      <w:hyperlink w:history="1" w:anchor="_Toc207109514">
        <w:r>
          <w:rPr>
            <w:rStyle w:val="Hyperlink"/>
            <w:noProof/>
          </w:rPr>
          <w:t>Table 1.6.2.a Initial and Recurring Unit Costs, Domestic Marketing Carriers</w:t>
        </w:r>
        <w:r>
          <w:rPr>
            <w:noProof/>
            <w:webHidden/>
          </w:rPr>
          <w:tab/>
        </w:r>
        <w:r>
          <w:rPr>
            <w:noProof/>
            <w:webHidden/>
          </w:rPr>
          <w:fldChar w:fldCharType="begin" w:fldLock="1"/>
        </w:r>
        <w:r>
          <w:rPr>
            <w:noProof/>
            <w:webHidden/>
          </w:rPr>
          <w:instrText xml:space="preserve"> PAGEREF _Toc207109514 \h </w:instrText>
        </w:r>
        <w:r>
          <w:rPr>
            <w:noProof/>
          </w:rPr>
        </w:r>
        <w:r>
          <w:rPr>
            <w:noProof/>
            <w:webHidden/>
          </w:rPr>
          <w:fldChar w:fldCharType="separate"/>
        </w:r>
        <w:r>
          <w:rPr>
            <w:noProof/>
            <w:webHidden/>
          </w:rPr>
          <w:t>70</w:t>
        </w:r>
        <w:r>
          <w:rPr>
            <w:noProof/>
            <w:webHidden/>
          </w:rPr>
          <w:fldChar w:fldCharType="end"/>
        </w:r>
      </w:hyperlink>
    </w:p>
    <w:p w:rsidR="003B0815" w:rsidRDefault="003B0815" w14:paraId="7D95B086" w14:textId="77777777">
      <w:pPr>
        <w:pStyle w:val="TableofFigures"/>
        <w:tabs>
          <w:tab w:val="right" w:leader="dot" w:pos="9350"/>
        </w:tabs>
        <w:rPr>
          <w:smallCaps w:val="0"/>
          <w:noProof/>
          <w:sz w:val="24"/>
          <w:szCs w:val="24"/>
        </w:rPr>
      </w:pPr>
      <w:hyperlink w:history="1" w:anchor="_Toc207109515">
        <w:r>
          <w:rPr>
            <w:rStyle w:val="Hyperlink"/>
            <w:noProof/>
          </w:rPr>
          <w:t>Table 1.6.2.b Total Initial and Recurring Marketing Carrier Costs, Domestic High Scenario</w:t>
        </w:r>
        <w:r>
          <w:rPr>
            <w:noProof/>
            <w:webHidden/>
          </w:rPr>
          <w:tab/>
        </w:r>
        <w:r>
          <w:rPr>
            <w:noProof/>
            <w:webHidden/>
          </w:rPr>
          <w:fldChar w:fldCharType="begin" w:fldLock="1"/>
        </w:r>
        <w:r>
          <w:rPr>
            <w:noProof/>
            <w:webHidden/>
          </w:rPr>
          <w:instrText xml:space="preserve"> PAGEREF _Toc207109515 \h </w:instrText>
        </w:r>
        <w:r>
          <w:rPr>
            <w:noProof/>
          </w:rPr>
        </w:r>
        <w:r>
          <w:rPr>
            <w:noProof/>
            <w:webHidden/>
          </w:rPr>
          <w:fldChar w:fldCharType="separate"/>
        </w:r>
        <w:r>
          <w:rPr>
            <w:noProof/>
            <w:webHidden/>
          </w:rPr>
          <w:t>70</w:t>
        </w:r>
        <w:r>
          <w:rPr>
            <w:noProof/>
            <w:webHidden/>
          </w:rPr>
          <w:fldChar w:fldCharType="end"/>
        </w:r>
      </w:hyperlink>
    </w:p>
    <w:p w:rsidR="003B0815" w:rsidRDefault="003B0815" w14:paraId="72A1F72B" w14:textId="77777777">
      <w:pPr>
        <w:pStyle w:val="TableofFigures"/>
        <w:tabs>
          <w:tab w:val="right" w:leader="dot" w:pos="9350"/>
        </w:tabs>
        <w:rPr>
          <w:smallCaps w:val="0"/>
          <w:noProof/>
          <w:sz w:val="24"/>
          <w:szCs w:val="24"/>
        </w:rPr>
      </w:pPr>
      <w:hyperlink w:history="1" w:anchor="_Toc207109516">
        <w:r>
          <w:rPr>
            <w:rStyle w:val="Hyperlink"/>
            <w:noProof/>
          </w:rPr>
          <w:t>Table 1.6.2.c Total Initial and Recurring Marketing Carrier Costs, Domestic Low Scenario</w:t>
        </w:r>
        <w:r>
          <w:rPr>
            <w:noProof/>
            <w:webHidden/>
          </w:rPr>
          <w:tab/>
        </w:r>
        <w:r>
          <w:rPr>
            <w:noProof/>
            <w:webHidden/>
          </w:rPr>
          <w:fldChar w:fldCharType="begin" w:fldLock="1"/>
        </w:r>
        <w:r>
          <w:rPr>
            <w:noProof/>
            <w:webHidden/>
          </w:rPr>
          <w:instrText xml:space="preserve"> PAGEREF _Toc207109516 \h </w:instrText>
        </w:r>
        <w:r>
          <w:rPr>
            <w:noProof/>
          </w:rPr>
        </w:r>
        <w:r>
          <w:rPr>
            <w:noProof/>
            <w:webHidden/>
          </w:rPr>
          <w:fldChar w:fldCharType="separate"/>
        </w:r>
        <w:r>
          <w:rPr>
            <w:noProof/>
            <w:webHidden/>
          </w:rPr>
          <w:t>70</w:t>
        </w:r>
        <w:r>
          <w:rPr>
            <w:noProof/>
            <w:webHidden/>
          </w:rPr>
          <w:fldChar w:fldCharType="end"/>
        </w:r>
      </w:hyperlink>
    </w:p>
    <w:p w:rsidR="003B0815" w:rsidRDefault="003B0815" w14:paraId="4A941B71" w14:textId="77777777">
      <w:pPr>
        <w:pStyle w:val="TableofFigures"/>
        <w:tabs>
          <w:tab w:val="right" w:leader="dot" w:pos="9350"/>
        </w:tabs>
        <w:rPr>
          <w:smallCaps w:val="0"/>
          <w:noProof/>
          <w:sz w:val="24"/>
          <w:szCs w:val="24"/>
        </w:rPr>
      </w:pPr>
      <w:hyperlink w:history="1" w:anchor="_Toc207109517">
        <w:r>
          <w:rPr>
            <w:rStyle w:val="Hyperlink"/>
            <w:noProof/>
          </w:rPr>
          <w:t>Table 1.6.2.d  Total Domestic Reprogramming and Implementation Costs (millions of 2005 $)</w:t>
        </w:r>
        <w:r>
          <w:rPr>
            <w:noProof/>
            <w:webHidden/>
          </w:rPr>
          <w:tab/>
        </w:r>
        <w:r>
          <w:rPr>
            <w:noProof/>
            <w:webHidden/>
          </w:rPr>
          <w:fldChar w:fldCharType="begin" w:fldLock="1"/>
        </w:r>
        <w:r>
          <w:rPr>
            <w:noProof/>
            <w:webHidden/>
          </w:rPr>
          <w:instrText xml:space="preserve"> PAGEREF _Toc207109517 \h </w:instrText>
        </w:r>
        <w:r>
          <w:rPr>
            <w:noProof/>
          </w:rPr>
        </w:r>
        <w:r>
          <w:rPr>
            <w:noProof/>
            <w:webHidden/>
          </w:rPr>
          <w:fldChar w:fldCharType="separate"/>
        </w:r>
        <w:r>
          <w:rPr>
            <w:noProof/>
            <w:webHidden/>
          </w:rPr>
          <w:t>71</w:t>
        </w:r>
        <w:r>
          <w:rPr>
            <w:noProof/>
            <w:webHidden/>
          </w:rPr>
          <w:fldChar w:fldCharType="end"/>
        </w:r>
      </w:hyperlink>
    </w:p>
    <w:p w:rsidR="003B0815" w:rsidRDefault="003B0815" w14:paraId="2EED8A67" w14:textId="77777777">
      <w:pPr>
        <w:pStyle w:val="TableofFigures"/>
        <w:tabs>
          <w:tab w:val="right" w:leader="dot" w:pos="9350"/>
        </w:tabs>
        <w:rPr>
          <w:smallCaps w:val="0"/>
          <w:noProof/>
          <w:sz w:val="24"/>
          <w:szCs w:val="24"/>
        </w:rPr>
      </w:pPr>
      <w:hyperlink w:history="1" w:anchor="_Toc207109518">
        <w:r>
          <w:rPr>
            <w:rStyle w:val="Hyperlink"/>
            <w:noProof/>
          </w:rPr>
          <w:t>Table 1.6.2.e Total Initial and Recurring Carrier Costs, Foreign High Scenario</w:t>
        </w:r>
        <w:r>
          <w:rPr>
            <w:noProof/>
            <w:webHidden/>
          </w:rPr>
          <w:tab/>
        </w:r>
        <w:r>
          <w:rPr>
            <w:noProof/>
            <w:webHidden/>
          </w:rPr>
          <w:fldChar w:fldCharType="begin" w:fldLock="1"/>
        </w:r>
        <w:r>
          <w:rPr>
            <w:noProof/>
            <w:webHidden/>
          </w:rPr>
          <w:instrText xml:space="preserve"> PAGEREF _Toc207109518 \h </w:instrText>
        </w:r>
        <w:r>
          <w:rPr>
            <w:noProof/>
          </w:rPr>
        </w:r>
        <w:r>
          <w:rPr>
            <w:noProof/>
            <w:webHidden/>
          </w:rPr>
          <w:fldChar w:fldCharType="separate"/>
        </w:r>
        <w:r>
          <w:rPr>
            <w:noProof/>
            <w:webHidden/>
          </w:rPr>
          <w:t>74</w:t>
        </w:r>
        <w:r>
          <w:rPr>
            <w:noProof/>
            <w:webHidden/>
          </w:rPr>
          <w:fldChar w:fldCharType="end"/>
        </w:r>
      </w:hyperlink>
    </w:p>
    <w:p w:rsidR="003B0815" w:rsidRDefault="003B0815" w14:paraId="69E36EC7" w14:textId="77777777">
      <w:pPr>
        <w:pStyle w:val="TableofFigures"/>
        <w:tabs>
          <w:tab w:val="right" w:leader="dot" w:pos="9350"/>
        </w:tabs>
        <w:rPr>
          <w:smallCaps w:val="0"/>
          <w:noProof/>
          <w:sz w:val="24"/>
          <w:szCs w:val="24"/>
        </w:rPr>
      </w:pPr>
      <w:hyperlink w:history="1" w:anchor="_Toc207109519">
        <w:r>
          <w:rPr>
            <w:rStyle w:val="Hyperlink"/>
            <w:noProof/>
          </w:rPr>
          <w:t>Table 1.6.2.f Total Initial and Recurring Carrier Costs, Foreign Low Scenario</w:t>
        </w:r>
        <w:r>
          <w:rPr>
            <w:noProof/>
            <w:webHidden/>
          </w:rPr>
          <w:tab/>
        </w:r>
        <w:r>
          <w:rPr>
            <w:noProof/>
            <w:webHidden/>
          </w:rPr>
          <w:fldChar w:fldCharType="begin" w:fldLock="1"/>
        </w:r>
        <w:r>
          <w:rPr>
            <w:noProof/>
            <w:webHidden/>
          </w:rPr>
          <w:instrText xml:space="preserve"> PAGEREF _Toc207109519 \h </w:instrText>
        </w:r>
        <w:r>
          <w:rPr>
            <w:noProof/>
          </w:rPr>
        </w:r>
        <w:r>
          <w:rPr>
            <w:noProof/>
            <w:webHidden/>
          </w:rPr>
          <w:fldChar w:fldCharType="separate"/>
        </w:r>
        <w:r>
          <w:rPr>
            <w:noProof/>
            <w:webHidden/>
          </w:rPr>
          <w:t>75</w:t>
        </w:r>
        <w:r>
          <w:rPr>
            <w:noProof/>
            <w:webHidden/>
          </w:rPr>
          <w:fldChar w:fldCharType="end"/>
        </w:r>
      </w:hyperlink>
    </w:p>
    <w:p w:rsidR="003B0815" w:rsidRDefault="003B0815" w14:paraId="551DAE92" w14:textId="77777777">
      <w:pPr>
        <w:pStyle w:val="TableofFigures"/>
        <w:tabs>
          <w:tab w:val="right" w:leader="dot" w:pos="9350"/>
        </w:tabs>
        <w:rPr>
          <w:smallCaps w:val="0"/>
          <w:noProof/>
          <w:sz w:val="24"/>
          <w:szCs w:val="24"/>
        </w:rPr>
      </w:pPr>
      <w:hyperlink w:history="1" w:anchor="_Toc207109520">
        <w:r>
          <w:rPr>
            <w:rStyle w:val="Hyperlink"/>
            <w:noProof/>
          </w:rPr>
          <w:t>Table 1.6.2.g Potential Secure Flight Message Fees (millions of 2005 $)</w:t>
        </w:r>
        <w:r>
          <w:rPr>
            <w:noProof/>
            <w:webHidden/>
          </w:rPr>
          <w:tab/>
        </w:r>
        <w:r>
          <w:rPr>
            <w:noProof/>
            <w:webHidden/>
          </w:rPr>
          <w:fldChar w:fldCharType="begin" w:fldLock="1"/>
        </w:r>
        <w:r>
          <w:rPr>
            <w:noProof/>
            <w:webHidden/>
          </w:rPr>
          <w:instrText xml:space="preserve"> PAGEREF _Toc207109520 \h </w:instrText>
        </w:r>
        <w:r>
          <w:rPr>
            <w:noProof/>
          </w:rPr>
        </w:r>
        <w:r>
          <w:rPr>
            <w:noProof/>
            <w:webHidden/>
          </w:rPr>
          <w:fldChar w:fldCharType="separate"/>
        </w:r>
        <w:r>
          <w:rPr>
            <w:noProof/>
            <w:webHidden/>
          </w:rPr>
          <w:t>76</w:t>
        </w:r>
        <w:r>
          <w:rPr>
            <w:noProof/>
            <w:webHidden/>
          </w:rPr>
          <w:fldChar w:fldCharType="end"/>
        </w:r>
      </w:hyperlink>
    </w:p>
    <w:p w:rsidR="003B0815" w:rsidRDefault="003B0815" w14:paraId="6EBEEE8E" w14:textId="77777777">
      <w:pPr>
        <w:pStyle w:val="TableofFigures"/>
        <w:tabs>
          <w:tab w:val="right" w:leader="dot" w:pos="9350"/>
        </w:tabs>
        <w:rPr>
          <w:smallCaps w:val="0"/>
          <w:noProof/>
          <w:sz w:val="24"/>
          <w:szCs w:val="24"/>
        </w:rPr>
      </w:pPr>
      <w:hyperlink w:history="1" w:anchor="_Toc207109521">
        <w:r>
          <w:rPr>
            <w:rStyle w:val="Hyperlink"/>
            <w:noProof/>
          </w:rPr>
          <w:t>Table 1.6.2.h  Total Foreign Reprogramming and Implementation Costs (millions of 2005 $)</w:t>
        </w:r>
        <w:r>
          <w:rPr>
            <w:noProof/>
            <w:webHidden/>
          </w:rPr>
          <w:tab/>
        </w:r>
        <w:r>
          <w:rPr>
            <w:noProof/>
            <w:webHidden/>
          </w:rPr>
          <w:fldChar w:fldCharType="begin" w:fldLock="1"/>
        </w:r>
        <w:r>
          <w:rPr>
            <w:noProof/>
            <w:webHidden/>
          </w:rPr>
          <w:instrText xml:space="preserve"> PAGEREF _Toc207109521 \h </w:instrText>
        </w:r>
        <w:r>
          <w:rPr>
            <w:noProof/>
          </w:rPr>
        </w:r>
        <w:r>
          <w:rPr>
            <w:noProof/>
            <w:webHidden/>
          </w:rPr>
          <w:fldChar w:fldCharType="separate"/>
        </w:r>
        <w:r>
          <w:rPr>
            <w:noProof/>
            <w:webHidden/>
          </w:rPr>
          <w:t>76</w:t>
        </w:r>
        <w:r>
          <w:rPr>
            <w:noProof/>
            <w:webHidden/>
          </w:rPr>
          <w:fldChar w:fldCharType="end"/>
        </w:r>
      </w:hyperlink>
    </w:p>
    <w:p w:rsidR="003B0815" w:rsidRDefault="003B0815" w14:paraId="2DD29D6C" w14:textId="77777777">
      <w:pPr>
        <w:pStyle w:val="TableofFigures"/>
        <w:tabs>
          <w:tab w:val="right" w:leader="dot" w:pos="9350"/>
        </w:tabs>
        <w:rPr>
          <w:smallCaps w:val="0"/>
          <w:noProof/>
          <w:sz w:val="24"/>
          <w:szCs w:val="24"/>
        </w:rPr>
      </w:pPr>
      <w:hyperlink w:history="1" w:anchor="_Toc207109522">
        <w:r>
          <w:rPr>
            <w:rStyle w:val="Hyperlink"/>
            <w:noProof/>
          </w:rPr>
          <w:t>Table 1.6.2.i Total Annual Reprogramming and Implementation Costs, All Carriers (millions of 2005 $)</w:t>
        </w:r>
        <w:r>
          <w:rPr>
            <w:noProof/>
            <w:webHidden/>
          </w:rPr>
          <w:tab/>
        </w:r>
        <w:r>
          <w:rPr>
            <w:noProof/>
            <w:webHidden/>
          </w:rPr>
          <w:fldChar w:fldCharType="begin" w:fldLock="1"/>
        </w:r>
        <w:r>
          <w:rPr>
            <w:noProof/>
            <w:webHidden/>
          </w:rPr>
          <w:instrText xml:space="preserve"> PAGEREF _Toc207109522 \h </w:instrText>
        </w:r>
        <w:r>
          <w:rPr>
            <w:noProof/>
          </w:rPr>
        </w:r>
        <w:r>
          <w:rPr>
            <w:noProof/>
            <w:webHidden/>
          </w:rPr>
          <w:fldChar w:fldCharType="separate"/>
        </w:r>
        <w:r>
          <w:rPr>
            <w:noProof/>
            <w:webHidden/>
          </w:rPr>
          <w:t>77</w:t>
        </w:r>
        <w:r>
          <w:rPr>
            <w:noProof/>
            <w:webHidden/>
          </w:rPr>
          <w:fldChar w:fldCharType="end"/>
        </w:r>
      </w:hyperlink>
    </w:p>
    <w:p w:rsidR="003B0815" w:rsidRDefault="003B0815" w14:paraId="03EDF801" w14:textId="77777777">
      <w:pPr>
        <w:pStyle w:val="TableofFigures"/>
        <w:tabs>
          <w:tab w:val="right" w:leader="dot" w:pos="9350"/>
        </w:tabs>
        <w:rPr>
          <w:smallCaps w:val="0"/>
          <w:noProof/>
          <w:sz w:val="24"/>
          <w:szCs w:val="24"/>
        </w:rPr>
      </w:pPr>
      <w:hyperlink w:history="1" w:anchor="_Toc207109523">
        <w:r>
          <w:rPr>
            <w:rStyle w:val="Hyperlink"/>
            <w:noProof/>
          </w:rPr>
          <w:t>Table 1.6.3.a Cost of Data Collection for Airline Reservation Call Centers, Domestic Passengers</w:t>
        </w:r>
        <w:r>
          <w:rPr>
            <w:noProof/>
            <w:webHidden/>
          </w:rPr>
          <w:tab/>
        </w:r>
        <w:r>
          <w:rPr>
            <w:noProof/>
            <w:webHidden/>
          </w:rPr>
          <w:fldChar w:fldCharType="begin" w:fldLock="1"/>
        </w:r>
        <w:r>
          <w:rPr>
            <w:noProof/>
            <w:webHidden/>
          </w:rPr>
          <w:instrText xml:space="preserve"> PAGEREF _Toc207109523 \h </w:instrText>
        </w:r>
        <w:r>
          <w:rPr>
            <w:noProof/>
          </w:rPr>
        </w:r>
        <w:r>
          <w:rPr>
            <w:noProof/>
            <w:webHidden/>
          </w:rPr>
          <w:fldChar w:fldCharType="separate"/>
        </w:r>
        <w:r>
          <w:rPr>
            <w:noProof/>
            <w:webHidden/>
          </w:rPr>
          <w:t>78</w:t>
        </w:r>
        <w:r>
          <w:rPr>
            <w:noProof/>
            <w:webHidden/>
          </w:rPr>
          <w:fldChar w:fldCharType="end"/>
        </w:r>
      </w:hyperlink>
    </w:p>
    <w:p w:rsidR="003B0815" w:rsidRDefault="003B0815" w14:paraId="5B4FE194" w14:textId="77777777">
      <w:pPr>
        <w:pStyle w:val="TableofFigures"/>
        <w:tabs>
          <w:tab w:val="right" w:leader="dot" w:pos="9350"/>
        </w:tabs>
        <w:rPr>
          <w:smallCaps w:val="0"/>
          <w:noProof/>
          <w:sz w:val="24"/>
          <w:szCs w:val="24"/>
        </w:rPr>
      </w:pPr>
      <w:hyperlink w:history="1" w:anchor="_Toc207109524">
        <w:r>
          <w:rPr>
            <w:rStyle w:val="Hyperlink"/>
            <w:noProof/>
          </w:rPr>
          <w:t>Table 1.6.3.b Cost of Data Collection for Airline Reservation Call Centers, International Passengers</w:t>
        </w:r>
        <w:r>
          <w:rPr>
            <w:noProof/>
            <w:webHidden/>
          </w:rPr>
          <w:tab/>
        </w:r>
        <w:r>
          <w:rPr>
            <w:noProof/>
            <w:webHidden/>
          </w:rPr>
          <w:fldChar w:fldCharType="begin" w:fldLock="1"/>
        </w:r>
        <w:r>
          <w:rPr>
            <w:noProof/>
            <w:webHidden/>
          </w:rPr>
          <w:instrText xml:space="preserve"> PAGEREF _Toc207109524 \h </w:instrText>
        </w:r>
        <w:r>
          <w:rPr>
            <w:noProof/>
          </w:rPr>
        </w:r>
        <w:r>
          <w:rPr>
            <w:noProof/>
            <w:webHidden/>
          </w:rPr>
          <w:fldChar w:fldCharType="separate"/>
        </w:r>
        <w:r>
          <w:rPr>
            <w:noProof/>
            <w:webHidden/>
          </w:rPr>
          <w:t>81</w:t>
        </w:r>
        <w:r>
          <w:rPr>
            <w:noProof/>
            <w:webHidden/>
          </w:rPr>
          <w:fldChar w:fldCharType="end"/>
        </w:r>
      </w:hyperlink>
    </w:p>
    <w:p w:rsidR="003B0815" w:rsidRDefault="003B0815" w14:paraId="228DD2D8" w14:textId="77777777">
      <w:pPr>
        <w:pStyle w:val="TableofFigures"/>
        <w:tabs>
          <w:tab w:val="right" w:leader="dot" w:pos="9350"/>
        </w:tabs>
        <w:rPr>
          <w:smallCaps w:val="0"/>
          <w:noProof/>
          <w:sz w:val="24"/>
          <w:szCs w:val="24"/>
        </w:rPr>
      </w:pPr>
      <w:hyperlink w:history="1" w:anchor="_Toc207109525">
        <w:r>
          <w:rPr>
            <w:rStyle w:val="Hyperlink"/>
            <w:noProof/>
          </w:rPr>
          <w:t>Table 1.6.3.c Cost of Data Collection for Airline Reservation Call Centers, Overflights</w:t>
        </w:r>
        <w:r>
          <w:rPr>
            <w:noProof/>
            <w:webHidden/>
          </w:rPr>
          <w:tab/>
        </w:r>
        <w:r>
          <w:rPr>
            <w:noProof/>
            <w:webHidden/>
          </w:rPr>
          <w:fldChar w:fldCharType="begin" w:fldLock="1"/>
        </w:r>
        <w:r>
          <w:rPr>
            <w:noProof/>
            <w:webHidden/>
          </w:rPr>
          <w:instrText xml:space="preserve"> PAGEREF _Toc207109525 \h </w:instrText>
        </w:r>
        <w:r>
          <w:rPr>
            <w:noProof/>
          </w:rPr>
        </w:r>
        <w:r>
          <w:rPr>
            <w:noProof/>
            <w:webHidden/>
          </w:rPr>
          <w:fldChar w:fldCharType="separate"/>
        </w:r>
        <w:r>
          <w:rPr>
            <w:noProof/>
            <w:webHidden/>
          </w:rPr>
          <w:t>82</w:t>
        </w:r>
        <w:r>
          <w:rPr>
            <w:noProof/>
            <w:webHidden/>
          </w:rPr>
          <w:fldChar w:fldCharType="end"/>
        </w:r>
      </w:hyperlink>
    </w:p>
    <w:p w:rsidR="003B0815" w:rsidRDefault="003B0815" w14:paraId="35DE6769" w14:textId="77777777">
      <w:pPr>
        <w:pStyle w:val="TableofFigures"/>
        <w:tabs>
          <w:tab w:val="right" w:leader="dot" w:pos="9350"/>
        </w:tabs>
        <w:rPr>
          <w:smallCaps w:val="0"/>
          <w:noProof/>
          <w:sz w:val="24"/>
          <w:szCs w:val="24"/>
        </w:rPr>
      </w:pPr>
      <w:hyperlink w:history="1" w:anchor="_Toc207109526">
        <w:r>
          <w:rPr>
            <w:rStyle w:val="Hyperlink"/>
            <w:noProof/>
          </w:rPr>
          <w:t>Table 1.6.4.a Travel Agency Data Collection Costs, Domestic Passengers</w:t>
        </w:r>
        <w:r>
          <w:rPr>
            <w:noProof/>
            <w:webHidden/>
          </w:rPr>
          <w:tab/>
        </w:r>
        <w:r>
          <w:rPr>
            <w:noProof/>
            <w:webHidden/>
          </w:rPr>
          <w:fldChar w:fldCharType="begin" w:fldLock="1"/>
        </w:r>
        <w:r>
          <w:rPr>
            <w:noProof/>
            <w:webHidden/>
          </w:rPr>
          <w:instrText xml:space="preserve"> PAGEREF _Toc207109526 \h </w:instrText>
        </w:r>
        <w:r>
          <w:rPr>
            <w:noProof/>
          </w:rPr>
        </w:r>
        <w:r>
          <w:rPr>
            <w:noProof/>
            <w:webHidden/>
          </w:rPr>
          <w:fldChar w:fldCharType="separate"/>
        </w:r>
        <w:r>
          <w:rPr>
            <w:noProof/>
            <w:webHidden/>
          </w:rPr>
          <w:t>84</w:t>
        </w:r>
        <w:r>
          <w:rPr>
            <w:noProof/>
            <w:webHidden/>
          </w:rPr>
          <w:fldChar w:fldCharType="end"/>
        </w:r>
      </w:hyperlink>
    </w:p>
    <w:p w:rsidR="003B0815" w:rsidRDefault="003B0815" w14:paraId="3031F0CD" w14:textId="77777777">
      <w:pPr>
        <w:pStyle w:val="TableofFigures"/>
        <w:tabs>
          <w:tab w:val="right" w:leader="dot" w:pos="9350"/>
        </w:tabs>
        <w:rPr>
          <w:smallCaps w:val="0"/>
          <w:noProof/>
          <w:sz w:val="24"/>
          <w:szCs w:val="24"/>
        </w:rPr>
      </w:pPr>
      <w:hyperlink w:history="1" w:anchor="_Toc207109527">
        <w:r>
          <w:rPr>
            <w:rStyle w:val="Hyperlink"/>
            <w:noProof/>
          </w:rPr>
          <w:t>Table 1.6.4.b Travel Agency Data Collection Costs, International Passengers</w:t>
        </w:r>
        <w:r>
          <w:rPr>
            <w:noProof/>
            <w:webHidden/>
          </w:rPr>
          <w:tab/>
        </w:r>
        <w:r>
          <w:rPr>
            <w:noProof/>
            <w:webHidden/>
          </w:rPr>
          <w:fldChar w:fldCharType="begin" w:fldLock="1"/>
        </w:r>
        <w:r>
          <w:rPr>
            <w:noProof/>
            <w:webHidden/>
          </w:rPr>
          <w:instrText xml:space="preserve"> PAGEREF _Toc207109527 \h </w:instrText>
        </w:r>
        <w:r>
          <w:rPr>
            <w:noProof/>
          </w:rPr>
        </w:r>
        <w:r>
          <w:rPr>
            <w:noProof/>
            <w:webHidden/>
          </w:rPr>
          <w:fldChar w:fldCharType="separate"/>
        </w:r>
        <w:r>
          <w:rPr>
            <w:noProof/>
            <w:webHidden/>
          </w:rPr>
          <w:t>86</w:t>
        </w:r>
        <w:r>
          <w:rPr>
            <w:noProof/>
            <w:webHidden/>
          </w:rPr>
          <w:fldChar w:fldCharType="end"/>
        </w:r>
      </w:hyperlink>
    </w:p>
    <w:p w:rsidR="003B0815" w:rsidRDefault="003B0815" w14:paraId="06EFB128" w14:textId="77777777">
      <w:pPr>
        <w:pStyle w:val="TableofFigures"/>
        <w:tabs>
          <w:tab w:val="right" w:leader="dot" w:pos="9350"/>
        </w:tabs>
        <w:rPr>
          <w:smallCaps w:val="0"/>
          <w:noProof/>
          <w:sz w:val="24"/>
          <w:szCs w:val="24"/>
        </w:rPr>
      </w:pPr>
      <w:hyperlink w:history="1" w:anchor="_Toc207109528">
        <w:r>
          <w:rPr>
            <w:rStyle w:val="Hyperlink"/>
            <w:noProof/>
          </w:rPr>
          <w:t>Table 1.6.4.c Travel Agency Data Collection Costs, Overflight Passengers</w:t>
        </w:r>
        <w:r>
          <w:rPr>
            <w:noProof/>
            <w:webHidden/>
          </w:rPr>
          <w:tab/>
        </w:r>
        <w:r>
          <w:rPr>
            <w:noProof/>
            <w:webHidden/>
          </w:rPr>
          <w:fldChar w:fldCharType="begin" w:fldLock="1"/>
        </w:r>
        <w:r>
          <w:rPr>
            <w:noProof/>
            <w:webHidden/>
          </w:rPr>
          <w:instrText xml:space="preserve"> PAGEREF _Toc207109528 \h </w:instrText>
        </w:r>
        <w:r>
          <w:rPr>
            <w:noProof/>
          </w:rPr>
        </w:r>
        <w:r>
          <w:rPr>
            <w:noProof/>
            <w:webHidden/>
          </w:rPr>
          <w:fldChar w:fldCharType="separate"/>
        </w:r>
        <w:r>
          <w:rPr>
            <w:noProof/>
            <w:webHidden/>
          </w:rPr>
          <w:t>87</w:t>
        </w:r>
        <w:r>
          <w:rPr>
            <w:noProof/>
            <w:webHidden/>
          </w:rPr>
          <w:fldChar w:fldCharType="end"/>
        </w:r>
      </w:hyperlink>
    </w:p>
    <w:p w:rsidR="003B0815" w:rsidRDefault="003B0815" w14:paraId="346C065A" w14:textId="77777777">
      <w:pPr>
        <w:pStyle w:val="TableofFigures"/>
        <w:tabs>
          <w:tab w:val="right" w:leader="dot" w:pos="9350"/>
        </w:tabs>
        <w:rPr>
          <w:smallCaps w:val="0"/>
          <w:noProof/>
          <w:sz w:val="24"/>
          <w:szCs w:val="24"/>
        </w:rPr>
      </w:pPr>
      <w:hyperlink w:history="1" w:anchor="_Toc207109529">
        <w:r>
          <w:rPr>
            <w:rStyle w:val="Hyperlink"/>
            <w:noProof/>
          </w:rPr>
          <w:t>Table 1.6.4.e Total Costs of Training for Travel Agencies (millions)</w:t>
        </w:r>
        <w:r>
          <w:rPr>
            <w:noProof/>
            <w:webHidden/>
          </w:rPr>
          <w:tab/>
        </w:r>
        <w:r>
          <w:rPr>
            <w:noProof/>
            <w:webHidden/>
          </w:rPr>
          <w:fldChar w:fldCharType="begin" w:fldLock="1"/>
        </w:r>
        <w:r>
          <w:rPr>
            <w:noProof/>
            <w:webHidden/>
          </w:rPr>
          <w:instrText xml:space="preserve"> PAGEREF _Toc207109529 \h </w:instrText>
        </w:r>
        <w:r>
          <w:rPr>
            <w:noProof/>
          </w:rPr>
        </w:r>
        <w:r>
          <w:rPr>
            <w:noProof/>
            <w:webHidden/>
          </w:rPr>
          <w:fldChar w:fldCharType="separate"/>
        </w:r>
        <w:r>
          <w:rPr>
            <w:noProof/>
            <w:webHidden/>
          </w:rPr>
          <w:t>88</w:t>
        </w:r>
        <w:r>
          <w:rPr>
            <w:noProof/>
            <w:webHidden/>
          </w:rPr>
          <w:fldChar w:fldCharType="end"/>
        </w:r>
      </w:hyperlink>
    </w:p>
    <w:p w:rsidR="003B0815" w:rsidRDefault="003B0815" w14:paraId="2F3C74BA" w14:textId="77777777">
      <w:pPr>
        <w:pStyle w:val="TableofFigures"/>
        <w:tabs>
          <w:tab w:val="right" w:leader="dot" w:pos="9350"/>
        </w:tabs>
        <w:rPr>
          <w:smallCaps w:val="0"/>
          <w:noProof/>
          <w:sz w:val="24"/>
          <w:szCs w:val="24"/>
        </w:rPr>
      </w:pPr>
      <w:hyperlink w:history="1" w:anchor="_Toc207109530">
        <w:r>
          <w:rPr>
            <w:rStyle w:val="Hyperlink"/>
            <w:noProof/>
          </w:rPr>
          <w:t>Table 1.6.4.f Total Costs of Reprogramming Travel Agency Electronic Profiles (millions)</w:t>
        </w:r>
        <w:r>
          <w:rPr>
            <w:noProof/>
            <w:webHidden/>
          </w:rPr>
          <w:tab/>
        </w:r>
        <w:r>
          <w:rPr>
            <w:noProof/>
            <w:webHidden/>
          </w:rPr>
          <w:fldChar w:fldCharType="begin" w:fldLock="1"/>
        </w:r>
        <w:r>
          <w:rPr>
            <w:noProof/>
            <w:webHidden/>
          </w:rPr>
          <w:instrText xml:space="preserve"> PAGEREF _Toc207109530 \h </w:instrText>
        </w:r>
        <w:r>
          <w:rPr>
            <w:noProof/>
          </w:rPr>
        </w:r>
        <w:r>
          <w:rPr>
            <w:noProof/>
            <w:webHidden/>
          </w:rPr>
          <w:fldChar w:fldCharType="separate"/>
        </w:r>
        <w:r>
          <w:rPr>
            <w:noProof/>
            <w:webHidden/>
          </w:rPr>
          <w:t>89</w:t>
        </w:r>
        <w:r>
          <w:rPr>
            <w:noProof/>
            <w:webHidden/>
          </w:rPr>
          <w:fldChar w:fldCharType="end"/>
        </w:r>
      </w:hyperlink>
    </w:p>
    <w:p w:rsidR="003B0815" w:rsidRDefault="003B0815" w14:paraId="3D56C8BB" w14:textId="77777777">
      <w:pPr>
        <w:pStyle w:val="TableofFigures"/>
        <w:tabs>
          <w:tab w:val="right" w:leader="dot" w:pos="9350"/>
        </w:tabs>
        <w:rPr>
          <w:smallCaps w:val="0"/>
          <w:noProof/>
          <w:sz w:val="24"/>
          <w:szCs w:val="24"/>
        </w:rPr>
      </w:pPr>
      <w:hyperlink w:history="1" w:anchor="_Toc207109531">
        <w:r>
          <w:rPr>
            <w:rStyle w:val="Hyperlink"/>
            <w:noProof/>
          </w:rPr>
          <w:t>Table 1.6.5.a TSA Direct Costs to Operate and Maintain Secure Flight (millions of 2005 $)</w:t>
        </w:r>
        <w:r>
          <w:rPr>
            <w:noProof/>
            <w:webHidden/>
          </w:rPr>
          <w:tab/>
        </w:r>
        <w:r>
          <w:rPr>
            <w:noProof/>
            <w:webHidden/>
          </w:rPr>
          <w:fldChar w:fldCharType="begin" w:fldLock="1"/>
        </w:r>
        <w:r>
          <w:rPr>
            <w:noProof/>
            <w:webHidden/>
          </w:rPr>
          <w:instrText xml:space="preserve"> PAGEREF _Toc207109531 \h </w:instrText>
        </w:r>
        <w:r>
          <w:rPr>
            <w:noProof/>
          </w:rPr>
        </w:r>
        <w:r>
          <w:rPr>
            <w:noProof/>
            <w:webHidden/>
          </w:rPr>
          <w:fldChar w:fldCharType="separate"/>
        </w:r>
        <w:r>
          <w:rPr>
            <w:noProof/>
            <w:webHidden/>
          </w:rPr>
          <w:t>93</w:t>
        </w:r>
        <w:r>
          <w:rPr>
            <w:noProof/>
            <w:webHidden/>
          </w:rPr>
          <w:fldChar w:fldCharType="end"/>
        </w:r>
      </w:hyperlink>
    </w:p>
    <w:p w:rsidR="003B0815" w:rsidRDefault="003B0815" w14:paraId="455F7A83" w14:textId="77777777">
      <w:pPr>
        <w:pStyle w:val="TableofFigures"/>
        <w:tabs>
          <w:tab w:val="right" w:leader="dot" w:pos="9350"/>
        </w:tabs>
        <w:rPr>
          <w:smallCaps w:val="0"/>
          <w:noProof/>
          <w:sz w:val="24"/>
          <w:szCs w:val="24"/>
        </w:rPr>
      </w:pPr>
      <w:hyperlink w:history="1" w:anchor="_Toc207109532">
        <w:r>
          <w:rPr>
            <w:rStyle w:val="Hyperlink"/>
            <w:noProof/>
          </w:rPr>
          <w:t>Table 1.6.5.b  Calculation of Inventory Needed</w:t>
        </w:r>
        <w:r>
          <w:rPr>
            <w:noProof/>
            <w:webHidden/>
          </w:rPr>
          <w:tab/>
        </w:r>
        <w:r>
          <w:rPr>
            <w:noProof/>
            <w:webHidden/>
          </w:rPr>
          <w:fldChar w:fldCharType="begin" w:fldLock="1"/>
        </w:r>
        <w:r>
          <w:rPr>
            <w:noProof/>
            <w:webHidden/>
          </w:rPr>
          <w:instrText xml:space="preserve"> PAGEREF _Toc207109532 \h </w:instrText>
        </w:r>
        <w:r>
          <w:rPr>
            <w:noProof/>
          </w:rPr>
        </w:r>
        <w:r>
          <w:rPr>
            <w:noProof/>
            <w:webHidden/>
          </w:rPr>
          <w:fldChar w:fldCharType="separate"/>
        </w:r>
        <w:r>
          <w:rPr>
            <w:noProof/>
            <w:webHidden/>
          </w:rPr>
          <w:t>95</w:t>
        </w:r>
        <w:r>
          <w:rPr>
            <w:noProof/>
            <w:webHidden/>
          </w:rPr>
          <w:fldChar w:fldCharType="end"/>
        </w:r>
      </w:hyperlink>
    </w:p>
    <w:p w:rsidR="003B0815" w:rsidRDefault="003B0815" w14:paraId="7AEBBF7D" w14:textId="77777777">
      <w:pPr>
        <w:pStyle w:val="TableofFigures"/>
        <w:tabs>
          <w:tab w:val="right" w:leader="dot" w:pos="9350"/>
        </w:tabs>
        <w:rPr>
          <w:smallCaps w:val="0"/>
          <w:noProof/>
          <w:sz w:val="24"/>
          <w:szCs w:val="24"/>
        </w:rPr>
      </w:pPr>
      <w:hyperlink w:history="1" w:anchor="_Toc207109533">
        <w:r>
          <w:rPr>
            <w:rStyle w:val="Hyperlink"/>
            <w:noProof/>
          </w:rPr>
          <w:t>Table 1.6.5.c Barcode Scanning Inventory Costs</w:t>
        </w:r>
        <w:r>
          <w:rPr>
            <w:noProof/>
            <w:webHidden/>
          </w:rPr>
          <w:tab/>
        </w:r>
        <w:r>
          <w:rPr>
            <w:noProof/>
            <w:webHidden/>
          </w:rPr>
          <w:fldChar w:fldCharType="begin" w:fldLock="1"/>
        </w:r>
        <w:r>
          <w:rPr>
            <w:noProof/>
            <w:webHidden/>
          </w:rPr>
          <w:instrText xml:space="preserve"> PAGEREF _Toc207109533 \h </w:instrText>
        </w:r>
        <w:r>
          <w:rPr>
            <w:noProof/>
          </w:rPr>
        </w:r>
        <w:r>
          <w:rPr>
            <w:noProof/>
            <w:webHidden/>
          </w:rPr>
          <w:fldChar w:fldCharType="separate"/>
        </w:r>
        <w:r>
          <w:rPr>
            <w:noProof/>
            <w:webHidden/>
          </w:rPr>
          <w:t>96</w:t>
        </w:r>
        <w:r>
          <w:rPr>
            <w:noProof/>
            <w:webHidden/>
          </w:rPr>
          <w:fldChar w:fldCharType="end"/>
        </w:r>
      </w:hyperlink>
    </w:p>
    <w:p w:rsidR="003B0815" w:rsidRDefault="003B0815" w14:paraId="411E1EB0" w14:textId="77777777">
      <w:pPr>
        <w:pStyle w:val="TableofFigures"/>
        <w:tabs>
          <w:tab w:val="right" w:leader="dot" w:pos="9350"/>
        </w:tabs>
        <w:rPr>
          <w:smallCaps w:val="0"/>
          <w:noProof/>
          <w:sz w:val="24"/>
          <w:szCs w:val="24"/>
        </w:rPr>
      </w:pPr>
      <w:hyperlink w:history="1" w:anchor="_Toc207109534">
        <w:r>
          <w:rPr>
            <w:rStyle w:val="Hyperlink"/>
            <w:noProof/>
          </w:rPr>
          <w:t>Table 1.6.5.d Cost to Synchronize Scanners</w:t>
        </w:r>
        <w:r>
          <w:rPr>
            <w:noProof/>
            <w:webHidden/>
          </w:rPr>
          <w:tab/>
        </w:r>
        <w:r>
          <w:rPr>
            <w:noProof/>
            <w:webHidden/>
          </w:rPr>
          <w:fldChar w:fldCharType="begin" w:fldLock="1"/>
        </w:r>
        <w:r>
          <w:rPr>
            <w:noProof/>
            <w:webHidden/>
          </w:rPr>
          <w:instrText xml:space="preserve"> PAGEREF _Toc207109534 \h </w:instrText>
        </w:r>
        <w:r>
          <w:rPr>
            <w:noProof/>
          </w:rPr>
        </w:r>
        <w:r>
          <w:rPr>
            <w:noProof/>
            <w:webHidden/>
          </w:rPr>
          <w:fldChar w:fldCharType="separate"/>
        </w:r>
        <w:r>
          <w:rPr>
            <w:noProof/>
            <w:webHidden/>
          </w:rPr>
          <w:t>96</w:t>
        </w:r>
        <w:r>
          <w:rPr>
            <w:noProof/>
            <w:webHidden/>
          </w:rPr>
          <w:fldChar w:fldCharType="end"/>
        </w:r>
      </w:hyperlink>
    </w:p>
    <w:p w:rsidR="003B0815" w:rsidRDefault="003B0815" w14:paraId="3B8C1E94" w14:textId="77777777">
      <w:pPr>
        <w:pStyle w:val="TableofFigures"/>
        <w:tabs>
          <w:tab w:val="right" w:leader="dot" w:pos="9350"/>
        </w:tabs>
        <w:rPr>
          <w:smallCaps w:val="0"/>
          <w:noProof/>
          <w:sz w:val="24"/>
          <w:szCs w:val="24"/>
        </w:rPr>
      </w:pPr>
      <w:hyperlink w:history="1" w:anchor="_Toc207109535">
        <w:r>
          <w:rPr>
            <w:rStyle w:val="Hyperlink"/>
            <w:noProof/>
          </w:rPr>
          <w:t>Table 1.6.5.e Cost to Scan Barcodes with Synchronized Scanners, Primary Scenario (Millions)</w:t>
        </w:r>
        <w:r>
          <w:rPr>
            <w:noProof/>
            <w:webHidden/>
          </w:rPr>
          <w:tab/>
        </w:r>
        <w:r>
          <w:rPr>
            <w:noProof/>
            <w:webHidden/>
          </w:rPr>
          <w:fldChar w:fldCharType="begin" w:fldLock="1"/>
        </w:r>
        <w:r>
          <w:rPr>
            <w:noProof/>
            <w:webHidden/>
          </w:rPr>
          <w:instrText xml:space="preserve"> PAGEREF _Toc207109535 \h </w:instrText>
        </w:r>
        <w:r>
          <w:rPr>
            <w:noProof/>
          </w:rPr>
        </w:r>
        <w:r>
          <w:rPr>
            <w:noProof/>
            <w:webHidden/>
          </w:rPr>
          <w:fldChar w:fldCharType="separate"/>
        </w:r>
        <w:r>
          <w:rPr>
            <w:noProof/>
            <w:webHidden/>
          </w:rPr>
          <w:t>97</w:t>
        </w:r>
        <w:r>
          <w:rPr>
            <w:noProof/>
            <w:webHidden/>
          </w:rPr>
          <w:fldChar w:fldCharType="end"/>
        </w:r>
      </w:hyperlink>
    </w:p>
    <w:p w:rsidR="003B0815" w:rsidRDefault="003B0815" w14:paraId="097DE90A" w14:textId="77777777">
      <w:pPr>
        <w:pStyle w:val="TableofFigures"/>
        <w:tabs>
          <w:tab w:val="right" w:leader="dot" w:pos="9350"/>
        </w:tabs>
        <w:rPr>
          <w:smallCaps w:val="0"/>
          <w:noProof/>
          <w:sz w:val="24"/>
          <w:szCs w:val="24"/>
        </w:rPr>
      </w:pPr>
      <w:hyperlink w:history="1" w:anchor="_Toc207109536">
        <w:r>
          <w:rPr>
            <w:rStyle w:val="Hyperlink"/>
            <w:noProof/>
          </w:rPr>
          <w:t>Table 1.6.5.f  Cost of Real Time Communication (millions)</w:t>
        </w:r>
        <w:r>
          <w:rPr>
            <w:noProof/>
            <w:webHidden/>
          </w:rPr>
          <w:tab/>
        </w:r>
        <w:r>
          <w:rPr>
            <w:noProof/>
            <w:webHidden/>
          </w:rPr>
          <w:fldChar w:fldCharType="begin" w:fldLock="1"/>
        </w:r>
        <w:r>
          <w:rPr>
            <w:noProof/>
            <w:webHidden/>
          </w:rPr>
          <w:instrText xml:space="preserve"> PAGEREF _Toc207109536 \h </w:instrText>
        </w:r>
        <w:r>
          <w:rPr>
            <w:noProof/>
          </w:rPr>
        </w:r>
        <w:r>
          <w:rPr>
            <w:noProof/>
            <w:webHidden/>
          </w:rPr>
          <w:fldChar w:fldCharType="separate"/>
        </w:r>
        <w:r>
          <w:rPr>
            <w:noProof/>
            <w:webHidden/>
          </w:rPr>
          <w:t>98</w:t>
        </w:r>
        <w:r>
          <w:rPr>
            <w:noProof/>
            <w:webHidden/>
          </w:rPr>
          <w:fldChar w:fldCharType="end"/>
        </w:r>
      </w:hyperlink>
    </w:p>
    <w:p w:rsidR="003B0815" w:rsidRDefault="003B0815" w14:paraId="3E61CCDF" w14:textId="77777777">
      <w:pPr>
        <w:pStyle w:val="TableofFigures"/>
        <w:tabs>
          <w:tab w:val="right" w:leader="dot" w:pos="9350"/>
        </w:tabs>
        <w:rPr>
          <w:smallCaps w:val="0"/>
          <w:noProof/>
          <w:sz w:val="24"/>
          <w:szCs w:val="24"/>
        </w:rPr>
      </w:pPr>
      <w:hyperlink w:history="1" w:anchor="_Toc207109537">
        <w:r>
          <w:rPr>
            <w:rStyle w:val="Hyperlink"/>
            <w:noProof/>
          </w:rPr>
          <w:t>Table 1.6.5.g Cost to Scan Barcodes Against Secure Flight Database in Real Time (Millions)</w:t>
        </w:r>
        <w:r>
          <w:rPr>
            <w:noProof/>
            <w:webHidden/>
          </w:rPr>
          <w:tab/>
        </w:r>
        <w:r>
          <w:rPr>
            <w:noProof/>
            <w:webHidden/>
          </w:rPr>
          <w:fldChar w:fldCharType="begin" w:fldLock="1"/>
        </w:r>
        <w:r>
          <w:rPr>
            <w:noProof/>
            <w:webHidden/>
          </w:rPr>
          <w:instrText xml:space="preserve"> PAGEREF _Toc207109537 \h </w:instrText>
        </w:r>
        <w:r>
          <w:rPr>
            <w:noProof/>
          </w:rPr>
        </w:r>
        <w:r>
          <w:rPr>
            <w:noProof/>
            <w:webHidden/>
          </w:rPr>
          <w:fldChar w:fldCharType="separate"/>
        </w:r>
        <w:r>
          <w:rPr>
            <w:noProof/>
            <w:webHidden/>
          </w:rPr>
          <w:t>98</w:t>
        </w:r>
        <w:r>
          <w:rPr>
            <w:noProof/>
            <w:webHidden/>
          </w:rPr>
          <w:fldChar w:fldCharType="end"/>
        </w:r>
      </w:hyperlink>
    </w:p>
    <w:p w:rsidR="003B0815" w:rsidRDefault="003B0815" w14:paraId="48FD4F3E" w14:textId="77777777">
      <w:pPr>
        <w:pStyle w:val="TableofFigures"/>
        <w:tabs>
          <w:tab w:val="right" w:leader="dot" w:pos="9350"/>
        </w:tabs>
        <w:rPr>
          <w:smallCaps w:val="0"/>
          <w:noProof/>
          <w:sz w:val="24"/>
          <w:szCs w:val="24"/>
        </w:rPr>
      </w:pPr>
      <w:hyperlink w:history="1" w:anchor="_Toc207109538">
        <w:r>
          <w:rPr>
            <w:rStyle w:val="Hyperlink"/>
            <w:noProof/>
          </w:rPr>
          <w:t>Table 1.6.5.h  Total Costs to Verify Boarding Pass Information</w:t>
        </w:r>
        <w:r>
          <w:rPr>
            <w:noProof/>
            <w:webHidden/>
          </w:rPr>
          <w:tab/>
        </w:r>
        <w:r>
          <w:rPr>
            <w:noProof/>
            <w:webHidden/>
          </w:rPr>
          <w:fldChar w:fldCharType="begin" w:fldLock="1"/>
        </w:r>
        <w:r>
          <w:rPr>
            <w:noProof/>
            <w:webHidden/>
          </w:rPr>
          <w:instrText xml:space="preserve"> PAGEREF _Toc207109538 \h </w:instrText>
        </w:r>
        <w:r>
          <w:rPr>
            <w:noProof/>
          </w:rPr>
        </w:r>
        <w:r>
          <w:rPr>
            <w:noProof/>
            <w:webHidden/>
          </w:rPr>
          <w:fldChar w:fldCharType="separate"/>
        </w:r>
        <w:r>
          <w:rPr>
            <w:noProof/>
            <w:webHidden/>
          </w:rPr>
          <w:t>99</w:t>
        </w:r>
        <w:r>
          <w:rPr>
            <w:noProof/>
            <w:webHidden/>
          </w:rPr>
          <w:fldChar w:fldCharType="end"/>
        </w:r>
      </w:hyperlink>
    </w:p>
    <w:p w:rsidR="003B0815" w:rsidRDefault="003B0815" w14:paraId="38D5DB42" w14:textId="77777777">
      <w:pPr>
        <w:pStyle w:val="TableofFigures"/>
        <w:tabs>
          <w:tab w:val="right" w:leader="dot" w:pos="9350"/>
        </w:tabs>
        <w:rPr>
          <w:smallCaps w:val="0"/>
          <w:noProof/>
          <w:sz w:val="24"/>
          <w:szCs w:val="24"/>
        </w:rPr>
      </w:pPr>
      <w:hyperlink w:history="1" w:anchor="_Toc207109539">
        <w:r>
          <w:rPr>
            <w:rStyle w:val="Hyperlink"/>
            <w:noProof/>
          </w:rPr>
          <w:t>Table 1.6.5.i  Total Direct Costs to TSA</w:t>
        </w:r>
        <w:r>
          <w:rPr>
            <w:noProof/>
            <w:webHidden/>
          </w:rPr>
          <w:tab/>
        </w:r>
        <w:r>
          <w:rPr>
            <w:noProof/>
            <w:webHidden/>
          </w:rPr>
          <w:fldChar w:fldCharType="begin" w:fldLock="1"/>
        </w:r>
        <w:r>
          <w:rPr>
            <w:noProof/>
            <w:webHidden/>
          </w:rPr>
          <w:instrText xml:space="preserve"> PAGEREF _Toc207109539 \h </w:instrText>
        </w:r>
        <w:r>
          <w:rPr>
            <w:noProof/>
          </w:rPr>
        </w:r>
        <w:r>
          <w:rPr>
            <w:noProof/>
            <w:webHidden/>
          </w:rPr>
          <w:fldChar w:fldCharType="separate"/>
        </w:r>
        <w:r>
          <w:rPr>
            <w:noProof/>
            <w:webHidden/>
          </w:rPr>
          <w:t>99</w:t>
        </w:r>
        <w:r>
          <w:rPr>
            <w:noProof/>
            <w:webHidden/>
          </w:rPr>
          <w:fldChar w:fldCharType="end"/>
        </w:r>
      </w:hyperlink>
    </w:p>
    <w:p w:rsidR="003B0815" w:rsidRDefault="003B0815" w14:paraId="7F4955BA" w14:textId="77777777">
      <w:pPr>
        <w:pStyle w:val="TableofFigures"/>
        <w:tabs>
          <w:tab w:val="right" w:leader="dot" w:pos="9350"/>
        </w:tabs>
        <w:rPr>
          <w:smallCaps w:val="0"/>
          <w:noProof/>
          <w:sz w:val="24"/>
          <w:szCs w:val="24"/>
        </w:rPr>
      </w:pPr>
      <w:hyperlink w:history="1" w:anchor="_Toc207109540">
        <w:r>
          <w:rPr>
            <w:rStyle w:val="Hyperlink"/>
            <w:noProof/>
          </w:rPr>
          <w:t>Table 1.6.5.j Estimated TSC Costs</w:t>
        </w:r>
        <w:r>
          <w:rPr>
            <w:noProof/>
            <w:webHidden/>
          </w:rPr>
          <w:tab/>
        </w:r>
        <w:r>
          <w:rPr>
            <w:noProof/>
            <w:webHidden/>
          </w:rPr>
          <w:fldChar w:fldCharType="begin" w:fldLock="1"/>
        </w:r>
        <w:r>
          <w:rPr>
            <w:noProof/>
            <w:webHidden/>
          </w:rPr>
          <w:instrText xml:space="preserve"> PAGEREF _Toc207109540 \h </w:instrText>
        </w:r>
        <w:r>
          <w:rPr>
            <w:noProof/>
          </w:rPr>
        </w:r>
        <w:r>
          <w:rPr>
            <w:noProof/>
            <w:webHidden/>
          </w:rPr>
          <w:fldChar w:fldCharType="separate"/>
        </w:r>
        <w:r>
          <w:rPr>
            <w:noProof/>
            <w:webHidden/>
          </w:rPr>
          <w:t>101</w:t>
        </w:r>
        <w:r>
          <w:rPr>
            <w:noProof/>
            <w:webHidden/>
          </w:rPr>
          <w:fldChar w:fldCharType="end"/>
        </w:r>
      </w:hyperlink>
    </w:p>
    <w:p w:rsidR="003B0815" w:rsidRDefault="003B0815" w14:paraId="3B6AD035" w14:textId="77777777">
      <w:pPr>
        <w:pStyle w:val="TableofFigures"/>
        <w:tabs>
          <w:tab w:val="right" w:leader="dot" w:pos="9350"/>
        </w:tabs>
        <w:rPr>
          <w:smallCaps w:val="0"/>
          <w:noProof/>
          <w:sz w:val="24"/>
          <w:szCs w:val="24"/>
        </w:rPr>
      </w:pPr>
      <w:hyperlink w:history="1" w:anchor="_Toc207109541">
        <w:r>
          <w:rPr>
            <w:rStyle w:val="Hyperlink"/>
            <w:noProof/>
          </w:rPr>
          <w:t>Table 1.6.5.k Estimated Total Federal Government Costs (millions of 2005 $)</w:t>
        </w:r>
        <w:r>
          <w:rPr>
            <w:noProof/>
            <w:webHidden/>
          </w:rPr>
          <w:tab/>
        </w:r>
        <w:r>
          <w:rPr>
            <w:noProof/>
            <w:webHidden/>
          </w:rPr>
          <w:fldChar w:fldCharType="begin" w:fldLock="1"/>
        </w:r>
        <w:r>
          <w:rPr>
            <w:noProof/>
            <w:webHidden/>
          </w:rPr>
          <w:instrText xml:space="preserve"> PAGEREF _Toc207109541 \h </w:instrText>
        </w:r>
        <w:r>
          <w:rPr>
            <w:noProof/>
          </w:rPr>
        </w:r>
        <w:r>
          <w:rPr>
            <w:noProof/>
            <w:webHidden/>
          </w:rPr>
          <w:fldChar w:fldCharType="separate"/>
        </w:r>
        <w:r>
          <w:rPr>
            <w:noProof/>
            <w:webHidden/>
          </w:rPr>
          <w:t>101</w:t>
        </w:r>
        <w:r>
          <w:rPr>
            <w:noProof/>
            <w:webHidden/>
          </w:rPr>
          <w:fldChar w:fldCharType="end"/>
        </w:r>
      </w:hyperlink>
    </w:p>
    <w:p w:rsidR="003B0815" w:rsidRDefault="003B0815" w14:paraId="0BC2630A" w14:textId="77777777">
      <w:pPr>
        <w:pStyle w:val="TableofFigures"/>
        <w:tabs>
          <w:tab w:val="right" w:leader="dot" w:pos="9350"/>
        </w:tabs>
        <w:rPr>
          <w:smallCaps w:val="0"/>
          <w:noProof/>
          <w:sz w:val="24"/>
          <w:szCs w:val="24"/>
        </w:rPr>
      </w:pPr>
      <w:hyperlink w:history="1" w:anchor="_Toc207109542">
        <w:r>
          <w:rPr>
            <w:rStyle w:val="Hyperlink"/>
            <w:noProof/>
          </w:rPr>
          <w:t>Table 1.6.6.a Domestic Passenger Reservation Opportunity Costs (Primary Scenario)</w:t>
        </w:r>
        <w:r>
          <w:rPr>
            <w:noProof/>
            <w:webHidden/>
          </w:rPr>
          <w:tab/>
        </w:r>
        <w:r>
          <w:rPr>
            <w:noProof/>
            <w:webHidden/>
          </w:rPr>
          <w:fldChar w:fldCharType="begin" w:fldLock="1"/>
        </w:r>
        <w:r>
          <w:rPr>
            <w:noProof/>
            <w:webHidden/>
          </w:rPr>
          <w:instrText xml:space="preserve"> PAGEREF _Toc207109542 \h </w:instrText>
        </w:r>
        <w:r>
          <w:rPr>
            <w:noProof/>
          </w:rPr>
        </w:r>
        <w:r>
          <w:rPr>
            <w:noProof/>
            <w:webHidden/>
          </w:rPr>
          <w:fldChar w:fldCharType="separate"/>
        </w:r>
        <w:r>
          <w:rPr>
            <w:noProof/>
            <w:webHidden/>
          </w:rPr>
          <w:t>103</w:t>
        </w:r>
        <w:r>
          <w:rPr>
            <w:noProof/>
            <w:webHidden/>
          </w:rPr>
          <w:fldChar w:fldCharType="end"/>
        </w:r>
      </w:hyperlink>
    </w:p>
    <w:p w:rsidR="003B0815" w:rsidRDefault="003B0815" w14:paraId="3B5E2BAF" w14:textId="77777777">
      <w:pPr>
        <w:pStyle w:val="TableofFigures"/>
        <w:tabs>
          <w:tab w:val="right" w:leader="dot" w:pos="9350"/>
        </w:tabs>
        <w:rPr>
          <w:smallCaps w:val="0"/>
          <w:noProof/>
          <w:sz w:val="24"/>
          <w:szCs w:val="24"/>
        </w:rPr>
      </w:pPr>
      <w:hyperlink w:history="1" w:anchor="_Toc207109543">
        <w:r>
          <w:rPr>
            <w:rStyle w:val="Hyperlink"/>
            <w:noProof/>
          </w:rPr>
          <w:t>Table 1.6.6.b Domestic Passenger Reservation Opportunity Costs (Low Scenario)</w:t>
        </w:r>
        <w:r>
          <w:rPr>
            <w:noProof/>
            <w:webHidden/>
          </w:rPr>
          <w:tab/>
        </w:r>
        <w:r>
          <w:rPr>
            <w:noProof/>
            <w:webHidden/>
          </w:rPr>
          <w:fldChar w:fldCharType="begin" w:fldLock="1"/>
        </w:r>
        <w:r>
          <w:rPr>
            <w:noProof/>
            <w:webHidden/>
          </w:rPr>
          <w:instrText xml:space="preserve"> PAGEREF _Toc207109543 \h </w:instrText>
        </w:r>
        <w:r>
          <w:rPr>
            <w:noProof/>
          </w:rPr>
        </w:r>
        <w:r>
          <w:rPr>
            <w:noProof/>
            <w:webHidden/>
          </w:rPr>
          <w:fldChar w:fldCharType="separate"/>
        </w:r>
        <w:r>
          <w:rPr>
            <w:noProof/>
            <w:webHidden/>
          </w:rPr>
          <w:t>104</w:t>
        </w:r>
        <w:r>
          <w:rPr>
            <w:noProof/>
            <w:webHidden/>
          </w:rPr>
          <w:fldChar w:fldCharType="end"/>
        </w:r>
      </w:hyperlink>
    </w:p>
    <w:p w:rsidR="003B0815" w:rsidRDefault="003B0815" w14:paraId="26BEA321" w14:textId="77777777">
      <w:pPr>
        <w:pStyle w:val="TableofFigures"/>
        <w:tabs>
          <w:tab w:val="right" w:leader="dot" w:pos="9350"/>
        </w:tabs>
        <w:rPr>
          <w:smallCaps w:val="0"/>
          <w:noProof/>
          <w:sz w:val="24"/>
          <w:szCs w:val="24"/>
        </w:rPr>
      </w:pPr>
      <w:hyperlink w:history="1" w:anchor="_Toc207109544">
        <w:r>
          <w:rPr>
            <w:rStyle w:val="Hyperlink"/>
            <w:noProof/>
          </w:rPr>
          <w:t>Table 1.6.6.c Passenger Reservation Opportunity Costs, Domestic Passengers (High Scenario)</w:t>
        </w:r>
        <w:r>
          <w:rPr>
            <w:noProof/>
            <w:webHidden/>
          </w:rPr>
          <w:tab/>
        </w:r>
        <w:r>
          <w:rPr>
            <w:noProof/>
            <w:webHidden/>
          </w:rPr>
          <w:fldChar w:fldCharType="begin" w:fldLock="1"/>
        </w:r>
        <w:r>
          <w:rPr>
            <w:noProof/>
            <w:webHidden/>
          </w:rPr>
          <w:instrText xml:space="preserve"> PAGEREF _Toc207109544 \h </w:instrText>
        </w:r>
        <w:r>
          <w:rPr>
            <w:noProof/>
          </w:rPr>
        </w:r>
        <w:r>
          <w:rPr>
            <w:noProof/>
            <w:webHidden/>
          </w:rPr>
          <w:fldChar w:fldCharType="separate"/>
        </w:r>
        <w:r>
          <w:rPr>
            <w:noProof/>
            <w:webHidden/>
          </w:rPr>
          <w:t>104</w:t>
        </w:r>
        <w:r>
          <w:rPr>
            <w:noProof/>
            <w:webHidden/>
          </w:rPr>
          <w:fldChar w:fldCharType="end"/>
        </w:r>
      </w:hyperlink>
    </w:p>
    <w:p w:rsidR="003B0815" w:rsidRDefault="003B0815" w14:paraId="7A84F88F" w14:textId="77777777">
      <w:pPr>
        <w:pStyle w:val="TableofFigures"/>
        <w:tabs>
          <w:tab w:val="right" w:leader="dot" w:pos="9350"/>
        </w:tabs>
        <w:rPr>
          <w:smallCaps w:val="0"/>
          <w:noProof/>
          <w:sz w:val="24"/>
          <w:szCs w:val="24"/>
        </w:rPr>
      </w:pPr>
      <w:hyperlink w:history="1" w:anchor="_Toc207109545">
        <w:r>
          <w:rPr>
            <w:rStyle w:val="Hyperlink"/>
            <w:noProof/>
          </w:rPr>
          <w:t>Table 1.6.6.d Total Domestic Passenger Opportunity Costs, Groups 1 - 3</w:t>
        </w:r>
        <w:r>
          <w:rPr>
            <w:noProof/>
            <w:webHidden/>
          </w:rPr>
          <w:tab/>
        </w:r>
        <w:r>
          <w:rPr>
            <w:noProof/>
            <w:webHidden/>
          </w:rPr>
          <w:fldChar w:fldCharType="begin" w:fldLock="1"/>
        </w:r>
        <w:r>
          <w:rPr>
            <w:noProof/>
            <w:webHidden/>
          </w:rPr>
          <w:instrText xml:space="preserve"> PAGEREF _Toc207109545 \h </w:instrText>
        </w:r>
        <w:r>
          <w:rPr>
            <w:noProof/>
          </w:rPr>
        </w:r>
        <w:r>
          <w:rPr>
            <w:noProof/>
            <w:webHidden/>
          </w:rPr>
          <w:fldChar w:fldCharType="separate"/>
        </w:r>
        <w:r>
          <w:rPr>
            <w:noProof/>
            <w:webHidden/>
          </w:rPr>
          <w:t>105</w:t>
        </w:r>
        <w:r>
          <w:rPr>
            <w:noProof/>
            <w:webHidden/>
          </w:rPr>
          <w:fldChar w:fldCharType="end"/>
        </w:r>
      </w:hyperlink>
    </w:p>
    <w:p w:rsidR="003B0815" w:rsidRDefault="003B0815" w14:paraId="5A408267" w14:textId="77777777">
      <w:pPr>
        <w:pStyle w:val="TableofFigures"/>
        <w:tabs>
          <w:tab w:val="right" w:leader="dot" w:pos="9350"/>
        </w:tabs>
        <w:rPr>
          <w:smallCaps w:val="0"/>
          <w:noProof/>
          <w:sz w:val="24"/>
          <w:szCs w:val="24"/>
        </w:rPr>
      </w:pPr>
      <w:hyperlink w:history="1" w:anchor="_Toc207109546">
        <w:r>
          <w:rPr>
            <w:rStyle w:val="Hyperlink"/>
            <w:noProof/>
          </w:rPr>
          <w:t>Table 1.6.6.e Total Domestic Passenger Opportunity Costs, Group 4</w:t>
        </w:r>
        <w:r>
          <w:rPr>
            <w:noProof/>
            <w:webHidden/>
          </w:rPr>
          <w:tab/>
        </w:r>
        <w:r>
          <w:rPr>
            <w:noProof/>
            <w:webHidden/>
          </w:rPr>
          <w:fldChar w:fldCharType="begin" w:fldLock="1"/>
        </w:r>
        <w:r>
          <w:rPr>
            <w:noProof/>
            <w:webHidden/>
          </w:rPr>
          <w:instrText xml:space="preserve"> PAGEREF _Toc207109546 \h </w:instrText>
        </w:r>
        <w:r>
          <w:rPr>
            <w:noProof/>
          </w:rPr>
        </w:r>
        <w:r>
          <w:rPr>
            <w:noProof/>
            <w:webHidden/>
          </w:rPr>
          <w:fldChar w:fldCharType="separate"/>
        </w:r>
        <w:r>
          <w:rPr>
            <w:noProof/>
            <w:webHidden/>
          </w:rPr>
          <w:t>106</w:t>
        </w:r>
        <w:r>
          <w:rPr>
            <w:noProof/>
            <w:webHidden/>
          </w:rPr>
          <w:fldChar w:fldCharType="end"/>
        </w:r>
      </w:hyperlink>
    </w:p>
    <w:p w:rsidR="003B0815" w:rsidRDefault="003B0815" w14:paraId="77D79E61" w14:textId="77777777">
      <w:pPr>
        <w:pStyle w:val="TableofFigures"/>
        <w:tabs>
          <w:tab w:val="right" w:leader="dot" w:pos="9350"/>
        </w:tabs>
        <w:rPr>
          <w:smallCaps w:val="0"/>
          <w:noProof/>
          <w:sz w:val="24"/>
          <w:szCs w:val="24"/>
        </w:rPr>
      </w:pPr>
      <w:hyperlink w:history="1" w:anchor="_Toc207109547">
        <w:r>
          <w:rPr>
            <w:rStyle w:val="Hyperlink"/>
            <w:noProof/>
          </w:rPr>
          <w:t>Table 1.6.6.f Total Domestic Passenger Opportunity Costs</w:t>
        </w:r>
        <w:r>
          <w:rPr>
            <w:noProof/>
            <w:webHidden/>
          </w:rPr>
          <w:tab/>
        </w:r>
        <w:r>
          <w:rPr>
            <w:noProof/>
            <w:webHidden/>
          </w:rPr>
          <w:fldChar w:fldCharType="begin" w:fldLock="1"/>
        </w:r>
        <w:r>
          <w:rPr>
            <w:noProof/>
            <w:webHidden/>
          </w:rPr>
          <w:instrText xml:space="preserve"> PAGEREF _Toc207109547 \h </w:instrText>
        </w:r>
        <w:r>
          <w:rPr>
            <w:noProof/>
          </w:rPr>
        </w:r>
        <w:r>
          <w:rPr>
            <w:noProof/>
            <w:webHidden/>
          </w:rPr>
          <w:fldChar w:fldCharType="separate"/>
        </w:r>
        <w:r>
          <w:rPr>
            <w:noProof/>
            <w:webHidden/>
          </w:rPr>
          <w:t>106</w:t>
        </w:r>
        <w:r>
          <w:rPr>
            <w:noProof/>
            <w:webHidden/>
          </w:rPr>
          <w:fldChar w:fldCharType="end"/>
        </w:r>
      </w:hyperlink>
    </w:p>
    <w:p w:rsidR="003B0815" w:rsidRDefault="003B0815" w14:paraId="25E3DDD6" w14:textId="77777777">
      <w:pPr>
        <w:pStyle w:val="TableofFigures"/>
        <w:tabs>
          <w:tab w:val="right" w:leader="dot" w:pos="9350"/>
        </w:tabs>
        <w:rPr>
          <w:smallCaps w:val="0"/>
          <w:noProof/>
          <w:sz w:val="24"/>
          <w:szCs w:val="24"/>
        </w:rPr>
      </w:pPr>
      <w:hyperlink w:history="1" w:anchor="_Toc207109548">
        <w:r>
          <w:rPr>
            <w:rStyle w:val="Hyperlink"/>
            <w:noProof/>
          </w:rPr>
          <w:t>Table 1.6.6.g Passenger Reservation Opportunity Costs, International Passengers (Primary)</w:t>
        </w:r>
        <w:r>
          <w:rPr>
            <w:noProof/>
            <w:webHidden/>
          </w:rPr>
          <w:tab/>
        </w:r>
        <w:r>
          <w:rPr>
            <w:noProof/>
            <w:webHidden/>
          </w:rPr>
          <w:fldChar w:fldCharType="begin" w:fldLock="1"/>
        </w:r>
        <w:r>
          <w:rPr>
            <w:noProof/>
            <w:webHidden/>
          </w:rPr>
          <w:instrText xml:space="preserve"> PAGEREF _Toc207109548 \h </w:instrText>
        </w:r>
        <w:r>
          <w:rPr>
            <w:noProof/>
          </w:rPr>
        </w:r>
        <w:r>
          <w:rPr>
            <w:noProof/>
            <w:webHidden/>
          </w:rPr>
          <w:fldChar w:fldCharType="separate"/>
        </w:r>
        <w:r>
          <w:rPr>
            <w:noProof/>
            <w:webHidden/>
          </w:rPr>
          <w:t>109</w:t>
        </w:r>
        <w:r>
          <w:rPr>
            <w:noProof/>
            <w:webHidden/>
          </w:rPr>
          <w:fldChar w:fldCharType="end"/>
        </w:r>
      </w:hyperlink>
    </w:p>
    <w:p w:rsidR="003B0815" w:rsidRDefault="003B0815" w14:paraId="31C2121E" w14:textId="77777777">
      <w:pPr>
        <w:pStyle w:val="TableofFigures"/>
        <w:tabs>
          <w:tab w:val="right" w:leader="dot" w:pos="9350"/>
        </w:tabs>
        <w:rPr>
          <w:smallCaps w:val="0"/>
          <w:noProof/>
          <w:sz w:val="24"/>
          <w:szCs w:val="24"/>
        </w:rPr>
      </w:pPr>
      <w:hyperlink w:history="1" w:anchor="_Toc207109549">
        <w:r>
          <w:rPr>
            <w:rStyle w:val="Hyperlink"/>
            <w:noProof/>
          </w:rPr>
          <w:t>Table 1.6.6.h Passenger Reservation Opportunity Costs, International Passengers (Low Scenario)</w:t>
        </w:r>
        <w:r>
          <w:rPr>
            <w:noProof/>
            <w:webHidden/>
          </w:rPr>
          <w:tab/>
        </w:r>
        <w:r>
          <w:rPr>
            <w:noProof/>
            <w:webHidden/>
          </w:rPr>
          <w:fldChar w:fldCharType="begin" w:fldLock="1"/>
        </w:r>
        <w:r>
          <w:rPr>
            <w:noProof/>
            <w:webHidden/>
          </w:rPr>
          <w:instrText xml:space="preserve"> PAGEREF _Toc207109549 \h </w:instrText>
        </w:r>
        <w:r>
          <w:rPr>
            <w:noProof/>
          </w:rPr>
        </w:r>
        <w:r>
          <w:rPr>
            <w:noProof/>
            <w:webHidden/>
          </w:rPr>
          <w:fldChar w:fldCharType="separate"/>
        </w:r>
        <w:r>
          <w:rPr>
            <w:noProof/>
            <w:webHidden/>
          </w:rPr>
          <w:t>110</w:t>
        </w:r>
        <w:r>
          <w:rPr>
            <w:noProof/>
            <w:webHidden/>
          </w:rPr>
          <w:fldChar w:fldCharType="end"/>
        </w:r>
      </w:hyperlink>
    </w:p>
    <w:p w:rsidR="003B0815" w:rsidRDefault="003B0815" w14:paraId="7D3DC54A" w14:textId="77777777">
      <w:pPr>
        <w:pStyle w:val="TableofFigures"/>
        <w:tabs>
          <w:tab w:val="right" w:leader="dot" w:pos="9350"/>
        </w:tabs>
        <w:rPr>
          <w:smallCaps w:val="0"/>
          <w:noProof/>
          <w:sz w:val="24"/>
          <w:szCs w:val="24"/>
        </w:rPr>
      </w:pPr>
      <w:hyperlink w:history="1" w:anchor="_Toc207109550">
        <w:r>
          <w:rPr>
            <w:rStyle w:val="Hyperlink"/>
            <w:noProof/>
          </w:rPr>
          <w:t>Table 1.6.6.i Passenger Reservation Opportunity Costs, International Passengers (High Scenario)</w:t>
        </w:r>
        <w:r>
          <w:rPr>
            <w:noProof/>
            <w:webHidden/>
          </w:rPr>
          <w:tab/>
        </w:r>
        <w:r>
          <w:rPr>
            <w:noProof/>
            <w:webHidden/>
          </w:rPr>
          <w:fldChar w:fldCharType="begin" w:fldLock="1"/>
        </w:r>
        <w:r>
          <w:rPr>
            <w:noProof/>
            <w:webHidden/>
          </w:rPr>
          <w:instrText xml:space="preserve"> PAGEREF _Toc207109550 \h </w:instrText>
        </w:r>
        <w:r>
          <w:rPr>
            <w:noProof/>
          </w:rPr>
        </w:r>
        <w:r>
          <w:rPr>
            <w:noProof/>
            <w:webHidden/>
          </w:rPr>
          <w:fldChar w:fldCharType="separate"/>
        </w:r>
        <w:r>
          <w:rPr>
            <w:noProof/>
            <w:webHidden/>
          </w:rPr>
          <w:t>110</w:t>
        </w:r>
        <w:r>
          <w:rPr>
            <w:noProof/>
            <w:webHidden/>
          </w:rPr>
          <w:fldChar w:fldCharType="end"/>
        </w:r>
      </w:hyperlink>
    </w:p>
    <w:p w:rsidR="003B0815" w:rsidRDefault="003B0815" w14:paraId="45C69128" w14:textId="77777777">
      <w:pPr>
        <w:pStyle w:val="TableofFigures"/>
        <w:tabs>
          <w:tab w:val="right" w:leader="dot" w:pos="9350"/>
        </w:tabs>
        <w:rPr>
          <w:smallCaps w:val="0"/>
          <w:noProof/>
          <w:sz w:val="24"/>
          <w:szCs w:val="24"/>
        </w:rPr>
      </w:pPr>
      <w:hyperlink w:history="1" w:anchor="_Toc207109551">
        <w:r>
          <w:rPr>
            <w:rStyle w:val="Hyperlink"/>
            <w:noProof/>
          </w:rPr>
          <w:t>Table 1.6.6.j Passenger Reservation Opportunity Costs, Over-Flights (Primary Scenario)</w:t>
        </w:r>
        <w:r>
          <w:rPr>
            <w:noProof/>
            <w:webHidden/>
          </w:rPr>
          <w:tab/>
        </w:r>
        <w:r>
          <w:rPr>
            <w:noProof/>
            <w:webHidden/>
          </w:rPr>
          <w:fldChar w:fldCharType="begin" w:fldLock="1"/>
        </w:r>
        <w:r>
          <w:rPr>
            <w:noProof/>
            <w:webHidden/>
          </w:rPr>
          <w:instrText xml:space="preserve"> PAGEREF _Toc207109551 \h </w:instrText>
        </w:r>
        <w:r>
          <w:rPr>
            <w:noProof/>
          </w:rPr>
        </w:r>
        <w:r>
          <w:rPr>
            <w:noProof/>
            <w:webHidden/>
          </w:rPr>
          <w:fldChar w:fldCharType="separate"/>
        </w:r>
        <w:r>
          <w:rPr>
            <w:noProof/>
            <w:webHidden/>
          </w:rPr>
          <w:t>111</w:t>
        </w:r>
        <w:r>
          <w:rPr>
            <w:noProof/>
            <w:webHidden/>
          </w:rPr>
          <w:fldChar w:fldCharType="end"/>
        </w:r>
      </w:hyperlink>
    </w:p>
    <w:p w:rsidR="003B0815" w:rsidRDefault="003B0815" w14:paraId="6DBB8D4F" w14:textId="77777777">
      <w:pPr>
        <w:pStyle w:val="TableofFigures"/>
        <w:tabs>
          <w:tab w:val="right" w:leader="dot" w:pos="9350"/>
        </w:tabs>
        <w:rPr>
          <w:smallCaps w:val="0"/>
          <w:noProof/>
          <w:sz w:val="24"/>
          <w:szCs w:val="24"/>
        </w:rPr>
      </w:pPr>
      <w:hyperlink w:history="1" w:anchor="_Toc207109552">
        <w:r>
          <w:rPr>
            <w:rStyle w:val="Hyperlink"/>
            <w:noProof/>
          </w:rPr>
          <w:t>Table 1.6.6.k Small Foreign Carrier Passenger Opportunity Costs</w:t>
        </w:r>
        <w:r>
          <w:rPr>
            <w:noProof/>
            <w:webHidden/>
          </w:rPr>
          <w:tab/>
        </w:r>
        <w:r>
          <w:rPr>
            <w:noProof/>
            <w:webHidden/>
          </w:rPr>
          <w:fldChar w:fldCharType="begin" w:fldLock="1"/>
        </w:r>
        <w:r>
          <w:rPr>
            <w:noProof/>
            <w:webHidden/>
          </w:rPr>
          <w:instrText xml:space="preserve"> PAGEREF _Toc207109552 \h </w:instrText>
        </w:r>
        <w:r>
          <w:rPr>
            <w:noProof/>
          </w:rPr>
        </w:r>
        <w:r>
          <w:rPr>
            <w:noProof/>
            <w:webHidden/>
          </w:rPr>
          <w:fldChar w:fldCharType="separate"/>
        </w:r>
        <w:r>
          <w:rPr>
            <w:noProof/>
            <w:webHidden/>
          </w:rPr>
          <w:t>112</w:t>
        </w:r>
        <w:r>
          <w:rPr>
            <w:noProof/>
            <w:webHidden/>
          </w:rPr>
          <w:fldChar w:fldCharType="end"/>
        </w:r>
      </w:hyperlink>
    </w:p>
    <w:p w:rsidR="003B0815" w:rsidRDefault="003B0815" w14:paraId="4F291179" w14:textId="77777777">
      <w:pPr>
        <w:pStyle w:val="TableofFigures"/>
        <w:tabs>
          <w:tab w:val="right" w:leader="dot" w:pos="9350"/>
        </w:tabs>
        <w:rPr>
          <w:smallCaps w:val="0"/>
          <w:noProof/>
          <w:sz w:val="24"/>
          <w:szCs w:val="24"/>
        </w:rPr>
      </w:pPr>
      <w:hyperlink w:history="1" w:anchor="_Toc207109553">
        <w:r>
          <w:rPr>
            <w:rStyle w:val="Hyperlink"/>
            <w:noProof/>
          </w:rPr>
          <w:t>Table 1.6.6.l Total Marginal Opportunity Cost for Passengers (millions)</w:t>
        </w:r>
        <w:r>
          <w:rPr>
            <w:noProof/>
            <w:webHidden/>
          </w:rPr>
          <w:tab/>
        </w:r>
        <w:r>
          <w:rPr>
            <w:noProof/>
            <w:webHidden/>
          </w:rPr>
          <w:fldChar w:fldCharType="begin" w:fldLock="1"/>
        </w:r>
        <w:r>
          <w:rPr>
            <w:noProof/>
            <w:webHidden/>
          </w:rPr>
          <w:instrText xml:space="preserve"> PAGEREF _Toc207109553 \h </w:instrText>
        </w:r>
        <w:r>
          <w:rPr>
            <w:noProof/>
          </w:rPr>
        </w:r>
        <w:r>
          <w:rPr>
            <w:noProof/>
            <w:webHidden/>
          </w:rPr>
          <w:fldChar w:fldCharType="separate"/>
        </w:r>
        <w:r>
          <w:rPr>
            <w:noProof/>
            <w:webHidden/>
          </w:rPr>
          <w:t>112</w:t>
        </w:r>
        <w:r>
          <w:rPr>
            <w:noProof/>
            <w:webHidden/>
          </w:rPr>
          <w:fldChar w:fldCharType="end"/>
        </w:r>
      </w:hyperlink>
    </w:p>
    <w:p w:rsidR="003B0815" w:rsidRDefault="003B0815" w14:paraId="75903FDF" w14:textId="77777777">
      <w:pPr>
        <w:pStyle w:val="TableofFigures"/>
        <w:tabs>
          <w:tab w:val="right" w:leader="dot" w:pos="9350"/>
        </w:tabs>
        <w:rPr>
          <w:smallCaps w:val="0"/>
          <w:noProof/>
          <w:sz w:val="24"/>
          <w:szCs w:val="24"/>
        </w:rPr>
      </w:pPr>
      <w:hyperlink w:history="1" w:anchor="_Toc207109554">
        <w:r>
          <w:rPr>
            <w:rStyle w:val="Hyperlink"/>
            <w:noProof/>
          </w:rPr>
          <w:t>Table 1.6.6.m Passenger Opportunity Costs of Secure Flight Complexity Risks</w:t>
        </w:r>
        <w:r>
          <w:rPr>
            <w:noProof/>
            <w:webHidden/>
          </w:rPr>
          <w:tab/>
        </w:r>
        <w:r>
          <w:rPr>
            <w:noProof/>
            <w:webHidden/>
          </w:rPr>
          <w:fldChar w:fldCharType="begin" w:fldLock="1"/>
        </w:r>
        <w:r>
          <w:rPr>
            <w:noProof/>
            <w:webHidden/>
          </w:rPr>
          <w:instrText xml:space="preserve"> PAGEREF _Toc207109554 \h </w:instrText>
        </w:r>
        <w:r>
          <w:rPr>
            <w:noProof/>
          </w:rPr>
        </w:r>
        <w:r>
          <w:rPr>
            <w:noProof/>
            <w:webHidden/>
          </w:rPr>
          <w:fldChar w:fldCharType="separate"/>
        </w:r>
        <w:r>
          <w:rPr>
            <w:noProof/>
            <w:webHidden/>
          </w:rPr>
          <w:t>113</w:t>
        </w:r>
        <w:r>
          <w:rPr>
            <w:noProof/>
            <w:webHidden/>
          </w:rPr>
          <w:fldChar w:fldCharType="end"/>
        </w:r>
      </w:hyperlink>
    </w:p>
    <w:p w:rsidR="003B0815" w:rsidRDefault="003B0815" w14:paraId="39EF43F3" w14:textId="77777777">
      <w:pPr>
        <w:pStyle w:val="TableofFigures"/>
        <w:tabs>
          <w:tab w:val="right" w:leader="dot" w:pos="9350"/>
        </w:tabs>
        <w:rPr>
          <w:smallCaps w:val="0"/>
          <w:noProof/>
          <w:sz w:val="24"/>
          <w:szCs w:val="24"/>
        </w:rPr>
      </w:pPr>
      <w:hyperlink w:history="1" w:anchor="_Toc207109555">
        <w:r>
          <w:rPr>
            <w:rStyle w:val="Hyperlink"/>
            <w:noProof/>
          </w:rPr>
          <w:t>Table 1.7.4.a  Summary of Sensitivity Analysis Results (Millions of $)</w:t>
        </w:r>
        <w:r>
          <w:rPr>
            <w:noProof/>
            <w:webHidden/>
          </w:rPr>
          <w:tab/>
        </w:r>
        <w:r>
          <w:rPr>
            <w:noProof/>
            <w:webHidden/>
          </w:rPr>
          <w:fldChar w:fldCharType="begin" w:fldLock="1"/>
        </w:r>
        <w:r>
          <w:rPr>
            <w:noProof/>
            <w:webHidden/>
          </w:rPr>
          <w:instrText xml:space="preserve"> PAGEREF _Toc207109555 \h </w:instrText>
        </w:r>
        <w:r>
          <w:rPr>
            <w:noProof/>
          </w:rPr>
        </w:r>
        <w:r>
          <w:rPr>
            <w:noProof/>
            <w:webHidden/>
          </w:rPr>
          <w:fldChar w:fldCharType="separate"/>
        </w:r>
        <w:r>
          <w:rPr>
            <w:noProof/>
            <w:webHidden/>
          </w:rPr>
          <w:t>117</w:t>
        </w:r>
        <w:r>
          <w:rPr>
            <w:noProof/>
            <w:webHidden/>
          </w:rPr>
          <w:fldChar w:fldCharType="end"/>
        </w:r>
      </w:hyperlink>
    </w:p>
    <w:p w:rsidR="003B0815" w:rsidRDefault="003B0815" w14:paraId="2B0E9785" w14:textId="77777777">
      <w:pPr>
        <w:pStyle w:val="TableofFigures"/>
        <w:tabs>
          <w:tab w:val="right" w:leader="dot" w:pos="9350"/>
        </w:tabs>
        <w:rPr>
          <w:smallCaps w:val="0"/>
          <w:noProof/>
          <w:sz w:val="24"/>
          <w:szCs w:val="24"/>
        </w:rPr>
      </w:pPr>
      <w:hyperlink w:history="1" w:anchor="_Toc207109556">
        <w:r>
          <w:rPr>
            <w:rStyle w:val="Hyperlink"/>
            <w:noProof/>
          </w:rPr>
          <w:t>Table 1.8.1.a Qualitative Comparison of Regulatory Alternatives</w:t>
        </w:r>
        <w:r>
          <w:rPr>
            <w:noProof/>
            <w:webHidden/>
          </w:rPr>
          <w:tab/>
        </w:r>
        <w:r>
          <w:rPr>
            <w:noProof/>
            <w:webHidden/>
          </w:rPr>
          <w:fldChar w:fldCharType="begin" w:fldLock="1"/>
        </w:r>
        <w:r>
          <w:rPr>
            <w:noProof/>
            <w:webHidden/>
          </w:rPr>
          <w:instrText xml:space="preserve"> PAGEREF _Toc207109556 \h </w:instrText>
        </w:r>
        <w:r>
          <w:rPr>
            <w:noProof/>
          </w:rPr>
        </w:r>
        <w:r>
          <w:rPr>
            <w:noProof/>
            <w:webHidden/>
          </w:rPr>
          <w:fldChar w:fldCharType="separate"/>
        </w:r>
        <w:r>
          <w:rPr>
            <w:noProof/>
            <w:webHidden/>
          </w:rPr>
          <w:t>121</w:t>
        </w:r>
        <w:r>
          <w:rPr>
            <w:noProof/>
            <w:webHidden/>
          </w:rPr>
          <w:fldChar w:fldCharType="end"/>
        </w:r>
      </w:hyperlink>
    </w:p>
    <w:p w:rsidR="003B0815" w:rsidRDefault="003B0815" w14:paraId="69D7A5C7" w14:textId="77777777">
      <w:pPr>
        <w:pStyle w:val="TableofFigures"/>
        <w:tabs>
          <w:tab w:val="right" w:leader="dot" w:pos="9350"/>
        </w:tabs>
        <w:rPr>
          <w:smallCaps w:val="0"/>
          <w:noProof/>
          <w:sz w:val="24"/>
          <w:szCs w:val="24"/>
        </w:rPr>
      </w:pPr>
      <w:hyperlink w:history="1" w:anchor="_Toc207109557">
        <w:r>
          <w:rPr>
            <w:rStyle w:val="Hyperlink"/>
            <w:noProof/>
          </w:rPr>
          <w:t>Table 1.8.2.a Quantitative Comparison of Regulatory Alternatives</w:t>
        </w:r>
        <w:r>
          <w:rPr>
            <w:noProof/>
            <w:webHidden/>
          </w:rPr>
          <w:tab/>
        </w:r>
        <w:r>
          <w:rPr>
            <w:noProof/>
            <w:webHidden/>
          </w:rPr>
          <w:fldChar w:fldCharType="begin" w:fldLock="1"/>
        </w:r>
        <w:r>
          <w:rPr>
            <w:noProof/>
            <w:webHidden/>
          </w:rPr>
          <w:instrText xml:space="preserve"> PAGEREF _Toc207109557 \h </w:instrText>
        </w:r>
        <w:r>
          <w:rPr>
            <w:noProof/>
          </w:rPr>
        </w:r>
        <w:r>
          <w:rPr>
            <w:noProof/>
            <w:webHidden/>
          </w:rPr>
          <w:fldChar w:fldCharType="separate"/>
        </w:r>
        <w:r>
          <w:rPr>
            <w:noProof/>
            <w:webHidden/>
          </w:rPr>
          <w:t>127</w:t>
        </w:r>
        <w:r>
          <w:rPr>
            <w:noProof/>
            <w:webHidden/>
          </w:rPr>
          <w:fldChar w:fldCharType="end"/>
        </w:r>
      </w:hyperlink>
    </w:p>
    <w:p w:rsidR="003B0815" w:rsidRDefault="003B0815" w14:paraId="10FFA2AE" w14:textId="77777777">
      <w:pPr>
        <w:pStyle w:val="TableofFigures"/>
        <w:tabs>
          <w:tab w:val="right" w:leader="dot" w:pos="9350"/>
        </w:tabs>
        <w:rPr>
          <w:smallCaps w:val="0"/>
          <w:noProof/>
          <w:sz w:val="24"/>
          <w:szCs w:val="24"/>
        </w:rPr>
      </w:pPr>
      <w:hyperlink w:history="1" w:anchor="_Toc207109558">
        <w:r>
          <w:rPr>
            <w:rStyle w:val="Hyperlink"/>
            <w:noProof/>
          </w:rPr>
          <w:t>Table 1.8.3.a Qualitative Comparison of Regulatory Timing Alternatives</w:t>
        </w:r>
        <w:r>
          <w:rPr>
            <w:noProof/>
            <w:webHidden/>
          </w:rPr>
          <w:tab/>
        </w:r>
        <w:r>
          <w:rPr>
            <w:noProof/>
            <w:webHidden/>
          </w:rPr>
          <w:fldChar w:fldCharType="begin" w:fldLock="1"/>
        </w:r>
        <w:r>
          <w:rPr>
            <w:noProof/>
            <w:webHidden/>
          </w:rPr>
          <w:instrText xml:space="preserve"> PAGEREF _Toc207109558 \h </w:instrText>
        </w:r>
        <w:r>
          <w:rPr>
            <w:noProof/>
          </w:rPr>
        </w:r>
        <w:r>
          <w:rPr>
            <w:noProof/>
            <w:webHidden/>
          </w:rPr>
          <w:fldChar w:fldCharType="separate"/>
        </w:r>
        <w:r>
          <w:rPr>
            <w:noProof/>
            <w:webHidden/>
          </w:rPr>
          <w:t>138</w:t>
        </w:r>
        <w:r>
          <w:rPr>
            <w:noProof/>
            <w:webHidden/>
          </w:rPr>
          <w:fldChar w:fldCharType="end"/>
        </w:r>
      </w:hyperlink>
    </w:p>
    <w:p w:rsidR="003B0815" w:rsidRDefault="003B0815" w14:paraId="3A10A974" w14:textId="77777777">
      <w:pPr>
        <w:pStyle w:val="TableofFigures"/>
        <w:tabs>
          <w:tab w:val="right" w:leader="dot" w:pos="9350"/>
        </w:tabs>
        <w:rPr>
          <w:smallCaps w:val="0"/>
          <w:noProof/>
          <w:sz w:val="24"/>
          <w:szCs w:val="24"/>
        </w:rPr>
      </w:pPr>
      <w:hyperlink w:history="1" w:anchor="_Toc207109559">
        <w:r>
          <w:rPr>
            <w:rStyle w:val="Hyperlink"/>
            <w:noProof/>
          </w:rPr>
          <w:t>Table 1.8.3.b Quantitative Comparison* of Regulatory Timing Alternatives</w:t>
        </w:r>
        <w:r>
          <w:rPr>
            <w:noProof/>
            <w:webHidden/>
          </w:rPr>
          <w:tab/>
        </w:r>
        <w:r>
          <w:rPr>
            <w:noProof/>
            <w:webHidden/>
          </w:rPr>
          <w:fldChar w:fldCharType="begin" w:fldLock="1"/>
        </w:r>
        <w:r>
          <w:rPr>
            <w:noProof/>
            <w:webHidden/>
          </w:rPr>
          <w:instrText xml:space="preserve"> PAGEREF _Toc207109559 \h </w:instrText>
        </w:r>
        <w:r>
          <w:rPr>
            <w:noProof/>
          </w:rPr>
        </w:r>
        <w:r>
          <w:rPr>
            <w:noProof/>
            <w:webHidden/>
          </w:rPr>
          <w:fldChar w:fldCharType="separate"/>
        </w:r>
        <w:r>
          <w:rPr>
            <w:noProof/>
            <w:webHidden/>
          </w:rPr>
          <w:t>140</w:t>
        </w:r>
        <w:r>
          <w:rPr>
            <w:noProof/>
            <w:webHidden/>
          </w:rPr>
          <w:fldChar w:fldCharType="end"/>
        </w:r>
      </w:hyperlink>
    </w:p>
    <w:p w:rsidR="003B0815" w:rsidRDefault="003B0815" w14:paraId="2C41A27B" w14:textId="77777777">
      <w:pPr>
        <w:pStyle w:val="TableofFigures"/>
        <w:tabs>
          <w:tab w:val="right" w:leader="dot" w:pos="9350"/>
        </w:tabs>
        <w:rPr>
          <w:smallCaps w:val="0"/>
          <w:noProof/>
          <w:sz w:val="24"/>
          <w:szCs w:val="24"/>
        </w:rPr>
      </w:pPr>
      <w:hyperlink w:history="1" w:anchor="_Toc207109560">
        <w:r>
          <w:rPr>
            <w:rStyle w:val="Hyperlink"/>
            <w:noProof/>
          </w:rPr>
          <w:t>(millions of 2005 $)</w:t>
        </w:r>
        <w:r>
          <w:rPr>
            <w:noProof/>
            <w:webHidden/>
          </w:rPr>
          <w:tab/>
        </w:r>
        <w:r>
          <w:rPr>
            <w:noProof/>
            <w:webHidden/>
          </w:rPr>
          <w:fldChar w:fldCharType="begin" w:fldLock="1"/>
        </w:r>
        <w:r>
          <w:rPr>
            <w:noProof/>
            <w:webHidden/>
          </w:rPr>
          <w:instrText xml:space="preserve"> PAGEREF _Toc207109560 \h </w:instrText>
        </w:r>
        <w:r>
          <w:rPr>
            <w:noProof/>
          </w:rPr>
        </w:r>
        <w:r>
          <w:rPr>
            <w:noProof/>
            <w:webHidden/>
          </w:rPr>
          <w:fldChar w:fldCharType="separate"/>
        </w:r>
        <w:r>
          <w:rPr>
            <w:noProof/>
            <w:webHidden/>
          </w:rPr>
          <w:t>140</w:t>
        </w:r>
        <w:r>
          <w:rPr>
            <w:noProof/>
            <w:webHidden/>
          </w:rPr>
          <w:fldChar w:fldCharType="end"/>
        </w:r>
      </w:hyperlink>
    </w:p>
    <w:p w:rsidR="003B0815" w:rsidRDefault="003B0815" w14:paraId="6D030C44" w14:textId="77777777">
      <w:pPr>
        <w:pStyle w:val="TableofFigures"/>
        <w:tabs>
          <w:tab w:val="right" w:leader="dot" w:pos="9350"/>
        </w:tabs>
        <w:rPr>
          <w:smallCaps w:val="0"/>
          <w:noProof/>
          <w:sz w:val="24"/>
          <w:szCs w:val="24"/>
        </w:rPr>
      </w:pPr>
      <w:hyperlink w:history="1" w:anchor="_Toc207109561">
        <w:r>
          <w:rPr>
            <w:rStyle w:val="Hyperlink"/>
            <w:noProof/>
          </w:rPr>
          <w:t>Table 2.2.1.a Secure Flight Small Business Air Carriers (2005 Data)</w:t>
        </w:r>
        <w:r>
          <w:rPr>
            <w:noProof/>
            <w:webHidden/>
          </w:rPr>
          <w:tab/>
        </w:r>
        <w:r>
          <w:rPr>
            <w:noProof/>
            <w:webHidden/>
          </w:rPr>
          <w:fldChar w:fldCharType="begin" w:fldLock="1"/>
        </w:r>
        <w:r>
          <w:rPr>
            <w:noProof/>
            <w:webHidden/>
          </w:rPr>
          <w:instrText xml:space="preserve"> PAGEREF _Toc207109561 \h </w:instrText>
        </w:r>
        <w:r>
          <w:rPr>
            <w:noProof/>
          </w:rPr>
        </w:r>
        <w:r>
          <w:rPr>
            <w:noProof/>
            <w:webHidden/>
          </w:rPr>
          <w:fldChar w:fldCharType="separate"/>
        </w:r>
        <w:r>
          <w:rPr>
            <w:noProof/>
            <w:webHidden/>
          </w:rPr>
          <w:t>146</w:t>
        </w:r>
        <w:r>
          <w:rPr>
            <w:noProof/>
            <w:webHidden/>
          </w:rPr>
          <w:fldChar w:fldCharType="end"/>
        </w:r>
      </w:hyperlink>
    </w:p>
    <w:p w:rsidR="003B0815" w:rsidRDefault="003B0815" w14:paraId="28FA86C3" w14:textId="77777777">
      <w:pPr>
        <w:pStyle w:val="TableofFigures"/>
        <w:tabs>
          <w:tab w:val="right" w:leader="dot" w:pos="9350"/>
        </w:tabs>
        <w:rPr>
          <w:smallCaps w:val="0"/>
          <w:noProof/>
          <w:sz w:val="24"/>
          <w:szCs w:val="24"/>
        </w:rPr>
      </w:pPr>
      <w:hyperlink w:history="1" w:anchor="_Toc207109562">
        <w:r>
          <w:rPr>
            <w:rStyle w:val="Hyperlink"/>
            <w:noProof/>
          </w:rPr>
          <w:t>Table 2.2.2.a Estimated Small Business Impact, Carrier Groups 2 and 3</w:t>
        </w:r>
        <w:r>
          <w:rPr>
            <w:noProof/>
            <w:webHidden/>
          </w:rPr>
          <w:tab/>
        </w:r>
        <w:r>
          <w:rPr>
            <w:noProof/>
            <w:webHidden/>
          </w:rPr>
          <w:fldChar w:fldCharType="begin" w:fldLock="1"/>
        </w:r>
        <w:r>
          <w:rPr>
            <w:noProof/>
            <w:webHidden/>
          </w:rPr>
          <w:instrText xml:space="preserve"> PAGEREF _Toc207109562 \h </w:instrText>
        </w:r>
        <w:r>
          <w:rPr>
            <w:noProof/>
          </w:rPr>
        </w:r>
        <w:r>
          <w:rPr>
            <w:noProof/>
            <w:webHidden/>
          </w:rPr>
          <w:fldChar w:fldCharType="separate"/>
        </w:r>
        <w:r>
          <w:rPr>
            <w:noProof/>
            <w:webHidden/>
          </w:rPr>
          <w:t>148</w:t>
        </w:r>
        <w:r>
          <w:rPr>
            <w:noProof/>
            <w:webHidden/>
          </w:rPr>
          <w:fldChar w:fldCharType="end"/>
        </w:r>
      </w:hyperlink>
    </w:p>
    <w:p w:rsidR="003B0815" w:rsidRDefault="003B0815" w14:paraId="2E10BCA2" w14:textId="77777777">
      <w:pPr>
        <w:pStyle w:val="TableofFigures"/>
        <w:tabs>
          <w:tab w:val="right" w:leader="dot" w:pos="9350"/>
        </w:tabs>
        <w:rPr>
          <w:smallCaps w:val="0"/>
          <w:noProof/>
          <w:sz w:val="24"/>
          <w:szCs w:val="24"/>
        </w:rPr>
      </w:pPr>
      <w:hyperlink w:history="1" w:anchor="_Toc207109563">
        <w:r>
          <w:rPr>
            <w:rStyle w:val="Hyperlink"/>
            <w:noProof/>
          </w:rPr>
          <w:t>Table 2.2.2.b Illustrative Small Business Impact, Carrier Group 4</w:t>
        </w:r>
        <w:r>
          <w:rPr>
            <w:noProof/>
            <w:webHidden/>
          </w:rPr>
          <w:tab/>
        </w:r>
        <w:r>
          <w:rPr>
            <w:noProof/>
            <w:webHidden/>
          </w:rPr>
          <w:fldChar w:fldCharType="begin" w:fldLock="1"/>
        </w:r>
        <w:r>
          <w:rPr>
            <w:noProof/>
            <w:webHidden/>
          </w:rPr>
          <w:instrText xml:space="preserve"> PAGEREF _Toc207109563 \h </w:instrText>
        </w:r>
        <w:r>
          <w:rPr>
            <w:noProof/>
          </w:rPr>
        </w:r>
        <w:r>
          <w:rPr>
            <w:noProof/>
            <w:webHidden/>
          </w:rPr>
          <w:fldChar w:fldCharType="separate"/>
        </w:r>
        <w:r>
          <w:rPr>
            <w:noProof/>
            <w:webHidden/>
          </w:rPr>
          <w:t>150</w:t>
        </w:r>
        <w:r>
          <w:rPr>
            <w:noProof/>
            <w:webHidden/>
          </w:rPr>
          <w:fldChar w:fldCharType="end"/>
        </w:r>
      </w:hyperlink>
    </w:p>
    <w:p w:rsidR="003B0815" w:rsidRDefault="003B0815" w14:paraId="53216BDE" w14:textId="77777777">
      <w:pPr>
        <w:pStyle w:val="TableofFigures"/>
        <w:tabs>
          <w:tab w:val="right" w:leader="dot" w:pos="9350"/>
        </w:tabs>
        <w:rPr>
          <w:smallCaps w:val="0"/>
          <w:noProof/>
          <w:sz w:val="24"/>
          <w:szCs w:val="24"/>
        </w:rPr>
      </w:pPr>
      <w:hyperlink w:history="1" w:anchor="_Toc207109564">
        <w:r>
          <w:rPr>
            <w:rStyle w:val="Hyperlink"/>
            <w:noProof/>
          </w:rPr>
          <w:t>Table 2.2.3.a Distribution of Travel Agencies (NAICS 561510) by Revenue, 2003</w:t>
        </w:r>
        <w:r>
          <w:rPr>
            <w:noProof/>
            <w:webHidden/>
          </w:rPr>
          <w:tab/>
        </w:r>
        <w:r>
          <w:rPr>
            <w:noProof/>
            <w:webHidden/>
          </w:rPr>
          <w:fldChar w:fldCharType="begin" w:fldLock="1"/>
        </w:r>
        <w:r>
          <w:rPr>
            <w:noProof/>
            <w:webHidden/>
          </w:rPr>
          <w:instrText xml:space="preserve"> PAGEREF _Toc207109564 \h </w:instrText>
        </w:r>
        <w:r>
          <w:rPr>
            <w:noProof/>
          </w:rPr>
        </w:r>
        <w:r>
          <w:rPr>
            <w:noProof/>
            <w:webHidden/>
          </w:rPr>
          <w:fldChar w:fldCharType="separate"/>
        </w:r>
        <w:r>
          <w:rPr>
            <w:noProof/>
            <w:webHidden/>
          </w:rPr>
          <w:t>151</w:t>
        </w:r>
        <w:r>
          <w:rPr>
            <w:noProof/>
            <w:webHidden/>
          </w:rPr>
          <w:fldChar w:fldCharType="end"/>
        </w:r>
      </w:hyperlink>
    </w:p>
    <w:p w:rsidR="003B0815" w:rsidRDefault="003B0815" w14:paraId="4433F565" w14:textId="77777777">
      <w:pPr>
        <w:pStyle w:val="TableofFigures"/>
        <w:tabs>
          <w:tab w:val="right" w:leader="dot" w:pos="9350"/>
        </w:tabs>
        <w:rPr>
          <w:smallCaps w:val="0"/>
          <w:noProof/>
          <w:sz w:val="24"/>
          <w:szCs w:val="24"/>
        </w:rPr>
      </w:pPr>
      <w:hyperlink w:history="1" w:anchor="_Toc207109565">
        <w:r>
          <w:rPr>
            <w:rStyle w:val="Hyperlink"/>
            <w:noProof/>
          </w:rPr>
          <w:t>Table 2.2.3.b Number of Travel Agencies by Size Category</w:t>
        </w:r>
        <w:r>
          <w:rPr>
            <w:noProof/>
            <w:webHidden/>
          </w:rPr>
          <w:tab/>
        </w:r>
        <w:r>
          <w:rPr>
            <w:noProof/>
            <w:webHidden/>
          </w:rPr>
          <w:fldChar w:fldCharType="begin" w:fldLock="1"/>
        </w:r>
        <w:r>
          <w:rPr>
            <w:noProof/>
            <w:webHidden/>
          </w:rPr>
          <w:instrText xml:space="preserve"> PAGEREF _Toc207109565 \h </w:instrText>
        </w:r>
        <w:r>
          <w:rPr>
            <w:noProof/>
          </w:rPr>
        </w:r>
        <w:r>
          <w:rPr>
            <w:noProof/>
            <w:webHidden/>
          </w:rPr>
          <w:fldChar w:fldCharType="separate"/>
        </w:r>
        <w:r>
          <w:rPr>
            <w:noProof/>
            <w:webHidden/>
          </w:rPr>
          <w:t>152</w:t>
        </w:r>
        <w:r>
          <w:rPr>
            <w:noProof/>
            <w:webHidden/>
          </w:rPr>
          <w:fldChar w:fldCharType="end"/>
        </w:r>
      </w:hyperlink>
    </w:p>
    <w:p w:rsidR="003B0815" w:rsidRDefault="003B0815" w14:paraId="185A040D" w14:textId="77777777">
      <w:pPr>
        <w:pStyle w:val="TableofFigures"/>
        <w:tabs>
          <w:tab w:val="right" w:leader="dot" w:pos="9350"/>
        </w:tabs>
        <w:rPr>
          <w:smallCaps w:val="0"/>
          <w:noProof/>
          <w:sz w:val="24"/>
          <w:szCs w:val="24"/>
        </w:rPr>
      </w:pPr>
      <w:hyperlink w:history="1" w:anchor="_Toc207109566">
        <w:r>
          <w:rPr>
            <w:rStyle w:val="Hyperlink"/>
            <w:noProof/>
          </w:rPr>
          <w:t>Table 2.2.3.c Share of Travel Agent Sales by Size Category</w:t>
        </w:r>
        <w:r>
          <w:rPr>
            <w:noProof/>
            <w:webHidden/>
          </w:rPr>
          <w:tab/>
        </w:r>
        <w:r>
          <w:rPr>
            <w:noProof/>
            <w:webHidden/>
          </w:rPr>
          <w:fldChar w:fldCharType="begin" w:fldLock="1"/>
        </w:r>
        <w:r>
          <w:rPr>
            <w:noProof/>
            <w:webHidden/>
          </w:rPr>
          <w:instrText xml:space="preserve"> PAGEREF _Toc207109566 \h </w:instrText>
        </w:r>
        <w:r>
          <w:rPr>
            <w:noProof/>
          </w:rPr>
        </w:r>
        <w:r>
          <w:rPr>
            <w:noProof/>
            <w:webHidden/>
          </w:rPr>
          <w:fldChar w:fldCharType="separate"/>
        </w:r>
        <w:r>
          <w:rPr>
            <w:noProof/>
            <w:webHidden/>
          </w:rPr>
          <w:t>152</w:t>
        </w:r>
        <w:r>
          <w:rPr>
            <w:noProof/>
            <w:webHidden/>
          </w:rPr>
          <w:fldChar w:fldCharType="end"/>
        </w:r>
      </w:hyperlink>
    </w:p>
    <w:p w:rsidR="003B0815" w:rsidRDefault="003B0815" w14:paraId="505A30D3" w14:textId="77777777">
      <w:pPr>
        <w:pStyle w:val="TableofFigures"/>
        <w:tabs>
          <w:tab w:val="right" w:leader="dot" w:pos="9350"/>
        </w:tabs>
        <w:rPr>
          <w:smallCaps w:val="0"/>
          <w:noProof/>
          <w:sz w:val="24"/>
          <w:szCs w:val="24"/>
        </w:rPr>
      </w:pPr>
      <w:hyperlink w:history="1" w:anchor="_Toc207109567">
        <w:r>
          <w:rPr>
            <w:rStyle w:val="Hyperlink"/>
            <w:noProof/>
          </w:rPr>
          <w:t>Table 2.2.4.a Airline Reservations Threshold for Small Business Travel Agencies</w:t>
        </w:r>
        <w:r>
          <w:rPr>
            <w:noProof/>
            <w:webHidden/>
          </w:rPr>
          <w:tab/>
        </w:r>
        <w:r>
          <w:rPr>
            <w:noProof/>
            <w:webHidden/>
          </w:rPr>
          <w:fldChar w:fldCharType="begin" w:fldLock="1"/>
        </w:r>
        <w:r>
          <w:rPr>
            <w:noProof/>
            <w:webHidden/>
          </w:rPr>
          <w:instrText xml:space="preserve"> PAGEREF _Toc207109567 \h </w:instrText>
        </w:r>
        <w:r>
          <w:rPr>
            <w:noProof/>
          </w:rPr>
        </w:r>
        <w:r>
          <w:rPr>
            <w:noProof/>
            <w:webHidden/>
          </w:rPr>
          <w:fldChar w:fldCharType="separate"/>
        </w:r>
        <w:r>
          <w:rPr>
            <w:noProof/>
            <w:webHidden/>
          </w:rPr>
          <w:t>154</w:t>
        </w:r>
        <w:r>
          <w:rPr>
            <w:noProof/>
            <w:webHidden/>
          </w:rPr>
          <w:fldChar w:fldCharType="end"/>
        </w:r>
      </w:hyperlink>
    </w:p>
    <w:p w:rsidR="003B0815" w:rsidRDefault="003B0815" w14:paraId="2F100125" w14:textId="77777777">
      <w:pPr>
        <w:rPr>
          <w:rFonts w:ascii="Book Antiqua" w:hAnsi="Book Antiqua"/>
          <w:b/>
          <w:sz w:val="28"/>
          <w:szCs w:val="28"/>
        </w:rPr>
      </w:pPr>
      <w:r>
        <w:rPr>
          <w:b/>
          <w:sz w:val="22"/>
          <w:szCs w:val="22"/>
        </w:rPr>
        <w:fldChar w:fldCharType="end"/>
      </w:r>
    </w:p>
    <w:p w:rsidR="003B0815" w:rsidRDefault="003B0815" w14:paraId="1408B0E6" w14:textId="77777777">
      <w:pPr>
        <w:rPr>
          <w:rFonts w:ascii="Book Antiqua" w:hAnsi="Book Antiqua"/>
          <w:b/>
          <w:sz w:val="28"/>
          <w:szCs w:val="28"/>
        </w:rPr>
        <w:sectPr w:rsidR="003B0815">
          <w:pgSz w:w="12240" w:h="15840"/>
          <w:pgMar w:top="1440" w:right="1440" w:bottom="1440" w:left="1440" w:header="720" w:footer="720" w:gutter="0"/>
          <w:cols w:space="720"/>
          <w:titlePg/>
          <w:docGrid w:linePitch="360"/>
        </w:sectPr>
      </w:pPr>
    </w:p>
    <w:p w:rsidR="003B0815" w:rsidRDefault="003B0815" w14:paraId="2C7733D5" w14:textId="77777777">
      <w:pPr>
        <w:pStyle w:val="RegEvalHeader"/>
        <w:keepNext/>
      </w:pPr>
      <w:bookmarkStart w:name="_Toc111627346" w:id="0"/>
      <w:bookmarkStart w:name="_Toc114566397" w:id="1"/>
      <w:bookmarkStart w:name="_Toc141001064" w:id="2"/>
      <w:bookmarkStart w:name="_Toc141000893" w:id="3"/>
      <w:bookmarkStart w:name="_Toc165278420" w:id="4"/>
      <w:bookmarkStart w:name="_Toc202683368" w:id="5"/>
      <w:r>
        <w:t>REGULATORY IMPACT ANALYSES</w:t>
      </w:r>
      <w:bookmarkEnd w:id="0"/>
      <w:bookmarkEnd w:id="1"/>
      <w:bookmarkEnd w:id="2"/>
      <w:bookmarkEnd w:id="3"/>
      <w:bookmarkEnd w:id="4"/>
      <w:bookmarkEnd w:id="5"/>
    </w:p>
    <w:p w:rsidR="003B0815" w:rsidRDefault="003B0815" w14:paraId="740C48C5" w14:textId="77777777">
      <w:pPr>
        <w:spacing w:line="360" w:lineRule="auto"/>
        <w:ind w:firstLine="720"/>
      </w:pPr>
      <w:r>
        <w:t xml:space="preserve">Changes to Federal regulations must undergo several economic analyses.  First, Executive Order 12866, Regulatory Planning and Review (58 FR 51735, October 4, 1993), directs each Federal agency to propose or adopt a regulation only upon a reasoned determination that the benefits of the intended regulation justify its costs.  Second, the Regulatory Flexibility Act of 1980 (5 U.S.C. 601 et seq., as amended by the Small Business Regulatory Enforcement Fairness Act (SBREFA) of 1996) requires agencies to analyze the economic impact of regulatory changes on small entities.  Third, the Trade Agreements Act (19 U.S.C. § 2531-2533) prohibits agencies from setting standards that create unnecessary obstacles to the foreign commerce of the </w:t>
      </w:r>
      <w:smartTag w:uri="urn:schemas-microsoft-com:office:smarttags" w:element="country-region">
        <w:smartTag w:uri="urn:schemas-microsoft-com:office:smarttags" w:element="place">
          <w:r>
            <w:t>United States</w:t>
          </w:r>
        </w:smartTag>
      </w:smartTag>
      <w:r>
        <w:t xml:space="preserve">.  In developing </w:t>
      </w:r>
      <w:smartTag w:uri="urn:schemas-microsoft-com:office:smarttags" w:element="country-region">
        <w:r>
          <w:t>U.S.</w:t>
        </w:r>
      </w:smartTag>
      <w:r>
        <w:t xml:space="preserve"> standards, this Trade Act requires agencies to consider international standards and where appropriate, as the basis of </w:t>
      </w:r>
      <w:smartTag w:uri="urn:schemas-microsoft-com:office:smarttags" w:element="country-region">
        <w:smartTag w:uri="urn:schemas-microsoft-com:office:smarttags" w:element="place">
          <w:r>
            <w:t>U.S.</w:t>
          </w:r>
        </w:smartTag>
      </w:smartTag>
      <w:r>
        <w:t xml:space="preserve"> standards.  Fourth, the Unfunded Mandates Reform Act of 1995 (2 U.S.C. 1531-1538) requires agencies to prepare a written assessment of the costs, benefits, and other effects of proposed or final rules that include a Federal mandate likely to result in the expenditure by State, local, or tribal governments, in the aggregate, or by the private sector, of $100 million or more annually (adjusted for inflation).</w:t>
      </w:r>
    </w:p>
    <w:p w:rsidR="003B0815" w:rsidRDefault="003B0815" w14:paraId="165097F8" w14:textId="77777777">
      <w:pPr>
        <w:spacing w:line="360" w:lineRule="auto"/>
        <w:ind w:firstLine="720"/>
      </w:pPr>
      <w:r>
        <w:t>With respect to these analyses, TSA concluded the following:</w:t>
      </w:r>
    </w:p>
    <w:p w:rsidR="003B0815" w:rsidRDefault="003B0815" w14:paraId="2CE2B5E0" w14:textId="77777777">
      <w:pPr>
        <w:numPr>
          <w:ilvl w:val="0"/>
          <w:numId w:val="15"/>
        </w:numPr>
        <w:spacing w:line="360" w:lineRule="auto"/>
      </w:pPr>
      <w:r>
        <w:t>TSA has determined that this is an economically significant rule within the definition of Executive Order (EO) 12866, as estimated annual costs or benefits exceed $100 million in any year.</w:t>
      </w:r>
    </w:p>
    <w:p w:rsidR="003B0815" w:rsidRDefault="003B0815" w14:paraId="10680F5F" w14:textId="77777777">
      <w:pPr>
        <w:numPr>
          <w:ilvl w:val="0"/>
          <w:numId w:val="15"/>
        </w:numPr>
        <w:spacing w:line="360" w:lineRule="auto"/>
      </w:pPr>
      <w:r>
        <w:t>The Final Regulatory Flexibility Analysis (FRFA) shows that there is not likely a significant impact on a substantial number of small entities.</w:t>
      </w:r>
    </w:p>
    <w:p w:rsidR="003B0815" w:rsidRDefault="003B0815" w14:paraId="03225D72" w14:textId="77777777">
      <w:pPr>
        <w:numPr>
          <w:ilvl w:val="0"/>
          <w:numId w:val="15"/>
        </w:numPr>
        <w:spacing w:line="360" w:lineRule="auto"/>
      </w:pPr>
      <w:r>
        <w:t>Although the rule in general is unlikely to cause any adverse impact on international trade, there may be potential unfavorable responses to the overflight provisions of the rule.</w:t>
      </w:r>
    </w:p>
    <w:p w:rsidR="003B0815" w:rsidRDefault="003B0815" w14:paraId="58679F27" w14:textId="77777777">
      <w:pPr>
        <w:numPr>
          <w:ilvl w:val="0"/>
          <w:numId w:val="15"/>
        </w:numPr>
        <w:spacing w:line="360" w:lineRule="auto"/>
      </w:pPr>
      <w:r>
        <w:t>The regulatory evaluation provides the required written assessment of Unfunded Mandates.  The rule is not likely to result in the expenditure by State, local, or tribal governments, in the aggregate, of $100 million or more annually (adjusted for inflation).  However, the estimated impact on the private sector does exceed the inflation adjusted Unfunded Mandates threshold.  The E.O. 12866 analysis provided below also serves as the analysis required under UMRA.</w:t>
      </w:r>
    </w:p>
    <w:p w:rsidR="003B0815" w:rsidRDefault="003B0815" w14:paraId="1A51729D" w14:textId="77777777">
      <w:pPr>
        <w:pStyle w:val="RegEvalPartHeader"/>
        <w:keepNext/>
        <w:spacing w:line="360" w:lineRule="auto"/>
      </w:pPr>
      <w:bookmarkStart w:name="_Toc111627347" w:id="6"/>
      <w:bookmarkStart w:name="_Toc114566398" w:id="7"/>
      <w:bookmarkStart w:name="_Toc141001065" w:id="8"/>
      <w:bookmarkStart w:name="_Toc141000894" w:id="9"/>
      <w:bookmarkStart w:name="_Toc165278421" w:id="10"/>
      <w:bookmarkStart w:name="_Toc202683369" w:id="11"/>
      <w:r>
        <w:t xml:space="preserve">Part 1: E.O. 12866 Regulatory </w:t>
      </w:r>
      <w:bookmarkEnd w:id="6"/>
      <w:bookmarkEnd w:id="7"/>
      <w:r>
        <w:t>Evaluation</w:t>
      </w:r>
      <w:bookmarkEnd w:id="8"/>
      <w:bookmarkEnd w:id="9"/>
      <w:bookmarkEnd w:id="10"/>
      <w:bookmarkEnd w:id="11"/>
    </w:p>
    <w:p w:rsidR="003B0815" w:rsidRDefault="003B0815" w14:paraId="41A6BA8A" w14:textId="77777777">
      <w:pPr>
        <w:pStyle w:val="RegEvalSectionHeader"/>
        <w:keepNext/>
        <w:spacing w:line="360" w:lineRule="auto"/>
      </w:pPr>
      <w:bookmarkStart w:name="_Toc111627348" w:id="12"/>
      <w:bookmarkStart w:name="_Toc114566399" w:id="13"/>
      <w:bookmarkStart w:name="_Toc141001066" w:id="14"/>
      <w:bookmarkStart w:name="_Toc141000895" w:id="15"/>
      <w:bookmarkStart w:name="_Toc165278422" w:id="16"/>
      <w:bookmarkStart w:name="_Toc202683370" w:id="17"/>
      <w:r>
        <w:t>Section 1: Executive Summary</w:t>
      </w:r>
      <w:bookmarkEnd w:id="12"/>
      <w:bookmarkEnd w:id="13"/>
      <w:bookmarkEnd w:id="14"/>
      <w:bookmarkEnd w:id="15"/>
      <w:bookmarkEnd w:id="16"/>
      <w:bookmarkEnd w:id="17"/>
    </w:p>
    <w:p w:rsidR="003B0815" w:rsidRDefault="003B0815" w14:paraId="344F213E" w14:textId="77777777">
      <w:pPr>
        <w:pStyle w:val="RegEvalSectionSubheader"/>
        <w:keepNext/>
        <w:spacing w:line="360" w:lineRule="auto"/>
      </w:pPr>
      <w:bookmarkStart w:name="_Toc111627349" w:id="18"/>
      <w:bookmarkStart w:name="_Toc114566400" w:id="19"/>
      <w:bookmarkStart w:name="_Toc141001067" w:id="20"/>
      <w:bookmarkStart w:name="_Toc141000896" w:id="21"/>
      <w:bookmarkStart w:name="_Toc165278423" w:id="22"/>
      <w:bookmarkStart w:name="_Toc202683371" w:id="23"/>
      <w:r>
        <w:t>1.1.1 A-4 Accounting Statement</w:t>
      </w:r>
      <w:bookmarkEnd w:id="18"/>
      <w:bookmarkEnd w:id="19"/>
      <w:bookmarkEnd w:id="20"/>
      <w:bookmarkEnd w:id="21"/>
      <w:bookmarkEnd w:id="22"/>
      <w:bookmarkEnd w:id="23"/>
    </w:p>
    <w:p w:rsidR="003B0815" w:rsidRDefault="003B0815" w14:paraId="5ABB0A95" w14:textId="77777777">
      <w:pPr>
        <w:spacing w:line="360" w:lineRule="auto"/>
        <w:ind w:firstLine="720"/>
        <w:sectPr w:rsidR="003B0815">
          <w:pgSz w:w="12240" w:h="15840"/>
          <w:pgMar w:top="1440" w:right="1440" w:bottom="1440" w:left="1440" w:header="720" w:footer="720" w:gutter="0"/>
          <w:cols w:space="720"/>
          <w:docGrid w:linePitch="360"/>
        </w:sectPr>
      </w:pPr>
      <w:r>
        <w:t xml:space="preserve">TSA has determined that this is an economically significant rule within the definition of Executive Order (EO) 12866, as estimated annual costs or benefits exceed $100 million in any year.  As required by OMB Circular A-4 (available at </w:t>
      </w:r>
      <w:hyperlink w:history="1" r:id="rId13">
        <w:r>
          <w:rPr>
            <w:rStyle w:val="Hyperlink"/>
          </w:rPr>
          <w:t>http://www.whi</w:t>
        </w:r>
        <w:r>
          <w:rPr>
            <w:rStyle w:val="Hyperlink"/>
          </w:rPr>
          <w:t>t</w:t>
        </w:r>
        <w:r>
          <w:rPr>
            <w:rStyle w:val="Hyperlink"/>
          </w:rPr>
          <w:t>ehouse.gov/omb/circulars/index.html</w:t>
        </w:r>
      </w:hyperlink>
      <w:r>
        <w:t>), TSA has prepared an accounting statement showing the classification of expenditures associated with the operation, testing, and initial implementation of Secure Flight.</w:t>
      </w:r>
    </w:p>
    <w:p w:rsidR="003B0815" w:rsidRDefault="003B0815" w14:paraId="5491E5C5" w14:textId="77777777">
      <w:pPr>
        <w:jc w:val="center"/>
        <w:rPr>
          <w:b/>
          <w:sz w:val="32"/>
          <w:szCs w:val="32"/>
        </w:rPr>
      </w:pPr>
      <w:r>
        <w:rPr>
          <w:b/>
          <w:sz w:val="32"/>
          <w:szCs w:val="32"/>
        </w:rPr>
        <w:t>OMB A-4 ACCOUNTING STATEMENT</w:t>
      </w:r>
    </w:p>
    <w:p w:rsidR="003B0815" w:rsidRDefault="003B0815" w14:paraId="7C28A921" w14:textId="77777777">
      <w:pPr>
        <w:jc w:val="center"/>
      </w:pPr>
      <w:r>
        <w:t>(Numbers in $ millions, 2005 constant)</w:t>
      </w:r>
    </w:p>
    <w:p w:rsidR="003B0815" w:rsidRDefault="003B0815" w14:paraId="3EED4CC7" w14:textId="77777777">
      <w:pPr>
        <w:jc w:val="center"/>
      </w:pPr>
    </w:p>
    <w:p w:rsidR="003B0815" w:rsidRDefault="003B0815" w14:paraId="30A73673" w14:textId="77777777">
      <w:pPr>
        <w:tabs>
          <w:tab w:val="right" w:pos="9216"/>
          <w:tab w:val="right" w:pos="9360"/>
        </w:tabs>
        <w:rPr>
          <w:b/>
        </w:rPr>
      </w:pPr>
      <w:r>
        <w:rPr>
          <w:b/>
        </w:rPr>
        <w:t>OMB #:</w:t>
      </w:r>
      <w:r>
        <w:tab/>
      </w:r>
      <w:r>
        <w:rPr>
          <w:b/>
        </w:rPr>
        <w:t xml:space="preserve">Agency/Program Office: </w:t>
      </w:r>
      <w:r>
        <w:t>Transportation Security Administration</w:t>
      </w:r>
    </w:p>
    <w:p w:rsidR="003B0815" w:rsidRDefault="003B0815" w14:paraId="19E0B08C" w14:textId="77777777">
      <w:pPr>
        <w:tabs>
          <w:tab w:val="right" w:pos="9216"/>
          <w:tab w:val="right" w:pos="9360"/>
        </w:tabs>
      </w:pPr>
      <w:r>
        <w:rPr>
          <w:b/>
        </w:rPr>
        <w:t>Rule Title</w:t>
      </w:r>
      <w:r>
        <w:t>:  Secure Flight</w:t>
      </w:r>
      <w:r>
        <w:tab/>
      </w:r>
      <w:r>
        <w:rPr>
          <w:b/>
        </w:rPr>
        <w:t>Date: March 31, 2008</w:t>
      </w:r>
    </w:p>
    <w:p w:rsidR="003B0815" w:rsidRDefault="003B0815" w14:paraId="5BE1AB5F" w14:textId="77777777">
      <w:pPr>
        <w:tabs>
          <w:tab w:val="right" w:pos="7920"/>
          <w:tab w:val="right" w:pos="9216"/>
        </w:tabs>
      </w:pPr>
      <w:r>
        <w:rPr>
          <w:b/>
        </w:rPr>
        <w:t xml:space="preserve">RIN#: </w:t>
      </w:r>
      <w:r>
        <w:t xml:space="preserve"> 1652-AA45</w:t>
      </w:r>
    </w:p>
    <w:tbl>
      <w:tblPr>
        <w:tblW w:w="95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1E0" w:firstRow="1" w:lastRow="1" w:firstColumn="1" w:lastColumn="1" w:noHBand="0" w:noVBand="0"/>
      </w:tblPr>
      <w:tblGrid>
        <w:gridCol w:w="2495"/>
        <w:gridCol w:w="1898"/>
        <w:gridCol w:w="1425"/>
        <w:gridCol w:w="1555"/>
        <w:gridCol w:w="2223"/>
      </w:tblGrid>
      <w:tr w:rsidR="003B0815" w14:paraId="6B9649CB" w14:textId="77777777">
        <w:tc>
          <w:tcPr>
            <w:tcW w:w="2495" w:type="dxa"/>
            <w:tcBorders>
              <w:top w:val="single" w:color="auto" w:sz="12" w:space="0"/>
              <w:bottom w:val="single" w:color="auto" w:sz="12" w:space="0"/>
              <w:right w:val="single" w:color="auto" w:sz="12" w:space="0"/>
            </w:tcBorders>
            <w:vAlign w:val="bottom"/>
          </w:tcPr>
          <w:p w:rsidR="003B0815" w:rsidRDefault="003B0815" w14:paraId="7B784468" w14:textId="77777777">
            <w:pPr>
              <w:rPr>
                <w:b/>
                <w:bCs/>
                <w:i/>
                <w:iCs/>
              </w:rPr>
            </w:pPr>
            <w:r>
              <w:rPr>
                <w:b/>
                <w:bCs/>
                <w:i/>
                <w:iCs/>
              </w:rPr>
              <w:t>Category </w:t>
            </w:r>
          </w:p>
        </w:tc>
        <w:tc>
          <w:tcPr>
            <w:tcW w:w="1898" w:type="dxa"/>
            <w:tcBorders>
              <w:top w:val="single" w:color="auto" w:sz="12" w:space="0"/>
              <w:left w:val="single" w:color="auto" w:sz="12" w:space="0"/>
              <w:bottom w:val="single" w:color="auto" w:sz="12" w:space="0"/>
              <w:right w:val="single" w:color="auto" w:sz="12" w:space="0"/>
            </w:tcBorders>
            <w:vAlign w:val="bottom"/>
          </w:tcPr>
          <w:p w:rsidR="003B0815" w:rsidRDefault="003B0815" w14:paraId="4FE5555F" w14:textId="77777777">
            <w:pPr>
              <w:jc w:val="center"/>
              <w:rPr>
                <w:b/>
                <w:bCs/>
                <w:i/>
                <w:iCs/>
              </w:rPr>
            </w:pPr>
            <w:r>
              <w:rPr>
                <w:b/>
                <w:bCs/>
                <w:i/>
                <w:iCs/>
              </w:rPr>
              <w:t>Primary Estimate</w:t>
            </w:r>
          </w:p>
        </w:tc>
        <w:tc>
          <w:tcPr>
            <w:tcW w:w="1425" w:type="dxa"/>
            <w:tcBorders>
              <w:top w:val="single" w:color="auto" w:sz="12" w:space="0"/>
              <w:left w:val="single" w:color="auto" w:sz="12" w:space="0"/>
              <w:bottom w:val="single" w:color="auto" w:sz="12" w:space="0"/>
              <w:right w:val="single" w:color="auto" w:sz="12" w:space="0"/>
            </w:tcBorders>
            <w:vAlign w:val="bottom"/>
          </w:tcPr>
          <w:p w:rsidR="003B0815" w:rsidRDefault="003B0815" w14:paraId="2C0906A3" w14:textId="77777777">
            <w:pPr>
              <w:jc w:val="center"/>
              <w:rPr>
                <w:b/>
                <w:bCs/>
                <w:i/>
                <w:iCs/>
              </w:rPr>
            </w:pPr>
            <w:r>
              <w:rPr>
                <w:b/>
                <w:bCs/>
                <w:i/>
                <w:iCs/>
              </w:rPr>
              <w:t>Minimum Estimate</w:t>
            </w:r>
          </w:p>
        </w:tc>
        <w:tc>
          <w:tcPr>
            <w:tcW w:w="1555" w:type="dxa"/>
            <w:tcBorders>
              <w:top w:val="single" w:color="auto" w:sz="12" w:space="0"/>
              <w:left w:val="single" w:color="auto" w:sz="12" w:space="0"/>
              <w:bottom w:val="single" w:color="auto" w:sz="12" w:space="0"/>
              <w:right w:val="single" w:color="auto" w:sz="12" w:space="0"/>
            </w:tcBorders>
            <w:vAlign w:val="bottom"/>
          </w:tcPr>
          <w:p w:rsidR="003B0815" w:rsidRDefault="003B0815" w14:paraId="71506EFB" w14:textId="77777777">
            <w:pPr>
              <w:jc w:val="center"/>
              <w:rPr>
                <w:b/>
                <w:bCs/>
                <w:i/>
                <w:iCs/>
              </w:rPr>
            </w:pPr>
            <w:r>
              <w:rPr>
                <w:b/>
                <w:bCs/>
                <w:i/>
                <w:iCs/>
              </w:rPr>
              <w:t>Maximum Estimate</w:t>
            </w:r>
          </w:p>
        </w:tc>
        <w:tc>
          <w:tcPr>
            <w:tcW w:w="2223" w:type="dxa"/>
            <w:tcBorders>
              <w:top w:val="single" w:color="auto" w:sz="12" w:space="0"/>
              <w:left w:val="single" w:color="auto" w:sz="12" w:space="0"/>
              <w:bottom w:val="single" w:color="auto" w:sz="12" w:space="0"/>
            </w:tcBorders>
            <w:vAlign w:val="bottom"/>
          </w:tcPr>
          <w:p w:rsidR="003B0815" w:rsidRDefault="003B0815" w14:paraId="35BE963C" w14:textId="77777777">
            <w:pPr>
              <w:jc w:val="center"/>
              <w:rPr>
                <w:b/>
                <w:bCs/>
                <w:i/>
                <w:iCs/>
                <w:lang w:val="fr-FR"/>
              </w:rPr>
            </w:pPr>
            <w:r>
              <w:rPr>
                <w:b/>
                <w:bCs/>
                <w:i/>
                <w:iCs/>
                <w:lang w:val="fr-FR"/>
              </w:rPr>
              <w:t>Source Citation (RIA, preamble, etc.)</w:t>
            </w:r>
          </w:p>
        </w:tc>
      </w:tr>
      <w:tr w:rsidR="003B0815" w14:paraId="503EC621" w14:textId="77777777">
        <w:trPr>
          <w:trHeight w:val="432"/>
        </w:trPr>
        <w:tc>
          <w:tcPr>
            <w:tcW w:w="9596" w:type="dxa"/>
            <w:gridSpan w:val="5"/>
            <w:tcBorders>
              <w:top w:val="single" w:color="auto" w:sz="12" w:space="0"/>
            </w:tcBorders>
            <w:vAlign w:val="center"/>
          </w:tcPr>
          <w:p w:rsidR="003B0815" w:rsidRDefault="003B0815" w14:paraId="7F99F451" w14:textId="77777777">
            <w:pPr>
              <w:rPr>
                <w:sz w:val="20"/>
                <w:szCs w:val="20"/>
              </w:rPr>
            </w:pPr>
            <w:r>
              <w:rPr>
                <w:b/>
                <w:bCs/>
                <w:sz w:val="20"/>
                <w:szCs w:val="20"/>
              </w:rPr>
              <w:t>BENEFITS</w:t>
            </w:r>
          </w:p>
        </w:tc>
      </w:tr>
      <w:tr w:rsidR="003B0815" w14:paraId="319396C9" w14:textId="77777777">
        <w:tc>
          <w:tcPr>
            <w:tcW w:w="2495" w:type="dxa"/>
            <w:vAlign w:val="center"/>
          </w:tcPr>
          <w:p w:rsidR="003B0815" w:rsidRDefault="003B0815" w14:paraId="1343BFD3" w14:textId="77777777">
            <w:pPr>
              <w:ind w:left="144"/>
              <w:rPr>
                <w:sz w:val="20"/>
                <w:szCs w:val="20"/>
              </w:rPr>
            </w:pPr>
            <w:r>
              <w:rPr>
                <w:sz w:val="20"/>
                <w:szCs w:val="20"/>
              </w:rPr>
              <w:t>Monetized Benefits</w:t>
            </w:r>
          </w:p>
        </w:tc>
        <w:tc>
          <w:tcPr>
            <w:tcW w:w="1898" w:type="dxa"/>
            <w:vAlign w:val="center"/>
          </w:tcPr>
          <w:p w:rsidR="003B0815" w:rsidRDefault="003B0815" w14:paraId="2922C158" w14:textId="77777777">
            <w:pPr>
              <w:jc w:val="center"/>
              <w:rPr>
                <w:sz w:val="20"/>
                <w:szCs w:val="20"/>
              </w:rPr>
            </w:pPr>
            <w:r>
              <w:rPr>
                <w:sz w:val="20"/>
                <w:szCs w:val="20"/>
              </w:rPr>
              <w:t>None</w:t>
            </w:r>
          </w:p>
        </w:tc>
        <w:tc>
          <w:tcPr>
            <w:tcW w:w="1425" w:type="dxa"/>
            <w:vAlign w:val="center"/>
          </w:tcPr>
          <w:p w:rsidR="003B0815" w:rsidRDefault="003B0815" w14:paraId="35600F95" w14:textId="77777777">
            <w:pPr>
              <w:jc w:val="center"/>
              <w:rPr>
                <w:sz w:val="20"/>
                <w:szCs w:val="20"/>
              </w:rPr>
            </w:pPr>
            <w:r>
              <w:rPr>
                <w:sz w:val="20"/>
                <w:szCs w:val="20"/>
              </w:rPr>
              <w:t>N/A</w:t>
            </w:r>
          </w:p>
        </w:tc>
        <w:tc>
          <w:tcPr>
            <w:tcW w:w="1555" w:type="dxa"/>
            <w:vAlign w:val="center"/>
          </w:tcPr>
          <w:p w:rsidR="003B0815" w:rsidRDefault="003B0815" w14:paraId="41428CF6" w14:textId="77777777">
            <w:pPr>
              <w:jc w:val="center"/>
              <w:rPr>
                <w:sz w:val="20"/>
                <w:szCs w:val="20"/>
              </w:rPr>
            </w:pPr>
            <w:r>
              <w:rPr>
                <w:sz w:val="20"/>
                <w:szCs w:val="20"/>
              </w:rPr>
              <w:t>N/A</w:t>
            </w:r>
          </w:p>
        </w:tc>
        <w:tc>
          <w:tcPr>
            <w:tcW w:w="2223" w:type="dxa"/>
            <w:vAlign w:val="center"/>
          </w:tcPr>
          <w:p w:rsidR="003B0815" w:rsidRDefault="003B0815" w14:paraId="31269E4C" w14:textId="77777777">
            <w:pPr>
              <w:jc w:val="center"/>
              <w:rPr>
                <w:sz w:val="20"/>
                <w:szCs w:val="20"/>
              </w:rPr>
            </w:pPr>
            <w:r>
              <w:rPr>
                <w:sz w:val="20"/>
                <w:szCs w:val="20"/>
              </w:rPr>
              <w:t>RIA</w:t>
            </w:r>
          </w:p>
        </w:tc>
      </w:tr>
      <w:tr w:rsidR="003B0815" w14:paraId="4617945F" w14:textId="77777777">
        <w:tc>
          <w:tcPr>
            <w:tcW w:w="2495" w:type="dxa"/>
            <w:vAlign w:val="center"/>
          </w:tcPr>
          <w:p w:rsidR="003B0815" w:rsidRDefault="003B0815" w14:paraId="060C7A4F" w14:textId="77777777">
            <w:pPr>
              <w:ind w:left="144"/>
              <w:rPr>
                <w:sz w:val="20"/>
                <w:szCs w:val="20"/>
              </w:rPr>
            </w:pPr>
            <w:r>
              <w:rPr>
                <w:sz w:val="20"/>
                <w:szCs w:val="20"/>
              </w:rPr>
              <w:t>Annualized quantified, but unmonetized, benefits</w:t>
            </w:r>
          </w:p>
        </w:tc>
        <w:tc>
          <w:tcPr>
            <w:tcW w:w="1898" w:type="dxa"/>
            <w:vAlign w:val="center"/>
          </w:tcPr>
          <w:p w:rsidR="003B0815" w:rsidRDefault="003B0815" w14:paraId="27BCE1A6" w14:textId="77777777">
            <w:pPr>
              <w:jc w:val="center"/>
              <w:rPr>
                <w:sz w:val="20"/>
                <w:szCs w:val="20"/>
              </w:rPr>
            </w:pPr>
            <w:r>
              <w:rPr>
                <w:sz w:val="20"/>
                <w:szCs w:val="20"/>
              </w:rPr>
              <w:t>None</w:t>
            </w:r>
          </w:p>
        </w:tc>
        <w:tc>
          <w:tcPr>
            <w:tcW w:w="1425" w:type="dxa"/>
            <w:vAlign w:val="center"/>
          </w:tcPr>
          <w:p w:rsidR="003B0815" w:rsidRDefault="003B0815" w14:paraId="14295295" w14:textId="77777777">
            <w:pPr>
              <w:jc w:val="center"/>
              <w:rPr>
                <w:sz w:val="20"/>
                <w:szCs w:val="20"/>
              </w:rPr>
            </w:pPr>
            <w:r>
              <w:rPr>
                <w:sz w:val="20"/>
                <w:szCs w:val="20"/>
              </w:rPr>
              <w:t>N/A</w:t>
            </w:r>
          </w:p>
        </w:tc>
        <w:tc>
          <w:tcPr>
            <w:tcW w:w="1555" w:type="dxa"/>
            <w:vAlign w:val="center"/>
          </w:tcPr>
          <w:p w:rsidR="003B0815" w:rsidRDefault="003B0815" w14:paraId="1051D73A" w14:textId="77777777">
            <w:pPr>
              <w:jc w:val="center"/>
              <w:rPr>
                <w:sz w:val="20"/>
                <w:szCs w:val="20"/>
              </w:rPr>
            </w:pPr>
            <w:r>
              <w:rPr>
                <w:sz w:val="20"/>
                <w:szCs w:val="20"/>
              </w:rPr>
              <w:t>N/A</w:t>
            </w:r>
          </w:p>
        </w:tc>
        <w:tc>
          <w:tcPr>
            <w:tcW w:w="2223" w:type="dxa"/>
            <w:vAlign w:val="center"/>
          </w:tcPr>
          <w:p w:rsidR="003B0815" w:rsidRDefault="003B0815" w14:paraId="2EBA8F48" w14:textId="77777777">
            <w:pPr>
              <w:jc w:val="center"/>
              <w:rPr>
                <w:sz w:val="20"/>
                <w:szCs w:val="20"/>
              </w:rPr>
            </w:pPr>
            <w:r>
              <w:rPr>
                <w:sz w:val="20"/>
                <w:szCs w:val="20"/>
              </w:rPr>
              <w:t>RIA</w:t>
            </w:r>
          </w:p>
        </w:tc>
      </w:tr>
      <w:tr w:rsidR="003B0815" w14:paraId="5EE3FB46" w14:textId="77777777">
        <w:tc>
          <w:tcPr>
            <w:tcW w:w="2495" w:type="dxa"/>
          </w:tcPr>
          <w:p w:rsidR="003B0815" w:rsidRDefault="003B0815" w14:paraId="11A3EAD7" w14:textId="77777777">
            <w:pPr>
              <w:ind w:left="144"/>
              <w:rPr>
                <w:sz w:val="20"/>
                <w:szCs w:val="20"/>
              </w:rPr>
            </w:pPr>
            <w:r>
              <w:rPr>
                <w:sz w:val="20"/>
                <w:szCs w:val="20"/>
              </w:rPr>
              <w:t>Unquantified Benefits</w:t>
            </w:r>
          </w:p>
        </w:tc>
        <w:tc>
          <w:tcPr>
            <w:tcW w:w="4878" w:type="dxa"/>
            <w:gridSpan w:val="3"/>
          </w:tcPr>
          <w:p w:rsidR="003B0815" w:rsidRDefault="003B0815" w14:paraId="5874E3EA" w14:textId="77777777">
            <w:pPr>
              <w:rPr>
                <w:i/>
                <w:sz w:val="20"/>
                <w:szCs w:val="20"/>
              </w:rPr>
            </w:pPr>
            <w:r>
              <w:rPr>
                <w:i/>
                <w:sz w:val="20"/>
                <w:szCs w:val="20"/>
              </w:rPr>
              <w:t>The following will occur after TSA assumes the watch list matching function from covered aircraft operators:</w:t>
            </w:r>
          </w:p>
          <w:p w:rsidR="003B0815" w:rsidRDefault="003B0815" w14:paraId="17586F7D" w14:textId="77777777">
            <w:pPr>
              <w:numPr>
                <w:ilvl w:val="0"/>
                <w:numId w:val="3"/>
              </w:numPr>
              <w:rPr>
                <w:sz w:val="20"/>
                <w:szCs w:val="20"/>
              </w:rPr>
            </w:pPr>
            <w:r>
              <w:rPr>
                <w:sz w:val="20"/>
                <w:szCs w:val="20"/>
              </w:rPr>
              <w:t xml:space="preserve">Reduced false positives </w:t>
            </w:r>
          </w:p>
          <w:p w:rsidR="003B0815" w:rsidRDefault="003B0815" w14:paraId="36B9BBF8" w14:textId="77777777">
            <w:pPr>
              <w:numPr>
                <w:ilvl w:val="0"/>
                <w:numId w:val="3"/>
              </w:numPr>
              <w:rPr>
                <w:sz w:val="20"/>
                <w:szCs w:val="20"/>
              </w:rPr>
            </w:pPr>
            <w:r>
              <w:rPr>
                <w:sz w:val="20"/>
                <w:szCs w:val="20"/>
              </w:rPr>
              <w:t>Additional aviation security</w:t>
            </w:r>
          </w:p>
          <w:p w:rsidR="003B0815" w:rsidRDefault="003B0815" w14:paraId="0E6CDD5B" w14:textId="77777777">
            <w:pPr>
              <w:numPr>
                <w:ilvl w:val="0"/>
                <w:numId w:val="3"/>
              </w:numPr>
              <w:rPr>
                <w:sz w:val="20"/>
                <w:szCs w:val="20"/>
              </w:rPr>
            </w:pPr>
            <w:r>
              <w:rPr>
                <w:sz w:val="20"/>
                <w:szCs w:val="20"/>
              </w:rPr>
              <w:t>Airlines relieved of watch list responsibilities</w:t>
            </w:r>
          </w:p>
          <w:p w:rsidR="003B0815" w:rsidRDefault="003B0815" w14:paraId="0174B1BF" w14:textId="77777777">
            <w:pPr>
              <w:numPr>
                <w:ilvl w:val="0"/>
                <w:numId w:val="4"/>
              </w:numPr>
              <w:tabs>
                <w:tab w:val="clear" w:pos="360"/>
              </w:tabs>
              <w:ind w:left="700"/>
              <w:rPr>
                <w:sz w:val="20"/>
                <w:szCs w:val="20"/>
              </w:rPr>
            </w:pPr>
            <w:r>
              <w:rPr>
                <w:sz w:val="20"/>
                <w:szCs w:val="20"/>
              </w:rPr>
              <w:t>Employees</w:t>
            </w:r>
          </w:p>
          <w:p w:rsidR="003B0815" w:rsidRDefault="003B0815" w14:paraId="74D39D03" w14:textId="77777777">
            <w:pPr>
              <w:numPr>
                <w:ilvl w:val="0"/>
                <w:numId w:val="4"/>
              </w:numPr>
              <w:tabs>
                <w:tab w:val="clear" w:pos="360"/>
              </w:tabs>
              <w:ind w:left="700"/>
              <w:rPr>
                <w:sz w:val="20"/>
                <w:szCs w:val="20"/>
              </w:rPr>
            </w:pPr>
            <w:r>
              <w:rPr>
                <w:sz w:val="20"/>
                <w:szCs w:val="20"/>
              </w:rPr>
              <w:t>Operations and Maintenance Costs</w:t>
            </w:r>
          </w:p>
          <w:p w:rsidR="003B0815" w:rsidRDefault="003B0815" w14:paraId="753B77DF" w14:textId="77777777">
            <w:pPr>
              <w:numPr>
                <w:ilvl w:val="0"/>
                <w:numId w:val="3"/>
              </w:numPr>
              <w:rPr>
                <w:sz w:val="20"/>
                <w:szCs w:val="20"/>
              </w:rPr>
            </w:pPr>
            <w:r>
              <w:rPr>
                <w:sz w:val="20"/>
                <w:szCs w:val="20"/>
              </w:rPr>
              <w:t>Increased watch list security</w:t>
            </w:r>
          </w:p>
          <w:p w:rsidR="003B0815" w:rsidRDefault="003B0815" w14:paraId="05728E17" w14:textId="77777777">
            <w:pPr>
              <w:numPr>
                <w:ilvl w:val="0"/>
                <w:numId w:val="3"/>
              </w:numPr>
              <w:rPr>
                <w:sz w:val="20"/>
                <w:szCs w:val="20"/>
              </w:rPr>
            </w:pPr>
            <w:r>
              <w:rPr>
                <w:sz w:val="20"/>
                <w:szCs w:val="20"/>
              </w:rPr>
              <w:t>More comprehensive screening</w:t>
            </w:r>
          </w:p>
          <w:p w:rsidR="003B0815" w:rsidRDefault="003B0815" w14:paraId="16C1C75F" w14:textId="77777777">
            <w:pPr>
              <w:numPr>
                <w:ilvl w:val="0"/>
                <w:numId w:val="3"/>
              </w:numPr>
              <w:rPr>
                <w:sz w:val="20"/>
                <w:szCs w:val="20"/>
              </w:rPr>
            </w:pPr>
            <w:r>
              <w:rPr>
                <w:sz w:val="20"/>
                <w:szCs w:val="20"/>
              </w:rPr>
              <w:t xml:space="preserve">Improved security </w:t>
            </w:r>
          </w:p>
        </w:tc>
        <w:tc>
          <w:tcPr>
            <w:tcW w:w="2223" w:type="dxa"/>
          </w:tcPr>
          <w:p w:rsidR="003B0815" w:rsidRDefault="003B0815" w14:paraId="230A5823" w14:textId="77777777">
            <w:pPr>
              <w:jc w:val="center"/>
              <w:rPr>
                <w:sz w:val="20"/>
                <w:szCs w:val="20"/>
              </w:rPr>
            </w:pPr>
            <w:r>
              <w:rPr>
                <w:sz w:val="20"/>
                <w:szCs w:val="20"/>
              </w:rPr>
              <w:t>RIA</w:t>
            </w:r>
          </w:p>
        </w:tc>
      </w:tr>
      <w:tr w:rsidR="003B0815" w14:paraId="00F2E96C" w14:textId="77777777">
        <w:trPr>
          <w:trHeight w:val="432"/>
        </w:trPr>
        <w:tc>
          <w:tcPr>
            <w:tcW w:w="9596" w:type="dxa"/>
            <w:gridSpan w:val="5"/>
            <w:vAlign w:val="center"/>
          </w:tcPr>
          <w:p w:rsidR="003B0815" w:rsidRDefault="003B0815" w14:paraId="6B2B8DFC" w14:textId="77777777">
            <w:pPr>
              <w:rPr>
                <w:sz w:val="20"/>
                <w:szCs w:val="20"/>
              </w:rPr>
            </w:pPr>
            <w:r>
              <w:rPr>
                <w:b/>
                <w:bCs/>
                <w:sz w:val="20"/>
                <w:szCs w:val="20"/>
              </w:rPr>
              <w:t>COSTS</w:t>
            </w:r>
          </w:p>
        </w:tc>
      </w:tr>
      <w:tr w:rsidR="003B0815" w14:paraId="39F76CC8" w14:textId="77777777">
        <w:trPr>
          <w:trHeight w:val="230"/>
        </w:trPr>
        <w:tc>
          <w:tcPr>
            <w:tcW w:w="2495" w:type="dxa"/>
            <w:vMerge w:val="restart"/>
            <w:vAlign w:val="center"/>
          </w:tcPr>
          <w:p w:rsidR="003B0815" w:rsidRDefault="003B0815" w14:paraId="01F184DE" w14:textId="77777777">
            <w:pPr>
              <w:ind w:left="144"/>
              <w:rPr>
                <w:sz w:val="20"/>
                <w:szCs w:val="20"/>
              </w:rPr>
            </w:pPr>
            <w:r>
              <w:rPr>
                <w:sz w:val="20"/>
                <w:szCs w:val="20"/>
              </w:rPr>
              <w:t>Annualized monetized costs (discount rate in parenthesis)</w:t>
            </w:r>
          </w:p>
        </w:tc>
        <w:tc>
          <w:tcPr>
            <w:tcW w:w="1898" w:type="dxa"/>
            <w:vAlign w:val="bottom"/>
          </w:tcPr>
          <w:p w:rsidR="003B0815" w:rsidRDefault="003B0815" w14:paraId="2982E7B5" w14:textId="77777777">
            <w:pPr>
              <w:jc w:val="center"/>
              <w:rPr>
                <w:sz w:val="20"/>
                <w:szCs w:val="20"/>
              </w:rPr>
            </w:pPr>
            <w:r>
              <w:rPr>
                <w:rFonts w:ascii="Arial" w:hAnsi="Arial" w:cs="Arial"/>
                <w:sz w:val="20"/>
                <w:szCs w:val="20"/>
              </w:rPr>
              <w:t>$327.7 (7%)</w:t>
            </w:r>
          </w:p>
        </w:tc>
        <w:tc>
          <w:tcPr>
            <w:tcW w:w="1425" w:type="dxa"/>
            <w:shd w:val="clear" w:color="auto" w:fill="auto"/>
            <w:vAlign w:val="bottom"/>
          </w:tcPr>
          <w:p w:rsidR="003B0815" w:rsidRDefault="003B0815" w14:paraId="1DFFCC6E" w14:textId="77777777">
            <w:pPr>
              <w:jc w:val="center"/>
              <w:rPr>
                <w:sz w:val="20"/>
                <w:szCs w:val="20"/>
              </w:rPr>
            </w:pPr>
            <w:r>
              <w:rPr>
                <w:rFonts w:ascii="Arial" w:hAnsi="Arial" w:cs="Arial"/>
                <w:sz w:val="20"/>
                <w:szCs w:val="20"/>
              </w:rPr>
              <w:t>$290.3 (7%)</w:t>
            </w:r>
          </w:p>
        </w:tc>
        <w:tc>
          <w:tcPr>
            <w:tcW w:w="1555" w:type="dxa"/>
            <w:shd w:val="clear" w:color="auto" w:fill="auto"/>
            <w:vAlign w:val="bottom"/>
          </w:tcPr>
          <w:p w:rsidR="003B0815" w:rsidRDefault="003B0815" w14:paraId="79524F98" w14:textId="77777777">
            <w:pPr>
              <w:jc w:val="center"/>
              <w:rPr>
                <w:sz w:val="20"/>
                <w:szCs w:val="20"/>
              </w:rPr>
            </w:pPr>
            <w:r>
              <w:rPr>
                <w:rFonts w:ascii="Arial" w:hAnsi="Arial" w:cs="Arial"/>
                <w:sz w:val="20"/>
                <w:szCs w:val="20"/>
              </w:rPr>
              <w:t>$383.5 (7%)</w:t>
            </w:r>
          </w:p>
        </w:tc>
        <w:tc>
          <w:tcPr>
            <w:tcW w:w="2223" w:type="dxa"/>
            <w:vMerge w:val="restart"/>
            <w:vAlign w:val="center"/>
          </w:tcPr>
          <w:p w:rsidR="003B0815" w:rsidRDefault="003B0815" w14:paraId="65C4622E" w14:textId="77777777">
            <w:pPr>
              <w:jc w:val="center"/>
              <w:rPr>
                <w:sz w:val="20"/>
                <w:szCs w:val="20"/>
              </w:rPr>
            </w:pPr>
            <w:r>
              <w:rPr>
                <w:sz w:val="20"/>
                <w:szCs w:val="20"/>
              </w:rPr>
              <w:t>RIA</w:t>
            </w:r>
          </w:p>
        </w:tc>
      </w:tr>
      <w:tr w:rsidR="003B0815" w14:paraId="7A10E7B7" w14:textId="77777777">
        <w:trPr>
          <w:trHeight w:val="230"/>
        </w:trPr>
        <w:tc>
          <w:tcPr>
            <w:tcW w:w="2495" w:type="dxa"/>
            <w:vMerge/>
            <w:vAlign w:val="center"/>
          </w:tcPr>
          <w:p w:rsidR="003B0815" w:rsidRDefault="003B0815" w14:paraId="641507FA" w14:textId="77777777">
            <w:pPr>
              <w:ind w:left="144"/>
              <w:rPr>
                <w:sz w:val="20"/>
                <w:szCs w:val="20"/>
              </w:rPr>
            </w:pPr>
          </w:p>
        </w:tc>
        <w:tc>
          <w:tcPr>
            <w:tcW w:w="1898" w:type="dxa"/>
            <w:vAlign w:val="bottom"/>
          </w:tcPr>
          <w:p w:rsidR="003B0815" w:rsidRDefault="003B0815" w14:paraId="15DFDB10" w14:textId="77777777">
            <w:pPr>
              <w:jc w:val="center"/>
              <w:rPr>
                <w:sz w:val="20"/>
                <w:szCs w:val="20"/>
              </w:rPr>
            </w:pPr>
            <w:r>
              <w:rPr>
                <w:rFonts w:ascii="Arial" w:hAnsi="Arial" w:cs="Arial"/>
                <w:sz w:val="20"/>
                <w:szCs w:val="20"/>
              </w:rPr>
              <w:t>$326.8 (3%)</w:t>
            </w:r>
          </w:p>
        </w:tc>
        <w:tc>
          <w:tcPr>
            <w:tcW w:w="1425" w:type="dxa"/>
            <w:shd w:val="clear" w:color="auto" w:fill="auto"/>
            <w:vAlign w:val="bottom"/>
          </w:tcPr>
          <w:p w:rsidR="003B0815" w:rsidRDefault="003B0815" w14:paraId="47E3B51A" w14:textId="77777777">
            <w:pPr>
              <w:jc w:val="center"/>
              <w:rPr>
                <w:sz w:val="20"/>
                <w:szCs w:val="20"/>
              </w:rPr>
            </w:pPr>
            <w:r>
              <w:rPr>
                <w:rFonts w:ascii="Arial" w:hAnsi="Arial" w:cs="Arial"/>
                <w:sz w:val="20"/>
                <w:szCs w:val="20"/>
              </w:rPr>
              <w:t>$289.6 (3%)</w:t>
            </w:r>
          </w:p>
        </w:tc>
        <w:tc>
          <w:tcPr>
            <w:tcW w:w="1555" w:type="dxa"/>
            <w:shd w:val="clear" w:color="auto" w:fill="auto"/>
            <w:vAlign w:val="bottom"/>
          </w:tcPr>
          <w:p w:rsidR="003B0815" w:rsidRDefault="003B0815" w14:paraId="05A77A72" w14:textId="77777777">
            <w:pPr>
              <w:jc w:val="center"/>
              <w:rPr>
                <w:sz w:val="20"/>
                <w:szCs w:val="20"/>
              </w:rPr>
            </w:pPr>
            <w:r>
              <w:rPr>
                <w:rFonts w:ascii="Arial" w:hAnsi="Arial" w:cs="Arial"/>
                <w:sz w:val="20"/>
                <w:szCs w:val="20"/>
              </w:rPr>
              <w:t>$382.7 (3%)</w:t>
            </w:r>
          </w:p>
        </w:tc>
        <w:tc>
          <w:tcPr>
            <w:tcW w:w="2223" w:type="dxa"/>
            <w:vMerge/>
            <w:vAlign w:val="center"/>
          </w:tcPr>
          <w:p w:rsidR="003B0815" w:rsidRDefault="003B0815" w14:paraId="05110C48" w14:textId="77777777">
            <w:pPr>
              <w:jc w:val="center"/>
              <w:rPr>
                <w:sz w:val="20"/>
                <w:szCs w:val="20"/>
              </w:rPr>
            </w:pPr>
          </w:p>
        </w:tc>
      </w:tr>
      <w:tr w:rsidR="003B0815" w14:paraId="6541051E" w14:textId="77777777">
        <w:trPr>
          <w:trHeight w:val="230"/>
        </w:trPr>
        <w:tc>
          <w:tcPr>
            <w:tcW w:w="2495" w:type="dxa"/>
            <w:vMerge/>
            <w:vAlign w:val="center"/>
          </w:tcPr>
          <w:p w:rsidR="003B0815" w:rsidRDefault="003B0815" w14:paraId="75965535" w14:textId="77777777">
            <w:pPr>
              <w:ind w:left="144"/>
              <w:rPr>
                <w:sz w:val="20"/>
                <w:szCs w:val="20"/>
              </w:rPr>
            </w:pPr>
          </w:p>
        </w:tc>
        <w:tc>
          <w:tcPr>
            <w:tcW w:w="1898" w:type="dxa"/>
            <w:vAlign w:val="bottom"/>
          </w:tcPr>
          <w:p w:rsidR="003B0815" w:rsidRDefault="003B0815" w14:paraId="234FCAAA" w14:textId="77777777">
            <w:pPr>
              <w:jc w:val="center"/>
              <w:rPr>
                <w:sz w:val="20"/>
                <w:szCs w:val="20"/>
              </w:rPr>
            </w:pPr>
            <w:r>
              <w:rPr>
                <w:rFonts w:ascii="Arial" w:hAnsi="Arial" w:cs="Arial"/>
                <w:sz w:val="20"/>
                <w:szCs w:val="20"/>
              </w:rPr>
              <w:t>$326.2 (0%)</w:t>
            </w:r>
          </w:p>
        </w:tc>
        <w:tc>
          <w:tcPr>
            <w:tcW w:w="1425" w:type="dxa"/>
            <w:shd w:val="clear" w:color="auto" w:fill="auto"/>
            <w:vAlign w:val="bottom"/>
          </w:tcPr>
          <w:p w:rsidR="003B0815" w:rsidRDefault="003B0815" w14:paraId="471EB1B3" w14:textId="77777777">
            <w:pPr>
              <w:jc w:val="center"/>
              <w:rPr>
                <w:sz w:val="20"/>
                <w:szCs w:val="20"/>
              </w:rPr>
            </w:pPr>
            <w:r>
              <w:rPr>
                <w:rFonts w:ascii="Arial" w:hAnsi="Arial" w:cs="Arial"/>
                <w:sz w:val="20"/>
                <w:szCs w:val="20"/>
              </w:rPr>
              <w:t>$289.2 (0%)</w:t>
            </w:r>
          </w:p>
        </w:tc>
        <w:tc>
          <w:tcPr>
            <w:tcW w:w="1555" w:type="dxa"/>
            <w:shd w:val="clear" w:color="auto" w:fill="auto"/>
            <w:vAlign w:val="bottom"/>
          </w:tcPr>
          <w:p w:rsidR="003B0815" w:rsidRDefault="003B0815" w14:paraId="7F9406FA" w14:textId="77777777">
            <w:pPr>
              <w:jc w:val="center"/>
              <w:rPr>
                <w:sz w:val="20"/>
                <w:szCs w:val="20"/>
              </w:rPr>
            </w:pPr>
            <w:r>
              <w:rPr>
                <w:rFonts w:ascii="Arial" w:hAnsi="Arial" w:cs="Arial"/>
                <w:sz w:val="20"/>
                <w:szCs w:val="20"/>
              </w:rPr>
              <w:t>$382.2 (0%)</w:t>
            </w:r>
          </w:p>
        </w:tc>
        <w:tc>
          <w:tcPr>
            <w:tcW w:w="2223" w:type="dxa"/>
            <w:vMerge/>
            <w:vAlign w:val="center"/>
          </w:tcPr>
          <w:p w:rsidR="003B0815" w:rsidRDefault="003B0815" w14:paraId="6CDC94B0" w14:textId="77777777">
            <w:pPr>
              <w:jc w:val="center"/>
              <w:rPr>
                <w:sz w:val="20"/>
                <w:szCs w:val="20"/>
              </w:rPr>
            </w:pPr>
          </w:p>
        </w:tc>
      </w:tr>
      <w:tr w:rsidR="003B0815" w14:paraId="2CAF807C" w14:textId="77777777">
        <w:tc>
          <w:tcPr>
            <w:tcW w:w="2495" w:type="dxa"/>
            <w:vAlign w:val="center"/>
          </w:tcPr>
          <w:p w:rsidR="003B0815" w:rsidRDefault="003B0815" w14:paraId="0A6E405F" w14:textId="77777777">
            <w:pPr>
              <w:ind w:left="144"/>
              <w:rPr>
                <w:sz w:val="20"/>
                <w:szCs w:val="20"/>
              </w:rPr>
            </w:pPr>
            <w:r>
              <w:rPr>
                <w:sz w:val="20"/>
                <w:szCs w:val="20"/>
              </w:rPr>
              <w:t>Annualized quantified, but unmonetized, costs</w:t>
            </w:r>
          </w:p>
        </w:tc>
        <w:tc>
          <w:tcPr>
            <w:tcW w:w="1898" w:type="dxa"/>
            <w:vAlign w:val="center"/>
          </w:tcPr>
          <w:p w:rsidR="003B0815" w:rsidRDefault="003B0815" w14:paraId="42A82247" w14:textId="77777777">
            <w:pPr>
              <w:jc w:val="center"/>
              <w:rPr>
                <w:sz w:val="20"/>
                <w:szCs w:val="20"/>
              </w:rPr>
            </w:pPr>
            <w:r>
              <w:rPr>
                <w:sz w:val="20"/>
                <w:szCs w:val="20"/>
              </w:rPr>
              <w:t>0 (7%)</w:t>
            </w:r>
          </w:p>
          <w:p w:rsidR="003B0815" w:rsidRDefault="003B0815" w14:paraId="4737C640" w14:textId="77777777">
            <w:pPr>
              <w:jc w:val="center"/>
              <w:rPr>
                <w:sz w:val="20"/>
                <w:szCs w:val="20"/>
              </w:rPr>
            </w:pPr>
            <w:r>
              <w:rPr>
                <w:sz w:val="20"/>
                <w:szCs w:val="20"/>
              </w:rPr>
              <w:t>0 (3%)</w:t>
            </w:r>
          </w:p>
          <w:p w:rsidR="003B0815" w:rsidRDefault="003B0815" w14:paraId="41BD5187" w14:textId="77777777">
            <w:pPr>
              <w:jc w:val="center"/>
              <w:rPr>
                <w:sz w:val="20"/>
                <w:szCs w:val="20"/>
              </w:rPr>
            </w:pPr>
            <w:r>
              <w:rPr>
                <w:sz w:val="20"/>
                <w:szCs w:val="20"/>
              </w:rPr>
              <w:t>0 (0%)</w:t>
            </w:r>
          </w:p>
        </w:tc>
        <w:tc>
          <w:tcPr>
            <w:tcW w:w="1425" w:type="dxa"/>
            <w:vAlign w:val="center"/>
          </w:tcPr>
          <w:p w:rsidR="003B0815" w:rsidRDefault="003B0815" w14:paraId="16ED7E70" w14:textId="77777777">
            <w:pPr>
              <w:jc w:val="center"/>
              <w:rPr>
                <w:sz w:val="20"/>
                <w:szCs w:val="20"/>
              </w:rPr>
            </w:pPr>
            <w:r>
              <w:rPr>
                <w:sz w:val="20"/>
                <w:szCs w:val="20"/>
              </w:rPr>
              <w:t>0 (7%)</w:t>
            </w:r>
          </w:p>
          <w:p w:rsidR="003B0815" w:rsidRDefault="003B0815" w14:paraId="301852B9" w14:textId="77777777">
            <w:pPr>
              <w:jc w:val="center"/>
              <w:rPr>
                <w:sz w:val="20"/>
                <w:szCs w:val="20"/>
              </w:rPr>
            </w:pPr>
            <w:r>
              <w:rPr>
                <w:sz w:val="20"/>
                <w:szCs w:val="20"/>
              </w:rPr>
              <w:t>0 (3%)</w:t>
            </w:r>
          </w:p>
          <w:p w:rsidR="003B0815" w:rsidRDefault="003B0815" w14:paraId="302A5A5A" w14:textId="77777777">
            <w:pPr>
              <w:jc w:val="center"/>
              <w:rPr>
                <w:sz w:val="20"/>
                <w:szCs w:val="20"/>
              </w:rPr>
            </w:pPr>
            <w:r>
              <w:rPr>
                <w:sz w:val="20"/>
                <w:szCs w:val="20"/>
              </w:rPr>
              <w:t>0 (0%)</w:t>
            </w:r>
          </w:p>
        </w:tc>
        <w:tc>
          <w:tcPr>
            <w:tcW w:w="1555" w:type="dxa"/>
            <w:vAlign w:val="center"/>
          </w:tcPr>
          <w:p w:rsidR="003B0815" w:rsidRDefault="003B0815" w14:paraId="63D8EBAF" w14:textId="77777777">
            <w:pPr>
              <w:jc w:val="center"/>
              <w:rPr>
                <w:sz w:val="20"/>
                <w:szCs w:val="20"/>
              </w:rPr>
            </w:pPr>
            <w:r>
              <w:rPr>
                <w:sz w:val="20"/>
                <w:szCs w:val="20"/>
              </w:rPr>
              <w:t>0 (7%)</w:t>
            </w:r>
          </w:p>
          <w:p w:rsidR="003B0815" w:rsidRDefault="003B0815" w14:paraId="13D6933C" w14:textId="77777777">
            <w:pPr>
              <w:jc w:val="center"/>
              <w:rPr>
                <w:sz w:val="20"/>
                <w:szCs w:val="20"/>
              </w:rPr>
            </w:pPr>
            <w:r>
              <w:rPr>
                <w:sz w:val="20"/>
                <w:szCs w:val="20"/>
              </w:rPr>
              <w:t>0 (3%)</w:t>
            </w:r>
          </w:p>
          <w:p w:rsidR="003B0815" w:rsidRDefault="003B0815" w14:paraId="29DB2589" w14:textId="77777777">
            <w:pPr>
              <w:jc w:val="center"/>
              <w:rPr>
                <w:sz w:val="20"/>
                <w:szCs w:val="20"/>
              </w:rPr>
            </w:pPr>
            <w:r>
              <w:rPr>
                <w:sz w:val="20"/>
                <w:szCs w:val="20"/>
              </w:rPr>
              <w:t>0 (0%)</w:t>
            </w:r>
          </w:p>
        </w:tc>
        <w:tc>
          <w:tcPr>
            <w:tcW w:w="2223" w:type="dxa"/>
            <w:vAlign w:val="center"/>
          </w:tcPr>
          <w:p w:rsidR="003B0815" w:rsidRDefault="003B0815" w14:paraId="573BD036" w14:textId="77777777">
            <w:pPr>
              <w:jc w:val="center"/>
              <w:rPr>
                <w:sz w:val="20"/>
                <w:szCs w:val="20"/>
              </w:rPr>
            </w:pPr>
            <w:r>
              <w:rPr>
                <w:sz w:val="20"/>
                <w:szCs w:val="20"/>
              </w:rPr>
              <w:t>RIA</w:t>
            </w:r>
          </w:p>
        </w:tc>
      </w:tr>
      <w:tr w:rsidR="003B0815" w14:paraId="243D548A" w14:textId="77777777">
        <w:tc>
          <w:tcPr>
            <w:tcW w:w="2495" w:type="dxa"/>
            <w:vAlign w:val="center"/>
          </w:tcPr>
          <w:p w:rsidR="003B0815" w:rsidRDefault="003B0815" w14:paraId="63E0D8DB" w14:textId="77777777">
            <w:pPr>
              <w:ind w:left="144"/>
              <w:rPr>
                <w:sz w:val="20"/>
                <w:szCs w:val="20"/>
              </w:rPr>
            </w:pPr>
            <w:r>
              <w:rPr>
                <w:sz w:val="20"/>
                <w:szCs w:val="20"/>
              </w:rPr>
              <w:t>Qualitative (unquantified) costs</w:t>
            </w:r>
          </w:p>
        </w:tc>
        <w:tc>
          <w:tcPr>
            <w:tcW w:w="4878" w:type="dxa"/>
            <w:gridSpan w:val="3"/>
            <w:vAlign w:val="center"/>
          </w:tcPr>
          <w:p w:rsidR="003B0815" w:rsidRDefault="003B0815" w14:paraId="43EC3229" w14:textId="77777777">
            <w:pPr>
              <w:numPr>
                <w:ilvl w:val="0"/>
                <w:numId w:val="5"/>
              </w:numPr>
              <w:tabs>
                <w:tab w:val="clear" w:pos="720"/>
              </w:tabs>
              <w:ind w:left="340"/>
              <w:rPr>
                <w:sz w:val="20"/>
                <w:szCs w:val="20"/>
              </w:rPr>
            </w:pPr>
            <w:r>
              <w:rPr>
                <w:sz w:val="20"/>
                <w:szCs w:val="20"/>
              </w:rPr>
              <w:t>Reprogramming costs for air carriers to add Secure Flight code to boarding passes.</w:t>
            </w:r>
          </w:p>
          <w:p w:rsidR="003B0815" w:rsidRDefault="003B0815" w14:paraId="574D1840" w14:textId="77777777">
            <w:pPr>
              <w:numPr>
                <w:ilvl w:val="0"/>
                <w:numId w:val="5"/>
              </w:numPr>
              <w:tabs>
                <w:tab w:val="clear" w:pos="720"/>
              </w:tabs>
              <w:ind w:left="340"/>
              <w:rPr>
                <w:sz w:val="20"/>
                <w:szCs w:val="20"/>
              </w:rPr>
            </w:pPr>
            <w:r>
              <w:rPr>
                <w:sz w:val="20"/>
                <w:szCs w:val="20"/>
              </w:rPr>
              <w:t xml:space="preserve">Reprogramming costs for air carriers using a web-based Secure Flight Interface </w:t>
            </w:r>
          </w:p>
        </w:tc>
        <w:tc>
          <w:tcPr>
            <w:tcW w:w="2223" w:type="dxa"/>
            <w:vAlign w:val="center"/>
          </w:tcPr>
          <w:p w:rsidR="003B0815" w:rsidRDefault="003B0815" w14:paraId="43A8226C" w14:textId="77777777">
            <w:pPr>
              <w:jc w:val="center"/>
              <w:rPr>
                <w:sz w:val="20"/>
                <w:szCs w:val="20"/>
              </w:rPr>
            </w:pPr>
            <w:r>
              <w:rPr>
                <w:sz w:val="20"/>
                <w:szCs w:val="20"/>
              </w:rPr>
              <w:t>RIA</w:t>
            </w:r>
          </w:p>
        </w:tc>
      </w:tr>
      <w:tr w:rsidR="003B0815" w14:paraId="54FD1F01" w14:textId="77777777">
        <w:trPr>
          <w:trHeight w:val="432"/>
        </w:trPr>
        <w:tc>
          <w:tcPr>
            <w:tcW w:w="9596" w:type="dxa"/>
            <w:gridSpan w:val="5"/>
            <w:vAlign w:val="center"/>
          </w:tcPr>
          <w:p w:rsidR="003B0815" w:rsidRDefault="003B0815" w14:paraId="5FE0FAA9" w14:textId="77777777">
            <w:pPr>
              <w:rPr>
                <w:sz w:val="20"/>
                <w:szCs w:val="20"/>
              </w:rPr>
            </w:pPr>
            <w:r>
              <w:rPr>
                <w:b/>
                <w:bCs/>
                <w:sz w:val="20"/>
                <w:szCs w:val="20"/>
              </w:rPr>
              <w:t>TRANSFERS</w:t>
            </w:r>
          </w:p>
        </w:tc>
      </w:tr>
      <w:tr w:rsidR="003B0815" w14:paraId="4C72F6BF" w14:textId="77777777">
        <w:tc>
          <w:tcPr>
            <w:tcW w:w="2495" w:type="dxa"/>
            <w:vAlign w:val="center"/>
          </w:tcPr>
          <w:p w:rsidR="003B0815" w:rsidRDefault="003B0815" w14:paraId="0D9B3BA3" w14:textId="77777777">
            <w:pPr>
              <w:ind w:left="144"/>
              <w:rPr>
                <w:sz w:val="20"/>
                <w:szCs w:val="20"/>
              </w:rPr>
            </w:pPr>
            <w:r>
              <w:rPr>
                <w:sz w:val="20"/>
                <w:szCs w:val="20"/>
              </w:rPr>
              <w:t>Annualized monetized transfers: “on budget”</w:t>
            </w:r>
          </w:p>
        </w:tc>
        <w:tc>
          <w:tcPr>
            <w:tcW w:w="1898" w:type="dxa"/>
            <w:vAlign w:val="center"/>
          </w:tcPr>
          <w:p w:rsidR="003B0815" w:rsidRDefault="003B0815" w14:paraId="174BA0A1" w14:textId="77777777">
            <w:pPr>
              <w:jc w:val="center"/>
              <w:rPr>
                <w:sz w:val="20"/>
                <w:szCs w:val="20"/>
              </w:rPr>
            </w:pPr>
            <w:r>
              <w:rPr>
                <w:sz w:val="20"/>
                <w:szCs w:val="20"/>
              </w:rPr>
              <w:t>None</w:t>
            </w:r>
          </w:p>
        </w:tc>
        <w:tc>
          <w:tcPr>
            <w:tcW w:w="1425" w:type="dxa"/>
            <w:vAlign w:val="center"/>
          </w:tcPr>
          <w:p w:rsidR="003B0815" w:rsidRDefault="003B0815" w14:paraId="4B5DEDBF" w14:textId="77777777">
            <w:pPr>
              <w:jc w:val="center"/>
              <w:rPr>
                <w:sz w:val="20"/>
                <w:szCs w:val="20"/>
              </w:rPr>
            </w:pPr>
            <w:r>
              <w:rPr>
                <w:sz w:val="20"/>
                <w:szCs w:val="20"/>
              </w:rPr>
              <w:t>None</w:t>
            </w:r>
          </w:p>
        </w:tc>
        <w:tc>
          <w:tcPr>
            <w:tcW w:w="1555" w:type="dxa"/>
            <w:vAlign w:val="center"/>
          </w:tcPr>
          <w:p w:rsidR="003B0815" w:rsidRDefault="003B0815" w14:paraId="6D768722" w14:textId="77777777">
            <w:pPr>
              <w:jc w:val="center"/>
              <w:rPr>
                <w:sz w:val="20"/>
                <w:szCs w:val="20"/>
              </w:rPr>
            </w:pPr>
            <w:r>
              <w:rPr>
                <w:sz w:val="20"/>
                <w:szCs w:val="20"/>
              </w:rPr>
              <w:t>None</w:t>
            </w:r>
          </w:p>
        </w:tc>
        <w:tc>
          <w:tcPr>
            <w:tcW w:w="2223" w:type="dxa"/>
            <w:vAlign w:val="center"/>
          </w:tcPr>
          <w:p w:rsidR="003B0815" w:rsidRDefault="003B0815" w14:paraId="772B1FE1" w14:textId="77777777">
            <w:pPr>
              <w:jc w:val="center"/>
              <w:rPr>
                <w:sz w:val="20"/>
                <w:szCs w:val="20"/>
              </w:rPr>
            </w:pPr>
            <w:r>
              <w:rPr>
                <w:sz w:val="20"/>
                <w:szCs w:val="20"/>
              </w:rPr>
              <w:t>RIA</w:t>
            </w:r>
          </w:p>
        </w:tc>
      </w:tr>
      <w:tr w:rsidR="003B0815" w14:paraId="5CA0F42F" w14:textId="77777777">
        <w:tc>
          <w:tcPr>
            <w:tcW w:w="2495" w:type="dxa"/>
            <w:vAlign w:val="center"/>
          </w:tcPr>
          <w:p w:rsidR="003B0815" w:rsidRDefault="003B0815" w14:paraId="7170C889" w14:textId="77777777">
            <w:pPr>
              <w:ind w:left="144"/>
              <w:rPr>
                <w:sz w:val="20"/>
                <w:szCs w:val="20"/>
              </w:rPr>
            </w:pPr>
            <w:r>
              <w:rPr>
                <w:sz w:val="20"/>
                <w:szCs w:val="20"/>
              </w:rPr>
              <w:t>Annualized monetized transfers: “off-budget”</w:t>
            </w:r>
          </w:p>
        </w:tc>
        <w:tc>
          <w:tcPr>
            <w:tcW w:w="1898" w:type="dxa"/>
            <w:vAlign w:val="center"/>
          </w:tcPr>
          <w:p w:rsidR="003B0815" w:rsidRDefault="003B0815" w14:paraId="0ECA3718" w14:textId="77777777">
            <w:pPr>
              <w:jc w:val="center"/>
              <w:rPr>
                <w:sz w:val="20"/>
                <w:szCs w:val="20"/>
              </w:rPr>
            </w:pPr>
            <w:r>
              <w:rPr>
                <w:sz w:val="20"/>
                <w:szCs w:val="20"/>
              </w:rPr>
              <w:t>None</w:t>
            </w:r>
          </w:p>
        </w:tc>
        <w:tc>
          <w:tcPr>
            <w:tcW w:w="1425" w:type="dxa"/>
            <w:vAlign w:val="center"/>
          </w:tcPr>
          <w:p w:rsidR="003B0815" w:rsidRDefault="003B0815" w14:paraId="7EB048FD" w14:textId="77777777">
            <w:pPr>
              <w:jc w:val="center"/>
              <w:rPr>
                <w:sz w:val="20"/>
                <w:szCs w:val="20"/>
              </w:rPr>
            </w:pPr>
            <w:r>
              <w:rPr>
                <w:sz w:val="20"/>
                <w:szCs w:val="20"/>
              </w:rPr>
              <w:t>None</w:t>
            </w:r>
          </w:p>
        </w:tc>
        <w:tc>
          <w:tcPr>
            <w:tcW w:w="1555" w:type="dxa"/>
            <w:vAlign w:val="center"/>
          </w:tcPr>
          <w:p w:rsidR="003B0815" w:rsidRDefault="003B0815" w14:paraId="4BED17BB" w14:textId="77777777">
            <w:pPr>
              <w:jc w:val="center"/>
              <w:rPr>
                <w:sz w:val="20"/>
                <w:szCs w:val="20"/>
              </w:rPr>
            </w:pPr>
            <w:r>
              <w:rPr>
                <w:sz w:val="20"/>
                <w:szCs w:val="20"/>
              </w:rPr>
              <w:t>None</w:t>
            </w:r>
          </w:p>
        </w:tc>
        <w:tc>
          <w:tcPr>
            <w:tcW w:w="2223" w:type="dxa"/>
            <w:vAlign w:val="center"/>
          </w:tcPr>
          <w:p w:rsidR="003B0815" w:rsidRDefault="003B0815" w14:paraId="61B44AA8" w14:textId="77777777">
            <w:pPr>
              <w:jc w:val="center"/>
              <w:rPr>
                <w:sz w:val="20"/>
                <w:szCs w:val="20"/>
              </w:rPr>
            </w:pPr>
            <w:r>
              <w:rPr>
                <w:sz w:val="20"/>
                <w:szCs w:val="20"/>
              </w:rPr>
              <w:t>RIA</w:t>
            </w:r>
          </w:p>
        </w:tc>
      </w:tr>
      <w:tr w:rsidR="003B0815" w14:paraId="01017C75" w14:textId="77777777">
        <w:trPr>
          <w:trHeight w:val="432"/>
        </w:trPr>
        <w:tc>
          <w:tcPr>
            <w:tcW w:w="9596" w:type="dxa"/>
            <w:gridSpan w:val="5"/>
            <w:tcBorders>
              <w:top w:val="single" w:color="auto" w:sz="8" w:space="0"/>
              <w:bottom w:val="single" w:color="auto" w:sz="8" w:space="0"/>
            </w:tcBorders>
            <w:vAlign w:val="center"/>
          </w:tcPr>
          <w:p w:rsidR="003B0815" w:rsidRDefault="003B0815" w14:paraId="25C49128" w14:textId="77777777">
            <w:pPr>
              <w:rPr>
                <w:b/>
                <w:bCs/>
                <w:iCs/>
                <w:sz w:val="22"/>
                <w:szCs w:val="22"/>
              </w:rPr>
            </w:pPr>
            <w:r>
              <w:rPr>
                <w:b/>
                <w:bCs/>
                <w:iCs/>
                <w:sz w:val="20"/>
                <w:szCs w:val="20"/>
              </w:rPr>
              <w:t>MISCELLANEOUS ANALYSES</w:t>
            </w:r>
          </w:p>
        </w:tc>
      </w:tr>
      <w:tr w:rsidR="003B0815" w14:paraId="3F908988" w14:textId="77777777">
        <w:tc>
          <w:tcPr>
            <w:tcW w:w="2495" w:type="dxa"/>
            <w:tcBorders>
              <w:top w:val="single" w:color="auto" w:sz="8" w:space="0"/>
            </w:tcBorders>
            <w:vAlign w:val="center"/>
          </w:tcPr>
          <w:p w:rsidR="003B0815" w:rsidRDefault="003B0815" w14:paraId="31104E93" w14:textId="77777777">
            <w:pPr>
              <w:ind w:left="144"/>
              <w:rPr>
                <w:sz w:val="20"/>
                <w:szCs w:val="20"/>
              </w:rPr>
            </w:pPr>
            <w:r>
              <w:rPr>
                <w:sz w:val="20"/>
                <w:szCs w:val="20"/>
              </w:rPr>
              <w:t>Effects on State, local, and/or tribal governments</w:t>
            </w:r>
          </w:p>
        </w:tc>
        <w:tc>
          <w:tcPr>
            <w:tcW w:w="4878" w:type="dxa"/>
            <w:gridSpan w:val="3"/>
            <w:tcBorders>
              <w:top w:val="single" w:color="auto" w:sz="8" w:space="0"/>
            </w:tcBorders>
            <w:vAlign w:val="center"/>
          </w:tcPr>
          <w:p w:rsidR="003B0815" w:rsidRDefault="003B0815" w14:paraId="59A32E7A" w14:textId="77777777">
            <w:pPr>
              <w:jc w:val="center"/>
              <w:rPr>
                <w:sz w:val="20"/>
                <w:szCs w:val="20"/>
              </w:rPr>
            </w:pPr>
            <w:r>
              <w:rPr>
                <w:sz w:val="20"/>
                <w:szCs w:val="20"/>
              </w:rPr>
              <w:t>None</w:t>
            </w:r>
          </w:p>
        </w:tc>
        <w:tc>
          <w:tcPr>
            <w:tcW w:w="2223" w:type="dxa"/>
            <w:tcBorders>
              <w:top w:val="single" w:color="auto" w:sz="8" w:space="0"/>
            </w:tcBorders>
            <w:vAlign w:val="center"/>
          </w:tcPr>
          <w:p w:rsidR="003B0815" w:rsidRDefault="003B0815" w14:paraId="643AD1D3" w14:textId="77777777">
            <w:pPr>
              <w:jc w:val="center"/>
              <w:rPr>
                <w:sz w:val="20"/>
                <w:szCs w:val="20"/>
              </w:rPr>
            </w:pPr>
            <w:r>
              <w:rPr>
                <w:sz w:val="20"/>
                <w:szCs w:val="20"/>
              </w:rPr>
              <w:t>RIA</w:t>
            </w:r>
          </w:p>
        </w:tc>
      </w:tr>
      <w:tr w:rsidR="003B0815" w14:paraId="5101850D" w14:textId="77777777">
        <w:tc>
          <w:tcPr>
            <w:tcW w:w="2495" w:type="dxa"/>
            <w:vAlign w:val="center"/>
          </w:tcPr>
          <w:p w:rsidR="003B0815" w:rsidRDefault="003B0815" w14:paraId="26F9063E" w14:textId="77777777">
            <w:pPr>
              <w:ind w:left="144"/>
              <w:rPr>
                <w:sz w:val="20"/>
                <w:szCs w:val="20"/>
              </w:rPr>
            </w:pPr>
            <w:r>
              <w:rPr>
                <w:sz w:val="20"/>
                <w:szCs w:val="20"/>
              </w:rPr>
              <w:t>Effects on small businesses</w:t>
            </w:r>
          </w:p>
        </w:tc>
        <w:tc>
          <w:tcPr>
            <w:tcW w:w="4878" w:type="dxa"/>
            <w:gridSpan w:val="3"/>
            <w:vAlign w:val="center"/>
          </w:tcPr>
          <w:p w:rsidR="003B0815" w:rsidRDefault="003B0815" w14:paraId="3A713837" w14:textId="77777777">
            <w:pPr>
              <w:ind w:left="144"/>
              <w:jc w:val="center"/>
              <w:rPr>
                <w:sz w:val="20"/>
                <w:szCs w:val="20"/>
              </w:rPr>
            </w:pPr>
            <w:r>
              <w:rPr>
                <w:sz w:val="20"/>
                <w:szCs w:val="20"/>
              </w:rPr>
              <w:t>The Final Regulatory Flexibility Analysis (FRFA) shows that there is not likely a significant impact on a substantial number of small entities</w:t>
            </w:r>
          </w:p>
        </w:tc>
        <w:tc>
          <w:tcPr>
            <w:tcW w:w="2223" w:type="dxa"/>
            <w:vAlign w:val="center"/>
          </w:tcPr>
          <w:p w:rsidR="003B0815" w:rsidRDefault="003B0815" w14:paraId="24865898" w14:textId="77777777">
            <w:pPr>
              <w:ind w:left="144"/>
              <w:jc w:val="center"/>
              <w:rPr>
                <w:sz w:val="20"/>
                <w:szCs w:val="20"/>
              </w:rPr>
            </w:pPr>
            <w:r>
              <w:rPr>
                <w:sz w:val="20"/>
                <w:szCs w:val="20"/>
              </w:rPr>
              <w:t>RIA</w:t>
            </w:r>
          </w:p>
        </w:tc>
      </w:tr>
      <w:tr w:rsidR="003B0815" w14:paraId="0ED6AD6D" w14:textId="77777777">
        <w:tc>
          <w:tcPr>
            <w:tcW w:w="2495" w:type="dxa"/>
            <w:vAlign w:val="center"/>
          </w:tcPr>
          <w:p w:rsidR="003B0815" w:rsidRDefault="003B0815" w14:paraId="425A28A7" w14:textId="77777777">
            <w:pPr>
              <w:ind w:left="144"/>
              <w:rPr>
                <w:sz w:val="20"/>
                <w:szCs w:val="20"/>
              </w:rPr>
            </w:pPr>
            <w:r>
              <w:rPr>
                <w:sz w:val="20"/>
                <w:szCs w:val="20"/>
              </w:rPr>
              <w:t>Effects on wages</w:t>
            </w:r>
          </w:p>
        </w:tc>
        <w:tc>
          <w:tcPr>
            <w:tcW w:w="4878" w:type="dxa"/>
            <w:gridSpan w:val="3"/>
            <w:vAlign w:val="center"/>
          </w:tcPr>
          <w:p w:rsidR="003B0815" w:rsidRDefault="003B0815" w14:paraId="17D65BD9" w14:textId="77777777">
            <w:pPr>
              <w:jc w:val="center"/>
              <w:rPr>
                <w:sz w:val="20"/>
                <w:szCs w:val="20"/>
              </w:rPr>
            </w:pPr>
            <w:r>
              <w:rPr>
                <w:sz w:val="20"/>
                <w:szCs w:val="20"/>
              </w:rPr>
              <w:t>None</w:t>
            </w:r>
          </w:p>
        </w:tc>
        <w:tc>
          <w:tcPr>
            <w:tcW w:w="2223" w:type="dxa"/>
            <w:vAlign w:val="center"/>
          </w:tcPr>
          <w:p w:rsidR="003B0815" w:rsidRDefault="003B0815" w14:paraId="158E4AC2" w14:textId="77777777">
            <w:pPr>
              <w:jc w:val="center"/>
              <w:rPr>
                <w:sz w:val="20"/>
                <w:szCs w:val="20"/>
              </w:rPr>
            </w:pPr>
            <w:r>
              <w:rPr>
                <w:sz w:val="20"/>
                <w:szCs w:val="20"/>
              </w:rPr>
              <w:t>None</w:t>
            </w:r>
          </w:p>
        </w:tc>
      </w:tr>
      <w:tr w:rsidR="003B0815" w14:paraId="578402E9" w14:textId="77777777">
        <w:tc>
          <w:tcPr>
            <w:tcW w:w="2495" w:type="dxa"/>
            <w:vAlign w:val="center"/>
          </w:tcPr>
          <w:p w:rsidR="003B0815" w:rsidRDefault="003B0815" w14:paraId="5CC7E3DF" w14:textId="77777777">
            <w:pPr>
              <w:ind w:left="144"/>
              <w:rPr>
                <w:sz w:val="20"/>
                <w:szCs w:val="20"/>
              </w:rPr>
            </w:pPr>
            <w:r>
              <w:rPr>
                <w:sz w:val="20"/>
                <w:szCs w:val="20"/>
              </w:rPr>
              <w:t>Effects on growth</w:t>
            </w:r>
          </w:p>
        </w:tc>
        <w:tc>
          <w:tcPr>
            <w:tcW w:w="4878" w:type="dxa"/>
            <w:gridSpan w:val="3"/>
            <w:vAlign w:val="center"/>
          </w:tcPr>
          <w:p w:rsidR="003B0815" w:rsidRDefault="003B0815" w14:paraId="7B7DC178" w14:textId="77777777">
            <w:pPr>
              <w:jc w:val="center"/>
              <w:rPr>
                <w:sz w:val="20"/>
                <w:szCs w:val="20"/>
              </w:rPr>
            </w:pPr>
            <w:r>
              <w:rPr>
                <w:sz w:val="20"/>
                <w:szCs w:val="20"/>
              </w:rPr>
              <w:t>None</w:t>
            </w:r>
          </w:p>
        </w:tc>
        <w:tc>
          <w:tcPr>
            <w:tcW w:w="2223" w:type="dxa"/>
            <w:vAlign w:val="center"/>
          </w:tcPr>
          <w:p w:rsidR="003B0815" w:rsidRDefault="003B0815" w14:paraId="2274022B" w14:textId="77777777">
            <w:pPr>
              <w:jc w:val="center"/>
              <w:rPr>
                <w:sz w:val="20"/>
                <w:szCs w:val="20"/>
              </w:rPr>
            </w:pPr>
            <w:r>
              <w:rPr>
                <w:sz w:val="20"/>
                <w:szCs w:val="20"/>
              </w:rPr>
              <w:t>None</w:t>
            </w:r>
          </w:p>
        </w:tc>
      </w:tr>
    </w:tbl>
    <w:p w:rsidR="003B0815" w:rsidRDefault="003B0815" w14:paraId="7E7095EF" w14:textId="77777777"/>
    <w:p w:rsidR="003B0815" w:rsidRDefault="003B0815" w14:paraId="4034E43D" w14:textId="77777777"/>
    <w:p w:rsidR="003B0815" w:rsidRDefault="003B0815" w14:paraId="4824E016" w14:textId="77777777"/>
    <w:p w:rsidR="003B0815" w:rsidRDefault="003B0815" w14:paraId="49B5835C" w14:textId="77777777">
      <w:pPr>
        <w:pStyle w:val="RegEvalSectionSubheader"/>
        <w:keepNext/>
        <w:spacing w:line="360" w:lineRule="auto"/>
      </w:pPr>
      <w:bookmarkStart w:name="_Toc111627350" w:id="24"/>
      <w:bookmarkStart w:name="_Toc114566401" w:id="25"/>
      <w:bookmarkStart w:name="_Toc141001068" w:id="26"/>
      <w:bookmarkStart w:name="_Toc141000897" w:id="27"/>
      <w:bookmarkStart w:name="_Toc165278424" w:id="28"/>
      <w:bookmarkStart w:name="_Toc202683372" w:id="29"/>
      <w:r>
        <w:t>1.1.2 Overview of the Analysis</w:t>
      </w:r>
      <w:bookmarkEnd w:id="24"/>
      <w:bookmarkEnd w:id="25"/>
      <w:bookmarkEnd w:id="26"/>
      <w:bookmarkEnd w:id="27"/>
      <w:bookmarkEnd w:id="28"/>
      <w:bookmarkEnd w:id="29"/>
    </w:p>
    <w:p w:rsidR="003B0815" w:rsidRDefault="003B0815" w14:paraId="537D3251" w14:textId="77777777">
      <w:pPr>
        <w:keepNext/>
        <w:spacing w:line="360" w:lineRule="auto"/>
        <w:rPr>
          <w:b/>
        </w:rPr>
      </w:pPr>
      <w:r>
        <w:rPr>
          <w:b/>
        </w:rPr>
        <w:t>Summary of Rule</w:t>
      </w:r>
    </w:p>
    <w:p w:rsidR="003B0815" w:rsidRDefault="003B0815" w14:paraId="05003BB9" w14:textId="77777777">
      <w:pPr>
        <w:spacing w:line="360" w:lineRule="auto"/>
        <w:ind w:firstLine="720"/>
      </w:pPr>
      <w:r>
        <w:t>Section 4012(a) of the Intelligence Reform and Terrorism Prevention Act requires the Department of Homeland Security (DHS) and the Transportation Security Administration (TSA) to assume from aircraft operators the function of conducting pre-flight comparisons of airline passenger information to Federal Government watch lists.  TSA is currently developing Secure Flight to implement this Congressional mandate.  This final rule allows TSA to begin implementation of Secure Flight, under which TSA will receive passenger and certain non-traveler information, conduct watch list matching, and transmit gate and boarding pass printing instructions back to aircraft operators indicating whether individuals should be cleared to enter the sterile area, marked as selectees, or prohibited from receiving a boarding or gate pass.  Under the final rule, TSA will fully assume the domestic watch list matching function from aircraft operators after conducting operational testing with each aircraft operator during a first implementation phase.  Following this initial domestic implementation phase, TSA will assume from the U.S. Customs and Border Protection (CBP) the responsibility for comparing passenger information to government watch lists for certain domestic and foreign aircraft operators flying to, from, and over the United States.</w:t>
      </w:r>
    </w:p>
    <w:p w:rsidR="003B0815" w:rsidRDefault="003B0815" w14:paraId="74FFEA11" w14:textId="77777777">
      <w:pPr>
        <w:spacing w:line="360" w:lineRule="auto"/>
        <w:ind w:firstLine="720"/>
      </w:pPr>
      <w:r>
        <w:t>Under this final rule, TSA requires covered aircraft operators to request and transmit to TSA each passenger’s full name, date of birth, gender, and, if available, Redress Number, Known Traveler Number, and passport information.  Covered aircraft operators will request and transmit to TSA an identical set of data elements from non-traveling individuals seeking authorization to enter an airport sterile area (such as to escort a minor or passenger with disabilities).  While the rule requires covered aircraft operators to request these data elements, provision by passengers and non-traveling individuals of all elements but full name, date of birth and gender will remain voluntary.</w:t>
      </w:r>
    </w:p>
    <w:p w:rsidR="003B0815" w:rsidRDefault="003B0815" w14:paraId="18C3816B" w14:textId="77777777">
      <w:pPr>
        <w:spacing w:line="360" w:lineRule="auto"/>
        <w:ind w:firstLine="720"/>
        <w:rPr>
          <w:bCs/>
        </w:rPr>
      </w:pPr>
      <w:r>
        <w:t xml:space="preserve">Additionally, covered aircraft operators must transmit to TSA certain non-personally identifiable information </w:t>
      </w:r>
      <w:r>
        <w:rPr>
          <w:u w:val="single"/>
        </w:rPr>
        <w:t>such as itinerary information and record locator numbers.</w:t>
      </w:r>
      <w:r>
        <w:t xml:space="preserve">  The following chart details the information that TSA requires covered aircraft operators to request from passengers and certain non-traveling individuals, the information that those individuals are required to provide, and the information covered aircraft operators must transmit to TSA if available.  </w:t>
      </w:r>
      <w:r>
        <w:rPr>
          <w:bCs/>
        </w:rPr>
        <w:t>In the case of non-traveling individuals, airlines will send the airport code for the sterile area the individual seeks to enter.</w:t>
      </w:r>
    </w:p>
    <w:p w:rsidR="003B0815" w:rsidRDefault="003B0815" w14:paraId="1F48A770" w14:textId="77777777">
      <w:pPr>
        <w:keepNext/>
        <w:jc w:val="center"/>
        <w:outlineLvl w:val="0"/>
        <w:rPr>
          <w:b/>
          <w:szCs w:val="22"/>
        </w:rPr>
      </w:pPr>
      <w:r>
        <w:rPr>
          <w:b/>
          <w:szCs w:val="22"/>
        </w:rPr>
        <w:t>Information Collection Requirements for Secure Flight</w:t>
      </w:r>
    </w:p>
    <w:p w:rsidR="003B0815" w:rsidRDefault="003B0815" w14:paraId="414C24B1" w14:textId="77777777">
      <w:pPr>
        <w:keepNext/>
        <w:jc w:val="center"/>
        <w:rPr>
          <w:b/>
          <w:szCs w:val="22"/>
        </w:rPr>
      </w:pPr>
    </w:p>
    <w:tbl>
      <w:tblPr>
        <w:tblW w:w="0" w:type="auto"/>
        <w:jc w:val="center"/>
        <w:tblBorders>
          <w:top w:val="single" w:color="auto" w:sz="4" w:space="0"/>
          <w:bottom w:val="single" w:color="auto" w:sz="4" w:space="0"/>
          <w:insideH w:val="single" w:color="auto" w:sz="4" w:space="0"/>
          <w:insideV w:val="single" w:color="auto" w:sz="4" w:space="0"/>
        </w:tblBorders>
        <w:tblLayout w:type="fixed"/>
        <w:tblLook w:val="01E0" w:firstRow="1" w:lastRow="1" w:firstColumn="1" w:lastColumn="1" w:noHBand="0" w:noVBand="0"/>
      </w:tblPr>
      <w:tblGrid>
        <w:gridCol w:w="2619"/>
        <w:gridCol w:w="2040"/>
        <w:gridCol w:w="1800"/>
        <w:gridCol w:w="2040"/>
      </w:tblGrid>
      <w:tr w:rsidR="003B0815" w14:paraId="30FC6F20" w14:textId="77777777">
        <w:trPr>
          <w:trHeight w:val="2060"/>
          <w:jc w:val="center"/>
        </w:trPr>
        <w:tc>
          <w:tcPr>
            <w:tcW w:w="2619" w:type="dxa"/>
            <w:tcBorders>
              <w:bottom w:val="single" w:color="auto" w:sz="4" w:space="0"/>
            </w:tcBorders>
            <w:vAlign w:val="center"/>
          </w:tcPr>
          <w:p w:rsidR="003B0815" w:rsidRDefault="003B0815" w14:paraId="21286C33" w14:textId="77777777">
            <w:pPr>
              <w:keepNext/>
              <w:jc w:val="center"/>
              <w:rPr>
                <w:b/>
                <w:szCs w:val="22"/>
              </w:rPr>
            </w:pPr>
            <w:r>
              <w:rPr>
                <w:b/>
                <w:szCs w:val="22"/>
              </w:rPr>
              <w:t>Data Elements</w:t>
            </w:r>
          </w:p>
        </w:tc>
        <w:tc>
          <w:tcPr>
            <w:tcW w:w="2040" w:type="dxa"/>
            <w:tcBorders>
              <w:bottom w:val="single" w:color="auto" w:sz="4" w:space="0"/>
            </w:tcBorders>
            <w:vAlign w:val="center"/>
          </w:tcPr>
          <w:p w:rsidR="003B0815" w:rsidRDefault="003B0815" w14:paraId="26CBA876" w14:textId="77777777">
            <w:pPr>
              <w:keepNext/>
              <w:jc w:val="center"/>
              <w:rPr>
                <w:b/>
                <w:szCs w:val="22"/>
              </w:rPr>
            </w:pPr>
            <w:r>
              <w:rPr>
                <w:b/>
                <w:szCs w:val="22"/>
              </w:rPr>
              <w:t xml:space="preserve">Covered Aircraft Operators Must Request from Passengers and Certain Non-Travelers </w:t>
            </w:r>
          </w:p>
        </w:tc>
        <w:tc>
          <w:tcPr>
            <w:tcW w:w="1800" w:type="dxa"/>
            <w:tcBorders>
              <w:bottom w:val="single" w:color="auto" w:sz="4" w:space="0"/>
            </w:tcBorders>
            <w:vAlign w:val="center"/>
          </w:tcPr>
          <w:p w:rsidR="003B0815" w:rsidRDefault="003B0815" w14:paraId="6E0A78BA" w14:textId="77777777">
            <w:pPr>
              <w:keepNext/>
              <w:ind w:firstLine="12"/>
              <w:jc w:val="center"/>
              <w:rPr>
                <w:b/>
                <w:szCs w:val="22"/>
              </w:rPr>
            </w:pPr>
            <w:r>
              <w:rPr>
                <w:b/>
                <w:szCs w:val="22"/>
              </w:rPr>
              <w:t>Passengers and Certain Non-Travelers Must Provide at Time of Reservation</w:t>
            </w:r>
          </w:p>
        </w:tc>
        <w:tc>
          <w:tcPr>
            <w:tcW w:w="2040" w:type="dxa"/>
            <w:tcBorders>
              <w:bottom w:val="single" w:color="auto" w:sz="4" w:space="0"/>
            </w:tcBorders>
            <w:vAlign w:val="center"/>
          </w:tcPr>
          <w:p w:rsidR="003B0815" w:rsidRDefault="003B0815" w14:paraId="22C66AD0" w14:textId="77777777">
            <w:pPr>
              <w:keepNext/>
              <w:ind w:left="-26"/>
              <w:jc w:val="center"/>
              <w:rPr>
                <w:b/>
                <w:szCs w:val="22"/>
              </w:rPr>
            </w:pPr>
            <w:r>
              <w:rPr>
                <w:b/>
                <w:szCs w:val="22"/>
              </w:rPr>
              <w:t>Covered Aircraft Operators Must Transmit to TSA if Available</w:t>
            </w:r>
          </w:p>
        </w:tc>
      </w:tr>
      <w:tr w:rsidR="003B0815" w14:paraId="382A45AD" w14:textId="77777777">
        <w:trPr>
          <w:trHeight w:val="170"/>
          <w:jc w:val="center"/>
        </w:trPr>
        <w:tc>
          <w:tcPr>
            <w:tcW w:w="2619" w:type="dxa"/>
            <w:tcBorders>
              <w:bottom w:val="nil"/>
              <w:right w:val="single" w:color="auto" w:sz="4" w:space="0"/>
            </w:tcBorders>
            <w:vAlign w:val="center"/>
          </w:tcPr>
          <w:p w:rsidR="003B0815" w:rsidRDefault="003B0815" w14:paraId="5F3FF5FD" w14:textId="77777777">
            <w:pPr>
              <w:keepNext/>
              <w:rPr>
                <w:szCs w:val="22"/>
              </w:rPr>
            </w:pPr>
            <w:r>
              <w:rPr>
                <w:szCs w:val="22"/>
              </w:rPr>
              <w:t>Full Name</w:t>
            </w:r>
          </w:p>
        </w:tc>
        <w:tc>
          <w:tcPr>
            <w:tcW w:w="2040" w:type="dxa"/>
            <w:tcBorders>
              <w:left w:val="single" w:color="auto" w:sz="4" w:space="0"/>
              <w:bottom w:val="nil"/>
              <w:right w:val="single" w:color="auto" w:sz="4" w:space="0"/>
            </w:tcBorders>
            <w:vAlign w:val="center"/>
          </w:tcPr>
          <w:p w:rsidR="003B0815" w:rsidRDefault="003B0815" w14:paraId="33CCE32C" w14:textId="77777777">
            <w:pPr>
              <w:keepNext/>
              <w:jc w:val="center"/>
              <w:rPr>
                <w:szCs w:val="22"/>
              </w:rPr>
            </w:pPr>
            <w:r>
              <w:rPr>
                <w:szCs w:val="22"/>
              </w:rPr>
              <w:t>X</w:t>
            </w:r>
          </w:p>
        </w:tc>
        <w:tc>
          <w:tcPr>
            <w:tcW w:w="1800" w:type="dxa"/>
            <w:tcBorders>
              <w:left w:val="single" w:color="auto" w:sz="4" w:space="0"/>
              <w:bottom w:val="nil"/>
              <w:right w:val="single" w:color="auto" w:sz="4" w:space="0"/>
            </w:tcBorders>
            <w:vAlign w:val="center"/>
          </w:tcPr>
          <w:p w:rsidR="003B0815" w:rsidRDefault="003B0815" w14:paraId="5633D6EA" w14:textId="77777777">
            <w:pPr>
              <w:keepNext/>
              <w:jc w:val="center"/>
              <w:rPr>
                <w:szCs w:val="22"/>
              </w:rPr>
            </w:pPr>
            <w:r>
              <w:rPr>
                <w:szCs w:val="22"/>
              </w:rPr>
              <w:t>X</w:t>
            </w:r>
          </w:p>
        </w:tc>
        <w:tc>
          <w:tcPr>
            <w:tcW w:w="2040" w:type="dxa"/>
            <w:tcBorders>
              <w:left w:val="single" w:color="auto" w:sz="4" w:space="0"/>
              <w:bottom w:val="nil"/>
              <w:right w:val="nil"/>
            </w:tcBorders>
            <w:vAlign w:val="center"/>
          </w:tcPr>
          <w:p w:rsidR="003B0815" w:rsidRDefault="003B0815" w14:paraId="1DC8B73C" w14:textId="77777777">
            <w:pPr>
              <w:keepNext/>
              <w:jc w:val="center"/>
              <w:rPr>
                <w:szCs w:val="22"/>
              </w:rPr>
            </w:pPr>
            <w:r>
              <w:rPr>
                <w:szCs w:val="22"/>
              </w:rPr>
              <w:t>X</w:t>
            </w:r>
          </w:p>
        </w:tc>
      </w:tr>
      <w:tr w:rsidR="003B0815" w14:paraId="11EBD2F7" w14:textId="77777777">
        <w:trPr>
          <w:jc w:val="center"/>
        </w:trPr>
        <w:tc>
          <w:tcPr>
            <w:tcW w:w="2619" w:type="dxa"/>
            <w:tcBorders>
              <w:top w:val="nil"/>
              <w:bottom w:val="nil"/>
              <w:right w:val="single" w:color="auto" w:sz="4" w:space="0"/>
            </w:tcBorders>
            <w:vAlign w:val="center"/>
          </w:tcPr>
          <w:p w:rsidR="003B0815" w:rsidRDefault="003B0815" w14:paraId="48BFBF43" w14:textId="77777777">
            <w:pPr>
              <w:keepNext/>
              <w:rPr>
                <w:szCs w:val="22"/>
              </w:rPr>
            </w:pPr>
            <w:r>
              <w:rPr>
                <w:szCs w:val="22"/>
              </w:rPr>
              <w:t>Date of Birth</w:t>
            </w:r>
          </w:p>
        </w:tc>
        <w:tc>
          <w:tcPr>
            <w:tcW w:w="2040" w:type="dxa"/>
            <w:tcBorders>
              <w:top w:val="nil"/>
              <w:left w:val="single" w:color="auto" w:sz="4" w:space="0"/>
              <w:bottom w:val="nil"/>
              <w:right w:val="single" w:color="auto" w:sz="4" w:space="0"/>
            </w:tcBorders>
            <w:vAlign w:val="center"/>
          </w:tcPr>
          <w:p w:rsidR="003B0815" w:rsidRDefault="003B0815" w14:paraId="7F1936C4" w14:textId="77777777">
            <w:pPr>
              <w:keepNext/>
              <w:jc w:val="center"/>
              <w:rPr>
                <w:szCs w:val="22"/>
              </w:rPr>
            </w:pPr>
            <w:r>
              <w:rPr>
                <w:szCs w:val="22"/>
              </w:rPr>
              <w:t>X</w:t>
            </w:r>
          </w:p>
        </w:tc>
        <w:tc>
          <w:tcPr>
            <w:tcW w:w="1800" w:type="dxa"/>
            <w:tcBorders>
              <w:top w:val="nil"/>
              <w:left w:val="single" w:color="auto" w:sz="4" w:space="0"/>
              <w:bottom w:val="nil"/>
              <w:right w:val="single" w:color="auto" w:sz="4" w:space="0"/>
            </w:tcBorders>
            <w:vAlign w:val="center"/>
          </w:tcPr>
          <w:p w:rsidR="003B0815" w:rsidRDefault="003B0815" w14:paraId="0556FDB6" w14:textId="77777777">
            <w:pPr>
              <w:keepNext/>
              <w:jc w:val="center"/>
              <w:rPr>
                <w:szCs w:val="22"/>
              </w:rPr>
            </w:pPr>
            <w:r>
              <w:rPr>
                <w:szCs w:val="22"/>
              </w:rPr>
              <w:t>X</w:t>
            </w:r>
          </w:p>
        </w:tc>
        <w:tc>
          <w:tcPr>
            <w:tcW w:w="2040" w:type="dxa"/>
            <w:tcBorders>
              <w:top w:val="nil"/>
              <w:left w:val="single" w:color="auto" w:sz="4" w:space="0"/>
              <w:bottom w:val="nil"/>
              <w:right w:val="nil"/>
            </w:tcBorders>
            <w:vAlign w:val="center"/>
          </w:tcPr>
          <w:p w:rsidR="003B0815" w:rsidRDefault="003B0815" w14:paraId="754FD002" w14:textId="77777777">
            <w:pPr>
              <w:keepNext/>
              <w:jc w:val="center"/>
              <w:rPr>
                <w:szCs w:val="22"/>
              </w:rPr>
            </w:pPr>
            <w:r>
              <w:rPr>
                <w:szCs w:val="22"/>
              </w:rPr>
              <w:t>X</w:t>
            </w:r>
          </w:p>
        </w:tc>
      </w:tr>
      <w:tr w:rsidR="003B0815" w14:paraId="32DB3186" w14:textId="77777777">
        <w:trPr>
          <w:jc w:val="center"/>
        </w:trPr>
        <w:tc>
          <w:tcPr>
            <w:tcW w:w="2619" w:type="dxa"/>
            <w:tcBorders>
              <w:top w:val="nil"/>
              <w:bottom w:val="nil"/>
              <w:right w:val="single" w:color="auto" w:sz="4" w:space="0"/>
            </w:tcBorders>
            <w:vAlign w:val="center"/>
          </w:tcPr>
          <w:p w:rsidR="003B0815" w:rsidRDefault="003B0815" w14:paraId="1F09197C" w14:textId="77777777">
            <w:pPr>
              <w:keepNext/>
              <w:rPr>
                <w:szCs w:val="22"/>
              </w:rPr>
            </w:pPr>
            <w:r>
              <w:rPr>
                <w:szCs w:val="22"/>
              </w:rPr>
              <w:t>Gender</w:t>
            </w:r>
          </w:p>
        </w:tc>
        <w:tc>
          <w:tcPr>
            <w:tcW w:w="2040" w:type="dxa"/>
            <w:tcBorders>
              <w:top w:val="nil"/>
              <w:left w:val="single" w:color="auto" w:sz="4" w:space="0"/>
              <w:bottom w:val="nil"/>
              <w:right w:val="single" w:color="auto" w:sz="4" w:space="0"/>
            </w:tcBorders>
            <w:vAlign w:val="center"/>
          </w:tcPr>
          <w:p w:rsidR="003B0815" w:rsidRDefault="003B0815" w14:paraId="3B237606" w14:textId="77777777">
            <w:pPr>
              <w:keepNext/>
              <w:jc w:val="center"/>
              <w:rPr>
                <w:szCs w:val="22"/>
              </w:rPr>
            </w:pPr>
            <w:r>
              <w:rPr>
                <w:szCs w:val="22"/>
              </w:rPr>
              <w:t>X</w:t>
            </w:r>
          </w:p>
        </w:tc>
        <w:tc>
          <w:tcPr>
            <w:tcW w:w="1800" w:type="dxa"/>
            <w:tcBorders>
              <w:top w:val="nil"/>
              <w:left w:val="single" w:color="auto" w:sz="4" w:space="0"/>
              <w:bottom w:val="nil"/>
              <w:right w:val="single" w:color="auto" w:sz="4" w:space="0"/>
            </w:tcBorders>
            <w:vAlign w:val="center"/>
          </w:tcPr>
          <w:p w:rsidR="003B0815" w:rsidRDefault="003B0815" w14:paraId="5A73A510" w14:textId="77777777">
            <w:pPr>
              <w:keepNext/>
              <w:jc w:val="center"/>
              <w:rPr>
                <w:szCs w:val="22"/>
              </w:rPr>
            </w:pPr>
            <w:r>
              <w:rPr>
                <w:szCs w:val="22"/>
              </w:rPr>
              <w:t>X</w:t>
            </w:r>
          </w:p>
        </w:tc>
        <w:tc>
          <w:tcPr>
            <w:tcW w:w="2040" w:type="dxa"/>
            <w:tcBorders>
              <w:top w:val="nil"/>
              <w:left w:val="single" w:color="auto" w:sz="4" w:space="0"/>
              <w:bottom w:val="nil"/>
              <w:right w:val="nil"/>
            </w:tcBorders>
            <w:vAlign w:val="center"/>
          </w:tcPr>
          <w:p w:rsidR="003B0815" w:rsidRDefault="003B0815" w14:paraId="21902B55" w14:textId="77777777">
            <w:pPr>
              <w:keepNext/>
              <w:jc w:val="center"/>
              <w:rPr>
                <w:szCs w:val="22"/>
              </w:rPr>
            </w:pPr>
            <w:r>
              <w:rPr>
                <w:szCs w:val="22"/>
              </w:rPr>
              <w:t>X</w:t>
            </w:r>
          </w:p>
        </w:tc>
      </w:tr>
      <w:tr w:rsidR="003B0815" w14:paraId="52712D96" w14:textId="77777777">
        <w:trPr>
          <w:jc w:val="center"/>
        </w:trPr>
        <w:tc>
          <w:tcPr>
            <w:tcW w:w="2619" w:type="dxa"/>
            <w:tcBorders>
              <w:top w:val="nil"/>
              <w:bottom w:val="nil"/>
              <w:right w:val="single" w:color="auto" w:sz="4" w:space="0"/>
            </w:tcBorders>
            <w:vAlign w:val="center"/>
          </w:tcPr>
          <w:p w:rsidR="003B0815" w:rsidRDefault="003B0815" w14:paraId="1E07ACC3" w14:textId="77777777">
            <w:pPr>
              <w:keepNext/>
              <w:rPr>
                <w:szCs w:val="22"/>
              </w:rPr>
            </w:pPr>
            <w:r>
              <w:rPr>
                <w:szCs w:val="22"/>
              </w:rPr>
              <w:t>Redress Number or Known Traveler Number</w:t>
            </w:r>
          </w:p>
        </w:tc>
        <w:tc>
          <w:tcPr>
            <w:tcW w:w="2040" w:type="dxa"/>
            <w:tcBorders>
              <w:top w:val="nil"/>
              <w:left w:val="single" w:color="auto" w:sz="4" w:space="0"/>
              <w:bottom w:val="nil"/>
              <w:right w:val="single" w:color="auto" w:sz="4" w:space="0"/>
            </w:tcBorders>
            <w:vAlign w:val="center"/>
          </w:tcPr>
          <w:p w:rsidR="003B0815" w:rsidRDefault="003B0815" w14:paraId="277B6878" w14:textId="77777777">
            <w:pPr>
              <w:keepNext/>
              <w:jc w:val="center"/>
              <w:rPr>
                <w:szCs w:val="22"/>
              </w:rPr>
            </w:pPr>
            <w:r>
              <w:rPr>
                <w:szCs w:val="22"/>
              </w:rPr>
              <w:t>X</w:t>
            </w:r>
          </w:p>
        </w:tc>
        <w:tc>
          <w:tcPr>
            <w:tcW w:w="1800" w:type="dxa"/>
            <w:tcBorders>
              <w:top w:val="nil"/>
              <w:left w:val="single" w:color="auto" w:sz="4" w:space="0"/>
              <w:bottom w:val="nil"/>
              <w:right w:val="single" w:color="auto" w:sz="4" w:space="0"/>
            </w:tcBorders>
            <w:vAlign w:val="center"/>
          </w:tcPr>
          <w:p w:rsidR="003B0815" w:rsidRDefault="003B0815" w14:paraId="44637CD7" w14:textId="77777777">
            <w:pPr>
              <w:keepNext/>
              <w:jc w:val="center"/>
              <w:rPr>
                <w:szCs w:val="22"/>
              </w:rPr>
            </w:pPr>
          </w:p>
        </w:tc>
        <w:tc>
          <w:tcPr>
            <w:tcW w:w="2040" w:type="dxa"/>
            <w:tcBorders>
              <w:top w:val="nil"/>
              <w:left w:val="single" w:color="auto" w:sz="4" w:space="0"/>
              <w:bottom w:val="nil"/>
              <w:right w:val="nil"/>
            </w:tcBorders>
            <w:vAlign w:val="center"/>
          </w:tcPr>
          <w:p w:rsidR="003B0815" w:rsidRDefault="003B0815" w14:paraId="37B91541" w14:textId="77777777">
            <w:pPr>
              <w:keepNext/>
              <w:jc w:val="center"/>
              <w:rPr>
                <w:szCs w:val="22"/>
              </w:rPr>
            </w:pPr>
            <w:r>
              <w:rPr>
                <w:szCs w:val="22"/>
              </w:rPr>
              <w:t>X</w:t>
            </w:r>
          </w:p>
        </w:tc>
      </w:tr>
      <w:tr w:rsidR="003B0815" w14:paraId="268E831D" w14:textId="77777777">
        <w:trPr>
          <w:jc w:val="center"/>
        </w:trPr>
        <w:tc>
          <w:tcPr>
            <w:tcW w:w="2619" w:type="dxa"/>
            <w:tcBorders>
              <w:top w:val="nil"/>
              <w:bottom w:val="nil"/>
              <w:right w:val="single" w:color="auto" w:sz="4" w:space="0"/>
            </w:tcBorders>
            <w:vAlign w:val="center"/>
          </w:tcPr>
          <w:p w:rsidR="003B0815" w:rsidRDefault="003B0815" w14:paraId="5AEEBE90" w14:textId="77777777">
            <w:pPr>
              <w:keepNext/>
              <w:rPr>
                <w:szCs w:val="22"/>
              </w:rPr>
            </w:pPr>
            <w:r>
              <w:rPr>
                <w:szCs w:val="22"/>
              </w:rPr>
              <w:t>Passport Information</w:t>
            </w:r>
            <w:r>
              <w:rPr>
                <w:rStyle w:val="FootnoteReference"/>
                <w:szCs w:val="22"/>
              </w:rPr>
              <w:footnoteReference w:id="1"/>
            </w:r>
          </w:p>
        </w:tc>
        <w:tc>
          <w:tcPr>
            <w:tcW w:w="2040" w:type="dxa"/>
            <w:tcBorders>
              <w:top w:val="nil"/>
              <w:left w:val="single" w:color="auto" w:sz="4" w:space="0"/>
              <w:bottom w:val="nil"/>
              <w:right w:val="single" w:color="auto" w:sz="4" w:space="0"/>
            </w:tcBorders>
            <w:vAlign w:val="center"/>
          </w:tcPr>
          <w:p w:rsidR="003B0815" w:rsidRDefault="003B0815" w14:paraId="141189CF" w14:textId="77777777">
            <w:pPr>
              <w:keepNext/>
              <w:jc w:val="center"/>
              <w:rPr>
                <w:szCs w:val="22"/>
              </w:rPr>
            </w:pPr>
          </w:p>
        </w:tc>
        <w:tc>
          <w:tcPr>
            <w:tcW w:w="1800" w:type="dxa"/>
            <w:tcBorders>
              <w:top w:val="nil"/>
              <w:left w:val="single" w:color="auto" w:sz="4" w:space="0"/>
              <w:bottom w:val="nil"/>
              <w:right w:val="single" w:color="auto" w:sz="4" w:space="0"/>
            </w:tcBorders>
            <w:vAlign w:val="center"/>
          </w:tcPr>
          <w:p w:rsidR="003B0815" w:rsidRDefault="003B0815" w14:paraId="7FE08876" w14:textId="77777777">
            <w:pPr>
              <w:keepNext/>
              <w:jc w:val="center"/>
              <w:rPr>
                <w:szCs w:val="22"/>
              </w:rPr>
            </w:pPr>
          </w:p>
        </w:tc>
        <w:tc>
          <w:tcPr>
            <w:tcW w:w="2040" w:type="dxa"/>
            <w:tcBorders>
              <w:top w:val="nil"/>
              <w:left w:val="single" w:color="auto" w:sz="4" w:space="0"/>
              <w:bottom w:val="nil"/>
              <w:right w:val="nil"/>
            </w:tcBorders>
            <w:vAlign w:val="center"/>
          </w:tcPr>
          <w:p w:rsidR="003B0815" w:rsidRDefault="003B0815" w14:paraId="63E014E5" w14:textId="77777777">
            <w:pPr>
              <w:keepNext/>
              <w:jc w:val="center"/>
              <w:rPr>
                <w:szCs w:val="22"/>
              </w:rPr>
            </w:pPr>
            <w:r>
              <w:rPr>
                <w:szCs w:val="22"/>
              </w:rPr>
              <w:t>X</w:t>
            </w:r>
          </w:p>
        </w:tc>
      </w:tr>
      <w:tr w:rsidR="003B0815" w14:paraId="7340AA56" w14:textId="77777777">
        <w:trPr>
          <w:jc w:val="center"/>
        </w:trPr>
        <w:tc>
          <w:tcPr>
            <w:tcW w:w="2619" w:type="dxa"/>
            <w:tcBorders>
              <w:top w:val="nil"/>
              <w:bottom w:val="nil"/>
              <w:right w:val="single" w:color="auto" w:sz="4" w:space="0"/>
            </w:tcBorders>
            <w:vAlign w:val="center"/>
          </w:tcPr>
          <w:p w:rsidR="003B0815" w:rsidRDefault="003B0815" w14:paraId="4448B4EB" w14:textId="77777777">
            <w:pPr>
              <w:keepNext/>
              <w:rPr>
                <w:szCs w:val="22"/>
              </w:rPr>
            </w:pPr>
            <w:r>
              <w:rPr>
                <w:szCs w:val="22"/>
              </w:rPr>
              <w:t>Itinerary Information</w:t>
            </w:r>
            <w:r>
              <w:rPr>
                <w:rStyle w:val="FootnoteReference"/>
                <w:szCs w:val="22"/>
              </w:rPr>
              <w:footnoteReference w:id="2"/>
            </w:r>
          </w:p>
        </w:tc>
        <w:tc>
          <w:tcPr>
            <w:tcW w:w="2040" w:type="dxa"/>
            <w:tcBorders>
              <w:top w:val="nil"/>
              <w:left w:val="single" w:color="auto" w:sz="4" w:space="0"/>
              <w:bottom w:val="nil"/>
              <w:right w:val="single" w:color="auto" w:sz="4" w:space="0"/>
            </w:tcBorders>
            <w:vAlign w:val="center"/>
          </w:tcPr>
          <w:p w:rsidR="003B0815" w:rsidRDefault="003B0815" w14:paraId="34517CDB" w14:textId="77777777">
            <w:pPr>
              <w:keepNext/>
              <w:jc w:val="center"/>
              <w:rPr>
                <w:szCs w:val="22"/>
              </w:rPr>
            </w:pPr>
          </w:p>
        </w:tc>
        <w:tc>
          <w:tcPr>
            <w:tcW w:w="1800" w:type="dxa"/>
            <w:tcBorders>
              <w:top w:val="nil"/>
              <w:left w:val="single" w:color="auto" w:sz="4" w:space="0"/>
              <w:bottom w:val="nil"/>
              <w:right w:val="single" w:color="auto" w:sz="4" w:space="0"/>
            </w:tcBorders>
            <w:vAlign w:val="center"/>
          </w:tcPr>
          <w:p w:rsidR="003B0815" w:rsidRDefault="003B0815" w14:paraId="352F9D19" w14:textId="77777777">
            <w:pPr>
              <w:keepNext/>
              <w:jc w:val="center"/>
              <w:rPr>
                <w:szCs w:val="22"/>
              </w:rPr>
            </w:pPr>
          </w:p>
        </w:tc>
        <w:tc>
          <w:tcPr>
            <w:tcW w:w="2040" w:type="dxa"/>
            <w:tcBorders>
              <w:top w:val="nil"/>
              <w:left w:val="single" w:color="auto" w:sz="4" w:space="0"/>
              <w:bottom w:val="nil"/>
              <w:right w:val="nil"/>
            </w:tcBorders>
            <w:vAlign w:val="center"/>
          </w:tcPr>
          <w:p w:rsidR="003B0815" w:rsidRDefault="003B0815" w14:paraId="7EAAA31E" w14:textId="77777777">
            <w:pPr>
              <w:keepNext/>
              <w:jc w:val="center"/>
              <w:rPr>
                <w:szCs w:val="22"/>
              </w:rPr>
            </w:pPr>
            <w:r>
              <w:rPr>
                <w:szCs w:val="22"/>
              </w:rPr>
              <w:t>X</w:t>
            </w:r>
          </w:p>
        </w:tc>
      </w:tr>
      <w:tr w:rsidR="003B0815" w14:paraId="1F8299B5" w14:textId="77777777">
        <w:trPr>
          <w:jc w:val="center"/>
        </w:trPr>
        <w:tc>
          <w:tcPr>
            <w:tcW w:w="2619" w:type="dxa"/>
            <w:tcBorders>
              <w:top w:val="nil"/>
              <w:bottom w:val="nil"/>
              <w:right w:val="single" w:color="auto" w:sz="4" w:space="0"/>
            </w:tcBorders>
            <w:vAlign w:val="center"/>
          </w:tcPr>
          <w:p w:rsidR="003B0815" w:rsidRDefault="003B0815" w14:paraId="12D38993" w14:textId="77777777">
            <w:pPr>
              <w:keepNext/>
              <w:rPr>
                <w:szCs w:val="22"/>
              </w:rPr>
            </w:pPr>
            <w:r>
              <w:rPr>
                <w:szCs w:val="22"/>
              </w:rPr>
              <w:t>Reservation Control Number</w:t>
            </w:r>
          </w:p>
        </w:tc>
        <w:tc>
          <w:tcPr>
            <w:tcW w:w="2040" w:type="dxa"/>
            <w:tcBorders>
              <w:top w:val="nil"/>
              <w:left w:val="single" w:color="auto" w:sz="4" w:space="0"/>
              <w:bottom w:val="nil"/>
              <w:right w:val="single" w:color="auto" w:sz="4" w:space="0"/>
            </w:tcBorders>
            <w:vAlign w:val="center"/>
          </w:tcPr>
          <w:p w:rsidR="003B0815" w:rsidRDefault="003B0815" w14:paraId="58518845" w14:textId="77777777">
            <w:pPr>
              <w:keepNext/>
              <w:jc w:val="center"/>
              <w:rPr>
                <w:szCs w:val="22"/>
              </w:rPr>
            </w:pPr>
          </w:p>
        </w:tc>
        <w:tc>
          <w:tcPr>
            <w:tcW w:w="1800" w:type="dxa"/>
            <w:tcBorders>
              <w:top w:val="nil"/>
              <w:left w:val="single" w:color="auto" w:sz="4" w:space="0"/>
              <w:bottom w:val="nil"/>
              <w:right w:val="single" w:color="auto" w:sz="4" w:space="0"/>
            </w:tcBorders>
            <w:vAlign w:val="center"/>
          </w:tcPr>
          <w:p w:rsidR="003B0815" w:rsidRDefault="003B0815" w14:paraId="4AE59DED" w14:textId="77777777">
            <w:pPr>
              <w:keepNext/>
              <w:jc w:val="center"/>
              <w:rPr>
                <w:szCs w:val="22"/>
              </w:rPr>
            </w:pPr>
          </w:p>
        </w:tc>
        <w:tc>
          <w:tcPr>
            <w:tcW w:w="2040" w:type="dxa"/>
            <w:tcBorders>
              <w:top w:val="nil"/>
              <w:left w:val="single" w:color="auto" w:sz="4" w:space="0"/>
              <w:bottom w:val="nil"/>
              <w:right w:val="nil"/>
            </w:tcBorders>
            <w:vAlign w:val="center"/>
          </w:tcPr>
          <w:p w:rsidR="003B0815" w:rsidRDefault="003B0815" w14:paraId="65E86549" w14:textId="77777777">
            <w:pPr>
              <w:keepNext/>
              <w:jc w:val="center"/>
              <w:rPr>
                <w:szCs w:val="22"/>
              </w:rPr>
            </w:pPr>
            <w:r>
              <w:rPr>
                <w:szCs w:val="22"/>
              </w:rPr>
              <w:t>X</w:t>
            </w:r>
          </w:p>
        </w:tc>
      </w:tr>
      <w:tr w:rsidR="003B0815" w14:paraId="769C6610" w14:textId="77777777">
        <w:trPr>
          <w:jc w:val="center"/>
        </w:trPr>
        <w:tc>
          <w:tcPr>
            <w:tcW w:w="2619" w:type="dxa"/>
            <w:tcBorders>
              <w:top w:val="nil"/>
              <w:bottom w:val="nil"/>
              <w:right w:val="single" w:color="auto" w:sz="4" w:space="0"/>
            </w:tcBorders>
            <w:vAlign w:val="center"/>
          </w:tcPr>
          <w:p w:rsidR="003B0815" w:rsidRDefault="003B0815" w14:paraId="704F75B7" w14:textId="77777777">
            <w:pPr>
              <w:keepNext/>
              <w:rPr>
                <w:szCs w:val="22"/>
              </w:rPr>
            </w:pPr>
            <w:r>
              <w:rPr>
                <w:szCs w:val="22"/>
              </w:rPr>
              <w:t>Record Sequence Number</w:t>
            </w:r>
          </w:p>
        </w:tc>
        <w:tc>
          <w:tcPr>
            <w:tcW w:w="2040" w:type="dxa"/>
            <w:tcBorders>
              <w:top w:val="nil"/>
              <w:left w:val="single" w:color="auto" w:sz="4" w:space="0"/>
              <w:bottom w:val="nil"/>
              <w:right w:val="single" w:color="auto" w:sz="4" w:space="0"/>
            </w:tcBorders>
            <w:vAlign w:val="center"/>
          </w:tcPr>
          <w:p w:rsidR="003B0815" w:rsidRDefault="003B0815" w14:paraId="3363D9D4" w14:textId="77777777">
            <w:pPr>
              <w:keepNext/>
              <w:jc w:val="center"/>
              <w:rPr>
                <w:szCs w:val="22"/>
              </w:rPr>
            </w:pPr>
          </w:p>
        </w:tc>
        <w:tc>
          <w:tcPr>
            <w:tcW w:w="1800" w:type="dxa"/>
            <w:tcBorders>
              <w:top w:val="nil"/>
              <w:left w:val="single" w:color="auto" w:sz="4" w:space="0"/>
              <w:bottom w:val="nil"/>
              <w:right w:val="single" w:color="auto" w:sz="4" w:space="0"/>
            </w:tcBorders>
            <w:vAlign w:val="center"/>
          </w:tcPr>
          <w:p w:rsidR="003B0815" w:rsidRDefault="003B0815" w14:paraId="18A866AC" w14:textId="77777777">
            <w:pPr>
              <w:keepNext/>
              <w:jc w:val="center"/>
              <w:rPr>
                <w:szCs w:val="22"/>
              </w:rPr>
            </w:pPr>
          </w:p>
        </w:tc>
        <w:tc>
          <w:tcPr>
            <w:tcW w:w="2040" w:type="dxa"/>
            <w:tcBorders>
              <w:top w:val="nil"/>
              <w:left w:val="single" w:color="auto" w:sz="4" w:space="0"/>
              <w:bottom w:val="nil"/>
              <w:right w:val="nil"/>
            </w:tcBorders>
            <w:vAlign w:val="center"/>
          </w:tcPr>
          <w:p w:rsidR="003B0815" w:rsidRDefault="003B0815" w14:paraId="0F7780FF" w14:textId="77777777">
            <w:pPr>
              <w:keepNext/>
              <w:jc w:val="center"/>
              <w:rPr>
                <w:szCs w:val="22"/>
              </w:rPr>
            </w:pPr>
            <w:r>
              <w:rPr>
                <w:szCs w:val="22"/>
              </w:rPr>
              <w:t>X</w:t>
            </w:r>
          </w:p>
        </w:tc>
      </w:tr>
      <w:tr w:rsidR="003B0815" w14:paraId="413B60FB" w14:textId="77777777">
        <w:trPr>
          <w:jc w:val="center"/>
        </w:trPr>
        <w:tc>
          <w:tcPr>
            <w:tcW w:w="2619" w:type="dxa"/>
            <w:tcBorders>
              <w:top w:val="nil"/>
              <w:bottom w:val="nil"/>
              <w:right w:val="single" w:color="auto" w:sz="4" w:space="0"/>
            </w:tcBorders>
            <w:vAlign w:val="center"/>
          </w:tcPr>
          <w:p w:rsidR="003B0815" w:rsidRDefault="003B0815" w14:paraId="69047330" w14:textId="77777777">
            <w:pPr>
              <w:keepNext/>
              <w:rPr>
                <w:szCs w:val="22"/>
              </w:rPr>
            </w:pPr>
            <w:r>
              <w:rPr>
                <w:szCs w:val="22"/>
              </w:rPr>
              <w:t>Record Type</w:t>
            </w:r>
          </w:p>
        </w:tc>
        <w:tc>
          <w:tcPr>
            <w:tcW w:w="2040" w:type="dxa"/>
            <w:tcBorders>
              <w:top w:val="nil"/>
              <w:left w:val="single" w:color="auto" w:sz="4" w:space="0"/>
              <w:bottom w:val="nil"/>
              <w:right w:val="single" w:color="auto" w:sz="4" w:space="0"/>
            </w:tcBorders>
            <w:vAlign w:val="center"/>
          </w:tcPr>
          <w:p w:rsidR="003B0815" w:rsidRDefault="003B0815" w14:paraId="6AC3F08C" w14:textId="77777777">
            <w:pPr>
              <w:keepNext/>
              <w:jc w:val="center"/>
              <w:rPr>
                <w:szCs w:val="22"/>
              </w:rPr>
            </w:pPr>
          </w:p>
        </w:tc>
        <w:tc>
          <w:tcPr>
            <w:tcW w:w="1800" w:type="dxa"/>
            <w:tcBorders>
              <w:top w:val="nil"/>
              <w:left w:val="single" w:color="auto" w:sz="4" w:space="0"/>
              <w:bottom w:val="nil"/>
              <w:right w:val="single" w:color="auto" w:sz="4" w:space="0"/>
            </w:tcBorders>
            <w:vAlign w:val="center"/>
          </w:tcPr>
          <w:p w:rsidR="003B0815" w:rsidRDefault="003B0815" w14:paraId="79F00B37" w14:textId="77777777">
            <w:pPr>
              <w:keepNext/>
              <w:jc w:val="center"/>
              <w:rPr>
                <w:szCs w:val="22"/>
              </w:rPr>
            </w:pPr>
          </w:p>
        </w:tc>
        <w:tc>
          <w:tcPr>
            <w:tcW w:w="2040" w:type="dxa"/>
            <w:tcBorders>
              <w:top w:val="nil"/>
              <w:left w:val="single" w:color="auto" w:sz="4" w:space="0"/>
              <w:bottom w:val="nil"/>
              <w:right w:val="nil"/>
            </w:tcBorders>
            <w:vAlign w:val="center"/>
          </w:tcPr>
          <w:p w:rsidR="003B0815" w:rsidRDefault="003B0815" w14:paraId="08EB2D74" w14:textId="77777777">
            <w:pPr>
              <w:keepNext/>
              <w:jc w:val="center"/>
              <w:rPr>
                <w:szCs w:val="22"/>
              </w:rPr>
            </w:pPr>
            <w:r>
              <w:rPr>
                <w:szCs w:val="22"/>
              </w:rPr>
              <w:t>X</w:t>
            </w:r>
          </w:p>
        </w:tc>
      </w:tr>
      <w:tr w:rsidR="003B0815" w14:paraId="3B4DD44E" w14:textId="77777777">
        <w:trPr>
          <w:trHeight w:val="80"/>
          <w:jc w:val="center"/>
        </w:trPr>
        <w:tc>
          <w:tcPr>
            <w:tcW w:w="2619" w:type="dxa"/>
            <w:tcBorders>
              <w:top w:val="nil"/>
              <w:bottom w:val="nil"/>
              <w:right w:val="single" w:color="auto" w:sz="4" w:space="0"/>
            </w:tcBorders>
            <w:vAlign w:val="center"/>
          </w:tcPr>
          <w:p w:rsidR="003B0815" w:rsidRDefault="003B0815" w14:paraId="1E044C9C" w14:textId="77777777">
            <w:pPr>
              <w:keepNext/>
              <w:rPr>
                <w:szCs w:val="22"/>
              </w:rPr>
            </w:pPr>
            <w:r>
              <w:rPr>
                <w:szCs w:val="22"/>
              </w:rPr>
              <w:t>Passenger Update Indicator</w:t>
            </w:r>
          </w:p>
        </w:tc>
        <w:tc>
          <w:tcPr>
            <w:tcW w:w="2040" w:type="dxa"/>
            <w:tcBorders>
              <w:top w:val="nil"/>
              <w:left w:val="single" w:color="auto" w:sz="4" w:space="0"/>
              <w:bottom w:val="nil"/>
              <w:right w:val="single" w:color="auto" w:sz="4" w:space="0"/>
            </w:tcBorders>
            <w:vAlign w:val="center"/>
          </w:tcPr>
          <w:p w:rsidR="003B0815" w:rsidRDefault="003B0815" w14:paraId="25FBC4D4" w14:textId="77777777">
            <w:pPr>
              <w:keepNext/>
              <w:jc w:val="center"/>
              <w:rPr>
                <w:szCs w:val="22"/>
              </w:rPr>
            </w:pPr>
          </w:p>
        </w:tc>
        <w:tc>
          <w:tcPr>
            <w:tcW w:w="1800" w:type="dxa"/>
            <w:tcBorders>
              <w:top w:val="nil"/>
              <w:left w:val="single" w:color="auto" w:sz="4" w:space="0"/>
              <w:bottom w:val="nil"/>
              <w:right w:val="single" w:color="auto" w:sz="4" w:space="0"/>
            </w:tcBorders>
            <w:vAlign w:val="center"/>
          </w:tcPr>
          <w:p w:rsidR="003B0815" w:rsidRDefault="003B0815" w14:paraId="46BACFC8" w14:textId="77777777">
            <w:pPr>
              <w:keepNext/>
              <w:jc w:val="center"/>
              <w:rPr>
                <w:szCs w:val="22"/>
              </w:rPr>
            </w:pPr>
          </w:p>
        </w:tc>
        <w:tc>
          <w:tcPr>
            <w:tcW w:w="2040" w:type="dxa"/>
            <w:tcBorders>
              <w:top w:val="nil"/>
              <w:left w:val="single" w:color="auto" w:sz="4" w:space="0"/>
              <w:bottom w:val="nil"/>
              <w:right w:val="nil"/>
            </w:tcBorders>
            <w:vAlign w:val="center"/>
          </w:tcPr>
          <w:p w:rsidR="003B0815" w:rsidRDefault="003B0815" w14:paraId="07C21289" w14:textId="77777777">
            <w:pPr>
              <w:keepNext/>
              <w:jc w:val="center"/>
              <w:rPr>
                <w:szCs w:val="22"/>
              </w:rPr>
            </w:pPr>
            <w:r>
              <w:rPr>
                <w:szCs w:val="22"/>
              </w:rPr>
              <w:t>X</w:t>
            </w:r>
          </w:p>
        </w:tc>
      </w:tr>
      <w:tr w:rsidR="003B0815" w14:paraId="49525C86" w14:textId="77777777">
        <w:trPr>
          <w:jc w:val="center"/>
        </w:trPr>
        <w:tc>
          <w:tcPr>
            <w:tcW w:w="2619" w:type="dxa"/>
            <w:tcBorders>
              <w:top w:val="nil"/>
              <w:right w:val="single" w:color="auto" w:sz="4" w:space="0"/>
            </w:tcBorders>
            <w:vAlign w:val="center"/>
          </w:tcPr>
          <w:p w:rsidR="003B0815" w:rsidRDefault="003B0815" w14:paraId="33D69991" w14:textId="77777777">
            <w:pPr>
              <w:keepNext/>
              <w:rPr>
                <w:szCs w:val="22"/>
              </w:rPr>
            </w:pPr>
            <w:r>
              <w:rPr>
                <w:szCs w:val="22"/>
              </w:rPr>
              <w:t>Traveler Reference Number</w:t>
            </w:r>
          </w:p>
        </w:tc>
        <w:tc>
          <w:tcPr>
            <w:tcW w:w="2040" w:type="dxa"/>
            <w:tcBorders>
              <w:top w:val="nil"/>
              <w:left w:val="single" w:color="auto" w:sz="4" w:space="0"/>
              <w:right w:val="single" w:color="auto" w:sz="4" w:space="0"/>
            </w:tcBorders>
            <w:vAlign w:val="center"/>
          </w:tcPr>
          <w:p w:rsidR="003B0815" w:rsidRDefault="003B0815" w14:paraId="4ACE125D" w14:textId="77777777">
            <w:pPr>
              <w:keepNext/>
              <w:jc w:val="center"/>
              <w:rPr>
                <w:szCs w:val="22"/>
              </w:rPr>
            </w:pPr>
          </w:p>
        </w:tc>
        <w:tc>
          <w:tcPr>
            <w:tcW w:w="1800" w:type="dxa"/>
            <w:tcBorders>
              <w:top w:val="nil"/>
              <w:left w:val="single" w:color="auto" w:sz="4" w:space="0"/>
              <w:right w:val="single" w:color="auto" w:sz="4" w:space="0"/>
            </w:tcBorders>
            <w:vAlign w:val="center"/>
          </w:tcPr>
          <w:p w:rsidR="003B0815" w:rsidRDefault="003B0815" w14:paraId="5EA34696" w14:textId="77777777">
            <w:pPr>
              <w:keepNext/>
              <w:jc w:val="center"/>
              <w:rPr>
                <w:szCs w:val="22"/>
              </w:rPr>
            </w:pPr>
          </w:p>
        </w:tc>
        <w:tc>
          <w:tcPr>
            <w:tcW w:w="2040" w:type="dxa"/>
            <w:tcBorders>
              <w:top w:val="nil"/>
              <w:left w:val="single" w:color="auto" w:sz="4" w:space="0"/>
              <w:right w:val="nil"/>
            </w:tcBorders>
            <w:vAlign w:val="center"/>
          </w:tcPr>
          <w:p w:rsidR="003B0815" w:rsidRDefault="003B0815" w14:paraId="38D7C94D" w14:textId="77777777">
            <w:pPr>
              <w:keepNext/>
              <w:jc w:val="center"/>
              <w:rPr>
                <w:szCs w:val="22"/>
              </w:rPr>
            </w:pPr>
            <w:r>
              <w:rPr>
                <w:szCs w:val="22"/>
              </w:rPr>
              <w:t>X</w:t>
            </w:r>
          </w:p>
        </w:tc>
      </w:tr>
    </w:tbl>
    <w:p w:rsidR="003B0815" w:rsidRDefault="003B0815" w14:paraId="77B45A71" w14:textId="77777777">
      <w:pPr>
        <w:jc w:val="center"/>
        <w:rPr>
          <w:szCs w:val="22"/>
        </w:rPr>
      </w:pPr>
    </w:p>
    <w:p w:rsidR="003B0815" w:rsidRDefault="003B0815" w14:paraId="5CFE921E" w14:textId="77777777">
      <w:pPr>
        <w:spacing w:line="360" w:lineRule="auto"/>
        <w:ind w:firstLine="720"/>
        <w:rPr>
          <w:bCs/>
        </w:rPr>
      </w:pPr>
    </w:p>
    <w:p w:rsidR="003B0815" w:rsidRDefault="003B0815" w14:paraId="2D38667C" w14:textId="77777777">
      <w:pPr>
        <w:spacing w:line="360" w:lineRule="auto"/>
        <w:ind w:firstLine="720"/>
      </w:pPr>
      <w:r>
        <w:rPr>
          <w:bCs/>
        </w:rPr>
        <w:t xml:space="preserve">TSA will compare each passenger’s and non-traveler’s data to the Federal Government’s consolidated watch lists and return a gate or boarding pass printing instruction to covered aircraft operators.  If TSA is unable to differentiate an individual from a person on the </w:t>
      </w:r>
      <w:smartTag w:uri="urn:schemas-microsoft-com:office:smarttags" w:element="place">
        <w:smartTag w:uri="urn:schemas-microsoft-com:office:smarttags" w:element="PlaceName">
          <w:r>
            <w:rPr>
              <w:bCs/>
            </w:rPr>
            <w:t>Terrorist</w:t>
          </w:r>
        </w:smartTag>
        <w:r>
          <w:rPr>
            <w:bCs/>
          </w:rPr>
          <w:t xml:space="preserve"> </w:t>
        </w:r>
        <w:smartTag w:uri="urn:schemas-microsoft-com:office:smarttags" w:element="PlaceName">
          <w:r>
            <w:rPr>
              <w:bCs/>
            </w:rPr>
            <w:t>Screening</w:t>
          </w:r>
        </w:smartTag>
        <w:r>
          <w:rPr>
            <w:bCs/>
          </w:rPr>
          <w:t xml:space="preserve"> </w:t>
        </w:r>
        <w:smartTag w:uri="urn:schemas-microsoft-com:office:smarttags" w:element="PlaceType">
          <w:r>
            <w:rPr>
              <w:bCs/>
            </w:rPr>
            <w:t>Center</w:t>
          </w:r>
        </w:smartTag>
      </w:smartTag>
      <w:r>
        <w:rPr>
          <w:bCs/>
        </w:rPr>
        <w:t>’s (TSC) Selectee or No Fly lists, covered aircraft operators must require the individual to present an unexpired government-issued photo ID with the individual’s full name and date of birth</w:t>
      </w:r>
      <w:r>
        <w:rPr>
          <w:snapToGrid w:val="0"/>
        </w:rPr>
        <w:t xml:space="preserve">.  The aircraft operator will </w:t>
      </w:r>
      <w:r>
        <w:t>submit to TSA additional identifying data from that identification in order to complete the watch list matching process.  In the event TSA cannot distinguish the individual from the person on the Selectee or No Fly Lists, TSA will direct the aircraft operator to deny the individual boarding and entry into the sterile area.</w:t>
      </w:r>
    </w:p>
    <w:p w:rsidR="003B0815" w:rsidRDefault="003B0815" w14:paraId="67C077DD" w14:textId="77777777">
      <w:pPr>
        <w:spacing w:line="360" w:lineRule="auto"/>
        <w:ind w:firstLine="720"/>
        <w:rPr>
          <w:snapToGrid w:val="0"/>
        </w:rPr>
      </w:pPr>
      <w:r>
        <w:rPr>
          <w:snapToGrid w:val="0"/>
        </w:rPr>
        <w:t>To ensure the integrity of the boarding pass printing results and to prevent use of fraudulent boarding passes, TSA will also provide instructions for placing separate bar codes on the boarding passes in the future in accordance with TSA instructions.</w:t>
      </w:r>
      <w:r>
        <w:rPr>
          <w:rStyle w:val="FootnoteReference"/>
          <w:snapToGrid w:val="0"/>
        </w:rPr>
        <w:footnoteReference w:id="3"/>
      </w:r>
      <w:r>
        <w:rPr>
          <w:snapToGrid w:val="0"/>
        </w:rPr>
        <w:t xml:space="preserve">  The Secure Flight system will automatically generate a unique code for each watch list result returned to covered aircraft operators.  Aircraft operators will be required to print this code separately from any other bar or optical code currently printed on a boarding or gate pass.  Personnel at security checkpoints will use this code to verify the authenticity of the boarding pass.  Depending upon its final implementation, security personnel may also use the code to verify that the ID presented at the checkpoint matches the information submitted to the Secure Flight system for that boarding or gate pass.</w:t>
      </w:r>
    </w:p>
    <w:p w:rsidR="003B0815" w:rsidRDefault="003B0815" w14:paraId="5DC34ACD" w14:textId="77777777">
      <w:pPr>
        <w:spacing w:line="360" w:lineRule="auto"/>
        <w:ind w:firstLine="720"/>
        <w:rPr>
          <w:b/>
        </w:rPr>
      </w:pPr>
      <w:r>
        <w:rPr>
          <w:bCs/>
        </w:rPr>
        <w:t xml:space="preserve">Finally, </w:t>
      </w:r>
      <w:r>
        <w:t>the rule requires covered aircraft operators to take reasonable steps to make available a privacy notice to individuals on a website or self-service kiosk informing them why the information described above is being collected, how it will be used, and that provision of the requested information is voluntary.</w:t>
      </w:r>
    </w:p>
    <w:p w:rsidR="003B0815" w:rsidRDefault="003B0815" w14:paraId="28197B6F" w14:textId="77777777">
      <w:pPr>
        <w:keepNext/>
        <w:spacing w:line="360" w:lineRule="auto"/>
        <w:rPr>
          <w:b/>
        </w:rPr>
      </w:pPr>
      <w:r>
        <w:rPr>
          <w:b/>
        </w:rPr>
        <w:t>Costs</w:t>
      </w:r>
    </w:p>
    <w:p w:rsidR="003B0815" w:rsidRDefault="003B0815" w14:paraId="74A10672" w14:textId="77777777">
      <w:pPr>
        <w:spacing w:line="360" w:lineRule="auto"/>
        <w:ind w:firstLine="720"/>
      </w:pPr>
      <w:r>
        <w:t>All costs in the following summary are discounted present value costs using a 7% discount rate over 10 years unless noted as an annual cost.  The table below provides totals in constant 2005 dollars as well as totals discounted at 7% and 3%.  Cost tables in Section 6 of the regulatory evaluation present year-by-year costs in constant 2005 dollars.  Both in this summary and the economic evaluation, descriptive language conveys the consequences of the regulation.  Although the regulatory evaluation attempts to mirror the terms and wording of the regulation, no attempt is made to precisely replicate the regulatory language and readers are cautioned that the actual regulatory text, not the text of the evaluation, is binding.</w:t>
      </w:r>
    </w:p>
    <w:p w:rsidR="003B0815" w:rsidRDefault="003B0815" w14:paraId="60813B4C" w14:textId="77777777">
      <w:pPr>
        <w:spacing w:line="360" w:lineRule="auto"/>
        <w:ind w:firstLine="720"/>
      </w:pPr>
      <w:r>
        <w:t>Given the global nature of commercial aviation and the prevalence of airline partnerships, TSA was unable to divide the incidence of the estimated costs between the domestic and foreign economies.  Thus, the table below presents the aggregate costs attributable to the Secure Flight final rule.  TSA has divided its discussion within each of the cost sections in the regulatory evaluation between domestic and international operations, reflecting the scope and phasing of the rule.  However, this distinction between costs accruing to domestic and international operations should not be confused with costs to the domestic and foreign economies.</w:t>
      </w:r>
    </w:p>
    <w:p w:rsidR="003B0815" w:rsidRDefault="003B0815" w14:paraId="58CCC46D" w14:textId="77777777">
      <w:pPr>
        <w:pStyle w:val="Caption"/>
        <w:keepNext/>
        <w:jc w:val="center"/>
      </w:pPr>
    </w:p>
    <w:tbl>
      <w:tblPr>
        <w:tblW w:w="869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left w:w="0" w:type="dxa"/>
          <w:right w:w="0" w:type="dxa"/>
        </w:tblCellMar>
        <w:tblLook w:val="01E0" w:firstRow="1" w:lastRow="1" w:firstColumn="1" w:lastColumn="1" w:noHBand="0" w:noVBand="0"/>
      </w:tblPr>
      <w:tblGrid>
        <w:gridCol w:w="1571"/>
        <w:gridCol w:w="1332"/>
        <w:gridCol w:w="1363"/>
        <w:gridCol w:w="1257"/>
        <w:gridCol w:w="1584"/>
        <w:gridCol w:w="1583"/>
      </w:tblGrid>
      <w:tr w:rsidR="003B0815" w14:paraId="6AAA372D" w14:textId="77777777">
        <w:trPr>
          <w:jc w:val="center"/>
        </w:trPr>
        <w:tc>
          <w:tcPr>
            <w:tcW w:w="8690" w:type="dxa"/>
            <w:gridSpan w:val="6"/>
            <w:tcBorders>
              <w:top w:val="nil"/>
              <w:left w:val="nil"/>
              <w:bottom w:val="single" w:color="auto" w:sz="12" w:space="0"/>
              <w:right w:val="nil"/>
            </w:tcBorders>
          </w:tcPr>
          <w:p w:rsidR="003B0815" w:rsidRDefault="003B0815" w14:paraId="42986011" w14:textId="77777777">
            <w:pPr>
              <w:pStyle w:val="RegEvalTableHeader"/>
              <w:keepNext/>
            </w:pPr>
            <w:bookmarkStart w:name="_Toc207109496" w:id="30"/>
            <w:r>
              <w:t>Total and Average Costs (Millions)</w:t>
            </w:r>
            <w:bookmarkEnd w:id="30"/>
          </w:p>
        </w:tc>
      </w:tr>
      <w:tr w:rsidR="003B0815" w14:paraId="5C52991C" w14:textId="77777777">
        <w:trPr>
          <w:cantSplit/>
          <w:jc w:val="center"/>
        </w:trPr>
        <w:tc>
          <w:tcPr>
            <w:tcW w:w="1571" w:type="dxa"/>
            <w:vMerge w:val="restart"/>
            <w:tcBorders>
              <w:top w:val="single" w:color="auto" w:sz="12" w:space="0"/>
              <w:right w:val="single" w:color="auto" w:sz="8" w:space="0"/>
            </w:tcBorders>
            <w:vAlign w:val="center"/>
          </w:tcPr>
          <w:p w:rsidR="003B0815" w:rsidRDefault="003B0815" w14:paraId="1F13B2BC" w14:textId="77777777">
            <w:pPr>
              <w:keepNext/>
              <w:jc w:val="center"/>
              <w:rPr>
                <w:rFonts w:ascii="Arial" w:hAnsi="Arial"/>
                <w:b/>
                <w:sz w:val="20"/>
                <w:szCs w:val="20"/>
              </w:rPr>
            </w:pPr>
            <w:r>
              <w:rPr>
                <w:rFonts w:ascii="Arial" w:hAnsi="Arial"/>
                <w:b/>
                <w:sz w:val="20"/>
                <w:szCs w:val="20"/>
              </w:rPr>
              <w:t>Cost Category</w:t>
            </w:r>
          </w:p>
        </w:tc>
        <w:tc>
          <w:tcPr>
            <w:tcW w:w="1332" w:type="dxa"/>
            <w:tcBorders>
              <w:top w:val="single" w:color="auto" w:sz="12" w:space="0"/>
              <w:left w:val="single" w:color="auto" w:sz="8" w:space="0"/>
              <w:bottom w:val="nil"/>
            </w:tcBorders>
            <w:vAlign w:val="center"/>
          </w:tcPr>
          <w:p w:rsidR="003B0815" w:rsidRDefault="003B0815" w14:paraId="51BC93AA" w14:textId="77777777">
            <w:pPr>
              <w:keepNext/>
              <w:jc w:val="center"/>
              <w:rPr>
                <w:rFonts w:ascii="Arial" w:hAnsi="Arial"/>
                <w:b/>
                <w:sz w:val="20"/>
                <w:szCs w:val="20"/>
              </w:rPr>
            </w:pPr>
            <w:r>
              <w:rPr>
                <w:rFonts w:ascii="Arial" w:hAnsi="Arial"/>
                <w:b/>
                <w:sz w:val="20"/>
                <w:szCs w:val="20"/>
              </w:rPr>
              <w:t>Average Annual Costs, undiscounted</w:t>
            </w:r>
          </w:p>
        </w:tc>
        <w:tc>
          <w:tcPr>
            <w:tcW w:w="1363" w:type="dxa"/>
            <w:tcBorders>
              <w:top w:val="single" w:color="auto" w:sz="12" w:space="0"/>
              <w:bottom w:val="nil"/>
            </w:tcBorders>
            <w:vAlign w:val="center"/>
          </w:tcPr>
          <w:p w:rsidR="003B0815" w:rsidRDefault="003B0815" w14:paraId="4A79B188" w14:textId="77777777">
            <w:pPr>
              <w:keepNext/>
              <w:jc w:val="center"/>
              <w:rPr>
                <w:rFonts w:ascii="Arial" w:hAnsi="Arial"/>
                <w:b/>
                <w:sz w:val="20"/>
                <w:szCs w:val="20"/>
              </w:rPr>
            </w:pPr>
            <w:r>
              <w:rPr>
                <w:rFonts w:ascii="Arial" w:hAnsi="Arial"/>
                <w:b/>
                <w:sz w:val="20"/>
                <w:szCs w:val="20"/>
              </w:rPr>
              <w:t>Average Annual Costs, discounted</w:t>
            </w:r>
          </w:p>
          <w:p w:rsidR="003B0815" w:rsidRDefault="003B0815" w14:paraId="399C80E7" w14:textId="77777777">
            <w:pPr>
              <w:keepNext/>
              <w:jc w:val="center"/>
              <w:rPr>
                <w:rFonts w:ascii="Arial" w:hAnsi="Arial"/>
                <w:b/>
                <w:sz w:val="20"/>
                <w:szCs w:val="20"/>
              </w:rPr>
            </w:pPr>
            <w:r>
              <w:rPr>
                <w:rFonts w:ascii="Arial" w:hAnsi="Arial"/>
                <w:b/>
                <w:sz w:val="20"/>
                <w:szCs w:val="20"/>
              </w:rPr>
              <w:t>3%</w:t>
            </w:r>
          </w:p>
        </w:tc>
        <w:tc>
          <w:tcPr>
            <w:tcW w:w="1257" w:type="dxa"/>
            <w:tcBorders>
              <w:top w:val="single" w:color="auto" w:sz="12" w:space="0"/>
              <w:bottom w:val="nil"/>
            </w:tcBorders>
            <w:vAlign w:val="center"/>
          </w:tcPr>
          <w:p w:rsidR="003B0815" w:rsidRDefault="003B0815" w14:paraId="4409F73C" w14:textId="77777777">
            <w:pPr>
              <w:keepNext/>
              <w:jc w:val="center"/>
              <w:rPr>
                <w:rFonts w:ascii="Arial" w:hAnsi="Arial"/>
                <w:b/>
                <w:sz w:val="20"/>
                <w:szCs w:val="20"/>
              </w:rPr>
            </w:pPr>
            <w:r>
              <w:rPr>
                <w:rFonts w:ascii="Arial" w:hAnsi="Arial"/>
                <w:b/>
                <w:sz w:val="20"/>
                <w:szCs w:val="20"/>
              </w:rPr>
              <w:t>Average Annual Costs, discounted</w:t>
            </w:r>
          </w:p>
          <w:p w:rsidR="003B0815" w:rsidRDefault="003B0815" w14:paraId="4D5E800E" w14:textId="77777777">
            <w:pPr>
              <w:keepNext/>
              <w:jc w:val="center"/>
              <w:rPr>
                <w:rFonts w:ascii="Arial" w:hAnsi="Arial"/>
                <w:b/>
                <w:sz w:val="20"/>
                <w:szCs w:val="20"/>
              </w:rPr>
            </w:pPr>
            <w:r>
              <w:rPr>
                <w:rFonts w:ascii="Arial" w:hAnsi="Arial"/>
                <w:b/>
                <w:sz w:val="20"/>
                <w:szCs w:val="20"/>
              </w:rPr>
              <w:t>7%</w:t>
            </w:r>
          </w:p>
        </w:tc>
        <w:tc>
          <w:tcPr>
            <w:tcW w:w="1584" w:type="dxa"/>
            <w:tcBorders>
              <w:top w:val="single" w:color="auto" w:sz="12" w:space="0"/>
              <w:bottom w:val="nil"/>
            </w:tcBorders>
            <w:vAlign w:val="center"/>
          </w:tcPr>
          <w:p w:rsidR="003B0815" w:rsidRDefault="003B0815" w14:paraId="3D6368F6" w14:textId="77777777">
            <w:pPr>
              <w:keepNext/>
              <w:jc w:val="center"/>
              <w:rPr>
                <w:rFonts w:ascii="Arial" w:hAnsi="Arial"/>
                <w:b/>
                <w:sz w:val="20"/>
                <w:szCs w:val="20"/>
              </w:rPr>
            </w:pPr>
            <w:r>
              <w:rPr>
                <w:rFonts w:ascii="Arial" w:hAnsi="Arial"/>
                <w:b/>
                <w:sz w:val="20"/>
                <w:szCs w:val="20"/>
              </w:rPr>
              <w:t>10 Year Total Costs, discounted</w:t>
            </w:r>
          </w:p>
          <w:p w:rsidR="003B0815" w:rsidRDefault="003B0815" w14:paraId="29BE70F9" w14:textId="77777777">
            <w:pPr>
              <w:keepNext/>
              <w:jc w:val="center"/>
              <w:rPr>
                <w:rFonts w:ascii="Arial" w:hAnsi="Arial"/>
                <w:b/>
                <w:sz w:val="20"/>
                <w:szCs w:val="20"/>
              </w:rPr>
            </w:pPr>
            <w:r>
              <w:rPr>
                <w:rFonts w:ascii="Arial" w:hAnsi="Arial"/>
                <w:b/>
                <w:sz w:val="20"/>
                <w:szCs w:val="20"/>
              </w:rPr>
              <w:t>3%</w:t>
            </w:r>
          </w:p>
        </w:tc>
        <w:tc>
          <w:tcPr>
            <w:tcW w:w="1583" w:type="dxa"/>
            <w:tcBorders>
              <w:top w:val="single" w:color="auto" w:sz="12" w:space="0"/>
              <w:bottom w:val="nil"/>
            </w:tcBorders>
            <w:vAlign w:val="center"/>
          </w:tcPr>
          <w:p w:rsidR="003B0815" w:rsidRDefault="003B0815" w14:paraId="0A00BE80" w14:textId="77777777">
            <w:pPr>
              <w:keepNext/>
              <w:jc w:val="center"/>
              <w:rPr>
                <w:rFonts w:ascii="Arial" w:hAnsi="Arial"/>
                <w:b/>
                <w:sz w:val="20"/>
                <w:szCs w:val="20"/>
              </w:rPr>
            </w:pPr>
            <w:r>
              <w:rPr>
                <w:rFonts w:ascii="Arial" w:hAnsi="Arial"/>
                <w:b/>
                <w:sz w:val="20"/>
                <w:szCs w:val="20"/>
              </w:rPr>
              <w:t>10 Year Total Costs, discounted</w:t>
            </w:r>
          </w:p>
          <w:p w:rsidR="003B0815" w:rsidRDefault="003B0815" w14:paraId="5998F743" w14:textId="77777777">
            <w:pPr>
              <w:keepNext/>
              <w:jc w:val="center"/>
              <w:rPr>
                <w:rFonts w:ascii="Arial" w:hAnsi="Arial"/>
                <w:b/>
                <w:sz w:val="20"/>
                <w:szCs w:val="20"/>
              </w:rPr>
            </w:pPr>
            <w:r>
              <w:rPr>
                <w:rFonts w:ascii="Arial" w:hAnsi="Arial"/>
                <w:b/>
                <w:sz w:val="20"/>
                <w:szCs w:val="20"/>
              </w:rPr>
              <w:t>7%</w:t>
            </w:r>
          </w:p>
        </w:tc>
      </w:tr>
      <w:tr w:rsidR="003B0815" w14:paraId="7D706B22" w14:textId="77777777">
        <w:trPr>
          <w:cantSplit/>
          <w:jc w:val="center"/>
        </w:trPr>
        <w:tc>
          <w:tcPr>
            <w:tcW w:w="1571" w:type="dxa"/>
            <w:vMerge/>
            <w:tcBorders>
              <w:bottom w:val="single" w:color="auto" w:sz="8" w:space="0"/>
              <w:right w:val="single" w:color="auto" w:sz="8" w:space="0"/>
            </w:tcBorders>
          </w:tcPr>
          <w:p w:rsidR="003B0815" w:rsidRDefault="003B0815" w14:paraId="67C8A3DB" w14:textId="77777777">
            <w:pPr>
              <w:keepNext/>
              <w:rPr>
                <w:rFonts w:ascii="Arial" w:hAnsi="Arial"/>
                <w:b/>
                <w:sz w:val="20"/>
                <w:szCs w:val="20"/>
              </w:rPr>
            </w:pPr>
          </w:p>
        </w:tc>
        <w:tc>
          <w:tcPr>
            <w:tcW w:w="1332" w:type="dxa"/>
            <w:tcBorders>
              <w:top w:val="nil"/>
              <w:left w:val="single" w:color="auto" w:sz="8" w:space="0"/>
              <w:bottom w:val="single" w:color="auto" w:sz="8" w:space="0"/>
            </w:tcBorders>
          </w:tcPr>
          <w:p w:rsidR="003B0815" w:rsidRDefault="003B0815" w14:paraId="1742FCDA" w14:textId="77777777">
            <w:pPr>
              <w:keepNext/>
              <w:jc w:val="center"/>
              <w:rPr>
                <w:rFonts w:ascii="Arial" w:hAnsi="Arial"/>
                <w:b/>
                <w:sz w:val="20"/>
                <w:szCs w:val="20"/>
              </w:rPr>
            </w:pPr>
            <w:r>
              <w:rPr>
                <w:rFonts w:ascii="Arial" w:hAnsi="Arial"/>
                <w:b/>
                <w:sz w:val="20"/>
                <w:szCs w:val="20"/>
              </w:rPr>
              <w:t>(Low – High)</w:t>
            </w:r>
          </w:p>
        </w:tc>
        <w:tc>
          <w:tcPr>
            <w:tcW w:w="1363" w:type="dxa"/>
            <w:tcBorders>
              <w:top w:val="nil"/>
              <w:bottom w:val="single" w:color="auto" w:sz="8" w:space="0"/>
            </w:tcBorders>
          </w:tcPr>
          <w:p w:rsidR="003B0815" w:rsidRDefault="003B0815" w14:paraId="7FEAE712" w14:textId="77777777">
            <w:pPr>
              <w:keepNext/>
              <w:jc w:val="center"/>
              <w:rPr>
                <w:rFonts w:ascii="Arial" w:hAnsi="Arial"/>
                <w:b/>
                <w:sz w:val="20"/>
                <w:szCs w:val="20"/>
              </w:rPr>
            </w:pPr>
            <w:r>
              <w:rPr>
                <w:rFonts w:ascii="Arial" w:hAnsi="Arial"/>
                <w:b/>
                <w:sz w:val="20"/>
                <w:szCs w:val="20"/>
              </w:rPr>
              <w:t>(Low – High)</w:t>
            </w:r>
          </w:p>
        </w:tc>
        <w:tc>
          <w:tcPr>
            <w:tcW w:w="1257" w:type="dxa"/>
            <w:tcBorders>
              <w:top w:val="nil"/>
              <w:bottom w:val="single" w:color="auto" w:sz="8" w:space="0"/>
            </w:tcBorders>
          </w:tcPr>
          <w:p w:rsidR="003B0815" w:rsidRDefault="003B0815" w14:paraId="71AFA05C" w14:textId="77777777">
            <w:pPr>
              <w:keepNext/>
              <w:jc w:val="center"/>
              <w:rPr>
                <w:rFonts w:ascii="Arial" w:hAnsi="Arial"/>
                <w:b/>
                <w:sz w:val="20"/>
                <w:szCs w:val="20"/>
              </w:rPr>
            </w:pPr>
            <w:r>
              <w:rPr>
                <w:rFonts w:ascii="Arial" w:hAnsi="Arial"/>
                <w:b/>
                <w:sz w:val="20"/>
                <w:szCs w:val="20"/>
              </w:rPr>
              <w:t>(Low – High)</w:t>
            </w:r>
          </w:p>
        </w:tc>
        <w:tc>
          <w:tcPr>
            <w:tcW w:w="1584" w:type="dxa"/>
            <w:tcBorders>
              <w:top w:val="nil"/>
              <w:bottom w:val="single" w:color="auto" w:sz="8" w:space="0"/>
            </w:tcBorders>
          </w:tcPr>
          <w:p w:rsidR="003B0815" w:rsidRDefault="003B0815" w14:paraId="79A7EF51" w14:textId="77777777">
            <w:pPr>
              <w:keepNext/>
              <w:jc w:val="center"/>
              <w:rPr>
                <w:rFonts w:ascii="Arial" w:hAnsi="Arial"/>
                <w:b/>
                <w:sz w:val="20"/>
                <w:szCs w:val="20"/>
              </w:rPr>
            </w:pPr>
            <w:r>
              <w:rPr>
                <w:rFonts w:ascii="Arial" w:hAnsi="Arial"/>
                <w:b/>
                <w:sz w:val="20"/>
                <w:szCs w:val="20"/>
              </w:rPr>
              <w:t>(Low – High)</w:t>
            </w:r>
          </w:p>
        </w:tc>
        <w:tc>
          <w:tcPr>
            <w:tcW w:w="1583" w:type="dxa"/>
            <w:tcBorders>
              <w:top w:val="nil"/>
              <w:bottom w:val="single" w:color="auto" w:sz="8" w:space="0"/>
            </w:tcBorders>
          </w:tcPr>
          <w:p w:rsidR="003B0815" w:rsidRDefault="003B0815" w14:paraId="3A94E70B" w14:textId="77777777">
            <w:pPr>
              <w:keepNext/>
              <w:jc w:val="center"/>
              <w:rPr>
                <w:rFonts w:ascii="Arial" w:hAnsi="Arial"/>
                <w:b/>
                <w:sz w:val="20"/>
                <w:szCs w:val="20"/>
              </w:rPr>
            </w:pPr>
            <w:r>
              <w:rPr>
                <w:rFonts w:ascii="Arial" w:hAnsi="Arial"/>
                <w:b/>
                <w:sz w:val="20"/>
                <w:szCs w:val="20"/>
              </w:rPr>
              <w:t>(Low – High)</w:t>
            </w:r>
          </w:p>
        </w:tc>
      </w:tr>
      <w:tr w:rsidR="003B0815" w14:paraId="49C4D4DF" w14:textId="77777777">
        <w:trPr>
          <w:jc w:val="center"/>
        </w:trPr>
        <w:tc>
          <w:tcPr>
            <w:tcW w:w="1571" w:type="dxa"/>
            <w:tcBorders>
              <w:top w:val="single" w:color="auto" w:sz="8" w:space="0"/>
            </w:tcBorders>
          </w:tcPr>
          <w:p w:rsidR="003B0815" w:rsidRDefault="003B0815" w14:paraId="5CCAE4E5" w14:textId="77777777">
            <w:pPr>
              <w:keepNext/>
              <w:rPr>
                <w:rFonts w:ascii="Arial" w:hAnsi="Arial"/>
                <w:sz w:val="20"/>
                <w:szCs w:val="20"/>
              </w:rPr>
            </w:pPr>
            <w:r>
              <w:rPr>
                <w:rFonts w:ascii="Arial" w:hAnsi="Arial"/>
                <w:sz w:val="20"/>
                <w:szCs w:val="20"/>
              </w:rPr>
              <w:t>Air Carrier Reprogramming Costs</w:t>
            </w:r>
          </w:p>
        </w:tc>
        <w:tc>
          <w:tcPr>
            <w:tcW w:w="1332" w:type="dxa"/>
            <w:tcBorders>
              <w:top w:val="single" w:color="auto" w:sz="8" w:space="0"/>
            </w:tcBorders>
            <w:vAlign w:val="center"/>
          </w:tcPr>
          <w:p w:rsidR="003B0815" w:rsidRDefault="003B0815" w14:paraId="6EBC149B" w14:textId="77777777">
            <w:pPr>
              <w:keepNext/>
              <w:jc w:val="center"/>
              <w:rPr>
                <w:rFonts w:ascii="Arial" w:hAnsi="Arial"/>
                <w:sz w:val="20"/>
                <w:szCs w:val="20"/>
              </w:rPr>
            </w:pPr>
            <w:r>
              <w:rPr>
                <w:rFonts w:ascii="Arial" w:hAnsi="Arial" w:cs="Arial"/>
                <w:sz w:val="20"/>
                <w:szCs w:val="20"/>
              </w:rPr>
              <w:t>$36.2 - $63.5</w:t>
            </w:r>
          </w:p>
        </w:tc>
        <w:tc>
          <w:tcPr>
            <w:tcW w:w="1363" w:type="dxa"/>
            <w:tcBorders>
              <w:top w:val="single" w:color="auto" w:sz="8" w:space="0"/>
            </w:tcBorders>
            <w:vAlign w:val="center"/>
          </w:tcPr>
          <w:p w:rsidR="003B0815" w:rsidRDefault="003B0815" w14:paraId="406F8255" w14:textId="77777777">
            <w:pPr>
              <w:keepNext/>
              <w:jc w:val="center"/>
              <w:rPr>
                <w:rFonts w:ascii="Arial" w:hAnsi="Arial"/>
                <w:sz w:val="20"/>
                <w:szCs w:val="20"/>
              </w:rPr>
            </w:pPr>
            <w:r>
              <w:rPr>
                <w:rFonts w:ascii="Arial" w:hAnsi="Arial" w:cs="Arial"/>
                <w:sz w:val="20"/>
                <w:szCs w:val="20"/>
              </w:rPr>
              <w:t>$38.6 - $66.3</w:t>
            </w:r>
          </w:p>
        </w:tc>
        <w:tc>
          <w:tcPr>
            <w:tcW w:w="1257" w:type="dxa"/>
            <w:tcBorders>
              <w:top w:val="single" w:color="auto" w:sz="8" w:space="0"/>
            </w:tcBorders>
            <w:vAlign w:val="center"/>
          </w:tcPr>
          <w:p w:rsidR="003B0815" w:rsidRDefault="003B0815" w14:paraId="10E7D2D2" w14:textId="77777777">
            <w:pPr>
              <w:keepNext/>
              <w:jc w:val="center"/>
              <w:rPr>
                <w:rFonts w:ascii="Arial" w:hAnsi="Arial"/>
                <w:sz w:val="20"/>
                <w:szCs w:val="20"/>
              </w:rPr>
            </w:pPr>
            <w:r>
              <w:rPr>
                <w:rFonts w:ascii="Arial" w:hAnsi="Arial" w:cs="Arial"/>
                <w:sz w:val="20"/>
                <w:szCs w:val="20"/>
              </w:rPr>
              <w:t>$41.8 - $70.0</w:t>
            </w:r>
          </w:p>
        </w:tc>
        <w:tc>
          <w:tcPr>
            <w:tcW w:w="1584" w:type="dxa"/>
            <w:tcBorders>
              <w:top w:val="single" w:color="auto" w:sz="8" w:space="0"/>
            </w:tcBorders>
            <w:vAlign w:val="center"/>
          </w:tcPr>
          <w:p w:rsidR="003B0815" w:rsidRDefault="003B0815" w14:paraId="288F70E5" w14:textId="77777777">
            <w:pPr>
              <w:keepNext/>
              <w:jc w:val="center"/>
              <w:rPr>
                <w:rFonts w:ascii="Arial" w:hAnsi="Arial"/>
                <w:sz w:val="20"/>
                <w:szCs w:val="20"/>
              </w:rPr>
            </w:pPr>
            <w:r>
              <w:rPr>
                <w:rFonts w:ascii="Arial" w:hAnsi="Arial" w:cs="Arial"/>
                <w:sz w:val="20"/>
                <w:szCs w:val="20"/>
              </w:rPr>
              <w:t>$329.5 - $565.3</w:t>
            </w:r>
          </w:p>
        </w:tc>
        <w:tc>
          <w:tcPr>
            <w:tcW w:w="1583" w:type="dxa"/>
            <w:tcBorders>
              <w:top w:val="single" w:color="auto" w:sz="8" w:space="0"/>
            </w:tcBorders>
            <w:vAlign w:val="center"/>
          </w:tcPr>
          <w:p w:rsidR="003B0815" w:rsidRDefault="003B0815" w14:paraId="21EADA49" w14:textId="77777777">
            <w:pPr>
              <w:keepNext/>
              <w:jc w:val="center"/>
              <w:rPr>
                <w:rFonts w:ascii="Arial" w:hAnsi="Arial"/>
                <w:sz w:val="20"/>
                <w:szCs w:val="20"/>
              </w:rPr>
            </w:pPr>
            <w:r>
              <w:rPr>
                <w:rFonts w:ascii="Arial" w:hAnsi="Arial" w:cs="Arial"/>
                <w:sz w:val="20"/>
                <w:szCs w:val="20"/>
              </w:rPr>
              <w:t>$293.8 - $491.8</w:t>
            </w:r>
          </w:p>
        </w:tc>
      </w:tr>
      <w:tr w:rsidR="003B0815" w14:paraId="15B44A7B" w14:textId="77777777">
        <w:trPr>
          <w:jc w:val="center"/>
        </w:trPr>
        <w:tc>
          <w:tcPr>
            <w:tcW w:w="1571" w:type="dxa"/>
          </w:tcPr>
          <w:p w:rsidR="003B0815" w:rsidRDefault="003B0815" w14:paraId="1F274B40" w14:textId="77777777">
            <w:pPr>
              <w:keepNext/>
              <w:rPr>
                <w:rFonts w:ascii="Arial" w:hAnsi="Arial"/>
                <w:sz w:val="20"/>
                <w:szCs w:val="20"/>
              </w:rPr>
            </w:pPr>
            <w:r>
              <w:rPr>
                <w:rFonts w:ascii="Arial" w:hAnsi="Arial"/>
                <w:sz w:val="20"/>
                <w:szCs w:val="20"/>
              </w:rPr>
              <w:t>Airline Collection Costs</w:t>
            </w:r>
          </w:p>
        </w:tc>
        <w:tc>
          <w:tcPr>
            <w:tcW w:w="1332" w:type="dxa"/>
            <w:vAlign w:val="center"/>
          </w:tcPr>
          <w:p w:rsidR="003B0815" w:rsidRDefault="003B0815" w14:paraId="417EA0BB" w14:textId="77777777">
            <w:pPr>
              <w:keepNext/>
              <w:jc w:val="center"/>
              <w:rPr>
                <w:rFonts w:ascii="Arial" w:hAnsi="Arial"/>
                <w:sz w:val="20"/>
                <w:szCs w:val="20"/>
              </w:rPr>
            </w:pPr>
            <w:r>
              <w:rPr>
                <w:rFonts w:ascii="Arial" w:hAnsi="Arial" w:cs="Arial"/>
                <w:sz w:val="20"/>
                <w:szCs w:val="20"/>
              </w:rPr>
              <w:t>$10.5 - $15.7</w:t>
            </w:r>
          </w:p>
        </w:tc>
        <w:tc>
          <w:tcPr>
            <w:tcW w:w="1363" w:type="dxa"/>
            <w:vAlign w:val="center"/>
          </w:tcPr>
          <w:p w:rsidR="003B0815" w:rsidRDefault="003B0815" w14:paraId="31E8EE8A" w14:textId="77777777">
            <w:pPr>
              <w:keepNext/>
              <w:jc w:val="center"/>
              <w:rPr>
                <w:rFonts w:ascii="Arial" w:hAnsi="Arial"/>
                <w:sz w:val="20"/>
                <w:szCs w:val="20"/>
              </w:rPr>
            </w:pPr>
            <w:r>
              <w:rPr>
                <w:rFonts w:ascii="Arial" w:hAnsi="Arial" w:cs="Arial"/>
                <w:sz w:val="20"/>
                <w:szCs w:val="20"/>
              </w:rPr>
              <w:t>$10.4 - $15.5</w:t>
            </w:r>
          </w:p>
        </w:tc>
        <w:tc>
          <w:tcPr>
            <w:tcW w:w="1257" w:type="dxa"/>
            <w:vAlign w:val="center"/>
          </w:tcPr>
          <w:p w:rsidR="003B0815" w:rsidRDefault="003B0815" w14:paraId="5013FE59" w14:textId="77777777">
            <w:pPr>
              <w:keepNext/>
              <w:jc w:val="center"/>
              <w:rPr>
                <w:rFonts w:ascii="Arial" w:hAnsi="Arial"/>
                <w:sz w:val="20"/>
                <w:szCs w:val="20"/>
              </w:rPr>
            </w:pPr>
            <w:r>
              <w:rPr>
                <w:rFonts w:ascii="Arial" w:hAnsi="Arial" w:cs="Arial"/>
                <w:sz w:val="20"/>
                <w:szCs w:val="20"/>
              </w:rPr>
              <w:t>$10.3 - $15.3</w:t>
            </w:r>
          </w:p>
        </w:tc>
        <w:tc>
          <w:tcPr>
            <w:tcW w:w="1584" w:type="dxa"/>
            <w:vAlign w:val="center"/>
          </w:tcPr>
          <w:p w:rsidR="003B0815" w:rsidRDefault="003B0815" w14:paraId="2A116A7C" w14:textId="77777777">
            <w:pPr>
              <w:keepNext/>
              <w:jc w:val="center"/>
              <w:rPr>
                <w:rFonts w:ascii="Arial" w:hAnsi="Arial"/>
                <w:sz w:val="20"/>
                <w:szCs w:val="20"/>
              </w:rPr>
            </w:pPr>
            <w:r>
              <w:rPr>
                <w:rFonts w:ascii="Arial" w:hAnsi="Arial" w:cs="Arial"/>
                <w:sz w:val="20"/>
                <w:szCs w:val="20"/>
              </w:rPr>
              <w:t>$88.6 - $132.4</w:t>
            </w:r>
          </w:p>
        </w:tc>
        <w:tc>
          <w:tcPr>
            <w:tcW w:w="1583" w:type="dxa"/>
            <w:vAlign w:val="center"/>
          </w:tcPr>
          <w:p w:rsidR="003B0815" w:rsidRDefault="003B0815" w14:paraId="792EDBD4" w14:textId="77777777">
            <w:pPr>
              <w:keepNext/>
              <w:jc w:val="center"/>
              <w:rPr>
                <w:rFonts w:ascii="Arial" w:hAnsi="Arial"/>
                <w:sz w:val="20"/>
                <w:szCs w:val="20"/>
              </w:rPr>
            </w:pPr>
            <w:r>
              <w:rPr>
                <w:rFonts w:ascii="Arial" w:hAnsi="Arial" w:cs="Arial"/>
                <w:sz w:val="20"/>
                <w:szCs w:val="20"/>
              </w:rPr>
              <w:t>$72.2 - $107.8</w:t>
            </w:r>
          </w:p>
        </w:tc>
      </w:tr>
      <w:tr w:rsidR="003B0815" w14:paraId="2A6CE81E" w14:textId="77777777">
        <w:trPr>
          <w:jc w:val="center"/>
        </w:trPr>
        <w:tc>
          <w:tcPr>
            <w:tcW w:w="1571" w:type="dxa"/>
          </w:tcPr>
          <w:p w:rsidR="003B0815" w:rsidRDefault="003B0815" w14:paraId="409A0AE7" w14:textId="77777777">
            <w:pPr>
              <w:keepNext/>
              <w:rPr>
                <w:rFonts w:ascii="Arial" w:hAnsi="Arial"/>
                <w:sz w:val="20"/>
                <w:szCs w:val="20"/>
              </w:rPr>
            </w:pPr>
            <w:r>
              <w:rPr>
                <w:rFonts w:ascii="Arial" w:hAnsi="Arial"/>
                <w:sz w:val="20"/>
                <w:szCs w:val="20"/>
              </w:rPr>
              <w:t>Travel Agency Costs</w:t>
            </w:r>
          </w:p>
        </w:tc>
        <w:tc>
          <w:tcPr>
            <w:tcW w:w="1332" w:type="dxa"/>
            <w:vAlign w:val="center"/>
          </w:tcPr>
          <w:p w:rsidR="003B0815" w:rsidRDefault="003B0815" w14:paraId="70A11EED" w14:textId="77777777">
            <w:pPr>
              <w:keepNext/>
              <w:jc w:val="center"/>
              <w:rPr>
                <w:rFonts w:ascii="Arial" w:hAnsi="Arial"/>
                <w:sz w:val="20"/>
                <w:szCs w:val="20"/>
              </w:rPr>
            </w:pPr>
            <w:r>
              <w:rPr>
                <w:rFonts w:ascii="Arial" w:hAnsi="Arial" w:cs="Arial"/>
                <w:sz w:val="20"/>
                <w:szCs w:val="20"/>
              </w:rPr>
              <w:t>$26.1 - $39.4</w:t>
            </w:r>
          </w:p>
        </w:tc>
        <w:tc>
          <w:tcPr>
            <w:tcW w:w="1363" w:type="dxa"/>
            <w:vAlign w:val="center"/>
          </w:tcPr>
          <w:p w:rsidR="003B0815" w:rsidRDefault="003B0815" w14:paraId="702C5039" w14:textId="77777777">
            <w:pPr>
              <w:keepNext/>
              <w:jc w:val="center"/>
              <w:rPr>
                <w:rFonts w:ascii="Arial" w:hAnsi="Arial"/>
                <w:sz w:val="20"/>
                <w:szCs w:val="20"/>
              </w:rPr>
            </w:pPr>
            <w:r>
              <w:rPr>
                <w:rFonts w:ascii="Arial" w:hAnsi="Arial" w:cs="Arial"/>
                <w:sz w:val="20"/>
                <w:szCs w:val="20"/>
              </w:rPr>
              <w:t>$26.0 - $39.3</w:t>
            </w:r>
          </w:p>
        </w:tc>
        <w:tc>
          <w:tcPr>
            <w:tcW w:w="1257" w:type="dxa"/>
            <w:vAlign w:val="center"/>
          </w:tcPr>
          <w:p w:rsidR="003B0815" w:rsidRDefault="003B0815" w14:paraId="6F0E8AB9" w14:textId="77777777">
            <w:pPr>
              <w:keepNext/>
              <w:jc w:val="center"/>
              <w:rPr>
                <w:rFonts w:ascii="Arial" w:hAnsi="Arial"/>
                <w:sz w:val="20"/>
                <w:szCs w:val="20"/>
              </w:rPr>
            </w:pPr>
            <w:r>
              <w:rPr>
                <w:rFonts w:ascii="Arial" w:hAnsi="Arial" w:cs="Arial"/>
                <w:sz w:val="20"/>
                <w:szCs w:val="20"/>
              </w:rPr>
              <w:t>$26.0 - $39.3</w:t>
            </w:r>
          </w:p>
        </w:tc>
        <w:tc>
          <w:tcPr>
            <w:tcW w:w="1584" w:type="dxa"/>
            <w:vAlign w:val="center"/>
          </w:tcPr>
          <w:p w:rsidR="003B0815" w:rsidRDefault="003B0815" w14:paraId="1BECCA54" w14:textId="77777777">
            <w:pPr>
              <w:keepNext/>
              <w:jc w:val="center"/>
              <w:rPr>
                <w:rFonts w:ascii="Arial" w:hAnsi="Arial"/>
                <w:sz w:val="20"/>
                <w:szCs w:val="20"/>
              </w:rPr>
            </w:pPr>
            <w:r>
              <w:rPr>
                <w:rFonts w:ascii="Arial" w:hAnsi="Arial" w:cs="Arial"/>
                <w:sz w:val="20"/>
                <w:szCs w:val="20"/>
              </w:rPr>
              <w:t>$221.9 - $278.8</w:t>
            </w:r>
          </w:p>
        </w:tc>
        <w:tc>
          <w:tcPr>
            <w:tcW w:w="1583" w:type="dxa"/>
            <w:vAlign w:val="center"/>
          </w:tcPr>
          <w:p w:rsidR="003B0815" w:rsidRDefault="003B0815" w14:paraId="661ABA60" w14:textId="77777777">
            <w:pPr>
              <w:keepNext/>
              <w:jc w:val="center"/>
              <w:rPr>
                <w:rFonts w:ascii="Arial" w:hAnsi="Arial"/>
                <w:sz w:val="20"/>
                <w:szCs w:val="20"/>
              </w:rPr>
            </w:pPr>
            <w:r>
              <w:rPr>
                <w:rFonts w:ascii="Arial" w:hAnsi="Arial" w:cs="Arial"/>
                <w:sz w:val="20"/>
                <w:szCs w:val="20"/>
              </w:rPr>
              <w:t>$182.4 - $276.1</w:t>
            </w:r>
          </w:p>
        </w:tc>
      </w:tr>
      <w:tr w:rsidR="003B0815" w14:paraId="55766C21" w14:textId="77777777">
        <w:trPr>
          <w:jc w:val="center"/>
        </w:trPr>
        <w:tc>
          <w:tcPr>
            <w:tcW w:w="1571" w:type="dxa"/>
          </w:tcPr>
          <w:p w:rsidR="003B0815" w:rsidRDefault="003B0815" w14:paraId="2F118850" w14:textId="77777777">
            <w:pPr>
              <w:keepNext/>
              <w:rPr>
                <w:rFonts w:ascii="Arial" w:hAnsi="Arial"/>
                <w:sz w:val="20"/>
                <w:szCs w:val="20"/>
              </w:rPr>
            </w:pPr>
            <w:r>
              <w:rPr>
                <w:rFonts w:ascii="Arial" w:hAnsi="Arial"/>
                <w:sz w:val="20"/>
                <w:szCs w:val="20"/>
              </w:rPr>
              <w:t>Federal Costs</w:t>
            </w:r>
          </w:p>
        </w:tc>
        <w:tc>
          <w:tcPr>
            <w:tcW w:w="1332" w:type="dxa"/>
            <w:vAlign w:val="center"/>
          </w:tcPr>
          <w:p w:rsidR="003B0815" w:rsidRDefault="003B0815" w14:paraId="4EA72E7E" w14:textId="77777777">
            <w:pPr>
              <w:keepNext/>
              <w:jc w:val="center"/>
              <w:rPr>
                <w:rFonts w:ascii="Arial" w:hAnsi="Arial"/>
                <w:sz w:val="20"/>
                <w:szCs w:val="20"/>
              </w:rPr>
            </w:pPr>
            <w:r>
              <w:rPr>
                <w:rFonts w:ascii="Arial" w:hAnsi="Arial" w:cs="Arial"/>
                <w:sz w:val="20"/>
                <w:szCs w:val="20"/>
              </w:rPr>
              <w:t>$137.0 - $167.5</w:t>
            </w:r>
          </w:p>
        </w:tc>
        <w:tc>
          <w:tcPr>
            <w:tcW w:w="1363" w:type="dxa"/>
            <w:vAlign w:val="center"/>
          </w:tcPr>
          <w:p w:rsidR="003B0815" w:rsidRDefault="003B0815" w14:paraId="7EAF71E9" w14:textId="77777777">
            <w:pPr>
              <w:keepNext/>
              <w:jc w:val="center"/>
              <w:rPr>
                <w:rFonts w:ascii="Arial" w:hAnsi="Arial"/>
                <w:sz w:val="20"/>
                <w:szCs w:val="20"/>
              </w:rPr>
            </w:pPr>
            <w:r>
              <w:rPr>
                <w:rFonts w:ascii="Arial" w:hAnsi="Arial" w:cs="Arial"/>
                <w:sz w:val="20"/>
                <w:szCs w:val="20"/>
              </w:rPr>
              <w:t>$135.9 - $166.2</w:t>
            </w:r>
          </w:p>
        </w:tc>
        <w:tc>
          <w:tcPr>
            <w:tcW w:w="1257" w:type="dxa"/>
            <w:vAlign w:val="center"/>
          </w:tcPr>
          <w:p w:rsidR="003B0815" w:rsidRDefault="003B0815" w14:paraId="2BB1E531" w14:textId="77777777">
            <w:pPr>
              <w:keepNext/>
              <w:jc w:val="center"/>
              <w:rPr>
                <w:rFonts w:ascii="Arial" w:hAnsi="Arial"/>
                <w:sz w:val="20"/>
                <w:szCs w:val="20"/>
              </w:rPr>
            </w:pPr>
            <w:r>
              <w:rPr>
                <w:rFonts w:ascii="Arial" w:hAnsi="Arial" w:cs="Arial"/>
                <w:sz w:val="20"/>
                <w:szCs w:val="20"/>
              </w:rPr>
              <w:t>$134.4 - $164.5</w:t>
            </w:r>
          </w:p>
        </w:tc>
        <w:tc>
          <w:tcPr>
            <w:tcW w:w="1584" w:type="dxa"/>
            <w:vAlign w:val="center"/>
          </w:tcPr>
          <w:p w:rsidR="003B0815" w:rsidRDefault="003B0815" w14:paraId="62B251DB" w14:textId="77777777">
            <w:pPr>
              <w:keepNext/>
              <w:jc w:val="center"/>
              <w:rPr>
                <w:rFonts w:ascii="Arial" w:hAnsi="Arial"/>
                <w:sz w:val="20"/>
                <w:szCs w:val="20"/>
              </w:rPr>
            </w:pPr>
            <w:r>
              <w:rPr>
                <w:rFonts w:ascii="Arial" w:hAnsi="Arial" w:cs="Arial"/>
                <w:sz w:val="20"/>
                <w:szCs w:val="20"/>
              </w:rPr>
              <w:t>$1,159.3 - $1,418.0</w:t>
            </w:r>
          </w:p>
        </w:tc>
        <w:tc>
          <w:tcPr>
            <w:tcW w:w="1583" w:type="dxa"/>
            <w:vAlign w:val="center"/>
          </w:tcPr>
          <w:p w:rsidR="003B0815" w:rsidRDefault="003B0815" w14:paraId="6DFB1C37" w14:textId="77777777">
            <w:pPr>
              <w:keepNext/>
              <w:jc w:val="center"/>
              <w:rPr>
                <w:rFonts w:ascii="Arial" w:hAnsi="Arial"/>
                <w:sz w:val="20"/>
                <w:szCs w:val="20"/>
              </w:rPr>
            </w:pPr>
            <w:r>
              <w:rPr>
                <w:rFonts w:ascii="Arial" w:hAnsi="Arial" w:cs="Arial"/>
                <w:sz w:val="20"/>
                <w:szCs w:val="20"/>
              </w:rPr>
              <w:t>$943.9 - $1,155.7</w:t>
            </w:r>
          </w:p>
        </w:tc>
      </w:tr>
      <w:tr w:rsidR="003B0815" w14:paraId="22554073" w14:textId="77777777">
        <w:trPr>
          <w:jc w:val="center"/>
        </w:trPr>
        <w:tc>
          <w:tcPr>
            <w:tcW w:w="1571" w:type="dxa"/>
            <w:tcBorders>
              <w:bottom w:val="single" w:color="auto" w:sz="8" w:space="0"/>
            </w:tcBorders>
          </w:tcPr>
          <w:p w:rsidR="003B0815" w:rsidRDefault="003B0815" w14:paraId="3B1F1B76" w14:textId="77777777">
            <w:pPr>
              <w:keepNext/>
              <w:rPr>
                <w:rFonts w:ascii="Arial" w:hAnsi="Arial"/>
                <w:b/>
                <w:sz w:val="20"/>
                <w:szCs w:val="20"/>
              </w:rPr>
            </w:pPr>
            <w:r>
              <w:rPr>
                <w:rFonts w:ascii="Arial" w:hAnsi="Arial"/>
                <w:b/>
                <w:sz w:val="20"/>
                <w:szCs w:val="20"/>
              </w:rPr>
              <w:t>Outlay Subtotal Costs</w:t>
            </w:r>
          </w:p>
        </w:tc>
        <w:tc>
          <w:tcPr>
            <w:tcW w:w="1332" w:type="dxa"/>
            <w:tcBorders>
              <w:bottom w:val="single" w:color="auto" w:sz="8" w:space="0"/>
            </w:tcBorders>
            <w:vAlign w:val="center"/>
          </w:tcPr>
          <w:p w:rsidR="003B0815" w:rsidRDefault="003B0815" w14:paraId="336D3FCE" w14:textId="77777777">
            <w:pPr>
              <w:keepNext/>
              <w:jc w:val="center"/>
              <w:rPr>
                <w:rFonts w:ascii="Arial" w:hAnsi="Arial"/>
                <w:b/>
                <w:sz w:val="20"/>
                <w:szCs w:val="20"/>
              </w:rPr>
            </w:pPr>
            <w:r>
              <w:rPr>
                <w:rFonts w:ascii="Arial" w:hAnsi="Arial" w:cs="Arial"/>
                <w:b/>
                <w:bCs/>
                <w:sz w:val="20"/>
                <w:szCs w:val="20"/>
              </w:rPr>
              <w:t>$209.8 - $286.1</w:t>
            </w:r>
          </w:p>
        </w:tc>
        <w:tc>
          <w:tcPr>
            <w:tcW w:w="1363" w:type="dxa"/>
            <w:tcBorders>
              <w:bottom w:val="single" w:color="auto" w:sz="8" w:space="0"/>
            </w:tcBorders>
            <w:vAlign w:val="center"/>
          </w:tcPr>
          <w:p w:rsidR="003B0815" w:rsidRDefault="003B0815" w14:paraId="013595AF" w14:textId="77777777">
            <w:pPr>
              <w:keepNext/>
              <w:jc w:val="center"/>
              <w:rPr>
                <w:rFonts w:ascii="Arial" w:hAnsi="Arial"/>
                <w:b/>
                <w:sz w:val="20"/>
                <w:szCs w:val="20"/>
              </w:rPr>
            </w:pPr>
            <w:r>
              <w:rPr>
                <w:rFonts w:ascii="Arial" w:hAnsi="Arial" w:cs="Arial"/>
                <w:b/>
                <w:bCs/>
                <w:sz w:val="20"/>
                <w:szCs w:val="20"/>
              </w:rPr>
              <w:t>$210.9 - $287.3</w:t>
            </w:r>
          </w:p>
        </w:tc>
        <w:tc>
          <w:tcPr>
            <w:tcW w:w="1257" w:type="dxa"/>
            <w:tcBorders>
              <w:bottom w:val="single" w:color="auto" w:sz="8" w:space="0"/>
            </w:tcBorders>
            <w:vAlign w:val="center"/>
          </w:tcPr>
          <w:p w:rsidR="003B0815" w:rsidRDefault="003B0815" w14:paraId="7FBC17DD" w14:textId="77777777">
            <w:pPr>
              <w:keepNext/>
              <w:jc w:val="center"/>
              <w:rPr>
                <w:rFonts w:ascii="Arial" w:hAnsi="Arial"/>
                <w:b/>
                <w:sz w:val="20"/>
                <w:szCs w:val="20"/>
              </w:rPr>
            </w:pPr>
            <w:r>
              <w:rPr>
                <w:rFonts w:ascii="Arial" w:hAnsi="Arial" w:cs="Arial"/>
                <w:b/>
                <w:bCs/>
                <w:sz w:val="20"/>
                <w:szCs w:val="20"/>
              </w:rPr>
              <w:t>$212.5 - $289.2</w:t>
            </w:r>
          </w:p>
        </w:tc>
        <w:tc>
          <w:tcPr>
            <w:tcW w:w="1584" w:type="dxa"/>
            <w:tcBorders>
              <w:bottom w:val="single" w:color="auto" w:sz="8" w:space="0"/>
            </w:tcBorders>
            <w:vAlign w:val="center"/>
          </w:tcPr>
          <w:p w:rsidR="003B0815" w:rsidRDefault="003B0815" w14:paraId="6DEC6974" w14:textId="77777777">
            <w:pPr>
              <w:keepNext/>
              <w:jc w:val="center"/>
              <w:rPr>
                <w:rFonts w:ascii="Arial" w:hAnsi="Arial"/>
                <w:b/>
                <w:sz w:val="20"/>
                <w:szCs w:val="20"/>
              </w:rPr>
            </w:pPr>
            <w:r>
              <w:rPr>
                <w:rFonts w:ascii="Arial" w:hAnsi="Arial" w:cs="Arial"/>
                <w:b/>
                <w:bCs/>
                <w:sz w:val="20"/>
                <w:szCs w:val="20"/>
              </w:rPr>
              <w:t>$1,799.3 - $2,451.0</w:t>
            </w:r>
          </w:p>
        </w:tc>
        <w:tc>
          <w:tcPr>
            <w:tcW w:w="1583" w:type="dxa"/>
            <w:tcBorders>
              <w:bottom w:val="single" w:color="auto" w:sz="8" w:space="0"/>
            </w:tcBorders>
            <w:vAlign w:val="center"/>
          </w:tcPr>
          <w:p w:rsidR="003B0815" w:rsidRDefault="003B0815" w14:paraId="21966960" w14:textId="77777777">
            <w:pPr>
              <w:keepNext/>
              <w:jc w:val="center"/>
              <w:rPr>
                <w:rFonts w:ascii="Arial" w:hAnsi="Arial"/>
                <w:b/>
                <w:sz w:val="20"/>
                <w:szCs w:val="20"/>
              </w:rPr>
            </w:pPr>
            <w:r>
              <w:rPr>
                <w:rFonts w:ascii="Arial" w:hAnsi="Arial" w:cs="Arial"/>
                <w:b/>
                <w:bCs/>
                <w:sz w:val="20"/>
                <w:szCs w:val="20"/>
              </w:rPr>
              <w:t>$1,492.4 - $2,031.3</w:t>
            </w:r>
          </w:p>
        </w:tc>
      </w:tr>
      <w:tr w:rsidR="003B0815" w14:paraId="7F68C08E" w14:textId="77777777">
        <w:trPr>
          <w:jc w:val="center"/>
        </w:trPr>
        <w:tc>
          <w:tcPr>
            <w:tcW w:w="1571" w:type="dxa"/>
            <w:tcBorders>
              <w:top w:val="single" w:color="auto" w:sz="8" w:space="0"/>
              <w:bottom w:val="double" w:color="auto" w:sz="4" w:space="0"/>
            </w:tcBorders>
          </w:tcPr>
          <w:p w:rsidR="003B0815" w:rsidRDefault="003B0815" w14:paraId="3B963493" w14:textId="77777777">
            <w:pPr>
              <w:keepNext/>
              <w:rPr>
                <w:rFonts w:ascii="Arial" w:hAnsi="Arial"/>
                <w:sz w:val="20"/>
                <w:szCs w:val="20"/>
              </w:rPr>
            </w:pPr>
            <w:r>
              <w:rPr>
                <w:rFonts w:ascii="Arial" w:hAnsi="Arial"/>
                <w:sz w:val="20"/>
                <w:szCs w:val="20"/>
              </w:rPr>
              <w:t xml:space="preserve">Passenger </w:t>
            </w:r>
            <w:smartTag w:uri="urn:schemas-microsoft-com:office:smarttags" w:element="place">
              <w:r>
                <w:rPr>
                  <w:rFonts w:ascii="Arial" w:hAnsi="Arial"/>
                  <w:sz w:val="20"/>
                  <w:szCs w:val="20"/>
                </w:rPr>
                <w:t>Opportunity</w:t>
              </w:r>
            </w:smartTag>
            <w:r>
              <w:rPr>
                <w:rFonts w:ascii="Arial" w:hAnsi="Arial"/>
                <w:sz w:val="20"/>
                <w:szCs w:val="20"/>
              </w:rPr>
              <w:t xml:space="preserve"> Costs</w:t>
            </w:r>
          </w:p>
        </w:tc>
        <w:tc>
          <w:tcPr>
            <w:tcW w:w="1332" w:type="dxa"/>
            <w:tcBorders>
              <w:top w:val="single" w:color="auto" w:sz="8" w:space="0"/>
              <w:bottom w:val="double" w:color="auto" w:sz="4" w:space="0"/>
            </w:tcBorders>
            <w:vAlign w:val="center"/>
          </w:tcPr>
          <w:p w:rsidR="003B0815" w:rsidRDefault="003B0815" w14:paraId="0C6BB91B" w14:textId="77777777">
            <w:pPr>
              <w:keepNext/>
              <w:jc w:val="center"/>
              <w:rPr>
                <w:rFonts w:ascii="Arial" w:hAnsi="Arial"/>
                <w:sz w:val="20"/>
                <w:szCs w:val="20"/>
              </w:rPr>
            </w:pPr>
            <w:r>
              <w:rPr>
                <w:rFonts w:ascii="Arial" w:hAnsi="Arial" w:cs="Arial"/>
                <w:sz w:val="20"/>
                <w:szCs w:val="20"/>
              </w:rPr>
              <w:t>$79.4 - $96.2</w:t>
            </w:r>
          </w:p>
        </w:tc>
        <w:tc>
          <w:tcPr>
            <w:tcW w:w="1363" w:type="dxa"/>
            <w:tcBorders>
              <w:top w:val="single" w:color="auto" w:sz="8" w:space="0"/>
              <w:bottom w:val="double" w:color="auto" w:sz="4" w:space="0"/>
            </w:tcBorders>
            <w:vAlign w:val="center"/>
          </w:tcPr>
          <w:p w:rsidR="003B0815" w:rsidRDefault="003B0815" w14:paraId="1BA90226" w14:textId="77777777">
            <w:pPr>
              <w:keepNext/>
              <w:jc w:val="center"/>
              <w:rPr>
                <w:rFonts w:ascii="Arial" w:hAnsi="Arial"/>
                <w:sz w:val="20"/>
                <w:szCs w:val="20"/>
              </w:rPr>
            </w:pPr>
            <w:r>
              <w:rPr>
                <w:rFonts w:ascii="Arial" w:hAnsi="Arial" w:cs="Arial"/>
                <w:sz w:val="20"/>
                <w:szCs w:val="20"/>
              </w:rPr>
              <w:t>$78.7 - $95.3</w:t>
            </w:r>
          </w:p>
        </w:tc>
        <w:tc>
          <w:tcPr>
            <w:tcW w:w="1257" w:type="dxa"/>
            <w:tcBorders>
              <w:top w:val="single" w:color="auto" w:sz="8" w:space="0"/>
              <w:bottom w:val="double" w:color="auto" w:sz="4" w:space="0"/>
            </w:tcBorders>
            <w:vAlign w:val="center"/>
          </w:tcPr>
          <w:p w:rsidR="003B0815" w:rsidRDefault="003B0815" w14:paraId="3DC42E44" w14:textId="77777777">
            <w:pPr>
              <w:keepNext/>
              <w:jc w:val="center"/>
              <w:rPr>
                <w:rFonts w:ascii="Arial" w:hAnsi="Arial"/>
                <w:sz w:val="20"/>
                <w:szCs w:val="20"/>
              </w:rPr>
            </w:pPr>
            <w:r>
              <w:rPr>
                <w:rFonts w:ascii="Arial" w:hAnsi="Arial" w:cs="Arial"/>
                <w:sz w:val="20"/>
                <w:szCs w:val="20"/>
              </w:rPr>
              <w:t>$77.8 - $94.3</w:t>
            </w:r>
          </w:p>
        </w:tc>
        <w:tc>
          <w:tcPr>
            <w:tcW w:w="1584" w:type="dxa"/>
            <w:tcBorders>
              <w:top w:val="single" w:color="auto" w:sz="8" w:space="0"/>
              <w:bottom w:val="double" w:color="auto" w:sz="4" w:space="0"/>
            </w:tcBorders>
            <w:vAlign w:val="center"/>
          </w:tcPr>
          <w:p w:rsidR="003B0815" w:rsidRDefault="003B0815" w14:paraId="2A2FC4F7" w14:textId="77777777">
            <w:pPr>
              <w:keepNext/>
              <w:jc w:val="center"/>
              <w:rPr>
                <w:rFonts w:ascii="Arial" w:hAnsi="Arial"/>
                <w:sz w:val="20"/>
                <w:szCs w:val="20"/>
              </w:rPr>
            </w:pPr>
            <w:r>
              <w:rPr>
                <w:rFonts w:ascii="Arial" w:hAnsi="Arial" w:cs="Arial"/>
                <w:sz w:val="20"/>
                <w:szCs w:val="20"/>
              </w:rPr>
              <w:t>$671.3 - $813.1</w:t>
            </w:r>
          </w:p>
        </w:tc>
        <w:tc>
          <w:tcPr>
            <w:tcW w:w="1583" w:type="dxa"/>
            <w:tcBorders>
              <w:top w:val="single" w:color="auto" w:sz="8" w:space="0"/>
              <w:bottom w:val="double" w:color="auto" w:sz="4" w:space="0"/>
            </w:tcBorders>
            <w:vAlign w:val="center"/>
          </w:tcPr>
          <w:p w:rsidR="003B0815" w:rsidRDefault="003B0815" w14:paraId="05A3FE8B" w14:textId="77777777">
            <w:pPr>
              <w:keepNext/>
              <w:jc w:val="center"/>
              <w:rPr>
                <w:rFonts w:ascii="Arial" w:hAnsi="Arial"/>
                <w:sz w:val="20"/>
                <w:szCs w:val="20"/>
              </w:rPr>
            </w:pPr>
            <w:r>
              <w:rPr>
                <w:rFonts w:ascii="Arial" w:hAnsi="Arial" w:cs="Arial"/>
                <w:sz w:val="20"/>
                <w:szCs w:val="20"/>
              </w:rPr>
              <w:t>$546.5 - $662.0</w:t>
            </w:r>
          </w:p>
        </w:tc>
      </w:tr>
      <w:tr w:rsidR="003B0815" w14:paraId="55AA1ADF" w14:textId="77777777">
        <w:trPr>
          <w:trHeight w:val="348"/>
          <w:jc w:val="center"/>
        </w:trPr>
        <w:tc>
          <w:tcPr>
            <w:tcW w:w="1571" w:type="dxa"/>
            <w:tcBorders>
              <w:top w:val="double" w:color="auto" w:sz="4" w:space="0"/>
              <w:bottom w:val="single" w:color="auto" w:sz="12" w:space="0"/>
            </w:tcBorders>
            <w:vAlign w:val="center"/>
          </w:tcPr>
          <w:p w:rsidR="003B0815" w:rsidRDefault="003B0815" w14:paraId="70B01247" w14:textId="77777777">
            <w:pPr>
              <w:rPr>
                <w:rFonts w:ascii="Arial" w:hAnsi="Arial"/>
                <w:b/>
                <w:sz w:val="20"/>
                <w:szCs w:val="20"/>
              </w:rPr>
            </w:pPr>
            <w:r>
              <w:rPr>
                <w:rFonts w:ascii="Arial" w:hAnsi="Arial"/>
                <w:b/>
                <w:sz w:val="20"/>
                <w:szCs w:val="20"/>
              </w:rPr>
              <w:t>Total Costs</w:t>
            </w:r>
          </w:p>
        </w:tc>
        <w:tc>
          <w:tcPr>
            <w:tcW w:w="1332" w:type="dxa"/>
            <w:tcBorders>
              <w:top w:val="double" w:color="auto" w:sz="4" w:space="0"/>
              <w:bottom w:val="single" w:color="auto" w:sz="12" w:space="0"/>
            </w:tcBorders>
            <w:vAlign w:val="center"/>
          </w:tcPr>
          <w:p w:rsidR="003B0815" w:rsidRDefault="003B0815" w14:paraId="2DBA1007" w14:textId="77777777">
            <w:pPr>
              <w:jc w:val="center"/>
              <w:rPr>
                <w:rFonts w:ascii="Arial" w:hAnsi="Arial"/>
                <w:sz w:val="20"/>
                <w:szCs w:val="20"/>
              </w:rPr>
            </w:pPr>
            <w:r>
              <w:rPr>
                <w:rFonts w:ascii="Arial" w:hAnsi="Arial" w:cs="Arial"/>
                <w:b/>
                <w:bCs/>
                <w:sz w:val="20"/>
                <w:szCs w:val="20"/>
              </w:rPr>
              <w:t>$289.2 - $382.2</w:t>
            </w:r>
          </w:p>
        </w:tc>
        <w:tc>
          <w:tcPr>
            <w:tcW w:w="1363" w:type="dxa"/>
            <w:tcBorders>
              <w:top w:val="double" w:color="auto" w:sz="4" w:space="0"/>
              <w:bottom w:val="single" w:color="auto" w:sz="12" w:space="0"/>
            </w:tcBorders>
            <w:vAlign w:val="center"/>
          </w:tcPr>
          <w:p w:rsidR="003B0815" w:rsidRDefault="003B0815" w14:paraId="5605951D" w14:textId="77777777">
            <w:pPr>
              <w:jc w:val="center"/>
              <w:rPr>
                <w:rFonts w:ascii="Arial" w:hAnsi="Arial"/>
                <w:sz w:val="20"/>
                <w:szCs w:val="20"/>
              </w:rPr>
            </w:pPr>
            <w:r>
              <w:rPr>
                <w:rFonts w:ascii="Arial" w:hAnsi="Arial" w:cs="Arial"/>
                <w:b/>
                <w:bCs/>
                <w:sz w:val="20"/>
                <w:szCs w:val="20"/>
              </w:rPr>
              <w:t>$289.6 - $382.7</w:t>
            </w:r>
          </w:p>
        </w:tc>
        <w:tc>
          <w:tcPr>
            <w:tcW w:w="1257" w:type="dxa"/>
            <w:tcBorders>
              <w:top w:val="double" w:color="auto" w:sz="4" w:space="0"/>
              <w:bottom w:val="single" w:color="auto" w:sz="12" w:space="0"/>
            </w:tcBorders>
            <w:vAlign w:val="center"/>
          </w:tcPr>
          <w:p w:rsidR="003B0815" w:rsidRDefault="003B0815" w14:paraId="2F3658B2" w14:textId="77777777">
            <w:pPr>
              <w:jc w:val="center"/>
              <w:rPr>
                <w:rFonts w:ascii="Arial" w:hAnsi="Arial"/>
                <w:sz w:val="20"/>
                <w:szCs w:val="20"/>
              </w:rPr>
            </w:pPr>
            <w:r>
              <w:rPr>
                <w:rFonts w:ascii="Arial" w:hAnsi="Arial" w:cs="Arial"/>
                <w:b/>
                <w:bCs/>
                <w:sz w:val="20"/>
                <w:szCs w:val="20"/>
              </w:rPr>
              <w:t>$290.3 - $383.5</w:t>
            </w:r>
          </w:p>
        </w:tc>
        <w:tc>
          <w:tcPr>
            <w:tcW w:w="1584" w:type="dxa"/>
            <w:tcBorders>
              <w:top w:val="double" w:color="auto" w:sz="4" w:space="0"/>
              <w:bottom w:val="single" w:color="auto" w:sz="12" w:space="0"/>
            </w:tcBorders>
            <w:vAlign w:val="center"/>
          </w:tcPr>
          <w:p w:rsidR="003B0815" w:rsidRDefault="003B0815" w14:paraId="52F5725D" w14:textId="77777777">
            <w:pPr>
              <w:jc w:val="center"/>
              <w:rPr>
                <w:rFonts w:ascii="Arial" w:hAnsi="Arial"/>
                <w:b/>
                <w:sz w:val="20"/>
                <w:szCs w:val="20"/>
              </w:rPr>
            </w:pPr>
            <w:r>
              <w:rPr>
                <w:rFonts w:ascii="Arial" w:hAnsi="Arial" w:cs="Arial"/>
                <w:b/>
                <w:bCs/>
                <w:sz w:val="20"/>
                <w:szCs w:val="20"/>
              </w:rPr>
              <w:t>$2,470.5 - $3,264.1</w:t>
            </w:r>
          </w:p>
        </w:tc>
        <w:tc>
          <w:tcPr>
            <w:tcW w:w="1583" w:type="dxa"/>
            <w:tcBorders>
              <w:top w:val="double" w:color="auto" w:sz="4" w:space="0"/>
              <w:bottom w:val="single" w:color="auto" w:sz="12" w:space="0"/>
            </w:tcBorders>
            <w:vAlign w:val="center"/>
          </w:tcPr>
          <w:p w:rsidR="003B0815" w:rsidRDefault="003B0815" w14:paraId="2D31417D" w14:textId="77777777">
            <w:pPr>
              <w:jc w:val="center"/>
              <w:rPr>
                <w:rFonts w:ascii="Arial" w:hAnsi="Arial"/>
                <w:b/>
                <w:sz w:val="20"/>
                <w:szCs w:val="20"/>
              </w:rPr>
            </w:pPr>
            <w:r>
              <w:rPr>
                <w:rFonts w:ascii="Arial" w:hAnsi="Arial" w:cs="Arial"/>
                <w:b/>
                <w:bCs/>
                <w:sz w:val="20"/>
                <w:szCs w:val="20"/>
              </w:rPr>
              <w:t>$2,038.9 - $2,693.3</w:t>
            </w:r>
          </w:p>
        </w:tc>
      </w:tr>
    </w:tbl>
    <w:p w:rsidR="003B0815" w:rsidRDefault="003B0815" w14:paraId="79D5BB45" w14:textId="77777777">
      <w:pPr>
        <w:spacing w:line="360" w:lineRule="auto"/>
        <w:ind w:firstLine="720"/>
      </w:pPr>
    </w:p>
    <w:p w:rsidR="003B0815" w:rsidRDefault="003B0815" w14:paraId="177E333D" w14:textId="77777777">
      <w:pPr>
        <w:spacing w:line="360" w:lineRule="auto"/>
        <w:ind w:firstLine="720"/>
      </w:pPr>
      <w:r>
        <w:t>TSA estimated a range of possible costs to reflect uncertainty in TSA’s assumptions about the additional time the rule adds to the airline reservation process.  The summary table above presents the minimum and maximum of this range.  TSA did not have sufficient information from industry, however, to determine a likely cost distribution; therefore, the minimum and maximum should be taken as extremes, with the actual cost falling somewhere in between.</w:t>
      </w:r>
    </w:p>
    <w:p w:rsidR="003B0815" w:rsidRDefault="003B0815" w14:paraId="5F8077A9" w14:textId="77777777">
      <w:pPr>
        <w:spacing w:line="360" w:lineRule="auto"/>
        <w:ind w:firstLine="720"/>
      </w:pPr>
      <w:r>
        <w:t>TSA estimated the cost impacts of this rulemaking will total from $2.039 billion to $2.693 billion over 10 years, discounted at 7%.  At the 7% discount rate, air carriers will incur total costs of $366.0 million to $599.6 million, and travel agents will incur costs of $182.4 to $276.1 million.  TSA projected Federal Government costs will be from $943.9 million to $1.156 billion.  The total cost of outlays by all parties, discounted at 7%, will be from $1.492 billion to $2.031 billion.  Additionally, the opportunity costs to individuals (value of time), discounted at 7%, will be between $546.5 and $662.0 million.  The following paragraphs discuss these costs.</w:t>
      </w:r>
    </w:p>
    <w:p w:rsidR="003B0815" w:rsidRDefault="003B0815" w14:paraId="5E7B79B1" w14:textId="77777777">
      <w:pPr>
        <w:spacing w:line="360" w:lineRule="auto"/>
        <w:ind w:firstLine="720"/>
      </w:pPr>
      <w:r>
        <w:t>Air carriers will incur costs to comply with requirements of this rulemaking.  Over the 10-year period from 2008 to 2017, TSA estimated air carriers will incur average annual costs of $41.8 to $70.0 million, discounted at 7%, to reprogram their computer systems to accommodate the additional data fields required by the rule and achieve two-way connectivity with TSA and the recurring costs to operate and maintain system modifications.  Because the rule requires air carriers to request additional information from passengers, additional time will be required for airline call centers to complete reservations.  TSA estimated these costs will be between $10.3 and $15.3 million per year.  Together, the air carriers’ discounted average annual costs will range from $52.1 to $85.3 million.</w:t>
      </w:r>
    </w:p>
    <w:p w:rsidR="003B0815" w:rsidRDefault="003B0815" w14:paraId="41F85956" w14:textId="77777777">
      <w:pPr>
        <w:spacing w:line="360" w:lineRule="auto"/>
        <w:ind w:firstLine="720"/>
      </w:pPr>
      <w:r>
        <w:t>The rule does not directly regulate travel agents</w:t>
      </w:r>
      <w:r>
        <w:rPr>
          <w:bCs/>
        </w:rPr>
        <w:t>.  However, the rule requires aircraft operators to ensure that travel agencies request the additional passenger information.  Therefore, travel agents, like covered aircraft operators,</w:t>
      </w:r>
      <w:r>
        <w:t xml:space="preserve"> have to spend additional time to complete airline reservations.  TSA estimated the average annual cost to travel agents, discounted at 7%, will range from $26.0 to $39.3 million.</w:t>
      </w:r>
    </w:p>
    <w:p w:rsidR="003B0815" w:rsidRDefault="003B0815" w14:paraId="6F881081" w14:textId="77777777">
      <w:pPr>
        <w:spacing w:line="360" w:lineRule="auto"/>
        <w:ind w:firstLine="720"/>
      </w:pPr>
      <w:r>
        <w:t>The Federal Government incurs several costs as a result of the rule.  These costs include network infrastructure to enable communication between TSA and covered aircraft operator data systems, hardware and software procurement, operations and maintenance, and general support for implementation.  The government further incurs costs to complete adjudication of name similarities or watch list matches and also for redress activities.  Finally, the government incurs costs to implement a system at checkpoints to verify the codes issued by the Secure Flight system and printed on boarding and gate passes.  The government’s estimated average annual cost, discounted at 7%, will be from $134.4 million ($137.0 million, undiscounted) to $164.5 million ($167.5 million, undiscounted).</w:t>
      </w:r>
    </w:p>
    <w:p w:rsidR="003B0815" w:rsidRDefault="003B0815" w14:paraId="51EE2404" w14:textId="77777777">
      <w:pPr>
        <w:spacing w:line="360" w:lineRule="auto"/>
        <w:ind w:firstLine="720"/>
      </w:pPr>
      <w:r>
        <w:t>The final rule also impacts individuals.  Time is a valuable economic resource, like labor, capital, and other factors of production, which may be utilized for work or relaxation.  The loss of time imposes an opportunity cost on individuals.  TSA attempted to quantify opportunity costs to individuals based on the incremental additional time required to make a reservation.  TSA estimated the average annual cost to individuals, discounted at 7%, will range from $77.8 ($79.4 million, undiscounted) to $94.3 million ($96.2 million, undiscounted).</w:t>
      </w:r>
    </w:p>
    <w:p w:rsidR="003B0815" w:rsidRDefault="003B0815" w14:paraId="37E890BC" w14:textId="77777777">
      <w:pPr>
        <w:pStyle w:val="BodyTextIndent3"/>
        <w:spacing w:line="360" w:lineRule="auto"/>
        <w:rPr>
          <w:rFonts w:ascii="Times New Roman" w:hAnsi="Times New Roman"/>
        </w:rPr>
      </w:pPr>
      <w:r>
        <w:rPr>
          <w:rFonts w:ascii="Times New Roman" w:hAnsi="Times New Roman"/>
        </w:rPr>
        <w:t>Due to program refinements and information provided in public comments, these cost estimates differ in some respects from those reported in the Secure Flight NPRM.  The table below identifies these cost differences and their origins, by the entity bearing the cost.</w:t>
      </w:r>
    </w:p>
    <w:tbl>
      <w:tblPr>
        <w:tblW w:w="9720" w:type="dxa"/>
        <w:tblBorders>
          <w:top w:val="nil"/>
          <w:left w:val="nil"/>
          <w:bottom w:val="nil"/>
          <w:right w:val="nil"/>
          <w:insideH w:val="single" w:color="000000" w:sz="6" w:space="0"/>
          <w:insideV w:val="single" w:color="000000" w:sz="6" w:space="0"/>
        </w:tblBorders>
        <w:tblLayout w:type="fixed"/>
        <w:tblCellMar>
          <w:left w:w="0" w:type="dxa"/>
          <w:right w:w="0" w:type="dxa"/>
        </w:tblCellMar>
        <w:tblLook w:val="00AD" w:firstRow="1" w:lastRow="0" w:firstColumn="1" w:lastColumn="0" w:noHBand="0" w:noVBand="0"/>
      </w:tblPr>
      <w:tblGrid>
        <w:gridCol w:w="2340"/>
        <w:gridCol w:w="1260"/>
        <w:gridCol w:w="1620"/>
        <w:gridCol w:w="1260"/>
        <w:gridCol w:w="3240"/>
      </w:tblGrid>
      <w:tr w:rsidR="003B0815" w14:paraId="15E643FD" w14:textId="77777777">
        <w:trPr>
          <w:trHeight w:val="270"/>
        </w:trPr>
        <w:tc>
          <w:tcPr>
            <w:tcW w:w="9720" w:type="dxa"/>
            <w:gridSpan w:val="5"/>
            <w:noWrap/>
            <w:vAlign w:val="bottom"/>
          </w:tcPr>
          <w:p w:rsidR="003B0815" w:rsidRDefault="003B0815" w14:paraId="7005499F" w14:textId="77777777">
            <w:pPr>
              <w:pStyle w:val="RegEvalTableHeader"/>
              <w:rPr>
                <w:rFonts w:eastAsia="Arial Unicode MS"/>
              </w:rPr>
            </w:pPr>
            <w:bookmarkStart w:name="_Toc207109497" w:id="31"/>
            <w:r>
              <w:t>Changes in Secure Flight Cost Estimates from NPRM Cost Estimates</w:t>
            </w:r>
            <w:bookmarkEnd w:id="31"/>
          </w:p>
        </w:tc>
      </w:tr>
      <w:tr w:rsidR="003B0815" w14:paraId="34EF123C" w14:textId="77777777">
        <w:trPr>
          <w:cantSplit/>
          <w:trHeight w:val="255"/>
        </w:trPr>
        <w:tc>
          <w:tcPr>
            <w:tcW w:w="2340" w:type="dxa"/>
            <w:vMerge w:val="restart"/>
            <w:noWrap/>
            <w:vAlign w:val="center"/>
          </w:tcPr>
          <w:p w:rsidR="003B0815" w:rsidRDefault="003B0815" w14:paraId="3DCAF1B0" w14:textId="77777777">
            <w:pPr>
              <w:jc w:val="center"/>
              <w:rPr>
                <w:rFonts w:ascii="Arial" w:hAnsi="Arial" w:eastAsia="Arial Unicode MS" w:cs="Arial"/>
                <w:b/>
                <w:bCs/>
                <w:sz w:val="20"/>
                <w:szCs w:val="20"/>
              </w:rPr>
            </w:pPr>
            <w:r>
              <w:rPr>
                <w:rFonts w:ascii="Arial" w:hAnsi="Arial" w:cs="Arial"/>
                <w:b/>
                <w:bCs/>
                <w:sz w:val="20"/>
                <w:szCs w:val="20"/>
              </w:rPr>
              <w:t>Cost Component</w:t>
            </w:r>
          </w:p>
        </w:tc>
        <w:tc>
          <w:tcPr>
            <w:tcW w:w="4140" w:type="dxa"/>
            <w:gridSpan w:val="3"/>
            <w:noWrap/>
            <w:vAlign w:val="bottom"/>
          </w:tcPr>
          <w:p w:rsidR="003B0815" w:rsidRDefault="003B0815" w14:paraId="2DA6D04B" w14:textId="77777777">
            <w:pPr>
              <w:jc w:val="center"/>
              <w:rPr>
                <w:rFonts w:ascii="Arial" w:hAnsi="Arial" w:eastAsia="Arial Unicode MS" w:cs="Arial"/>
                <w:sz w:val="20"/>
                <w:szCs w:val="20"/>
              </w:rPr>
            </w:pPr>
            <w:r>
              <w:rPr>
                <w:rFonts w:ascii="Arial" w:hAnsi="Arial" w:cs="Arial"/>
                <w:sz w:val="20"/>
                <w:szCs w:val="20"/>
              </w:rPr>
              <w:t>Undiscounted 10 Year Total Costs ($millions)</w:t>
            </w:r>
          </w:p>
        </w:tc>
        <w:tc>
          <w:tcPr>
            <w:tcW w:w="3240" w:type="dxa"/>
            <w:noWrap/>
            <w:vAlign w:val="bottom"/>
          </w:tcPr>
          <w:p w:rsidR="003B0815" w:rsidRDefault="003B0815" w14:paraId="7391A18A" w14:textId="77777777">
            <w:pPr>
              <w:rPr>
                <w:rFonts w:ascii="Arial" w:hAnsi="Arial" w:eastAsia="Arial Unicode MS" w:cs="Arial"/>
                <w:sz w:val="20"/>
                <w:szCs w:val="20"/>
              </w:rPr>
            </w:pPr>
            <w:r>
              <w:rPr>
                <w:rFonts w:ascii="Arial" w:hAnsi="Arial" w:cs="Arial"/>
                <w:sz w:val="20"/>
                <w:szCs w:val="20"/>
              </w:rPr>
              <w:t> </w:t>
            </w:r>
          </w:p>
        </w:tc>
      </w:tr>
      <w:tr w:rsidR="003B0815" w14:paraId="25EAAFE7" w14:textId="77777777">
        <w:trPr>
          <w:cantSplit/>
          <w:trHeight w:val="270"/>
        </w:trPr>
        <w:tc>
          <w:tcPr>
            <w:tcW w:w="2340" w:type="dxa"/>
            <w:vMerge/>
            <w:vAlign w:val="center"/>
          </w:tcPr>
          <w:p w:rsidR="003B0815" w:rsidRDefault="003B0815" w14:paraId="529B5F3D" w14:textId="77777777">
            <w:pPr>
              <w:rPr>
                <w:rFonts w:ascii="Arial" w:hAnsi="Arial" w:eastAsia="Arial Unicode MS" w:cs="Arial"/>
                <w:b/>
                <w:bCs/>
                <w:sz w:val="20"/>
                <w:szCs w:val="20"/>
              </w:rPr>
            </w:pPr>
          </w:p>
        </w:tc>
        <w:tc>
          <w:tcPr>
            <w:tcW w:w="1260" w:type="dxa"/>
            <w:noWrap/>
            <w:vAlign w:val="bottom"/>
          </w:tcPr>
          <w:p w:rsidR="003B0815" w:rsidRDefault="003B0815" w14:paraId="2DA18007" w14:textId="77777777">
            <w:pPr>
              <w:jc w:val="center"/>
              <w:rPr>
                <w:rFonts w:ascii="Arial" w:hAnsi="Arial" w:eastAsia="Arial Unicode MS" w:cs="Arial"/>
                <w:sz w:val="20"/>
                <w:szCs w:val="20"/>
              </w:rPr>
            </w:pPr>
            <w:r>
              <w:rPr>
                <w:rFonts w:ascii="Arial" w:hAnsi="Arial" w:cs="Arial"/>
                <w:sz w:val="20"/>
                <w:szCs w:val="20"/>
              </w:rPr>
              <w:t>NPRM</w:t>
            </w:r>
          </w:p>
        </w:tc>
        <w:tc>
          <w:tcPr>
            <w:tcW w:w="1620" w:type="dxa"/>
            <w:noWrap/>
            <w:vAlign w:val="bottom"/>
          </w:tcPr>
          <w:p w:rsidR="003B0815" w:rsidRDefault="003B0815" w14:paraId="27B9505B" w14:textId="77777777">
            <w:pPr>
              <w:jc w:val="center"/>
              <w:rPr>
                <w:rFonts w:ascii="Arial" w:hAnsi="Arial" w:eastAsia="Arial Unicode MS" w:cs="Arial"/>
                <w:sz w:val="20"/>
                <w:szCs w:val="20"/>
              </w:rPr>
            </w:pPr>
            <w:r>
              <w:rPr>
                <w:rFonts w:ascii="Arial" w:hAnsi="Arial" w:cs="Arial"/>
                <w:sz w:val="20"/>
                <w:szCs w:val="20"/>
              </w:rPr>
              <w:t>Final Rule</w:t>
            </w:r>
          </w:p>
        </w:tc>
        <w:tc>
          <w:tcPr>
            <w:tcW w:w="1260" w:type="dxa"/>
            <w:noWrap/>
            <w:vAlign w:val="bottom"/>
          </w:tcPr>
          <w:p w:rsidR="003B0815" w:rsidRDefault="003B0815" w14:paraId="0B4C754C" w14:textId="77777777">
            <w:pPr>
              <w:jc w:val="center"/>
              <w:rPr>
                <w:rFonts w:ascii="Arial" w:hAnsi="Arial" w:eastAsia="Arial Unicode MS" w:cs="Arial"/>
                <w:sz w:val="20"/>
                <w:szCs w:val="20"/>
              </w:rPr>
            </w:pPr>
            <w:r>
              <w:rPr>
                <w:rFonts w:ascii="Arial" w:hAnsi="Arial" w:cs="Arial"/>
                <w:sz w:val="20"/>
                <w:szCs w:val="20"/>
              </w:rPr>
              <w:t>Difference</w:t>
            </w:r>
          </w:p>
        </w:tc>
        <w:tc>
          <w:tcPr>
            <w:tcW w:w="3240" w:type="dxa"/>
            <w:noWrap/>
            <w:vAlign w:val="bottom"/>
          </w:tcPr>
          <w:p w:rsidR="003B0815" w:rsidRDefault="003B0815" w14:paraId="0F3CADF8" w14:textId="77777777">
            <w:pPr>
              <w:rPr>
                <w:rFonts w:ascii="Arial" w:hAnsi="Arial" w:eastAsia="Arial Unicode MS" w:cs="Arial"/>
                <w:sz w:val="20"/>
                <w:szCs w:val="20"/>
              </w:rPr>
            </w:pPr>
            <w:r>
              <w:rPr>
                <w:rFonts w:ascii="Arial" w:hAnsi="Arial" w:cs="Arial"/>
                <w:sz w:val="20"/>
                <w:szCs w:val="20"/>
              </w:rPr>
              <w:t>Notes</w:t>
            </w:r>
          </w:p>
        </w:tc>
      </w:tr>
      <w:tr w:rsidR="003B0815" w14:paraId="7BB8AEC1" w14:textId="77777777">
        <w:trPr>
          <w:trHeight w:val="1035"/>
        </w:trPr>
        <w:tc>
          <w:tcPr>
            <w:tcW w:w="2340" w:type="dxa"/>
            <w:vAlign w:val="center"/>
          </w:tcPr>
          <w:p w:rsidR="003B0815" w:rsidRDefault="003B0815" w14:paraId="376AFC39" w14:textId="77777777">
            <w:pPr>
              <w:jc w:val="center"/>
              <w:rPr>
                <w:rFonts w:ascii="Arial" w:hAnsi="Arial" w:eastAsia="Arial Unicode MS" w:cs="Arial"/>
                <w:b/>
                <w:bCs/>
                <w:sz w:val="20"/>
                <w:szCs w:val="20"/>
              </w:rPr>
            </w:pPr>
            <w:r>
              <w:rPr>
                <w:rFonts w:ascii="Arial" w:hAnsi="Arial" w:cs="Arial"/>
                <w:b/>
                <w:bCs/>
                <w:sz w:val="20"/>
                <w:szCs w:val="20"/>
              </w:rPr>
              <w:t>Reprogramming Costs to Carriers</w:t>
            </w:r>
          </w:p>
        </w:tc>
        <w:tc>
          <w:tcPr>
            <w:tcW w:w="1260" w:type="dxa"/>
            <w:noWrap/>
            <w:vAlign w:val="center"/>
          </w:tcPr>
          <w:p w:rsidR="003B0815" w:rsidRDefault="003B0815" w14:paraId="1E5ADF3D" w14:textId="77777777">
            <w:pPr>
              <w:jc w:val="center"/>
              <w:rPr>
                <w:rFonts w:ascii="Arial" w:hAnsi="Arial" w:eastAsia="Arial Unicode MS" w:cs="Arial"/>
                <w:sz w:val="20"/>
                <w:szCs w:val="20"/>
              </w:rPr>
            </w:pPr>
            <w:r>
              <w:rPr>
                <w:rFonts w:ascii="Arial" w:hAnsi="Arial" w:cs="Arial"/>
                <w:sz w:val="20"/>
                <w:szCs w:val="20"/>
              </w:rPr>
              <w:t xml:space="preserve">$318.5 </w:t>
            </w:r>
          </w:p>
        </w:tc>
        <w:tc>
          <w:tcPr>
            <w:tcW w:w="1620" w:type="dxa"/>
            <w:noWrap/>
            <w:vAlign w:val="center"/>
          </w:tcPr>
          <w:p w:rsidR="003B0815" w:rsidRDefault="003B0815" w14:paraId="1F32FA68" w14:textId="77777777">
            <w:pPr>
              <w:jc w:val="center"/>
              <w:rPr>
                <w:rFonts w:ascii="Arial" w:hAnsi="Arial" w:eastAsia="Arial Unicode MS" w:cs="Arial"/>
                <w:sz w:val="20"/>
                <w:szCs w:val="20"/>
              </w:rPr>
            </w:pPr>
            <w:r>
              <w:rPr>
                <w:rFonts w:ascii="Arial" w:hAnsi="Arial" w:cs="Arial"/>
                <w:sz w:val="20"/>
                <w:szCs w:val="20"/>
              </w:rPr>
              <w:t xml:space="preserve">$498.8 </w:t>
            </w:r>
          </w:p>
        </w:tc>
        <w:tc>
          <w:tcPr>
            <w:tcW w:w="1260" w:type="dxa"/>
            <w:noWrap/>
            <w:vAlign w:val="center"/>
          </w:tcPr>
          <w:p w:rsidR="003B0815" w:rsidRDefault="003B0815" w14:paraId="01BD3A0F" w14:textId="77777777">
            <w:pPr>
              <w:jc w:val="center"/>
              <w:rPr>
                <w:rFonts w:ascii="Arial" w:hAnsi="Arial" w:eastAsia="Arial Unicode MS" w:cs="Arial"/>
                <w:sz w:val="20"/>
                <w:szCs w:val="20"/>
              </w:rPr>
            </w:pPr>
            <w:r>
              <w:rPr>
                <w:rFonts w:ascii="Arial" w:hAnsi="Arial" w:cs="Arial"/>
                <w:sz w:val="20"/>
                <w:szCs w:val="20"/>
              </w:rPr>
              <w:t xml:space="preserve">$180.3 </w:t>
            </w:r>
          </w:p>
        </w:tc>
        <w:tc>
          <w:tcPr>
            <w:tcW w:w="3240" w:type="dxa"/>
            <w:vAlign w:val="center"/>
          </w:tcPr>
          <w:p w:rsidR="003B0815" w:rsidRDefault="003B0815" w14:paraId="5368EF7F" w14:textId="77777777">
            <w:pPr>
              <w:rPr>
                <w:rFonts w:ascii="Arial" w:hAnsi="Arial" w:eastAsia="Arial Unicode MS" w:cs="Arial"/>
                <w:sz w:val="20"/>
                <w:szCs w:val="20"/>
              </w:rPr>
            </w:pPr>
            <w:r>
              <w:rPr>
                <w:rFonts w:ascii="Arial" w:hAnsi="Arial" w:cs="Arial"/>
                <w:sz w:val="20"/>
                <w:szCs w:val="20"/>
              </w:rPr>
              <w:t>In response to public comments, carrier reprogramming costs for Secure Flight were increased</w:t>
            </w:r>
          </w:p>
        </w:tc>
      </w:tr>
      <w:tr w:rsidR="003B0815" w14:paraId="10B23B5C" w14:textId="77777777">
        <w:trPr>
          <w:trHeight w:val="1095"/>
        </w:trPr>
        <w:tc>
          <w:tcPr>
            <w:tcW w:w="2340" w:type="dxa"/>
            <w:vAlign w:val="center"/>
          </w:tcPr>
          <w:p w:rsidR="003B0815" w:rsidRDefault="003B0815" w14:paraId="77152E3A" w14:textId="77777777">
            <w:pPr>
              <w:jc w:val="center"/>
              <w:rPr>
                <w:rFonts w:ascii="Arial" w:hAnsi="Arial" w:eastAsia="Arial Unicode MS" w:cs="Arial"/>
                <w:b/>
                <w:bCs/>
                <w:sz w:val="20"/>
                <w:szCs w:val="20"/>
              </w:rPr>
            </w:pPr>
            <w:r>
              <w:rPr>
                <w:rFonts w:ascii="Arial" w:hAnsi="Arial" w:cs="Arial"/>
                <w:b/>
                <w:bCs/>
                <w:sz w:val="20"/>
                <w:szCs w:val="20"/>
              </w:rPr>
              <w:t>Airline Data Collection Costs</w:t>
            </w:r>
          </w:p>
        </w:tc>
        <w:tc>
          <w:tcPr>
            <w:tcW w:w="1260" w:type="dxa"/>
            <w:noWrap/>
            <w:vAlign w:val="center"/>
          </w:tcPr>
          <w:p w:rsidR="003B0815" w:rsidRDefault="003B0815" w14:paraId="029B5AB0" w14:textId="77777777">
            <w:pPr>
              <w:jc w:val="center"/>
              <w:rPr>
                <w:rFonts w:ascii="Arial" w:hAnsi="Arial" w:eastAsia="Arial Unicode MS" w:cs="Arial"/>
                <w:sz w:val="20"/>
                <w:szCs w:val="20"/>
              </w:rPr>
            </w:pPr>
            <w:r>
              <w:rPr>
                <w:rFonts w:ascii="Arial" w:hAnsi="Arial" w:cs="Arial"/>
                <w:sz w:val="20"/>
                <w:szCs w:val="20"/>
              </w:rPr>
              <w:t xml:space="preserve">$104.8 </w:t>
            </w:r>
          </w:p>
        </w:tc>
        <w:tc>
          <w:tcPr>
            <w:tcW w:w="1620" w:type="dxa"/>
            <w:noWrap/>
            <w:vAlign w:val="center"/>
          </w:tcPr>
          <w:p w:rsidR="003B0815" w:rsidRDefault="003B0815" w14:paraId="1CF2CFE8" w14:textId="77777777">
            <w:pPr>
              <w:jc w:val="center"/>
              <w:rPr>
                <w:rFonts w:ascii="Arial" w:hAnsi="Arial" w:eastAsia="Arial Unicode MS" w:cs="Arial"/>
                <w:sz w:val="20"/>
                <w:szCs w:val="20"/>
              </w:rPr>
            </w:pPr>
            <w:r>
              <w:rPr>
                <w:rFonts w:ascii="Arial" w:hAnsi="Arial" w:cs="Arial"/>
                <w:sz w:val="20"/>
                <w:szCs w:val="20"/>
              </w:rPr>
              <w:t xml:space="preserve">$130.7 </w:t>
            </w:r>
          </w:p>
        </w:tc>
        <w:tc>
          <w:tcPr>
            <w:tcW w:w="1260" w:type="dxa"/>
            <w:noWrap/>
            <w:vAlign w:val="center"/>
          </w:tcPr>
          <w:p w:rsidR="003B0815" w:rsidRDefault="003B0815" w14:paraId="2A1EB314" w14:textId="77777777">
            <w:pPr>
              <w:jc w:val="center"/>
              <w:rPr>
                <w:rFonts w:ascii="Arial" w:hAnsi="Arial" w:eastAsia="Arial Unicode MS" w:cs="Arial"/>
                <w:sz w:val="20"/>
                <w:szCs w:val="20"/>
              </w:rPr>
            </w:pPr>
            <w:r>
              <w:rPr>
                <w:rFonts w:ascii="Arial" w:hAnsi="Arial" w:cs="Arial"/>
                <w:sz w:val="20"/>
                <w:szCs w:val="20"/>
              </w:rPr>
              <w:t xml:space="preserve">$25.9 </w:t>
            </w:r>
          </w:p>
        </w:tc>
        <w:tc>
          <w:tcPr>
            <w:tcW w:w="3240" w:type="dxa"/>
            <w:vAlign w:val="center"/>
          </w:tcPr>
          <w:p w:rsidR="003B0815" w:rsidRDefault="003B0815" w14:paraId="76C8CECB" w14:textId="77777777">
            <w:pPr>
              <w:rPr>
                <w:rFonts w:ascii="Arial" w:hAnsi="Arial" w:eastAsia="Arial Unicode MS" w:cs="Arial"/>
                <w:sz w:val="20"/>
                <w:szCs w:val="20"/>
              </w:rPr>
            </w:pPr>
            <w:r>
              <w:rPr>
                <w:rFonts w:ascii="Arial" w:hAnsi="Arial" w:cs="Arial"/>
                <w:sz w:val="20"/>
                <w:szCs w:val="20"/>
              </w:rPr>
              <w:t>In response to public comments, average data collection time for obtaining Secure Flight data elements during telephone reservations was increased from 20 seconds to 25 seconds</w:t>
            </w:r>
          </w:p>
        </w:tc>
      </w:tr>
      <w:tr w:rsidR="003B0815" w14:paraId="03541E4B" w14:textId="77777777">
        <w:trPr>
          <w:trHeight w:val="825"/>
        </w:trPr>
        <w:tc>
          <w:tcPr>
            <w:tcW w:w="2340" w:type="dxa"/>
            <w:vAlign w:val="center"/>
          </w:tcPr>
          <w:p w:rsidR="003B0815" w:rsidRDefault="003B0815" w14:paraId="209BE468" w14:textId="77777777">
            <w:pPr>
              <w:jc w:val="center"/>
              <w:rPr>
                <w:rFonts w:ascii="Arial" w:hAnsi="Arial" w:eastAsia="Arial Unicode MS" w:cs="Arial"/>
                <w:b/>
                <w:bCs/>
                <w:sz w:val="20"/>
                <w:szCs w:val="20"/>
              </w:rPr>
            </w:pPr>
            <w:r>
              <w:rPr>
                <w:rFonts w:ascii="Arial" w:hAnsi="Arial" w:cs="Arial"/>
                <w:b/>
                <w:bCs/>
                <w:sz w:val="20"/>
                <w:szCs w:val="20"/>
              </w:rPr>
              <w:t>Travel Agency Reprog / Training Costs</w:t>
            </w:r>
          </w:p>
        </w:tc>
        <w:tc>
          <w:tcPr>
            <w:tcW w:w="1260" w:type="dxa"/>
            <w:noWrap/>
            <w:vAlign w:val="center"/>
          </w:tcPr>
          <w:p w:rsidR="003B0815" w:rsidRDefault="003B0815" w14:paraId="17963529" w14:textId="77777777">
            <w:pPr>
              <w:jc w:val="center"/>
              <w:rPr>
                <w:rFonts w:ascii="Arial" w:hAnsi="Arial" w:eastAsia="Arial Unicode MS" w:cs="Arial"/>
                <w:sz w:val="20"/>
                <w:szCs w:val="20"/>
              </w:rPr>
            </w:pPr>
            <w:r>
              <w:rPr>
                <w:rFonts w:ascii="Arial" w:hAnsi="Arial" w:cs="Arial"/>
                <w:sz w:val="20"/>
                <w:szCs w:val="20"/>
              </w:rPr>
              <w:t>n/a</w:t>
            </w:r>
          </w:p>
        </w:tc>
        <w:tc>
          <w:tcPr>
            <w:tcW w:w="1620" w:type="dxa"/>
            <w:noWrap/>
            <w:vAlign w:val="center"/>
          </w:tcPr>
          <w:p w:rsidR="003B0815" w:rsidRDefault="003B0815" w14:paraId="78823564" w14:textId="77777777">
            <w:pPr>
              <w:jc w:val="center"/>
              <w:rPr>
                <w:rFonts w:ascii="Arial" w:hAnsi="Arial" w:eastAsia="Arial Unicode MS" w:cs="Arial"/>
                <w:sz w:val="20"/>
                <w:szCs w:val="20"/>
              </w:rPr>
            </w:pPr>
            <w:r>
              <w:rPr>
                <w:rFonts w:ascii="Arial" w:hAnsi="Arial" w:cs="Arial"/>
                <w:sz w:val="20"/>
                <w:szCs w:val="20"/>
              </w:rPr>
              <w:t xml:space="preserve">$16.7 </w:t>
            </w:r>
          </w:p>
        </w:tc>
        <w:tc>
          <w:tcPr>
            <w:tcW w:w="1260" w:type="dxa"/>
            <w:noWrap/>
            <w:vAlign w:val="center"/>
          </w:tcPr>
          <w:p w:rsidR="003B0815" w:rsidRDefault="003B0815" w14:paraId="364732D1" w14:textId="77777777">
            <w:pPr>
              <w:jc w:val="center"/>
              <w:rPr>
                <w:rFonts w:ascii="Arial" w:hAnsi="Arial" w:eastAsia="Arial Unicode MS" w:cs="Arial"/>
                <w:sz w:val="20"/>
                <w:szCs w:val="20"/>
              </w:rPr>
            </w:pPr>
            <w:r>
              <w:rPr>
                <w:rFonts w:ascii="Arial" w:hAnsi="Arial" w:cs="Arial"/>
                <w:sz w:val="20"/>
                <w:szCs w:val="20"/>
              </w:rPr>
              <w:t xml:space="preserve">$16.7 </w:t>
            </w:r>
          </w:p>
        </w:tc>
        <w:tc>
          <w:tcPr>
            <w:tcW w:w="3240" w:type="dxa"/>
            <w:vAlign w:val="center"/>
          </w:tcPr>
          <w:p w:rsidR="003B0815" w:rsidRDefault="003B0815" w14:paraId="64754E92" w14:textId="77777777">
            <w:pPr>
              <w:rPr>
                <w:rFonts w:ascii="Arial" w:hAnsi="Arial" w:eastAsia="Arial Unicode MS" w:cs="Arial"/>
                <w:sz w:val="20"/>
                <w:szCs w:val="20"/>
              </w:rPr>
            </w:pPr>
            <w:r>
              <w:rPr>
                <w:rFonts w:ascii="Arial" w:hAnsi="Arial" w:cs="Arial"/>
                <w:sz w:val="20"/>
                <w:szCs w:val="20"/>
              </w:rPr>
              <w:t>In response to public comments, first year costs for travel agent training and reprogramming costs for larger travel agencies were included.</w:t>
            </w:r>
          </w:p>
        </w:tc>
      </w:tr>
      <w:tr w:rsidR="003B0815" w14:paraId="61AB081D" w14:textId="77777777">
        <w:trPr>
          <w:trHeight w:val="810"/>
        </w:trPr>
        <w:tc>
          <w:tcPr>
            <w:tcW w:w="2340" w:type="dxa"/>
            <w:vAlign w:val="center"/>
          </w:tcPr>
          <w:p w:rsidR="003B0815" w:rsidRDefault="003B0815" w14:paraId="4D1AE243" w14:textId="77777777">
            <w:pPr>
              <w:jc w:val="center"/>
              <w:rPr>
                <w:rFonts w:ascii="Arial" w:hAnsi="Arial" w:eastAsia="Arial Unicode MS" w:cs="Arial"/>
                <w:b/>
                <w:bCs/>
                <w:sz w:val="20"/>
                <w:szCs w:val="20"/>
              </w:rPr>
            </w:pPr>
            <w:r>
              <w:rPr>
                <w:rFonts w:ascii="Arial" w:hAnsi="Arial" w:cs="Arial"/>
                <w:b/>
                <w:bCs/>
                <w:sz w:val="20"/>
                <w:szCs w:val="20"/>
              </w:rPr>
              <w:t>Travel Agency Data Collection Costs</w:t>
            </w:r>
          </w:p>
        </w:tc>
        <w:tc>
          <w:tcPr>
            <w:tcW w:w="1260" w:type="dxa"/>
            <w:noWrap/>
            <w:vAlign w:val="center"/>
          </w:tcPr>
          <w:p w:rsidR="003B0815" w:rsidRDefault="003B0815" w14:paraId="1B66F4F8" w14:textId="77777777">
            <w:pPr>
              <w:jc w:val="center"/>
              <w:rPr>
                <w:rFonts w:ascii="Arial" w:hAnsi="Arial" w:eastAsia="Arial Unicode MS" w:cs="Arial"/>
                <w:sz w:val="20"/>
                <w:szCs w:val="20"/>
              </w:rPr>
            </w:pPr>
            <w:r>
              <w:rPr>
                <w:rFonts w:ascii="Arial" w:hAnsi="Arial" w:cs="Arial"/>
                <w:sz w:val="20"/>
                <w:szCs w:val="20"/>
              </w:rPr>
              <w:t xml:space="preserve">$249.0 </w:t>
            </w:r>
          </w:p>
        </w:tc>
        <w:tc>
          <w:tcPr>
            <w:tcW w:w="1620" w:type="dxa"/>
            <w:noWrap/>
            <w:vAlign w:val="center"/>
          </w:tcPr>
          <w:p w:rsidR="003B0815" w:rsidRDefault="003B0815" w14:paraId="57D0834B" w14:textId="77777777">
            <w:pPr>
              <w:jc w:val="center"/>
              <w:rPr>
                <w:rFonts w:ascii="Arial" w:hAnsi="Arial" w:eastAsia="Arial Unicode MS" w:cs="Arial"/>
                <w:sz w:val="20"/>
                <w:szCs w:val="20"/>
              </w:rPr>
            </w:pPr>
            <w:r>
              <w:rPr>
                <w:rFonts w:ascii="Arial" w:hAnsi="Arial" w:cs="Arial"/>
                <w:sz w:val="20"/>
                <w:szCs w:val="20"/>
              </w:rPr>
              <w:t xml:space="preserve">$310.7 </w:t>
            </w:r>
          </w:p>
        </w:tc>
        <w:tc>
          <w:tcPr>
            <w:tcW w:w="1260" w:type="dxa"/>
            <w:noWrap/>
            <w:vAlign w:val="center"/>
          </w:tcPr>
          <w:p w:rsidR="003B0815" w:rsidRDefault="003B0815" w14:paraId="7549ACBC" w14:textId="77777777">
            <w:pPr>
              <w:jc w:val="center"/>
              <w:rPr>
                <w:rFonts w:ascii="Arial" w:hAnsi="Arial" w:eastAsia="Arial Unicode MS" w:cs="Arial"/>
                <w:sz w:val="20"/>
                <w:szCs w:val="20"/>
              </w:rPr>
            </w:pPr>
            <w:r>
              <w:rPr>
                <w:rFonts w:ascii="Arial" w:hAnsi="Arial" w:cs="Arial"/>
                <w:sz w:val="20"/>
                <w:szCs w:val="20"/>
              </w:rPr>
              <w:t xml:space="preserve">$61.7 </w:t>
            </w:r>
          </w:p>
        </w:tc>
        <w:tc>
          <w:tcPr>
            <w:tcW w:w="3240" w:type="dxa"/>
            <w:vAlign w:val="center"/>
          </w:tcPr>
          <w:p w:rsidR="003B0815" w:rsidRDefault="003B0815" w14:paraId="267495FE" w14:textId="77777777">
            <w:pPr>
              <w:rPr>
                <w:rFonts w:ascii="Arial" w:hAnsi="Arial" w:eastAsia="Arial Unicode MS" w:cs="Arial"/>
                <w:sz w:val="20"/>
                <w:szCs w:val="20"/>
              </w:rPr>
            </w:pPr>
            <w:r>
              <w:rPr>
                <w:rFonts w:ascii="Arial" w:hAnsi="Arial" w:cs="Arial"/>
                <w:sz w:val="20"/>
                <w:szCs w:val="20"/>
              </w:rPr>
              <w:t>In response to public comments, average data collection time for obtaining Secure Flight data elements during telephone reservations was increased from 20 seconds to 25 seconds</w:t>
            </w:r>
          </w:p>
        </w:tc>
      </w:tr>
      <w:tr w:rsidR="003B0815" w14:paraId="46F461FE" w14:textId="77777777">
        <w:trPr>
          <w:trHeight w:val="1080"/>
        </w:trPr>
        <w:tc>
          <w:tcPr>
            <w:tcW w:w="2340" w:type="dxa"/>
            <w:vAlign w:val="center"/>
          </w:tcPr>
          <w:p w:rsidR="003B0815" w:rsidRDefault="003B0815" w14:paraId="79632E60" w14:textId="77777777">
            <w:pPr>
              <w:jc w:val="center"/>
              <w:rPr>
                <w:rFonts w:ascii="Arial" w:hAnsi="Arial" w:eastAsia="Arial Unicode MS" w:cs="Arial"/>
                <w:b/>
                <w:bCs/>
                <w:sz w:val="20"/>
                <w:szCs w:val="20"/>
              </w:rPr>
            </w:pPr>
            <w:r>
              <w:rPr>
                <w:rFonts w:ascii="Arial" w:hAnsi="Arial" w:cs="Arial"/>
                <w:b/>
                <w:bCs/>
                <w:sz w:val="20"/>
                <w:szCs w:val="20"/>
              </w:rPr>
              <w:t>Federal Costs</w:t>
            </w:r>
          </w:p>
        </w:tc>
        <w:tc>
          <w:tcPr>
            <w:tcW w:w="1260" w:type="dxa"/>
            <w:noWrap/>
            <w:vAlign w:val="center"/>
          </w:tcPr>
          <w:p w:rsidR="003B0815" w:rsidRDefault="003B0815" w14:paraId="6CF72404" w14:textId="77777777">
            <w:pPr>
              <w:jc w:val="center"/>
              <w:rPr>
                <w:rFonts w:ascii="Arial" w:hAnsi="Arial" w:eastAsia="Arial Unicode MS" w:cs="Arial"/>
                <w:sz w:val="20"/>
                <w:szCs w:val="20"/>
              </w:rPr>
            </w:pPr>
            <w:r>
              <w:rPr>
                <w:rFonts w:ascii="Arial" w:hAnsi="Arial" w:cs="Arial"/>
                <w:sz w:val="20"/>
                <w:szCs w:val="20"/>
              </w:rPr>
              <w:t xml:space="preserve">$1,670.3 </w:t>
            </w:r>
          </w:p>
        </w:tc>
        <w:tc>
          <w:tcPr>
            <w:tcW w:w="1620" w:type="dxa"/>
            <w:noWrap/>
            <w:vAlign w:val="center"/>
          </w:tcPr>
          <w:p w:rsidR="003B0815" w:rsidRDefault="003B0815" w14:paraId="602D9321" w14:textId="77777777">
            <w:pPr>
              <w:jc w:val="center"/>
              <w:rPr>
                <w:rFonts w:ascii="Arial" w:hAnsi="Arial" w:eastAsia="Arial Unicode MS" w:cs="Arial"/>
                <w:sz w:val="20"/>
                <w:szCs w:val="20"/>
              </w:rPr>
            </w:pPr>
            <w:r>
              <w:rPr>
                <w:rFonts w:ascii="Arial" w:hAnsi="Arial" w:cs="Arial"/>
                <w:sz w:val="20"/>
                <w:szCs w:val="20"/>
              </w:rPr>
              <w:t xml:space="preserve">$1,427.5 </w:t>
            </w:r>
          </w:p>
        </w:tc>
        <w:tc>
          <w:tcPr>
            <w:tcW w:w="1260" w:type="dxa"/>
            <w:noWrap/>
            <w:vAlign w:val="center"/>
          </w:tcPr>
          <w:p w:rsidR="003B0815" w:rsidRDefault="003B0815" w14:paraId="4F72458F" w14:textId="77777777">
            <w:pPr>
              <w:jc w:val="center"/>
              <w:rPr>
                <w:rFonts w:ascii="Arial" w:hAnsi="Arial" w:eastAsia="Arial Unicode MS" w:cs="Arial"/>
                <w:sz w:val="20"/>
                <w:szCs w:val="20"/>
              </w:rPr>
            </w:pPr>
            <w:r>
              <w:rPr>
                <w:rFonts w:ascii="Arial" w:hAnsi="Arial" w:cs="Arial"/>
                <w:sz w:val="20"/>
                <w:szCs w:val="20"/>
              </w:rPr>
              <w:t>($242.8)</w:t>
            </w:r>
          </w:p>
        </w:tc>
        <w:tc>
          <w:tcPr>
            <w:tcW w:w="3240" w:type="dxa"/>
            <w:vAlign w:val="center"/>
          </w:tcPr>
          <w:p w:rsidR="003B0815" w:rsidRDefault="003B0815" w14:paraId="6DE3605B" w14:textId="77777777">
            <w:pPr>
              <w:rPr>
                <w:rFonts w:ascii="Arial" w:hAnsi="Arial" w:eastAsia="Arial Unicode MS" w:cs="Arial"/>
                <w:sz w:val="20"/>
                <w:szCs w:val="20"/>
              </w:rPr>
            </w:pPr>
            <w:r>
              <w:rPr>
                <w:rFonts w:ascii="Arial" w:hAnsi="Arial" w:cs="Arial"/>
                <w:sz w:val="20"/>
                <w:szCs w:val="20"/>
              </w:rPr>
              <w:t xml:space="preserve">Program costs revised based on redesign of process flow at resolution service centers; costs change principally in Implementation, Operations Planning and </w:t>
            </w:r>
            <w:smartTag w:uri="urn:schemas-microsoft-com:office:smarttags" w:element="place">
              <w:smartTag w:uri="urn:schemas-microsoft-com:office:smarttags" w:element="PlaceName">
                <w:r>
                  <w:rPr>
                    <w:rFonts w:ascii="Arial" w:hAnsi="Arial" w:cs="Arial"/>
                    <w:sz w:val="20"/>
                    <w:szCs w:val="20"/>
                  </w:rPr>
                  <w:t>Service</w:t>
                </w:r>
              </w:smartTag>
              <w:r>
                <w:rPr>
                  <w:rFonts w:ascii="Arial" w:hAnsi="Arial" w:cs="Arial"/>
                  <w:sz w:val="20"/>
                  <w:szCs w:val="20"/>
                </w:rPr>
                <w:t xml:space="preserve"> </w:t>
              </w:r>
              <w:smartTag w:uri="urn:schemas-microsoft-com:office:smarttags" w:element="PlaceType">
                <w:r>
                  <w:rPr>
                    <w:rFonts w:ascii="Arial" w:hAnsi="Arial" w:cs="Arial"/>
                    <w:sz w:val="20"/>
                    <w:szCs w:val="20"/>
                  </w:rPr>
                  <w:t>Center</w:t>
                </w:r>
              </w:smartTag>
            </w:smartTag>
            <w:r>
              <w:rPr>
                <w:rFonts w:ascii="Arial" w:hAnsi="Arial" w:cs="Arial"/>
                <w:sz w:val="20"/>
                <w:szCs w:val="20"/>
              </w:rPr>
              <w:t xml:space="preserve"> cost areas</w:t>
            </w:r>
          </w:p>
        </w:tc>
      </w:tr>
      <w:tr w:rsidR="003B0815" w14:paraId="2A92481E" w14:textId="77777777">
        <w:trPr>
          <w:trHeight w:val="540"/>
        </w:trPr>
        <w:tc>
          <w:tcPr>
            <w:tcW w:w="2340" w:type="dxa"/>
            <w:vAlign w:val="center"/>
          </w:tcPr>
          <w:p w:rsidR="003B0815" w:rsidRDefault="003B0815" w14:paraId="28602C82" w14:textId="77777777">
            <w:pPr>
              <w:jc w:val="center"/>
              <w:rPr>
                <w:rFonts w:ascii="Arial" w:hAnsi="Arial" w:eastAsia="Arial Unicode MS" w:cs="Arial"/>
                <w:b/>
                <w:bCs/>
                <w:sz w:val="20"/>
                <w:szCs w:val="20"/>
              </w:rPr>
            </w:pPr>
            <w:r>
              <w:rPr>
                <w:rFonts w:ascii="Arial" w:hAnsi="Arial" w:cs="Arial"/>
                <w:b/>
                <w:bCs/>
                <w:sz w:val="20"/>
                <w:szCs w:val="20"/>
              </w:rPr>
              <w:t>Total Cash Outlay</w:t>
            </w:r>
          </w:p>
        </w:tc>
        <w:tc>
          <w:tcPr>
            <w:tcW w:w="1260" w:type="dxa"/>
            <w:noWrap/>
            <w:vAlign w:val="center"/>
          </w:tcPr>
          <w:p w:rsidR="003B0815" w:rsidRDefault="003B0815" w14:paraId="0C984BE6" w14:textId="77777777">
            <w:pPr>
              <w:jc w:val="center"/>
              <w:rPr>
                <w:rFonts w:ascii="Arial" w:hAnsi="Arial" w:eastAsia="Arial Unicode MS" w:cs="Arial"/>
                <w:sz w:val="20"/>
                <w:szCs w:val="20"/>
              </w:rPr>
            </w:pPr>
            <w:r>
              <w:rPr>
                <w:rFonts w:ascii="Arial" w:hAnsi="Arial" w:cs="Arial"/>
                <w:sz w:val="20"/>
                <w:szCs w:val="20"/>
              </w:rPr>
              <w:t xml:space="preserve">$2,342.6 </w:t>
            </w:r>
          </w:p>
        </w:tc>
        <w:tc>
          <w:tcPr>
            <w:tcW w:w="1620" w:type="dxa"/>
            <w:noWrap/>
            <w:vAlign w:val="center"/>
          </w:tcPr>
          <w:p w:rsidR="003B0815" w:rsidRDefault="003B0815" w14:paraId="49A473C5" w14:textId="77777777">
            <w:pPr>
              <w:jc w:val="center"/>
              <w:rPr>
                <w:rFonts w:ascii="Arial" w:hAnsi="Arial" w:eastAsia="Arial Unicode MS" w:cs="Arial"/>
                <w:sz w:val="20"/>
                <w:szCs w:val="20"/>
              </w:rPr>
            </w:pPr>
            <w:r>
              <w:rPr>
                <w:rFonts w:ascii="Arial" w:hAnsi="Arial" w:cs="Arial"/>
                <w:sz w:val="20"/>
                <w:szCs w:val="20"/>
              </w:rPr>
              <w:t xml:space="preserve">$2,384.4 </w:t>
            </w:r>
          </w:p>
        </w:tc>
        <w:tc>
          <w:tcPr>
            <w:tcW w:w="1260" w:type="dxa"/>
            <w:noWrap/>
            <w:vAlign w:val="center"/>
          </w:tcPr>
          <w:p w:rsidR="003B0815" w:rsidRDefault="003B0815" w14:paraId="44FA35C4" w14:textId="77777777">
            <w:pPr>
              <w:jc w:val="center"/>
              <w:rPr>
                <w:rFonts w:ascii="Arial" w:hAnsi="Arial" w:eastAsia="Arial Unicode MS" w:cs="Arial"/>
                <w:sz w:val="20"/>
                <w:szCs w:val="20"/>
              </w:rPr>
            </w:pPr>
            <w:r>
              <w:rPr>
                <w:rFonts w:ascii="Arial" w:hAnsi="Arial" w:cs="Arial"/>
                <w:sz w:val="20"/>
                <w:szCs w:val="20"/>
              </w:rPr>
              <w:t xml:space="preserve">$41.8 </w:t>
            </w:r>
          </w:p>
        </w:tc>
        <w:tc>
          <w:tcPr>
            <w:tcW w:w="3240" w:type="dxa"/>
            <w:vAlign w:val="center"/>
          </w:tcPr>
          <w:p w:rsidR="003B0815" w:rsidRDefault="003B0815" w14:paraId="4DED7AF1" w14:textId="77777777">
            <w:pPr>
              <w:rPr>
                <w:rFonts w:ascii="Arial" w:hAnsi="Arial" w:eastAsia="Arial Unicode MS" w:cs="Arial"/>
                <w:sz w:val="20"/>
                <w:szCs w:val="20"/>
              </w:rPr>
            </w:pPr>
            <w:r>
              <w:rPr>
                <w:rFonts w:ascii="Arial" w:hAnsi="Arial" w:cs="Arial"/>
                <w:sz w:val="20"/>
                <w:szCs w:val="20"/>
              </w:rPr>
              <w:t> </w:t>
            </w:r>
          </w:p>
        </w:tc>
      </w:tr>
      <w:tr w:rsidR="003B0815" w14:paraId="5450B062" w14:textId="77777777">
        <w:trPr>
          <w:trHeight w:val="1050"/>
        </w:trPr>
        <w:tc>
          <w:tcPr>
            <w:tcW w:w="2340" w:type="dxa"/>
            <w:vAlign w:val="center"/>
          </w:tcPr>
          <w:p w:rsidR="003B0815" w:rsidRDefault="003B0815" w14:paraId="48E57533" w14:textId="77777777">
            <w:pPr>
              <w:jc w:val="center"/>
              <w:rPr>
                <w:rFonts w:ascii="Arial" w:hAnsi="Arial" w:eastAsia="Arial Unicode MS" w:cs="Arial"/>
                <w:b/>
                <w:bCs/>
                <w:sz w:val="20"/>
                <w:szCs w:val="20"/>
              </w:rPr>
            </w:pPr>
            <w:r>
              <w:rPr>
                <w:rFonts w:ascii="Arial" w:hAnsi="Arial" w:cs="Arial"/>
                <w:b/>
                <w:bCs/>
                <w:sz w:val="20"/>
                <w:szCs w:val="20"/>
              </w:rPr>
              <w:t xml:space="preserve">Passenger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w:t>
            </w:r>
          </w:p>
        </w:tc>
        <w:tc>
          <w:tcPr>
            <w:tcW w:w="1260" w:type="dxa"/>
            <w:noWrap/>
            <w:vAlign w:val="center"/>
          </w:tcPr>
          <w:p w:rsidR="003B0815" w:rsidRDefault="003B0815" w14:paraId="25CDF840" w14:textId="77777777">
            <w:pPr>
              <w:jc w:val="center"/>
              <w:rPr>
                <w:rFonts w:ascii="Arial" w:hAnsi="Arial" w:eastAsia="Arial Unicode MS" w:cs="Arial"/>
                <w:sz w:val="20"/>
                <w:szCs w:val="20"/>
              </w:rPr>
            </w:pPr>
            <w:r>
              <w:rPr>
                <w:rFonts w:ascii="Arial" w:hAnsi="Arial" w:cs="Arial"/>
                <w:sz w:val="20"/>
                <w:szCs w:val="20"/>
              </w:rPr>
              <w:t xml:space="preserve">$787.3 </w:t>
            </w:r>
          </w:p>
        </w:tc>
        <w:tc>
          <w:tcPr>
            <w:tcW w:w="1620" w:type="dxa"/>
            <w:noWrap/>
            <w:vAlign w:val="center"/>
          </w:tcPr>
          <w:p w:rsidR="003B0815" w:rsidRDefault="003B0815" w14:paraId="69B9771B" w14:textId="77777777">
            <w:pPr>
              <w:jc w:val="center"/>
              <w:rPr>
                <w:rFonts w:ascii="Arial" w:hAnsi="Arial" w:eastAsia="Arial Unicode MS" w:cs="Arial"/>
                <w:sz w:val="20"/>
                <w:szCs w:val="20"/>
              </w:rPr>
            </w:pPr>
            <w:r>
              <w:rPr>
                <w:rFonts w:ascii="Arial" w:hAnsi="Arial" w:cs="Arial"/>
                <w:sz w:val="20"/>
                <w:szCs w:val="20"/>
              </w:rPr>
              <w:t xml:space="preserve">$877.9 </w:t>
            </w:r>
          </w:p>
        </w:tc>
        <w:tc>
          <w:tcPr>
            <w:tcW w:w="1260" w:type="dxa"/>
            <w:noWrap/>
            <w:vAlign w:val="center"/>
          </w:tcPr>
          <w:p w:rsidR="003B0815" w:rsidRDefault="003B0815" w14:paraId="0B1B2812" w14:textId="77777777">
            <w:pPr>
              <w:jc w:val="center"/>
              <w:rPr>
                <w:rFonts w:ascii="Arial" w:hAnsi="Arial" w:eastAsia="Arial Unicode MS" w:cs="Arial"/>
                <w:sz w:val="20"/>
                <w:szCs w:val="20"/>
              </w:rPr>
            </w:pPr>
            <w:r>
              <w:rPr>
                <w:rFonts w:ascii="Arial" w:hAnsi="Arial" w:cs="Arial"/>
                <w:sz w:val="20"/>
                <w:szCs w:val="20"/>
              </w:rPr>
              <w:t xml:space="preserve">$90.5 </w:t>
            </w:r>
          </w:p>
        </w:tc>
        <w:tc>
          <w:tcPr>
            <w:tcW w:w="3240" w:type="dxa"/>
            <w:vAlign w:val="center"/>
          </w:tcPr>
          <w:p w:rsidR="003B0815" w:rsidRDefault="003B0815" w14:paraId="2BDCE52D" w14:textId="77777777">
            <w:pPr>
              <w:rPr>
                <w:rFonts w:ascii="Arial" w:hAnsi="Arial" w:eastAsia="Arial Unicode MS" w:cs="Arial"/>
                <w:sz w:val="20"/>
                <w:szCs w:val="20"/>
              </w:rPr>
            </w:pPr>
            <w:r>
              <w:rPr>
                <w:rFonts w:ascii="Arial" w:hAnsi="Arial" w:cs="Arial"/>
                <w:sz w:val="20"/>
                <w:szCs w:val="20"/>
              </w:rPr>
              <w:t>In response to public comments, average time to provide Secure Flight data elements during telephone reservations was increased from 20 seconds to 25 seconds; added complexity risk</w:t>
            </w:r>
          </w:p>
        </w:tc>
      </w:tr>
      <w:tr w:rsidR="003B0815" w14:paraId="2D493ACF" w14:textId="77777777">
        <w:trPr>
          <w:trHeight w:val="270"/>
        </w:trPr>
        <w:tc>
          <w:tcPr>
            <w:tcW w:w="2340" w:type="dxa"/>
            <w:vAlign w:val="center"/>
          </w:tcPr>
          <w:p w:rsidR="003B0815" w:rsidRDefault="003B0815" w14:paraId="368B92EB" w14:textId="77777777">
            <w:pPr>
              <w:jc w:val="center"/>
              <w:rPr>
                <w:rFonts w:ascii="Arial" w:hAnsi="Arial" w:eastAsia="Arial Unicode MS" w:cs="Arial"/>
                <w:b/>
                <w:bCs/>
                <w:sz w:val="20"/>
                <w:szCs w:val="20"/>
              </w:rPr>
            </w:pPr>
            <w:r>
              <w:rPr>
                <w:rFonts w:ascii="Arial" w:hAnsi="Arial" w:cs="Arial"/>
                <w:b/>
                <w:bCs/>
                <w:sz w:val="20"/>
                <w:szCs w:val="20"/>
              </w:rPr>
              <w:t>Total Program Costs</w:t>
            </w:r>
          </w:p>
        </w:tc>
        <w:tc>
          <w:tcPr>
            <w:tcW w:w="1260" w:type="dxa"/>
            <w:noWrap/>
            <w:vAlign w:val="center"/>
          </w:tcPr>
          <w:p w:rsidR="003B0815" w:rsidRDefault="003B0815" w14:paraId="239009C1" w14:textId="77777777">
            <w:pPr>
              <w:jc w:val="center"/>
              <w:rPr>
                <w:rFonts w:ascii="Arial" w:hAnsi="Arial" w:eastAsia="Arial Unicode MS" w:cs="Arial"/>
                <w:sz w:val="20"/>
                <w:szCs w:val="20"/>
              </w:rPr>
            </w:pPr>
            <w:r>
              <w:rPr>
                <w:rFonts w:ascii="Arial" w:hAnsi="Arial" w:cs="Arial"/>
                <w:b/>
                <w:bCs/>
                <w:sz w:val="20"/>
                <w:szCs w:val="20"/>
              </w:rPr>
              <w:t xml:space="preserve">$3,129.9 </w:t>
            </w:r>
          </w:p>
        </w:tc>
        <w:tc>
          <w:tcPr>
            <w:tcW w:w="1620" w:type="dxa"/>
            <w:noWrap/>
            <w:vAlign w:val="center"/>
          </w:tcPr>
          <w:p w:rsidR="003B0815" w:rsidRDefault="003B0815" w14:paraId="67D2F66B" w14:textId="77777777">
            <w:pPr>
              <w:jc w:val="center"/>
              <w:rPr>
                <w:rFonts w:ascii="Arial" w:hAnsi="Arial" w:eastAsia="Arial Unicode MS" w:cs="Arial"/>
                <w:sz w:val="20"/>
                <w:szCs w:val="20"/>
              </w:rPr>
            </w:pPr>
            <w:r>
              <w:rPr>
                <w:rFonts w:ascii="Arial" w:hAnsi="Arial" w:cs="Arial"/>
                <w:b/>
                <w:bCs/>
                <w:sz w:val="20"/>
                <w:szCs w:val="20"/>
              </w:rPr>
              <w:t xml:space="preserve">$3,262.3 </w:t>
            </w:r>
          </w:p>
        </w:tc>
        <w:tc>
          <w:tcPr>
            <w:tcW w:w="1260" w:type="dxa"/>
            <w:noWrap/>
            <w:vAlign w:val="center"/>
          </w:tcPr>
          <w:p w:rsidR="003B0815" w:rsidRDefault="003B0815" w14:paraId="234467C0" w14:textId="77777777">
            <w:pPr>
              <w:jc w:val="center"/>
              <w:rPr>
                <w:rFonts w:ascii="Arial" w:hAnsi="Arial" w:eastAsia="Arial Unicode MS" w:cs="Arial"/>
                <w:sz w:val="20"/>
                <w:szCs w:val="20"/>
              </w:rPr>
            </w:pPr>
            <w:r>
              <w:rPr>
                <w:rFonts w:ascii="Arial" w:hAnsi="Arial" w:cs="Arial"/>
                <w:b/>
                <w:bCs/>
                <w:sz w:val="20"/>
                <w:szCs w:val="20"/>
              </w:rPr>
              <w:t xml:space="preserve">$132.4 </w:t>
            </w:r>
          </w:p>
        </w:tc>
        <w:tc>
          <w:tcPr>
            <w:tcW w:w="3240" w:type="dxa"/>
            <w:vAlign w:val="bottom"/>
          </w:tcPr>
          <w:p w:rsidR="003B0815" w:rsidRDefault="003B0815" w14:paraId="124CF46A" w14:textId="77777777">
            <w:pPr>
              <w:rPr>
                <w:rFonts w:ascii="Arial" w:hAnsi="Arial" w:eastAsia="Arial Unicode MS" w:cs="Arial"/>
                <w:sz w:val="20"/>
                <w:szCs w:val="20"/>
              </w:rPr>
            </w:pPr>
            <w:r>
              <w:rPr>
                <w:rFonts w:ascii="Arial" w:hAnsi="Arial" w:cs="Arial"/>
                <w:sz w:val="20"/>
                <w:szCs w:val="20"/>
              </w:rPr>
              <w:t> </w:t>
            </w:r>
          </w:p>
        </w:tc>
      </w:tr>
    </w:tbl>
    <w:p w:rsidR="003B0815" w:rsidRDefault="003B0815" w14:paraId="6D61E8CB" w14:textId="77777777">
      <w:pPr>
        <w:spacing w:line="360" w:lineRule="auto"/>
        <w:ind w:firstLine="720"/>
      </w:pPr>
    </w:p>
    <w:p w:rsidR="003B0815" w:rsidRDefault="003B0815" w14:paraId="602CAC87" w14:textId="77777777">
      <w:pPr>
        <w:spacing w:line="360" w:lineRule="auto"/>
        <w:ind w:firstLine="720"/>
        <w:rPr>
          <w:b/>
        </w:rPr>
      </w:pPr>
      <w:r>
        <w:br w:type="page"/>
      </w:r>
      <w:r>
        <w:rPr>
          <w:b/>
        </w:rPr>
        <w:t>Benefits</w:t>
      </w:r>
    </w:p>
    <w:p w:rsidR="003B0815" w:rsidRDefault="003B0815" w14:paraId="2CE3AFC1" w14:textId="77777777">
      <w:pPr>
        <w:spacing w:line="360" w:lineRule="auto"/>
        <w:ind w:firstLine="720"/>
      </w:pPr>
      <w:bookmarkStart w:name="OLE_LINK1" w:id="32"/>
      <w:r>
        <w:t>Benefits of the rule will occur in two phases: the first during operational testing and the second post-implementation.  During operational testing, Secure Flight will screen passengers in parallel with the airlines.  Primary responsibility for watch list matching will remain with covered aircraft operators during this period, but Secure Flight may notify aircraft operators if its watch list matching technology enables it to detect a potential match the aircraft operator may have missed.  Therefore, during the operational testing phase, benefits may include increased aviation security resulting from the detection of threats not identified by covered carriers participating in the testing.</w:t>
      </w:r>
    </w:p>
    <w:p w:rsidR="003B0815" w:rsidRDefault="003B0815" w14:paraId="35DA4A7E" w14:textId="77777777">
      <w:pPr>
        <w:spacing w:line="360" w:lineRule="auto"/>
        <w:ind w:firstLine="720"/>
      </w:pPr>
      <w:r>
        <w:t>Most of the rule’s benefits occur post-implementation.  Secure Flight standardizes the watch list matching process across domestic and foreign commercial airlines.  Resulting benefits will include more accurate, timely, and comprehensive screening, and a reduction in false positives.  This occurs because Secure Flight has access to more initial data with which to distinguish passengers from records in the watch lists than is currently available to airlines.  Further, the airlines will be relieved of watch list matching responsibilities, and TSA will be relieved of distributing the watch lists.  Together, these factors contribute to the overall objective of focusing resources on passengers identified as potential threats to aviation security.</w:t>
      </w:r>
    </w:p>
    <w:p w:rsidR="003B0815" w:rsidRDefault="003B0815" w14:paraId="12689347" w14:textId="77777777">
      <w:pPr>
        <w:spacing w:line="360" w:lineRule="auto"/>
        <w:ind w:firstLine="720"/>
      </w:pPr>
      <w:r>
        <w:t>This benefit is further augmented by the requirement that covered airlines must print on boarding passes a code generated by the Secure Flight system that is unique for each watch list result returned.  Depending on the final implementation method, this requirement will at a minimum allow checkpoint personnel to verify that a boarding or gate pass has been processed by the Secure Flight system.  This will prevent individuals from passing through the checkpoint with a boarding or gate pass that has not originated in an airline system.</w:t>
      </w:r>
    </w:p>
    <w:p w:rsidR="003B0815" w:rsidRDefault="003B0815" w14:paraId="50E6B38E" w14:textId="77777777">
      <w:pPr>
        <w:spacing w:line="360" w:lineRule="auto"/>
        <w:ind w:firstLine="720"/>
      </w:pPr>
      <w:r>
        <w:t>By transferring responsibility for watch list matching of international passengers from CBP to TSA, the final rule consolidates passenger prescreening operations within the Department of Homeland Security (DHS), thereby reducing redundancies between similar programs and facilitating better governance.  The rule enables CBP to focus its resources on its mission of protecting U.S. borders while permitting TSA to apply its expertise in watch list matching consistently across all commercial air traffic within and overflying the United States.  DHS expects that reducing overlap between these agencies’ missions will improve national security through more efficient and targeted use of national resources.</w:t>
      </w:r>
    </w:p>
    <w:p w:rsidR="003B0815" w:rsidRDefault="003B0815" w14:paraId="3D83213B" w14:textId="77777777">
      <w:pPr>
        <w:spacing w:line="360" w:lineRule="auto"/>
        <w:ind w:firstLine="720"/>
      </w:pPr>
      <w:r>
        <w:t>Other benefits include increased security due to the watch list matching of non-traveling individuals who request access to a sterile area.  Also, TSA anticipates it may allow airports to authorize non-traveling individuals to enter the airport sterile area.  As a result, the final rule establishes requirements related to airports’ transmission of data from non-traveling individuals to Secure Flight for watch list matching.  These requirements only apply to airports that request and receive authorization from TSA to grant non-traveling individuals access to the airport sterile area.</w:t>
      </w:r>
      <w:bookmarkEnd w:id="32"/>
      <w:r>
        <w:t xml:space="preserve">  </w:t>
      </w:r>
    </w:p>
    <w:p w:rsidR="003B0815" w:rsidRDefault="003B0815" w14:paraId="6A9EBBAF" w14:textId="77777777">
      <w:pPr>
        <w:spacing w:line="360" w:lineRule="auto"/>
        <w:ind w:firstLine="720"/>
      </w:pPr>
      <w:r>
        <w:t xml:space="preserve">Once TSA assumes primary responsibility for watch list matching, airlines will be relieved of their passenger watch list matching responsibilities.  For the purpose of the estimates in this analysis, TSA assumed that domestic implementation will be completed in the first year of the rule and international implementation will be completed in the second year.  However, the actual date the carriers will be completely relieved is unknown </w:t>
      </w:r>
      <w:bookmarkStart w:name="OLE_LINK4" w:id="33"/>
      <w:r>
        <w:t>and is contingent on several factors, such as the impact of budgetary constraints and the results of operational testing.  Prior to full implementation, operational testing will have to demonstrate that Secure Flight does not produce a large number of false positives, processes all matching requests in an efficient and accurate manner, and interfaces with a redress system for passengers who believe they have been incorrectly delayed or denied boarding as a result of Secure Flight matching.</w:t>
      </w:r>
      <w:bookmarkEnd w:id="33"/>
      <w:r>
        <w:t xml:space="preserve">  Elimination of their watch list matching responsibilities enables airlines to reallocate to other tasks some of their operational resources currently dedicated to comparing passenger information to the watch lists and will offset some costs imposed by the regulation.  Due to the vast difference in resources used by each airline for watch list matching and uncertainty regarding the actual date each will be relieved of watch list duties, TSA was unable to quantify these cost savings. </w:t>
      </w:r>
    </w:p>
    <w:p w:rsidR="003B0815" w:rsidRDefault="003B0815" w14:paraId="66930DF3" w14:textId="77777777">
      <w:pPr>
        <w:spacing w:line="360" w:lineRule="auto"/>
        <w:ind w:firstLine="720"/>
      </w:pPr>
      <w:r>
        <w:t xml:space="preserve">Further, while TSA conducted significant testing using previously collected passenger name record (PNR) data, no testing has been completed </w:t>
      </w:r>
      <w:r>
        <w:rPr>
          <w:bCs/>
        </w:rPr>
        <w:t>using all of the passenger information required by this final rule</w:t>
      </w:r>
      <w:r>
        <w:t>.  The operational testing phase provides TSA the opportunity to work with the airlines and other stakeholders to refine Secure Flight to achieve optimal results while the airlines continue to have primary responsibility for watch list matching.  Thus, the testing phase also allows TSA to collect baseline data necessary for quantification of potential benefits of Secure Flight.</w:t>
      </w:r>
    </w:p>
    <w:p w:rsidR="003B0815" w:rsidRDefault="003B0815" w14:paraId="328B1A44" w14:textId="77777777">
      <w:pPr>
        <w:spacing w:line="360" w:lineRule="auto"/>
        <w:ind w:firstLine="720"/>
        <w:sectPr w:rsidR="003B0815">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r>
        <w:t>TSA has also included a “break-even” analysis which indicates the tradeoffs between program cost and program benefits (in the form of impact on baseline risk of a significant aviation-related terror attack) that would be required for Secure Flight to be a cost beneficial undertaking.</w:t>
      </w:r>
    </w:p>
    <w:p w:rsidR="003B0815" w:rsidRDefault="003B0815" w14:paraId="1D7B6744" w14:textId="77777777">
      <w:pPr>
        <w:pStyle w:val="RegEvalSectionHeader"/>
        <w:keepNext/>
      </w:pPr>
      <w:bookmarkStart w:name="_Toc111627352" w:id="34"/>
      <w:bookmarkStart w:name="_Toc114037993" w:id="35"/>
      <w:bookmarkStart w:name="_Toc114566403" w:id="36"/>
      <w:bookmarkStart w:name="_Toc141001069" w:id="37"/>
      <w:bookmarkStart w:name="_Toc141000898" w:id="38"/>
      <w:bookmarkStart w:name="_Toc165278425" w:id="39"/>
      <w:bookmarkStart w:name="_Toc202683373" w:id="40"/>
      <w:r>
        <w:t>Section 2: Terms and Definitions</w:t>
      </w:r>
      <w:bookmarkEnd w:id="34"/>
      <w:bookmarkEnd w:id="35"/>
      <w:bookmarkEnd w:id="36"/>
      <w:bookmarkEnd w:id="37"/>
      <w:bookmarkEnd w:id="38"/>
      <w:bookmarkEnd w:id="39"/>
      <w:bookmarkEnd w:id="40"/>
    </w:p>
    <w:p w:rsidR="003B0815" w:rsidRDefault="003B0815" w14:paraId="223556E6" w14:textId="77777777">
      <w:pPr>
        <w:spacing w:line="480" w:lineRule="auto"/>
        <w:ind w:firstLine="720"/>
      </w:pPr>
      <w:r>
        <w:t>Terms and definitions important to understanding the following analysis are provided here for the reader’s convenience.  Definitions are not repeated in the text.</w:t>
      </w:r>
    </w:p>
    <w:p w:rsidR="003B0815" w:rsidRDefault="003B0815" w14:paraId="73537C0F" w14:textId="77777777">
      <w:pPr>
        <w:ind w:firstLine="720"/>
      </w:pPr>
      <w:r>
        <w:rPr>
          <w:u w:val="single"/>
        </w:rPr>
        <w:t>Aircraft Operator Implementation Plan (AOIP)</w:t>
      </w:r>
      <w:r>
        <w:t xml:space="preserve"> - A written procedure describing how and when a covered aircraft operator transmits passenger and flight information and non-traveler information to TSA, as well as other related matters.</w:t>
      </w:r>
    </w:p>
    <w:p w:rsidR="003B0815" w:rsidRDefault="003B0815" w14:paraId="64CB48BA" w14:textId="77777777">
      <w:pPr>
        <w:ind w:firstLine="720"/>
      </w:pPr>
    </w:p>
    <w:p w:rsidR="003B0815" w:rsidRDefault="003B0815" w14:paraId="65B1FC62" w14:textId="77777777">
      <w:pPr>
        <w:ind w:firstLine="720"/>
      </w:pPr>
      <w:r>
        <w:rPr>
          <w:u w:val="single"/>
        </w:rPr>
        <w:t>Airport code</w:t>
      </w:r>
      <w:r>
        <w:t xml:space="preserve"> – The official code, designated by the International Air Transport Association (IATA), for an airport.</w:t>
      </w:r>
    </w:p>
    <w:p w:rsidR="003B0815" w:rsidRDefault="003B0815" w14:paraId="782C1C42" w14:textId="77777777">
      <w:pPr>
        <w:ind w:firstLine="720"/>
        <w:rPr>
          <w:u w:val="single"/>
        </w:rPr>
      </w:pPr>
    </w:p>
    <w:p w:rsidR="003B0815" w:rsidRDefault="003B0815" w14:paraId="4F44F5F4" w14:textId="77777777">
      <w:pPr>
        <w:ind w:firstLine="720"/>
      </w:pPr>
      <w:r>
        <w:rPr>
          <w:u w:val="single"/>
        </w:rPr>
        <w:t>Covered Aircraft Operator</w:t>
      </w:r>
      <w:r>
        <w:t xml:space="preserve"> - Each aircraft operator required to carry out a full security program under 49 CFR 1544.101(a) (domestic operators) or a security program under 49 CFR 1546.101(a) or (b) (foreign operators).</w:t>
      </w:r>
    </w:p>
    <w:p w:rsidR="003B0815" w:rsidRDefault="003B0815" w14:paraId="239C73B9" w14:textId="77777777">
      <w:pPr>
        <w:ind w:firstLine="720"/>
      </w:pPr>
    </w:p>
    <w:p w:rsidR="003B0815" w:rsidRDefault="003B0815" w14:paraId="44105121" w14:textId="77777777">
      <w:pPr>
        <w:ind w:firstLine="720"/>
      </w:pPr>
      <w:r>
        <w:rPr>
          <w:u w:val="single"/>
        </w:rPr>
        <w:t>Covered Airport Operator</w:t>
      </w:r>
      <w:r>
        <w:t xml:space="preserve"> - Each airport operator that seeks to authorize non-traveling individuals to enter a sterile area for a purpose permitted by TSA.  “Airport operator” is defined in § 1540.5 as a person that operates an airport serving an aircraft operator or a foreign air carrier required to have a security program under 49 CFR parts 1544 or 1546.</w:t>
      </w:r>
    </w:p>
    <w:p w:rsidR="003B0815" w:rsidRDefault="003B0815" w14:paraId="41053F6C" w14:textId="77777777">
      <w:pPr>
        <w:ind w:firstLine="720"/>
      </w:pPr>
    </w:p>
    <w:p w:rsidR="003B0815" w:rsidRDefault="003B0815" w14:paraId="015EE350" w14:textId="77777777">
      <w:pPr>
        <w:ind w:firstLine="720"/>
        <w:rPr>
          <w:u w:val="single"/>
        </w:rPr>
      </w:pPr>
      <w:r>
        <w:rPr>
          <w:u w:val="single"/>
        </w:rPr>
        <w:t>Covered Flight</w:t>
      </w:r>
      <w:r>
        <w:t xml:space="preserve"> - Flights for which TSA will conduct passenger watch list matching under this rule.  This rule covers any operation of a </w:t>
      </w:r>
      <w:smartTag w:uri="urn:schemas-microsoft-com:office:smarttags" w:element="country-region">
        <w:smartTag w:uri="urn:schemas-microsoft-com:office:smarttags" w:element="place">
          <w:r>
            <w:t>U.S.</w:t>
          </w:r>
        </w:smartTag>
      </w:smartTag>
      <w:r>
        <w:t xml:space="preserve"> aircraft operator that is subject to or operated under a full program under 49 CFR 1544.101(a).  This includes flights operated by such aircraft operators anywhere in the world.  “Covered flight” also means any operation of a foreign air carrier subject to or operated under a security program under 49 CFR 1546.101(a) or (b) arriving in, departing from, or overflying the United States.  Covered flight does not include any flight for which TSA has determined that the U.S. Government is conducting passenger matching comparable to the matching conducted pursuant to this part.</w:t>
      </w:r>
    </w:p>
    <w:p w:rsidR="003B0815" w:rsidRDefault="003B0815" w14:paraId="304315B5" w14:textId="77777777">
      <w:pPr>
        <w:rPr>
          <w:u w:val="single"/>
        </w:rPr>
      </w:pPr>
    </w:p>
    <w:p w:rsidR="003B0815" w:rsidRDefault="003B0815" w14:paraId="18A48997" w14:textId="77777777">
      <w:pPr>
        <w:ind w:firstLine="720"/>
      </w:pPr>
      <w:r>
        <w:rPr>
          <w:u w:val="single"/>
        </w:rPr>
        <w:t>Date of Birth</w:t>
      </w:r>
      <w:r>
        <w:t xml:space="preserve"> – The day, month, and year of an individual’s birth.</w:t>
      </w:r>
    </w:p>
    <w:p w:rsidR="003B0815" w:rsidRDefault="003B0815" w14:paraId="7B3F13BF" w14:textId="77777777">
      <w:pPr>
        <w:ind w:firstLine="720"/>
      </w:pPr>
    </w:p>
    <w:p w:rsidR="003B0815" w:rsidRDefault="003B0815" w14:paraId="3DE57D30" w14:textId="77777777">
      <w:pPr>
        <w:ind w:firstLine="720"/>
      </w:pPr>
      <w:r>
        <w:rPr>
          <w:u w:val="single"/>
        </w:rPr>
        <w:t>Enplanement</w:t>
      </w:r>
      <w:r>
        <w:t xml:space="preserve"> – A statistic recording the number of passengers transported aboard a single aircraft between two points.  For example, a passenger flying from </w:t>
      </w:r>
      <w:smartTag w:uri="urn:schemas-microsoft-com:office:smarttags" w:element="City">
        <w:r>
          <w:t>Des Moines</w:t>
        </w:r>
      </w:smartTag>
      <w:r>
        <w:t xml:space="preserve"> to </w:t>
      </w:r>
      <w:smartTag w:uri="urn:schemas-microsoft-com:office:smarttags" w:element="City">
        <w:r>
          <w:t>Washington</w:t>
        </w:r>
      </w:smartTag>
      <w:r>
        <w:t xml:space="preserve">, </w:t>
      </w:r>
      <w:smartTag w:uri="urn:schemas-microsoft-com:office:smarttags" w:element="State">
        <w:r>
          <w:t>D.C.</w:t>
        </w:r>
      </w:smartTag>
      <w:r>
        <w:t xml:space="preserve"> who transfers in </w:t>
      </w:r>
      <w:smartTag w:uri="urn:schemas-microsoft-com:office:smarttags" w:element="City">
        <w:smartTag w:uri="urn:schemas-microsoft-com:office:smarttags" w:element="place">
          <w:r>
            <w:t>St. Louis</w:t>
          </w:r>
        </w:smartTag>
      </w:smartTag>
      <w:r>
        <w:t xml:space="preserve"> to a plane with a different flight number is counted as two enplanements.  If the stop in </w:t>
      </w:r>
      <w:smartTag w:uri="urn:schemas-microsoft-com:office:smarttags" w:element="City">
        <w:r>
          <w:t>St. Louis</w:t>
        </w:r>
      </w:smartTag>
      <w:r>
        <w:t xml:space="preserve"> is only a stopover and the passenger continues to </w:t>
      </w:r>
      <w:smartTag w:uri="urn:schemas-microsoft-com:office:smarttags" w:element="State">
        <w:smartTag w:uri="urn:schemas-microsoft-com:office:smarttags" w:element="place">
          <w:r>
            <w:t>Washington</w:t>
          </w:r>
        </w:smartTag>
      </w:smartTag>
      <w:r>
        <w:t xml:space="preserve"> aboard the same flight number, this is counted as only one enplanement.</w:t>
      </w:r>
    </w:p>
    <w:p w:rsidR="003B0815" w:rsidRDefault="003B0815" w14:paraId="280060CC" w14:textId="77777777">
      <w:pPr>
        <w:ind w:firstLine="720"/>
      </w:pPr>
    </w:p>
    <w:p w:rsidR="003B0815" w:rsidRDefault="003B0815" w14:paraId="318E3B17" w14:textId="77777777">
      <w:pPr>
        <w:ind w:firstLine="720"/>
      </w:pPr>
      <w:r>
        <w:rPr>
          <w:u w:val="single"/>
        </w:rPr>
        <w:t>False Positive</w:t>
      </w:r>
      <w:r>
        <w:t xml:space="preserve"> - An individual whose information is incorrectly matched with the information of an individual on the consolidated government watch list.</w:t>
      </w:r>
    </w:p>
    <w:p w:rsidR="003B0815" w:rsidRDefault="003B0815" w14:paraId="387DB80C" w14:textId="77777777">
      <w:pPr>
        <w:ind w:firstLine="720"/>
      </w:pPr>
    </w:p>
    <w:p w:rsidR="003B0815" w:rsidRDefault="003B0815" w14:paraId="4A0A8444" w14:textId="77777777">
      <w:pPr>
        <w:ind w:firstLine="720"/>
      </w:pPr>
      <w:r>
        <w:rPr>
          <w:u w:val="single"/>
        </w:rPr>
        <w:t>Full Name</w:t>
      </w:r>
      <w:r>
        <w:t xml:space="preserve"> – An individual’s full name as it appears on an acceptable form of government-issued photo identification with date of birth held by the individual that the individual will present at check-in, if requested. </w:t>
      </w:r>
    </w:p>
    <w:p w:rsidR="003B0815" w:rsidRDefault="003B0815" w14:paraId="108111BA" w14:textId="77777777">
      <w:pPr>
        <w:ind w:firstLine="720"/>
      </w:pPr>
    </w:p>
    <w:p w:rsidR="003B0815" w:rsidRDefault="003B0815" w14:paraId="4291CB10" w14:textId="77777777">
      <w:pPr>
        <w:ind w:firstLine="720"/>
      </w:pPr>
      <w:r>
        <w:rPr>
          <w:u w:val="single"/>
        </w:rPr>
        <w:t>Global Distribution System (GDS)</w:t>
      </w:r>
      <w:r>
        <w:t xml:space="preserve"> – For the purposes of this analysis, the term GDS is used to refer to a network of computer systems serving as an interface between travel agency booking systems and airline reservation systems.  As part of this service, GDS providers also manage the reservation systems of subscribing airlines.</w:t>
      </w:r>
    </w:p>
    <w:p w:rsidR="003B0815" w:rsidRDefault="003B0815" w14:paraId="6E27EB05" w14:textId="77777777">
      <w:pPr>
        <w:ind w:firstLine="720"/>
      </w:pPr>
    </w:p>
    <w:p w:rsidR="003B0815" w:rsidRDefault="003B0815" w14:paraId="0C70003A" w14:textId="77777777">
      <w:pPr>
        <w:ind w:firstLine="720"/>
      </w:pPr>
      <w:r>
        <w:rPr>
          <w:u w:val="single"/>
        </w:rPr>
        <w:t>Host Airline Reservation System (ARS)</w:t>
      </w:r>
      <w:r>
        <w:t xml:space="preserve"> – For the purposes of this analysis, the term ARS is used to refer to a computer system that provides reservation services for an airline.  This system may be owned and maintained directly by an airline or it may refer to a third-party system providing such services for several airlines.  An ARS differs from a GDS in that it does not interface with travel agent systems.</w:t>
      </w:r>
    </w:p>
    <w:p w:rsidR="003B0815" w:rsidRDefault="003B0815" w14:paraId="3FC569A4" w14:textId="77777777">
      <w:pPr>
        <w:ind w:firstLine="720"/>
      </w:pPr>
    </w:p>
    <w:p w:rsidR="003B0815" w:rsidRDefault="003B0815" w14:paraId="137297BD" w14:textId="77777777">
      <w:pPr>
        <w:ind w:firstLine="720"/>
      </w:pPr>
      <w:r>
        <w:rPr>
          <w:u w:val="single"/>
        </w:rPr>
        <w:t>Itinerary information</w:t>
      </w:r>
      <w:r>
        <w:t xml:space="preserve"> – The information reflecting a passenger’s or non-traveling individual’s itinerary specified in the covered aircraft operator’s AOIP.  For non traveling individuals, itinerary information is the airport code for the sterile area to which the non-travler seeks access.  For passengers, itinerary information includes the following:  (1) departure airport code, (2) aircraft operators, (3) departure date, (4) departure time, (5) arrival date, (6) scheduled arrival time, (7) arrival airport code, (8) flight number, (9) operating carrier, if available.</w:t>
      </w:r>
    </w:p>
    <w:p w:rsidR="003B0815" w:rsidRDefault="003B0815" w14:paraId="2E33FB5D" w14:textId="77777777">
      <w:pPr>
        <w:ind w:firstLine="720"/>
      </w:pPr>
    </w:p>
    <w:p w:rsidR="003B0815" w:rsidRDefault="003B0815" w14:paraId="1B3EE020" w14:textId="77777777">
      <w:pPr>
        <w:ind w:firstLine="720"/>
      </w:pPr>
      <w:r>
        <w:rPr>
          <w:u w:val="single"/>
        </w:rPr>
        <w:t>Known Traveler Number</w:t>
      </w:r>
      <w:r>
        <w:t xml:space="preserve"> – A unique number assigned to individuals for whom the Federal Government has conducted a threat assessment and determined do not pose a security threat.</w:t>
      </w:r>
    </w:p>
    <w:p w:rsidR="003B0815" w:rsidRDefault="003B0815" w14:paraId="5628EE16" w14:textId="77777777">
      <w:pPr>
        <w:ind w:firstLine="720"/>
        <w:rPr>
          <w:u w:val="single"/>
        </w:rPr>
      </w:pPr>
    </w:p>
    <w:p w:rsidR="003B0815" w:rsidRDefault="003B0815" w14:paraId="7B42A040" w14:textId="77777777">
      <w:pPr>
        <w:ind w:firstLine="720"/>
      </w:pPr>
      <w:r>
        <w:rPr>
          <w:u w:val="single"/>
        </w:rPr>
        <w:t>Marketing Carrier</w:t>
      </w:r>
      <w:r>
        <w:t xml:space="preserve"> – An aircraft operator accepting reservations directly from the public, sometimes on behalf of other airlines either owned by or under contract with the marketing carrier to transport passengers to destinations not served by the marketing airline.</w:t>
      </w:r>
    </w:p>
    <w:p w:rsidR="003B0815" w:rsidRDefault="003B0815" w14:paraId="460AA46C" w14:textId="77777777">
      <w:pPr>
        <w:ind w:firstLine="720"/>
      </w:pPr>
    </w:p>
    <w:p w:rsidR="003B0815" w:rsidRDefault="003B0815" w14:paraId="21528FBD" w14:textId="77777777">
      <w:pPr>
        <w:ind w:firstLine="720"/>
      </w:pPr>
      <w:r>
        <w:rPr>
          <w:u w:val="single"/>
        </w:rPr>
        <w:t>Non-traveling individual</w:t>
      </w:r>
      <w:r>
        <w:t xml:space="preserve"> – An individual to whom a covered aircraft operator or covered airport operator seeks to issue an authorization to enter the sterile area of an airport in order to escort a minor or a passenger with disabilities or for some other purpose permitted by TSA.  This term does not include employees or agents of airport or aircraft operators or other individuals whose access to a sterile area is governed by another TSA regulation or security directive.</w:t>
      </w:r>
    </w:p>
    <w:p w:rsidR="003B0815" w:rsidRDefault="003B0815" w14:paraId="77610A97" w14:textId="77777777">
      <w:pPr>
        <w:ind w:firstLine="720"/>
      </w:pPr>
    </w:p>
    <w:p w:rsidR="003B0815" w:rsidRDefault="003B0815" w14:paraId="60E04741" w14:textId="77777777">
      <w:pPr>
        <w:ind w:firstLine="720"/>
      </w:pPr>
      <w:r>
        <w:rPr>
          <w:u w:val="single"/>
        </w:rPr>
        <w:t>Overflying</w:t>
      </w:r>
      <w:r>
        <w:t xml:space="preserve"> the continental United States (US) – An aircraft departing from an airport or location outside the </w:t>
      </w:r>
      <w:smartTag w:uri="urn:schemas-microsoft-com:office:smarttags" w:element="country-region">
        <w:r>
          <w:t>US</w:t>
        </w:r>
      </w:smartTag>
      <w:r>
        <w:t xml:space="preserve"> and transiting the airspace of the continental US en route to another airport or location outside the </w:t>
      </w:r>
      <w:smartTag w:uri="urn:schemas-microsoft-com:office:smarttags" w:element="country-region">
        <w:smartTag w:uri="urn:schemas-microsoft-com:office:smarttags" w:element="place">
          <w:r>
            <w:t>US</w:t>
          </w:r>
        </w:smartTag>
      </w:smartTag>
      <w:r>
        <w:t xml:space="preserve">.  Airspace of the continental US includes the airspace over the lower 48 states of the US, not including Alaska or Hawaii, and the airspace overlying the territorial waters between the US coast of the lower 48 states and 12 nautical miles from the continental US coast.  </w:t>
      </w:r>
      <w:r>
        <w:rPr>
          <w:u w:val="single"/>
        </w:rPr>
        <w:t xml:space="preserve">Overflying </w:t>
      </w:r>
      <w:r>
        <w:t xml:space="preserve">the continental US does not apply to:  (1) flights that transit the airspace of the continental US between two airports or locations in the same country, where that country is </w:t>
      </w:r>
      <w:smartTag w:uri="urn:schemas-microsoft-com:office:smarttags" w:element="country-region">
        <w:r>
          <w:t>Canada</w:t>
        </w:r>
      </w:smartTag>
      <w:r>
        <w:t xml:space="preserve"> or </w:t>
      </w:r>
      <w:smartTag w:uri="urn:schemas-microsoft-com:office:smarttags" w:element="country-region">
        <w:smartTag w:uri="urn:schemas-microsoft-com:office:smarttags" w:element="place">
          <w:r>
            <w:t>Mexico</w:t>
          </w:r>
        </w:smartTag>
      </w:smartTag>
      <w:r>
        <w:t xml:space="preserve">; or (2) any other category of flights that the Assistant Secretary of Homeland Security (Transportation Security Administration) designates in a notice in the </w:t>
      </w:r>
      <w:r>
        <w:rPr>
          <w:u w:val="single"/>
        </w:rPr>
        <w:t>Federal</w:t>
      </w:r>
      <w:r>
        <w:t xml:space="preserve"> </w:t>
      </w:r>
      <w:r>
        <w:rPr>
          <w:u w:val="single"/>
        </w:rPr>
        <w:t>Register</w:t>
      </w:r>
      <w:r>
        <w:t>.</w:t>
      </w:r>
    </w:p>
    <w:p w:rsidR="003B0815" w:rsidRDefault="003B0815" w14:paraId="171A60F5" w14:textId="77777777">
      <w:pPr>
        <w:ind w:firstLine="720"/>
      </w:pPr>
    </w:p>
    <w:p w:rsidR="003B0815" w:rsidRDefault="003B0815" w14:paraId="6A065066" w14:textId="77777777">
      <w:pPr>
        <w:ind w:firstLine="720"/>
      </w:pPr>
      <w:r>
        <w:rPr>
          <w:u w:val="single"/>
        </w:rPr>
        <w:t>Passenger Name Record (PNR)</w:t>
      </w:r>
      <w:r>
        <w:t xml:space="preserve"> – A record maintained by or for an aircraft operator that contains detailed information about an individual’s travel on a particular flight, including information provided by the passenger when making the flight reservation.  Though the content of PNRs varies among airlines, PNRs may include, among other information: (1) passenger name; (2) reservation date; (3) travel agency or agent; (4) travel itinerary information; (5) form of payment; (6) flight number; and (7) seating location.</w:t>
      </w:r>
    </w:p>
    <w:p w:rsidR="003B0815" w:rsidRDefault="003B0815" w14:paraId="0F473824" w14:textId="77777777">
      <w:pPr>
        <w:ind w:firstLine="720"/>
      </w:pPr>
    </w:p>
    <w:p w:rsidR="003B0815" w:rsidRDefault="003B0815" w14:paraId="3A4183D0" w14:textId="77777777">
      <w:pPr>
        <w:ind w:firstLine="720"/>
        <w:rPr>
          <w:bCs/>
          <w:u w:val="single"/>
        </w:rPr>
      </w:pPr>
      <w:r>
        <w:rPr>
          <w:u w:val="single"/>
        </w:rPr>
        <w:t>Passport Information</w:t>
      </w:r>
      <w:r>
        <w:t xml:space="preserve"> – T</w:t>
      </w:r>
      <w:r>
        <w:rPr>
          <w:bCs/>
        </w:rPr>
        <w:t>he following information from an individual’s passport: (1) passport number; (2) country of issuance; (3) expiration date; (4) gender; and, (5) full name.</w:t>
      </w:r>
    </w:p>
    <w:p w:rsidR="003B0815" w:rsidRDefault="003B0815" w14:paraId="7E6A8804" w14:textId="77777777">
      <w:pPr>
        <w:ind w:firstLine="720"/>
        <w:rPr>
          <w:u w:val="single"/>
        </w:rPr>
      </w:pPr>
    </w:p>
    <w:p w:rsidR="003B0815" w:rsidRDefault="003B0815" w14:paraId="57F11044" w14:textId="77777777">
      <w:pPr>
        <w:ind w:firstLine="720"/>
        <w:rPr>
          <w:u w:val="single"/>
        </w:rPr>
      </w:pPr>
      <w:r>
        <w:rPr>
          <w:u w:val="single"/>
        </w:rPr>
        <w:t>Redress Number</w:t>
      </w:r>
      <w:r>
        <w:t xml:space="preserve"> – The number assigned by TSA to an individual through the redress process provided in 49 CFR § 1560, subpart C.</w:t>
      </w:r>
    </w:p>
    <w:p w:rsidR="003B0815" w:rsidRDefault="003B0815" w14:paraId="5609E2A2" w14:textId="77777777">
      <w:pPr>
        <w:ind w:firstLine="720"/>
        <w:rPr>
          <w:u w:val="single"/>
        </w:rPr>
      </w:pPr>
    </w:p>
    <w:p w:rsidR="003B0815" w:rsidRDefault="003B0815" w14:paraId="54484A33" w14:textId="77777777">
      <w:pPr>
        <w:ind w:firstLine="720"/>
      </w:pPr>
      <w:r>
        <w:rPr>
          <w:u w:val="single"/>
        </w:rPr>
        <w:t>Secure Flight Passenger Data (SFPD)</w:t>
      </w:r>
      <w:r>
        <w:t xml:space="preserve"> – Information for a passenger or a non-traveling individual that a covered aircraft operator or a covered airport operator transmits to TSA, to the extent available, for the purpose of watch list matching.</w:t>
      </w:r>
    </w:p>
    <w:p w:rsidR="003B0815" w:rsidRDefault="003B0815" w14:paraId="74536F33" w14:textId="77777777">
      <w:pPr>
        <w:ind w:firstLine="720"/>
      </w:pPr>
    </w:p>
    <w:p w:rsidR="003B0815" w:rsidRDefault="003B0815" w14:paraId="3FDDEE37" w14:textId="77777777">
      <w:pPr>
        <w:ind w:firstLine="720"/>
        <w:rPr>
          <w:u w:val="single"/>
        </w:rPr>
      </w:pPr>
      <w:r>
        <w:rPr>
          <w:u w:val="single"/>
        </w:rPr>
        <w:t>Self-service kiosk</w:t>
      </w:r>
      <w:r>
        <w:t xml:space="preserve"> – A kiosk operated by a covered aircraft operator that is capable of accepting a passenger reservation or a request for authorization to enter a sterile area from a non-traveling individual.</w:t>
      </w:r>
    </w:p>
    <w:p w:rsidR="003B0815" w:rsidRDefault="003B0815" w14:paraId="40088308" w14:textId="77777777">
      <w:pPr>
        <w:ind w:firstLine="720"/>
        <w:rPr>
          <w:u w:val="single"/>
        </w:rPr>
      </w:pPr>
    </w:p>
    <w:p w:rsidR="003B0815" w:rsidRDefault="003B0815" w14:paraId="21979596" w14:textId="77777777">
      <w:pPr>
        <w:ind w:firstLine="720"/>
      </w:pPr>
      <w:r>
        <w:rPr>
          <w:u w:val="single"/>
        </w:rPr>
        <w:t>Sterile Area</w:t>
      </w:r>
      <w:r>
        <w:t xml:space="preserve"> – An area of an airport, defined in 49 CFR 1540.5, with access limited to persons who have undergone security screening by TSA.</w:t>
      </w:r>
    </w:p>
    <w:p w:rsidR="003B0815" w:rsidRDefault="003B0815" w14:paraId="4F526080" w14:textId="77777777">
      <w:pPr>
        <w:ind w:firstLine="720"/>
        <w:rPr>
          <w:u w:val="single"/>
        </w:rPr>
      </w:pPr>
    </w:p>
    <w:p w:rsidR="003B0815" w:rsidRDefault="003B0815" w14:paraId="264CF381" w14:textId="77777777">
      <w:pPr>
        <w:ind w:firstLine="720"/>
      </w:pPr>
      <w:smartTag w:uri="urn:schemas-microsoft-com:office:smarttags" w:element="place">
        <w:smartTag w:uri="urn:schemas-microsoft-com:office:smarttags" w:element="PlaceName">
          <w:r>
            <w:rPr>
              <w:u w:val="single"/>
            </w:rPr>
            <w:t>Terrorist</w:t>
          </w:r>
        </w:smartTag>
        <w:r>
          <w:rPr>
            <w:u w:val="single"/>
          </w:rPr>
          <w:t xml:space="preserve"> </w:t>
        </w:r>
        <w:smartTag w:uri="urn:schemas-microsoft-com:office:smarttags" w:element="PlaceName">
          <w:r>
            <w:rPr>
              <w:u w:val="single"/>
            </w:rPr>
            <w:t>Screening</w:t>
          </w:r>
        </w:smartTag>
        <w:r>
          <w:rPr>
            <w:u w:val="single"/>
          </w:rPr>
          <w:t xml:space="preserve"> </w:t>
        </w:r>
        <w:smartTag w:uri="urn:schemas-microsoft-com:office:smarttags" w:element="PlaceType">
          <w:r>
            <w:rPr>
              <w:u w:val="single"/>
            </w:rPr>
            <w:t>Center</w:t>
          </w:r>
        </w:smartTag>
      </w:smartTag>
      <w:r>
        <w:rPr>
          <w:u w:val="single"/>
        </w:rPr>
        <w:t xml:space="preserve"> (TSC)</w:t>
      </w:r>
      <w:r>
        <w:t xml:space="preserve"> – The entity responsible for maintaining the consolidated Federal Government terrorist watch lists and providing for the appropriate and lawful use of terrorist information in screening processes.  The TSC is under the jurisdiction of the Federal Bureau of Investigation (FBI) and was established by the Attorney General in support of Homeland Security Presidential Directive 6 (HSPD-6), dated September 16, 2003.</w:t>
      </w:r>
    </w:p>
    <w:p w:rsidR="003B0815" w:rsidRDefault="003B0815" w14:paraId="71267001" w14:textId="77777777">
      <w:pPr>
        <w:ind w:firstLine="720"/>
      </w:pPr>
    </w:p>
    <w:p w:rsidR="003B0815" w:rsidRDefault="003B0815" w14:paraId="6AA3D5E4" w14:textId="77777777">
      <w:pPr>
        <w:ind w:firstLine="720"/>
      </w:pPr>
      <w:r>
        <w:rPr>
          <w:u w:val="single"/>
        </w:rPr>
        <w:t>Terrorist Screening Database (TSDB)</w:t>
      </w:r>
      <w:r>
        <w:t xml:space="preserve"> – The Federal Government’s consolidated terrorist watch list.  The TSDB is maintained by the Terrorist Screening Center (TSC).</w:t>
      </w:r>
      <w:bookmarkStart w:name="_Toc111627353" w:id="41"/>
      <w:bookmarkStart w:name="_Toc114037994" w:id="42"/>
    </w:p>
    <w:p w:rsidR="003B0815" w:rsidRDefault="003B0815" w14:paraId="2A516BAA" w14:textId="77777777">
      <w:pPr>
        <w:ind w:firstLine="720"/>
      </w:pPr>
    </w:p>
    <w:p w:rsidR="003B0815" w:rsidRDefault="003B0815" w14:paraId="109C1873" w14:textId="77777777">
      <w:pPr>
        <w:ind w:firstLine="720"/>
      </w:pPr>
      <w:r>
        <w:rPr>
          <w:u w:val="single"/>
        </w:rPr>
        <w:t>Verifying Identity Document</w:t>
      </w:r>
      <w:r>
        <w:t xml:space="preserve"> – An unexpired passport issued by a foreign government or an unexpired document issued by a US Federal, State, or tribal government that includes the following information for the individual:  (1) full name, (2) date of birth, and (3) photograph.</w:t>
      </w:r>
    </w:p>
    <w:p w:rsidR="003B0815" w:rsidRDefault="003B0815" w14:paraId="4F62B663" w14:textId="77777777">
      <w:pPr>
        <w:ind w:firstLine="720"/>
      </w:pPr>
    </w:p>
    <w:p w:rsidR="003B0815" w:rsidRDefault="003B0815" w14:paraId="18FBE02A" w14:textId="77777777">
      <w:pPr>
        <w:ind w:firstLine="720"/>
      </w:pPr>
      <w:r>
        <w:rPr>
          <w:u w:val="single"/>
        </w:rPr>
        <w:t>Watch List</w:t>
      </w:r>
      <w:r>
        <w:t xml:space="preserve"> – The No Fly and Selectee List components of the Terrorist Screening Database maintained by the </w:t>
      </w:r>
      <w:smartTag w:uri="urn:schemas-microsoft-com:office:smarttags" w:element="place">
        <w:smartTag w:uri="urn:schemas-microsoft-com:office:smarttags" w:element="PlaceName">
          <w:r>
            <w:t>Terrorist</w:t>
          </w:r>
        </w:smartTag>
        <w:r>
          <w:t xml:space="preserve"> </w:t>
        </w:r>
        <w:smartTag w:uri="urn:schemas-microsoft-com:office:smarttags" w:element="PlaceName">
          <w:r>
            <w:t>Screening</w:t>
          </w:r>
        </w:smartTag>
        <w:r>
          <w:t xml:space="preserve"> </w:t>
        </w:r>
        <w:smartTag w:uri="urn:schemas-microsoft-com:office:smarttags" w:element="PlaceType">
          <w:r>
            <w:t>Center</w:t>
          </w:r>
        </w:smartTag>
      </w:smartTag>
      <w:r>
        <w:t>.  For certain flights, the “watch list” may include the larger set of watch lists maintained by the Federal Government as warranted by security considerations.</w:t>
      </w:r>
    </w:p>
    <w:p w:rsidR="003B0815" w:rsidRDefault="003B0815" w14:paraId="11D369D3" w14:textId="77777777">
      <w:pPr>
        <w:rPr>
          <w:u w:val="single"/>
        </w:rPr>
        <w:sectPr w:rsidR="003B0815">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pPr>
    </w:p>
    <w:p w:rsidR="003B0815" w:rsidRDefault="003B0815" w14:paraId="768F90D3" w14:textId="77777777">
      <w:pPr>
        <w:pStyle w:val="RegEvalSectionHeader"/>
        <w:keepNext/>
        <w:spacing w:line="360" w:lineRule="auto"/>
      </w:pPr>
      <w:bookmarkStart w:name="_Toc114566404" w:id="43"/>
      <w:bookmarkStart w:name="_Toc141001070" w:id="44"/>
      <w:bookmarkStart w:name="_Toc141000899" w:id="45"/>
      <w:bookmarkStart w:name="_Toc165278426" w:id="46"/>
      <w:bookmarkStart w:name="_Toc202683374" w:id="47"/>
      <w:r>
        <w:t xml:space="preserve">Section 3: </w:t>
      </w:r>
      <w:bookmarkEnd w:id="41"/>
      <w:bookmarkEnd w:id="42"/>
      <w:bookmarkEnd w:id="43"/>
      <w:r>
        <w:t>Background and Summary of the Rule</w:t>
      </w:r>
      <w:bookmarkEnd w:id="44"/>
      <w:bookmarkEnd w:id="45"/>
      <w:bookmarkEnd w:id="46"/>
      <w:bookmarkEnd w:id="47"/>
    </w:p>
    <w:p w:rsidR="003B0815" w:rsidRDefault="003B0815" w14:paraId="7CB3F24C" w14:textId="77777777">
      <w:pPr>
        <w:pStyle w:val="RegEvalSectionSubheader"/>
        <w:keepNext/>
        <w:spacing w:line="360" w:lineRule="auto"/>
      </w:pPr>
      <w:bookmarkStart w:name="_Toc141001071" w:id="48"/>
      <w:bookmarkStart w:name="_Toc141000900" w:id="49"/>
      <w:bookmarkStart w:name="_Toc165278427" w:id="50"/>
      <w:bookmarkStart w:name="_Toc202683375" w:id="51"/>
      <w:r>
        <w:t>1.3.1 Background of the Rule</w:t>
      </w:r>
      <w:bookmarkEnd w:id="48"/>
      <w:bookmarkEnd w:id="49"/>
      <w:bookmarkEnd w:id="50"/>
      <w:bookmarkEnd w:id="51"/>
    </w:p>
    <w:p w:rsidR="003B0815" w:rsidRDefault="003B0815" w14:paraId="1E63535C" w14:textId="77777777">
      <w:pPr>
        <w:spacing w:line="360" w:lineRule="auto"/>
        <w:ind w:firstLine="720"/>
      </w:pPr>
      <w:r>
        <w:t>In its July 2004 report on the terrorist attacks of September 11, 2001, the National Commission on Terrorist Attacks Upon the United States (9/11 Commission) recommended that the Federal Government assume from aircraft operators the function of comparing passengers against the No Fly and Selectee Lists:</w:t>
      </w:r>
    </w:p>
    <w:p w:rsidR="003B0815" w:rsidRDefault="003B0815" w14:paraId="6381ACBD" w14:textId="77777777">
      <w:pPr>
        <w:ind w:firstLine="720"/>
      </w:pPr>
    </w:p>
    <w:p w:rsidR="003B0815" w:rsidRDefault="003B0815" w14:paraId="00CCB0F8" w14:textId="77777777">
      <w:pPr>
        <w:ind w:left="720" w:right="720"/>
        <w:jc w:val="both"/>
      </w:pPr>
      <w:r>
        <w:t>“…improved use of “no-fly” and “automatic selectee” lists should not be delayed while the argument about a successor to CAPPS continues.  This screening function should be performed by TSA. . . .” (The 9/11 Commission Report, 393).</w:t>
      </w:r>
    </w:p>
    <w:p w:rsidR="003B0815" w:rsidRDefault="003B0815" w14:paraId="47ADD98F" w14:textId="77777777">
      <w:pPr>
        <w:ind w:firstLine="720"/>
      </w:pPr>
    </w:p>
    <w:p w:rsidR="003B0815" w:rsidRDefault="003B0815" w14:paraId="73801704" w14:textId="77777777">
      <w:pPr>
        <w:spacing w:line="360" w:lineRule="auto"/>
      </w:pPr>
      <w:r>
        <w:t>As part of this recommendation, the 9/11 Commission also stated that “[a]ir carriers should be required to supply the information needed to test and implement this new system.”</w:t>
      </w:r>
    </w:p>
    <w:p w:rsidR="003B0815" w:rsidRDefault="003B0815" w14:paraId="13FFF87B" w14:textId="77777777">
      <w:pPr>
        <w:spacing w:line="360" w:lineRule="auto"/>
        <w:ind w:firstLine="720"/>
      </w:pPr>
      <w:r>
        <w:t>Congress included these recommendations of the 9/11 Commission under Section 4012(a)(1) of the Intelligence Reform and Terrorism Prevention Act (IRTPA) of 2004.  The IRTPA requires TSA to develop “an advanced passenger prescreening system” to assume from domestic air carriers the function of conducting pre-flight comparisons of airline passenger information to the consolidated Federal Government watch lists.  The final rule thus allows TSA to begin implementation of a watch list matching system known as Secure Flight in accordance with the IRTPA mandate.  Before assuming the watch list matching function from an aircraft operator, TSA will conduct operational testing in order to assess Secure Flight’s ability to receive passenger and non-traveler information, conduct watch list matching, and transmit gate and boarding pass printing instructions back to aircraft operators indicating whether individuals should be cleared to enter the sterile area, marked as selectees, or prohibited from receiving a boarding or gate pass.</w:t>
      </w:r>
    </w:p>
    <w:p w:rsidR="003B0815" w:rsidRDefault="003B0815" w14:paraId="5DEC3C41" w14:textId="77777777">
      <w:pPr>
        <w:spacing w:line="360" w:lineRule="auto"/>
        <w:ind w:firstLine="720"/>
      </w:pPr>
      <w:r>
        <w:t>It is important to note that before Secure Flight becomes fully operational, it first has to satisfy seven requirements under the IRTPA.  Of those, three are critical to understanding the following analysis:</w:t>
      </w:r>
    </w:p>
    <w:p w:rsidR="003B0815" w:rsidRDefault="003B0815" w14:paraId="4AD084F2" w14:textId="77777777">
      <w:pPr>
        <w:numPr>
          <w:ilvl w:val="0"/>
          <w:numId w:val="1"/>
        </w:numPr>
        <w:tabs>
          <w:tab w:val="clear" w:pos="2160"/>
          <w:tab w:val="num" w:pos="720"/>
        </w:tabs>
        <w:ind w:left="720" w:hanging="360"/>
      </w:pPr>
      <w:r>
        <w:t>Ensure that the system will not produce a large number of passengers incorrectly chosen for extra screening (false positives);</w:t>
      </w:r>
    </w:p>
    <w:p w:rsidR="003B0815" w:rsidRDefault="003B0815" w14:paraId="3C891101" w14:textId="77777777">
      <w:pPr>
        <w:numPr>
          <w:ilvl w:val="0"/>
          <w:numId w:val="1"/>
        </w:numPr>
        <w:tabs>
          <w:tab w:val="clear" w:pos="2160"/>
          <w:tab w:val="num" w:pos="720"/>
        </w:tabs>
        <w:ind w:left="720" w:hanging="360"/>
      </w:pPr>
      <w:r>
        <w:t>Establish a redress procedure to enable airline passengers who believe they have been erroneously delayed or prohibited from boarding a flight as a result of the matching system to appeal the determination and correct any personal information contained in the system; and,</w:t>
      </w:r>
    </w:p>
    <w:p w:rsidR="003B0815" w:rsidRDefault="003B0815" w14:paraId="715E2C13" w14:textId="77777777">
      <w:pPr>
        <w:numPr>
          <w:ilvl w:val="0"/>
          <w:numId w:val="1"/>
        </w:numPr>
        <w:tabs>
          <w:tab w:val="clear" w:pos="2160"/>
          <w:tab w:val="num" w:pos="720"/>
        </w:tabs>
        <w:ind w:left="720" w:hanging="360"/>
      </w:pPr>
      <w:r>
        <w:t>Ensure that there are no specific privacy concerns with the technological architecture of the system.</w:t>
      </w:r>
    </w:p>
    <w:p w:rsidR="003B0815" w:rsidRDefault="003B0815" w14:paraId="44CDD781" w14:textId="77777777">
      <w:pPr>
        <w:ind w:left="360"/>
      </w:pPr>
    </w:p>
    <w:p w:rsidR="003B0815" w:rsidRDefault="003B0815" w14:paraId="27D13A6B" w14:textId="77777777">
      <w:pPr>
        <w:pStyle w:val="RegEvalSectionSubheader"/>
        <w:keepNext/>
        <w:spacing w:line="360" w:lineRule="auto"/>
      </w:pPr>
      <w:bookmarkStart w:name="_Toc141001072" w:id="52"/>
      <w:bookmarkStart w:name="_Toc141000901" w:id="53"/>
      <w:bookmarkStart w:name="_Toc165278428" w:id="54"/>
      <w:bookmarkStart w:name="_Toc202683376" w:id="55"/>
      <w:r>
        <w:t>1.3.2 Historical PNR Testing Determined Data Collection Requirements</w:t>
      </w:r>
      <w:bookmarkEnd w:id="52"/>
      <w:bookmarkEnd w:id="53"/>
      <w:bookmarkEnd w:id="54"/>
      <w:bookmarkEnd w:id="55"/>
    </w:p>
    <w:p w:rsidR="003B0815" w:rsidRDefault="003B0815" w14:paraId="20BAEA72" w14:textId="77777777">
      <w:pPr>
        <w:spacing w:line="360" w:lineRule="auto"/>
        <w:ind w:firstLine="720"/>
      </w:pPr>
      <w:r>
        <w:t>In November 2004, TSA ordered domestic airlines operating under a full security program (49 CFR 1544.101(a)) to submit to TSA all historical PNRs relating to passenger travel in June 2004.  Although 66 airlines submitted PNRs, only 27 did so in an electronic format usable for testing.  From November 2004 to April 2005, TSA used those historical records to conduct controlled tests of Secure Flight’s ability to match names contained in airline PNRs against the consolidated government watch lists.  The primary purpose of these tests was to evaluate whether the information already present in PNRs was sufficient for Secure Flight to accurately compare names against the Federal watch lists.  If not, further tests were to determine the minimum additional data fields TSA would need to collect in order to minimize the number of false positive matches selected by the system.</w:t>
      </w:r>
    </w:p>
    <w:p w:rsidR="003B0815" w:rsidRDefault="003B0815" w14:paraId="3DC0ED82" w14:textId="77777777">
      <w:pPr>
        <w:spacing w:line="360" w:lineRule="auto"/>
        <w:ind w:firstLine="720"/>
      </w:pPr>
      <w:r>
        <w:t>Tests conducted using a representative sample of historical PNRs from contributing airlines demonstrated that Secure Flight could extract enough information to perform name-based watch list matching.  This is the type of matching currently performed by most commercial airlines.  Comparison of the data recorded in the PNRs, however, revealed considerable diversity in both the amount of information collected by reservation agents on behalf of airlines and the way this information was stored in the PNRs.  For example, some airlines required only a passenger’s first initial and full last name in order to place a reservation.  In other cases, one carrier’s airline reservation system (ARS) would store a passenger’s first and middle names in separate fields in the PNR while another would concatenate them into a single field.</w:t>
      </w:r>
    </w:p>
    <w:p w:rsidR="003B0815" w:rsidRDefault="003B0815" w14:paraId="2D6462C1" w14:textId="77777777">
      <w:pPr>
        <w:spacing w:line="360" w:lineRule="auto"/>
        <w:ind w:firstLine="720"/>
      </w:pPr>
      <w:r>
        <w:t>To better understand the impact of these varying formats and information content on matching, TSA analysts conducted matching tests with PNRs from each airline.  The results indicated an apparent correlation between the quality of the PNR data and the number of records selected by the system as potential matches to the watch lists.  Consequently, TSA determined a standardized format for collecting passenger names is necessary in order to ensure consistent and accurate watch list matching across all airlines.</w:t>
      </w:r>
    </w:p>
    <w:p w:rsidR="003B0815" w:rsidRDefault="003B0815" w14:paraId="7F2D475F" w14:textId="77777777">
      <w:pPr>
        <w:spacing w:line="360" w:lineRule="auto"/>
        <w:ind w:firstLine="720"/>
      </w:pPr>
      <w:r>
        <w:t>As a result, the final rule requires airlines to request from passengers their full names, dates of birth and gender; and to send this information to TSA in UN/EDIFACT or XML format,</w:t>
      </w:r>
      <w:r>
        <w:rPr>
          <w:color w:val="000000"/>
        </w:rPr>
        <w:t xml:space="preserve"> or an alternative format approved by TSA</w:t>
      </w:r>
      <w:r>
        <w:t>.  TSA sought to minimize the cost of this requirement by consulting with the airlines and choosing a data format already accepted by and prevalent within the industry.</w:t>
      </w:r>
    </w:p>
    <w:p w:rsidR="003B0815" w:rsidRDefault="003B0815" w14:paraId="07180FBC" w14:textId="77777777">
      <w:pPr>
        <w:spacing w:line="360" w:lineRule="auto"/>
        <w:ind w:firstLine="720"/>
      </w:pPr>
      <w:r>
        <w:t>Tests using the historical PNR information also focused on Secure Flight’s ability to minimize the number of false positives, as mandated by the IRTPA.  Narrowing the pool of passengers requiring human review allows TSA to focus its resources on catching possible terrorists while reducing inconvenience for travelers.  By directing airlines to request from passengers one or two common data elements at the time of reservation, TSA anticipates it can significantly reduce the number of passengers delayed at the ticket counter due to a possible watch list match.</w:t>
      </w:r>
    </w:p>
    <w:p w:rsidR="003B0815" w:rsidRDefault="003B0815" w14:paraId="41205B77" w14:textId="77777777">
      <w:pPr>
        <w:spacing w:line="360" w:lineRule="auto"/>
        <w:ind w:firstLine="720"/>
      </w:pPr>
      <w:r>
        <w:t>Based on the tests conducted using historical PNR information and TSA’s experience in conducting security threat assessments on other populations, TSA determined that date of birth, passport information, and gender are the data elements in addition to an individual’s full name that are most useful for performing automated matching.  Consequently, TSA determined that collecting this information at the beginning of the reservation process allows Secure Flight to eliminate many false positives without human review.  Since relatively few Americans travel with passports when flying domestically, TSA is not requiring airlines to request passport information during the reservation process.  If a passenger has provided this data, however, as in the case of a passenger flying internationally as part of his or her itinerary, airlines will be required to transmit the passport information to TSA.</w:t>
      </w:r>
    </w:p>
    <w:p w:rsidR="003B0815" w:rsidRDefault="003B0815" w14:paraId="1161B89A" w14:textId="77777777">
      <w:pPr>
        <w:spacing w:line="360" w:lineRule="auto"/>
        <w:ind w:firstLine="720"/>
      </w:pPr>
      <w:r>
        <w:t>TSA also conducted initial testing of the use of commercial data to “test the Government’s ability to verify the identities of passengers using commercial data and to improve the efficacy of watch list comparisons by making passenger information more complete and accurate using commercial data.”</w:t>
      </w:r>
      <w:r>
        <w:rPr>
          <w:rStyle w:val="FootnoteReference"/>
        </w:rPr>
        <w:footnoteReference w:id="4"/>
      </w:r>
      <w:r>
        <w:t xml:space="preserve">  These tests did not yield conclusive results, and TSA determined it will not use commercial data in the program.  </w:t>
      </w:r>
    </w:p>
    <w:p w:rsidR="003B0815" w:rsidRDefault="003B0815" w14:paraId="6CF3B3A6" w14:textId="77777777">
      <w:pPr>
        <w:spacing w:line="360" w:lineRule="auto"/>
        <w:ind w:firstLine="720"/>
      </w:pPr>
      <w:r>
        <w:t>The testing completed to date has enabled TSA to compare the effects of varying passenger data quality and to make determinations about what data elements are most effective in conducting watch list matching.  These tests did not enable TSA to quantify post-implementation selectee rates for this analysis, however.  For example, the testing of historical PNR data did not try to approximate an operational environment where TSA was dynamically receiving and sending live passenger data.  Moreover, as discussed above, these tests were conducted using data from 27 of the 66 airlines that submitted passenger data to TSA; the remaining data were submitted in unusable formats.  TSA intends to establish match rates during operational testing with aircraft operators.  TSA will utilize the first phase to create benchmark data upon which to compare match rates in the future.</w:t>
      </w:r>
    </w:p>
    <w:p w:rsidR="003B0815" w:rsidRDefault="003B0815" w14:paraId="5C3FE0FD" w14:textId="77777777">
      <w:pPr>
        <w:pStyle w:val="RegEvalSectionSubheader"/>
        <w:keepNext/>
        <w:spacing w:line="360" w:lineRule="auto"/>
      </w:pPr>
      <w:bookmarkStart w:name="_Toc141001073" w:id="56"/>
      <w:bookmarkStart w:name="_Toc141000902" w:id="57"/>
      <w:bookmarkStart w:name="_Toc165278429" w:id="58"/>
      <w:bookmarkStart w:name="_Toc202683377" w:id="59"/>
      <w:r>
        <w:t>1.3.3 Summary of the Final Rule</w:t>
      </w:r>
      <w:bookmarkEnd w:id="56"/>
      <w:bookmarkEnd w:id="57"/>
      <w:bookmarkEnd w:id="58"/>
      <w:bookmarkEnd w:id="59"/>
    </w:p>
    <w:p w:rsidR="003B0815" w:rsidRDefault="003B0815" w14:paraId="19A72327" w14:textId="77777777">
      <w:pPr>
        <w:spacing w:line="360" w:lineRule="auto"/>
        <w:ind w:firstLine="720"/>
        <w:rPr>
          <w:snapToGrid w:val="0"/>
        </w:rPr>
      </w:pPr>
      <w:r>
        <w:rPr>
          <w:snapToGrid w:val="0"/>
        </w:rPr>
        <w:t xml:space="preserve">The rule covers all flights conducted by covered </w:t>
      </w:r>
      <w:smartTag w:uri="urn:schemas-microsoft-com:office:smarttags" w:element="country-region">
        <w:r>
          <w:rPr>
            <w:snapToGrid w:val="0"/>
          </w:rPr>
          <w:t>U.S.</w:t>
        </w:r>
      </w:smartTag>
      <w:r>
        <w:rPr>
          <w:snapToGrid w:val="0"/>
        </w:rPr>
        <w:t xml:space="preserve"> aircraft operators, and all flights conducted by a covered foreign air carrier arriving in, departing from, or overflying the </w:t>
      </w:r>
      <w:smartTag w:uri="urn:schemas-microsoft-com:office:smarttags" w:element="country-region">
        <w:smartTag w:uri="urn:schemas-microsoft-com:office:smarttags" w:element="place">
          <w:r>
            <w:rPr>
              <w:snapToGrid w:val="0"/>
            </w:rPr>
            <w:t>United States</w:t>
          </w:r>
        </w:smartTag>
      </w:smartTag>
      <w:r>
        <w:rPr>
          <w:snapToGrid w:val="0"/>
        </w:rPr>
        <w:t xml:space="preserve">.  However, for the purposes of implementation, these flights have been divided into two categories or phases.  </w:t>
      </w:r>
    </w:p>
    <w:p w:rsidR="003B0815" w:rsidRDefault="003B0815" w14:paraId="3BFC4F75" w14:textId="77777777">
      <w:pPr>
        <w:spacing w:line="360" w:lineRule="auto"/>
        <w:ind w:firstLine="720"/>
      </w:pPr>
      <w:r>
        <w:rPr>
          <w:snapToGrid w:val="0"/>
        </w:rPr>
        <w:t xml:space="preserve">The first phase of Secure Flight focuses on </w:t>
      </w:r>
      <w:r>
        <w:t xml:space="preserve">assuming the watch list matching function for covered </w:t>
      </w:r>
      <w:smartTag w:uri="urn:schemas-microsoft-com:office:smarttags" w:element="country-region">
        <w:r>
          <w:t>U.S.</w:t>
        </w:r>
      </w:smartTag>
      <w:r>
        <w:t xml:space="preserve"> aircraft operators with respect to all flights that depart from and arrive in points within the </w:t>
      </w:r>
      <w:smartTag w:uri="urn:schemas-microsoft-com:office:smarttags" w:element="country-region">
        <w:smartTag w:uri="urn:schemas-microsoft-com:office:smarttags" w:element="place">
          <w:r>
            <w:t>United States</w:t>
          </w:r>
        </w:smartTag>
      </w:smartTag>
      <w:r>
        <w:t>.</w:t>
      </w:r>
    </w:p>
    <w:p w:rsidR="003B0815" w:rsidRDefault="003B0815" w14:paraId="59810F7F" w14:textId="77777777">
      <w:pPr>
        <w:spacing w:line="360" w:lineRule="auto"/>
        <w:ind w:firstLine="720"/>
      </w:pPr>
      <w:r>
        <w:t>The second phase of Secure Flight focuses on assuming the watch list matching function for flights of covered U.S. aircraft operators with respect to all flights that depart from and/or arrive in points outside the United States, as well as flights operated by covered foreign air carriers that depart from or arrive in points within the United States or that overfly the United States.</w:t>
      </w:r>
    </w:p>
    <w:p w:rsidR="003B0815" w:rsidRDefault="003B0815" w14:paraId="473C6CBA" w14:textId="77777777">
      <w:pPr>
        <w:spacing w:line="360" w:lineRule="auto"/>
        <w:ind w:firstLine="720"/>
        <w:rPr>
          <w:snapToGrid w:val="0"/>
        </w:rPr>
      </w:pPr>
      <w:r>
        <w:t xml:space="preserve">Dividing deployment into these phases not only provides for a more manageable implementation but also recognizes the differences associated with addressing international flights.  On the one hand, since CBP is requiring covered air carriers operating international flights to collect and transmit passenger information to CBP for watch list matching prior to the departure of an international flight under its 2007 APIS pre-departure final rule, TSA will assume the watch list matching function for covered international flights from CBP, not from the air carriers.  On the other hand, </w:t>
      </w:r>
      <w:r>
        <w:rPr>
          <w:snapToGrid w:val="0"/>
        </w:rPr>
        <w:t>with this rule, TSA also extends passenger watch list matching to all flights of c</w:t>
      </w:r>
      <w:r>
        <w:t xml:space="preserve">overed foreign air carriers that overfly the </w:t>
      </w:r>
      <w:smartTag w:uri="urn:schemas-microsoft-com:office:smarttags" w:element="country-region">
        <w:smartTag w:uri="urn:schemas-microsoft-com:office:smarttags" w:element="place">
          <w:r>
            <w:t>United States</w:t>
          </w:r>
        </w:smartTag>
      </w:smartTag>
      <w:r>
        <w:t>.</w:t>
      </w:r>
      <w:r>
        <w:rPr>
          <w:snapToGrid w:val="0"/>
        </w:rPr>
        <w:t xml:space="preserve">  </w:t>
      </w:r>
    </w:p>
    <w:p w:rsidR="003B0815" w:rsidRDefault="003B0815" w14:paraId="7424037E" w14:textId="77777777">
      <w:pPr>
        <w:spacing w:line="360" w:lineRule="auto"/>
        <w:ind w:firstLine="720"/>
        <w:rPr>
          <w:szCs w:val="22"/>
        </w:rPr>
      </w:pPr>
      <w:r>
        <w:t>The implementation process will begin with TSA sending to each covered aircraft operator a proposed Aircraft Operator Implementation Plan (AOIP) for that covered aircraft operator.  After receiving the proposed</w:t>
      </w:r>
      <w:r>
        <w:rPr>
          <w:szCs w:val="22"/>
        </w:rPr>
        <w:t xml:space="preserve"> AOIP from TSA, the covered aircraft operator will have 30 days to submit written comments on the proposed AOIP.  </w:t>
      </w:r>
      <w:r>
        <w:t xml:space="preserve">After the covered aircraft operator reviews the proposed AOIP and submits its comments, TSA will review the comments and finalize the AOIP making any necessary changes.  TSA will then issue the finalized AOIP to the covered aircraft operator.  </w:t>
      </w:r>
      <w:r>
        <w:rPr>
          <w:szCs w:val="22"/>
        </w:rPr>
        <w:t xml:space="preserve">The AOIP will be effective not less than 30 days after notice is given, unless the covered aircraft operator petitions TSA for reconsideration of the AOIP.  In no case will an AOIP become effective prior to the effective date of the Final Rule.   Upon notification by TSA of the AOIP, the covered aircraft operator may petition for reconsideration of the AOIP no later than 15 days before its effective date.  A timely reconsideration petition will stay the effective date of the AOIP.   TSA will amend, affirm or withdraw the AOIP within 30 days of receipt of the petition for reconsideration.  </w:t>
      </w:r>
      <w:r>
        <w:t>TSA’s disposition of a petition for reconsideration is a final administrative determination that may be appealed to federal court.</w:t>
      </w:r>
      <w:r>
        <w:rPr>
          <w:szCs w:val="22"/>
        </w:rPr>
        <w:t xml:space="preserve">   </w:t>
      </w:r>
    </w:p>
    <w:p w:rsidR="003B0815" w:rsidRDefault="003B0815" w14:paraId="24A6F681" w14:textId="77777777">
      <w:pPr>
        <w:spacing w:line="360" w:lineRule="auto"/>
        <w:rPr>
          <w:szCs w:val="22"/>
        </w:rPr>
      </w:pPr>
      <w:r>
        <w:rPr>
          <w:szCs w:val="22"/>
        </w:rPr>
        <w:t xml:space="preserve"> </w:t>
      </w:r>
      <w:r>
        <w:rPr>
          <w:szCs w:val="22"/>
        </w:rPr>
        <w:tab/>
        <w:t>The covered aircraft operator’s AOIP will set forth these specific dates in which the covered aircraft operator must begin collecting and transmitting each of the required data elements.  Establishing the implementation schedule within the AOIP framework allows for some flexibility with implementation dates, taking into consideration both TSA security needs and the covered aircraft operators’ technological capabilities.</w:t>
      </w:r>
    </w:p>
    <w:p w:rsidR="003B0815" w:rsidRDefault="003B0815" w14:paraId="344B84E9" w14:textId="77777777">
      <w:pPr>
        <w:spacing w:line="360" w:lineRule="auto"/>
        <w:rPr>
          <w:szCs w:val="22"/>
        </w:rPr>
      </w:pPr>
      <w:r>
        <w:rPr>
          <w:szCs w:val="22"/>
        </w:rPr>
        <w:tab/>
        <w:t xml:space="preserve">The first SFPD element that must be implemented is likely to be a passenger’s full name.  Because covered aircraft operators and third party agents currently collect the name as part of their business practice, TSA expects that they will have little difficulty collecting and transmitting full name within 120 days of publication of this Final Rule in the </w:t>
      </w:r>
      <w:r>
        <w:rPr>
          <w:szCs w:val="22"/>
          <w:u w:val="single"/>
        </w:rPr>
        <w:t>Federal Register</w:t>
      </w:r>
      <w:r>
        <w:rPr>
          <w:szCs w:val="22"/>
        </w:rPr>
        <w:t xml:space="preserve">.  </w:t>
      </w:r>
    </w:p>
    <w:p w:rsidR="003B0815" w:rsidRDefault="003B0815" w14:paraId="5036B483" w14:textId="77777777">
      <w:pPr>
        <w:spacing w:line="360" w:lineRule="auto"/>
        <w:rPr>
          <w:szCs w:val="22"/>
        </w:rPr>
      </w:pPr>
      <w:r>
        <w:rPr>
          <w:szCs w:val="22"/>
        </w:rPr>
        <w:tab/>
        <w:t xml:space="preserve">Covered aircraft operators will implement the other SFPD elements such as gender and date of birth in subsequent months in accordance with the AOIP.  This approach will allow covered aircraft operators to make their technological changes gradually.  However, covered aircraft operators may choose to make all their system changes for the Secure Flight program at the same time provided that the covered aircraft operators is capable of collecting and transmitting the full name within 120 days of publication of the Final Rule in the </w:t>
      </w:r>
      <w:r>
        <w:rPr>
          <w:szCs w:val="22"/>
          <w:u w:val="single"/>
        </w:rPr>
        <w:t>Federal Register.</w:t>
      </w:r>
      <w:r>
        <w:rPr>
          <w:szCs w:val="22"/>
        </w:rPr>
        <w:t xml:space="preserve">  TSA anticipates that covered aircraft operators will be capable of collecting and transmitting all of the SFPD elements within nine months of Final Rule publication in the </w:t>
      </w:r>
      <w:r>
        <w:rPr>
          <w:szCs w:val="22"/>
          <w:u w:val="single"/>
        </w:rPr>
        <w:t>Federal Register</w:t>
      </w:r>
      <w:r>
        <w:rPr>
          <w:szCs w:val="22"/>
        </w:rPr>
        <w:t xml:space="preserve"> because many covered aircraft operators have already made changes to comply with CBP’s APIS Pre-Departure data submission requirements.  </w:t>
      </w:r>
    </w:p>
    <w:p w:rsidR="003B0815" w:rsidRDefault="003B0815" w14:paraId="5DB7E592" w14:textId="77777777">
      <w:pPr>
        <w:spacing w:line="360" w:lineRule="auto"/>
        <w:ind w:firstLine="720"/>
      </w:pPr>
      <w:r>
        <w:t xml:space="preserve">If implemented by TSA, aircraft operators will be able to enter a passenger’s Known Traveler Number in lieu of a Redress Number, eliminating the need for a separate data field.  Covered airlines are required to request these same data elements from non-traveling individuals seeking access to an airport sterile area.  The rule does not require air carriers to retroactively request the full name, date of birth, gender, or Redress Number from passengers who have made reservations on covered flights prior to </w:t>
      </w:r>
      <w:r>
        <w:rPr>
          <w:snapToGrid w:val="0"/>
        </w:rPr>
        <w:t>the rule’s compliance date</w:t>
      </w:r>
      <w:r>
        <w:t>.</w:t>
      </w:r>
    </w:p>
    <w:p w:rsidR="003B0815" w:rsidRDefault="003B0815" w14:paraId="72EF0606" w14:textId="77777777">
      <w:pPr>
        <w:spacing w:line="360" w:lineRule="auto"/>
        <w:ind w:firstLine="720"/>
      </w:pPr>
      <w:r>
        <w:t>In order to address privacy concerns and provide notice about the Secure Flight program in a manner not excessively complex or overly burdensome to airlines, travel agents, and passengers, covered airlines are required to make available a privacy notice prior to collecting information from an individual on a website or self-service kiosk.  TSA will also post a privacy notice on its own website to which airlines can link their sites if they choose.  This notice informs potential passengers that the airline will transmit passenger information to the Federal Government and use this data to conduct watch list matching.</w:t>
      </w:r>
    </w:p>
    <w:p w:rsidR="003B0815" w:rsidRDefault="003B0815" w14:paraId="56C71B46" w14:textId="77777777">
      <w:pPr>
        <w:spacing w:line="360" w:lineRule="auto"/>
        <w:ind w:firstLine="720"/>
      </w:pPr>
      <w:r>
        <w:t xml:space="preserve">Provision of full name, date of birth and gender by passengers and non-traveling individuals is mandatory under the final rule, while provision of the other requested information (Redress Number, Known Traveler Number and Passport information) will be voluntary.  If an individual chooses not to provide the requested information, however, TSA may have insufficient information to distinguish him or her from a person on a watch list.  Accordingly, the individual may experience delays, be subject to additional screening, or be denied transport or authorization to enter a sterile area.  </w:t>
      </w:r>
    </w:p>
    <w:p w:rsidR="003B0815" w:rsidRDefault="003B0815" w14:paraId="2F6E3974" w14:textId="77777777">
      <w:pPr>
        <w:spacing w:line="360" w:lineRule="auto"/>
        <w:ind w:firstLine="720"/>
      </w:pPr>
      <w:r>
        <w:t xml:space="preserve">In accordance with their AOIP, all covered airlines will begin collecting and transmitting the SFPD.  The SFPD includes the full name; date of birth; gender; and, if available, Redress Number or Known Traveler Number (if implemented) from individuals seeking to make a reservation on a covered flight.  </w:t>
      </w:r>
    </w:p>
    <w:p w:rsidR="003B0815" w:rsidRDefault="003B0815" w14:paraId="329ED5A2" w14:textId="77777777">
      <w:pPr>
        <w:spacing w:line="360" w:lineRule="auto"/>
        <w:ind w:firstLine="720"/>
      </w:pPr>
      <w:r>
        <w:t>Once the first aircraft operators begin sending passenger and non-traveler information to TSA, TSA will conduct operational testing of its ability to connect with aircraft operators and the TSC, receive passenger and non-traveler information, conduct watch list matching, and transmit gate and boarding pass printing instructions back to the aircraft operators.  During the operational testing phase, airlines will continue to make determinations as to Selectee and No Fly status, except in instances where TSA identifies a match to the Terrorist Screening Database (TSDB) that an aircraft operator has not identified.  This may occur because TSA will be using different watch list matching technology than the airlines.</w:t>
      </w:r>
    </w:p>
    <w:p w:rsidR="003B0815" w:rsidRDefault="003B0815" w14:paraId="12766E10" w14:textId="77777777">
      <w:pPr>
        <w:spacing w:line="360" w:lineRule="auto"/>
        <w:ind w:firstLine="720"/>
      </w:pPr>
      <w:r>
        <w:t xml:space="preserve">Once TSA publishes the </w:t>
      </w:r>
      <w:r>
        <w:rPr>
          <w:snapToGrid w:val="0"/>
          <w:u w:val="single"/>
        </w:rPr>
        <w:t>Federal Register</w:t>
      </w:r>
      <w:r>
        <w:t xml:space="preserve"> notice announcing implementation of the Secure Flight program, TSA begins assuming responsibility for the watch list matching function from aircraft operators on a carrier-by-carrier basis.  Although TSA will then have primary responsibility for watch list matching, the aircraft operator will temporarily continue to compare passenger information to the watch lists so that there will be a period of overlap with the watch list matching performed by the Federal Government under Secure Flight.  The precise timeline of this transition is dependent upon the results of operational testing.</w:t>
      </w:r>
    </w:p>
    <w:p w:rsidR="003B0815" w:rsidRDefault="003B0815" w14:paraId="646916DB" w14:textId="77777777">
      <w:pPr>
        <w:spacing w:line="360" w:lineRule="auto"/>
        <w:ind w:firstLine="720"/>
      </w:pPr>
      <w:r>
        <w:t xml:space="preserve">Beginning not more than 72 hours prior to each flight’s departure, airlines will transmit to TSA certain passenger information, as available, for passengers scheduled to board that flight.  Airlines will transmit to TSA information from passengers who make reservations within this 72 hour window as soon as the airline processes the reservation.  </w:t>
      </w:r>
      <w:bookmarkStart w:name="OLE_LINK16" w:id="60"/>
      <w:bookmarkStart w:name="OLE_LINK17" w:id="61"/>
      <w:r>
        <w:t>The information packet, called the Secure Flight Passenger Data (SFPD), includes for matching purposes each passenger’s full name, date of birth, and gender; and if provided or available during the reservation process TSA Redress Number and/or Known Traveler Number.  If available, the SFPD will further include a passenger’s passport information (passport number, country of issuance, expiration date, gender, and full name).  To provide the Secure Flight system with message routing and prioritization information, the SFPD will also contain itinerary information.</w:t>
      </w:r>
      <w:bookmarkEnd w:id="60"/>
      <w:bookmarkEnd w:id="61"/>
    </w:p>
    <w:p w:rsidR="003B0815" w:rsidRDefault="003B0815" w14:paraId="2E9EAE7E" w14:textId="77777777">
      <w:pPr>
        <w:spacing w:line="360" w:lineRule="auto"/>
        <w:ind w:firstLine="720"/>
      </w:pPr>
      <w:r>
        <w:t>Although TSA requires covered aircraft operators to collect and transmit SFPD, TSA is not mandating how covered aircraft operators must store or extract passengers’ SFPD.  Covered aircraft operators may choose to extract SFPDs from their reservation system or develop a separate system.  Based on interviews with covered airlines, TSA has assumed for the purposes of this analysis that airlines will choose to use their reservation systems to collect and transmit SFPD.</w:t>
      </w:r>
    </w:p>
    <w:p w:rsidR="003B0815" w:rsidRDefault="003B0815" w14:paraId="1898F6EF" w14:textId="77777777">
      <w:pPr>
        <w:spacing w:line="360" w:lineRule="auto"/>
        <w:ind w:firstLine="720"/>
      </w:pPr>
      <w:r>
        <w:t>The Secure Flight automated system will compare the submitted passenger information to the government watch lists and return to the airline a boarding pass printing instruction of “cleared,” “selectee,” or “boarding pass inhibited” for each passenger.  In certain cases, which TSA will identify to aircraft operators through their AOIPs, changes to a passenger’s itinerary will require the airline to resubmit the revised SFPD to Secure Flight in order to receive an updated boarding pass printing instruction.  Further, when the TSC updates the watch lists, the Secure Flight automated system will match all SFPDs indicating passenger travel within the next 72 hours against the updated watch list and will issue updated boarding pass printing instructions for any passengers whose watch list matching result have changed.  This live matching process will continue until the scheduled arrival of the last flight in a SFPD.</w:t>
      </w:r>
    </w:p>
    <w:p w:rsidR="003B0815" w:rsidRDefault="003B0815" w14:paraId="3F45FC86" w14:textId="77777777">
      <w:pPr>
        <w:spacing w:line="360" w:lineRule="auto"/>
        <w:ind w:firstLine="720"/>
        <w:rPr>
          <w:bCs/>
        </w:rPr>
      </w:pPr>
      <w:r>
        <w:rPr>
          <w:snapToGrid w:val="0"/>
        </w:rPr>
        <w:t xml:space="preserve">If the Secure Flight automated system determines an individual is a match to the Selectee list, a TSA matching analyst will review the SFPD to determine if the passenger appears to be the individual on the list.  If necessary the analyst will check other classified and unclassified governmental terrorist, law enforcement and intelligence databases, including databases maintained by the Department of Homeland Security, Department of Defense, </w:t>
      </w:r>
      <w:smartTag w:uri="urn:schemas-microsoft-com:office:smarttags" w:element="place">
        <w:smartTag w:uri="urn:schemas-microsoft-com:office:smarttags" w:element="PlaceName">
          <w:r>
            <w:rPr>
              <w:snapToGrid w:val="0"/>
            </w:rPr>
            <w:t>National</w:t>
          </w:r>
        </w:smartTag>
        <w:r>
          <w:rPr>
            <w:snapToGrid w:val="0"/>
          </w:rPr>
          <w:t xml:space="preserve"> </w:t>
        </w:r>
        <w:smartTag w:uri="urn:schemas-microsoft-com:office:smarttags" w:element="PlaceName">
          <w:r>
            <w:rPr>
              <w:snapToGrid w:val="0"/>
            </w:rPr>
            <w:t>Counterterrorism</w:t>
          </w:r>
        </w:smartTag>
        <w:r>
          <w:rPr>
            <w:snapToGrid w:val="0"/>
          </w:rPr>
          <w:t xml:space="preserve"> </w:t>
        </w:r>
        <w:smartTag w:uri="urn:schemas-microsoft-com:office:smarttags" w:element="PlaceType">
          <w:r>
            <w:rPr>
              <w:snapToGrid w:val="0"/>
            </w:rPr>
            <w:t>Center</w:t>
          </w:r>
        </w:smartTag>
      </w:smartTag>
      <w:r>
        <w:rPr>
          <w:snapToGrid w:val="0"/>
        </w:rPr>
        <w:t xml:space="preserve">, and the Federal Bureau of Investigation, in order to distinguish an individual from a person on a watch list.  This careful review process should reduce the number of false positives identified by the automated watch list process.  </w:t>
      </w:r>
      <w:r>
        <w:rPr>
          <w:bCs/>
        </w:rPr>
        <w:t>If TSA is unable to determine from the information provided in the full SFPD whether an individual is a match to the Selectee List</w:t>
      </w:r>
      <w:r>
        <w:t xml:space="preserve"> </w:t>
      </w:r>
      <w:r>
        <w:rPr>
          <w:bCs/>
        </w:rPr>
        <w:t>prior to the individual’s arrival at the airport or online check-in, it will be necessary for the individual to provide additional information at the airport.  The individual will be required to check in at the airport with a ticket agent or other airline representative</w:t>
      </w:r>
      <w:r>
        <w:rPr>
          <w:rStyle w:val="FootnoteReference"/>
          <w:bCs/>
        </w:rPr>
        <w:footnoteReference w:id="5"/>
      </w:r>
      <w:r>
        <w:rPr>
          <w:bCs/>
        </w:rPr>
        <w:t xml:space="preserve"> and provide an unexpired government-issued identification (federal, state, local, or tribal, or a foreign government-issued passport) that contains both a photo of the individual and the individual’s date of birth.  Examples of such documents are an unexpired driver’s license or a passport.</w:t>
      </w:r>
    </w:p>
    <w:p w:rsidR="003B0815" w:rsidRDefault="003B0815" w14:paraId="7AF58861" w14:textId="77777777">
      <w:pPr>
        <w:spacing w:line="360" w:lineRule="auto"/>
        <w:ind w:firstLine="720"/>
        <w:rPr>
          <w:snapToGrid w:val="0"/>
        </w:rPr>
      </w:pPr>
      <w:r>
        <w:rPr>
          <w:bCs/>
        </w:rPr>
        <w:t xml:space="preserve">Once the individual has provided the ticket agent with an acceptable form of identification, the agent will communicate to TSA information from the individual’s form of identification and any additional identifying information, such as a physical description, that TSA may require to complete the watch list matching process.  TSA matching analysts will complete the watch list matching process, in coordination with the TSC, and will provide the agent with boarding pass printing instructions for that individual in real-time.  </w:t>
      </w:r>
      <w:r>
        <w:rPr>
          <w:snapToGrid w:val="0"/>
        </w:rPr>
        <w:t xml:space="preserve">Individuals who believe they have been wrongly or unfairly subjected to enhanced screening </w:t>
      </w:r>
      <w:r>
        <w:rPr>
          <w:bCs/>
        </w:rPr>
        <w:t xml:space="preserve">are encouraged to seek redress through the </w:t>
      </w:r>
      <w:r>
        <w:t>Department of Homeland Security Traveler Redress Inquiry Program</w:t>
      </w:r>
      <w:r>
        <w:rPr>
          <w:bCs/>
        </w:rPr>
        <w:t xml:space="preserve"> (DHS TRIP) described in the rule.  Individuals who go through the DHS TRIP will receive a Redress Number that they can provide during future reservations.</w:t>
      </w:r>
    </w:p>
    <w:p w:rsidR="003B0815" w:rsidRDefault="003B0815" w14:paraId="387DDA10" w14:textId="77777777">
      <w:pPr>
        <w:spacing w:line="360" w:lineRule="auto"/>
        <w:ind w:firstLine="720"/>
      </w:pPr>
      <w:r>
        <w:t xml:space="preserve">If the Secure Flight automated system returns a result of “boarding pass inhibited” for a passenger, a TSA matching analyst reviews the SFPD to determine if the passenger appears to be the individual on the list.  If necessary, the analyst checks other classified and unclassified governmental terrorist, law enforcement, and intelligence databases, including databases maintained by the Department of Homeland Security, Department of Defense, </w:t>
      </w:r>
      <w:smartTag w:uri="urn:schemas-microsoft-com:office:smarttags" w:element="place">
        <w:smartTag w:uri="urn:schemas-microsoft-com:office:smarttags" w:element="PlaceName">
          <w:r>
            <w:t>National</w:t>
          </w:r>
        </w:smartTag>
        <w:r>
          <w:t xml:space="preserve"> </w:t>
        </w:r>
        <w:smartTag w:uri="urn:schemas-microsoft-com:office:smarttags" w:element="PlaceName">
          <w:r>
            <w:t>Counterterrorism</w:t>
          </w:r>
        </w:smartTag>
        <w:r>
          <w:t xml:space="preserve"> </w:t>
        </w:r>
        <w:smartTag w:uri="urn:schemas-microsoft-com:office:smarttags" w:element="PlaceType">
          <w:r>
            <w:t>Center</w:t>
          </w:r>
        </w:smartTag>
      </w:smartTag>
      <w:r>
        <w:t>, and Federal Bureau of Investigation, in order to distinguish an individual from a person on a watch list.  This careful review should reduce the number of false positives identified by the automated watch list process.</w:t>
      </w:r>
    </w:p>
    <w:p w:rsidR="003B0815" w:rsidRDefault="003B0815" w14:paraId="4F237626" w14:textId="77777777">
      <w:pPr>
        <w:spacing w:line="360" w:lineRule="auto"/>
        <w:ind w:firstLine="720"/>
        <w:rPr>
          <w:snapToGrid w:val="0"/>
        </w:rPr>
      </w:pPr>
      <w:r>
        <w:t xml:space="preserve">If the TSA matching analyst identifies a possible match between a passenger and an individual identified on the No Fly list, TSA will send the SFPD to TSC and request confirmation of the match.  </w:t>
      </w:r>
      <w:r>
        <w:rPr>
          <w:snapToGrid w:val="0"/>
        </w:rPr>
        <w:t xml:space="preserve">If TSC determines the individual is not a match to the No Fly list, TSA will send an updated instruction to the aircraft operator, indicating that the individual has been “cleared.”  If TSC confirms a match to the No Fly list, the “boarding pass inhibited” instruction previously sent to the aircraft operator will continue to govern. </w:t>
      </w:r>
    </w:p>
    <w:p w:rsidR="003B0815" w:rsidRDefault="003B0815" w14:paraId="1E785D95" w14:textId="77777777">
      <w:pPr>
        <w:spacing w:line="360" w:lineRule="auto"/>
        <w:ind w:firstLine="720"/>
        <w:rPr>
          <w:snapToGrid w:val="0"/>
        </w:rPr>
      </w:pPr>
      <w:r>
        <w:rPr>
          <w:snapToGrid w:val="0"/>
        </w:rPr>
        <w:t xml:space="preserve">TSC may notify law enforcement officials separately to initiate an operational response, if appropriate, when a match to a known or suspected terrorist on the TSDB is confirmed.  TSA also may notify law enforcement personnel responsible for airport security to facilitate a law enforcement response to an individual identified in </w:t>
      </w:r>
      <w:r>
        <w:rPr>
          <w:rFonts w:ascii="Times New Roman TUR" w:hAnsi="Times New Roman TUR" w:cs="Times New Roman TUR"/>
          <w:bCs/>
        </w:rPr>
        <w:t>the Selectee or No Fly Lists</w:t>
      </w:r>
      <w:r>
        <w:rPr>
          <w:snapToGrid w:val="0"/>
        </w:rPr>
        <w:t xml:space="preserve">.  Further inquiry by law enforcement may, for example, help resolve a situation of mistaken identity by confirming or negating the determination made in the matching process that an individual should be denied boarding or entry to a </w:t>
      </w:r>
      <w:r>
        <w:t xml:space="preserve">sterile </w:t>
      </w:r>
      <w:r>
        <w:rPr>
          <w:snapToGrid w:val="0"/>
        </w:rPr>
        <w:t>area.</w:t>
      </w:r>
    </w:p>
    <w:p w:rsidR="003B0815" w:rsidRDefault="003B0815" w14:paraId="0AAAE570" w14:textId="77777777">
      <w:pPr>
        <w:spacing w:line="360" w:lineRule="auto"/>
        <w:ind w:firstLine="720"/>
        <w:rPr>
          <w:bCs/>
        </w:rPr>
      </w:pPr>
      <w:r>
        <w:rPr>
          <w:bCs/>
        </w:rPr>
        <w:t>If TSA is unable to determine from the information provided in the full SFPD whether an individual is a match to the TSC’s No Fly List</w:t>
      </w:r>
      <w:r>
        <w:t xml:space="preserve"> </w:t>
      </w:r>
      <w:r>
        <w:rPr>
          <w:bCs/>
        </w:rPr>
        <w:t>prior to the individual’s arrival at the airport or online check-in, it will be necessary for the individual to provide additional information at the airport.  The individual is required to check in at the airport with a ticket agent or other airline representative</w:t>
      </w:r>
      <w:r>
        <w:rPr>
          <w:rStyle w:val="FootnoteReference"/>
          <w:bCs/>
        </w:rPr>
        <w:footnoteReference w:id="6"/>
      </w:r>
      <w:r>
        <w:rPr>
          <w:bCs/>
        </w:rPr>
        <w:t xml:space="preserve"> </w:t>
      </w:r>
      <w:r>
        <w:t xml:space="preserve">or a self-serve kiosk </w:t>
      </w:r>
      <w:r>
        <w:rPr>
          <w:szCs w:val="22"/>
        </w:rPr>
        <w:t xml:space="preserve">that is capable of determining that the identification is a valid verifying identity document (VID), authenticating the VID, and reading and transmitting passenger information from the VID.  The individual must provide to the ticket agent or airline representative or at the self-serve kiosk an </w:t>
      </w:r>
      <w:r>
        <w:rPr>
          <w:bCs/>
        </w:rPr>
        <w:t>unexpired government-issued identification (federal, state, local, or tribal, or a foreign government-issued passport) that contains both a photo of the individual and the individual’s date of birth.  Examples of such documents are an unexpired driver’s license or a passport.</w:t>
      </w:r>
    </w:p>
    <w:p w:rsidR="003B0815" w:rsidRDefault="003B0815" w14:paraId="5930B807" w14:textId="77777777">
      <w:pPr>
        <w:spacing w:line="360" w:lineRule="auto"/>
        <w:ind w:firstLine="720"/>
        <w:rPr>
          <w:bCs/>
        </w:rPr>
      </w:pPr>
      <w:r>
        <w:rPr>
          <w:bCs/>
        </w:rPr>
        <w:t>Once the individual has provided the ticket agent with an acceptable form of identification, the agent communicates to TSA information from the individual’s form of identification and any additional identifying information, such as a physical description, that TSA may require to complete the watch list matching process.  TSA matching analysts complete the watch list matching process, in coordination with the TSC, and will provide the agent with boarding pass printing instructions for that individual in real-time.</w:t>
      </w:r>
    </w:p>
    <w:p w:rsidR="003B0815" w:rsidRDefault="003B0815" w14:paraId="3D10C32E" w14:textId="77777777">
      <w:pPr>
        <w:spacing w:line="360" w:lineRule="auto"/>
        <w:ind w:firstLine="720"/>
        <w:rPr>
          <w:snapToGrid w:val="0"/>
        </w:rPr>
      </w:pPr>
      <w:r>
        <w:rPr>
          <w:szCs w:val="22"/>
        </w:rPr>
        <w:t xml:space="preserve">TSA is developing the protocols and standards for placing a bar code on boarding passes and will require covered aircraft operators to place the code on their boarding passes.  When TSA updates the Consolidated User Guide with the protocols and standards for the code, covered aircraft operators must implement this requirement in accordance with their AOIP.  While the timing of the introduction of the bar code is uncertain, TSA has included an estimate of these costs in the this analysis.  </w:t>
      </w:r>
      <w:r>
        <w:rPr>
          <w:snapToGrid w:val="0"/>
        </w:rPr>
        <w:t xml:space="preserve">Implementation will require covered aircraft operators to print a code on each boarding or gate pass issued to a passenger or non-traveling individual for whom Secure Flight has returned a boarding or gate pass printing instruction.  </w:t>
      </w:r>
      <w:r>
        <w:rPr>
          <w:szCs w:val="22"/>
        </w:rPr>
        <w:t>Once the bar code requirement is implemented, the</w:t>
      </w:r>
      <w:r>
        <w:rPr>
          <w:snapToGrid w:val="0"/>
        </w:rPr>
        <w:t xml:space="preserve"> Secure Flight system will automatically generate a unique code for each printing instruction returned to covered aircraft operators.  Aircraft operators will be required to print this code separately from any other bar or optical code currently printed on a boarding or gate pass.  Personnel at security checkpoints will use this code to verify the authenticity of the boarding pass.  Depending upon the final implementation method, security personnel may also use the code to verify that an ID presented at the checkpoint matches the information that was submitted to the Secure Flight system.</w:t>
      </w:r>
    </w:p>
    <w:p w:rsidR="003B0815" w:rsidRDefault="003B0815" w14:paraId="471C7EFF" w14:textId="77777777">
      <w:pPr>
        <w:spacing w:line="360" w:lineRule="auto"/>
        <w:ind w:firstLine="720"/>
        <w:rPr>
          <w:u w:val="single"/>
        </w:rPr>
      </w:pPr>
      <w:r>
        <w:rPr>
          <w:u w:val="single"/>
        </w:rPr>
        <w:t>Extension of the Secure Flight Program to Additional Aircraft Operators.</w:t>
      </w:r>
      <w:r>
        <w:t xml:space="preserve">  </w:t>
      </w:r>
      <w:r>
        <w:rPr>
          <w:snapToGrid w:val="0"/>
        </w:rPr>
        <w:t>Through a future rulemaking, TSA plans to propose to extend the Secure Flight program to cover watch list matching for other categories of aircraft operators</w:t>
      </w:r>
      <w:r>
        <w:t xml:space="preserve"> that currently carry out the watch list matching function for passengers on flights.  These include </w:t>
      </w:r>
      <w:r>
        <w:rPr>
          <w:snapToGrid w:val="0"/>
        </w:rPr>
        <w:t>aircraft operators covered by CBP’s APIS regulations that may not be covered by this rule</w:t>
      </w:r>
      <w:r>
        <w:rPr>
          <w:bCs/>
        </w:rPr>
        <w:t>.</w:t>
      </w:r>
    </w:p>
    <w:p w:rsidR="003B0815" w:rsidRDefault="003B0815" w14:paraId="2B40DAD3" w14:textId="77777777">
      <w:pPr>
        <w:spacing w:line="360" w:lineRule="auto"/>
        <w:ind w:firstLine="720"/>
        <w:rPr>
          <w:u w:val="single"/>
        </w:rPr>
      </w:pPr>
      <w:r>
        <w:rPr>
          <w:bCs/>
          <w:u w:val="single"/>
        </w:rPr>
        <w:t>Identification Requirements.</w:t>
      </w:r>
      <w:r>
        <w:rPr>
          <w:bCs/>
        </w:rPr>
        <w:tab/>
        <w:t xml:space="preserve"> In order to increase the security benefit of the Secure Flight program, TSA is also considering strengthening the identification requirements at the security screening checkpoint.  For example, TSA may consider requiring individuals to present a document similar to a verifying identity document to be able to proceed through the checkpoint.  Strengthening the requirement that </w:t>
      </w:r>
      <w:r>
        <w:t>an individual provide evidence at the security screening checkpoint that he or she is the person to whom the boarding pass or other authorization was issued provides additional assurance that the individual has not used an assumed identity when making a reservation in order to defeat the watch list matching process.</w:t>
      </w:r>
    </w:p>
    <w:p w:rsidR="003B0815" w:rsidRDefault="003B0815" w14:paraId="7217907D" w14:textId="77777777">
      <w:pPr>
        <w:spacing w:line="480" w:lineRule="auto"/>
        <w:ind w:firstLine="720"/>
        <w:sectPr w:rsidR="003B0815">
          <w:pgSz w:w="12240" w:h="15840"/>
          <w:pgMar w:top="1440" w:right="1440" w:bottom="1440" w:left="1440" w:header="720" w:footer="720" w:gutter="0"/>
          <w:cols w:space="720"/>
          <w:docGrid w:linePitch="360"/>
        </w:sectPr>
      </w:pPr>
    </w:p>
    <w:p w:rsidR="003B0815" w:rsidRDefault="003B0815" w14:paraId="0D0F0253" w14:textId="77777777">
      <w:pPr>
        <w:pStyle w:val="RegEvalSectionHeader"/>
        <w:keepNext/>
        <w:spacing w:line="360" w:lineRule="auto"/>
      </w:pPr>
      <w:bookmarkStart w:name="_Toc114566405" w:id="62"/>
      <w:bookmarkStart w:name="_Toc141001074" w:id="63"/>
      <w:bookmarkStart w:name="_Toc141000903" w:id="64"/>
      <w:bookmarkStart w:name="_Toc165278430" w:id="65"/>
      <w:bookmarkStart w:name="_Toc202683378" w:id="66"/>
      <w:r>
        <w:t>Section 4: Establishing a Baseline: Passenger Air Transportation Today</w:t>
      </w:r>
      <w:bookmarkEnd w:id="62"/>
      <w:bookmarkEnd w:id="63"/>
      <w:bookmarkEnd w:id="64"/>
      <w:bookmarkEnd w:id="65"/>
      <w:bookmarkEnd w:id="66"/>
    </w:p>
    <w:p w:rsidR="003B0815" w:rsidRDefault="003B0815" w14:paraId="13D8E7D2" w14:textId="77777777">
      <w:pPr>
        <w:pStyle w:val="RegEvalSectionSubheader"/>
        <w:keepNext/>
        <w:spacing w:line="360" w:lineRule="auto"/>
      </w:pPr>
      <w:bookmarkStart w:name="_Toc111627355" w:id="67"/>
      <w:bookmarkStart w:name="_Toc114566406" w:id="68"/>
      <w:bookmarkStart w:name="_Toc141001075" w:id="69"/>
      <w:bookmarkStart w:name="_Toc141000904" w:id="70"/>
      <w:bookmarkStart w:name="_Toc165278431" w:id="71"/>
      <w:bookmarkStart w:name="_Toc202683379" w:id="72"/>
      <w:r>
        <w:t>1.4.1 Regulated Parties</w:t>
      </w:r>
      <w:bookmarkEnd w:id="67"/>
      <w:bookmarkEnd w:id="68"/>
      <w:bookmarkEnd w:id="69"/>
      <w:bookmarkEnd w:id="70"/>
      <w:bookmarkEnd w:id="71"/>
      <w:bookmarkEnd w:id="72"/>
    </w:p>
    <w:p w:rsidR="003B0815" w:rsidRDefault="003B0815" w14:paraId="03422993" w14:textId="77777777">
      <w:pPr>
        <w:keepNext/>
        <w:spacing w:line="360" w:lineRule="auto"/>
        <w:rPr>
          <w:b/>
        </w:rPr>
      </w:pPr>
      <w:r>
        <w:rPr>
          <w:b/>
        </w:rPr>
        <w:t>Domestic Aircraft Operators</w:t>
      </w:r>
    </w:p>
    <w:p w:rsidR="003B0815" w:rsidRDefault="003B0815" w14:paraId="1C41AE6B" w14:textId="77777777">
      <w:pPr>
        <w:spacing w:line="360" w:lineRule="auto"/>
        <w:ind w:firstLine="720"/>
      </w:pPr>
      <w:r>
        <w:t>This rule affects all aircraft operators conducting flight operations under a full security program per 49 CFR 1544.101(a).  In general, these aircraft operators are the major passenger airlines that offer scheduled and public charter flights from commercial airports.  Specifically, the covered carriers are those performing scheduled service or public charter passenger operations either with an aircraft having a passenger seating configuration of 61 or more seats or having 60 or fewer seats if the aircraft enplanes from or deplanes into a sterile area.  At the time of writing, 66 aircraft operators met the criteria for being a covered domestic carrier under the Secure Flight final rule.  According to the Department of Transportation’s Bureau of Transportation Statistics’ (BTS) T-100 Domestic Market data, the covered aircraft operators accounted for 635,606,671 enplanements in fiscal year 2005, 99.7% of total domestic enplanements for that year.  Thus, these carriers represent the bulk of domestic air passenger transportation.</w:t>
      </w:r>
    </w:p>
    <w:p w:rsidR="003B0815" w:rsidRDefault="003B0815" w14:paraId="1ECCF353" w14:textId="77777777">
      <w:pPr>
        <w:spacing w:line="360" w:lineRule="auto"/>
        <w:ind w:firstLine="720"/>
      </w:pPr>
      <w:r>
        <w:t>The aerospace forecast published annually by the Federal Aviation Administration’s Office of Aviation Policy and Plans projects continued growth of domestic commercial aviation over the next ten years.</w:t>
      </w:r>
      <w:r>
        <w:rPr>
          <w:rStyle w:val="FootnoteReference"/>
        </w:rPr>
        <w:footnoteReference w:id="7"/>
      </w:r>
      <w:r>
        <w:t xml:space="preserve">  TSA applied the FAA forecast growth rate to the covered carriers’ 2005 enplanements to determine future year enplanements.  Table 1.4.1.a presents the forecast for domestic enplanements for the ten years covered by this analysis.</w:t>
      </w:r>
      <w:bookmarkStart w:name="_Toc107984975" w:id="73"/>
      <w:bookmarkStart w:name="_Toc111627356" w:id="74"/>
    </w:p>
    <w:p w:rsidR="003B0815" w:rsidRDefault="003B0815" w14:paraId="379F8754" w14:textId="77777777">
      <w:bookmarkStart w:name="_Toc114566407" w:id="75"/>
      <w:bookmarkStart w:name="_Toc139943601" w:id="76"/>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4"/>
        <w:gridCol w:w="2651"/>
      </w:tblGrid>
      <w:tr w:rsidR="003B0815" w14:paraId="622F8E68" w14:textId="77777777">
        <w:trPr>
          <w:jc w:val="center"/>
        </w:trPr>
        <w:tc>
          <w:tcPr>
            <w:tcW w:w="3845" w:type="dxa"/>
            <w:gridSpan w:val="2"/>
            <w:tcBorders>
              <w:top w:val="nil"/>
              <w:left w:val="nil"/>
              <w:bottom w:val="single" w:color="auto" w:sz="12" w:space="0"/>
              <w:right w:val="nil"/>
            </w:tcBorders>
            <w:vAlign w:val="bottom"/>
          </w:tcPr>
          <w:p w:rsidR="003B0815" w:rsidRDefault="003B0815" w14:paraId="7E1762A0" w14:textId="77777777">
            <w:pPr>
              <w:pStyle w:val="RegEvalTableHeader"/>
              <w:keepNext/>
            </w:pPr>
            <w:bookmarkStart w:name="_Toc141001111" w:id="77"/>
            <w:bookmarkStart w:name="_Toc141000942" w:id="78"/>
            <w:bookmarkStart w:name="_Toc165278364" w:id="79"/>
            <w:bookmarkStart w:name="_Toc174438359" w:id="80"/>
            <w:bookmarkStart w:name="_Toc207109498" w:id="81"/>
            <w:r>
              <w:t>Table 1.4.1.a Covered Carrier Forecasted Enplanements</w:t>
            </w:r>
            <w:bookmarkEnd w:id="73"/>
            <w:bookmarkEnd w:id="74"/>
            <w:bookmarkEnd w:id="75"/>
            <w:bookmarkEnd w:id="76"/>
            <w:bookmarkEnd w:id="77"/>
            <w:bookmarkEnd w:id="78"/>
            <w:bookmarkEnd w:id="79"/>
            <w:bookmarkEnd w:id="80"/>
            <w:bookmarkEnd w:id="81"/>
          </w:p>
        </w:tc>
      </w:tr>
      <w:tr w:rsidR="003B0815" w14:paraId="19AC013A" w14:textId="77777777">
        <w:trPr>
          <w:jc w:val="center"/>
        </w:trPr>
        <w:tc>
          <w:tcPr>
            <w:tcW w:w="1194" w:type="dxa"/>
            <w:tcBorders>
              <w:top w:val="single" w:color="auto" w:sz="12" w:space="0"/>
              <w:left w:val="single" w:color="auto" w:sz="12" w:space="0"/>
            </w:tcBorders>
            <w:vAlign w:val="bottom"/>
          </w:tcPr>
          <w:p w:rsidR="003B0815" w:rsidRDefault="003B0815" w14:paraId="55771667" w14:textId="77777777">
            <w:pPr>
              <w:keepNext/>
              <w:jc w:val="center"/>
              <w:rPr>
                <w:rFonts w:ascii="Arial" w:hAnsi="Arial"/>
                <w:b/>
                <w:sz w:val="20"/>
                <w:szCs w:val="20"/>
              </w:rPr>
            </w:pPr>
            <w:r>
              <w:rPr>
                <w:rFonts w:ascii="Arial" w:hAnsi="Arial"/>
                <w:b/>
                <w:sz w:val="20"/>
                <w:szCs w:val="20"/>
              </w:rPr>
              <w:t>Program Year</w:t>
            </w:r>
          </w:p>
        </w:tc>
        <w:tc>
          <w:tcPr>
            <w:tcW w:w="2651" w:type="dxa"/>
            <w:tcBorders>
              <w:top w:val="single" w:color="auto" w:sz="12" w:space="0"/>
              <w:right w:val="single" w:color="auto" w:sz="12" w:space="0"/>
            </w:tcBorders>
            <w:vAlign w:val="bottom"/>
          </w:tcPr>
          <w:p w:rsidR="003B0815" w:rsidRDefault="003B0815" w14:paraId="54A35977" w14:textId="77777777">
            <w:pPr>
              <w:keepNext/>
              <w:jc w:val="center"/>
              <w:rPr>
                <w:rFonts w:ascii="Arial" w:hAnsi="Arial"/>
                <w:b/>
                <w:sz w:val="20"/>
                <w:szCs w:val="20"/>
              </w:rPr>
            </w:pPr>
            <w:r>
              <w:rPr>
                <w:rFonts w:ascii="Arial" w:hAnsi="Arial"/>
                <w:b/>
                <w:sz w:val="20"/>
                <w:szCs w:val="20"/>
              </w:rPr>
              <w:t>Millions of Domestic Enplanements</w:t>
            </w:r>
          </w:p>
        </w:tc>
      </w:tr>
      <w:tr w:rsidR="003B0815" w14:paraId="6F397852" w14:textId="77777777">
        <w:trPr>
          <w:jc w:val="center"/>
        </w:trPr>
        <w:tc>
          <w:tcPr>
            <w:tcW w:w="1194" w:type="dxa"/>
            <w:tcBorders>
              <w:left w:val="single" w:color="auto" w:sz="12" w:space="0"/>
            </w:tcBorders>
            <w:vAlign w:val="bottom"/>
          </w:tcPr>
          <w:p w:rsidR="003B0815" w:rsidRDefault="003B0815" w14:paraId="76B7BD1F" w14:textId="77777777">
            <w:pPr>
              <w:keepNext/>
              <w:jc w:val="center"/>
              <w:rPr>
                <w:rFonts w:ascii="Arial" w:hAnsi="Arial"/>
                <w:sz w:val="20"/>
                <w:szCs w:val="20"/>
              </w:rPr>
            </w:pPr>
            <w:r>
              <w:rPr>
                <w:rFonts w:ascii="Arial" w:hAnsi="Arial"/>
                <w:sz w:val="20"/>
                <w:szCs w:val="20"/>
              </w:rPr>
              <w:t>1</w:t>
            </w:r>
          </w:p>
        </w:tc>
        <w:tc>
          <w:tcPr>
            <w:tcW w:w="2651" w:type="dxa"/>
            <w:tcBorders>
              <w:right w:val="single" w:color="auto" w:sz="12" w:space="0"/>
            </w:tcBorders>
            <w:vAlign w:val="bottom"/>
          </w:tcPr>
          <w:p w:rsidR="003B0815" w:rsidRDefault="003B0815" w14:paraId="01DF512A" w14:textId="77777777">
            <w:pPr>
              <w:keepNext/>
              <w:jc w:val="center"/>
              <w:rPr>
                <w:rFonts w:ascii="Arial" w:hAnsi="Arial" w:cs="Arial"/>
                <w:sz w:val="20"/>
                <w:szCs w:val="20"/>
              </w:rPr>
            </w:pPr>
            <w:r>
              <w:rPr>
                <w:rFonts w:ascii="Arial" w:hAnsi="Arial" w:cs="Arial"/>
                <w:sz w:val="20"/>
                <w:szCs w:val="20"/>
              </w:rPr>
              <w:t>677.5</w:t>
            </w:r>
          </w:p>
        </w:tc>
      </w:tr>
      <w:tr w:rsidR="003B0815" w14:paraId="27F53082" w14:textId="77777777">
        <w:trPr>
          <w:jc w:val="center"/>
        </w:trPr>
        <w:tc>
          <w:tcPr>
            <w:tcW w:w="1194" w:type="dxa"/>
            <w:tcBorders>
              <w:left w:val="single" w:color="auto" w:sz="12" w:space="0"/>
            </w:tcBorders>
            <w:vAlign w:val="bottom"/>
          </w:tcPr>
          <w:p w:rsidR="003B0815" w:rsidRDefault="003B0815" w14:paraId="0AC9C73F" w14:textId="77777777">
            <w:pPr>
              <w:keepNext/>
              <w:jc w:val="center"/>
              <w:rPr>
                <w:rFonts w:ascii="Arial" w:hAnsi="Arial"/>
                <w:sz w:val="20"/>
                <w:szCs w:val="20"/>
              </w:rPr>
            </w:pPr>
            <w:r>
              <w:rPr>
                <w:rFonts w:ascii="Arial" w:hAnsi="Arial"/>
                <w:sz w:val="20"/>
                <w:szCs w:val="20"/>
              </w:rPr>
              <w:t>2</w:t>
            </w:r>
          </w:p>
        </w:tc>
        <w:tc>
          <w:tcPr>
            <w:tcW w:w="2651" w:type="dxa"/>
            <w:tcBorders>
              <w:right w:val="single" w:color="auto" w:sz="12" w:space="0"/>
            </w:tcBorders>
            <w:vAlign w:val="bottom"/>
          </w:tcPr>
          <w:p w:rsidR="003B0815" w:rsidRDefault="003B0815" w14:paraId="79ED8430" w14:textId="77777777">
            <w:pPr>
              <w:keepNext/>
              <w:jc w:val="center"/>
              <w:rPr>
                <w:rFonts w:ascii="Arial" w:hAnsi="Arial" w:cs="Arial"/>
                <w:sz w:val="20"/>
                <w:szCs w:val="20"/>
              </w:rPr>
            </w:pPr>
            <w:r>
              <w:rPr>
                <w:rFonts w:ascii="Arial" w:hAnsi="Arial" w:cs="Arial"/>
                <w:sz w:val="20"/>
                <w:szCs w:val="20"/>
              </w:rPr>
              <w:t>698.3</w:t>
            </w:r>
          </w:p>
        </w:tc>
      </w:tr>
      <w:tr w:rsidR="003B0815" w14:paraId="37C48535" w14:textId="77777777">
        <w:trPr>
          <w:jc w:val="center"/>
        </w:trPr>
        <w:tc>
          <w:tcPr>
            <w:tcW w:w="1194" w:type="dxa"/>
            <w:tcBorders>
              <w:left w:val="single" w:color="auto" w:sz="12" w:space="0"/>
            </w:tcBorders>
            <w:vAlign w:val="bottom"/>
          </w:tcPr>
          <w:p w:rsidR="003B0815" w:rsidRDefault="003B0815" w14:paraId="0452A380" w14:textId="77777777">
            <w:pPr>
              <w:keepNext/>
              <w:jc w:val="center"/>
              <w:rPr>
                <w:rFonts w:ascii="Arial" w:hAnsi="Arial"/>
                <w:sz w:val="20"/>
                <w:szCs w:val="20"/>
              </w:rPr>
            </w:pPr>
            <w:r>
              <w:rPr>
                <w:rFonts w:ascii="Arial" w:hAnsi="Arial"/>
                <w:sz w:val="20"/>
                <w:szCs w:val="20"/>
              </w:rPr>
              <w:t>3</w:t>
            </w:r>
          </w:p>
        </w:tc>
        <w:tc>
          <w:tcPr>
            <w:tcW w:w="2651" w:type="dxa"/>
            <w:tcBorders>
              <w:right w:val="single" w:color="auto" w:sz="12" w:space="0"/>
            </w:tcBorders>
            <w:vAlign w:val="bottom"/>
          </w:tcPr>
          <w:p w:rsidR="003B0815" w:rsidRDefault="003B0815" w14:paraId="715728C8" w14:textId="77777777">
            <w:pPr>
              <w:keepNext/>
              <w:jc w:val="center"/>
              <w:rPr>
                <w:rFonts w:ascii="Arial" w:hAnsi="Arial" w:cs="Arial"/>
                <w:sz w:val="20"/>
                <w:szCs w:val="20"/>
              </w:rPr>
            </w:pPr>
            <w:r>
              <w:rPr>
                <w:rFonts w:ascii="Arial" w:hAnsi="Arial" w:cs="Arial"/>
                <w:sz w:val="20"/>
                <w:szCs w:val="20"/>
              </w:rPr>
              <w:t>720.3</w:t>
            </w:r>
          </w:p>
        </w:tc>
      </w:tr>
      <w:tr w:rsidR="003B0815" w14:paraId="2494358D" w14:textId="77777777">
        <w:trPr>
          <w:jc w:val="center"/>
        </w:trPr>
        <w:tc>
          <w:tcPr>
            <w:tcW w:w="1194" w:type="dxa"/>
            <w:tcBorders>
              <w:left w:val="single" w:color="auto" w:sz="12" w:space="0"/>
            </w:tcBorders>
            <w:vAlign w:val="bottom"/>
          </w:tcPr>
          <w:p w:rsidR="003B0815" w:rsidRDefault="003B0815" w14:paraId="0937022C" w14:textId="77777777">
            <w:pPr>
              <w:keepNext/>
              <w:jc w:val="center"/>
              <w:rPr>
                <w:rFonts w:ascii="Arial" w:hAnsi="Arial"/>
                <w:sz w:val="20"/>
                <w:szCs w:val="20"/>
              </w:rPr>
            </w:pPr>
            <w:r>
              <w:rPr>
                <w:rFonts w:ascii="Arial" w:hAnsi="Arial"/>
                <w:sz w:val="20"/>
                <w:szCs w:val="20"/>
              </w:rPr>
              <w:t>4</w:t>
            </w:r>
          </w:p>
        </w:tc>
        <w:tc>
          <w:tcPr>
            <w:tcW w:w="2651" w:type="dxa"/>
            <w:tcBorders>
              <w:right w:val="single" w:color="auto" w:sz="12" w:space="0"/>
            </w:tcBorders>
            <w:vAlign w:val="bottom"/>
          </w:tcPr>
          <w:p w:rsidR="003B0815" w:rsidRDefault="003B0815" w14:paraId="1E5B0324" w14:textId="77777777">
            <w:pPr>
              <w:keepNext/>
              <w:jc w:val="center"/>
              <w:rPr>
                <w:rFonts w:ascii="Arial" w:hAnsi="Arial" w:cs="Arial"/>
                <w:sz w:val="20"/>
                <w:szCs w:val="20"/>
              </w:rPr>
            </w:pPr>
            <w:r>
              <w:rPr>
                <w:rFonts w:ascii="Arial" w:hAnsi="Arial" w:cs="Arial"/>
                <w:sz w:val="20"/>
                <w:szCs w:val="20"/>
              </w:rPr>
              <w:t>742.8</w:t>
            </w:r>
          </w:p>
        </w:tc>
      </w:tr>
      <w:tr w:rsidR="003B0815" w14:paraId="341C2999" w14:textId="77777777">
        <w:trPr>
          <w:jc w:val="center"/>
        </w:trPr>
        <w:tc>
          <w:tcPr>
            <w:tcW w:w="1194" w:type="dxa"/>
            <w:tcBorders>
              <w:left w:val="single" w:color="auto" w:sz="12" w:space="0"/>
            </w:tcBorders>
            <w:vAlign w:val="bottom"/>
          </w:tcPr>
          <w:p w:rsidR="003B0815" w:rsidRDefault="003B0815" w14:paraId="64D721E9" w14:textId="77777777">
            <w:pPr>
              <w:keepNext/>
              <w:jc w:val="center"/>
              <w:rPr>
                <w:rFonts w:ascii="Arial" w:hAnsi="Arial"/>
                <w:sz w:val="20"/>
                <w:szCs w:val="20"/>
              </w:rPr>
            </w:pPr>
            <w:r>
              <w:rPr>
                <w:rFonts w:ascii="Arial" w:hAnsi="Arial"/>
                <w:sz w:val="20"/>
                <w:szCs w:val="20"/>
              </w:rPr>
              <w:t>5</w:t>
            </w:r>
          </w:p>
        </w:tc>
        <w:tc>
          <w:tcPr>
            <w:tcW w:w="2651" w:type="dxa"/>
            <w:tcBorders>
              <w:right w:val="single" w:color="auto" w:sz="12" w:space="0"/>
            </w:tcBorders>
            <w:vAlign w:val="bottom"/>
          </w:tcPr>
          <w:p w:rsidR="003B0815" w:rsidRDefault="003B0815" w14:paraId="2C3CD09F" w14:textId="77777777">
            <w:pPr>
              <w:keepNext/>
              <w:jc w:val="center"/>
              <w:rPr>
                <w:rFonts w:ascii="Arial" w:hAnsi="Arial" w:cs="Arial"/>
                <w:sz w:val="20"/>
                <w:szCs w:val="20"/>
              </w:rPr>
            </w:pPr>
            <w:r>
              <w:rPr>
                <w:rFonts w:ascii="Arial" w:hAnsi="Arial" w:cs="Arial"/>
                <w:sz w:val="20"/>
                <w:szCs w:val="20"/>
              </w:rPr>
              <w:t>766.6</w:t>
            </w:r>
          </w:p>
        </w:tc>
      </w:tr>
      <w:tr w:rsidR="003B0815" w14:paraId="78311977" w14:textId="77777777">
        <w:trPr>
          <w:jc w:val="center"/>
        </w:trPr>
        <w:tc>
          <w:tcPr>
            <w:tcW w:w="1194" w:type="dxa"/>
            <w:tcBorders>
              <w:left w:val="single" w:color="auto" w:sz="12" w:space="0"/>
            </w:tcBorders>
            <w:vAlign w:val="bottom"/>
          </w:tcPr>
          <w:p w:rsidR="003B0815" w:rsidRDefault="003B0815" w14:paraId="37749126" w14:textId="77777777">
            <w:pPr>
              <w:keepNext/>
              <w:jc w:val="center"/>
              <w:rPr>
                <w:rFonts w:ascii="Arial" w:hAnsi="Arial"/>
                <w:sz w:val="20"/>
                <w:szCs w:val="20"/>
              </w:rPr>
            </w:pPr>
            <w:r>
              <w:rPr>
                <w:rFonts w:ascii="Arial" w:hAnsi="Arial"/>
                <w:sz w:val="20"/>
                <w:szCs w:val="20"/>
              </w:rPr>
              <w:t>6</w:t>
            </w:r>
          </w:p>
        </w:tc>
        <w:tc>
          <w:tcPr>
            <w:tcW w:w="2651" w:type="dxa"/>
            <w:tcBorders>
              <w:right w:val="single" w:color="auto" w:sz="12" w:space="0"/>
            </w:tcBorders>
            <w:vAlign w:val="bottom"/>
          </w:tcPr>
          <w:p w:rsidR="003B0815" w:rsidRDefault="003B0815" w14:paraId="0DF12BFC" w14:textId="77777777">
            <w:pPr>
              <w:keepNext/>
              <w:jc w:val="center"/>
              <w:rPr>
                <w:rFonts w:ascii="Arial" w:hAnsi="Arial" w:cs="Arial"/>
                <w:sz w:val="20"/>
                <w:szCs w:val="20"/>
              </w:rPr>
            </w:pPr>
            <w:r>
              <w:rPr>
                <w:rFonts w:ascii="Arial" w:hAnsi="Arial" w:cs="Arial"/>
                <w:sz w:val="20"/>
                <w:szCs w:val="20"/>
              </w:rPr>
              <w:t>791.0</w:t>
            </w:r>
          </w:p>
        </w:tc>
      </w:tr>
      <w:tr w:rsidR="003B0815" w14:paraId="0EFFC30C" w14:textId="77777777">
        <w:trPr>
          <w:jc w:val="center"/>
        </w:trPr>
        <w:tc>
          <w:tcPr>
            <w:tcW w:w="1194" w:type="dxa"/>
            <w:tcBorders>
              <w:left w:val="single" w:color="auto" w:sz="12" w:space="0"/>
            </w:tcBorders>
            <w:vAlign w:val="bottom"/>
          </w:tcPr>
          <w:p w:rsidR="003B0815" w:rsidRDefault="003B0815" w14:paraId="0EAAEFE8" w14:textId="77777777">
            <w:pPr>
              <w:keepNext/>
              <w:jc w:val="center"/>
              <w:rPr>
                <w:rFonts w:ascii="Arial" w:hAnsi="Arial"/>
                <w:sz w:val="20"/>
                <w:szCs w:val="20"/>
              </w:rPr>
            </w:pPr>
            <w:r>
              <w:rPr>
                <w:rFonts w:ascii="Arial" w:hAnsi="Arial"/>
                <w:sz w:val="20"/>
                <w:szCs w:val="20"/>
              </w:rPr>
              <w:t>7</w:t>
            </w:r>
          </w:p>
        </w:tc>
        <w:tc>
          <w:tcPr>
            <w:tcW w:w="2651" w:type="dxa"/>
            <w:tcBorders>
              <w:right w:val="single" w:color="auto" w:sz="12" w:space="0"/>
            </w:tcBorders>
            <w:vAlign w:val="bottom"/>
          </w:tcPr>
          <w:p w:rsidR="003B0815" w:rsidRDefault="003B0815" w14:paraId="4EC24C8E" w14:textId="77777777">
            <w:pPr>
              <w:keepNext/>
              <w:jc w:val="center"/>
              <w:rPr>
                <w:rFonts w:ascii="Arial" w:hAnsi="Arial" w:cs="Arial"/>
                <w:sz w:val="20"/>
                <w:szCs w:val="20"/>
              </w:rPr>
            </w:pPr>
            <w:r>
              <w:rPr>
                <w:rFonts w:ascii="Arial" w:hAnsi="Arial" w:cs="Arial"/>
                <w:sz w:val="20"/>
                <w:szCs w:val="20"/>
              </w:rPr>
              <w:t>816.7</w:t>
            </w:r>
          </w:p>
        </w:tc>
      </w:tr>
      <w:tr w:rsidR="003B0815" w14:paraId="215B95F0" w14:textId="77777777">
        <w:trPr>
          <w:jc w:val="center"/>
        </w:trPr>
        <w:tc>
          <w:tcPr>
            <w:tcW w:w="1194" w:type="dxa"/>
            <w:tcBorders>
              <w:left w:val="single" w:color="auto" w:sz="12" w:space="0"/>
            </w:tcBorders>
            <w:vAlign w:val="bottom"/>
          </w:tcPr>
          <w:p w:rsidR="003B0815" w:rsidRDefault="003B0815" w14:paraId="04EA6693" w14:textId="77777777">
            <w:pPr>
              <w:keepNext/>
              <w:jc w:val="center"/>
              <w:rPr>
                <w:rFonts w:ascii="Arial" w:hAnsi="Arial"/>
                <w:sz w:val="20"/>
                <w:szCs w:val="20"/>
              </w:rPr>
            </w:pPr>
            <w:r>
              <w:rPr>
                <w:rFonts w:ascii="Arial" w:hAnsi="Arial"/>
                <w:sz w:val="20"/>
                <w:szCs w:val="20"/>
              </w:rPr>
              <w:t>8</w:t>
            </w:r>
          </w:p>
        </w:tc>
        <w:tc>
          <w:tcPr>
            <w:tcW w:w="2651" w:type="dxa"/>
            <w:tcBorders>
              <w:right w:val="single" w:color="auto" w:sz="12" w:space="0"/>
            </w:tcBorders>
            <w:vAlign w:val="bottom"/>
          </w:tcPr>
          <w:p w:rsidR="003B0815" w:rsidRDefault="003B0815" w14:paraId="2F6DC642" w14:textId="77777777">
            <w:pPr>
              <w:keepNext/>
              <w:jc w:val="center"/>
              <w:rPr>
                <w:rFonts w:ascii="Arial" w:hAnsi="Arial" w:cs="Arial"/>
                <w:sz w:val="20"/>
                <w:szCs w:val="20"/>
              </w:rPr>
            </w:pPr>
            <w:r>
              <w:rPr>
                <w:rFonts w:ascii="Arial" w:hAnsi="Arial" w:cs="Arial"/>
                <w:sz w:val="20"/>
                <w:szCs w:val="20"/>
              </w:rPr>
              <w:t>843.2</w:t>
            </w:r>
          </w:p>
        </w:tc>
      </w:tr>
      <w:tr w:rsidR="003B0815" w14:paraId="416A637A" w14:textId="77777777">
        <w:trPr>
          <w:jc w:val="center"/>
        </w:trPr>
        <w:tc>
          <w:tcPr>
            <w:tcW w:w="1194" w:type="dxa"/>
            <w:tcBorders>
              <w:left w:val="single" w:color="auto" w:sz="12" w:space="0"/>
            </w:tcBorders>
            <w:vAlign w:val="bottom"/>
          </w:tcPr>
          <w:p w:rsidR="003B0815" w:rsidRDefault="003B0815" w14:paraId="5193E85C" w14:textId="77777777">
            <w:pPr>
              <w:keepNext/>
              <w:jc w:val="center"/>
              <w:rPr>
                <w:rFonts w:ascii="Arial" w:hAnsi="Arial"/>
                <w:sz w:val="20"/>
                <w:szCs w:val="20"/>
              </w:rPr>
            </w:pPr>
            <w:r>
              <w:rPr>
                <w:rFonts w:ascii="Arial" w:hAnsi="Arial"/>
                <w:sz w:val="20"/>
                <w:szCs w:val="20"/>
              </w:rPr>
              <w:t>9</w:t>
            </w:r>
          </w:p>
        </w:tc>
        <w:tc>
          <w:tcPr>
            <w:tcW w:w="2651" w:type="dxa"/>
            <w:tcBorders>
              <w:right w:val="single" w:color="auto" w:sz="12" w:space="0"/>
            </w:tcBorders>
            <w:vAlign w:val="bottom"/>
          </w:tcPr>
          <w:p w:rsidR="003B0815" w:rsidRDefault="003B0815" w14:paraId="3245F8E6" w14:textId="77777777">
            <w:pPr>
              <w:keepNext/>
              <w:jc w:val="center"/>
              <w:rPr>
                <w:rFonts w:ascii="Arial" w:hAnsi="Arial" w:cs="Arial"/>
                <w:sz w:val="20"/>
                <w:szCs w:val="20"/>
              </w:rPr>
            </w:pPr>
            <w:r>
              <w:rPr>
                <w:rFonts w:ascii="Arial" w:hAnsi="Arial" w:cs="Arial"/>
                <w:sz w:val="20"/>
                <w:szCs w:val="20"/>
              </w:rPr>
              <w:t>871.0</w:t>
            </w:r>
          </w:p>
        </w:tc>
      </w:tr>
      <w:tr w:rsidR="003B0815" w14:paraId="554A728E" w14:textId="77777777">
        <w:trPr>
          <w:jc w:val="center"/>
        </w:trPr>
        <w:tc>
          <w:tcPr>
            <w:tcW w:w="1194" w:type="dxa"/>
            <w:tcBorders>
              <w:left w:val="single" w:color="auto" w:sz="12" w:space="0"/>
              <w:bottom w:val="single" w:color="auto" w:sz="12" w:space="0"/>
            </w:tcBorders>
            <w:vAlign w:val="bottom"/>
          </w:tcPr>
          <w:p w:rsidR="003B0815" w:rsidRDefault="003B0815" w14:paraId="29770395" w14:textId="77777777">
            <w:pPr>
              <w:keepNext/>
              <w:jc w:val="center"/>
              <w:rPr>
                <w:rFonts w:ascii="Arial" w:hAnsi="Arial"/>
                <w:sz w:val="20"/>
                <w:szCs w:val="20"/>
              </w:rPr>
            </w:pPr>
            <w:r>
              <w:rPr>
                <w:rFonts w:ascii="Arial" w:hAnsi="Arial"/>
                <w:sz w:val="20"/>
                <w:szCs w:val="20"/>
              </w:rPr>
              <w:t>10</w:t>
            </w:r>
          </w:p>
        </w:tc>
        <w:tc>
          <w:tcPr>
            <w:tcW w:w="2651" w:type="dxa"/>
            <w:tcBorders>
              <w:bottom w:val="single" w:color="auto" w:sz="12" w:space="0"/>
              <w:right w:val="single" w:color="auto" w:sz="12" w:space="0"/>
            </w:tcBorders>
            <w:vAlign w:val="bottom"/>
          </w:tcPr>
          <w:p w:rsidR="003B0815" w:rsidRDefault="003B0815" w14:paraId="55D130D0" w14:textId="77777777">
            <w:pPr>
              <w:keepNext/>
              <w:jc w:val="center"/>
              <w:rPr>
                <w:rFonts w:ascii="Arial" w:hAnsi="Arial" w:cs="Arial"/>
                <w:sz w:val="20"/>
                <w:szCs w:val="20"/>
              </w:rPr>
            </w:pPr>
            <w:r>
              <w:rPr>
                <w:rFonts w:ascii="Arial" w:hAnsi="Arial" w:cs="Arial"/>
                <w:sz w:val="20"/>
                <w:szCs w:val="20"/>
              </w:rPr>
              <w:t>900.2</w:t>
            </w:r>
          </w:p>
        </w:tc>
      </w:tr>
    </w:tbl>
    <w:p w:rsidR="003B0815" w:rsidRDefault="003B0815" w14:paraId="24198702" w14:textId="77777777">
      <w:pPr>
        <w:keepNext/>
        <w:ind w:left="1440" w:right="1440"/>
        <w:rPr>
          <w:rFonts w:ascii="Times" w:hAnsi="Times"/>
          <w:sz w:val="20"/>
          <w:szCs w:val="20"/>
        </w:rPr>
      </w:pPr>
      <w:r>
        <w:rPr>
          <w:rFonts w:ascii="Times" w:hAnsi="Times"/>
          <w:sz w:val="20"/>
          <w:szCs w:val="20"/>
        </w:rPr>
        <w:t>Source: FAA forecast (see note 2).  TSA substituted covered aircraft operators’ total FY2005 enplanements for FAA’s FY2005 estimate and applied FAA’s forecasted growth rate to this total.</w:t>
      </w:r>
    </w:p>
    <w:p w:rsidR="003B0815" w:rsidRDefault="003B0815" w14:paraId="025D0DE7" w14:textId="77777777">
      <w:pPr>
        <w:ind w:firstLine="720"/>
      </w:pPr>
    </w:p>
    <w:p w:rsidR="003B0815" w:rsidRDefault="003B0815" w14:paraId="46EB16E8" w14:textId="77777777">
      <w:pPr>
        <w:spacing w:line="360" w:lineRule="auto"/>
        <w:ind w:firstLine="720"/>
      </w:pPr>
      <w:r>
        <w:t>BTS divides domestic air carriers into six classifications: major, national, large regional, medium regional, small, and commuter.  Classification is determined initially by the type of operating certificate a carrier holds and then, in the case of large certificated carriers, by revenue.  It is important to note that these classifications are based on types of operating certificates and do not represent a scaling of operations.  For example, there are considerable similarities in the number of passengers enplaned by regional, commuter, and small certificated carriers.  Similarly, operating revenues of commuter airlines are frequently comparable to those of large and medium regionals.</w:t>
      </w:r>
      <w:r>
        <w:rPr>
          <w:rStyle w:val="FootnoteReference"/>
        </w:rPr>
        <w:footnoteReference w:id="8"/>
      </w:r>
      <w:r>
        <w:t xml:space="preserve">  </w:t>
      </w:r>
      <w:bookmarkStart w:name="OLE_LINK3" w:id="82"/>
      <w:bookmarkStart w:name="OLE_LINK7" w:id="83"/>
      <w:r>
        <w:t>Nevertheless, while not indicative of the scale of an airline’s operations, these classifications are useful in understanding the nature of an airline’s operations.</w:t>
      </w:r>
      <w:bookmarkEnd w:id="82"/>
      <w:bookmarkEnd w:id="83"/>
    </w:p>
    <w:p w:rsidR="003B0815" w:rsidRDefault="003B0815" w14:paraId="43DAA0C5" w14:textId="77777777">
      <w:pPr>
        <w:spacing w:line="360" w:lineRule="auto"/>
        <w:ind w:firstLine="720"/>
      </w:pPr>
      <w:r>
        <w:t>Majors, nationals, large and medium regionals all hold a large certificated air carrier certificate under 49 U.S.C. 41102, as amended.  These carriers operate aircraft designed to have a maximum passenger seating capacity of more than 60 seats or a maximum payload capacity of more than 18,000 pounds or conduct operations where one or both terminals of a flight stage are outside the 50 states of the United States, the District of Columbia, the Commonwealth of Puerto Rico and the U.S. Virgin Islands.</w:t>
      </w:r>
      <w:r>
        <w:rPr>
          <w:rStyle w:val="FootnoteReference"/>
        </w:rPr>
        <w:footnoteReference w:id="9"/>
      </w:r>
      <w:r>
        <w:t xml:space="preserve">  Large certificated carriers are required to submit certain operating information to the DOT, including operating revenues and other financial data.  BTS uses the operating revenue ranges in Table 1.4.1.b below to divide large certificated carriers into the four carrier groups.  The classifications in this analysis were current as of June 15, 2006.</w:t>
      </w:r>
      <w:bookmarkStart w:name="_Toc107984966" w:id="84"/>
      <w:bookmarkStart w:name="_Toc111627357" w:id="85"/>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6"/>
        <w:gridCol w:w="3199"/>
      </w:tblGrid>
      <w:tr w:rsidR="003B0815" w14:paraId="505D21BB" w14:textId="77777777">
        <w:trPr>
          <w:jc w:val="center"/>
        </w:trPr>
        <w:tc>
          <w:tcPr>
            <w:tcW w:w="0" w:type="auto"/>
            <w:gridSpan w:val="2"/>
            <w:tcBorders>
              <w:top w:val="nil"/>
              <w:left w:val="nil"/>
              <w:bottom w:val="single" w:color="auto" w:sz="12" w:space="0"/>
              <w:right w:val="nil"/>
            </w:tcBorders>
          </w:tcPr>
          <w:p w:rsidR="003B0815" w:rsidRDefault="003B0815" w14:paraId="355671EB" w14:textId="77777777">
            <w:pPr>
              <w:pStyle w:val="RegEvalTableHeader"/>
              <w:keepNext/>
              <w:rPr>
                <w:lang w:val="fr-FR"/>
              </w:rPr>
            </w:pPr>
            <w:bookmarkStart w:name="_Toc114566408" w:id="86"/>
            <w:bookmarkStart w:name="_Toc139943602" w:id="87"/>
            <w:bookmarkStart w:name="_Toc141001112" w:id="88"/>
            <w:bookmarkStart w:name="_Toc141000943" w:id="89"/>
            <w:bookmarkStart w:name="_Toc165278365" w:id="90"/>
            <w:bookmarkStart w:name="_Toc174438360" w:id="91"/>
            <w:bookmarkStart w:name="_Toc207109499" w:id="92"/>
            <w:r>
              <w:rPr>
                <w:lang w:val="fr-FR"/>
              </w:rPr>
              <w:t>Table 1.4.1.b Large Carrier Revenue Classifications</w:t>
            </w:r>
            <w:bookmarkEnd w:id="84"/>
            <w:bookmarkEnd w:id="85"/>
            <w:bookmarkEnd w:id="86"/>
            <w:bookmarkEnd w:id="87"/>
            <w:bookmarkEnd w:id="88"/>
            <w:bookmarkEnd w:id="89"/>
            <w:bookmarkEnd w:id="90"/>
            <w:bookmarkEnd w:id="91"/>
            <w:bookmarkEnd w:id="92"/>
          </w:p>
        </w:tc>
      </w:tr>
      <w:tr w:rsidR="003B0815" w14:paraId="311DBC30" w14:textId="77777777">
        <w:trPr>
          <w:jc w:val="center"/>
        </w:trPr>
        <w:tc>
          <w:tcPr>
            <w:tcW w:w="0" w:type="auto"/>
            <w:tcBorders>
              <w:top w:val="single" w:color="auto" w:sz="12" w:space="0"/>
              <w:left w:val="single" w:color="auto" w:sz="12" w:space="0"/>
              <w:bottom w:val="single" w:color="auto" w:sz="8" w:space="0"/>
              <w:right w:val="single" w:color="auto" w:sz="8" w:space="0"/>
            </w:tcBorders>
          </w:tcPr>
          <w:p w:rsidR="003B0815" w:rsidRDefault="003B0815" w14:paraId="1FE3E937" w14:textId="77777777">
            <w:pPr>
              <w:keepNext/>
              <w:rPr>
                <w:rFonts w:ascii="Arial" w:hAnsi="Arial"/>
                <w:b/>
                <w:sz w:val="20"/>
                <w:szCs w:val="20"/>
              </w:rPr>
            </w:pPr>
            <w:r>
              <w:rPr>
                <w:rFonts w:ascii="Arial" w:hAnsi="Arial"/>
                <w:b/>
                <w:sz w:val="20"/>
                <w:szCs w:val="20"/>
              </w:rPr>
              <w:t>Carrier Group</w:t>
            </w:r>
          </w:p>
        </w:tc>
        <w:tc>
          <w:tcPr>
            <w:tcW w:w="0" w:type="auto"/>
            <w:tcBorders>
              <w:top w:val="single" w:color="auto" w:sz="12" w:space="0"/>
              <w:left w:val="single" w:color="auto" w:sz="8" w:space="0"/>
              <w:bottom w:val="single" w:color="auto" w:sz="8" w:space="0"/>
              <w:right w:val="single" w:color="auto" w:sz="12" w:space="0"/>
            </w:tcBorders>
          </w:tcPr>
          <w:p w:rsidR="003B0815" w:rsidRDefault="003B0815" w14:paraId="05769423" w14:textId="77777777">
            <w:pPr>
              <w:keepNext/>
              <w:rPr>
                <w:rFonts w:ascii="Arial" w:hAnsi="Arial"/>
                <w:b/>
                <w:sz w:val="20"/>
                <w:szCs w:val="20"/>
              </w:rPr>
            </w:pPr>
            <w:r>
              <w:rPr>
                <w:rFonts w:ascii="Arial" w:hAnsi="Arial"/>
                <w:b/>
                <w:sz w:val="20"/>
                <w:szCs w:val="20"/>
              </w:rPr>
              <w:t>Annual Operating Revenue</w:t>
            </w:r>
          </w:p>
        </w:tc>
      </w:tr>
      <w:tr w:rsidR="003B0815" w14:paraId="005422C8" w14:textId="77777777">
        <w:trPr>
          <w:jc w:val="center"/>
        </w:trPr>
        <w:tc>
          <w:tcPr>
            <w:tcW w:w="0" w:type="auto"/>
            <w:tcBorders>
              <w:top w:val="single" w:color="auto" w:sz="8" w:space="0"/>
              <w:left w:val="single" w:color="auto" w:sz="12" w:space="0"/>
              <w:bottom w:val="single" w:color="auto" w:sz="8" w:space="0"/>
              <w:right w:val="single" w:color="auto" w:sz="8" w:space="0"/>
            </w:tcBorders>
          </w:tcPr>
          <w:p w:rsidR="003B0815" w:rsidRDefault="003B0815" w14:paraId="5CC93D20" w14:textId="77777777">
            <w:pPr>
              <w:keepNext/>
              <w:rPr>
                <w:rFonts w:ascii="Arial" w:hAnsi="Arial"/>
                <w:sz w:val="20"/>
                <w:szCs w:val="20"/>
              </w:rPr>
            </w:pPr>
            <w:r>
              <w:rPr>
                <w:rFonts w:ascii="Arial" w:hAnsi="Arial"/>
                <w:sz w:val="20"/>
                <w:szCs w:val="20"/>
              </w:rPr>
              <w:t>Major</w:t>
            </w:r>
          </w:p>
        </w:tc>
        <w:tc>
          <w:tcPr>
            <w:tcW w:w="0" w:type="auto"/>
            <w:tcBorders>
              <w:top w:val="single" w:color="auto" w:sz="8" w:space="0"/>
              <w:left w:val="single" w:color="auto" w:sz="8" w:space="0"/>
              <w:bottom w:val="single" w:color="auto" w:sz="8" w:space="0"/>
              <w:right w:val="single" w:color="auto" w:sz="12" w:space="0"/>
            </w:tcBorders>
          </w:tcPr>
          <w:p w:rsidR="003B0815" w:rsidRDefault="003B0815" w14:paraId="2F3ADD9A" w14:textId="77777777">
            <w:pPr>
              <w:keepNext/>
              <w:rPr>
                <w:rFonts w:ascii="Arial" w:hAnsi="Arial"/>
                <w:sz w:val="20"/>
                <w:szCs w:val="20"/>
              </w:rPr>
            </w:pPr>
            <w:r>
              <w:rPr>
                <w:rFonts w:ascii="Arial" w:hAnsi="Arial"/>
                <w:sz w:val="20"/>
                <w:szCs w:val="20"/>
              </w:rPr>
              <w:t>More than $1,000,000,000</w:t>
            </w:r>
          </w:p>
        </w:tc>
      </w:tr>
      <w:tr w:rsidR="003B0815" w14:paraId="45B2BDC6" w14:textId="77777777">
        <w:trPr>
          <w:jc w:val="center"/>
        </w:trPr>
        <w:tc>
          <w:tcPr>
            <w:tcW w:w="0" w:type="auto"/>
            <w:tcBorders>
              <w:top w:val="single" w:color="auto" w:sz="8" w:space="0"/>
              <w:left w:val="single" w:color="auto" w:sz="12" w:space="0"/>
              <w:bottom w:val="single" w:color="auto" w:sz="8" w:space="0"/>
              <w:right w:val="single" w:color="auto" w:sz="8" w:space="0"/>
            </w:tcBorders>
          </w:tcPr>
          <w:p w:rsidR="003B0815" w:rsidRDefault="003B0815" w14:paraId="36C71139" w14:textId="77777777">
            <w:pPr>
              <w:keepNext/>
              <w:rPr>
                <w:rFonts w:ascii="Arial" w:hAnsi="Arial"/>
                <w:sz w:val="20"/>
                <w:szCs w:val="20"/>
              </w:rPr>
            </w:pPr>
            <w:r>
              <w:rPr>
                <w:rFonts w:ascii="Arial" w:hAnsi="Arial"/>
                <w:sz w:val="20"/>
                <w:szCs w:val="20"/>
              </w:rPr>
              <w:t>National</w:t>
            </w:r>
          </w:p>
        </w:tc>
        <w:tc>
          <w:tcPr>
            <w:tcW w:w="0" w:type="auto"/>
            <w:tcBorders>
              <w:top w:val="single" w:color="auto" w:sz="8" w:space="0"/>
              <w:left w:val="single" w:color="auto" w:sz="8" w:space="0"/>
              <w:bottom w:val="single" w:color="auto" w:sz="8" w:space="0"/>
              <w:right w:val="single" w:color="auto" w:sz="12" w:space="0"/>
            </w:tcBorders>
          </w:tcPr>
          <w:p w:rsidR="003B0815" w:rsidRDefault="003B0815" w14:paraId="0DEC84E3" w14:textId="77777777">
            <w:pPr>
              <w:keepNext/>
              <w:rPr>
                <w:rFonts w:ascii="Arial" w:hAnsi="Arial"/>
                <w:sz w:val="20"/>
                <w:szCs w:val="20"/>
              </w:rPr>
            </w:pPr>
            <w:r>
              <w:rPr>
                <w:rFonts w:ascii="Arial" w:hAnsi="Arial"/>
                <w:sz w:val="20"/>
                <w:szCs w:val="20"/>
              </w:rPr>
              <w:t>$100,000,001 - $1,000,000,000</w:t>
            </w:r>
          </w:p>
        </w:tc>
      </w:tr>
      <w:tr w:rsidR="003B0815" w14:paraId="5D946FA4" w14:textId="77777777">
        <w:trPr>
          <w:jc w:val="center"/>
        </w:trPr>
        <w:tc>
          <w:tcPr>
            <w:tcW w:w="0" w:type="auto"/>
            <w:tcBorders>
              <w:top w:val="single" w:color="auto" w:sz="8" w:space="0"/>
              <w:left w:val="single" w:color="auto" w:sz="12" w:space="0"/>
              <w:bottom w:val="single" w:color="auto" w:sz="8" w:space="0"/>
              <w:right w:val="single" w:color="auto" w:sz="8" w:space="0"/>
            </w:tcBorders>
          </w:tcPr>
          <w:p w:rsidR="003B0815" w:rsidRDefault="003B0815" w14:paraId="75272F71" w14:textId="77777777">
            <w:pPr>
              <w:keepNext/>
              <w:rPr>
                <w:rFonts w:ascii="Arial" w:hAnsi="Arial"/>
                <w:sz w:val="20"/>
                <w:szCs w:val="20"/>
              </w:rPr>
            </w:pPr>
            <w:r>
              <w:rPr>
                <w:rFonts w:ascii="Arial" w:hAnsi="Arial"/>
                <w:sz w:val="20"/>
                <w:szCs w:val="20"/>
              </w:rPr>
              <w:t>Large Regional</w:t>
            </w:r>
          </w:p>
        </w:tc>
        <w:tc>
          <w:tcPr>
            <w:tcW w:w="0" w:type="auto"/>
            <w:tcBorders>
              <w:top w:val="single" w:color="auto" w:sz="8" w:space="0"/>
              <w:left w:val="single" w:color="auto" w:sz="8" w:space="0"/>
              <w:bottom w:val="single" w:color="auto" w:sz="8" w:space="0"/>
              <w:right w:val="single" w:color="auto" w:sz="12" w:space="0"/>
            </w:tcBorders>
          </w:tcPr>
          <w:p w:rsidR="003B0815" w:rsidRDefault="003B0815" w14:paraId="7B53EC12" w14:textId="77777777">
            <w:pPr>
              <w:keepNext/>
              <w:rPr>
                <w:rFonts w:ascii="Arial" w:hAnsi="Arial"/>
                <w:sz w:val="20"/>
                <w:szCs w:val="20"/>
              </w:rPr>
            </w:pPr>
            <w:r>
              <w:rPr>
                <w:rFonts w:ascii="Arial" w:hAnsi="Arial"/>
                <w:sz w:val="20"/>
                <w:szCs w:val="20"/>
              </w:rPr>
              <w:t>$20,000,001 - $100,000,000</w:t>
            </w:r>
          </w:p>
        </w:tc>
      </w:tr>
      <w:tr w:rsidR="003B0815" w14:paraId="650C01A2" w14:textId="77777777">
        <w:trPr>
          <w:jc w:val="center"/>
        </w:trPr>
        <w:tc>
          <w:tcPr>
            <w:tcW w:w="0" w:type="auto"/>
            <w:tcBorders>
              <w:top w:val="single" w:color="auto" w:sz="8" w:space="0"/>
              <w:left w:val="single" w:color="auto" w:sz="12" w:space="0"/>
              <w:bottom w:val="single" w:color="auto" w:sz="12" w:space="0"/>
              <w:right w:val="single" w:color="auto" w:sz="8" w:space="0"/>
            </w:tcBorders>
          </w:tcPr>
          <w:p w:rsidR="003B0815" w:rsidRDefault="003B0815" w14:paraId="228BBF38" w14:textId="77777777">
            <w:pPr>
              <w:keepNext/>
              <w:rPr>
                <w:rFonts w:ascii="Arial" w:hAnsi="Arial"/>
                <w:sz w:val="20"/>
                <w:szCs w:val="20"/>
              </w:rPr>
            </w:pPr>
            <w:r>
              <w:rPr>
                <w:rFonts w:ascii="Arial" w:hAnsi="Arial"/>
                <w:sz w:val="20"/>
                <w:szCs w:val="20"/>
              </w:rPr>
              <w:t>Medium Regional</w:t>
            </w:r>
          </w:p>
        </w:tc>
        <w:tc>
          <w:tcPr>
            <w:tcW w:w="0" w:type="auto"/>
            <w:tcBorders>
              <w:top w:val="single" w:color="auto" w:sz="8" w:space="0"/>
              <w:left w:val="single" w:color="auto" w:sz="8" w:space="0"/>
              <w:bottom w:val="single" w:color="auto" w:sz="12" w:space="0"/>
              <w:right w:val="single" w:color="auto" w:sz="12" w:space="0"/>
            </w:tcBorders>
          </w:tcPr>
          <w:p w:rsidR="003B0815" w:rsidRDefault="003B0815" w14:paraId="66339C9C" w14:textId="77777777">
            <w:pPr>
              <w:keepNext/>
              <w:rPr>
                <w:rFonts w:ascii="Arial" w:hAnsi="Arial"/>
                <w:sz w:val="20"/>
                <w:szCs w:val="20"/>
              </w:rPr>
            </w:pPr>
            <w:r>
              <w:rPr>
                <w:rFonts w:ascii="Arial" w:hAnsi="Arial"/>
                <w:sz w:val="20"/>
                <w:szCs w:val="20"/>
              </w:rPr>
              <w:t>Less than $20,000,000</w:t>
            </w:r>
          </w:p>
        </w:tc>
      </w:tr>
    </w:tbl>
    <w:p w:rsidR="003B0815" w:rsidRDefault="003B0815" w14:paraId="18A79273" w14:textId="77777777">
      <w:pPr>
        <w:keepNext/>
        <w:spacing w:line="480" w:lineRule="auto"/>
        <w:ind w:left="1440"/>
      </w:pPr>
      <w:r>
        <w:rPr>
          <w:sz w:val="20"/>
          <w:szCs w:val="20"/>
        </w:rPr>
        <w:t>Source: BTS</w:t>
      </w:r>
      <w:r>
        <w:rPr>
          <w:rStyle w:val="FootnoteReference"/>
        </w:rPr>
        <w:footnoteReference w:id="10"/>
      </w:r>
    </w:p>
    <w:p w:rsidR="003B0815" w:rsidRDefault="003B0815" w14:paraId="6FA9FD26" w14:textId="77777777">
      <w:pPr>
        <w:spacing w:line="360" w:lineRule="auto"/>
        <w:ind w:firstLine="720"/>
      </w:pPr>
      <w:r>
        <w:t>Small certificated carriers hold a certificate issued under section 401 of the Federal Aviation Act of 1958, as amended, and operate aircraft designed to have a maximum seating capacity of 60 seats or fewer or a maximum payload of 18,000 pounds or less.  Commuter carriers are defined as carrying passengers for hire or compensation using small aircraft (30 seats or smaller) under Federal Aviation Regulations (FAR) Part 135 and performing at least 5 scheduled roundtrips per week.</w:t>
      </w:r>
      <w:r>
        <w:rPr>
          <w:rStyle w:val="FootnoteReference"/>
        </w:rPr>
        <w:footnoteReference w:id="11"/>
      </w:r>
    </w:p>
    <w:p w:rsidR="003B0815" w:rsidRDefault="003B0815" w14:paraId="67617D8F" w14:textId="77777777">
      <w:pPr>
        <w:spacing w:line="360" w:lineRule="auto"/>
        <w:ind w:firstLine="720"/>
      </w:pPr>
      <w:r>
        <w:t>Table 1.4.1.c shows the number of aircraft operators subject to the requirements of the Secure Flight interim final rule for each BTS grouping:</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5"/>
        <w:gridCol w:w="965"/>
      </w:tblGrid>
      <w:tr w:rsidR="003B0815" w14:paraId="7752EC27" w14:textId="77777777">
        <w:trPr>
          <w:jc w:val="center"/>
        </w:trPr>
        <w:tc>
          <w:tcPr>
            <w:tcW w:w="4240" w:type="dxa"/>
            <w:gridSpan w:val="2"/>
            <w:tcBorders>
              <w:top w:val="nil"/>
              <w:left w:val="nil"/>
              <w:bottom w:val="single" w:color="auto" w:sz="12" w:space="0"/>
              <w:right w:val="nil"/>
            </w:tcBorders>
          </w:tcPr>
          <w:p w:rsidR="003B0815" w:rsidRDefault="003B0815" w14:paraId="221AC060" w14:textId="77777777">
            <w:pPr>
              <w:pStyle w:val="RegEvalTableHeader"/>
              <w:keepNext/>
            </w:pPr>
            <w:bookmarkStart w:name="_Toc111627358" w:id="93"/>
            <w:bookmarkStart w:name="_Toc114566409" w:id="94"/>
            <w:bookmarkStart w:name="_Toc139943603" w:id="95"/>
            <w:bookmarkStart w:name="_Toc141001113" w:id="96"/>
            <w:bookmarkStart w:name="_Toc141000944" w:id="97"/>
            <w:bookmarkStart w:name="_Toc165278366" w:id="98"/>
            <w:bookmarkStart w:name="_Toc174438361" w:id="99"/>
            <w:bookmarkStart w:name="_Toc207109500" w:id="100"/>
            <w:r>
              <w:t>Table 1.4.1.c  Count of Secure Flight Domestic Aircraft Operators by BTS Class</w:t>
            </w:r>
            <w:bookmarkEnd w:id="93"/>
            <w:bookmarkEnd w:id="94"/>
            <w:bookmarkEnd w:id="95"/>
            <w:bookmarkEnd w:id="96"/>
            <w:bookmarkEnd w:id="97"/>
            <w:bookmarkEnd w:id="98"/>
            <w:bookmarkEnd w:id="99"/>
            <w:bookmarkEnd w:id="100"/>
          </w:p>
        </w:tc>
      </w:tr>
      <w:tr w:rsidR="003B0815" w14:paraId="0631C63D" w14:textId="77777777">
        <w:trPr>
          <w:jc w:val="center"/>
        </w:trPr>
        <w:tc>
          <w:tcPr>
            <w:tcW w:w="3275" w:type="dxa"/>
            <w:tcBorders>
              <w:top w:val="single" w:color="auto" w:sz="12" w:space="0"/>
              <w:left w:val="single" w:color="auto" w:sz="12" w:space="0"/>
              <w:bottom w:val="single" w:color="auto" w:sz="8" w:space="0"/>
              <w:right w:val="single" w:color="auto" w:sz="8" w:space="0"/>
            </w:tcBorders>
          </w:tcPr>
          <w:p w:rsidR="003B0815" w:rsidRDefault="003B0815" w14:paraId="433A86BC" w14:textId="77777777">
            <w:pPr>
              <w:keepNext/>
              <w:rPr>
                <w:rFonts w:ascii="Arial" w:hAnsi="Arial"/>
                <w:b/>
                <w:sz w:val="20"/>
                <w:szCs w:val="20"/>
              </w:rPr>
            </w:pPr>
            <w:r>
              <w:rPr>
                <w:rFonts w:ascii="Arial" w:hAnsi="Arial"/>
                <w:b/>
                <w:sz w:val="20"/>
                <w:szCs w:val="20"/>
              </w:rPr>
              <w:t>Carrier Group</w:t>
            </w:r>
          </w:p>
        </w:tc>
        <w:tc>
          <w:tcPr>
            <w:tcW w:w="965" w:type="dxa"/>
            <w:tcBorders>
              <w:top w:val="single" w:color="auto" w:sz="12" w:space="0"/>
              <w:left w:val="single" w:color="auto" w:sz="8" w:space="0"/>
              <w:bottom w:val="single" w:color="auto" w:sz="8" w:space="0"/>
              <w:right w:val="single" w:color="auto" w:sz="12" w:space="0"/>
            </w:tcBorders>
          </w:tcPr>
          <w:p w:rsidR="003B0815" w:rsidRDefault="003B0815" w14:paraId="374FA9CC" w14:textId="77777777">
            <w:pPr>
              <w:keepNext/>
              <w:rPr>
                <w:rFonts w:ascii="Arial" w:hAnsi="Arial"/>
                <w:b/>
                <w:sz w:val="20"/>
                <w:szCs w:val="20"/>
              </w:rPr>
            </w:pPr>
            <w:r>
              <w:rPr>
                <w:rFonts w:ascii="Arial" w:hAnsi="Arial"/>
                <w:b/>
                <w:sz w:val="20"/>
                <w:szCs w:val="20"/>
              </w:rPr>
              <w:t>Count</w:t>
            </w:r>
          </w:p>
        </w:tc>
      </w:tr>
      <w:tr w:rsidR="003B0815" w14:paraId="250C5B5A" w14:textId="77777777">
        <w:trPr>
          <w:jc w:val="center"/>
        </w:trPr>
        <w:tc>
          <w:tcPr>
            <w:tcW w:w="3275" w:type="dxa"/>
            <w:tcBorders>
              <w:top w:val="single" w:color="auto" w:sz="8" w:space="0"/>
              <w:left w:val="single" w:color="auto" w:sz="12" w:space="0"/>
              <w:bottom w:val="single" w:color="auto" w:sz="8" w:space="0"/>
              <w:right w:val="single" w:color="auto" w:sz="8" w:space="0"/>
            </w:tcBorders>
          </w:tcPr>
          <w:p w:rsidR="003B0815" w:rsidRDefault="003B0815" w14:paraId="3E8EBE71" w14:textId="77777777">
            <w:pPr>
              <w:keepNext/>
              <w:rPr>
                <w:rFonts w:ascii="Arial" w:hAnsi="Arial"/>
                <w:sz w:val="20"/>
                <w:szCs w:val="20"/>
              </w:rPr>
            </w:pPr>
            <w:r>
              <w:rPr>
                <w:rFonts w:ascii="Arial" w:hAnsi="Arial"/>
                <w:sz w:val="20"/>
                <w:szCs w:val="20"/>
              </w:rPr>
              <w:t>Major</w:t>
            </w:r>
          </w:p>
        </w:tc>
        <w:tc>
          <w:tcPr>
            <w:tcW w:w="965" w:type="dxa"/>
            <w:tcBorders>
              <w:top w:val="single" w:color="auto" w:sz="8" w:space="0"/>
              <w:left w:val="single" w:color="auto" w:sz="8" w:space="0"/>
              <w:bottom w:val="single" w:color="auto" w:sz="8" w:space="0"/>
              <w:right w:val="single" w:color="auto" w:sz="12" w:space="0"/>
            </w:tcBorders>
          </w:tcPr>
          <w:p w:rsidR="003B0815" w:rsidRDefault="003B0815" w14:paraId="052CDC4E" w14:textId="77777777">
            <w:pPr>
              <w:keepNext/>
              <w:rPr>
                <w:rFonts w:ascii="Arial" w:hAnsi="Arial"/>
                <w:sz w:val="20"/>
                <w:szCs w:val="20"/>
              </w:rPr>
            </w:pPr>
            <w:r>
              <w:rPr>
                <w:rFonts w:ascii="Arial" w:hAnsi="Arial"/>
                <w:sz w:val="20"/>
                <w:szCs w:val="20"/>
              </w:rPr>
              <w:t>17</w:t>
            </w:r>
          </w:p>
        </w:tc>
      </w:tr>
      <w:tr w:rsidR="003B0815" w14:paraId="321D89E4" w14:textId="77777777">
        <w:trPr>
          <w:jc w:val="center"/>
        </w:trPr>
        <w:tc>
          <w:tcPr>
            <w:tcW w:w="3275" w:type="dxa"/>
            <w:tcBorders>
              <w:top w:val="single" w:color="auto" w:sz="8" w:space="0"/>
              <w:left w:val="single" w:color="auto" w:sz="12" w:space="0"/>
              <w:bottom w:val="single" w:color="auto" w:sz="8" w:space="0"/>
              <w:right w:val="single" w:color="auto" w:sz="8" w:space="0"/>
            </w:tcBorders>
          </w:tcPr>
          <w:p w:rsidR="003B0815" w:rsidRDefault="003B0815" w14:paraId="66195C51" w14:textId="77777777">
            <w:pPr>
              <w:keepNext/>
              <w:rPr>
                <w:rFonts w:ascii="Arial" w:hAnsi="Arial"/>
                <w:sz w:val="20"/>
                <w:szCs w:val="20"/>
              </w:rPr>
            </w:pPr>
            <w:r>
              <w:rPr>
                <w:rFonts w:ascii="Arial" w:hAnsi="Arial"/>
                <w:sz w:val="20"/>
                <w:szCs w:val="20"/>
              </w:rPr>
              <w:t>National</w:t>
            </w:r>
          </w:p>
        </w:tc>
        <w:tc>
          <w:tcPr>
            <w:tcW w:w="965" w:type="dxa"/>
            <w:tcBorders>
              <w:top w:val="single" w:color="auto" w:sz="8" w:space="0"/>
              <w:left w:val="single" w:color="auto" w:sz="8" w:space="0"/>
              <w:bottom w:val="single" w:color="auto" w:sz="8" w:space="0"/>
              <w:right w:val="single" w:color="auto" w:sz="12" w:space="0"/>
            </w:tcBorders>
          </w:tcPr>
          <w:p w:rsidR="003B0815" w:rsidRDefault="003B0815" w14:paraId="75F77A58" w14:textId="77777777">
            <w:pPr>
              <w:keepNext/>
              <w:rPr>
                <w:rFonts w:ascii="Arial" w:hAnsi="Arial"/>
                <w:sz w:val="20"/>
                <w:szCs w:val="20"/>
              </w:rPr>
            </w:pPr>
            <w:r>
              <w:rPr>
                <w:rFonts w:ascii="Arial" w:hAnsi="Arial"/>
                <w:sz w:val="20"/>
                <w:szCs w:val="20"/>
              </w:rPr>
              <w:t>23</w:t>
            </w:r>
          </w:p>
        </w:tc>
      </w:tr>
      <w:tr w:rsidR="003B0815" w14:paraId="68F83F20" w14:textId="77777777">
        <w:trPr>
          <w:jc w:val="center"/>
        </w:trPr>
        <w:tc>
          <w:tcPr>
            <w:tcW w:w="3275" w:type="dxa"/>
            <w:tcBorders>
              <w:top w:val="single" w:color="auto" w:sz="8" w:space="0"/>
              <w:left w:val="single" w:color="auto" w:sz="12" w:space="0"/>
              <w:bottom w:val="single" w:color="auto" w:sz="8" w:space="0"/>
              <w:right w:val="single" w:color="auto" w:sz="8" w:space="0"/>
            </w:tcBorders>
          </w:tcPr>
          <w:p w:rsidR="003B0815" w:rsidRDefault="003B0815" w14:paraId="323FB67D" w14:textId="77777777">
            <w:pPr>
              <w:keepNext/>
              <w:rPr>
                <w:rFonts w:ascii="Arial" w:hAnsi="Arial"/>
                <w:sz w:val="20"/>
                <w:szCs w:val="20"/>
              </w:rPr>
            </w:pPr>
            <w:r>
              <w:rPr>
                <w:rFonts w:ascii="Arial" w:hAnsi="Arial"/>
                <w:sz w:val="20"/>
                <w:szCs w:val="20"/>
              </w:rPr>
              <w:t>Large Regional</w:t>
            </w:r>
          </w:p>
        </w:tc>
        <w:tc>
          <w:tcPr>
            <w:tcW w:w="965" w:type="dxa"/>
            <w:tcBorders>
              <w:top w:val="single" w:color="auto" w:sz="8" w:space="0"/>
              <w:left w:val="single" w:color="auto" w:sz="8" w:space="0"/>
              <w:bottom w:val="single" w:color="auto" w:sz="8" w:space="0"/>
              <w:right w:val="single" w:color="auto" w:sz="12" w:space="0"/>
            </w:tcBorders>
          </w:tcPr>
          <w:p w:rsidR="003B0815" w:rsidRDefault="003B0815" w14:paraId="514897E6" w14:textId="77777777">
            <w:pPr>
              <w:keepNext/>
              <w:rPr>
                <w:rFonts w:ascii="Arial" w:hAnsi="Arial"/>
                <w:sz w:val="20"/>
                <w:szCs w:val="20"/>
              </w:rPr>
            </w:pPr>
            <w:r>
              <w:rPr>
                <w:rFonts w:ascii="Arial" w:hAnsi="Arial"/>
                <w:sz w:val="20"/>
                <w:szCs w:val="20"/>
              </w:rPr>
              <w:t>7</w:t>
            </w:r>
          </w:p>
        </w:tc>
      </w:tr>
      <w:tr w:rsidR="003B0815" w14:paraId="517A5443" w14:textId="77777777">
        <w:trPr>
          <w:jc w:val="center"/>
        </w:trPr>
        <w:tc>
          <w:tcPr>
            <w:tcW w:w="3275" w:type="dxa"/>
            <w:tcBorders>
              <w:top w:val="single" w:color="auto" w:sz="8" w:space="0"/>
              <w:left w:val="single" w:color="auto" w:sz="12" w:space="0"/>
              <w:bottom w:val="single" w:color="auto" w:sz="8" w:space="0"/>
              <w:right w:val="single" w:color="auto" w:sz="8" w:space="0"/>
            </w:tcBorders>
          </w:tcPr>
          <w:p w:rsidR="003B0815" w:rsidRDefault="003B0815" w14:paraId="169A9009" w14:textId="77777777">
            <w:pPr>
              <w:keepNext/>
              <w:rPr>
                <w:rFonts w:ascii="Arial" w:hAnsi="Arial"/>
                <w:sz w:val="20"/>
                <w:szCs w:val="20"/>
              </w:rPr>
            </w:pPr>
            <w:r>
              <w:rPr>
                <w:rFonts w:ascii="Arial" w:hAnsi="Arial"/>
                <w:sz w:val="20"/>
                <w:szCs w:val="20"/>
              </w:rPr>
              <w:t>Medium Regional</w:t>
            </w:r>
          </w:p>
        </w:tc>
        <w:tc>
          <w:tcPr>
            <w:tcW w:w="965" w:type="dxa"/>
            <w:tcBorders>
              <w:top w:val="single" w:color="auto" w:sz="8" w:space="0"/>
              <w:left w:val="single" w:color="auto" w:sz="8" w:space="0"/>
              <w:bottom w:val="single" w:color="auto" w:sz="8" w:space="0"/>
              <w:right w:val="single" w:color="auto" w:sz="12" w:space="0"/>
            </w:tcBorders>
          </w:tcPr>
          <w:p w:rsidR="003B0815" w:rsidRDefault="003B0815" w14:paraId="429461D7" w14:textId="77777777">
            <w:pPr>
              <w:keepNext/>
              <w:rPr>
                <w:rFonts w:ascii="Arial" w:hAnsi="Arial"/>
                <w:sz w:val="20"/>
                <w:szCs w:val="20"/>
              </w:rPr>
            </w:pPr>
            <w:r>
              <w:rPr>
                <w:rFonts w:ascii="Arial" w:hAnsi="Arial"/>
                <w:sz w:val="20"/>
                <w:szCs w:val="20"/>
              </w:rPr>
              <w:t>2</w:t>
            </w:r>
          </w:p>
        </w:tc>
      </w:tr>
      <w:tr w:rsidR="003B0815" w14:paraId="4EDE14B9" w14:textId="77777777">
        <w:trPr>
          <w:jc w:val="center"/>
        </w:trPr>
        <w:tc>
          <w:tcPr>
            <w:tcW w:w="3275" w:type="dxa"/>
            <w:tcBorders>
              <w:top w:val="single" w:color="auto" w:sz="8" w:space="0"/>
              <w:left w:val="single" w:color="auto" w:sz="12" w:space="0"/>
              <w:bottom w:val="single" w:color="auto" w:sz="8" w:space="0"/>
              <w:right w:val="single" w:color="auto" w:sz="8" w:space="0"/>
            </w:tcBorders>
          </w:tcPr>
          <w:p w:rsidR="003B0815" w:rsidRDefault="003B0815" w14:paraId="5CFF8267" w14:textId="77777777">
            <w:pPr>
              <w:keepNext/>
              <w:rPr>
                <w:rFonts w:ascii="Arial" w:hAnsi="Arial"/>
                <w:sz w:val="20"/>
                <w:szCs w:val="20"/>
              </w:rPr>
            </w:pPr>
            <w:r>
              <w:rPr>
                <w:rFonts w:ascii="Arial" w:hAnsi="Arial"/>
                <w:sz w:val="20"/>
                <w:szCs w:val="20"/>
              </w:rPr>
              <w:t>Small Certificated</w:t>
            </w:r>
          </w:p>
        </w:tc>
        <w:tc>
          <w:tcPr>
            <w:tcW w:w="965" w:type="dxa"/>
            <w:tcBorders>
              <w:top w:val="single" w:color="auto" w:sz="8" w:space="0"/>
              <w:left w:val="single" w:color="auto" w:sz="8" w:space="0"/>
              <w:bottom w:val="single" w:color="auto" w:sz="8" w:space="0"/>
              <w:right w:val="single" w:color="auto" w:sz="12" w:space="0"/>
            </w:tcBorders>
          </w:tcPr>
          <w:p w:rsidR="003B0815" w:rsidRDefault="003B0815" w14:paraId="513A911E" w14:textId="77777777">
            <w:pPr>
              <w:keepNext/>
              <w:rPr>
                <w:rFonts w:ascii="Arial" w:hAnsi="Arial"/>
                <w:sz w:val="20"/>
                <w:szCs w:val="20"/>
              </w:rPr>
            </w:pPr>
            <w:r>
              <w:rPr>
                <w:rFonts w:ascii="Arial" w:hAnsi="Arial"/>
                <w:sz w:val="20"/>
                <w:szCs w:val="20"/>
              </w:rPr>
              <w:t>3</w:t>
            </w:r>
          </w:p>
        </w:tc>
      </w:tr>
      <w:tr w:rsidR="003B0815" w14:paraId="7F64A8D7" w14:textId="77777777">
        <w:trPr>
          <w:jc w:val="center"/>
        </w:trPr>
        <w:tc>
          <w:tcPr>
            <w:tcW w:w="3275" w:type="dxa"/>
            <w:tcBorders>
              <w:top w:val="single" w:color="auto" w:sz="8" w:space="0"/>
              <w:left w:val="single" w:color="auto" w:sz="12" w:space="0"/>
              <w:bottom w:val="single" w:color="auto" w:sz="8" w:space="0"/>
              <w:right w:val="single" w:color="auto" w:sz="8" w:space="0"/>
            </w:tcBorders>
          </w:tcPr>
          <w:p w:rsidR="003B0815" w:rsidRDefault="003B0815" w14:paraId="38CDDB78" w14:textId="77777777">
            <w:pPr>
              <w:keepNext/>
              <w:rPr>
                <w:rFonts w:ascii="Arial" w:hAnsi="Arial"/>
                <w:sz w:val="20"/>
                <w:szCs w:val="20"/>
              </w:rPr>
            </w:pPr>
            <w:r>
              <w:rPr>
                <w:rFonts w:ascii="Arial" w:hAnsi="Arial"/>
                <w:sz w:val="20"/>
                <w:szCs w:val="20"/>
              </w:rPr>
              <w:t>Commuter</w:t>
            </w:r>
          </w:p>
        </w:tc>
        <w:tc>
          <w:tcPr>
            <w:tcW w:w="965" w:type="dxa"/>
            <w:tcBorders>
              <w:top w:val="single" w:color="auto" w:sz="8" w:space="0"/>
              <w:left w:val="single" w:color="auto" w:sz="8" w:space="0"/>
              <w:bottom w:val="single" w:color="auto" w:sz="8" w:space="0"/>
              <w:right w:val="single" w:color="auto" w:sz="12" w:space="0"/>
            </w:tcBorders>
          </w:tcPr>
          <w:p w:rsidR="003B0815" w:rsidRDefault="003B0815" w14:paraId="4C695167" w14:textId="77777777">
            <w:pPr>
              <w:keepNext/>
              <w:rPr>
                <w:rFonts w:ascii="Arial" w:hAnsi="Arial"/>
                <w:sz w:val="20"/>
                <w:szCs w:val="20"/>
              </w:rPr>
            </w:pPr>
            <w:r>
              <w:rPr>
                <w:rFonts w:ascii="Arial" w:hAnsi="Arial"/>
                <w:sz w:val="20"/>
                <w:szCs w:val="20"/>
              </w:rPr>
              <w:t>14</w:t>
            </w:r>
          </w:p>
        </w:tc>
      </w:tr>
      <w:tr w:rsidR="003B0815" w14:paraId="03952678" w14:textId="77777777">
        <w:trPr>
          <w:jc w:val="center"/>
        </w:trPr>
        <w:tc>
          <w:tcPr>
            <w:tcW w:w="3275" w:type="dxa"/>
            <w:tcBorders>
              <w:top w:val="single" w:color="auto" w:sz="8" w:space="0"/>
              <w:left w:val="single" w:color="auto" w:sz="12" w:space="0"/>
              <w:bottom w:val="single" w:color="auto" w:sz="12" w:space="0"/>
              <w:right w:val="single" w:color="auto" w:sz="8" w:space="0"/>
            </w:tcBorders>
          </w:tcPr>
          <w:p w:rsidR="003B0815" w:rsidRDefault="003B0815" w14:paraId="53AE4ACC" w14:textId="77777777">
            <w:pPr>
              <w:keepNext/>
              <w:rPr>
                <w:rFonts w:ascii="Arial" w:hAnsi="Arial"/>
                <w:b/>
                <w:sz w:val="20"/>
                <w:szCs w:val="20"/>
              </w:rPr>
            </w:pPr>
            <w:r>
              <w:rPr>
                <w:rFonts w:ascii="Arial" w:hAnsi="Arial"/>
                <w:b/>
                <w:sz w:val="20"/>
                <w:szCs w:val="20"/>
              </w:rPr>
              <w:t>Total</w:t>
            </w:r>
          </w:p>
        </w:tc>
        <w:tc>
          <w:tcPr>
            <w:tcW w:w="965" w:type="dxa"/>
            <w:tcBorders>
              <w:top w:val="single" w:color="auto" w:sz="8" w:space="0"/>
              <w:left w:val="single" w:color="auto" w:sz="8" w:space="0"/>
              <w:bottom w:val="single" w:color="auto" w:sz="12" w:space="0"/>
              <w:right w:val="single" w:color="auto" w:sz="12" w:space="0"/>
            </w:tcBorders>
          </w:tcPr>
          <w:p w:rsidR="003B0815" w:rsidRDefault="003B0815" w14:paraId="60785657" w14:textId="77777777">
            <w:pPr>
              <w:keepNext/>
              <w:rPr>
                <w:rFonts w:ascii="Arial" w:hAnsi="Arial"/>
                <w:b/>
                <w:sz w:val="20"/>
                <w:szCs w:val="20"/>
              </w:rPr>
            </w:pPr>
            <w:r>
              <w:rPr>
                <w:rFonts w:ascii="Arial" w:hAnsi="Arial"/>
                <w:b/>
                <w:sz w:val="20"/>
                <w:szCs w:val="20"/>
              </w:rPr>
              <w:fldChar w:fldCharType="begin" w:fldLock="1"/>
            </w:r>
            <w:r>
              <w:rPr>
                <w:rFonts w:ascii="Arial" w:hAnsi="Arial"/>
                <w:b/>
                <w:sz w:val="20"/>
                <w:szCs w:val="20"/>
              </w:rPr>
              <w:instrText xml:space="preserve"> =SUM(ABOVE) </w:instrText>
            </w:r>
            <w:r>
              <w:rPr>
                <w:rFonts w:ascii="Arial" w:hAnsi="Arial"/>
                <w:b/>
                <w:sz w:val="20"/>
                <w:szCs w:val="20"/>
              </w:rPr>
              <w:fldChar w:fldCharType="separate"/>
            </w:r>
            <w:r>
              <w:rPr>
                <w:rFonts w:ascii="Arial" w:hAnsi="Arial"/>
                <w:b/>
                <w:noProof/>
                <w:sz w:val="20"/>
                <w:szCs w:val="20"/>
              </w:rPr>
              <w:t>66</w:t>
            </w:r>
            <w:r>
              <w:rPr>
                <w:rFonts w:ascii="Arial" w:hAnsi="Arial"/>
                <w:b/>
                <w:sz w:val="20"/>
                <w:szCs w:val="20"/>
              </w:rPr>
              <w:fldChar w:fldCharType="end"/>
            </w:r>
          </w:p>
        </w:tc>
      </w:tr>
    </w:tbl>
    <w:p w:rsidR="003B0815" w:rsidRDefault="003B0815" w14:paraId="0BF17B6D" w14:textId="77777777">
      <w:pPr>
        <w:spacing w:line="360" w:lineRule="auto"/>
        <w:ind w:firstLine="720"/>
      </w:pPr>
    </w:p>
    <w:p w:rsidR="003B0815" w:rsidRDefault="003B0815" w14:paraId="4A18B00E" w14:textId="77777777">
      <w:pPr>
        <w:spacing w:line="360" w:lineRule="auto"/>
        <w:ind w:firstLine="720"/>
      </w:pPr>
      <w:r>
        <w:t>These BTS classifications, while useful to describe the relative scope of airline operations, do not provide a useful classification system for describing and distributing the impact Secure Flight will have on the industry.  Instead, to represent airline reprogramming costs, TSA had to develop its own classification system in which it divided airlines into “marketing” and “affiliate” carriers and then grouped them based on the nature of their reservation systems.  The following paragraphs explain the reasoning behind TSA’s classification method.</w:t>
      </w:r>
    </w:p>
    <w:p w:rsidR="003B0815" w:rsidRDefault="003B0815" w14:paraId="3026F06A" w14:textId="77777777">
      <w:pPr>
        <w:spacing w:line="360" w:lineRule="auto"/>
        <w:ind w:firstLine="720"/>
      </w:pPr>
      <w:r>
        <w:t>In order to communicate with the airlines, Secure Flight needs to interact with the airline reservation systems (ARS) or separate systems established by the airlines specifically for interacting with Secure Flight.  TSA has assumed for the purpose of this analysis that airlines will modify their existing reservation systems to create SFPDs, manage transmissions to TSA, and process the boarding and gate pass printing instructions returned by TSA.</w:t>
      </w:r>
      <w:r>
        <w:rPr>
          <w:rStyle w:val="FootnoteReference"/>
        </w:rPr>
        <w:footnoteReference w:id="12"/>
      </w:r>
      <w:r>
        <w:t xml:space="preserve">  While some airlines maintain their own reservation systems, others choose to subscribe to a hosting system managing multiple ARSs or subscribe to a global distribution system (GDS).</w:t>
      </w:r>
      <w:r>
        <w:rPr>
          <w:rStyle w:val="FootnoteReference"/>
        </w:rPr>
        <w:footnoteReference w:id="13"/>
      </w:r>
      <w:r>
        <w:t xml:space="preserve">  Some public charter airlines do not maintain a reservation system at all.</w:t>
      </w:r>
    </w:p>
    <w:p w:rsidR="003B0815" w:rsidRDefault="003B0815" w14:paraId="60E1D87D" w14:textId="77777777">
      <w:pPr>
        <w:spacing w:line="360" w:lineRule="auto"/>
        <w:ind w:firstLine="720"/>
      </w:pPr>
      <w:r>
        <w:t>Further complexities arise from the fact that in order to increase the number of destinations they can market, most major airlines purchase subsidiary airlines or offer contracts to independent airlines to transport their passengers.  In such cases, the major airline is referred to as the “marketing” carrier.  The benefit of these arrangements to the “affiliated” carriers is that the marketing carrier is responsible for the reservations process and ticket counters.</w:t>
      </w:r>
    </w:p>
    <w:p w:rsidR="003B0815" w:rsidRDefault="003B0815" w14:paraId="533B2646" w14:textId="77777777">
      <w:pPr>
        <w:spacing w:line="360" w:lineRule="auto"/>
        <w:ind w:firstLine="720"/>
      </w:pPr>
      <w:r>
        <w:t>In light of this intricate sharing of reservation systems, TSA conducted interviews with the industry to determine the best means of connecting Secure Flight to the covered aircraft operators.  Based on these discussions, TSA determined that establishing connectivity with airlines’ reservation and departure control systems, which are frequently hosted and maintained by GDSs and host ARSs, would enable Secure Flight to receive 98% of the enplanements of all covered aircraft operators.</w:t>
      </w:r>
    </w:p>
    <w:p w:rsidR="003B0815" w:rsidRDefault="003B0815" w14:paraId="1F3836BB" w14:textId="77777777">
      <w:pPr>
        <w:spacing w:line="360" w:lineRule="auto"/>
        <w:ind w:firstLine="720"/>
      </w:pPr>
      <w:r>
        <w:t>The remaining carriers not utilizing these systems comprise a diverse group.  Some of them have independently maintained reservation systems that are highly developed while others, as noted above, do not have a reservation system at all.  TSA technical experts considered the number of enplanements and technological capabilities of each of these remaining covered aircraft operators and determined three operators had sufficiently automated systems to make a direct connection to the Secure Flight system cost-effective.  TSA assumed the remaining 16 carriers—either not having reservation systems or having systems that would be too costly to modify to support a direct connection—will transmit passenger information to Secure Flight through a secure Web interface DHS is in the process of developing.  Carriers may choose, however, which of the transmission interfaces they prefer to implement.</w:t>
      </w:r>
    </w:p>
    <w:p w:rsidR="003B0815" w:rsidRDefault="003B0815" w14:paraId="4A985B9B" w14:textId="77777777">
      <w:pPr>
        <w:spacing w:line="360" w:lineRule="auto"/>
        <w:ind w:firstLine="720"/>
      </w:pPr>
      <w:r>
        <w:t>TSA conducted information-gathering interviews with a small number of airlines and ARS service providers.  The eight airlines with which TSA spoke came from the diverse groups that make up the domestic passenger aviation industry, including legacy “hub and spoke” carriers, large and small “low cost” carriers that operate in a more point-to-point manner, smaller carriers that serve regional or niche markets, and carriers that provide charter services rather than scheduled passenger transportation.  TSA also spoke with two providers of airline reservation system services.  One of these is an ARS provider that has provided these services to legacy and other airlines throughout the world for many years, and the other is a more recently established company providing web-based reservation services to airlines that are predominantly “low cost” operators from many parts of the world.</w:t>
      </w:r>
    </w:p>
    <w:p w:rsidR="003B0815" w:rsidRDefault="003B0815" w14:paraId="51FF2193" w14:textId="77777777">
      <w:pPr>
        <w:spacing w:line="360" w:lineRule="auto"/>
        <w:ind w:firstLine="720"/>
      </w:pPr>
      <w:r>
        <w:t>Based on its conversations with host ARSs and airlines regarding the likely cost implications of Secure Flight and input from internal subject matter experts, TSA divided covered airlines into four cost groups, as shown in Table 1.4.1.d.  These groups are based on 1) the anticipated difficulty of reprogramming the GDS or host ARS used by an airline to accept additional data elements and communicate with Secure Flight and 2) the BTS class of non-legacy airlines.  This method of grouping carriers takes into account the interdependence that exists between airlines and their ARS service providers.  Much of the reprogramming work to enable an airline to communicate with Secure Flight will be done by its GDS or host ARS.  TSA assumed the costs associated with this work will then be passed on to the subscribing airline.  At the same time, airlines also have to make modifications to their own computer systems.  In both cases, the older the system being modified, the higher the costs.  Similarly, the newer the system or, presumably, smaller its scope (as would be true of regional, commuter, and small carriers as opposed to major or national carriers), the lower the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3"/>
        <w:gridCol w:w="1980"/>
        <w:gridCol w:w="1852"/>
        <w:gridCol w:w="1800"/>
        <w:gridCol w:w="1800"/>
      </w:tblGrid>
      <w:tr w:rsidR="003B0815" w14:paraId="7FAD8401" w14:textId="77777777">
        <w:trPr>
          <w:jc w:val="center"/>
        </w:trPr>
        <w:tc>
          <w:tcPr>
            <w:tcW w:w="8025" w:type="dxa"/>
            <w:gridSpan w:val="5"/>
            <w:tcBorders>
              <w:top w:val="nil"/>
              <w:left w:val="nil"/>
              <w:bottom w:val="nil"/>
              <w:right w:val="nil"/>
            </w:tcBorders>
          </w:tcPr>
          <w:p w:rsidR="003B0815" w:rsidRDefault="003B0815" w14:paraId="43B7DD31" w14:textId="77777777">
            <w:pPr>
              <w:pStyle w:val="RegEvalTableHeader"/>
              <w:keepNext/>
            </w:pPr>
            <w:bookmarkStart w:name="_Toc139943604" w:id="101"/>
            <w:bookmarkStart w:name="_Toc141001114" w:id="102"/>
            <w:bookmarkStart w:name="_Toc141000945" w:id="103"/>
            <w:bookmarkStart w:name="_Toc165278367" w:id="104"/>
            <w:bookmarkStart w:name="_Toc174438362" w:id="105"/>
            <w:bookmarkStart w:name="_Toc207109501" w:id="106"/>
            <w:r>
              <w:t>Table 1.4.1.d Airline vs. GDS/host ARS Reprogramming Effort</w:t>
            </w:r>
            <w:bookmarkEnd w:id="101"/>
            <w:bookmarkEnd w:id="102"/>
            <w:bookmarkEnd w:id="103"/>
            <w:bookmarkEnd w:id="104"/>
            <w:bookmarkEnd w:id="105"/>
            <w:bookmarkEnd w:id="106"/>
          </w:p>
        </w:tc>
      </w:tr>
      <w:tr w:rsidR="003B0815" w14:paraId="5A9CFD9A" w14:textId="77777777">
        <w:trPr>
          <w:jc w:val="center"/>
        </w:trPr>
        <w:tc>
          <w:tcPr>
            <w:tcW w:w="593" w:type="dxa"/>
            <w:tcBorders>
              <w:top w:val="nil"/>
              <w:left w:val="nil"/>
              <w:bottom w:val="nil"/>
              <w:right w:val="nil"/>
            </w:tcBorders>
          </w:tcPr>
          <w:p w:rsidR="003B0815" w:rsidRDefault="003B0815" w14:paraId="3EAE0716" w14:textId="77777777">
            <w:pPr>
              <w:keepNext/>
              <w:rPr>
                <w:rFonts w:ascii="Arial" w:hAnsi="Arial"/>
                <w:sz w:val="20"/>
                <w:szCs w:val="20"/>
              </w:rPr>
            </w:pPr>
          </w:p>
        </w:tc>
        <w:tc>
          <w:tcPr>
            <w:tcW w:w="1980" w:type="dxa"/>
            <w:tcBorders>
              <w:top w:val="nil"/>
              <w:left w:val="nil"/>
              <w:bottom w:val="nil"/>
              <w:right w:val="single" w:color="auto" w:sz="12" w:space="0"/>
            </w:tcBorders>
          </w:tcPr>
          <w:p w:rsidR="003B0815" w:rsidRDefault="003B0815" w14:paraId="3552A00C" w14:textId="77777777">
            <w:pPr>
              <w:keepNext/>
              <w:rPr>
                <w:rFonts w:ascii="Arial" w:hAnsi="Arial"/>
                <w:sz w:val="20"/>
                <w:szCs w:val="20"/>
              </w:rPr>
            </w:pPr>
          </w:p>
        </w:tc>
        <w:tc>
          <w:tcPr>
            <w:tcW w:w="5452" w:type="dxa"/>
            <w:gridSpan w:val="3"/>
            <w:tcBorders>
              <w:top w:val="single" w:color="auto" w:sz="12" w:space="0"/>
              <w:left w:val="single" w:color="auto" w:sz="12" w:space="0"/>
              <w:right w:val="single" w:color="auto" w:sz="12" w:space="0"/>
            </w:tcBorders>
          </w:tcPr>
          <w:p w:rsidR="003B0815" w:rsidRDefault="003B0815" w14:paraId="3DD2CA05" w14:textId="77777777">
            <w:pPr>
              <w:keepNext/>
              <w:jc w:val="center"/>
              <w:rPr>
                <w:rFonts w:ascii="Arial" w:hAnsi="Arial"/>
                <w:b/>
                <w:sz w:val="20"/>
                <w:szCs w:val="20"/>
              </w:rPr>
            </w:pPr>
            <w:r>
              <w:rPr>
                <w:rFonts w:ascii="Arial" w:hAnsi="Arial"/>
                <w:b/>
                <w:sz w:val="20"/>
                <w:szCs w:val="20"/>
              </w:rPr>
              <w:t>GDS/host ARS Reprogramming</w:t>
            </w:r>
          </w:p>
        </w:tc>
      </w:tr>
      <w:tr w:rsidR="003B0815" w14:paraId="486EECE1" w14:textId="77777777">
        <w:trPr>
          <w:jc w:val="center"/>
        </w:trPr>
        <w:tc>
          <w:tcPr>
            <w:tcW w:w="593" w:type="dxa"/>
            <w:tcBorders>
              <w:top w:val="nil"/>
              <w:left w:val="nil"/>
              <w:bottom w:val="single" w:color="auto" w:sz="12" w:space="0"/>
              <w:right w:val="nil"/>
            </w:tcBorders>
          </w:tcPr>
          <w:p w:rsidR="003B0815" w:rsidRDefault="003B0815" w14:paraId="53B9EA57" w14:textId="77777777">
            <w:pPr>
              <w:keepNext/>
              <w:rPr>
                <w:rFonts w:ascii="Arial" w:hAnsi="Arial"/>
                <w:sz w:val="20"/>
                <w:szCs w:val="20"/>
              </w:rPr>
            </w:pPr>
          </w:p>
        </w:tc>
        <w:tc>
          <w:tcPr>
            <w:tcW w:w="1980" w:type="dxa"/>
            <w:tcBorders>
              <w:top w:val="nil"/>
              <w:left w:val="nil"/>
              <w:bottom w:val="single" w:color="auto" w:sz="12" w:space="0"/>
              <w:right w:val="single" w:color="auto" w:sz="12" w:space="0"/>
            </w:tcBorders>
          </w:tcPr>
          <w:p w:rsidR="003B0815" w:rsidRDefault="003B0815" w14:paraId="1E5FECF1" w14:textId="77777777">
            <w:pPr>
              <w:keepNext/>
              <w:rPr>
                <w:rFonts w:ascii="Arial" w:hAnsi="Arial"/>
                <w:sz w:val="20"/>
                <w:szCs w:val="20"/>
              </w:rPr>
            </w:pPr>
          </w:p>
        </w:tc>
        <w:tc>
          <w:tcPr>
            <w:tcW w:w="1852" w:type="dxa"/>
            <w:tcBorders>
              <w:left w:val="single" w:color="auto" w:sz="12" w:space="0"/>
              <w:bottom w:val="single" w:color="auto" w:sz="12" w:space="0"/>
            </w:tcBorders>
            <w:vAlign w:val="center"/>
          </w:tcPr>
          <w:p w:rsidR="003B0815" w:rsidRDefault="003B0815" w14:paraId="61118B27" w14:textId="77777777">
            <w:pPr>
              <w:keepNext/>
              <w:jc w:val="center"/>
              <w:rPr>
                <w:rFonts w:ascii="Arial" w:hAnsi="Arial"/>
                <w:sz w:val="20"/>
                <w:szCs w:val="20"/>
                <w:u w:val="single"/>
              </w:rPr>
            </w:pPr>
            <w:r>
              <w:rPr>
                <w:rFonts w:ascii="Arial" w:hAnsi="Arial"/>
                <w:sz w:val="20"/>
                <w:szCs w:val="20"/>
                <w:u w:val="single"/>
              </w:rPr>
              <w:t>Most Effort</w:t>
            </w:r>
          </w:p>
          <w:p w:rsidR="003B0815" w:rsidRDefault="003B0815" w14:paraId="79143A72" w14:textId="77777777">
            <w:pPr>
              <w:keepNext/>
              <w:jc w:val="center"/>
              <w:rPr>
                <w:rFonts w:ascii="Arial" w:hAnsi="Arial"/>
                <w:sz w:val="20"/>
                <w:szCs w:val="20"/>
              </w:rPr>
            </w:pPr>
            <w:r>
              <w:rPr>
                <w:rFonts w:ascii="Arial" w:hAnsi="Arial"/>
                <w:sz w:val="20"/>
                <w:szCs w:val="20"/>
              </w:rPr>
              <w:t>(Older GDSs/</w:t>
            </w:r>
          </w:p>
          <w:p w:rsidR="003B0815" w:rsidRDefault="003B0815" w14:paraId="18131B1B" w14:textId="77777777">
            <w:pPr>
              <w:keepNext/>
              <w:jc w:val="center"/>
              <w:rPr>
                <w:rFonts w:ascii="Arial" w:hAnsi="Arial"/>
                <w:sz w:val="20"/>
                <w:szCs w:val="20"/>
              </w:rPr>
            </w:pPr>
            <w:r>
              <w:rPr>
                <w:rFonts w:ascii="Arial" w:hAnsi="Arial"/>
                <w:sz w:val="20"/>
                <w:szCs w:val="20"/>
              </w:rPr>
              <w:t>host ARSs)</w:t>
            </w:r>
          </w:p>
        </w:tc>
        <w:tc>
          <w:tcPr>
            <w:tcW w:w="1800" w:type="dxa"/>
            <w:tcBorders>
              <w:bottom w:val="single" w:color="auto" w:sz="12" w:space="0"/>
            </w:tcBorders>
            <w:vAlign w:val="center"/>
          </w:tcPr>
          <w:p w:rsidR="003B0815" w:rsidRDefault="003B0815" w14:paraId="30039FAB" w14:textId="77777777">
            <w:pPr>
              <w:keepNext/>
              <w:jc w:val="center"/>
              <w:rPr>
                <w:rFonts w:ascii="Arial" w:hAnsi="Arial"/>
                <w:sz w:val="20"/>
                <w:szCs w:val="20"/>
                <w:u w:val="single"/>
              </w:rPr>
            </w:pPr>
            <w:r>
              <w:rPr>
                <w:rFonts w:ascii="Arial" w:hAnsi="Arial"/>
                <w:sz w:val="20"/>
                <w:szCs w:val="20"/>
                <w:u w:val="single"/>
              </w:rPr>
              <w:t>Medium Effort</w:t>
            </w:r>
          </w:p>
          <w:p w:rsidR="003B0815" w:rsidRDefault="003B0815" w14:paraId="16113A31" w14:textId="77777777">
            <w:pPr>
              <w:keepNext/>
              <w:jc w:val="center"/>
              <w:rPr>
                <w:rFonts w:ascii="Arial" w:hAnsi="Arial"/>
                <w:sz w:val="20"/>
                <w:szCs w:val="20"/>
              </w:rPr>
            </w:pPr>
            <w:r>
              <w:rPr>
                <w:rFonts w:ascii="Arial" w:hAnsi="Arial"/>
                <w:sz w:val="20"/>
                <w:szCs w:val="20"/>
              </w:rPr>
              <w:t>(Newer GDSs/</w:t>
            </w:r>
          </w:p>
          <w:p w:rsidR="003B0815" w:rsidRDefault="003B0815" w14:paraId="2DF21FD3" w14:textId="77777777">
            <w:pPr>
              <w:keepNext/>
              <w:jc w:val="center"/>
              <w:rPr>
                <w:rFonts w:ascii="Arial" w:hAnsi="Arial"/>
                <w:sz w:val="20"/>
                <w:szCs w:val="20"/>
              </w:rPr>
            </w:pPr>
            <w:r>
              <w:rPr>
                <w:rFonts w:ascii="Arial" w:hAnsi="Arial"/>
                <w:sz w:val="20"/>
                <w:szCs w:val="20"/>
              </w:rPr>
              <w:t>host ARSs)</w:t>
            </w:r>
          </w:p>
        </w:tc>
        <w:tc>
          <w:tcPr>
            <w:tcW w:w="1800" w:type="dxa"/>
            <w:tcBorders>
              <w:bottom w:val="single" w:color="auto" w:sz="12" w:space="0"/>
              <w:right w:val="single" w:color="auto" w:sz="12" w:space="0"/>
            </w:tcBorders>
            <w:vAlign w:val="center"/>
          </w:tcPr>
          <w:p w:rsidR="003B0815" w:rsidRDefault="003B0815" w14:paraId="3CBBBA11" w14:textId="77777777">
            <w:pPr>
              <w:keepNext/>
              <w:jc w:val="center"/>
              <w:rPr>
                <w:rFonts w:ascii="Arial" w:hAnsi="Arial"/>
                <w:sz w:val="20"/>
                <w:szCs w:val="20"/>
                <w:u w:val="single"/>
              </w:rPr>
            </w:pPr>
            <w:r>
              <w:rPr>
                <w:rFonts w:ascii="Arial" w:hAnsi="Arial"/>
                <w:sz w:val="20"/>
                <w:szCs w:val="20"/>
                <w:u w:val="single"/>
              </w:rPr>
              <w:t>Least Effort</w:t>
            </w:r>
          </w:p>
          <w:p w:rsidR="003B0815" w:rsidRDefault="003B0815" w14:paraId="08DE04E8" w14:textId="77777777">
            <w:pPr>
              <w:keepNext/>
              <w:jc w:val="center"/>
              <w:rPr>
                <w:rFonts w:ascii="Arial" w:hAnsi="Arial"/>
                <w:sz w:val="20"/>
                <w:szCs w:val="20"/>
              </w:rPr>
            </w:pPr>
            <w:r>
              <w:rPr>
                <w:rFonts w:ascii="Arial" w:hAnsi="Arial"/>
                <w:sz w:val="20"/>
                <w:szCs w:val="20"/>
              </w:rPr>
              <w:t>(Independent ARSs)</w:t>
            </w:r>
          </w:p>
        </w:tc>
      </w:tr>
      <w:tr w:rsidR="003B0815" w14:paraId="1B7DCBC9" w14:textId="77777777">
        <w:trPr>
          <w:cantSplit/>
          <w:jc w:val="center"/>
        </w:trPr>
        <w:tc>
          <w:tcPr>
            <w:tcW w:w="593" w:type="dxa"/>
            <w:vMerge w:val="restart"/>
            <w:tcBorders>
              <w:top w:val="single" w:color="auto" w:sz="12" w:space="0"/>
              <w:left w:val="single" w:color="auto" w:sz="12" w:space="0"/>
            </w:tcBorders>
            <w:textDirection w:val="btLr"/>
          </w:tcPr>
          <w:p w:rsidR="003B0815" w:rsidRDefault="003B0815" w14:paraId="62826135" w14:textId="77777777">
            <w:pPr>
              <w:keepNext/>
              <w:ind w:left="113" w:right="113"/>
              <w:jc w:val="center"/>
              <w:rPr>
                <w:rFonts w:ascii="Arial" w:hAnsi="Arial"/>
                <w:b/>
                <w:sz w:val="20"/>
                <w:szCs w:val="20"/>
              </w:rPr>
            </w:pPr>
            <w:r>
              <w:rPr>
                <w:rFonts w:ascii="Arial" w:hAnsi="Arial"/>
                <w:b/>
                <w:sz w:val="20"/>
                <w:szCs w:val="20"/>
              </w:rPr>
              <w:t>Airline Reprogramming</w:t>
            </w:r>
          </w:p>
        </w:tc>
        <w:tc>
          <w:tcPr>
            <w:tcW w:w="1980" w:type="dxa"/>
            <w:tcBorders>
              <w:top w:val="single" w:color="auto" w:sz="12" w:space="0"/>
              <w:right w:val="single" w:color="auto" w:sz="12" w:space="0"/>
            </w:tcBorders>
          </w:tcPr>
          <w:p w:rsidR="003B0815" w:rsidRDefault="003B0815" w14:paraId="3ED8168E" w14:textId="77777777">
            <w:pPr>
              <w:keepNext/>
              <w:jc w:val="center"/>
              <w:rPr>
                <w:rFonts w:ascii="Arial" w:hAnsi="Arial"/>
                <w:sz w:val="20"/>
                <w:szCs w:val="20"/>
                <w:u w:val="single"/>
              </w:rPr>
            </w:pPr>
            <w:r>
              <w:rPr>
                <w:rFonts w:ascii="Arial" w:hAnsi="Arial"/>
                <w:sz w:val="20"/>
                <w:szCs w:val="20"/>
                <w:u w:val="single"/>
              </w:rPr>
              <w:t>Most Effort</w:t>
            </w:r>
          </w:p>
          <w:p w:rsidR="003B0815" w:rsidRDefault="003B0815" w14:paraId="02E6196F" w14:textId="77777777">
            <w:pPr>
              <w:keepNext/>
              <w:jc w:val="center"/>
              <w:rPr>
                <w:rFonts w:ascii="Arial" w:hAnsi="Arial"/>
                <w:sz w:val="20"/>
                <w:szCs w:val="20"/>
              </w:rPr>
            </w:pPr>
            <w:r>
              <w:rPr>
                <w:rFonts w:ascii="Arial" w:hAnsi="Arial"/>
                <w:sz w:val="20"/>
                <w:szCs w:val="20"/>
              </w:rPr>
              <w:t xml:space="preserve">(Legacy </w:t>
            </w:r>
          </w:p>
          <w:p w:rsidR="003B0815" w:rsidRDefault="003B0815" w14:paraId="506A749D" w14:textId="77777777">
            <w:pPr>
              <w:keepNext/>
              <w:jc w:val="center"/>
              <w:rPr>
                <w:rFonts w:ascii="Arial" w:hAnsi="Arial"/>
                <w:sz w:val="20"/>
                <w:szCs w:val="20"/>
              </w:rPr>
            </w:pPr>
            <w:r>
              <w:rPr>
                <w:rFonts w:ascii="Arial" w:hAnsi="Arial"/>
                <w:sz w:val="20"/>
                <w:szCs w:val="20"/>
              </w:rPr>
              <w:t>Airlines)</w:t>
            </w:r>
          </w:p>
        </w:tc>
        <w:tc>
          <w:tcPr>
            <w:tcW w:w="1852" w:type="dxa"/>
            <w:tcBorders>
              <w:top w:val="single" w:color="auto" w:sz="12" w:space="0"/>
              <w:left w:val="single" w:color="auto" w:sz="12" w:space="0"/>
              <w:bottom w:val="single" w:color="auto" w:sz="4" w:space="0"/>
              <w:right w:val="single" w:color="auto" w:sz="4" w:space="0"/>
            </w:tcBorders>
            <w:shd w:val="clear" w:color="C0C0C0" w:fill="F3F3F3"/>
            <w:vAlign w:val="center"/>
          </w:tcPr>
          <w:p w:rsidR="003B0815" w:rsidRDefault="003B0815" w14:paraId="1F089B35" w14:textId="77777777">
            <w:pPr>
              <w:keepNext/>
              <w:jc w:val="center"/>
              <w:rPr>
                <w:rFonts w:ascii="Arial" w:hAnsi="Arial"/>
                <w:b/>
                <w:sz w:val="20"/>
                <w:szCs w:val="20"/>
              </w:rPr>
            </w:pPr>
            <w:r>
              <w:rPr>
                <w:rFonts w:ascii="Arial" w:hAnsi="Arial"/>
                <w:b/>
                <w:sz w:val="20"/>
                <w:szCs w:val="20"/>
              </w:rPr>
              <w:t>Group 1</w:t>
            </w:r>
          </w:p>
          <w:p w:rsidR="003B0815" w:rsidRDefault="003B0815" w14:paraId="28370783" w14:textId="77777777">
            <w:pPr>
              <w:keepNext/>
              <w:jc w:val="center"/>
              <w:rPr>
                <w:rFonts w:ascii="Arial" w:hAnsi="Arial"/>
                <w:b/>
                <w:sz w:val="20"/>
                <w:szCs w:val="20"/>
              </w:rPr>
            </w:pPr>
            <w:r>
              <w:rPr>
                <w:rFonts w:ascii="Arial" w:hAnsi="Arial"/>
                <w:b/>
                <w:sz w:val="20"/>
                <w:szCs w:val="20"/>
              </w:rPr>
              <w:t>(10 carriers)</w:t>
            </w:r>
          </w:p>
        </w:tc>
        <w:tc>
          <w:tcPr>
            <w:tcW w:w="1800" w:type="dxa"/>
            <w:tcBorders>
              <w:top w:val="single" w:color="auto" w:sz="12" w:space="0"/>
              <w:left w:val="single" w:color="auto" w:sz="4" w:space="0"/>
              <w:bottom w:val="single" w:color="auto" w:sz="4" w:space="0"/>
            </w:tcBorders>
            <w:shd w:val="clear" w:color="auto" w:fill="8C8C8C"/>
            <w:vAlign w:val="center"/>
          </w:tcPr>
          <w:p w:rsidR="003B0815" w:rsidRDefault="003B0815" w14:paraId="6227FC76" w14:textId="77777777">
            <w:pPr>
              <w:keepNext/>
              <w:jc w:val="center"/>
              <w:rPr>
                <w:rFonts w:ascii="Arial" w:hAnsi="Arial"/>
                <w:b/>
                <w:sz w:val="20"/>
                <w:szCs w:val="20"/>
              </w:rPr>
            </w:pPr>
            <w:r>
              <w:rPr>
                <w:rFonts w:ascii="Arial" w:hAnsi="Arial"/>
                <w:b/>
                <w:sz w:val="20"/>
                <w:szCs w:val="20"/>
              </w:rPr>
              <w:t>N/A</w:t>
            </w:r>
          </w:p>
        </w:tc>
        <w:tc>
          <w:tcPr>
            <w:tcW w:w="1800" w:type="dxa"/>
            <w:tcBorders>
              <w:top w:val="single" w:color="auto" w:sz="12" w:space="0"/>
              <w:bottom w:val="single" w:color="auto" w:sz="4" w:space="0"/>
              <w:right w:val="single" w:color="auto" w:sz="12" w:space="0"/>
            </w:tcBorders>
            <w:shd w:val="clear" w:color="auto" w:fill="8C8C8C"/>
            <w:vAlign w:val="center"/>
          </w:tcPr>
          <w:p w:rsidR="003B0815" w:rsidRDefault="003B0815" w14:paraId="330D2CD6" w14:textId="77777777">
            <w:pPr>
              <w:keepNext/>
              <w:jc w:val="center"/>
              <w:rPr>
                <w:rFonts w:ascii="Arial" w:hAnsi="Arial"/>
                <w:b/>
                <w:sz w:val="20"/>
                <w:szCs w:val="20"/>
              </w:rPr>
            </w:pPr>
            <w:r>
              <w:rPr>
                <w:rFonts w:ascii="Arial" w:hAnsi="Arial"/>
                <w:b/>
                <w:sz w:val="20"/>
                <w:szCs w:val="20"/>
              </w:rPr>
              <w:t>N/A</w:t>
            </w:r>
          </w:p>
        </w:tc>
      </w:tr>
      <w:tr w:rsidR="003B0815" w14:paraId="40E4722E" w14:textId="77777777">
        <w:trPr>
          <w:cantSplit/>
          <w:jc w:val="center"/>
        </w:trPr>
        <w:tc>
          <w:tcPr>
            <w:tcW w:w="593" w:type="dxa"/>
            <w:vMerge/>
            <w:tcBorders>
              <w:left w:val="single" w:color="auto" w:sz="12" w:space="0"/>
            </w:tcBorders>
          </w:tcPr>
          <w:p w:rsidR="003B0815" w:rsidRDefault="003B0815" w14:paraId="43FFA0C8" w14:textId="77777777">
            <w:pPr>
              <w:keepNext/>
              <w:rPr>
                <w:rFonts w:ascii="Arial" w:hAnsi="Arial"/>
                <w:sz w:val="20"/>
                <w:szCs w:val="20"/>
              </w:rPr>
            </w:pPr>
          </w:p>
        </w:tc>
        <w:tc>
          <w:tcPr>
            <w:tcW w:w="1980" w:type="dxa"/>
            <w:tcBorders>
              <w:right w:val="single" w:color="auto" w:sz="12" w:space="0"/>
            </w:tcBorders>
          </w:tcPr>
          <w:p w:rsidR="003B0815" w:rsidRDefault="003B0815" w14:paraId="40C7EC6D" w14:textId="77777777">
            <w:pPr>
              <w:keepNext/>
              <w:jc w:val="center"/>
              <w:rPr>
                <w:rFonts w:ascii="Arial" w:hAnsi="Arial"/>
                <w:sz w:val="20"/>
                <w:szCs w:val="20"/>
                <w:u w:val="single"/>
              </w:rPr>
            </w:pPr>
            <w:r>
              <w:rPr>
                <w:rFonts w:ascii="Arial" w:hAnsi="Arial"/>
                <w:sz w:val="20"/>
                <w:szCs w:val="20"/>
                <w:u w:val="single"/>
              </w:rPr>
              <w:t>Medium Effort</w:t>
            </w:r>
          </w:p>
          <w:p w:rsidR="003B0815" w:rsidRDefault="003B0815" w14:paraId="50C5EE49" w14:textId="77777777">
            <w:pPr>
              <w:keepNext/>
              <w:jc w:val="center"/>
              <w:rPr>
                <w:rFonts w:ascii="Arial" w:hAnsi="Arial"/>
                <w:sz w:val="20"/>
                <w:szCs w:val="20"/>
              </w:rPr>
            </w:pPr>
            <w:r>
              <w:rPr>
                <w:rFonts w:ascii="Arial" w:hAnsi="Arial"/>
                <w:sz w:val="20"/>
                <w:szCs w:val="20"/>
              </w:rPr>
              <w:t xml:space="preserve">(Majors, </w:t>
            </w:r>
          </w:p>
          <w:p w:rsidR="003B0815" w:rsidRDefault="003B0815" w14:paraId="54533472" w14:textId="77777777">
            <w:pPr>
              <w:keepNext/>
              <w:jc w:val="center"/>
              <w:rPr>
                <w:rFonts w:ascii="Arial" w:hAnsi="Arial"/>
                <w:sz w:val="20"/>
                <w:szCs w:val="20"/>
              </w:rPr>
            </w:pPr>
            <w:r>
              <w:rPr>
                <w:rFonts w:ascii="Arial" w:hAnsi="Arial"/>
                <w:sz w:val="20"/>
                <w:szCs w:val="20"/>
              </w:rPr>
              <w:t>Nationals)</w:t>
            </w:r>
          </w:p>
        </w:tc>
        <w:tc>
          <w:tcPr>
            <w:tcW w:w="1852" w:type="dxa"/>
            <w:tcBorders>
              <w:top w:val="single" w:color="auto" w:sz="4" w:space="0"/>
              <w:left w:val="single" w:color="auto" w:sz="12" w:space="0"/>
              <w:bottom w:val="single" w:color="auto" w:sz="4" w:space="0"/>
              <w:right w:val="single" w:color="auto" w:sz="4" w:space="0"/>
            </w:tcBorders>
            <w:shd w:val="clear" w:color="auto" w:fill="D9D9D9"/>
            <w:vAlign w:val="center"/>
          </w:tcPr>
          <w:p w:rsidR="003B0815" w:rsidRDefault="003B0815" w14:paraId="170FCFA9" w14:textId="77777777">
            <w:pPr>
              <w:keepNext/>
              <w:jc w:val="center"/>
              <w:rPr>
                <w:rFonts w:ascii="Arial" w:hAnsi="Arial"/>
                <w:b/>
                <w:sz w:val="20"/>
                <w:szCs w:val="20"/>
              </w:rPr>
            </w:pPr>
            <w:r>
              <w:rPr>
                <w:rFonts w:ascii="Arial" w:hAnsi="Arial"/>
                <w:b/>
                <w:sz w:val="20"/>
                <w:szCs w:val="20"/>
              </w:rPr>
              <w:t>Group 2</w:t>
            </w:r>
          </w:p>
          <w:p w:rsidR="003B0815" w:rsidRDefault="003B0815" w14:paraId="549E3C7E" w14:textId="77777777">
            <w:pPr>
              <w:keepNext/>
              <w:jc w:val="center"/>
              <w:rPr>
                <w:rFonts w:ascii="Arial" w:hAnsi="Arial"/>
                <w:b/>
                <w:sz w:val="20"/>
                <w:szCs w:val="20"/>
              </w:rPr>
            </w:pPr>
            <w:r>
              <w:rPr>
                <w:rFonts w:ascii="Arial" w:hAnsi="Arial"/>
                <w:b/>
                <w:sz w:val="20"/>
                <w:szCs w:val="20"/>
              </w:rPr>
              <w:t>(6 carriers)</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center"/>
          </w:tcPr>
          <w:p w:rsidR="003B0815" w:rsidRDefault="003B0815" w14:paraId="55838D28" w14:textId="77777777">
            <w:pPr>
              <w:keepNext/>
              <w:jc w:val="center"/>
              <w:rPr>
                <w:rFonts w:ascii="Arial" w:hAnsi="Arial"/>
                <w:b/>
                <w:sz w:val="20"/>
                <w:szCs w:val="20"/>
              </w:rPr>
            </w:pPr>
            <w:r>
              <w:rPr>
                <w:rFonts w:ascii="Arial" w:hAnsi="Arial"/>
                <w:b/>
                <w:sz w:val="20"/>
                <w:szCs w:val="20"/>
              </w:rPr>
              <w:t>Group 2</w:t>
            </w:r>
          </w:p>
          <w:p w:rsidR="003B0815" w:rsidRDefault="003B0815" w14:paraId="32CB1A23" w14:textId="77777777">
            <w:pPr>
              <w:keepNext/>
              <w:jc w:val="center"/>
              <w:rPr>
                <w:rFonts w:ascii="Arial" w:hAnsi="Arial"/>
                <w:b/>
                <w:sz w:val="20"/>
                <w:szCs w:val="20"/>
              </w:rPr>
            </w:pPr>
            <w:r>
              <w:rPr>
                <w:rFonts w:ascii="Arial" w:hAnsi="Arial"/>
                <w:b/>
                <w:sz w:val="20"/>
                <w:szCs w:val="20"/>
              </w:rPr>
              <w:t>(2 carriers)</w:t>
            </w:r>
          </w:p>
        </w:tc>
        <w:tc>
          <w:tcPr>
            <w:tcW w:w="1800" w:type="dxa"/>
            <w:tcBorders>
              <w:left w:val="single" w:color="auto" w:sz="4" w:space="0"/>
              <w:bottom w:val="single" w:color="auto" w:sz="4" w:space="0"/>
              <w:right w:val="single" w:color="auto" w:sz="12" w:space="0"/>
            </w:tcBorders>
            <w:shd w:val="clear" w:color="auto" w:fill="B3B3B3"/>
            <w:vAlign w:val="center"/>
          </w:tcPr>
          <w:p w:rsidR="003B0815" w:rsidRDefault="003B0815" w14:paraId="34B68C0E" w14:textId="77777777">
            <w:pPr>
              <w:keepNext/>
              <w:jc w:val="center"/>
              <w:rPr>
                <w:rFonts w:ascii="Arial" w:hAnsi="Arial"/>
                <w:b/>
                <w:sz w:val="20"/>
                <w:szCs w:val="20"/>
              </w:rPr>
            </w:pPr>
            <w:r>
              <w:rPr>
                <w:rFonts w:ascii="Arial" w:hAnsi="Arial"/>
                <w:b/>
                <w:sz w:val="20"/>
                <w:szCs w:val="20"/>
              </w:rPr>
              <w:t>Group 3</w:t>
            </w:r>
          </w:p>
          <w:p w:rsidR="003B0815" w:rsidRDefault="003B0815" w14:paraId="5A27B8AC" w14:textId="77777777">
            <w:pPr>
              <w:keepNext/>
              <w:jc w:val="center"/>
              <w:rPr>
                <w:rFonts w:ascii="Arial" w:hAnsi="Arial"/>
                <w:b/>
                <w:sz w:val="20"/>
                <w:szCs w:val="20"/>
              </w:rPr>
            </w:pPr>
            <w:r>
              <w:rPr>
                <w:rFonts w:ascii="Arial" w:hAnsi="Arial"/>
                <w:b/>
                <w:sz w:val="20"/>
                <w:szCs w:val="20"/>
              </w:rPr>
              <w:t xml:space="preserve">(3 carriers) </w:t>
            </w:r>
          </w:p>
        </w:tc>
      </w:tr>
      <w:tr w:rsidR="003B0815" w14:paraId="1759DD34" w14:textId="77777777">
        <w:trPr>
          <w:cantSplit/>
          <w:jc w:val="center"/>
        </w:trPr>
        <w:tc>
          <w:tcPr>
            <w:tcW w:w="593" w:type="dxa"/>
            <w:vMerge/>
            <w:tcBorders>
              <w:left w:val="single" w:color="auto" w:sz="12" w:space="0"/>
              <w:bottom w:val="single" w:color="auto" w:sz="12" w:space="0"/>
            </w:tcBorders>
          </w:tcPr>
          <w:p w:rsidR="003B0815" w:rsidRDefault="003B0815" w14:paraId="16FD246F" w14:textId="77777777">
            <w:pPr>
              <w:keepNext/>
              <w:rPr>
                <w:rFonts w:ascii="Arial" w:hAnsi="Arial"/>
                <w:sz w:val="20"/>
                <w:szCs w:val="20"/>
              </w:rPr>
            </w:pPr>
          </w:p>
        </w:tc>
        <w:tc>
          <w:tcPr>
            <w:tcW w:w="1980" w:type="dxa"/>
            <w:tcBorders>
              <w:bottom w:val="single" w:color="auto" w:sz="12" w:space="0"/>
              <w:right w:val="single" w:color="auto" w:sz="12" w:space="0"/>
            </w:tcBorders>
          </w:tcPr>
          <w:p w:rsidR="003B0815" w:rsidRDefault="003B0815" w14:paraId="086B6203" w14:textId="77777777">
            <w:pPr>
              <w:keepNext/>
              <w:jc w:val="center"/>
              <w:rPr>
                <w:rFonts w:ascii="Arial" w:hAnsi="Arial"/>
                <w:sz w:val="20"/>
                <w:szCs w:val="20"/>
                <w:u w:val="single"/>
              </w:rPr>
            </w:pPr>
            <w:r>
              <w:rPr>
                <w:rFonts w:ascii="Arial" w:hAnsi="Arial"/>
                <w:sz w:val="20"/>
                <w:szCs w:val="20"/>
                <w:u w:val="single"/>
              </w:rPr>
              <w:t>Least Effort</w:t>
            </w:r>
          </w:p>
          <w:p w:rsidR="003B0815" w:rsidRDefault="003B0815" w14:paraId="1A9BBC99" w14:textId="77777777">
            <w:pPr>
              <w:keepNext/>
              <w:jc w:val="center"/>
              <w:rPr>
                <w:rFonts w:ascii="Arial" w:hAnsi="Arial"/>
                <w:sz w:val="20"/>
                <w:szCs w:val="20"/>
              </w:rPr>
            </w:pPr>
            <w:r>
              <w:rPr>
                <w:rFonts w:ascii="Arial" w:hAnsi="Arial"/>
                <w:sz w:val="20"/>
                <w:szCs w:val="20"/>
              </w:rPr>
              <w:t>(Regionals, Commuters, Small)</w:t>
            </w:r>
          </w:p>
        </w:tc>
        <w:tc>
          <w:tcPr>
            <w:tcW w:w="1852" w:type="dxa"/>
            <w:tcBorders>
              <w:top w:val="single" w:color="auto" w:sz="4" w:space="0"/>
              <w:left w:val="single" w:color="auto" w:sz="12" w:space="0"/>
              <w:bottom w:val="single" w:color="auto" w:sz="12" w:space="0"/>
            </w:tcBorders>
            <w:shd w:val="clear" w:color="auto" w:fill="B3B3B3"/>
            <w:vAlign w:val="center"/>
          </w:tcPr>
          <w:p w:rsidR="003B0815" w:rsidRDefault="003B0815" w14:paraId="639EF333" w14:textId="77777777">
            <w:pPr>
              <w:keepNext/>
              <w:jc w:val="center"/>
              <w:rPr>
                <w:rFonts w:ascii="Arial" w:hAnsi="Arial"/>
                <w:b/>
                <w:sz w:val="20"/>
                <w:szCs w:val="20"/>
              </w:rPr>
            </w:pPr>
            <w:r>
              <w:rPr>
                <w:rFonts w:ascii="Arial" w:hAnsi="Arial"/>
                <w:b/>
                <w:sz w:val="20"/>
                <w:szCs w:val="20"/>
              </w:rPr>
              <w:t>Group 3</w:t>
            </w:r>
          </w:p>
          <w:p w:rsidR="003B0815" w:rsidRDefault="003B0815" w14:paraId="63E4DF84" w14:textId="77777777">
            <w:pPr>
              <w:keepNext/>
              <w:jc w:val="center"/>
              <w:rPr>
                <w:rFonts w:ascii="Arial" w:hAnsi="Arial"/>
                <w:b/>
                <w:sz w:val="20"/>
                <w:szCs w:val="20"/>
              </w:rPr>
            </w:pPr>
            <w:r>
              <w:rPr>
                <w:rFonts w:ascii="Arial" w:hAnsi="Arial"/>
                <w:b/>
                <w:sz w:val="20"/>
                <w:szCs w:val="20"/>
              </w:rPr>
              <w:t>(6 carriers)</w:t>
            </w:r>
          </w:p>
        </w:tc>
        <w:tc>
          <w:tcPr>
            <w:tcW w:w="1800" w:type="dxa"/>
            <w:tcBorders>
              <w:top w:val="single" w:color="auto" w:sz="4" w:space="0"/>
              <w:bottom w:val="single" w:color="auto" w:sz="12" w:space="0"/>
              <w:right w:val="single" w:color="auto" w:sz="4" w:space="0"/>
            </w:tcBorders>
            <w:shd w:val="clear" w:color="auto" w:fill="8C8C8C"/>
            <w:vAlign w:val="center"/>
          </w:tcPr>
          <w:p w:rsidR="003B0815" w:rsidRDefault="003B0815" w14:paraId="5E5FABAF" w14:textId="77777777">
            <w:pPr>
              <w:keepNext/>
              <w:jc w:val="center"/>
              <w:rPr>
                <w:rFonts w:ascii="Arial" w:hAnsi="Arial"/>
                <w:b/>
                <w:sz w:val="20"/>
                <w:szCs w:val="20"/>
              </w:rPr>
            </w:pPr>
            <w:r>
              <w:rPr>
                <w:rFonts w:ascii="Arial" w:hAnsi="Arial"/>
                <w:b/>
                <w:sz w:val="20"/>
                <w:szCs w:val="20"/>
              </w:rPr>
              <w:t>N/A</w:t>
            </w:r>
          </w:p>
        </w:tc>
        <w:tc>
          <w:tcPr>
            <w:tcW w:w="1800" w:type="dxa"/>
            <w:tcBorders>
              <w:top w:val="single" w:color="auto" w:sz="4" w:space="0"/>
              <w:left w:val="single" w:color="auto" w:sz="4" w:space="0"/>
              <w:bottom w:val="single" w:color="auto" w:sz="12" w:space="0"/>
              <w:right w:val="single" w:color="auto" w:sz="12" w:space="0"/>
            </w:tcBorders>
            <w:shd w:val="clear" w:color="auto" w:fill="8C8C8C"/>
            <w:vAlign w:val="center"/>
          </w:tcPr>
          <w:p w:rsidR="003B0815" w:rsidRDefault="003B0815" w14:paraId="174A4586" w14:textId="77777777">
            <w:pPr>
              <w:keepNext/>
              <w:jc w:val="center"/>
              <w:rPr>
                <w:rFonts w:ascii="Arial" w:hAnsi="Arial"/>
                <w:b/>
                <w:sz w:val="20"/>
                <w:szCs w:val="20"/>
              </w:rPr>
            </w:pPr>
            <w:r>
              <w:rPr>
                <w:rFonts w:ascii="Arial" w:hAnsi="Arial"/>
                <w:b/>
                <w:sz w:val="20"/>
                <w:szCs w:val="20"/>
              </w:rPr>
              <w:t>N/A</w:t>
            </w:r>
          </w:p>
        </w:tc>
      </w:tr>
    </w:tbl>
    <w:p w:rsidR="003B0815" w:rsidRDefault="003B0815" w14:paraId="6D87DE38" w14:textId="77777777">
      <w:pPr>
        <w:spacing w:line="360" w:lineRule="auto"/>
        <w:ind w:firstLine="720"/>
      </w:pPr>
    </w:p>
    <w:p w:rsidR="003B0815" w:rsidRDefault="003B0815" w14:paraId="1064EB61" w14:textId="77777777">
      <w:pPr>
        <w:spacing w:line="360" w:lineRule="auto"/>
        <w:ind w:firstLine="720"/>
      </w:pPr>
      <w:r>
        <w:t>Implementation Group 1 represents all legacy marketing carriers and their affiliates utilizing an older GDS or host ARS.  Legacy airlines, those flying prior to the Airline Deregulation Act of 1978 (P.L. 95-504), are all major airlines and have the oldest computer systems.  Accordingly, TSA assumed this group will incur the highest compliance costs.  Implementation Group 2 includes marketing carriers utilizing a newer GDS or host ARS, as well as national carriers subscribing to an older GDS.  Implementation Group 3 represents the three carriers determined capable of receiving a direct connection to Secure Flight, as well as regional, commuter, and small airlines subscribing to an older GDS or host ARS.  Group 4 (not shown) contains the remaining 16 carriers that TSA assumes will utilize the Web interface.</w:t>
      </w:r>
    </w:p>
    <w:p w:rsidR="003B0815" w:rsidRDefault="003B0815" w14:paraId="0AA6A469" w14:textId="77777777">
      <w:pPr>
        <w:spacing w:line="360" w:lineRule="auto"/>
        <w:ind w:firstLine="720"/>
      </w:pPr>
      <w:r>
        <w:t>Column 2 of Table 1.4.1.e presents the total distribution of carriers, both marketing and affiliated, within each of these four groups according to their BTS classification.  The third column provides the number of marketing airlines that TSA assumes will bear the up-front cost burden to connect to Secure Flight.  This column shows that of the 66 total carriers, 43 will initially incur costs to connect to the Secure Flight system due to affiliated carriers utilizing the reservation systems of marketing carriers.  TSA anticipated these costs will likely be passed on from the marketing carriers to their affiliates, but TSA did not have sufficient information to determine how these costs will be distributed.  The fourth column presents the proportion of covered enplanements represented by each group.</w:t>
      </w:r>
      <w:bookmarkStart w:name="_Toc111627359" w:id="107"/>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
        <w:gridCol w:w="2080"/>
        <w:gridCol w:w="2472"/>
        <w:gridCol w:w="1260"/>
        <w:gridCol w:w="1695"/>
      </w:tblGrid>
      <w:tr w:rsidR="003B0815" w14:paraId="6C0BE5DF" w14:textId="77777777">
        <w:trPr>
          <w:jc w:val="center"/>
        </w:trPr>
        <w:tc>
          <w:tcPr>
            <w:tcW w:w="8335" w:type="dxa"/>
            <w:gridSpan w:val="5"/>
            <w:tcBorders>
              <w:top w:val="nil"/>
              <w:left w:val="nil"/>
              <w:bottom w:val="nil"/>
              <w:right w:val="nil"/>
            </w:tcBorders>
          </w:tcPr>
          <w:p w:rsidR="003B0815" w:rsidRDefault="003B0815" w14:paraId="35FDFE27" w14:textId="77777777">
            <w:pPr>
              <w:pStyle w:val="RegEvalTableHeader"/>
              <w:keepNext/>
            </w:pPr>
            <w:bookmarkStart w:name="_Toc114566410" w:id="108"/>
            <w:bookmarkStart w:name="_Toc139943605" w:id="109"/>
            <w:bookmarkStart w:name="_Toc141001115" w:id="110"/>
            <w:bookmarkStart w:name="_Toc141000946" w:id="111"/>
            <w:bookmarkStart w:name="_Toc165278368" w:id="112"/>
            <w:bookmarkStart w:name="_Toc174438363" w:id="113"/>
            <w:bookmarkStart w:name="_Toc207109502" w:id="114"/>
            <w:r>
              <w:t>Table 1.4.1.e Major Secure Flight Implementation Groupings</w:t>
            </w:r>
            <w:bookmarkEnd w:id="107"/>
            <w:bookmarkEnd w:id="108"/>
            <w:bookmarkEnd w:id="109"/>
            <w:bookmarkEnd w:id="110"/>
            <w:bookmarkEnd w:id="111"/>
            <w:bookmarkEnd w:id="112"/>
            <w:bookmarkEnd w:id="113"/>
            <w:bookmarkEnd w:id="114"/>
          </w:p>
        </w:tc>
      </w:tr>
      <w:tr w:rsidR="003B0815" w14:paraId="46A2AC2E" w14:textId="77777777">
        <w:trPr>
          <w:jc w:val="center"/>
        </w:trPr>
        <w:tc>
          <w:tcPr>
            <w:tcW w:w="828" w:type="dxa"/>
            <w:tcBorders>
              <w:top w:val="nil"/>
              <w:left w:val="nil"/>
              <w:bottom w:val="single" w:color="auto" w:sz="12" w:space="0"/>
              <w:right w:val="single" w:color="auto" w:sz="12" w:space="0"/>
            </w:tcBorders>
          </w:tcPr>
          <w:p w:rsidR="003B0815" w:rsidRDefault="003B0815" w14:paraId="1F7E95B3" w14:textId="77777777">
            <w:pPr>
              <w:keepNext/>
              <w:rPr>
                <w:rFonts w:ascii="Arial" w:hAnsi="Arial"/>
                <w:sz w:val="20"/>
                <w:szCs w:val="20"/>
              </w:rPr>
            </w:pPr>
          </w:p>
        </w:tc>
        <w:tc>
          <w:tcPr>
            <w:tcW w:w="2080" w:type="dxa"/>
            <w:tcBorders>
              <w:top w:val="single" w:color="auto" w:sz="12" w:space="0"/>
              <w:left w:val="single" w:color="auto" w:sz="12" w:space="0"/>
              <w:bottom w:val="single" w:color="auto" w:sz="12" w:space="0"/>
            </w:tcBorders>
            <w:vAlign w:val="center"/>
          </w:tcPr>
          <w:p w:rsidR="003B0815" w:rsidRDefault="003B0815" w14:paraId="5641A6E7" w14:textId="77777777">
            <w:pPr>
              <w:keepNext/>
              <w:jc w:val="center"/>
              <w:rPr>
                <w:rFonts w:ascii="Arial" w:hAnsi="Arial"/>
                <w:b/>
                <w:sz w:val="20"/>
                <w:szCs w:val="20"/>
              </w:rPr>
            </w:pPr>
            <w:r>
              <w:rPr>
                <w:rFonts w:ascii="Arial" w:hAnsi="Arial"/>
                <w:b/>
                <w:sz w:val="20"/>
                <w:szCs w:val="20"/>
              </w:rPr>
              <w:t>Group</w:t>
            </w:r>
          </w:p>
        </w:tc>
        <w:tc>
          <w:tcPr>
            <w:tcW w:w="2472" w:type="dxa"/>
            <w:tcBorders>
              <w:top w:val="single" w:color="auto" w:sz="12" w:space="0"/>
              <w:bottom w:val="single" w:color="auto" w:sz="12" w:space="0"/>
            </w:tcBorders>
            <w:vAlign w:val="center"/>
          </w:tcPr>
          <w:p w:rsidR="003B0815" w:rsidRDefault="003B0815" w14:paraId="2FACD292" w14:textId="77777777">
            <w:pPr>
              <w:keepNext/>
              <w:jc w:val="center"/>
              <w:rPr>
                <w:rFonts w:ascii="Arial" w:hAnsi="Arial"/>
                <w:b/>
                <w:sz w:val="20"/>
                <w:szCs w:val="20"/>
              </w:rPr>
            </w:pPr>
            <w:r>
              <w:rPr>
                <w:rFonts w:ascii="Arial" w:hAnsi="Arial"/>
                <w:b/>
                <w:sz w:val="20"/>
                <w:szCs w:val="20"/>
              </w:rPr>
              <w:t>Distribution of Carriers by BTS Classification</w:t>
            </w:r>
          </w:p>
          <w:p w:rsidR="003B0815" w:rsidRDefault="003B0815" w14:paraId="1416FF09" w14:textId="77777777">
            <w:pPr>
              <w:keepNext/>
              <w:jc w:val="center"/>
              <w:rPr>
                <w:rFonts w:ascii="Arial" w:hAnsi="Arial"/>
                <w:b/>
                <w:sz w:val="20"/>
                <w:szCs w:val="20"/>
              </w:rPr>
            </w:pPr>
            <w:r>
              <w:rPr>
                <w:rFonts w:ascii="Arial" w:hAnsi="Arial"/>
                <w:b/>
                <w:sz w:val="20"/>
                <w:szCs w:val="20"/>
              </w:rPr>
              <w:t>(66 Carriers)</w:t>
            </w:r>
          </w:p>
        </w:tc>
        <w:tc>
          <w:tcPr>
            <w:tcW w:w="1260" w:type="dxa"/>
            <w:tcBorders>
              <w:top w:val="single" w:color="auto" w:sz="12" w:space="0"/>
              <w:bottom w:val="single" w:color="auto" w:sz="12" w:space="0"/>
            </w:tcBorders>
            <w:vAlign w:val="center"/>
          </w:tcPr>
          <w:p w:rsidR="003B0815" w:rsidRDefault="003B0815" w14:paraId="5142C77F" w14:textId="77777777">
            <w:pPr>
              <w:keepNext/>
              <w:jc w:val="center"/>
              <w:rPr>
                <w:rFonts w:ascii="Arial" w:hAnsi="Arial"/>
                <w:b/>
                <w:sz w:val="20"/>
                <w:szCs w:val="20"/>
              </w:rPr>
            </w:pPr>
            <w:r>
              <w:rPr>
                <w:rFonts w:ascii="Arial" w:hAnsi="Arial"/>
                <w:b/>
                <w:sz w:val="20"/>
                <w:szCs w:val="20"/>
              </w:rPr>
              <w:t>Number of Marketing Carriers</w:t>
            </w:r>
          </w:p>
        </w:tc>
        <w:tc>
          <w:tcPr>
            <w:tcW w:w="1695" w:type="dxa"/>
            <w:tcBorders>
              <w:top w:val="single" w:color="auto" w:sz="12" w:space="0"/>
              <w:bottom w:val="single" w:color="auto" w:sz="12" w:space="0"/>
              <w:right w:val="single" w:color="auto" w:sz="12" w:space="0"/>
            </w:tcBorders>
            <w:vAlign w:val="center"/>
          </w:tcPr>
          <w:p w:rsidR="003B0815" w:rsidRDefault="003B0815" w14:paraId="09EC3B11" w14:textId="77777777">
            <w:pPr>
              <w:keepNext/>
              <w:jc w:val="center"/>
              <w:rPr>
                <w:rFonts w:ascii="Arial" w:hAnsi="Arial"/>
                <w:b/>
                <w:sz w:val="20"/>
                <w:szCs w:val="20"/>
              </w:rPr>
            </w:pPr>
            <w:r>
              <w:rPr>
                <w:rFonts w:ascii="Arial" w:hAnsi="Arial"/>
                <w:b/>
                <w:sz w:val="20"/>
                <w:szCs w:val="20"/>
              </w:rPr>
              <w:t>Proportion of Covered Enplanements</w:t>
            </w:r>
          </w:p>
        </w:tc>
      </w:tr>
      <w:tr w:rsidR="003B0815" w14:paraId="0B4DC024" w14:textId="77777777">
        <w:trPr>
          <w:cantSplit/>
          <w:jc w:val="center"/>
        </w:trPr>
        <w:tc>
          <w:tcPr>
            <w:tcW w:w="828" w:type="dxa"/>
            <w:vMerge w:val="restart"/>
            <w:tcBorders>
              <w:top w:val="single" w:color="auto" w:sz="12" w:space="0"/>
              <w:left w:val="single" w:color="auto" w:sz="12" w:space="0"/>
              <w:bottom w:val="single" w:color="auto" w:sz="12" w:space="0"/>
              <w:right w:val="single" w:color="auto" w:sz="12" w:space="0"/>
            </w:tcBorders>
            <w:textDirection w:val="btLr"/>
            <w:vAlign w:val="center"/>
          </w:tcPr>
          <w:p w:rsidR="003B0815" w:rsidRDefault="003B0815" w14:paraId="69B4329B" w14:textId="77777777">
            <w:pPr>
              <w:keepNext/>
              <w:ind w:left="113" w:right="113"/>
              <w:jc w:val="center"/>
              <w:rPr>
                <w:rFonts w:ascii="Arial" w:hAnsi="Arial"/>
                <w:sz w:val="20"/>
                <w:szCs w:val="20"/>
              </w:rPr>
            </w:pPr>
            <w:r>
              <w:rPr>
                <w:rFonts w:ascii="Arial" w:hAnsi="Arial"/>
                <w:b/>
                <w:sz w:val="20"/>
                <w:szCs w:val="20"/>
              </w:rPr>
              <w:t>Direct Connection to Secure Flight</w:t>
            </w:r>
          </w:p>
        </w:tc>
        <w:tc>
          <w:tcPr>
            <w:tcW w:w="2080" w:type="dxa"/>
            <w:tcBorders>
              <w:left w:val="single" w:color="auto" w:sz="12" w:space="0"/>
            </w:tcBorders>
            <w:vAlign w:val="center"/>
          </w:tcPr>
          <w:p w:rsidR="003B0815" w:rsidRDefault="003B0815" w14:paraId="4106529A" w14:textId="77777777">
            <w:pPr>
              <w:keepNext/>
              <w:jc w:val="center"/>
              <w:rPr>
                <w:rFonts w:ascii="Arial" w:hAnsi="Arial"/>
                <w:b/>
                <w:sz w:val="20"/>
                <w:szCs w:val="20"/>
              </w:rPr>
            </w:pPr>
            <w:r>
              <w:rPr>
                <w:rFonts w:ascii="Arial" w:hAnsi="Arial"/>
                <w:b/>
                <w:sz w:val="20"/>
                <w:szCs w:val="20"/>
              </w:rPr>
              <w:t>1</w:t>
            </w:r>
          </w:p>
          <w:p w:rsidR="003B0815" w:rsidRDefault="003B0815" w14:paraId="2A9BC62C" w14:textId="77777777">
            <w:pPr>
              <w:keepNext/>
              <w:jc w:val="center"/>
              <w:rPr>
                <w:rFonts w:ascii="Arial" w:hAnsi="Arial"/>
                <w:sz w:val="20"/>
                <w:szCs w:val="20"/>
              </w:rPr>
            </w:pPr>
            <w:r>
              <w:rPr>
                <w:rFonts w:ascii="Arial" w:hAnsi="Arial"/>
                <w:sz w:val="20"/>
                <w:szCs w:val="20"/>
              </w:rPr>
              <w:t>Legacy marketing carriers and their affiliates using an older GDS/ host ARS</w:t>
            </w:r>
          </w:p>
        </w:tc>
        <w:tc>
          <w:tcPr>
            <w:tcW w:w="2472" w:type="dxa"/>
          </w:tcPr>
          <w:p w:rsidR="003B0815" w:rsidRDefault="003B0815" w14:paraId="350E52DD" w14:textId="77777777">
            <w:pPr>
              <w:keepNext/>
              <w:tabs>
                <w:tab w:val="left" w:pos="1855"/>
              </w:tabs>
              <w:rPr>
                <w:rFonts w:ascii="Arial" w:hAnsi="Arial"/>
                <w:sz w:val="20"/>
                <w:szCs w:val="20"/>
              </w:rPr>
            </w:pPr>
            <w:r>
              <w:rPr>
                <w:rFonts w:ascii="Arial" w:hAnsi="Arial"/>
                <w:sz w:val="20"/>
                <w:szCs w:val="20"/>
              </w:rPr>
              <w:t xml:space="preserve">Majors: </w:t>
            </w:r>
            <w:r>
              <w:rPr>
                <w:rFonts w:ascii="Arial" w:hAnsi="Arial"/>
                <w:sz w:val="20"/>
                <w:szCs w:val="20"/>
              </w:rPr>
              <w:tab/>
              <w:t>15</w:t>
            </w:r>
          </w:p>
          <w:p w:rsidR="003B0815" w:rsidRDefault="003B0815" w14:paraId="018DA9B4" w14:textId="77777777">
            <w:pPr>
              <w:keepNext/>
              <w:tabs>
                <w:tab w:val="left" w:pos="1855"/>
              </w:tabs>
              <w:rPr>
                <w:rFonts w:ascii="Arial" w:hAnsi="Arial"/>
                <w:sz w:val="20"/>
                <w:szCs w:val="20"/>
              </w:rPr>
            </w:pPr>
            <w:r>
              <w:rPr>
                <w:rFonts w:ascii="Arial" w:hAnsi="Arial"/>
                <w:sz w:val="20"/>
                <w:szCs w:val="20"/>
              </w:rPr>
              <w:t xml:space="preserve">Nationals:  </w:t>
            </w:r>
            <w:r>
              <w:rPr>
                <w:rFonts w:ascii="Arial" w:hAnsi="Arial"/>
                <w:sz w:val="20"/>
                <w:szCs w:val="20"/>
              </w:rPr>
              <w:tab/>
              <w:t>9</w:t>
            </w:r>
          </w:p>
          <w:p w:rsidR="003B0815" w:rsidRDefault="003B0815" w14:paraId="32B40175" w14:textId="77777777">
            <w:pPr>
              <w:keepNext/>
              <w:tabs>
                <w:tab w:val="left" w:pos="1855"/>
              </w:tabs>
              <w:rPr>
                <w:rFonts w:ascii="Arial" w:hAnsi="Arial"/>
                <w:sz w:val="20"/>
                <w:szCs w:val="20"/>
              </w:rPr>
            </w:pPr>
            <w:r>
              <w:rPr>
                <w:rFonts w:ascii="Arial" w:hAnsi="Arial"/>
                <w:sz w:val="20"/>
                <w:szCs w:val="20"/>
              </w:rPr>
              <w:t xml:space="preserve">Large Regionals:  </w:t>
            </w:r>
            <w:r>
              <w:rPr>
                <w:rFonts w:ascii="Arial" w:hAnsi="Arial"/>
                <w:sz w:val="20"/>
                <w:szCs w:val="20"/>
              </w:rPr>
              <w:tab/>
              <w:t>1</w:t>
            </w:r>
          </w:p>
          <w:p w:rsidR="003B0815" w:rsidRDefault="003B0815" w14:paraId="3EA8BFA5" w14:textId="77777777">
            <w:pPr>
              <w:keepNext/>
              <w:tabs>
                <w:tab w:val="left" w:pos="1855"/>
              </w:tabs>
              <w:rPr>
                <w:rFonts w:ascii="Arial" w:hAnsi="Arial"/>
                <w:sz w:val="20"/>
                <w:szCs w:val="20"/>
              </w:rPr>
            </w:pPr>
            <w:r>
              <w:rPr>
                <w:rFonts w:ascii="Arial" w:hAnsi="Arial"/>
                <w:sz w:val="20"/>
                <w:szCs w:val="20"/>
              </w:rPr>
              <w:t xml:space="preserve">Med. Regionals:  </w:t>
            </w:r>
            <w:r>
              <w:rPr>
                <w:rFonts w:ascii="Arial" w:hAnsi="Arial"/>
                <w:sz w:val="20"/>
                <w:szCs w:val="20"/>
              </w:rPr>
              <w:tab/>
              <w:t>0</w:t>
            </w:r>
          </w:p>
          <w:p w:rsidR="003B0815" w:rsidRDefault="003B0815" w14:paraId="6ACCEF9F" w14:textId="77777777">
            <w:pPr>
              <w:keepNext/>
              <w:tabs>
                <w:tab w:val="left" w:pos="1855"/>
              </w:tabs>
              <w:rPr>
                <w:rFonts w:ascii="Arial" w:hAnsi="Arial"/>
                <w:sz w:val="20"/>
                <w:szCs w:val="20"/>
              </w:rPr>
            </w:pPr>
            <w:r>
              <w:rPr>
                <w:rFonts w:ascii="Arial" w:hAnsi="Arial"/>
                <w:sz w:val="20"/>
                <w:szCs w:val="20"/>
              </w:rPr>
              <w:t xml:space="preserve">Small:  </w:t>
            </w:r>
            <w:r>
              <w:rPr>
                <w:rFonts w:ascii="Arial" w:hAnsi="Arial"/>
                <w:sz w:val="20"/>
                <w:szCs w:val="20"/>
              </w:rPr>
              <w:tab/>
              <w:t>1</w:t>
            </w:r>
          </w:p>
          <w:p w:rsidR="003B0815" w:rsidRDefault="003B0815" w14:paraId="5311A4A4" w14:textId="77777777">
            <w:pPr>
              <w:keepNext/>
              <w:tabs>
                <w:tab w:val="left" w:pos="1855"/>
              </w:tabs>
              <w:rPr>
                <w:rFonts w:ascii="Arial" w:hAnsi="Arial"/>
                <w:sz w:val="20"/>
                <w:szCs w:val="20"/>
              </w:rPr>
            </w:pPr>
            <w:r>
              <w:rPr>
                <w:rFonts w:ascii="Arial" w:hAnsi="Arial"/>
                <w:sz w:val="20"/>
                <w:szCs w:val="20"/>
              </w:rPr>
              <w:t xml:space="preserve">Commuter:  </w:t>
            </w:r>
            <w:r>
              <w:rPr>
                <w:rFonts w:ascii="Arial" w:hAnsi="Arial"/>
                <w:sz w:val="20"/>
                <w:szCs w:val="20"/>
              </w:rPr>
              <w:tab/>
              <w:t>6</w:t>
            </w:r>
          </w:p>
        </w:tc>
        <w:tc>
          <w:tcPr>
            <w:tcW w:w="1260" w:type="dxa"/>
            <w:vAlign w:val="center"/>
          </w:tcPr>
          <w:p w:rsidR="003B0815" w:rsidRDefault="003B0815" w14:paraId="66E60769" w14:textId="77777777">
            <w:pPr>
              <w:keepNext/>
              <w:jc w:val="center"/>
              <w:rPr>
                <w:rFonts w:ascii="Arial" w:hAnsi="Arial"/>
                <w:sz w:val="20"/>
                <w:szCs w:val="20"/>
              </w:rPr>
            </w:pPr>
            <w:r>
              <w:rPr>
                <w:rFonts w:ascii="Arial" w:hAnsi="Arial"/>
                <w:sz w:val="20"/>
                <w:szCs w:val="20"/>
              </w:rPr>
              <w:t>10</w:t>
            </w:r>
          </w:p>
        </w:tc>
        <w:tc>
          <w:tcPr>
            <w:tcW w:w="1695" w:type="dxa"/>
            <w:tcBorders>
              <w:right w:val="single" w:color="auto" w:sz="12" w:space="0"/>
            </w:tcBorders>
            <w:vAlign w:val="center"/>
          </w:tcPr>
          <w:p w:rsidR="003B0815" w:rsidRDefault="003B0815" w14:paraId="21B72D33" w14:textId="77777777">
            <w:pPr>
              <w:keepNext/>
              <w:jc w:val="center"/>
              <w:rPr>
                <w:rFonts w:ascii="Arial" w:hAnsi="Arial"/>
                <w:sz w:val="20"/>
                <w:szCs w:val="20"/>
              </w:rPr>
            </w:pPr>
            <w:r>
              <w:rPr>
                <w:rFonts w:ascii="Arial" w:hAnsi="Arial"/>
                <w:sz w:val="20"/>
                <w:szCs w:val="20"/>
              </w:rPr>
              <w:t>89.10%</w:t>
            </w:r>
          </w:p>
        </w:tc>
      </w:tr>
      <w:tr w:rsidR="003B0815" w14:paraId="56FBDCC1" w14:textId="77777777">
        <w:trPr>
          <w:cantSplit/>
          <w:jc w:val="center"/>
        </w:trPr>
        <w:tc>
          <w:tcPr>
            <w:tcW w:w="828" w:type="dxa"/>
            <w:vMerge/>
            <w:tcBorders>
              <w:left w:val="single" w:color="auto" w:sz="12" w:space="0"/>
              <w:bottom w:val="single" w:color="auto" w:sz="12" w:space="0"/>
              <w:right w:val="single" w:color="auto" w:sz="12" w:space="0"/>
            </w:tcBorders>
            <w:vAlign w:val="center"/>
          </w:tcPr>
          <w:p w:rsidR="003B0815" w:rsidRDefault="003B0815" w14:paraId="40D0EAE9" w14:textId="77777777">
            <w:pPr>
              <w:keepNext/>
              <w:jc w:val="center"/>
              <w:rPr>
                <w:rFonts w:ascii="Arial" w:hAnsi="Arial"/>
                <w:sz w:val="20"/>
                <w:szCs w:val="20"/>
              </w:rPr>
            </w:pPr>
          </w:p>
        </w:tc>
        <w:tc>
          <w:tcPr>
            <w:tcW w:w="2080" w:type="dxa"/>
            <w:tcBorders>
              <w:left w:val="single" w:color="auto" w:sz="12" w:space="0"/>
            </w:tcBorders>
            <w:vAlign w:val="center"/>
          </w:tcPr>
          <w:p w:rsidR="003B0815" w:rsidRDefault="003B0815" w14:paraId="29D0D193" w14:textId="77777777">
            <w:pPr>
              <w:keepNext/>
              <w:jc w:val="center"/>
              <w:rPr>
                <w:rFonts w:ascii="Arial" w:hAnsi="Arial"/>
                <w:b/>
                <w:sz w:val="20"/>
                <w:szCs w:val="20"/>
              </w:rPr>
            </w:pPr>
            <w:r>
              <w:rPr>
                <w:rFonts w:ascii="Arial" w:hAnsi="Arial"/>
                <w:b/>
                <w:sz w:val="20"/>
                <w:szCs w:val="20"/>
              </w:rPr>
              <w:t>2</w:t>
            </w:r>
          </w:p>
          <w:p w:rsidR="003B0815" w:rsidRDefault="003B0815" w14:paraId="4B04C194" w14:textId="77777777">
            <w:pPr>
              <w:keepNext/>
              <w:jc w:val="center"/>
              <w:rPr>
                <w:rFonts w:ascii="Arial" w:hAnsi="Arial"/>
                <w:sz w:val="20"/>
                <w:szCs w:val="20"/>
              </w:rPr>
            </w:pPr>
            <w:r>
              <w:rPr>
                <w:rFonts w:ascii="Arial" w:hAnsi="Arial"/>
                <w:sz w:val="20"/>
                <w:szCs w:val="20"/>
              </w:rPr>
              <w:t>Non-legacy major or national carriers and their affiliates using a GDS/ host ARS</w:t>
            </w:r>
          </w:p>
        </w:tc>
        <w:tc>
          <w:tcPr>
            <w:tcW w:w="2472" w:type="dxa"/>
          </w:tcPr>
          <w:p w:rsidR="003B0815" w:rsidRDefault="003B0815" w14:paraId="1083280E" w14:textId="77777777">
            <w:pPr>
              <w:keepNext/>
              <w:tabs>
                <w:tab w:val="left" w:pos="1855"/>
              </w:tabs>
              <w:rPr>
                <w:rFonts w:ascii="Arial" w:hAnsi="Arial"/>
                <w:sz w:val="20"/>
                <w:szCs w:val="20"/>
              </w:rPr>
            </w:pPr>
            <w:r>
              <w:rPr>
                <w:rFonts w:ascii="Arial" w:hAnsi="Arial"/>
                <w:sz w:val="20"/>
                <w:szCs w:val="20"/>
              </w:rPr>
              <w:t xml:space="preserve">Majors:  </w:t>
            </w:r>
            <w:r>
              <w:rPr>
                <w:rFonts w:ascii="Arial" w:hAnsi="Arial"/>
                <w:sz w:val="20"/>
                <w:szCs w:val="20"/>
              </w:rPr>
              <w:tab/>
              <w:t>2</w:t>
            </w:r>
          </w:p>
          <w:p w:rsidR="003B0815" w:rsidRDefault="003B0815" w14:paraId="12A45A09" w14:textId="77777777">
            <w:pPr>
              <w:keepNext/>
              <w:tabs>
                <w:tab w:val="left" w:pos="1855"/>
              </w:tabs>
              <w:rPr>
                <w:rFonts w:ascii="Arial" w:hAnsi="Arial"/>
                <w:sz w:val="20"/>
                <w:szCs w:val="20"/>
              </w:rPr>
            </w:pPr>
            <w:r>
              <w:rPr>
                <w:rFonts w:ascii="Arial" w:hAnsi="Arial"/>
                <w:sz w:val="20"/>
                <w:szCs w:val="20"/>
              </w:rPr>
              <w:t xml:space="preserve">Nationals:  </w:t>
            </w:r>
            <w:r>
              <w:rPr>
                <w:rFonts w:ascii="Arial" w:hAnsi="Arial"/>
                <w:sz w:val="20"/>
                <w:szCs w:val="20"/>
              </w:rPr>
              <w:tab/>
              <w:t>6</w:t>
            </w:r>
          </w:p>
          <w:p w:rsidR="003B0815" w:rsidRDefault="003B0815" w14:paraId="461EC08B" w14:textId="77777777">
            <w:pPr>
              <w:keepNext/>
              <w:tabs>
                <w:tab w:val="left" w:pos="1855"/>
              </w:tabs>
              <w:rPr>
                <w:rFonts w:ascii="Arial" w:hAnsi="Arial"/>
                <w:sz w:val="20"/>
                <w:szCs w:val="20"/>
              </w:rPr>
            </w:pPr>
            <w:r>
              <w:rPr>
                <w:rFonts w:ascii="Arial" w:hAnsi="Arial"/>
                <w:sz w:val="20"/>
                <w:szCs w:val="20"/>
              </w:rPr>
              <w:t>Large Regionals:</w:t>
            </w:r>
            <w:r>
              <w:rPr>
                <w:rFonts w:ascii="Arial" w:hAnsi="Arial"/>
                <w:sz w:val="20"/>
                <w:szCs w:val="20"/>
              </w:rPr>
              <w:tab/>
              <w:t>0</w:t>
            </w:r>
          </w:p>
          <w:p w:rsidR="003B0815" w:rsidRDefault="003B0815" w14:paraId="24CD73F5" w14:textId="77777777">
            <w:pPr>
              <w:keepNext/>
              <w:tabs>
                <w:tab w:val="left" w:pos="1855"/>
              </w:tabs>
              <w:rPr>
                <w:rFonts w:ascii="Arial" w:hAnsi="Arial"/>
                <w:sz w:val="20"/>
                <w:szCs w:val="20"/>
              </w:rPr>
            </w:pPr>
            <w:r>
              <w:rPr>
                <w:rFonts w:ascii="Arial" w:hAnsi="Arial"/>
                <w:sz w:val="20"/>
                <w:szCs w:val="20"/>
              </w:rPr>
              <w:t xml:space="preserve">Med. Regionals:  </w:t>
            </w:r>
            <w:r>
              <w:rPr>
                <w:rFonts w:ascii="Arial" w:hAnsi="Arial"/>
                <w:sz w:val="20"/>
                <w:szCs w:val="20"/>
              </w:rPr>
              <w:tab/>
              <w:t>0</w:t>
            </w:r>
          </w:p>
          <w:p w:rsidR="003B0815" w:rsidRDefault="003B0815" w14:paraId="78E64136" w14:textId="77777777">
            <w:pPr>
              <w:keepNext/>
              <w:tabs>
                <w:tab w:val="left" w:pos="1855"/>
              </w:tabs>
              <w:rPr>
                <w:rFonts w:ascii="Arial" w:hAnsi="Arial"/>
                <w:sz w:val="20"/>
                <w:szCs w:val="20"/>
              </w:rPr>
            </w:pPr>
            <w:r>
              <w:rPr>
                <w:rFonts w:ascii="Arial" w:hAnsi="Arial"/>
                <w:sz w:val="20"/>
                <w:szCs w:val="20"/>
              </w:rPr>
              <w:t xml:space="preserve">Small:  </w:t>
            </w:r>
            <w:r>
              <w:rPr>
                <w:rFonts w:ascii="Arial" w:hAnsi="Arial"/>
                <w:sz w:val="20"/>
                <w:szCs w:val="20"/>
              </w:rPr>
              <w:tab/>
              <w:t>1</w:t>
            </w:r>
          </w:p>
          <w:p w:rsidR="003B0815" w:rsidRDefault="003B0815" w14:paraId="3460B233" w14:textId="77777777">
            <w:pPr>
              <w:keepNext/>
              <w:tabs>
                <w:tab w:val="left" w:pos="1855"/>
              </w:tabs>
              <w:rPr>
                <w:rFonts w:ascii="Arial" w:hAnsi="Arial"/>
                <w:sz w:val="20"/>
                <w:szCs w:val="20"/>
              </w:rPr>
            </w:pPr>
            <w:r>
              <w:rPr>
                <w:rFonts w:ascii="Arial" w:hAnsi="Arial"/>
                <w:sz w:val="20"/>
                <w:szCs w:val="20"/>
              </w:rPr>
              <w:t xml:space="preserve">Commuter:  </w:t>
            </w:r>
            <w:r>
              <w:rPr>
                <w:rFonts w:ascii="Arial" w:hAnsi="Arial"/>
                <w:sz w:val="20"/>
                <w:szCs w:val="20"/>
              </w:rPr>
              <w:tab/>
              <w:t>0</w:t>
            </w:r>
          </w:p>
        </w:tc>
        <w:tc>
          <w:tcPr>
            <w:tcW w:w="1260" w:type="dxa"/>
            <w:vAlign w:val="center"/>
          </w:tcPr>
          <w:p w:rsidR="003B0815" w:rsidRDefault="003B0815" w14:paraId="7CA1127C" w14:textId="77777777">
            <w:pPr>
              <w:keepNext/>
              <w:jc w:val="center"/>
              <w:rPr>
                <w:rFonts w:ascii="Arial" w:hAnsi="Arial"/>
                <w:sz w:val="20"/>
                <w:szCs w:val="20"/>
              </w:rPr>
            </w:pPr>
            <w:r>
              <w:rPr>
                <w:rFonts w:ascii="Arial" w:hAnsi="Arial"/>
                <w:sz w:val="20"/>
                <w:szCs w:val="20"/>
              </w:rPr>
              <w:t>8</w:t>
            </w:r>
          </w:p>
        </w:tc>
        <w:tc>
          <w:tcPr>
            <w:tcW w:w="1695" w:type="dxa"/>
            <w:tcBorders>
              <w:right w:val="single" w:color="auto" w:sz="12" w:space="0"/>
            </w:tcBorders>
            <w:vAlign w:val="center"/>
          </w:tcPr>
          <w:p w:rsidR="003B0815" w:rsidRDefault="003B0815" w14:paraId="4A4F1595" w14:textId="77777777">
            <w:pPr>
              <w:keepNext/>
              <w:jc w:val="center"/>
              <w:rPr>
                <w:rFonts w:ascii="Arial" w:hAnsi="Arial"/>
                <w:sz w:val="20"/>
                <w:szCs w:val="20"/>
              </w:rPr>
            </w:pPr>
            <w:r>
              <w:rPr>
                <w:rFonts w:ascii="Arial" w:hAnsi="Arial"/>
                <w:sz w:val="20"/>
                <w:szCs w:val="20"/>
              </w:rPr>
              <w:t>9.20%</w:t>
            </w:r>
          </w:p>
        </w:tc>
      </w:tr>
      <w:tr w:rsidR="003B0815" w14:paraId="5CE4678B" w14:textId="77777777">
        <w:trPr>
          <w:cantSplit/>
          <w:jc w:val="center"/>
        </w:trPr>
        <w:tc>
          <w:tcPr>
            <w:tcW w:w="828" w:type="dxa"/>
            <w:vMerge/>
            <w:tcBorders>
              <w:left w:val="single" w:color="auto" w:sz="12" w:space="0"/>
              <w:bottom w:val="single" w:color="auto" w:sz="12" w:space="0"/>
              <w:right w:val="single" w:color="auto" w:sz="12" w:space="0"/>
            </w:tcBorders>
            <w:vAlign w:val="center"/>
          </w:tcPr>
          <w:p w:rsidR="003B0815" w:rsidRDefault="003B0815" w14:paraId="1750B9F9" w14:textId="77777777">
            <w:pPr>
              <w:keepNext/>
              <w:jc w:val="center"/>
              <w:rPr>
                <w:rFonts w:ascii="Arial" w:hAnsi="Arial"/>
                <w:b/>
                <w:sz w:val="20"/>
                <w:szCs w:val="20"/>
              </w:rPr>
            </w:pPr>
          </w:p>
        </w:tc>
        <w:tc>
          <w:tcPr>
            <w:tcW w:w="2080" w:type="dxa"/>
            <w:tcBorders>
              <w:left w:val="single" w:color="auto" w:sz="12" w:space="0"/>
              <w:bottom w:val="single" w:color="auto" w:sz="12" w:space="0"/>
            </w:tcBorders>
            <w:vAlign w:val="center"/>
          </w:tcPr>
          <w:p w:rsidR="003B0815" w:rsidRDefault="003B0815" w14:paraId="0EFB417A" w14:textId="77777777">
            <w:pPr>
              <w:keepNext/>
              <w:jc w:val="center"/>
              <w:rPr>
                <w:rFonts w:ascii="Arial" w:hAnsi="Arial"/>
                <w:b/>
                <w:sz w:val="20"/>
                <w:szCs w:val="20"/>
              </w:rPr>
            </w:pPr>
            <w:r>
              <w:rPr>
                <w:rFonts w:ascii="Arial" w:hAnsi="Arial"/>
                <w:b/>
                <w:sz w:val="20"/>
                <w:szCs w:val="20"/>
              </w:rPr>
              <w:t>3</w:t>
            </w:r>
          </w:p>
          <w:p w:rsidR="003B0815" w:rsidRDefault="003B0815" w14:paraId="580BABC0" w14:textId="77777777">
            <w:pPr>
              <w:keepNext/>
              <w:jc w:val="center"/>
              <w:rPr>
                <w:rFonts w:ascii="Arial" w:hAnsi="Arial"/>
                <w:sz w:val="20"/>
                <w:szCs w:val="20"/>
              </w:rPr>
            </w:pPr>
            <w:r>
              <w:rPr>
                <w:rFonts w:ascii="Arial" w:hAnsi="Arial"/>
                <w:sz w:val="20"/>
                <w:szCs w:val="20"/>
              </w:rPr>
              <w:t>Remaining non-legacy carriers using a GDS/ host ARS; Majors and nationals with own ARS</w:t>
            </w:r>
          </w:p>
        </w:tc>
        <w:tc>
          <w:tcPr>
            <w:tcW w:w="2472" w:type="dxa"/>
            <w:tcBorders>
              <w:bottom w:val="single" w:color="auto" w:sz="12" w:space="0"/>
            </w:tcBorders>
          </w:tcPr>
          <w:p w:rsidR="003B0815" w:rsidRDefault="003B0815" w14:paraId="52C8DB10" w14:textId="77777777">
            <w:pPr>
              <w:keepNext/>
              <w:tabs>
                <w:tab w:val="left" w:pos="1855"/>
              </w:tabs>
              <w:rPr>
                <w:rFonts w:ascii="Arial" w:hAnsi="Arial"/>
                <w:sz w:val="20"/>
                <w:szCs w:val="20"/>
              </w:rPr>
            </w:pPr>
            <w:r>
              <w:rPr>
                <w:rFonts w:ascii="Arial" w:hAnsi="Arial"/>
                <w:sz w:val="20"/>
                <w:szCs w:val="20"/>
              </w:rPr>
              <w:t xml:space="preserve">Majors:  </w:t>
            </w:r>
            <w:r>
              <w:rPr>
                <w:rFonts w:ascii="Arial" w:hAnsi="Arial"/>
                <w:sz w:val="20"/>
                <w:szCs w:val="20"/>
              </w:rPr>
              <w:tab/>
              <w:t>0</w:t>
            </w:r>
          </w:p>
          <w:p w:rsidR="003B0815" w:rsidRDefault="003B0815" w14:paraId="7E88C761" w14:textId="77777777">
            <w:pPr>
              <w:keepNext/>
              <w:tabs>
                <w:tab w:val="left" w:pos="1855"/>
              </w:tabs>
              <w:rPr>
                <w:rFonts w:ascii="Arial" w:hAnsi="Arial"/>
                <w:sz w:val="20"/>
                <w:szCs w:val="20"/>
              </w:rPr>
            </w:pPr>
            <w:r>
              <w:rPr>
                <w:rFonts w:ascii="Arial" w:hAnsi="Arial"/>
                <w:sz w:val="20"/>
                <w:szCs w:val="20"/>
              </w:rPr>
              <w:t xml:space="preserve">Nationals:  </w:t>
            </w:r>
            <w:r>
              <w:rPr>
                <w:rFonts w:ascii="Arial" w:hAnsi="Arial"/>
                <w:sz w:val="20"/>
                <w:szCs w:val="20"/>
              </w:rPr>
              <w:tab/>
              <w:t>3</w:t>
            </w:r>
          </w:p>
          <w:p w:rsidR="003B0815" w:rsidRDefault="003B0815" w14:paraId="6055DAE2" w14:textId="77777777">
            <w:pPr>
              <w:keepNext/>
              <w:tabs>
                <w:tab w:val="left" w:pos="1855"/>
              </w:tabs>
              <w:rPr>
                <w:rFonts w:ascii="Arial" w:hAnsi="Arial"/>
                <w:sz w:val="20"/>
                <w:szCs w:val="20"/>
              </w:rPr>
            </w:pPr>
            <w:r>
              <w:rPr>
                <w:rFonts w:ascii="Arial" w:hAnsi="Arial"/>
                <w:sz w:val="20"/>
                <w:szCs w:val="20"/>
              </w:rPr>
              <w:t xml:space="preserve">Large Regionals:  </w:t>
            </w:r>
            <w:r>
              <w:rPr>
                <w:rFonts w:ascii="Arial" w:hAnsi="Arial"/>
                <w:sz w:val="20"/>
                <w:szCs w:val="20"/>
              </w:rPr>
              <w:tab/>
              <w:t>1</w:t>
            </w:r>
          </w:p>
          <w:p w:rsidR="003B0815" w:rsidRDefault="003B0815" w14:paraId="58BAF9AD" w14:textId="77777777">
            <w:pPr>
              <w:keepNext/>
              <w:tabs>
                <w:tab w:val="left" w:pos="1855"/>
              </w:tabs>
              <w:rPr>
                <w:rFonts w:ascii="Arial" w:hAnsi="Arial"/>
                <w:sz w:val="20"/>
                <w:szCs w:val="20"/>
              </w:rPr>
            </w:pPr>
            <w:r>
              <w:rPr>
                <w:rFonts w:ascii="Arial" w:hAnsi="Arial"/>
                <w:sz w:val="20"/>
                <w:szCs w:val="20"/>
              </w:rPr>
              <w:t xml:space="preserve">Med. Regionals:  </w:t>
            </w:r>
            <w:r>
              <w:rPr>
                <w:rFonts w:ascii="Arial" w:hAnsi="Arial"/>
                <w:sz w:val="20"/>
                <w:szCs w:val="20"/>
              </w:rPr>
              <w:tab/>
              <w:t>1</w:t>
            </w:r>
          </w:p>
          <w:p w:rsidR="003B0815" w:rsidRDefault="003B0815" w14:paraId="18093911" w14:textId="77777777">
            <w:pPr>
              <w:keepNext/>
              <w:tabs>
                <w:tab w:val="left" w:pos="1855"/>
              </w:tabs>
              <w:rPr>
                <w:rFonts w:ascii="Arial" w:hAnsi="Arial"/>
                <w:sz w:val="20"/>
                <w:szCs w:val="20"/>
              </w:rPr>
            </w:pPr>
            <w:r>
              <w:rPr>
                <w:rFonts w:ascii="Arial" w:hAnsi="Arial"/>
                <w:sz w:val="20"/>
                <w:szCs w:val="20"/>
              </w:rPr>
              <w:t xml:space="preserve">Small:  </w:t>
            </w:r>
            <w:r>
              <w:rPr>
                <w:rFonts w:ascii="Arial" w:hAnsi="Arial"/>
                <w:sz w:val="20"/>
                <w:szCs w:val="20"/>
              </w:rPr>
              <w:tab/>
              <w:t>1</w:t>
            </w:r>
          </w:p>
          <w:p w:rsidR="003B0815" w:rsidRDefault="003B0815" w14:paraId="34DF0523" w14:textId="77777777">
            <w:pPr>
              <w:keepNext/>
              <w:tabs>
                <w:tab w:val="left" w:pos="1855"/>
              </w:tabs>
              <w:rPr>
                <w:rFonts w:ascii="Arial" w:hAnsi="Arial"/>
                <w:sz w:val="20"/>
                <w:szCs w:val="20"/>
              </w:rPr>
            </w:pPr>
            <w:r>
              <w:rPr>
                <w:rFonts w:ascii="Arial" w:hAnsi="Arial"/>
                <w:sz w:val="20"/>
                <w:szCs w:val="20"/>
              </w:rPr>
              <w:t xml:space="preserve">Commuter:  </w:t>
            </w:r>
            <w:r>
              <w:rPr>
                <w:rFonts w:ascii="Arial" w:hAnsi="Arial"/>
                <w:sz w:val="20"/>
                <w:szCs w:val="20"/>
              </w:rPr>
              <w:tab/>
              <w:t>3</w:t>
            </w:r>
          </w:p>
        </w:tc>
        <w:tc>
          <w:tcPr>
            <w:tcW w:w="1260" w:type="dxa"/>
            <w:tcBorders>
              <w:bottom w:val="single" w:color="auto" w:sz="12" w:space="0"/>
            </w:tcBorders>
            <w:vAlign w:val="center"/>
          </w:tcPr>
          <w:p w:rsidR="003B0815" w:rsidRDefault="003B0815" w14:paraId="6AD4DFE3" w14:textId="77777777">
            <w:pPr>
              <w:keepNext/>
              <w:jc w:val="center"/>
              <w:rPr>
                <w:rFonts w:ascii="Arial" w:hAnsi="Arial"/>
                <w:sz w:val="20"/>
                <w:szCs w:val="20"/>
              </w:rPr>
            </w:pPr>
            <w:r>
              <w:rPr>
                <w:rFonts w:ascii="Arial" w:hAnsi="Arial"/>
                <w:sz w:val="20"/>
                <w:szCs w:val="20"/>
              </w:rPr>
              <w:t>9</w:t>
            </w:r>
          </w:p>
        </w:tc>
        <w:tc>
          <w:tcPr>
            <w:tcW w:w="1695" w:type="dxa"/>
            <w:tcBorders>
              <w:bottom w:val="single" w:color="auto" w:sz="12" w:space="0"/>
              <w:right w:val="single" w:color="auto" w:sz="12" w:space="0"/>
            </w:tcBorders>
            <w:vAlign w:val="center"/>
          </w:tcPr>
          <w:p w:rsidR="003B0815" w:rsidRDefault="003B0815" w14:paraId="039DEEF2" w14:textId="77777777">
            <w:pPr>
              <w:keepNext/>
              <w:jc w:val="center"/>
              <w:rPr>
                <w:rFonts w:ascii="Arial" w:hAnsi="Arial"/>
                <w:sz w:val="20"/>
                <w:szCs w:val="20"/>
              </w:rPr>
            </w:pPr>
            <w:r>
              <w:rPr>
                <w:rFonts w:ascii="Arial" w:hAnsi="Arial"/>
                <w:sz w:val="20"/>
                <w:szCs w:val="20"/>
              </w:rPr>
              <w:t>1.10%</w:t>
            </w:r>
          </w:p>
        </w:tc>
      </w:tr>
      <w:tr w:rsidR="003B0815" w14:paraId="4D9C1D47" w14:textId="77777777">
        <w:trPr>
          <w:cantSplit/>
          <w:trHeight w:val="1134"/>
          <w:jc w:val="center"/>
        </w:trPr>
        <w:tc>
          <w:tcPr>
            <w:tcW w:w="828" w:type="dxa"/>
            <w:tcBorders>
              <w:top w:val="single" w:color="auto" w:sz="12" w:space="0"/>
              <w:left w:val="single" w:color="auto" w:sz="12" w:space="0"/>
              <w:bottom w:val="single" w:color="auto" w:sz="12" w:space="0"/>
              <w:right w:val="single" w:color="auto" w:sz="12" w:space="0"/>
            </w:tcBorders>
            <w:textDirection w:val="btLr"/>
            <w:vAlign w:val="center"/>
          </w:tcPr>
          <w:p w:rsidR="003B0815" w:rsidRDefault="003B0815" w14:paraId="41653116" w14:textId="77777777">
            <w:pPr>
              <w:keepNext/>
              <w:ind w:left="113" w:right="113"/>
              <w:jc w:val="center"/>
              <w:rPr>
                <w:rFonts w:ascii="Arial" w:hAnsi="Arial"/>
                <w:b/>
                <w:sz w:val="20"/>
                <w:szCs w:val="20"/>
              </w:rPr>
            </w:pPr>
            <w:r>
              <w:rPr>
                <w:rFonts w:ascii="Arial" w:hAnsi="Arial"/>
                <w:b/>
                <w:sz w:val="20"/>
                <w:szCs w:val="20"/>
              </w:rPr>
              <w:t>Secure Flight Web Interface</w:t>
            </w:r>
          </w:p>
        </w:tc>
        <w:tc>
          <w:tcPr>
            <w:tcW w:w="2080" w:type="dxa"/>
            <w:tcBorders>
              <w:top w:val="single" w:color="auto" w:sz="12" w:space="0"/>
              <w:left w:val="single" w:color="auto" w:sz="12" w:space="0"/>
              <w:bottom w:val="single" w:color="auto" w:sz="12" w:space="0"/>
            </w:tcBorders>
            <w:vAlign w:val="center"/>
          </w:tcPr>
          <w:p w:rsidR="003B0815" w:rsidRDefault="003B0815" w14:paraId="621900EA" w14:textId="77777777">
            <w:pPr>
              <w:keepNext/>
              <w:jc w:val="center"/>
              <w:rPr>
                <w:rFonts w:ascii="Arial" w:hAnsi="Arial"/>
                <w:b/>
                <w:sz w:val="20"/>
                <w:szCs w:val="20"/>
              </w:rPr>
            </w:pPr>
            <w:r>
              <w:rPr>
                <w:rFonts w:ascii="Arial" w:hAnsi="Arial"/>
                <w:b/>
                <w:sz w:val="20"/>
                <w:szCs w:val="20"/>
              </w:rPr>
              <w:t>4</w:t>
            </w:r>
          </w:p>
          <w:p w:rsidR="003B0815" w:rsidRDefault="003B0815" w14:paraId="74450EBC" w14:textId="77777777">
            <w:pPr>
              <w:keepNext/>
              <w:jc w:val="center"/>
              <w:rPr>
                <w:rFonts w:ascii="Arial" w:hAnsi="Arial"/>
                <w:sz w:val="20"/>
                <w:szCs w:val="20"/>
              </w:rPr>
            </w:pPr>
            <w:r>
              <w:rPr>
                <w:rFonts w:ascii="Arial" w:hAnsi="Arial"/>
                <w:sz w:val="20"/>
                <w:szCs w:val="20"/>
              </w:rPr>
              <w:t>Non-legacy airlines with manual reservation systems</w:t>
            </w:r>
          </w:p>
        </w:tc>
        <w:tc>
          <w:tcPr>
            <w:tcW w:w="2472" w:type="dxa"/>
            <w:tcBorders>
              <w:top w:val="single" w:color="auto" w:sz="12" w:space="0"/>
              <w:bottom w:val="single" w:color="auto" w:sz="12" w:space="0"/>
            </w:tcBorders>
          </w:tcPr>
          <w:p w:rsidR="003B0815" w:rsidRDefault="003B0815" w14:paraId="18533A8F" w14:textId="77777777">
            <w:pPr>
              <w:keepNext/>
              <w:tabs>
                <w:tab w:val="left" w:pos="1855"/>
              </w:tabs>
              <w:rPr>
                <w:rFonts w:ascii="Arial" w:hAnsi="Arial" w:cs="Arial"/>
                <w:sz w:val="20"/>
                <w:szCs w:val="20"/>
              </w:rPr>
            </w:pPr>
            <w:r>
              <w:rPr>
                <w:rFonts w:ascii="Arial" w:hAnsi="Arial" w:cs="Arial"/>
                <w:sz w:val="20"/>
                <w:szCs w:val="20"/>
              </w:rPr>
              <w:t xml:space="preserve">Majors:  </w:t>
            </w:r>
            <w:r>
              <w:rPr>
                <w:rFonts w:ascii="Arial" w:hAnsi="Arial" w:cs="Arial"/>
                <w:sz w:val="20"/>
                <w:szCs w:val="20"/>
              </w:rPr>
              <w:tab/>
              <w:t>0</w:t>
            </w:r>
          </w:p>
          <w:p w:rsidR="003B0815" w:rsidRDefault="003B0815" w14:paraId="4BFA47F4" w14:textId="77777777">
            <w:pPr>
              <w:keepNext/>
              <w:tabs>
                <w:tab w:val="left" w:pos="1855"/>
              </w:tabs>
              <w:rPr>
                <w:rFonts w:ascii="Arial" w:hAnsi="Arial" w:cs="Arial"/>
                <w:sz w:val="20"/>
                <w:szCs w:val="20"/>
              </w:rPr>
            </w:pPr>
            <w:r>
              <w:rPr>
                <w:rFonts w:ascii="Arial" w:hAnsi="Arial" w:cs="Arial"/>
                <w:sz w:val="20"/>
                <w:szCs w:val="20"/>
              </w:rPr>
              <w:t xml:space="preserve">Nationals:  </w:t>
            </w:r>
            <w:r>
              <w:rPr>
                <w:rFonts w:ascii="Arial" w:hAnsi="Arial" w:cs="Arial"/>
                <w:sz w:val="20"/>
                <w:szCs w:val="20"/>
              </w:rPr>
              <w:tab/>
              <w:t>5</w:t>
            </w:r>
          </w:p>
          <w:p w:rsidR="003B0815" w:rsidRDefault="003B0815" w14:paraId="5BA74AD5" w14:textId="77777777">
            <w:pPr>
              <w:keepNext/>
              <w:tabs>
                <w:tab w:val="left" w:pos="1855"/>
              </w:tabs>
              <w:rPr>
                <w:rFonts w:ascii="Arial" w:hAnsi="Arial" w:cs="Arial"/>
                <w:sz w:val="20"/>
                <w:szCs w:val="20"/>
              </w:rPr>
            </w:pPr>
            <w:r>
              <w:rPr>
                <w:rFonts w:ascii="Arial" w:hAnsi="Arial" w:cs="Arial"/>
                <w:sz w:val="20"/>
                <w:szCs w:val="20"/>
              </w:rPr>
              <w:t xml:space="preserve">Large Regionals:  </w:t>
            </w:r>
            <w:r>
              <w:rPr>
                <w:rFonts w:ascii="Arial" w:hAnsi="Arial" w:cs="Arial"/>
                <w:sz w:val="20"/>
                <w:szCs w:val="20"/>
              </w:rPr>
              <w:tab/>
              <w:t>5</w:t>
            </w:r>
          </w:p>
          <w:p w:rsidR="003B0815" w:rsidRDefault="003B0815" w14:paraId="3BEEBC80" w14:textId="77777777">
            <w:pPr>
              <w:keepNext/>
              <w:tabs>
                <w:tab w:val="left" w:pos="1855"/>
              </w:tabs>
              <w:rPr>
                <w:rFonts w:ascii="Arial" w:hAnsi="Arial" w:cs="Arial"/>
                <w:sz w:val="20"/>
                <w:szCs w:val="20"/>
              </w:rPr>
            </w:pPr>
            <w:r>
              <w:rPr>
                <w:rFonts w:ascii="Arial" w:hAnsi="Arial" w:cs="Arial"/>
                <w:sz w:val="20"/>
                <w:szCs w:val="20"/>
              </w:rPr>
              <w:t xml:space="preserve">Med. Regionals:  </w:t>
            </w:r>
            <w:r>
              <w:rPr>
                <w:rFonts w:ascii="Arial" w:hAnsi="Arial" w:cs="Arial"/>
                <w:sz w:val="20"/>
                <w:szCs w:val="20"/>
              </w:rPr>
              <w:tab/>
              <w:t>1</w:t>
            </w:r>
          </w:p>
          <w:p w:rsidR="003B0815" w:rsidRDefault="003B0815" w14:paraId="50C23C49" w14:textId="77777777">
            <w:pPr>
              <w:keepNext/>
              <w:tabs>
                <w:tab w:val="left" w:pos="1855"/>
              </w:tabs>
              <w:rPr>
                <w:rFonts w:ascii="Arial" w:hAnsi="Arial" w:cs="Arial"/>
                <w:sz w:val="20"/>
                <w:szCs w:val="20"/>
              </w:rPr>
            </w:pPr>
            <w:r>
              <w:rPr>
                <w:rFonts w:ascii="Arial" w:hAnsi="Arial" w:cs="Arial"/>
                <w:sz w:val="20"/>
                <w:szCs w:val="20"/>
              </w:rPr>
              <w:t xml:space="preserve">Small:  </w:t>
            </w:r>
            <w:r>
              <w:rPr>
                <w:rFonts w:ascii="Arial" w:hAnsi="Arial" w:cs="Arial"/>
                <w:sz w:val="20"/>
                <w:szCs w:val="20"/>
              </w:rPr>
              <w:tab/>
              <w:t>0</w:t>
            </w:r>
          </w:p>
          <w:p w:rsidR="003B0815" w:rsidRDefault="003B0815" w14:paraId="468FA8CA" w14:textId="77777777">
            <w:pPr>
              <w:keepNext/>
              <w:tabs>
                <w:tab w:val="left" w:pos="1855"/>
              </w:tabs>
              <w:rPr>
                <w:rFonts w:ascii="Arial" w:hAnsi="Arial"/>
                <w:sz w:val="20"/>
                <w:szCs w:val="20"/>
              </w:rPr>
            </w:pPr>
            <w:r>
              <w:rPr>
                <w:rFonts w:ascii="Arial" w:hAnsi="Arial" w:cs="Arial"/>
                <w:sz w:val="20"/>
                <w:szCs w:val="20"/>
              </w:rPr>
              <w:t xml:space="preserve">Commuter:  </w:t>
            </w:r>
            <w:r>
              <w:rPr>
                <w:rFonts w:ascii="Arial" w:hAnsi="Arial" w:cs="Arial"/>
                <w:sz w:val="20"/>
                <w:szCs w:val="20"/>
              </w:rPr>
              <w:tab/>
              <w:t>5</w:t>
            </w:r>
          </w:p>
        </w:tc>
        <w:tc>
          <w:tcPr>
            <w:tcW w:w="1260" w:type="dxa"/>
            <w:tcBorders>
              <w:top w:val="single" w:color="auto" w:sz="12" w:space="0"/>
              <w:bottom w:val="single" w:color="auto" w:sz="12" w:space="0"/>
            </w:tcBorders>
            <w:vAlign w:val="center"/>
          </w:tcPr>
          <w:p w:rsidR="003B0815" w:rsidRDefault="003B0815" w14:paraId="104B3948" w14:textId="77777777">
            <w:pPr>
              <w:keepNext/>
              <w:jc w:val="center"/>
              <w:rPr>
                <w:rFonts w:ascii="Arial" w:hAnsi="Arial"/>
                <w:sz w:val="20"/>
                <w:szCs w:val="20"/>
              </w:rPr>
            </w:pPr>
            <w:r>
              <w:rPr>
                <w:rFonts w:ascii="Arial" w:hAnsi="Arial"/>
                <w:sz w:val="20"/>
                <w:szCs w:val="20"/>
              </w:rPr>
              <w:t>16</w:t>
            </w:r>
          </w:p>
        </w:tc>
        <w:tc>
          <w:tcPr>
            <w:tcW w:w="1695" w:type="dxa"/>
            <w:tcBorders>
              <w:top w:val="single" w:color="auto" w:sz="12" w:space="0"/>
              <w:bottom w:val="single" w:color="auto" w:sz="12" w:space="0"/>
              <w:right w:val="single" w:color="auto" w:sz="12" w:space="0"/>
            </w:tcBorders>
            <w:vAlign w:val="center"/>
          </w:tcPr>
          <w:p w:rsidR="003B0815" w:rsidRDefault="003B0815" w14:paraId="30E14836" w14:textId="77777777">
            <w:pPr>
              <w:keepNext/>
              <w:jc w:val="center"/>
              <w:rPr>
                <w:rFonts w:ascii="Arial" w:hAnsi="Arial"/>
                <w:sz w:val="20"/>
                <w:szCs w:val="20"/>
              </w:rPr>
            </w:pPr>
            <w:r>
              <w:rPr>
                <w:rFonts w:ascii="Arial" w:hAnsi="Arial"/>
                <w:sz w:val="20"/>
                <w:szCs w:val="20"/>
              </w:rPr>
              <w:t>0.60%</w:t>
            </w:r>
          </w:p>
        </w:tc>
      </w:tr>
    </w:tbl>
    <w:p w:rsidR="003B0815" w:rsidRDefault="003B0815" w14:paraId="791C0894" w14:textId="77777777">
      <w:pPr>
        <w:spacing w:line="360" w:lineRule="auto"/>
        <w:ind w:firstLine="720"/>
      </w:pPr>
    </w:p>
    <w:p w:rsidR="003B0815" w:rsidRDefault="003B0815" w14:paraId="43820329" w14:textId="77777777">
      <w:pPr>
        <w:spacing w:line="360" w:lineRule="auto"/>
        <w:ind w:firstLine="720"/>
      </w:pPr>
      <w:r>
        <w:t xml:space="preserve">The global scope of many of these domestic airlines presented additional challenges to estimating the costs these airlines incur to implement the Secure Flight system.  Concurrent with the publication of the Secure Flight NPRM, U.S. Customs and Border Protection (CBP) published its Advance Passenger Information System (APIS) pre-departure final rule.  The APIS pre-departure final rule modified CBP’s requirements for commercial airlines carrying passengers into and out of the </w:t>
      </w:r>
      <w:smartTag w:uri="urn:schemas-microsoft-com:office:smarttags" w:element="country-region">
        <w:smartTag w:uri="urn:schemas-microsoft-com:office:smarttags" w:element="place">
          <w:r>
            <w:t>United States</w:t>
          </w:r>
        </w:smartTag>
      </w:smartTag>
      <w:r>
        <w:t>, establishing data transmission and watch list matching procedures similar to those of Secure Flight.</w:t>
      </w:r>
    </w:p>
    <w:p w:rsidR="003B0815" w:rsidRDefault="003B0815" w14:paraId="6DC01D39" w14:textId="77777777">
      <w:pPr>
        <w:spacing w:line="360" w:lineRule="auto"/>
        <w:ind w:firstLine="720"/>
      </w:pPr>
      <w:r>
        <w:t>While TSA will take over the watch list matching function from CBP for certain carriers through this final rule, the scope of Secure Flight will not cover all carriers subject to CBP’s APIS regulations.  Even so, those carriers that will be covered by Secure Flight carry the bulk of international passenger traffic.</w:t>
      </w:r>
      <w:r>
        <w:rPr>
          <w:rStyle w:val="FootnoteReference"/>
        </w:rPr>
        <w:footnoteReference w:id="14"/>
      </w:r>
      <w:r>
        <w:t xml:space="preserve">  Through this final rule, Secure Flight only covers those international carriers that are generally the foreign equivalent of the </w:t>
      </w:r>
      <w:smartTag w:uri="urn:schemas-microsoft-com:office:smarttags" w:element="country-region">
        <w:smartTag w:uri="urn:schemas-microsoft-com:office:smarttags" w:element="place">
          <w:r>
            <w:t>U.S.</w:t>
          </w:r>
        </w:smartTag>
      </w:smartTag>
      <w:r>
        <w:t xml:space="preserve"> carriers also covered by this rule.  Secure Flight will cover commercial foreign airlines flying to or from the U.S. that currently operate under a security program agreement with TSA as set forth in TSA’s existing regulations under 49 CFR 1546.101(a) and (b).  TSA chose to implement Secure Flight with this subset of carriers because, as previously indicated, they currently transport the bulk of commercial passenger traffic to, from, and within the </w:t>
      </w:r>
      <w:smartTag w:uri="urn:schemas-microsoft-com:office:smarttags" w:element="country-region">
        <w:smartTag w:uri="urn:schemas-microsoft-com:office:smarttags" w:element="place">
          <w:r>
            <w:t>U.S.</w:t>
          </w:r>
        </w:smartTag>
      </w:smartTag>
      <w:r>
        <w:t xml:space="preserve">  Under the second phase, Secure Flight will phase in requiring operators to submit SFPD for covered flights that overfly the continental US, not including </w:t>
      </w:r>
      <w:smartTag w:uri="urn:schemas-microsoft-com:office:smarttags" w:element="State">
        <w:r>
          <w:t>Hawaii</w:t>
        </w:r>
      </w:smartTag>
      <w:r>
        <w:t xml:space="preserve"> and </w:t>
      </w:r>
      <w:smartTag w:uri="urn:schemas-microsoft-com:office:smarttags" w:element="State">
        <w:smartTag w:uri="urn:schemas-microsoft-com:office:smarttags" w:element="place">
          <w:r>
            <w:t>Alaska</w:t>
          </w:r>
        </w:smartTag>
      </w:smartTag>
      <w:r>
        <w:t>.  Operators unsure if the flight is covered can ask TSA for a determination.</w:t>
      </w:r>
    </w:p>
    <w:p w:rsidR="003B0815" w:rsidRDefault="003B0815" w14:paraId="7E2E1208" w14:textId="77777777">
      <w:pPr>
        <w:spacing w:line="360" w:lineRule="auto"/>
        <w:ind w:firstLine="720"/>
      </w:pPr>
      <w:r>
        <w:t>CBP’s APIS final rule gives international air carriers the option to continue transmitting passenger data to CBP in batches using their existing infrastructure; the rule also affords them the option of utilizing a system known as APIS Quick Query (AQQ).  This system, maintained and operated by CBP, has interactive messaging capabilities similar to Secure Flight, allowing international air carriers to send passenger information and receive watch list results in real time.  CBP will continue to use this system to perform passenger watch list matching for carriers covered by both rules until this responsibility is transferred to TSA during the second phase of Secure Flight implementation.</w:t>
      </w:r>
      <w:r>
        <w:rPr>
          <w:rStyle w:val="FootnoteReference"/>
        </w:rPr>
        <w:footnoteReference w:id="15"/>
      </w:r>
    </w:p>
    <w:p w:rsidR="003B0815" w:rsidRDefault="003B0815" w14:paraId="4876C6B3" w14:textId="77777777">
      <w:pPr>
        <w:spacing w:line="360" w:lineRule="auto"/>
        <w:ind w:firstLine="720"/>
      </w:pPr>
      <w:r>
        <w:t>Given this overlap in covered populations, TSA sought to identify which domestic carriers will be subject to both APIS and Secure Flight requirements and which will only be subject to Secure Flight.  Air carriers with international traffic will likely make their business decisions based on the requirements in both CBP’s and TSA’s final rules, weighing their individual business needs against the various reprogramming options.  In this analysis, TSA assumed carriers covered by both rules will seek to minimize their IT investments.</w:t>
      </w:r>
    </w:p>
    <w:p w:rsidR="003B0815" w:rsidRDefault="003B0815" w14:paraId="0FB19C5E" w14:textId="77777777">
      <w:pPr>
        <w:spacing w:line="360" w:lineRule="auto"/>
        <w:ind w:firstLine="720"/>
      </w:pPr>
      <w:r>
        <w:t>Given that the APIS final rule forms the baseline for the international portion of Secure Flight, TSA adopted as the endpoints of its airline reprogramming estimate the assumptions underlying the high and low scenarios in CBP’s APIS pre-departure final rule regulatory impact assessment.  TSA sought to identify the range of investment options available to carriers covered by both rules without double-counting airline reprogramming costs CBP has already reported.  In the high scenario, TSA assumed all large foreign and domestic carriers wait to reprogram their systems until Secure Flight becomes effective and small carriers will not need to make any reprogramming changes to comply with the APIS rules.  In its low scenario, TSA assumed all large foreign and domestic carriers implement AQQ without waiting for Secure Flight.  Corresponding to CBP’s assumption, TSA assumed small foreign carriers will not need to make any reprogramming changes to comply with the rule.</w:t>
      </w:r>
    </w:p>
    <w:p w:rsidR="003B0815" w:rsidRDefault="003B0815" w14:paraId="2BC885BC" w14:textId="77777777">
      <w:pPr>
        <w:spacing w:line="360" w:lineRule="auto"/>
        <w:ind w:firstLine="720"/>
      </w:pPr>
      <w:r>
        <w:t>In its final regulatory impact assessment, CBP identifies 11 large domestic air carriers as subject to the APIS requirements, where “large” is identified as a carrier with more than 1,500 employees.  Although CBP’s evaluation does not explicitly identify groups of marketing and affiliate carriers when estimating reprogramming costs, the use of this methodology is implied by the fact that 35 domestic carriers subject to Secure Flight are both large carriers and have international enplanements subject to APIS regulations.  Of these 35 domestic carriers, 1 falls into Group 4 and is not expected to incur any reprogramming costs.  Of the remaining 34, 17 are Secure Flight points of implementation—assumed to incur reprogramming costs—and 17 are affiliate carriers.  Table 1.4.1.f below shows the distribution of these carriers by their respective Secure Flight implementation groups.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513"/>
        <w:gridCol w:w="880"/>
        <w:gridCol w:w="881"/>
        <w:gridCol w:w="880"/>
        <w:gridCol w:w="10"/>
        <w:gridCol w:w="871"/>
      </w:tblGrid>
      <w:tr w:rsidR="003B0815" w14:paraId="3492F5FE" w14:textId="77777777">
        <w:trPr>
          <w:jc w:val="center"/>
        </w:trPr>
        <w:tc>
          <w:tcPr>
            <w:tcW w:w="8035" w:type="dxa"/>
            <w:gridSpan w:val="6"/>
            <w:tcBorders>
              <w:top w:val="nil"/>
              <w:left w:val="nil"/>
              <w:bottom w:val="single" w:color="auto" w:sz="12" w:space="0"/>
              <w:right w:val="nil"/>
            </w:tcBorders>
          </w:tcPr>
          <w:p w:rsidR="003B0815" w:rsidRDefault="003B0815" w14:paraId="46BF50FE" w14:textId="77777777">
            <w:pPr>
              <w:pStyle w:val="RegEvalTableHeader"/>
              <w:keepNext/>
            </w:pPr>
            <w:bookmarkStart w:name="_Toc174438364" w:id="115"/>
            <w:bookmarkStart w:name="_Toc207109503" w:id="116"/>
            <w:r>
              <w:t>Table 1.4.1.f  Secure Flight Large* Domestic Carriers Reporting to APIS</w:t>
            </w:r>
            <w:bookmarkEnd w:id="115"/>
            <w:bookmarkEnd w:id="116"/>
          </w:p>
        </w:tc>
      </w:tr>
      <w:tr w:rsidR="003B0815" w14:paraId="4C85E614" w14:textId="77777777">
        <w:trPr>
          <w:jc w:val="center"/>
        </w:trPr>
        <w:tc>
          <w:tcPr>
            <w:tcW w:w="4513" w:type="dxa"/>
            <w:tcBorders>
              <w:top w:val="single" w:color="auto" w:sz="12" w:space="0"/>
              <w:left w:val="single" w:color="auto" w:sz="12" w:space="0"/>
              <w:bottom w:val="nil"/>
              <w:right w:val="single" w:color="auto" w:sz="4" w:space="0"/>
            </w:tcBorders>
          </w:tcPr>
          <w:p w:rsidR="003B0815" w:rsidRDefault="003B0815" w14:paraId="04F3E353" w14:textId="77777777">
            <w:pPr>
              <w:keepNext/>
              <w:jc w:val="center"/>
              <w:rPr>
                <w:b/>
              </w:rPr>
            </w:pPr>
            <w:r>
              <w:rPr>
                <w:b/>
              </w:rPr>
              <w:t>Carrier</w:t>
            </w:r>
          </w:p>
        </w:tc>
        <w:tc>
          <w:tcPr>
            <w:tcW w:w="2651" w:type="dxa"/>
            <w:gridSpan w:val="4"/>
            <w:tcBorders>
              <w:top w:val="single" w:color="auto" w:sz="12" w:space="0"/>
              <w:left w:val="single" w:color="auto" w:sz="4" w:space="0"/>
              <w:bottom w:val="nil"/>
              <w:right w:val="single" w:color="auto" w:sz="4" w:space="0"/>
            </w:tcBorders>
          </w:tcPr>
          <w:p w:rsidR="003B0815" w:rsidRDefault="003B0815" w14:paraId="1B6496A9" w14:textId="77777777">
            <w:pPr>
              <w:keepNext/>
              <w:jc w:val="center"/>
              <w:rPr>
                <w:b/>
              </w:rPr>
            </w:pPr>
            <w:r>
              <w:rPr>
                <w:b/>
              </w:rPr>
              <w:t>Implementation Group</w:t>
            </w:r>
          </w:p>
        </w:tc>
        <w:tc>
          <w:tcPr>
            <w:tcW w:w="871" w:type="dxa"/>
            <w:tcBorders>
              <w:top w:val="single" w:color="auto" w:sz="12" w:space="0"/>
              <w:left w:val="single" w:color="auto" w:sz="4" w:space="0"/>
              <w:bottom w:val="nil"/>
              <w:right w:val="single" w:color="auto" w:sz="12" w:space="0"/>
            </w:tcBorders>
          </w:tcPr>
          <w:p w:rsidR="003B0815" w:rsidRDefault="003B0815" w14:paraId="7CF48B03" w14:textId="77777777">
            <w:pPr>
              <w:keepNext/>
              <w:rPr>
                <w:b/>
              </w:rPr>
            </w:pPr>
          </w:p>
        </w:tc>
      </w:tr>
      <w:tr w:rsidR="003B0815" w14:paraId="40854865" w14:textId="77777777">
        <w:trPr>
          <w:jc w:val="center"/>
        </w:trPr>
        <w:tc>
          <w:tcPr>
            <w:tcW w:w="4513" w:type="dxa"/>
            <w:tcBorders>
              <w:top w:val="nil"/>
              <w:left w:val="single" w:color="auto" w:sz="12" w:space="0"/>
              <w:bottom w:val="single" w:color="auto" w:sz="4" w:space="0"/>
              <w:right w:val="single" w:color="auto" w:sz="4" w:space="0"/>
            </w:tcBorders>
          </w:tcPr>
          <w:p w:rsidR="003B0815" w:rsidRDefault="003B0815" w14:paraId="47D86DFF" w14:textId="77777777">
            <w:pPr>
              <w:keepNext/>
              <w:jc w:val="center"/>
              <w:rPr>
                <w:b/>
              </w:rPr>
            </w:pPr>
            <w:r>
              <w:rPr>
                <w:b/>
              </w:rPr>
              <w:t>Characteristics</w:t>
            </w:r>
          </w:p>
        </w:tc>
        <w:tc>
          <w:tcPr>
            <w:tcW w:w="880" w:type="dxa"/>
            <w:tcBorders>
              <w:top w:val="nil"/>
              <w:left w:val="single" w:color="auto" w:sz="4" w:space="0"/>
              <w:bottom w:val="single" w:color="auto" w:sz="4" w:space="0"/>
              <w:right w:val="nil"/>
            </w:tcBorders>
          </w:tcPr>
          <w:p w:rsidR="003B0815" w:rsidRDefault="003B0815" w14:paraId="5500BC95" w14:textId="77777777">
            <w:pPr>
              <w:keepNext/>
              <w:jc w:val="center"/>
              <w:rPr>
                <w:b/>
              </w:rPr>
            </w:pPr>
            <w:r>
              <w:rPr>
                <w:b/>
              </w:rPr>
              <w:t>1</w:t>
            </w:r>
          </w:p>
        </w:tc>
        <w:tc>
          <w:tcPr>
            <w:tcW w:w="881" w:type="dxa"/>
            <w:tcBorders>
              <w:top w:val="nil"/>
              <w:left w:val="nil"/>
              <w:bottom w:val="single" w:color="auto" w:sz="4" w:space="0"/>
              <w:right w:val="nil"/>
            </w:tcBorders>
          </w:tcPr>
          <w:p w:rsidR="003B0815" w:rsidRDefault="003B0815" w14:paraId="184F7E04" w14:textId="77777777">
            <w:pPr>
              <w:keepNext/>
              <w:jc w:val="center"/>
              <w:rPr>
                <w:b/>
              </w:rPr>
            </w:pPr>
            <w:r>
              <w:rPr>
                <w:b/>
              </w:rPr>
              <w:t>2</w:t>
            </w:r>
          </w:p>
        </w:tc>
        <w:tc>
          <w:tcPr>
            <w:tcW w:w="880" w:type="dxa"/>
            <w:tcBorders>
              <w:top w:val="nil"/>
              <w:left w:val="nil"/>
              <w:bottom w:val="single" w:color="auto" w:sz="4" w:space="0"/>
              <w:right w:val="nil"/>
            </w:tcBorders>
          </w:tcPr>
          <w:p w:rsidR="003B0815" w:rsidRDefault="003B0815" w14:paraId="3CA229C8" w14:textId="77777777">
            <w:pPr>
              <w:keepNext/>
              <w:jc w:val="center"/>
              <w:rPr>
                <w:b/>
              </w:rPr>
            </w:pPr>
            <w:r>
              <w:rPr>
                <w:b/>
              </w:rPr>
              <w:t>3</w:t>
            </w:r>
          </w:p>
        </w:tc>
        <w:tc>
          <w:tcPr>
            <w:tcW w:w="881" w:type="dxa"/>
            <w:gridSpan w:val="2"/>
            <w:tcBorders>
              <w:top w:val="nil"/>
              <w:left w:val="single" w:color="auto" w:sz="4" w:space="0"/>
              <w:bottom w:val="single" w:color="auto" w:sz="4" w:space="0"/>
              <w:right w:val="single" w:color="auto" w:sz="12" w:space="0"/>
            </w:tcBorders>
          </w:tcPr>
          <w:p w:rsidR="003B0815" w:rsidRDefault="003B0815" w14:paraId="3429BEB0" w14:textId="77777777">
            <w:pPr>
              <w:keepNext/>
              <w:rPr>
                <w:b/>
              </w:rPr>
            </w:pPr>
            <w:r>
              <w:rPr>
                <w:b/>
              </w:rPr>
              <w:t>Total</w:t>
            </w:r>
          </w:p>
        </w:tc>
      </w:tr>
      <w:tr w:rsidR="003B0815" w14:paraId="3D5D4471" w14:textId="77777777">
        <w:trPr>
          <w:jc w:val="center"/>
        </w:trPr>
        <w:tc>
          <w:tcPr>
            <w:tcW w:w="4513" w:type="dxa"/>
            <w:tcBorders>
              <w:top w:val="nil"/>
              <w:left w:val="single" w:color="auto" w:sz="12" w:space="0"/>
              <w:bottom w:val="nil"/>
              <w:right w:val="single" w:color="auto" w:sz="4" w:space="0"/>
            </w:tcBorders>
          </w:tcPr>
          <w:p w:rsidR="003B0815" w:rsidRDefault="003B0815" w14:paraId="54371817" w14:textId="77777777">
            <w:pPr>
              <w:keepNext/>
            </w:pPr>
            <w:r>
              <w:t>Marketing Carriers</w:t>
            </w:r>
          </w:p>
        </w:tc>
        <w:tc>
          <w:tcPr>
            <w:tcW w:w="880" w:type="dxa"/>
            <w:tcBorders>
              <w:top w:val="nil"/>
              <w:left w:val="single" w:color="auto" w:sz="4" w:space="0"/>
              <w:bottom w:val="nil"/>
              <w:right w:val="nil"/>
            </w:tcBorders>
          </w:tcPr>
          <w:p w:rsidR="003B0815" w:rsidRDefault="003B0815" w14:paraId="60A41C8B" w14:textId="77777777">
            <w:pPr>
              <w:keepNext/>
              <w:jc w:val="center"/>
            </w:pPr>
            <w:r>
              <w:t>9</w:t>
            </w:r>
          </w:p>
        </w:tc>
        <w:tc>
          <w:tcPr>
            <w:tcW w:w="881" w:type="dxa"/>
            <w:tcBorders>
              <w:top w:val="nil"/>
              <w:left w:val="nil"/>
              <w:bottom w:val="nil"/>
              <w:right w:val="nil"/>
            </w:tcBorders>
          </w:tcPr>
          <w:p w:rsidR="003B0815" w:rsidRDefault="003B0815" w14:paraId="12E7F9CF" w14:textId="77777777">
            <w:pPr>
              <w:keepNext/>
              <w:jc w:val="center"/>
            </w:pPr>
            <w:r>
              <w:t>6</w:t>
            </w:r>
          </w:p>
        </w:tc>
        <w:tc>
          <w:tcPr>
            <w:tcW w:w="880" w:type="dxa"/>
            <w:tcBorders>
              <w:top w:val="nil"/>
              <w:left w:val="nil"/>
              <w:bottom w:val="nil"/>
              <w:right w:val="nil"/>
            </w:tcBorders>
          </w:tcPr>
          <w:p w:rsidR="003B0815" w:rsidRDefault="003B0815" w14:paraId="68673098" w14:textId="77777777">
            <w:pPr>
              <w:keepNext/>
              <w:jc w:val="center"/>
            </w:pPr>
            <w:r>
              <w:t>2</w:t>
            </w:r>
          </w:p>
        </w:tc>
        <w:tc>
          <w:tcPr>
            <w:tcW w:w="881" w:type="dxa"/>
            <w:gridSpan w:val="2"/>
            <w:tcBorders>
              <w:top w:val="nil"/>
              <w:left w:val="single" w:color="auto" w:sz="4" w:space="0"/>
              <w:bottom w:val="nil"/>
              <w:right w:val="single" w:color="auto" w:sz="12" w:space="0"/>
            </w:tcBorders>
          </w:tcPr>
          <w:p w:rsidR="003B0815" w:rsidRDefault="003B0815" w14:paraId="59C03279" w14:textId="77777777">
            <w:pPr>
              <w:keepNext/>
            </w:pPr>
            <w:r>
              <w:fldChar w:fldCharType="begin" w:fldLock="1"/>
            </w:r>
            <w:r>
              <w:instrText xml:space="preserve"> =SUM(LEFT) </w:instrText>
            </w:r>
            <w:r>
              <w:fldChar w:fldCharType="separate"/>
            </w:r>
            <w:r>
              <w:rPr>
                <w:noProof/>
              </w:rPr>
              <w:t>17</w:t>
            </w:r>
            <w:r>
              <w:fldChar w:fldCharType="end"/>
            </w:r>
          </w:p>
        </w:tc>
      </w:tr>
      <w:tr w:rsidR="003B0815" w14:paraId="2FC47857" w14:textId="77777777">
        <w:trPr>
          <w:jc w:val="center"/>
        </w:trPr>
        <w:tc>
          <w:tcPr>
            <w:tcW w:w="4513" w:type="dxa"/>
            <w:tcBorders>
              <w:top w:val="nil"/>
              <w:left w:val="single" w:color="auto" w:sz="12" w:space="0"/>
              <w:bottom w:val="single" w:color="auto" w:sz="4" w:space="0"/>
              <w:right w:val="single" w:color="auto" w:sz="4" w:space="0"/>
            </w:tcBorders>
          </w:tcPr>
          <w:p w:rsidR="003B0815" w:rsidRDefault="003B0815" w14:paraId="3E177FE3" w14:textId="77777777">
            <w:pPr>
              <w:keepNext/>
            </w:pPr>
            <w:r>
              <w:rPr>
                <w:i/>
              </w:rPr>
              <w:t>(</w:t>
            </w:r>
            <w:r>
              <w:t>Affiliate Carriers)</w:t>
            </w:r>
          </w:p>
        </w:tc>
        <w:tc>
          <w:tcPr>
            <w:tcW w:w="880" w:type="dxa"/>
            <w:tcBorders>
              <w:top w:val="nil"/>
              <w:left w:val="single" w:color="auto" w:sz="4" w:space="0"/>
              <w:bottom w:val="single" w:color="auto" w:sz="4" w:space="0"/>
              <w:right w:val="nil"/>
            </w:tcBorders>
          </w:tcPr>
          <w:p w:rsidR="003B0815" w:rsidRDefault="003B0815" w14:paraId="26920354" w14:textId="77777777">
            <w:pPr>
              <w:keepNext/>
              <w:jc w:val="center"/>
            </w:pPr>
            <w:r>
              <w:t>(16)</w:t>
            </w:r>
          </w:p>
        </w:tc>
        <w:tc>
          <w:tcPr>
            <w:tcW w:w="881" w:type="dxa"/>
            <w:tcBorders>
              <w:top w:val="nil"/>
              <w:left w:val="nil"/>
              <w:bottom w:val="single" w:color="auto" w:sz="4" w:space="0"/>
              <w:right w:val="nil"/>
            </w:tcBorders>
          </w:tcPr>
          <w:p w:rsidR="003B0815" w:rsidRDefault="003B0815" w14:paraId="4A967B84" w14:textId="77777777">
            <w:pPr>
              <w:keepNext/>
              <w:jc w:val="center"/>
            </w:pPr>
            <w:r>
              <w:t>(1)</w:t>
            </w:r>
          </w:p>
        </w:tc>
        <w:tc>
          <w:tcPr>
            <w:tcW w:w="880" w:type="dxa"/>
            <w:tcBorders>
              <w:top w:val="nil"/>
              <w:left w:val="nil"/>
              <w:bottom w:val="single" w:color="auto" w:sz="4" w:space="0"/>
              <w:right w:val="nil"/>
            </w:tcBorders>
          </w:tcPr>
          <w:p w:rsidR="003B0815" w:rsidRDefault="003B0815" w14:paraId="0A0D542B" w14:textId="77777777">
            <w:pPr>
              <w:keepNext/>
              <w:jc w:val="center"/>
            </w:pPr>
            <w:r>
              <w:t>(0)</w:t>
            </w:r>
          </w:p>
        </w:tc>
        <w:tc>
          <w:tcPr>
            <w:tcW w:w="881" w:type="dxa"/>
            <w:gridSpan w:val="2"/>
            <w:tcBorders>
              <w:top w:val="nil"/>
              <w:left w:val="single" w:color="auto" w:sz="4" w:space="0"/>
              <w:bottom w:val="single" w:color="auto" w:sz="4" w:space="0"/>
              <w:right w:val="single" w:color="auto" w:sz="12" w:space="0"/>
            </w:tcBorders>
          </w:tcPr>
          <w:p w:rsidR="003B0815" w:rsidRDefault="003B0815" w14:paraId="3C62A799" w14:textId="77777777">
            <w:pPr>
              <w:keepNext/>
            </w:pPr>
            <w:r>
              <w:fldChar w:fldCharType="begin" w:fldLock="1"/>
            </w:r>
            <w:r>
              <w:instrText xml:space="preserve"> =SUM(LEFT) </w:instrText>
            </w:r>
            <w:r>
              <w:fldChar w:fldCharType="separate"/>
            </w:r>
            <w:r>
              <w:rPr>
                <w:noProof/>
              </w:rPr>
              <w:t>(17)</w:t>
            </w:r>
            <w:r>
              <w:fldChar w:fldCharType="end"/>
            </w:r>
          </w:p>
        </w:tc>
      </w:tr>
      <w:tr w:rsidR="003B0815" w14:paraId="707D40FE" w14:textId="77777777">
        <w:trPr>
          <w:jc w:val="center"/>
        </w:trPr>
        <w:tc>
          <w:tcPr>
            <w:tcW w:w="4513" w:type="dxa"/>
            <w:tcBorders>
              <w:top w:val="single" w:color="auto" w:sz="4" w:space="0"/>
              <w:left w:val="single" w:color="auto" w:sz="12" w:space="0"/>
              <w:bottom w:val="single" w:color="auto" w:sz="4" w:space="0"/>
              <w:right w:val="single" w:color="auto" w:sz="4" w:space="0"/>
            </w:tcBorders>
            <w:shd w:val="clear" w:color="auto" w:fill="D9D9D9"/>
          </w:tcPr>
          <w:p w:rsidR="003B0815" w:rsidRDefault="003B0815" w14:paraId="1F4980B1" w14:textId="77777777">
            <w:pPr>
              <w:keepNext/>
            </w:pPr>
          </w:p>
        </w:tc>
        <w:tc>
          <w:tcPr>
            <w:tcW w:w="880" w:type="dxa"/>
            <w:tcBorders>
              <w:top w:val="single" w:color="auto" w:sz="4" w:space="0"/>
              <w:left w:val="single" w:color="auto" w:sz="4" w:space="0"/>
              <w:bottom w:val="single" w:color="auto" w:sz="4" w:space="0"/>
              <w:right w:val="nil"/>
            </w:tcBorders>
            <w:shd w:val="clear" w:color="auto" w:fill="D9D9D9"/>
          </w:tcPr>
          <w:p w:rsidR="003B0815" w:rsidRDefault="003B0815" w14:paraId="61DACD08" w14:textId="77777777">
            <w:pPr>
              <w:keepNext/>
              <w:jc w:val="center"/>
            </w:pPr>
          </w:p>
        </w:tc>
        <w:tc>
          <w:tcPr>
            <w:tcW w:w="881" w:type="dxa"/>
            <w:tcBorders>
              <w:top w:val="single" w:color="auto" w:sz="4" w:space="0"/>
              <w:left w:val="nil"/>
              <w:bottom w:val="single" w:color="auto" w:sz="4" w:space="0"/>
              <w:right w:val="nil"/>
            </w:tcBorders>
            <w:shd w:val="clear" w:color="auto" w:fill="D9D9D9"/>
          </w:tcPr>
          <w:p w:rsidR="003B0815" w:rsidRDefault="003B0815" w14:paraId="21F897BB" w14:textId="77777777">
            <w:pPr>
              <w:keepNext/>
              <w:jc w:val="center"/>
            </w:pPr>
          </w:p>
        </w:tc>
        <w:tc>
          <w:tcPr>
            <w:tcW w:w="880" w:type="dxa"/>
            <w:tcBorders>
              <w:top w:val="single" w:color="auto" w:sz="4" w:space="0"/>
              <w:left w:val="nil"/>
              <w:bottom w:val="single" w:color="auto" w:sz="4" w:space="0"/>
              <w:right w:val="nil"/>
            </w:tcBorders>
            <w:shd w:val="clear" w:color="auto" w:fill="D9D9D9"/>
          </w:tcPr>
          <w:p w:rsidR="003B0815" w:rsidRDefault="003B0815" w14:paraId="58E1A305" w14:textId="77777777">
            <w:pPr>
              <w:keepNext/>
              <w:jc w:val="center"/>
            </w:pPr>
          </w:p>
        </w:tc>
        <w:tc>
          <w:tcPr>
            <w:tcW w:w="881" w:type="dxa"/>
            <w:gridSpan w:val="2"/>
            <w:tcBorders>
              <w:top w:val="single" w:color="auto" w:sz="4" w:space="0"/>
              <w:left w:val="single" w:color="auto" w:sz="4" w:space="0"/>
              <w:bottom w:val="single" w:color="auto" w:sz="4" w:space="0"/>
              <w:right w:val="single" w:color="auto" w:sz="12" w:space="0"/>
            </w:tcBorders>
            <w:shd w:val="clear" w:color="auto" w:fill="D9D9D9"/>
          </w:tcPr>
          <w:p w:rsidR="003B0815" w:rsidRDefault="003B0815" w14:paraId="6337D899" w14:textId="77777777">
            <w:pPr>
              <w:keepNext/>
            </w:pPr>
          </w:p>
        </w:tc>
      </w:tr>
      <w:tr w:rsidR="003B0815" w14:paraId="0E097447" w14:textId="77777777">
        <w:trPr>
          <w:jc w:val="center"/>
        </w:trPr>
        <w:tc>
          <w:tcPr>
            <w:tcW w:w="4513" w:type="dxa"/>
            <w:tcBorders>
              <w:top w:val="single" w:color="auto" w:sz="4" w:space="0"/>
              <w:left w:val="single" w:color="auto" w:sz="12" w:space="0"/>
              <w:bottom w:val="nil"/>
              <w:right w:val="single" w:color="auto" w:sz="4" w:space="0"/>
            </w:tcBorders>
          </w:tcPr>
          <w:p w:rsidR="003B0815" w:rsidRDefault="003B0815" w14:paraId="10334132" w14:textId="77777777">
            <w:pPr>
              <w:keepNext/>
            </w:pPr>
            <w:r>
              <w:t>Marketing Carriers Connected to CBP</w:t>
            </w:r>
          </w:p>
        </w:tc>
        <w:tc>
          <w:tcPr>
            <w:tcW w:w="880" w:type="dxa"/>
            <w:tcBorders>
              <w:top w:val="single" w:color="auto" w:sz="4" w:space="0"/>
              <w:left w:val="single" w:color="auto" w:sz="4" w:space="0"/>
              <w:bottom w:val="nil"/>
              <w:right w:val="nil"/>
            </w:tcBorders>
          </w:tcPr>
          <w:p w:rsidR="003B0815" w:rsidRDefault="003B0815" w14:paraId="1958C474" w14:textId="77777777">
            <w:pPr>
              <w:keepNext/>
              <w:jc w:val="center"/>
            </w:pPr>
            <w:r>
              <w:t>9</w:t>
            </w:r>
          </w:p>
        </w:tc>
        <w:tc>
          <w:tcPr>
            <w:tcW w:w="881" w:type="dxa"/>
            <w:tcBorders>
              <w:top w:val="single" w:color="auto" w:sz="4" w:space="0"/>
              <w:left w:val="nil"/>
              <w:bottom w:val="nil"/>
              <w:right w:val="nil"/>
            </w:tcBorders>
          </w:tcPr>
          <w:p w:rsidR="003B0815" w:rsidRDefault="003B0815" w14:paraId="7D754CD6" w14:textId="77777777">
            <w:pPr>
              <w:keepNext/>
              <w:jc w:val="center"/>
            </w:pPr>
            <w:r>
              <w:t>2</w:t>
            </w:r>
          </w:p>
        </w:tc>
        <w:tc>
          <w:tcPr>
            <w:tcW w:w="880" w:type="dxa"/>
            <w:tcBorders>
              <w:top w:val="single" w:color="auto" w:sz="4" w:space="0"/>
              <w:left w:val="nil"/>
              <w:bottom w:val="nil"/>
              <w:right w:val="nil"/>
            </w:tcBorders>
          </w:tcPr>
          <w:p w:rsidR="003B0815" w:rsidRDefault="003B0815" w14:paraId="18119E83" w14:textId="77777777">
            <w:pPr>
              <w:keepNext/>
              <w:jc w:val="center"/>
            </w:pPr>
            <w:r>
              <w:t>0</w:t>
            </w:r>
          </w:p>
        </w:tc>
        <w:tc>
          <w:tcPr>
            <w:tcW w:w="881" w:type="dxa"/>
            <w:gridSpan w:val="2"/>
            <w:tcBorders>
              <w:top w:val="single" w:color="auto" w:sz="4" w:space="0"/>
              <w:left w:val="single" w:color="auto" w:sz="4" w:space="0"/>
              <w:bottom w:val="nil"/>
              <w:right w:val="single" w:color="auto" w:sz="12" w:space="0"/>
            </w:tcBorders>
          </w:tcPr>
          <w:p w:rsidR="003B0815" w:rsidRDefault="003B0815" w14:paraId="76FAC94D" w14:textId="77777777">
            <w:pPr>
              <w:keepNext/>
            </w:pPr>
            <w:r>
              <w:fldChar w:fldCharType="begin" w:fldLock="1"/>
            </w:r>
            <w:r>
              <w:instrText xml:space="preserve"> =SUM(LEFT) </w:instrText>
            </w:r>
            <w:r>
              <w:fldChar w:fldCharType="separate"/>
            </w:r>
            <w:r>
              <w:rPr>
                <w:noProof/>
              </w:rPr>
              <w:t>11</w:t>
            </w:r>
            <w:r>
              <w:fldChar w:fldCharType="end"/>
            </w:r>
          </w:p>
        </w:tc>
      </w:tr>
      <w:tr w:rsidR="003B0815" w14:paraId="78DEB174" w14:textId="77777777">
        <w:trPr>
          <w:jc w:val="center"/>
        </w:trPr>
        <w:tc>
          <w:tcPr>
            <w:tcW w:w="8035" w:type="dxa"/>
            <w:gridSpan w:val="6"/>
            <w:tcBorders>
              <w:top w:val="single" w:color="auto" w:sz="12" w:space="0"/>
              <w:left w:val="nil"/>
              <w:bottom w:val="nil"/>
              <w:right w:val="nil"/>
            </w:tcBorders>
          </w:tcPr>
          <w:p w:rsidR="003B0815" w:rsidRDefault="003B0815" w14:paraId="1BBE9173" w14:textId="77777777">
            <w:r>
              <w:rPr>
                <w:sz w:val="20"/>
              </w:rPr>
              <w:t>* “Large” here corresponds to the definition used by the Small Business Administration, namely, carriers which have more than 1,500 employees or which are subsidiaries of such companies.</w:t>
            </w:r>
          </w:p>
        </w:tc>
      </w:tr>
    </w:tbl>
    <w:p w:rsidR="003B0815" w:rsidRDefault="003B0815" w14:paraId="124AB6B0" w14:textId="77777777">
      <w:pPr>
        <w:spacing w:line="360" w:lineRule="auto"/>
        <w:ind w:firstLine="720"/>
      </w:pPr>
    </w:p>
    <w:p w:rsidR="003B0815" w:rsidRDefault="003B0815" w14:paraId="574F480A" w14:textId="77777777">
      <w:pPr>
        <w:spacing w:line="360" w:lineRule="auto"/>
        <w:ind w:firstLine="720"/>
      </w:pPr>
      <w:r>
        <w:t>As can be seen from the table, 9 Group 1 marketing carriers and 2 of the marketing carriers from Group 2 already have connections established to CBP.  Carriers utilizing a direct connection to CBP are charged a flat monthly fee regardless of the number of transmissions they send.  Carriers transmitting information through another source pay a per-kilobyte fee for each transmission, making them sensitive to the number of transmissions.  Establishing a direct connection requires installation of routers, circuits and other hardware in which carriers have been reluctant to invest pending TSA’s publication of the final requirements for Secure Flight, particularly since the APIS final rule permits them to continue using batch processing.  Since the existing messaging structure for the 11 implementation carriers identified above makes them less sensitive to increases in their message traffic, it is reasonable to assume they may have implemented AQQ prior to issuance of a final rule implementing Secure Flight.  TSA’s estimate of costs associated with these decisions is presented below in Section 1.6.2.</w:t>
      </w:r>
    </w:p>
    <w:p w:rsidR="003B0815" w:rsidRDefault="003B0815" w14:paraId="178B9A20" w14:textId="77777777">
      <w:pPr>
        <w:keepNext/>
        <w:spacing w:line="360" w:lineRule="auto"/>
        <w:rPr>
          <w:b/>
        </w:rPr>
      </w:pPr>
      <w:r>
        <w:rPr>
          <w:b/>
        </w:rPr>
        <w:t>Foreign Aircraft Operators</w:t>
      </w:r>
    </w:p>
    <w:p w:rsidR="003B0815" w:rsidRDefault="003B0815" w14:paraId="61A48614" w14:textId="77777777">
      <w:pPr>
        <w:spacing w:line="360" w:lineRule="auto"/>
        <w:ind w:firstLine="720"/>
        <w:rPr>
          <w:snapToGrid w:val="0"/>
        </w:rPr>
      </w:pPr>
      <w:r>
        <w:t xml:space="preserve">This rule affects </w:t>
      </w:r>
      <w:r>
        <w:rPr>
          <w:snapToGrid w:val="0"/>
        </w:rPr>
        <w:t xml:space="preserve">foreign air carriers that are required to have a security program under 49 CFR 1546.101(a) or (b).  These aircraft operators generally are the passenger airlines that offer scheduled and public charter flights from commercial airports.  The rule covers all flights conducted by a covered foreign air carrier arriving in, departing from, or overflying the </w:t>
      </w:r>
      <w:smartTag w:uri="urn:schemas-microsoft-com:office:smarttags" w:element="country-region">
        <w:smartTag w:uri="urn:schemas-microsoft-com:office:smarttags" w:element="place">
          <w:r>
            <w:rPr>
              <w:snapToGrid w:val="0"/>
            </w:rPr>
            <w:t>United States</w:t>
          </w:r>
        </w:smartTag>
      </w:smartTag>
      <w:r>
        <w:rPr>
          <w:snapToGrid w:val="0"/>
        </w:rPr>
        <w:t>.</w:t>
      </w:r>
      <w:r>
        <w:rPr>
          <w:rStyle w:val="FootnoteReference"/>
          <w:snapToGrid w:val="0"/>
        </w:rPr>
        <w:footnoteReference w:id="16"/>
      </w:r>
      <w:r>
        <w:rPr>
          <w:snapToGrid w:val="0"/>
        </w:rPr>
        <w:t xml:space="preserve">  TSA will conduct watch list matching for overflights in order to protect the </w:t>
      </w:r>
      <w:smartTag w:uri="urn:schemas-microsoft-com:office:smarttags" w:element="country-region">
        <w:smartTag w:uri="urn:schemas-microsoft-com:office:smarttags" w:element="place">
          <w:r>
            <w:rPr>
              <w:snapToGrid w:val="0"/>
            </w:rPr>
            <w:t>United States</w:t>
          </w:r>
        </w:smartTag>
      </w:smartTag>
      <w:r>
        <w:rPr>
          <w:snapToGrid w:val="0"/>
        </w:rPr>
        <w:t xml:space="preserve"> against terrorist activity that could occur in its airspace.  At the time of writing, there were 146 foreign air carriers that are be covered by this rule.  </w:t>
      </w:r>
    </w:p>
    <w:p w:rsidR="003B0815" w:rsidRDefault="003B0815" w14:paraId="7FB89FE7" w14:textId="77777777">
      <w:pPr>
        <w:spacing w:line="360" w:lineRule="auto"/>
        <w:ind w:firstLine="720"/>
      </w:pPr>
      <w:r>
        <w:t xml:space="preserve">In calculating the number of international reservations, TSA based its estimate on the passenger estimates in the regulatory impact assessment accompanying CBP’s 2007 APIS final rule, assuming one reservation per passenger.  CBP divided passengers into four categories: passengers on large </w:t>
      </w:r>
      <w:smartTag w:uri="urn:schemas-microsoft-com:office:smarttags" w:element="country-region">
        <w:r>
          <w:t>U.S.</w:t>
        </w:r>
      </w:smartTag>
      <w:r>
        <w:t xml:space="preserve"> carriers, passengers on large foreign carriers, passengers on small </w:t>
      </w:r>
      <w:smartTag w:uri="urn:schemas-microsoft-com:office:smarttags" w:element="country-region">
        <w:smartTag w:uri="urn:schemas-microsoft-com:office:smarttags" w:element="place">
          <w:r>
            <w:t>U.S.</w:t>
          </w:r>
        </w:smartTag>
      </w:smartTag>
      <w:r>
        <w:t xml:space="preserve"> carriers, and passengers on small foreign carriers.  Secure Flight will cover all of these passengers carried by large </w:t>
      </w:r>
      <w:smartTag w:uri="urn:schemas-microsoft-com:office:smarttags" w:element="country-region">
        <w:smartTag w:uri="urn:schemas-microsoft-com:office:smarttags" w:element="place">
          <w:r>
            <w:t>U.S.</w:t>
          </w:r>
        </w:smartTag>
      </w:smartTag>
      <w:r>
        <w:t xml:space="preserve"> and foreign carriers.  However, not all of the international passengers on small </w:t>
      </w:r>
      <w:smartTag w:uri="urn:schemas-microsoft-com:office:smarttags" w:element="country-region">
        <w:smartTag w:uri="urn:schemas-microsoft-com:office:smarttags" w:element="place">
          <w:r>
            <w:t>U.S.</w:t>
          </w:r>
        </w:smartTag>
      </w:smartTag>
      <w:r>
        <w:t xml:space="preserve"> and foreign carriers will be covered by the rule.  In order to determine the number of international passengers on small carriers, TSA first determined the ratio of international enplanements on large domestic carriers to small domestic carriers.  Foreign carriers were handled in the same manner.  Examining international enplanements for FY05 yields small to large carrier enplanement ratios of 1.9 : 52.8 for domestic carriers and 1.5 : 43.8 for foreign carriers.  Each category of international enplanements by carrier type is presented as a percentage of total international enplanements in Table 1.4.1.g.</w:t>
      </w:r>
    </w:p>
    <w:tbl>
      <w:tblPr>
        <w:tblW w:w="5200" w:type="dxa"/>
        <w:jc w:val="center"/>
        <w:tblLook w:val="0000" w:firstRow="0" w:lastRow="0" w:firstColumn="0" w:lastColumn="0" w:noHBand="0" w:noVBand="0"/>
      </w:tblPr>
      <w:tblGrid>
        <w:gridCol w:w="1600"/>
        <w:gridCol w:w="1200"/>
        <w:gridCol w:w="980"/>
        <w:gridCol w:w="1420"/>
      </w:tblGrid>
      <w:tr w:rsidR="003B0815" w14:paraId="42A579F5" w14:textId="77777777">
        <w:trPr>
          <w:trHeight w:val="270"/>
          <w:jc w:val="center"/>
        </w:trPr>
        <w:tc>
          <w:tcPr>
            <w:tcW w:w="5200" w:type="dxa"/>
            <w:gridSpan w:val="4"/>
            <w:tcBorders>
              <w:top w:val="nil"/>
              <w:left w:val="nil"/>
              <w:bottom w:val="single" w:color="auto" w:sz="12" w:space="0"/>
              <w:right w:val="nil"/>
            </w:tcBorders>
            <w:noWrap/>
            <w:vAlign w:val="bottom"/>
          </w:tcPr>
          <w:p w:rsidR="003B0815" w:rsidRDefault="003B0815" w14:paraId="68DB5DAC" w14:textId="77777777">
            <w:pPr>
              <w:pStyle w:val="RegEvalTableHeader"/>
              <w:rPr>
                <w:rFonts w:cs="Arial"/>
              </w:rPr>
            </w:pPr>
            <w:bookmarkStart w:name="_Toc165278369" w:id="117"/>
            <w:bookmarkStart w:name="_Toc174438365" w:id="118"/>
            <w:bookmarkStart w:name="_Toc207109504" w:id="119"/>
            <w:r>
              <w:t>Table 1.4.1.g International Enplanement Shares</w:t>
            </w:r>
            <w:bookmarkEnd w:id="117"/>
            <w:bookmarkEnd w:id="118"/>
            <w:bookmarkEnd w:id="119"/>
          </w:p>
        </w:tc>
      </w:tr>
      <w:tr w:rsidR="003B0815" w14:paraId="7BEF7025" w14:textId="77777777">
        <w:trPr>
          <w:trHeight w:val="270"/>
          <w:jc w:val="center"/>
        </w:trPr>
        <w:tc>
          <w:tcPr>
            <w:tcW w:w="1600" w:type="dxa"/>
            <w:tcBorders>
              <w:top w:val="single" w:color="auto" w:sz="12" w:space="0"/>
              <w:left w:val="single" w:color="auto" w:sz="12" w:space="0"/>
              <w:bottom w:val="single" w:color="auto" w:sz="4" w:space="0"/>
              <w:right w:val="single" w:color="auto" w:sz="4" w:space="0"/>
            </w:tcBorders>
            <w:noWrap/>
            <w:vAlign w:val="bottom"/>
          </w:tcPr>
          <w:p w:rsidR="003B0815" w:rsidRDefault="003B0815" w14:paraId="61448A1D" w14:textId="77777777">
            <w:pPr>
              <w:keepNext/>
              <w:rPr>
                <w:rFonts w:ascii="Arial" w:hAnsi="Arial" w:cs="Arial"/>
                <w:sz w:val="20"/>
                <w:szCs w:val="20"/>
              </w:rPr>
            </w:pPr>
          </w:p>
        </w:tc>
        <w:tc>
          <w:tcPr>
            <w:tcW w:w="1200"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1D7359C5" w14:textId="77777777">
            <w:pPr>
              <w:keepNext/>
              <w:jc w:val="center"/>
              <w:rPr>
                <w:rFonts w:ascii="Arial" w:hAnsi="Arial" w:cs="Arial"/>
                <w:sz w:val="20"/>
                <w:szCs w:val="20"/>
              </w:rPr>
            </w:pPr>
            <w:r>
              <w:rPr>
                <w:rFonts w:ascii="Arial" w:hAnsi="Arial" w:cs="Arial"/>
                <w:sz w:val="20"/>
                <w:szCs w:val="20"/>
              </w:rPr>
              <w:t>Not Small</w:t>
            </w:r>
          </w:p>
        </w:tc>
        <w:tc>
          <w:tcPr>
            <w:tcW w:w="980"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6D47AF3C" w14:textId="77777777">
            <w:pPr>
              <w:keepNext/>
              <w:jc w:val="center"/>
              <w:rPr>
                <w:rFonts w:ascii="Arial" w:hAnsi="Arial" w:cs="Arial"/>
                <w:sz w:val="20"/>
                <w:szCs w:val="20"/>
              </w:rPr>
            </w:pPr>
            <w:r>
              <w:rPr>
                <w:rFonts w:ascii="Arial" w:hAnsi="Arial" w:cs="Arial"/>
                <w:sz w:val="20"/>
                <w:szCs w:val="20"/>
              </w:rPr>
              <w:t>Small</w:t>
            </w:r>
          </w:p>
        </w:tc>
        <w:tc>
          <w:tcPr>
            <w:tcW w:w="1420" w:type="dxa"/>
            <w:tcBorders>
              <w:top w:val="single" w:color="auto" w:sz="12" w:space="0"/>
              <w:left w:val="single" w:color="auto" w:sz="4" w:space="0"/>
              <w:bottom w:val="single" w:color="auto" w:sz="4" w:space="0"/>
              <w:right w:val="single" w:color="auto" w:sz="12" w:space="0"/>
            </w:tcBorders>
            <w:noWrap/>
            <w:vAlign w:val="bottom"/>
          </w:tcPr>
          <w:p w:rsidR="003B0815" w:rsidRDefault="003B0815" w14:paraId="721A7460" w14:textId="77777777">
            <w:pPr>
              <w:keepNext/>
              <w:jc w:val="center"/>
              <w:rPr>
                <w:rFonts w:ascii="Arial" w:hAnsi="Arial" w:cs="Arial"/>
                <w:sz w:val="20"/>
                <w:szCs w:val="20"/>
              </w:rPr>
            </w:pPr>
            <w:r>
              <w:rPr>
                <w:rFonts w:ascii="Arial" w:hAnsi="Arial" w:cs="Arial"/>
                <w:sz w:val="20"/>
                <w:szCs w:val="20"/>
              </w:rPr>
              <w:t>Sum</w:t>
            </w:r>
          </w:p>
        </w:tc>
      </w:tr>
      <w:tr w:rsidR="003B0815" w14:paraId="6497E0B8" w14:textId="77777777">
        <w:trPr>
          <w:trHeight w:val="255"/>
          <w:jc w:val="center"/>
        </w:trPr>
        <w:tc>
          <w:tcPr>
            <w:tcW w:w="160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2BAE4396" w14:textId="77777777">
            <w:pPr>
              <w:keepNext/>
              <w:rPr>
                <w:rFonts w:ascii="Arial" w:hAnsi="Arial" w:cs="Arial"/>
                <w:sz w:val="20"/>
                <w:szCs w:val="20"/>
              </w:rPr>
            </w:pPr>
            <w:r>
              <w:rPr>
                <w:rFonts w:ascii="Arial" w:hAnsi="Arial" w:cs="Arial"/>
                <w:sz w:val="20"/>
                <w:szCs w:val="20"/>
              </w:rPr>
              <w:t>US Flag</w:t>
            </w:r>
          </w:p>
        </w:tc>
        <w:tc>
          <w:tcPr>
            <w:tcW w:w="12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763ACFB" w14:textId="77777777">
            <w:pPr>
              <w:keepNext/>
              <w:jc w:val="center"/>
              <w:rPr>
                <w:rFonts w:ascii="Arial" w:hAnsi="Arial" w:cs="Arial"/>
                <w:sz w:val="20"/>
                <w:szCs w:val="20"/>
              </w:rPr>
            </w:pPr>
            <w:r>
              <w:rPr>
                <w:rFonts w:ascii="Arial" w:hAnsi="Arial" w:cs="Arial"/>
                <w:sz w:val="20"/>
                <w:szCs w:val="20"/>
              </w:rPr>
              <w:t xml:space="preserve">  52.8%</w:t>
            </w:r>
          </w:p>
        </w:tc>
        <w:tc>
          <w:tcPr>
            <w:tcW w:w="9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5EFEAB5" w14:textId="77777777">
            <w:pPr>
              <w:keepNext/>
              <w:jc w:val="right"/>
              <w:rPr>
                <w:rFonts w:ascii="Arial" w:hAnsi="Arial" w:cs="Arial"/>
                <w:sz w:val="20"/>
                <w:szCs w:val="20"/>
              </w:rPr>
            </w:pPr>
            <w:r>
              <w:rPr>
                <w:rFonts w:ascii="Arial" w:hAnsi="Arial" w:cs="Arial"/>
                <w:sz w:val="20"/>
                <w:szCs w:val="20"/>
              </w:rPr>
              <w:t>1.9%</w:t>
            </w:r>
          </w:p>
        </w:tc>
        <w:tc>
          <w:tcPr>
            <w:tcW w:w="1420" w:type="dxa"/>
            <w:tcBorders>
              <w:top w:val="single" w:color="auto" w:sz="4" w:space="0"/>
              <w:left w:val="single" w:color="auto" w:sz="4" w:space="0"/>
              <w:bottom w:val="single" w:color="auto" w:sz="4" w:space="0"/>
              <w:right w:val="single" w:color="auto" w:sz="12" w:space="0"/>
            </w:tcBorders>
            <w:noWrap/>
            <w:vAlign w:val="bottom"/>
          </w:tcPr>
          <w:p w:rsidR="003B0815" w:rsidRDefault="003B0815" w14:paraId="000BED36" w14:textId="77777777">
            <w:pPr>
              <w:keepNext/>
              <w:jc w:val="right"/>
              <w:rPr>
                <w:rFonts w:ascii="Arial" w:hAnsi="Arial" w:cs="Arial"/>
                <w:sz w:val="20"/>
                <w:szCs w:val="20"/>
              </w:rPr>
            </w:pPr>
            <w:r>
              <w:rPr>
                <w:rFonts w:ascii="Arial" w:hAnsi="Arial" w:cs="Arial"/>
                <w:sz w:val="20"/>
                <w:szCs w:val="20"/>
              </w:rPr>
              <w:t>54.7%</w:t>
            </w:r>
          </w:p>
        </w:tc>
      </w:tr>
      <w:tr w:rsidR="003B0815" w14:paraId="48130156" w14:textId="77777777">
        <w:trPr>
          <w:trHeight w:val="255"/>
          <w:jc w:val="center"/>
        </w:trPr>
        <w:tc>
          <w:tcPr>
            <w:tcW w:w="160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3194E436" w14:textId="77777777">
            <w:pPr>
              <w:keepNext/>
              <w:rPr>
                <w:rFonts w:ascii="Arial" w:hAnsi="Arial" w:cs="Arial"/>
                <w:sz w:val="20"/>
                <w:szCs w:val="20"/>
              </w:rPr>
            </w:pPr>
            <w:r>
              <w:rPr>
                <w:rFonts w:ascii="Arial" w:hAnsi="Arial" w:cs="Arial"/>
                <w:sz w:val="20"/>
                <w:szCs w:val="20"/>
              </w:rPr>
              <w:t>Foreign Flag</w:t>
            </w:r>
          </w:p>
        </w:tc>
        <w:tc>
          <w:tcPr>
            <w:tcW w:w="12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803CC47" w14:textId="77777777">
            <w:pPr>
              <w:keepNext/>
              <w:jc w:val="right"/>
              <w:rPr>
                <w:rFonts w:ascii="Arial" w:hAnsi="Arial" w:cs="Arial"/>
                <w:sz w:val="20"/>
                <w:szCs w:val="20"/>
              </w:rPr>
            </w:pPr>
            <w:r>
              <w:rPr>
                <w:rFonts w:ascii="Arial" w:hAnsi="Arial" w:cs="Arial"/>
                <w:sz w:val="20"/>
                <w:szCs w:val="20"/>
              </w:rPr>
              <w:t>43.8%**</w:t>
            </w:r>
          </w:p>
        </w:tc>
        <w:tc>
          <w:tcPr>
            <w:tcW w:w="9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4C07F69" w14:textId="77777777">
            <w:pPr>
              <w:keepNext/>
              <w:jc w:val="right"/>
              <w:rPr>
                <w:rFonts w:ascii="Arial" w:hAnsi="Arial" w:cs="Arial"/>
                <w:sz w:val="20"/>
                <w:szCs w:val="20"/>
              </w:rPr>
            </w:pPr>
            <w:r>
              <w:rPr>
                <w:rFonts w:ascii="Arial" w:hAnsi="Arial" w:cs="Arial"/>
                <w:sz w:val="20"/>
                <w:szCs w:val="20"/>
              </w:rPr>
              <w:t>1.5%</w:t>
            </w:r>
          </w:p>
        </w:tc>
        <w:tc>
          <w:tcPr>
            <w:tcW w:w="1420" w:type="dxa"/>
            <w:tcBorders>
              <w:top w:val="single" w:color="auto" w:sz="4" w:space="0"/>
              <w:left w:val="single" w:color="auto" w:sz="4" w:space="0"/>
              <w:bottom w:val="single" w:color="auto" w:sz="4" w:space="0"/>
              <w:right w:val="single" w:color="auto" w:sz="12" w:space="0"/>
            </w:tcBorders>
            <w:noWrap/>
            <w:vAlign w:val="bottom"/>
          </w:tcPr>
          <w:p w:rsidR="003B0815" w:rsidRDefault="003B0815" w14:paraId="67E49AC9" w14:textId="77777777">
            <w:pPr>
              <w:keepNext/>
              <w:jc w:val="right"/>
              <w:rPr>
                <w:rFonts w:ascii="Arial" w:hAnsi="Arial" w:cs="Arial"/>
                <w:sz w:val="20"/>
                <w:szCs w:val="20"/>
              </w:rPr>
            </w:pPr>
            <w:r>
              <w:rPr>
                <w:rFonts w:ascii="Arial" w:hAnsi="Arial" w:cs="Arial"/>
                <w:sz w:val="20"/>
                <w:szCs w:val="20"/>
              </w:rPr>
              <w:t>45.3%</w:t>
            </w:r>
          </w:p>
        </w:tc>
      </w:tr>
      <w:tr w:rsidR="003B0815" w14:paraId="50B75A9C" w14:textId="77777777">
        <w:trPr>
          <w:trHeight w:val="255"/>
          <w:jc w:val="center"/>
        </w:trPr>
        <w:tc>
          <w:tcPr>
            <w:tcW w:w="1600" w:type="dxa"/>
            <w:tcBorders>
              <w:top w:val="single" w:color="auto" w:sz="4" w:space="0"/>
              <w:left w:val="single" w:color="auto" w:sz="12" w:space="0"/>
              <w:bottom w:val="single" w:color="auto" w:sz="12" w:space="0"/>
              <w:right w:val="single" w:color="auto" w:sz="4" w:space="0"/>
            </w:tcBorders>
            <w:noWrap/>
            <w:vAlign w:val="bottom"/>
          </w:tcPr>
          <w:p w:rsidR="003B0815" w:rsidRDefault="003B0815" w14:paraId="1C2724CC" w14:textId="77777777">
            <w:pPr>
              <w:keepNext/>
              <w:rPr>
                <w:rFonts w:ascii="Arial" w:hAnsi="Arial" w:cs="Arial"/>
                <w:sz w:val="20"/>
                <w:szCs w:val="20"/>
              </w:rPr>
            </w:pPr>
            <w:r>
              <w:rPr>
                <w:rFonts w:ascii="Arial" w:hAnsi="Arial" w:cs="Arial"/>
                <w:sz w:val="20"/>
                <w:szCs w:val="20"/>
              </w:rPr>
              <w:t>Sum</w:t>
            </w:r>
          </w:p>
        </w:tc>
        <w:tc>
          <w:tcPr>
            <w:tcW w:w="1200" w:type="dxa"/>
            <w:tcBorders>
              <w:top w:val="single" w:color="auto" w:sz="4" w:space="0"/>
              <w:left w:val="single" w:color="auto" w:sz="4" w:space="0"/>
              <w:bottom w:val="single" w:color="auto" w:sz="12" w:space="0"/>
              <w:right w:val="single" w:color="auto" w:sz="4" w:space="0"/>
            </w:tcBorders>
            <w:noWrap/>
            <w:vAlign w:val="bottom"/>
          </w:tcPr>
          <w:p w:rsidR="003B0815" w:rsidRDefault="003B0815" w14:paraId="24BB76CF" w14:textId="77777777">
            <w:pPr>
              <w:keepNext/>
              <w:jc w:val="center"/>
              <w:rPr>
                <w:rFonts w:ascii="Arial" w:hAnsi="Arial" w:cs="Arial"/>
                <w:sz w:val="20"/>
                <w:szCs w:val="20"/>
              </w:rPr>
            </w:pPr>
            <w:r>
              <w:rPr>
                <w:rFonts w:ascii="Arial" w:hAnsi="Arial" w:cs="Arial"/>
                <w:sz w:val="20"/>
                <w:szCs w:val="20"/>
              </w:rPr>
              <w:t xml:space="preserve">   96.6%</w:t>
            </w:r>
          </w:p>
        </w:tc>
        <w:tc>
          <w:tcPr>
            <w:tcW w:w="980" w:type="dxa"/>
            <w:tcBorders>
              <w:top w:val="single" w:color="auto" w:sz="4" w:space="0"/>
              <w:left w:val="single" w:color="auto" w:sz="4" w:space="0"/>
              <w:bottom w:val="single" w:color="auto" w:sz="12" w:space="0"/>
              <w:right w:val="single" w:color="auto" w:sz="4" w:space="0"/>
            </w:tcBorders>
            <w:noWrap/>
            <w:vAlign w:val="bottom"/>
          </w:tcPr>
          <w:p w:rsidR="003B0815" w:rsidRDefault="003B0815" w14:paraId="46C9AEBA" w14:textId="77777777">
            <w:pPr>
              <w:keepNext/>
              <w:jc w:val="right"/>
              <w:rPr>
                <w:rFonts w:ascii="Arial" w:hAnsi="Arial" w:cs="Arial"/>
                <w:sz w:val="20"/>
                <w:szCs w:val="20"/>
              </w:rPr>
            </w:pPr>
            <w:r>
              <w:rPr>
                <w:rFonts w:ascii="Arial" w:hAnsi="Arial" w:cs="Arial"/>
                <w:sz w:val="20"/>
                <w:szCs w:val="20"/>
              </w:rPr>
              <w:t>3.4%</w:t>
            </w:r>
          </w:p>
        </w:tc>
        <w:tc>
          <w:tcPr>
            <w:tcW w:w="1420" w:type="dxa"/>
            <w:tcBorders>
              <w:top w:val="single" w:color="auto" w:sz="4" w:space="0"/>
              <w:left w:val="single" w:color="auto" w:sz="4" w:space="0"/>
              <w:bottom w:val="single" w:color="auto" w:sz="12" w:space="0"/>
              <w:right w:val="single" w:color="auto" w:sz="12" w:space="0"/>
            </w:tcBorders>
            <w:noWrap/>
            <w:vAlign w:val="bottom"/>
          </w:tcPr>
          <w:p w:rsidR="003B0815" w:rsidRDefault="003B0815" w14:paraId="4240F302" w14:textId="77777777">
            <w:pPr>
              <w:keepNext/>
              <w:jc w:val="right"/>
              <w:rPr>
                <w:rFonts w:ascii="Arial" w:hAnsi="Arial" w:cs="Arial"/>
                <w:sz w:val="20"/>
                <w:szCs w:val="20"/>
              </w:rPr>
            </w:pPr>
            <w:r>
              <w:rPr>
                <w:rFonts w:ascii="Arial" w:hAnsi="Arial" w:cs="Arial"/>
                <w:sz w:val="20"/>
                <w:szCs w:val="20"/>
              </w:rPr>
              <w:t>100.0%</w:t>
            </w:r>
          </w:p>
        </w:tc>
      </w:tr>
      <w:tr w:rsidR="003B0815" w14:paraId="0F736423" w14:textId="77777777">
        <w:trPr>
          <w:trHeight w:val="255"/>
          <w:jc w:val="center"/>
        </w:trPr>
        <w:tc>
          <w:tcPr>
            <w:tcW w:w="5200" w:type="dxa"/>
            <w:gridSpan w:val="4"/>
            <w:tcBorders>
              <w:top w:val="single" w:color="auto" w:sz="12" w:space="0"/>
              <w:left w:val="nil"/>
              <w:bottom w:val="nil"/>
              <w:right w:val="nil"/>
            </w:tcBorders>
            <w:noWrap/>
            <w:vAlign w:val="bottom"/>
          </w:tcPr>
          <w:p w:rsidR="003B0815" w:rsidRDefault="003B0815" w14:paraId="251BE612" w14:textId="77777777">
            <w:pPr>
              <w:keepNext/>
              <w:rPr>
                <w:rFonts w:ascii="Arial" w:hAnsi="Arial" w:cs="Arial"/>
                <w:sz w:val="16"/>
                <w:szCs w:val="16"/>
              </w:rPr>
            </w:pPr>
            <w:r>
              <w:rPr>
                <w:rFonts w:ascii="Arial" w:hAnsi="Arial" w:cs="Arial"/>
                <w:sz w:val="16"/>
                <w:szCs w:val="16"/>
              </w:rPr>
              <w:t>** Includes carriers of unknown size</w:t>
            </w:r>
          </w:p>
          <w:p w:rsidR="003B0815" w:rsidRDefault="003B0815" w14:paraId="3A55FA62" w14:textId="77777777">
            <w:pPr>
              <w:keepNext/>
              <w:rPr>
                <w:rFonts w:ascii="Arial" w:hAnsi="Arial" w:cs="Arial"/>
                <w:sz w:val="20"/>
                <w:szCs w:val="20"/>
              </w:rPr>
            </w:pPr>
            <w:r>
              <w:rPr>
                <w:rFonts w:ascii="Arial" w:hAnsi="Arial" w:cs="Arial"/>
                <w:sz w:val="16"/>
                <w:szCs w:val="16"/>
              </w:rPr>
              <w:t>Source: BTS.</w:t>
            </w:r>
          </w:p>
        </w:tc>
      </w:tr>
    </w:tbl>
    <w:p w:rsidR="003B0815" w:rsidRDefault="003B0815" w14:paraId="58D540B8" w14:textId="77777777">
      <w:pPr>
        <w:spacing w:line="360" w:lineRule="auto"/>
        <w:ind w:firstLine="720"/>
      </w:pPr>
    </w:p>
    <w:p w:rsidR="003B0815" w:rsidRDefault="003B0815" w14:paraId="0820C0EB" w14:textId="77777777">
      <w:pPr>
        <w:spacing w:line="360" w:lineRule="auto"/>
        <w:ind w:firstLine="720"/>
      </w:pPr>
      <w:r>
        <w:t xml:space="preserve">Those ratios were then applied to known anchors. The two known anchors are the international passengers by large carriers, both foreign and domestic.  These are “known” because they are all covered by Secure Flight.  TSA did not use the total international passengers because an unknown number are not covered.  As an example, in 2006 there were an estimated 1,273,000 international passengers on small </w:t>
      </w:r>
      <w:smartTag w:uri="urn:schemas-microsoft-com:office:smarttags" w:element="country-region">
        <w:smartTag w:uri="urn:schemas-microsoft-com:office:smarttags" w:element="place">
          <w:r>
            <w:t>U.S.</w:t>
          </w:r>
        </w:smartTag>
      </w:smartTag>
      <w:r>
        <w:t xml:space="preserve"> flag carriers.  This is derived by multiplying the 2006 Large </w:t>
      </w:r>
      <w:smartTag w:uri="urn:schemas-microsoft-com:office:smarttags" w:element="country-region">
        <w:r>
          <w:t>U.S.</w:t>
        </w:r>
      </w:smartTag>
      <w:r>
        <w:t xml:space="preserve"> international passengers (35,373,000) by the proportion of </w:t>
      </w:r>
      <w:smartTag w:uri="urn:schemas-microsoft-com:office:smarttags" w:element="country-region">
        <w:r>
          <w:t>U.S.</w:t>
        </w:r>
      </w:smartTag>
      <w:r>
        <w:t xml:space="preserve"> small to large carrier enplanements (1.9/52.8) which yields 1,273,000 international passengers on small </w:t>
      </w:r>
      <w:smartTag w:uri="urn:schemas-microsoft-com:office:smarttags" w:element="country-region">
        <w:smartTag w:uri="urn:schemas-microsoft-com:office:smarttags" w:element="place">
          <w:r>
            <w:t>U.S.</w:t>
          </w:r>
        </w:smartTag>
      </w:smartTag>
      <w:r>
        <w:t xml:space="preserve"> carriers in 2006. The same method is used to calculate the projected international passengers on small foreign carriers. </w:t>
      </w:r>
    </w:p>
    <w:p w:rsidR="003B0815" w:rsidRDefault="003B0815" w14:paraId="6B95A453" w14:textId="77777777">
      <w:pPr>
        <w:spacing w:line="360" w:lineRule="auto"/>
        <w:ind w:firstLine="720"/>
      </w:pPr>
      <w:r>
        <w:t xml:space="preserve">Neither DHS nor DOT publishes statistics on passenger data for flights that overfly the </w:t>
      </w:r>
      <w:smartTag w:uri="urn:schemas-microsoft-com:office:smarttags" w:element="country-region">
        <w:smartTag w:uri="urn:schemas-microsoft-com:office:smarttags" w:element="place">
          <w:r>
            <w:t>United States</w:t>
          </w:r>
        </w:smartTag>
      </w:smartTag>
      <w:r>
        <w:t xml:space="preserve">.  The existing APIS regulations require foreign carriers to submit crew manifests to CBP; however, CBP does not track this data or collect information about passengers.  In order to estimate the number of affected passengers on covered international carriers overflying the </w:t>
      </w:r>
      <w:smartTag w:uri="urn:schemas-microsoft-com:office:smarttags" w:element="country-region">
        <w:r>
          <w:t>U.S.</w:t>
        </w:r>
      </w:smartTag>
      <w:r>
        <w:t xml:space="preserve">, TSA consulted the FAA’s Enhanced Traffic Management System (ETMS), which records flight information of aircraft entering </w:t>
      </w:r>
      <w:smartTag w:uri="urn:schemas-microsoft-com:office:smarttags" w:element="country-region">
        <w:smartTag w:uri="urn:schemas-microsoft-com:office:smarttags" w:element="place">
          <w:r>
            <w:t>U.S.</w:t>
          </w:r>
        </w:smartTag>
      </w:smartTag>
      <w:r>
        <w:t xml:space="preserve"> airspace.  TSA extracted fiscal year 2005 overflight data by carrier and then by ranges of aircraft seats (e.g., flights by aircraft with 0 to 60 seats, flights by aircraft with 61 to 100 seats, etc.).  To arrive at an estimate of passenger totals, TSA analyzed the types of aircraft flying within each category and multiplied the number of flights by a weighted average number of seats and an applicable load factor.  TSA then compared the derived passenger totals to a list of international operators that are covered by Secure Flight in order to estimate the number of passengers overflying the </w:t>
      </w:r>
      <w:smartTag w:uri="urn:schemas-microsoft-com:office:smarttags" w:element="country-region">
        <w:smartTag w:uri="urn:schemas-microsoft-com:office:smarttags" w:element="place">
          <w:r>
            <w:t>U.S.</w:t>
          </w:r>
        </w:smartTag>
      </w:smartTag>
      <w:r>
        <w:t xml:space="preserve"> who are affected by this rule.  This method enabled TSA to estimate passengers for 96.3% of covered overflights.  ETMS data for the remaining flights did not contain enough information for TSA to project passenger totals; thus, the totals presented here may slightly understate the actual number of covered passengers overflying the </w:t>
      </w:r>
      <w:smartTag w:uri="urn:schemas-microsoft-com:office:smarttags" w:element="country-region">
        <w:smartTag w:uri="urn:schemas-microsoft-com:office:smarttags" w:element="place">
          <w:r>
            <w:t>U.S.</w:t>
          </w:r>
        </w:smartTag>
      </w:smartTag>
      <w:r>
        <w:t xml:space="preserve">  TSA adopted CBP’s assumption that these passenger totals will grow by 5% annually.</w:t>
      </w:r>
    </w:p>
    <w:p w:rsidR="003B0815" w:rsidRDefault="003B0815" w14:paraId="66CE03C1" w14:textId="77777777">
      <w:pPr>
        <w:spacing w:line="360" w:lineRule="auto"/>
        <w:ind w:firstLine="720"/>
      </w:pPr>
      <w:r>
        <w:t xml:space="preserve">The rule also covers </w:t>
      </w:r>
      <w:smartTag w:uri="urn:schemas-microsoft-com:office:smarttags" w:element="country-region">
        <w:smartTag w:uri="urn:schemas-microsoft-com:office:smarttags" w:element="place">
          <w:r>
            <w:t>U.S.</w:t>
          </w:r>
        </w:smartTag>
      </w:smartTag>
      <w:r>
        <w:t xml:space="preserve"> carriers flying between two foreign points.  Since these flights operate exclusively outside the </w:t>
      </w:r>
      <w:smartTag w:uri="urn:schemas-microsoft-com:office:smarttags" w:element="country-region">
        <w:r>
          <w:t>United States</w:t>
        </w:r>
      </w:smartTag>
      <w:r>
        <w:t xml:space="preserve">, they are distinct from international flights operated by large </w:t>
      </w:r>
      <w:smartTag w:uri="urn:schemas-microsoft-com:office:smarttags" w:element="country-region">
        <w:smartTag w:uri="urn:schemas-microsoft-com:office:smarttags" w:element="place">
          <w:r>
            <w:t>U.S.</w:t>
          </w:r>
        </w:smartTag>
      </w:smartTag>
      <w:r>
        <w:t xml:space="preserve"> carriers in the passenger totals reported by CBP.  DOT’s Bureau of Transportation Statistics reports that </w:t>
      </w:r>
      <w:smartTag w:uri="urn:schemas-microsoft-com:office:smarttags" w:element="country-region">
        <w:smartTag w:uri="urn:schemas-microsoft-com:office:smarttags" w:element="place">
          <w:r>
            <w:t>U.S.</w:t>
          </w:r>
        </w:smartTag>
      </w:smartTag>
      <w:r>
        <w:t xml:space="preserve"> flag carriers transported 3.6 million passengers on such flights in 2006.  TSA applied the estimated 5% annual growth rate in international passenger traffic to project this traffic through 2017.</w:t>
      </w:r>
    </w:p>
    <w:p w:rsidR="003B0815" w:rsidRDefault="003B0815" w14:paraId="0872E9D8" w14:textId="77777777">
      <w:pPr>
        <w:spacing w:line="360" w:lineRule="auto"/>
        <w:ind w:firstLine="720"/>
      </w:pPr>
      <w:r>
        <w:t xml:space="preserve">Through these combined methods, Table 1.4.1.h projects annual totals of covered international passengers.  </w:t>
      </w:r>
    </w:p>
    <w:tbl>
      <w:tblPr>
        <w:tblW w:w="9646" w:type="dxa"/>
        <w:jc w:val="center"/>
        <w:tblLook w:val="0000" w:firstRow="0" w:lastRow="0" w:firstColumn="0" w:lastColumn="0" w:noHBand="0" w:noVBand="0"/>
      </w:tblPr>
      <w:tblGrid>
        <w:gridCol w:w="1039"/>
        <w:gridCol w:w="893"/>
        <w:gridCol w:w="1087"/>
        <w:gridCol w:w="900"/>
        <w:gridCol w:w="1080"/>
        <w:gridCol w:w="958"/>
        <w:gridCol w:w="1206"/>
        <w:gridCol w:w="1117"/>
        <w:gridCol w:w="1366"/>
      </w:tblGrid>
      <w:tr w:rsidR="003B0815" w14:paraId="7A7F51A5" w14:textId="77777777">
        <w:trPr>
          <w:trHeight w:val="270"/>
          <w:jc w:val="center"/>
        </w:trPr>
        <w:tc>
          <w:tcPr>
            <w:tcW w:w="9646" w:type="dxa"/>
            <w:gridSpan w:val="9"/>
            <w:tcBorders>
              <w:bottom w:val="single" w:color="auto" w:sz="12" w:space="0"/>
            </w:tcBorders>
            <w:noWrap/>
            <w:vAlign w:val="bottom"/>
          </w:tcPr>
          <w:p w:rsidR="003B0815" w:rsidRDefault="003B0815" w14:paraId="3B81B812" w14:textId="77777777">
            <w:pPr>
              <w:pStyle w:val="RegEvalTableHeader"/>
              <w:keepNext/>
              <w:rPr>
                <w:rFonts w:cs="Arial"/>
              </w:rPr>
            </w:pPr>
            <w:bookmarkStart w:name="_Toc165278370" w:id="120"/>
            <w:bookmarkStart w:name="_Toc174438366" w:id="121"/>
            <w:bookmarkStart w:name="_Toc207109505" w:id="122"/>
            <w:r>
              <w:t>Table 1.4.1.h Projected Secure Flight Covered International Passengers (Millions)</w:t>
            </w:r>
            <w:bookmarkEnd w:id="120"/>
            <w:bookmarkEnd w:id="121"/>
            <w:bookmarkEnd w:id="122"/>
          </w:p>
        </w:tc>
      </w:tr>
      <w:tr w:rsidR="003B0815" w14:paraId="37A5F2A1" w14:textId="77777777">
        <w:trPr>
          <w:trHeight w:val="270"/>
          <w:jc w:val="center"/>
        </w:trPr>
        <w:tc>
          <w:tcPr>
            <w:tcW w:w="985" w:type="dxa"/>
            <w:tcBorders>
              <w:top w:val="single" w:color="auto" w:sz="12" w:space="0"/>
              <w:left w:val="single" w:color="auto" w:sz="12" w:space="0"/>
              <w:bottom w:val="single" w:color="auto" w:sz="4" w:space="0"/>
              <w:right w:val="single" w:color="auto" w:sz="4" w:space="0"/>
            </w:tcBorders>
            <w:noWrap/>
            <w:vAlign w:val="bottom"/>
          </w:tcPr>
          <w:p w:rsidR="003B0815" w:rsidRDefault="003B0815" w14:paraId="016C0F3F" w14:textId="77777777">
            <w:pPr>
              <w:keepNext/>
              <w:jc w:val="center"/>
              <w:rPr>
                <w:rFonts w:ascii="Arial" w:hAnsi="Arial" w:cs="Arial"/>
                <w:b/>
                <w:sz w:val="20"/>
                <w:szCs w:val="20"/>
              </w:rPr>
            </w:pPr>
            <w:bookmarkStart w:name="RANGE!A7:F18" w:id="123"/>
            <w:r>
              <w:rPr>
                <w:rFonts w:ascii="Arial" w:hAnsi="Arial" w:cs="Arial"/>
                <w:b/>
                <w:sz w:val="20"/>
                <w:szCs w:val="20"/>
              </w:rPr>
              <w:t>Program</w:t>
            </w:r>
          </w:p>
          <w:p w:rsidR="003B0815" w:rsidRDefault="003B0815" w14:paraId="2991915F" w14:textId="77777777">
            <w:pPr>
              <w:keepNext/>
              <w:jc w:val="center"/>
              <w:rPr>
                <w:rFonts w:ascii="Arial" w:hAnsi="Arial" w:cs="Arial"/>
                <w:b/>
                <w:sz w:val="20"/>
                <w:szCs w:val="20"/>
              </w:rPr>
            </w:pPr>
            <w:r>
              <w:rPr>
                <w:rFonts w:ascii="Arial" w:hAnsi="Arial" w:cs="Arial"/>
                <w:b/>
                <w:sz w:val="20"/>
                <w:szCs w:val="20"/>
              </w:rPr>
              <w:t>Year</w:t>
            </w:r>
            <w:bookmarkEnd w:id="123"/>
          </w:p>
        </w:tc>
        <w:tc>
          <w:tcPr>
            <w:tcW w:w="893"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5082A6CE" w14:textId="77777777">
            <w:pPr>
              <w:keepNext/>
              <w:jc w:val="center"/>
              <w:rPr>
                <w:rFonts w:ascii="Arial" w:hAnsi="Arial" w:cs="Arial"/>
                <w:b/>
                <w:sz w:val="20"/>
                <w:szCs w:val="20"/>
              </w:rPr>
            </w:pPr>
            <w:r>
              <w:rPr>
                <w:rFonts w:ascii="Arial" w:hAnsi="Arial" w:cs="Arial"/>
                <w:b/>
                <w:sz w:val="20"/>
                <w:szCs w:val="20"/>
              </w:rPr>
              <w:t xml:space="preserve">Large </w:t>
            </w:r>
            <w:smartTag w:uri="urn:schemas-microsoft-com:office:smarttags" w:element="country-region">
              <w:smartTag w:uri="urn:schemas-microsoft-com:office:smarttags" w:element="place">
                <w:r>
                  <w:rPr>
                    <w:rFonts w:ascii="Arial" w:hAnsi="Arial" w:cs="Arial"/>
                    <w:b/>
                    <w:sz w:val="20"/>
                    <w:szCs w:val="20"/>
                  </w:rPr>
                  <w:t>U.S.</w:t>
                </w:r>
              </w:smartTag>
            </w:smartTag>
          </w:p>
        </w:tc>
        <w:tc>
          <w:tcPr>
            <w:tcW w:w="1087"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3F460224" w14:textId="77777777">
            <w:pPr>
              <w:keepNext/>
              <w:jc w:val="center"/>
              <w:rPr>
                <w:rFonts w:ascii="Arial" w:hAnsi="Arial" w:cs="Arial"/>
                <w:b/>
                <w:sz w:val="20"/>
                <w:szCs w:val="20"/>
              </w:rPr>
            </w:pPr>
            <w:r>
              <w:rPr>
                <w:rFonts w:ascii="Arial" w:hAnsi="Arial" w:cs="Arial"/>
                <w:b/>
                <w:sz w:val="20"/>
                <w:szCs w:val="20"/>
              </w:rPr>
              <w:t>Large Foreign</w:t>
            </w:r>
          </w:p>
        </w:tc>
        <w:tc>
          <w:tcPr>
            <w:tcW w:w="900"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7BCD0461" w14:textId="77777777">
            <w:pPr>
              <w:keepNext/>
              <w:jc w:val="center"/>
              <w:rPr>
                <w:rFonts w:ascii="Arial" w:hAnsi="Arial" w:cs="Arial"/>
                <w:b/>
                <w:sz w:val="20"/>
                <w:szCs w:val="20"/>
              </w:rPr>
            </w:pPr>
            <w:r>
              <w:rPr>
                <w:rFonts w:ascii="Arial" w:hAnsi="Arial" w:cs="Arial"/>
                <w:b/>
                <w:sz w:val="20"/>
                <w:szCs w:val="20"/>
              </w:rPr>
              <w:t xml:space="preserve">Small </w:t>
            </w:r>
            <w:smartTag w:uri="urn:schemas-microsoft-com:office:smarttags" w:element="country-region">
              <w:smartTag w:uri="urn:schemas-microsoft-com:office:smarttags" w:element="place">
                <w:r>
                  <w:rPr>
                    <w:rFonts w:ascii="Arial" w:hAnsi="Arial" w:cs="Arial"/>
                    <w:b/>
                    <w:sz w:val="20"/>
                    <w:szCs w:val="20"/>
                  </w:rPr>
                  <w:t>U.S.</w:t>
                </w:r>
              </w:smartTag>
            </w:smartTag>
          </w:p>
        </w:tc>
        <w:tc>
          <w:tcPr>
            <w:tcW w:w="1080"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032DED43" w14:textId="77777777">
            <w:pPr>
              <w:keepNext/>
              <w:jc w:val="center"/>
              <w:rPr>
                <w:rFonts w:ascii="Arial" w:hAnsi="Arial" w:cs="Arial"/>
                <w:b/>
                <w:sz w:val="20"/>
                <w:szCs w:val="20"/>
              </w:rPr>
            </w:pPr>
            <w:r>
              <w:rPr>
                <w:rFonts w:ascii="Arial" w:hAnsi="Arial" w:cs="Arial"/>
                <w:b/>
                <w:sz w:val="20"/>
                <w:szCs w:val="20"/>
              </w:rPr>
              <w:t>Small Foreign</w:t>
            </w:r>
          </w:p>
        </w:tc>
        <w:tc>
          <w:tcPr>
            <w:tcW w:w="958"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13F3C5BC" w14:textId="77777777">
            <w:pPr>
              <w:keepNext/>
              <w:jc w:val="center"/>
              <w:rPr>
                <w:rFonts w:ascii="Arial" w:hAnsi="Arial" w:cs="Arial"/>
                <w:b/>
                <w:sz w:val="20"/>
                <w:szCs w:val="20"/>
              </w:rPr>
            </w:pPr>
            <w:r>
              <w:rPr>
                <w:rFonts w:ascii="Arial" w:hAnsi="Arial" w:cs="Arial"/>
                <w:b/>
                <w:sz w:val="20"/>
                <w:szCs w:val="20"/>
              </w:rPr>
              <w:t xml:space="preserve">Total </w:t>
            </w:r>
            <w:smartTag w:uri="urn:schemas-microsoft-com:office:smarttags" w:element="country-region">
              <w:smartTag w:uri="urn:schemas-microsoft-com:office:smarttags" w:element="place">
                <w:r>
                  <w:rPr>
                    <w:rFonts w:ascii="Arial" w:hAnsi="Arial" w:cs="Arial"/>
                    <w:b/>
                    <w:sz w:val="20"/>
                    <w:szCs w:val="20"/>
                  </w:rPr>
                  <w:t>U.S.</w:t>
                </w:r>
              </w:smartTag>
            </w:smartTag>
            <w:r>
              <w:rPr>
                <w:rFonts w:ascii="Arial" w:hAnsi="Arial" w:cs="Arial"/>
                <w:b/>
                <w:sz w:val="20"/>
                <w:szCs w:val="20"/>
              </w:rPr>
              <w:t xml:space="preserve"> Entries/ Exits</w:t>
            </w:r>
          </w:p>
        </w:tc>
        <w:tc>
          <w:tcPr>
            <w:tcW w:w="1206" w:type="dxa"/>
            <w:tcBorders>
              <w:top w:val="single" w:color="auto" w:sz="12" w:space="0"/>
              <w:left w:val="single" w:color="auto" w:sz="4" w:space="0"/>
              <w:bottom w:val="single" w:color="auto" w:sz="4" w:space="0"/>
              <w:right w:val="single" w:color="auto" w:sz="4" w:space="0"/>
            </w:tcBorders>
            <w:vAlign w:val="bottom"/>
          </w:tcPr>
          <w:p w:rsidR="003B0815" w:rsidRDefault="003B0815" w14:paraId="09F57F17" w14:textId="77777777">
            <w:pPr>
              <w:keepNext/>
              <w:jc w:val="center"/>
              <w:rPr>
                <w:rFonts w:ascii="Arial" w:hAnsi="Arial" w:cs="Arial"/>
                <w:b/>
                <w:sz w:val="20"/>
                <w:szCs w:val="20"/>
              </w:rPr>
            </w:pPr>
            <w:r>
              <w:rPr>
                <w:rFonts w:ascii="Arial" w:hAnsi="Arial" w:cs="Arial"/>
                <w:b/>
                <w:sz w:val="20"/>
                <w:szCs w:val="20"/>
              </w:rPr>
              <w:t>Covered Foreign Carriers Overflying</w:t>
            </w:r>
          </w:p>
        </w:tc>
        <w:tc>
          <w:tcPr>
            <w:tcW w:w="1157" w:type="dxa"/>
            <w:tcBorders>
              <w:top w:val="single" w:color="auto" w:sz="12" w:space="0"/>
              <w:left w:val="single" w:color="auto" w:sz="4" w:space="0"/>
              <w:bottom w:val="single" w:color="auto" w:sz="4" w:space="0"/>
              <w:right w:val="single" w:color="auto" w:sz="4" w:space="0"/>
            </w:tcBorders>
          </w:tcPr>
          <w:p w:rsidR="003B0815" w:rsidRDefault="003B0815" w14:paraId="2A194BE8" w14:textId="77777777">
            <w:pPr>
              <w:keepNext/>
              <w:jc w:val="center"/>
              <w:rPr>
                <w:rFonts w:ascii="Arial" w:hAnsi="Arial" w:cs="Arial"/>
                <w:b/>
                <w:sz w:val="20"/>
                <w:szCs w:val="20"/>
              </w:rPr>
            </w:pPr>
            <w:smartTag w:uri="urn:schemas-microsoft-com:office:smarttags" w:element="country-region">
              <w:smartTag w:uri="urn:schemas-microsoft-com:office:smarttags" w:element="place">
                <w:r>
                  <w:rPr>
                    <w:rFonts w:ascii="Arial" w:hAnsi="Arial" w:cs="Arial"/>
                    <w:b/>
                    <w:sz w:val="20"/>
                    <w:szCs w:val="20"/>
                  </w:rPr>
                  <w:t>U.S.</w:t>
                </w:r>
              </w:smartTag>
            </w:smartTag>
            <w:r>
              <w:rPr>
                <w:rFonts w:ascii="Arial" w:hAnsi="Arial" w:cs="Arial"/>
                <w:b/>
                <w:sz w:val="20"/>
                <w:szCs w:val="20"/>
              </w:rPr>
              <w:t xml:space="preserve"> Carriers, Foreign Point-to-Point</w:t>
            </w:r>
          </w:p>
        </w:tc>
        <w:tc>
          <w:tcPr>
            <w:tcW w:w="1380" w:type="dxa"/>
            <w:tcBorders>
              <w:top w:val="single" w:color="auto" w:sz="12" w:space="0"/>
              <w:left w:val="single" w:color="auto" w:sz="4" w:space="0"/>
              <w:bottom w:val="single" w:color="auto" w:sz="4" w:space="0"/>
              <w:right w:val="single" w:color="auto" w:sz="12" w:space="0"/>
            </w:tcBorders>
            <w:vAlign w:val="bottom"/>
          </w:tcPr>
          <w:p w:rsidR="003B0815" w:rsidRDefault="003B0815" w14:paraId="2781BFC0" w14:textId="77777777">
            <w:pPr>
              <w:keepNext/>
              <w:jc w:val="center"/>
              <w:rPr>
                <w:rFonts w:ascii="Arial" w:hAnsi="Arial" w:cs="Arial"/>
                <w:b/>
                <w:sz w:val="20"/>
                <w:szCs w:val="20"/>
              </w:rPr>
            </w:pPr>
            <w:r>
              <w:rPr>
                <w:rFonts w:ascii="Arial" w:hAnsi="Arial" w:cs="Arial"/>
                <w:b/>
                <w:sz w:val="20"/>
                <w:szCs w:val="20"/>
              </w:rPr>
              <w:t>Total Covered Passengers</w:t>
            </w:r>
          </w:p>
        </w:tc>
      </w:tr>
      <w:tr w:rsidR="003B0815" w14:paraId="211EA177"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459E812" w14:textId="77777777">
            <w:pPr>
              <w:keepNext/>
              <w:jc w:val="center"/>
              <w:rPr>
                <w:rFonts w:ascii="Arial" w:hAnsi="Arial" w:cs="Arial"/>
                <w:sz w:val="20"/>
                <w:szCs w:val="20"/>
              </w:rPr>
            </w:pPr>
            <w:r>
              <w:rPr>
                <w:rFonts w:ascii="Arial" w:hAnsi="Arial"/>
                <w:sz w:val="20"/>
                <w:szCs w:val="20"/>
              </w:rPr>
              <w:t>1</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828F5B9" w14:textId="77777777">
            <w:pPr>
              <w:keepNext/>
              <w:jc w:val="center"/>
              <w:rPr>
                <w:rFonts w:ascii="Arial" w:hAnsi="Arial" w:cs="Arial"/>
                <w:sz w:val="20"/>
                <w:szCs w:val="20"/>
              </w:rPr>
            </w:pPr>
            <w:r>
              <w:rPr>
                <w:rFonts w:ascii="Arial" w:hAnsi="Arial" w:cs="Arial"/>
                <w:sz w:val="20"/>
                <w:szCs w:val="20"/>
              </w:rPr>
              <w:t>39.0</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667855D" w14:textId="77777777">
            <w:pPr>
              <w:keepNext/>
              <w:jc w:val="center"/>
              <w:rPr>
                <w:rFonts w:ascii="Arial" w:hAnsi="Arial" w:cs="Arial"/>
                <w:sz w:val="20"/>
                <w:szCs w:val="20"/>
              </w:rPr>
            </w:pPr>
            <w:r>
              <w:rPr>
                <w:rFonts w:ascii="Arial" w:hAnsi="Arial" w:cs="Arial"/>
                <w:sz w:val="20"/>
                <w:szCs w:val="20"/>
              </w:rPr>
              <w:t>44.0</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C73FB62" w14:textId="77777777">
            <w:pPr>
              <w:keepNext/>
              <w:jc w:val="center"/>
              <w:rPr>
                <w:rFonts w:ascii="Arial" w:hAnsi="Arial" w:cs="Arial"/>
                <w:sz w:val="20"/>
                <w:szCs w:val="20"/>
              </w:rPr>
            </w:pPr>
            <w:r>
              <w:rPr>
                <w:rFonts w:ascii="Arial" w:hAnsi="Arial" w:cs="Arial"/>
                <w:sz w:val="20"/>
                <w:szCs w:val="20"/>
              </w:rPr>
              <w:t>1.4</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87F93BA" w14:textId="77777777">
            <w:pPr>
              <w:keepNext/>
              <w:jc w:val="center"/>
              <w:rPr>
                <w:rFonts w:ascii="Arial" w:hAnsi="Arial" w:cs="Arial"/>
                <w:sz w:val="20"/>
                <w:szCs w:val="20"/>
              </w:rPr>
            </w:pPr>
            <w:r>
              <w:rPr>
                <w:rFonts w:ascii="Arial" w:hAnsi="Arial" w:cs="Arial"/>
                <w:sz w:val="20"/>
                <w:szCs w:val="20"/>
              </w:rPr>
              <w:t>1.5</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41531818" w14:textId="77777777">
            <w:pPr>
              <w:keepNext/>
              <w:jc w:val="center"/>
              <w:rPr>
                <w:rFonts w:ascii="Arial" w:hAnsi="Arial" w:cs="Arial"/>
                <w:sz w:val="20"/>
                <w:szCs w:val="20"/>
              </w:rPr>
            </w:pPr>
            <w:r>
              <w:rPr>
                <w:rFonts w:ascii="Arial" w:hAnsi="Arial" w:cs="Arial"/>
                <w:sz w:val="20"/>
                <w:szCs w:val="20"/>
              </w:rPr>
              <w:t>85.9</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2BD01C2C" w14:textId="77777777">
            <w:pPr>
              <w:keepNext/>
              <w:jc w:val="center"/>
              <w:rPr>
                <w:rFonts w:ascii="Arial" w:hAnsi="Arial" w:cs="Arial"/>
                <w:sz w:val="20"/>
                <w:szCs w:val="20"/>
              </w:rPr>
            </w:pPr>
            <w:r>
              <w:rPr>
                <w:rFonts w:ascii="Arial" w:hAnsi="Arial" w:cs="Arial"/>
                <w:sz w:val="20"/>
                <w:szCs w:val="20"/>
              </w:rPr>
              <w:t>34.2</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69D59A73" w14:textId="77777777">
            <w:pPr>
              <w:keepNext/>
              <w:jc w:val="center"/>
              <w:rPr>
                <w:rFonts w:ascii="Arial" w:hAnsi="Arial" w:cs="Arial"/>
                <w:sz w:val="20"/>
                <w:szCs w:val="20"/>
              </w:rPr>
            </w:pPr>
            <w:r>
              <w:rPr>
                <w:rFonts w:ascii="Arial" w:hAnsi="Arial" w:cs="Arial"/>
                <w:sz w:val="20"/>
                <w:szCs w:val="20"/>
              </w:rPr>
              <w:t>4.0</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42931F25" w14:textId="77777777">
            <w:pPr>
              <w:keepNext/>
              <w:jc w:val="center"/>
              <w:rPr>
                <w:rFonts w:ascii="Arial" w:hAnsi="Arial" w:cs="Arial"/>
                <w:sz w:val="20"/>
                <w:szCs w:val="20"/>
              </w:rPr>
            </w:pPr>
            <w:r>
              <w:rPr>
                <w:rFonts w:ascii="Arial" w:hAnsi="Arial" w:cs="Arial"/>
                <w:sz w:val="20"/>
                <w:szCs w:val="20"/>
              </w:rPr>
              <w:t>124.1</w:t>
            </w:r>
          </w:p>
        </w:tc>
      </w:tr>
      <w:tr w:rsidR="003B0815" w14:paraId="060AA538"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2F250F99" w14:textId="77777777">
            <w:pPr>
              <w:keepNext/>
              <w:jc w:val="center"/>
              <w:rPr>
                <w:rFonts w:ascii="Arial" w:hAnsi="Arial" w:cs="Arial"/>
                <w:sz w:val="20"/>
                <w:szCs w:val="20"/>
              </w:rPr>
            </w:pPr>
            <w:r>
              <w:rPr>
                <w:rFonts w:ascii="Arial" w:hAnsi="Arial"/>
                <w:sz w:val="20"/>
                <w:szCs w:val="20"/>
              </w:rPr>
              <w:t>2</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BD4315B" w14:textId="77777777">
            <w:pPr>
              <w:keepNext/>
              <w:jc w:val="center"/>
              <w:rPr>
                <w:rFonts w:ascii="Arial" w:hAnsi="Arial" w:cs="Arial"/>
                <w:sz w:val="20"/>
                <w:szCs w:val="20"/>
              </w:rPr>
            </w:pPr>
            <w:r>
              <w:rPr>
                <w:rFonts w:ascii="Arial" w:hAnsi="Arial" w:cs="Arial"/>
                <w:sz w:val="20"/>
                <w:szCs w:val="20"/>
              </w:rPr>
              <w:t>40.9</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676428E" w14:textId="77777777">
            <w:pPr>
              <w:keepNext/>
              <w:jc w:val="center"/>
              <w:rPr>
                <w:rFonts w:ascii="Arial" w:hAnsi="Arial" w:cs="Arial"/>
                <w:sz w:val="20"/>
                <w:szCs w:val="20"/>
              </w:rPr>
            </w:pPr>
            <w:r>
              <w:rPr>
                <w:rFonts w:ascii="Arial" w:hAnsi="Arial" w:cs="Arial"/>
                <w:sz w:val="20"/>
                <w:szCs w:val="20"/>
              </w:rPr>
              <w:t>46.2</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1E41AE7" w14:textId="77777777">
            <w:pPr>
              <w:keepNext/>
              <w:jc w:val="center"/>
              <w:rPr>
                <w:rFonts w:ascii="Arial" w:hAnsi="Arial" w:cs="Arial"/>
                <w:sz w:val="20"/>
                <w:szCs w:val="20"/>
              </w:rPr>
            </w:pPr>
            <w:r>
              <w:rPr>
                <w:rFonts w:ascii="Arial" w:hAnsi="Arial" w:cs="Arial"/>
                <w:sz w:val="20"/>
                <w:szCs w:val="20"/>
              </w:rPr>
              <w:t>1.5</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6E8D72C" w14:textId="77777777">
            <w:pPr>
              <w:keepNext/>
              <w:jc w:val="center"/>
              <w:rPr>
                <w:rFonts w:ascii="Arial" w:hAnsi="Arial" w:cs="Arial"/>
                <w:sz w:val="20"/>
                <w:szCs w:val="20"/>
              </w:rPr>
            </w:pPr>
            <w:r>
              <w:rPr>
                <w:rFonts w:ascii="Arial" w:hAnsi="Arial" w:cs="Arial"/>
                <w:sz w:val="20"/>
                <w:szCs w:val="20"/>
              </w:rPr>
              <w:t>1.6</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5D93A938" w14:textId="77777777">
            <w:pPr>
              <w:keepNext/>
              <w:jc w:val="center"/>
              <w:rPr>
                <w:rFonts w:ascii="Arial" w:hAnsi="Arial" w:cs="Arial"/>
                <w:sz w:val="20"/>
                <w:szCs w:val="20"/>
              </w:rPr>
            </w:pPr>
            <w:r>
              <w:rPr>
                <w:rFonts w:ascii="Arial" w:hAnsi="Arial" w:cs="Arial"/>
                <w:sz w:val="20"/>
                <w:szCs w:val="20"/>
              </w:rPr>
              <w:t>90.2</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04CFBB77" w14:textId="77777777">
            <w:pPr>
              <w:keepNext/>
              <w:jc w:val="center"/>
              <w:rPr>
                <w:rFonts w:ascii="Arial" w:hAnsi="Arial" w:cs="Arial"/>
                <w:sz w:val="20"/>
                <w:szCs w:val="20"/>
              </w:rPr>
            </w:pPr>
            <w:r>
              <w:rPr>
                <w:rFonts w:ascii="Arial" w:hAnsi="Arial" w:cs="Arial"/>
                <w:sz w:val="20"/>
                <w:szCs w:val="20"/>
              </w:rPr>
              <w:t>35.9</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305769D9" w14:textId="77777777">
            <w:pPr>
              <w:keepNext/>
              <w:jc w:val="center"/>
              <w:rPr>
                <w:rFonts w:ascii="Arial" w:hAnsi="Arial" w:cs="Arial"/>
                <w:sz w:val="20"/>
                <w:szCs w:val="20"/>
              </w:rPr>
            </w:pPr>
            <w:r>
              <w:rPr>
                <w:rFonts w:ascii="Arial" w:hAnsi="Arial" w:cs="Arial"/>
                <w:sz w:val="20"/>
                <w:szCs w:val="20"/>
              </w:rPr>
              <w:t>4.2</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2484645A" w14:textId="77777777">
            <w:pPr>
              <w:keepNext/>
              <w:jc w:val="center"/>
              <w:rPr>
                <w:rFonts w:ascii="Arial" w:hAnsi="Arial" w:cs="Arial"/>
                <w:sz w:val="20"/>
                <w:szCs w:val="20"/>
              </w:rPr>
            </w:pPr>
            <w:r>
              <w:rPr>
                <w:rFonts w:ascii="Arial" w:hAnsi="Arial" w:cs="Arial"/>
                <w:sz w:val="20"/>
                <w:szCs w:val="20"/>
              </w:rPr>
              <w:t>130.3</w:t>
            </w:r>
          </w:p>
        </w:tc>
      </w:tr>
      <w:tr w:rsidR="003B0815" w14:paraId="4E9E6FF6"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6171049F" w14:textId="77777777">
            <w:pPr>
              <w:keepNext/>
              <w:jc w:val="center"/>
              <w:rPr>
                <w:rFonts w:ascii="Arial" w:hAnsi="Arial" w:cs="Arial"/>
                <w:sz w:val="20"/>
                <w:szCs w:val="20"/>
              </w:rPr>
            </w:pPr>
            <w:r>
              <w:rPr>
                <w:rFonts w:ascii="Arial" w:hAnsi="Arial"/>
                <w:sz w:val="20"/>
                <w:szCs w:val="20"/>
              </w:rPr>
              <w:t>3</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7CB3934" w14:textId="77777777">
            <w:pPr>
              <w:keepNext/>
              <w:jc w:val="center"/>
              <w:rPr>
                <w:rFonts w:ascii="Arial" w:hAnsi="Arial" w:cs="Arial"/>
                <w:sz w:val="20"/>
                <w:szCs w:val="20"/>
              </w:rPr>
            </w:pPr>
            <w:r>
              <w:rPr>
                <w:rFonts w:ascii="Arial" w:hAnsi="Arial" w:cs="Arial"/>
                <w:sz w:val="20"/>
                <w:szCs w:val="20"/>
              </w:rPr>
              <w:t>43.0</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A5E59E1" w14:textId="77777777">
            <w:pPr>
              <w:keepNext/>
              <w:jc w:val="center"/>
              <w:rPr>
                <w:rFonts w:ascii="Arial" w:hAnsi="Arial" w:cs="Arial"/>
                <w:sz w:val="20"/>
                <w:szCs w:val="20"/>
              </w:rPr>
            </w:pPr>
            <w:r>
              <w:rPr>
                <w:rFonts w:ascii="Arial" w:hAnsi="Arial" w:cs="Arial"/>
                <w:sz w:val="20"/>
                <w:szCs w:val="20"/>
              </w:rPr>
              <w:t>48.5</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0AAEC58" w14:textId="77777777">
            <w:pPr>
              <w:keepNext/>
              <w:jc w:val="center"/>
              <w:rPr>
                <w:rFonts w:ascii="Arial" w:hAnsi="Arial" w:cs="Arial"/>
                <w:sz w:val="20"/>
                <w:szCs w:val="20"/>
              </w:rPr>
            </w:pPr>
            <w:r>
              <w:rPr>
                <w:rFonts w:ascii="Arial" w:hAnsi="Arial" w:cs="Arial"/>
                <w:sz w:val="20"/>
                <w:szCs w:val="20"/>
              </w:rPr>
              <w:t>1.5</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839E37A" w14:textId="77777777">
            <w:pPr>
              <w:keepNext/>
              <w:jc w:val="center"/>
              <w:rPr>
                <w:rFonts w:ascii="Arial" w:hAnsi="Arial" w:cs="Arial"/>
                <w:sz w:val="20"/>
                <w:szCs w:val="20"/>
              </w:rPr>
            </w:pPr>
            <w:r>
              <w:rPr>
                <w:rFonts w:ascii="Arial" w:hAnsi="Arial" w:cs="Arial"/>
                <w:sz w:val="20"/>
                <w:szCs w:val="20"/>
              </w:rPr>
              <w:t>1.7</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0FD8B4BC" w14:textId="77777777">
            <w:pPr>
              <w:keepNext/>
              <w:jc w:val="center"/>
              <w:rPr>
                <w:rFonts w:ascii="Arial" w:hAnsi="Arial" w:cs="Arial"/>
                <w:sz w:val="20"/>
                <w:szCs w:val="20"/>
              </w:rPr>
            </w:pPr>
            <w:r>
              <w:rPr>
                <w:rFonts w:ascii="Arial" w:hAnsi="Arial" w:cs="Arial"/>
                <w:sz w:val="20"/>
                <w:szCs w:val="20"/>
              </w:rPr>
              <w:t>94.7</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079A5BFA" w14:textId="77777777">
            <w:pPr>
              <w:keepNext/>
              <w:jc w:val="center"/>
              <w:rPr>
                <w:rFonts w:ascii="Arial" w:hAnsi="Arial" w:cs="Arial"/>
                <w:sz w:val="20"/>
                <w:szCs w:val="20"/>
              </w:rPr>
            </w:pPr>
            <w:r>
              <w:rPr>
                <w:rFonts w:ascii="Arial" w:hAnsi="Arial" w:cs="Arial"/>
                <w:sz w:val="20"/>
                <w:szCs w:val="20"/>
              </w:rPr>
              <w:t>37.7</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47C74AD4" w14:textId="77777777">
            <w:pPr>
              <w:keepNext/>
              <w:jc w:val="center"/>
              <w:rPr>
                <w:rFonts w:ascii="Arial" w:hAnsi="Arial" w:cs="Arial"/>
                <w:sz w:val="20"/>
                <w:szCs w:val="20"/>
              </w:rPr>
            </w:pPr>
            <w:r>
              <w:rPr>
                <w:rFonts w:ascii="Arial" w:hAnsi="Arial" w:cs="Arial"/>
                <w:sz w:val="20"/>
                <w:szCs w:val="20"/>
              </w:rPr>
              <w:t>4.4</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438E8C05" w14:textId="77777777">
            <w:pPr>
              <w:keepNext/>
              <w:jc w:val="center"/>
              <w:rPr>
                <w:rFonts w:ascii="Arial" w:hAnsi="Arial" w:cs="Arial"/>
                <w:sz w:val="20"/>
                <w:szCs w:val="20"/>
              </w:rPr>
            </w:pPr>
            <w:r>
              <w:rPr>
                <w:rFonts w:ascii="Arial" w:hAnsi="Arial" w:cs="Arial"/>
                <w:sz w:val="20"/>
                <w:szCs w:val="20"/>
              </w:rPr>
              <w:t>136.8</w:t>
            </w:r>
          </w:p>
        </w:tc>
      </w:tr>
      <w:tr w:rsidR="003B0815" w14:paraId="55D19846"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2F3A0989" w14:textId="77777777">
            <w:pPr>
              <w:keepNext/>
              <w:jc w:val="center"/>
              <w:rPr>
                <w:rFonts w:ascii="Arial" w:hAnsi="Arial" w:cs="Arial"/>
                <w:sz w:val="20"/>
                <w:szCs w:val="20"/>
              </w:rPr>
            </w:pPr>
            <w:r>
              <w:rPr>
                <w:rFonts w:ascii="Arial" w:hAnsi="Arial"/>
                <w:sz w:val="20"/>
                <w:szCs w:val="20"/>
              </w:rPr>
              <w:t>4</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08C8617" w14:textId="77777777">
            <w:pPr>
              <w:keepNext/>
              <w:jc w:val="center"/>
              <w:rPr>
                <w:rFonts w:ascii="Arial" w:hAnsi="Arial" w:cs="Arial"/>
                <w:sz w:val="20"/>
                <w:szCs w:val="20"/>
              </w:rPr>
            </w:pPr>
            <w:r>
              <w:rPr>
                <w:rFonts w:ascii="Arial" w:hAnsi="Arial" w:cs="Arial"/>
                <w:sz w:val="20"/>
                <w:szCs w:val="20"/>
              </w:rPr>
              <w:t>45.1</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A00F87A" w14:textId="77777777">
            <w:pPr>
              <w:keepNext/>
              <w:jc w:val="center"/>
              <w:rPr>
                <w:rFonts w:ascii="Arial" w:hAnsi="Arial" w:cs="Arial"/>
                <w:sz w:val="20"/>
                <w:szCs w:val="20"/>
              </w:rPr>
            </w:pPr>
            <w:r>
              <w:rPr>
                <w:rFonts w:ascii="Arial" w:hAnsi="Arial" w:cs="Arial"/>
                <w:sz w:val="20"/>
                <w:szCs w:val="20"/>
              </w:rPr>
              <w:t>50.9</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24904CF" w14:textId="77777777">
            <w:pPr>
              <w:keepNext/>
              <w:jc w:val="center"/>
              <w:rPr>
                <w:rFonts w:ascii="Arial" w:hAnsi="Arial" w:cs="Arial"/>
                <w:sz w:val="20"/>
                <w:szCs w:val="20"/>
              </w:rPr>
            </w:pPr>
            <w:r>
              <w:rPr>
                <w:rFonts w:ascii="Arial" w:hAnsi="Arial" w:cs="Arial"/>
                <w:sz w:val="20"/>
                <w:szCs w:val="20"/>
              </w:rPr>
              <w:t>1.6</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64A64A6" w14:textId="77777777">
            <w:pPr>
              <w:keepNext/>
              <w:jc w:val="center"/>
              <w:rPr>
                <w:rFonts w:ascii="Arial" w:hAnsi="Arial" w:cs="Arial"/>
                <w:sz w:val="20"/>
                <w:szCs w:val="20"/>
              </w:rPr>
            </w:pPr>
            <w:r>
              <w:rPr>
                <w:rFonts w:ascii="Arial" w:hAnsi="Arial" w:cs="Arial"/>
                <w:sz w:val="20"/>
                <w:szCs w:val="20"/>
              </w:rPr>
              <w:t>1.7</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0F03F9EB" w14:textId="77777777">
            <w:pPr>
              <w:keepNext/>
              <w:jc w:val="center"/>
              <w:rPr>
                <w:rFonts w:ascii="Arial" w:hAnsi="Arial" w:cs="Arial"/>
                <w:sz w:val="20"/>
                <w:szCs w:val="20"/>
              </w:rPr>
            </w:pPr>
            <w:r>
              <w:rPr>
                <w:rFonts w:ascii="Arial" w:hAnsi="Arial" w:cs="Arial"/>
                <w:sz w:val="20"/>
                <w:szCs w:val="20"/>
              </w:rPr>
              <w:t>99.4</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26975608" w14:textId="77777777">
            <w:pPr>
              <w:keepNext/>
              <w:jc w:val="center"/>
              <w:rPr>
                <w:rFonts w:ascii="Arial" w:hAnsi="Arial" w:cs="Arial"/>
                <w:sz w:val="20"/>
                <w:szCs w:val="20"/>
              </w:rPr>
            </w:pPr>
            <w:r>
              <w:rPr>
                <w:rFonts w:ascii="Arial" w:hAnsi="Arial" w:cs="Arial"/>
                <w:sz w:val="20"/>
                <w:szCs w:val="20"/>
              </w:rPr>
              <w:t>39.6</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16CC4A73" w14:textId="77777777">
            <w:pPr>
              <w:keepNext/>
              <w:jc w:val="center"/>
              <w:rPr>
                <w:rFonts w:ascii="Arial" w:hAnsi="Arial" w:cs="Arial"/>
                <w:sz w:val="20"/>
                <w:szCs w:val="20"/>
              </w:rPr>
            </w:pPr>
            <w:r>
              <w:rPr>
                <w:rFonts w:ascii="Arial" w:hAnsi="Arial" w:cs="Arial"/>
                <w:sz w:val="20"/>
                <w:szCs w:val="20"/>
              </w:rPr>
              <w:t>4.6</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3650D394" w14:textId="77777777">
            <w:pPr>
              <w:keepNext/>
              <w:jc w:val="center"/>
              <w:rPr>
                <w:rFonts w:ascii="Arial" w:hAnsi="Arial" w:cs="Arial"/>
                <w:sz w:val="20"/>
                <w:szCs w:val="20"/>
              </w:rPr>
            </w:pPr>
            <w:r>
              <w:rPr>
                <w:rFonts w:ascii="Arial" w:hAnsi="Arial" w:cs="Arial"/>
                <w:sz w:val="20"/>
                <w:szCs w:val="20"/>
              </w:rPr>
              <w:t>143.7</w:t>
            </w:r>
          </w:p>
        </w:tc>
      </w:tr>
      <w:tr w:rsidR="003B0815" w14:paraId="730E9CA0"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64CBA885" w14:textId="77777777">
            <w:pPr>
              <w:keepNext/>
              <w:jc w:val="center"/>
              <w:rPr>
                <w:rFonts w:ascii="Arial" w:hAnsi="Arial" w:cs="Arial"/>
                <w:sz w:val="20"/>
                <w:szCs w:val="20"/>
              </w:rPr>
            </w:pPr>
            <w:r>
              <w:rPr>
                <w:rFonts w:ascii="Arial" w:hAnsi="Arial"/>
                <w:sz w:val="20"/>
                <w:szCs w:val="20"/>
              </w:rPr>
              <w:t>5</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40CD027" w14:textId="77777777">
            <w:pPr>
              <w:keepNext/>
              <w:jc w:val="center"/>
              <w:rPr>
                <w:rFonts w:ascii="Arial" w:hAnsi="Arial" w:cs="Arial"/>
                <w:sz w:val="20"/>
                <w:szCs w:val="20"/>
              </w:rPr>
            </w:pPr>
            <w:r>
              <w:rPr>
                <w:rFonts w:ascii="Arial" w:hAnsi="Arial" w:cs="Arial"/>
                <w:sz w:val="20"/>
                <w:szCs w:val="20"/>
              </w:rPr>
              <w:t>47.4</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A9A6034" w14:textId="77777777">
            <w:pPr>
              <w:keepNext/>
              <w:jc w:val="center"/>
              <w:rPr>
                <w:rFonts w:ascii="Arial" w:hAnsi="Arial" w:cs="Arial"/>
                <w:sz w:val="20"/>
                <w:szCs w:val="20"/>
              </w:rPr>
            </w:pPr>
            <w:r>
              <w:rPr>
                <w:rFonts w:ascii="Arial" w:hAnsi="Arial" w:cs="Arial"/>
                <w:sz w:val="20"/>
                <w:szCs w:val="20"/>
              </w:rPr>
              <w:t>53.5</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F69846D" w14:textId="77777777">
            <w:pPr>
              <w:keepNext/>
              <w:jc w:val="center"/>
              <w:rPr>
                <w:rFonts w:ascii="Arial" w:hAnsi="Arial" w:cs="Arial"/>
                <w:sz w:val="20"/>
                <w:szCs w:val="20"/>
              </w:rPr>
            </w:pPr>
            <w:r>
              <w:rPr>
                <w:rFonts w:ascii="Arial" w:hAnsi="Arial" w:cs="Arial"/>
                <w:sz w:val="20"/>
                <w:szCs w:val="20"/>
              </w:rPr>
              <w:t>1.7</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E0A4C20" w14:textId="77777777">
            <w:pPr>
              <w:keepNext/>
              <w:jc w:val="center"/>
              <w:rPr>
                <w:rFonts w:ascii="Arial" w:hAnsi="Arial" w:cs="Arial"/>
                <w:sz w:val="20"/>
                <w:szCs w:val="20"/>
              </w:rPr>
            </w:pPr>
            <w:r>
              <w:rPr>
                <w:rFonts w:ascii="Arial" w:hAnsi="Arial" w:cs="Arial"/>
                <w:sz w:val="20"/>
                <w:szCs w:val="20"/>
              </w:rPr>
              <w:t>1.8</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3C172B49" w14:textId="77777777">
            <w:pPr>
              <w:keepNext/>
              <w:jc w:val="center"/>
              <w:rPr>
                <w:rFonts w:ascii="Arial" w:hAnsi="Arial" w:cs="Arial"/>
                <w:sz w:val="20"/>
                <w:szCs w:val="20"/>
              </w:rPr>
            </w:pPr>
            <w:r>
              <w:rPr>
                <w:rFonts w:ascii="Arial" w:hAnsi="Arial" w:cs="Arial"/>
                <w:sz w:val="20"/>
                <w:szCs w:val="20"/>
              </w:rPr>
              <w:t>104.4</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5FE46A2E" w14:textId="77777777">
            <w:pPr>
              <w:keepNext/>
              <w:jc w:val="center"/>
              <w:rPr>
                <w:rFonts w:ascii="Arial" w:hAnsi="Arial" w:cs="Arial"/>
                <w:sz w:val="20"/>
                <w:szCs w:val="20"/>
              </w:rPr>
            </w:pPr>
            <w:r>
              <w:rPr>
                <w:rFonts w:ascii="Arial" w:hAnsi="Arial" w:cs="Arial"/>
                <w:sz w:val="20"/>
                <w:szCs w:val="20"/>
              </w:rPr>
              <w:t>41.6</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58CA5EAC" w14:textId="77777777">
            <w:pPr>
              <w:keepNext/>
              <w:jc w:val="center"/>
              <w:rPr>
                <w:rFonts w:ascii="Arial" w:hAnsi="Arial" w:cs="Arial"/>
                <w:sz w:val="20"/>
                <w:szCs w:val="20"/>
              </w:rPr>
            </w:pPr>
            <w:r>
              <w:rPr>
                <w:rFonts w:ascii="Arial" w:hAnsi="Arial" w:cs="Arial"/>
                <w:sz w:val="20"/>
                <w:szCs w:val="20"/>
              </w:rPr>
              <w:t>4.8</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669EBEE7" w14:textId="77777777">
            <w:pPr>
              <w:keepNext/>
              <w:jc w:val="center"/>
              <w:rPr>
                <w:rFonts w:ascii="Arial" w:hAnsi="Arial" w:cs="Arial"/>
                <w:sz w:val="20"/>
                <w:szCs w:val="20"/>
              </w:rPr>
            </w:pPr>
            <w:r>
              <w:rPr>
                <w:rFonts w:ascii="Arial" w:hAnsi="Arial" w:cs="Arial"/>
                <w:sz w:val="20"/>
                <w:szCs w:val="20"/>
              </w:rPr>
              <w:t>150.8</w:t>
            </w:r>
          </w:p>
        </w:tc>
      </w:tr>
      <w:tr w:rsidR="003B0815" w14:paraId="2E10D2D3"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29B97DF" w14:textId="77777777">
            <w:pPr>
              <w:keepNext/>
              <w:jc w:val="center"/>
              <w:rPr>
                <w:rFonts w:ascii="Arial" w:hAnsi="Arial" w:cs="Arial"/>
                <w:sz w:val="20"/>
                <w:szCs w:val="20"/>
              </w:rPr>
            </w:pPr>
            <w:r>
              <w:rPr>
                <w:rFonts w:ascii="Arial" w:hAnsi="Arial"/>
                <w:sz w:val="20"/>
                <w:szCs w:val="20"/>
              </w:rPr>
              <w:t>6</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61DEF4B" w14:textId="77777777">
            <w:pPr>
              <w:keepNext/>
              <w:jc w:val="center"/>
              <w:rPr>
                <w:rFonts w:ascii="Arial" w:hAnsi="Arial" w:cs="Arial"/>
                <w:sz w:val="20"/>
                <w:szCs w:val="20"/>
              </w:rPr>
            </w:pPr>
            <w:r>
              <w:rPr>
                <w:rFonts w:ascii="Arial" w:hAnsi="Arial" w:cs="Arial"/>
                <w:sz w:val="20"/>
                <w:szCs w:val="20"/>
              </w:rPr>
              <w:t>49.8</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57213AB" w14:textId="77777777">
            <w:pPr>
              <w:keepNext/>
              <w:jc w:val="center"/>
              <w:rPr>
                <w:rFonts w:ascii="Arial" w:hAnsi="Arial" w:cs="Arial"/>
                <w:sz w:val="20"/>
                <w:szCs w:val="20"/>
              </w:rPr>
            </w:pPr>
            <w:r>
              <w:rPr>
                <w:rFonts w:ascii="Arial" w:hAnsi="Arial" w:cs="Arial"/>
                <w:sz w:val="20"/>
                <w:szCs w:val="20"/>
              </w:rPr>
              <w:t>56.1</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469780A" w14:textId="77777777">
            <w:pPr>
              <w:keepNext/>
              <w:jc w:val="center"/>
              <w:rPr>
                <w:rFonts w:ascii="Arial" w:hAnsi="Arial" w:cs="Arial"/>
                <w:sz w:val="20"/>
                <w:szCs w:val="20"/>
              </w:rPr>
            </w:pPr>
            <w:r>
              <w:rPr>
                <w:rFonts w:ascii="Arial" w:hAnsi="Arial" w:cs="Arial"/>
                <w:sz w:val="20"/>
                <w:szCs w:val="20"/>
              </w:rPr>
              <w:t>1.8</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D2EE748" w14:textId="77777777">
            <w:pPr>
              <w:keepNext/>
              <w:jc w:val="center"/>
              <w:rPr>
                <w:rFonts w:ascii="Arial" w:hAnsi="Arial" w:cs="Arial"/>
                <w:sz w:val="20"/>
                <w:szCs w:val="20"/>
              </w:rPr>
            </w:pPr>
            <w:r>
              <w:rPr>
                <w:rFonts w:ascii="Arial" w:hAnsi="Arial" w:cs="Arial"/>
                <w:sz w:val="20"/>
                <w:szCs w:val="20"/>
              </w:rPr>
              <w:t>1.9</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1B6B9238" w14:textId="77777777">
            <w:pPr>
              <w:keepNext/>
              <w:jc w:val="center"/>
              <w:rPr>
                <w:rFonts w:ascii="Arial" w:hAnsi="Arial" w:cs="Arial"/>
                <w:sz w:val="20"/>
                <w:szCs w:val="20"/>
              </w:rPr>
            </w:pPr>
            <w:r>
              <w:rPr>
                <w:rFonts w:ascii="Arial" w:hAnsi="Arial" w:cs="Arial"/>
                <w:sz w:val="20"/>
                <w:szCs w:val="20"/>
              </w:rPr>
              <w:t>109.6</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08D538C0" w14:textId="77777777">
            <w:pPr>
              <w:keepNext/>
              <w:jc w:val="center"/>
              <w:rPr>
                <w:rFonts w:ascii="Arial" w:hAnsi="Arial" w:cs="Arial"/>
                <w:sz w:val="20"/>
                <w:szCs w:val="20"/>
              </w:rPr>
            </w:pPr>
            <w:r>
              <w:rPr>
                <w:rFonts w:ascii="Arial" w:hAnsi="Arial" w:cs="Arial"/>
                <w:sz w:val="20"/>
                <w:szCs w:val="20"/>
              </w:rPr>
              <w:t>43.7</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76EEDF62" w14:textId="77777777">
            <w:pPr>
              <w:keepNext/>
              <w:jc w:val="center"/>
              <w:rPr>
                <w:rFonts w:ascii="Arial" w:hAnsi="Arial" w:cs="Arial"/>
                <w:sz w:val="20"/>
                <w:szCs w:val="20"/>
              </w:rPr>
            </w:pPr>
            <w:r>
              <w:rPr>
                <w:rFonts w:ascii="Arial" w:hAnsi="Arial" w:cs="Arial"/>
                <w:sz w:val="20"/>
                <w:szCs w:val="20"/>
              </w:rPr>
              <w:t>5.0</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44FCB74D" w14:textId="77777777">
            <w:pPr>
              <w:keepNext/>
              <w:jc w:val="center"/>
              <w:rPr>
                <w:rFonts w:ascii="Arial" w:hAnsi="Arial" w:cs="Arial"/>
                <w:sz w:val="20"/>
                <w:szCs w:val="20"/>
              </w:rPr>
            </w:pPr>
            <w:r>
              <w:rPr>
                <w:rFonts w:ascii="Arial" w:hAnsi="Arial" w:cs="Arial"/>
                <w:sz w:val="20"/>
                <w:szCs w:val="20"/>
              </w:rPr>
              <w:t>158.3</w:t>
            </w:r>
          </w:p>
        </w:tc>
      </w:tr>
      <w:tr w:rsidR="003B0815" w14:paraId="40767D2B"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5674B7ED" w14:textId="77777777">
            <w:pPr>
              <w:keepNext/>
              <w:jc w:val="center"/>
              <w:rPr>
                <w:rFonts w:ascii="Arial" w:hAnsi="Arial" w:cs="Arial"/>
                <w:sz w:val="20"/>
                <w:szCs w:val="20"/>
              </w:rPr>
            </w:pPr>
            <w:r>
              <w:rPr>
                <w:rFonts w:ascii="Arial" w:hAnsi="Arial"/>
                <w:sz w:val="20"/>
                <w:szCs w:val="20"/>
              </w:rPr>
              <w:t>7</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6C0DFAE" w14:textId="77777777">
            <w:pPr>
              <w:keepNext/>
              <w:jc w:val="center"/>
              <w:rPr>
                <w:rFonts w:ascii="Arial" w:hAnsi="Arial" w:cs="Arial"/>
                <w:sz w:val="20"/>
                <w:szCs w:val="20"/>
              </w:rPr>
            </w:pPr>
            <w:r>
              <w:rPr>
                <w:rFonts w:ascii="Arial" w:hAnsi="Arial" w:cs="Arial"/>
                <w:sz w:val="20"/>
                <w:szCs w:val="20"/>
              </w:rPr>
              <w:t>52.3</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051F538" w14:textId="77777777">
            <w:pPr>
              <w:keepNext/>
              <w:jc w:val="center"/>
              <w:rPr>
                <w:rFonts w:ascii="Arial" w:hAnsi="Arial" w:cs="Arial"/>
                <w:sz w:val="20"/>
                <w:szCs w:val="20"/>
              </w:rPr>
            </w:pPr>
            <w:r>
              <w:rPr>
                <w:rFonts w:ascii="Arial" w:hAnsi="Arial" w:cs="Arial"/>
                <w:sz w:val="20"/>
                <w:szCs w:val="20"/>
              </w:rPr>
              <w:t>58.9</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3394B79" w14:textId="77777777">
            <w:pPr>
              <w:keepNext/>
              <w:jc w:val="center"/>
              <w:rPr>
                <w:rFonts w:ascii="Arial" w:hAnsi="Arial" w:cs="Arial"/>
                <w:sz w:val="20"/>
                <w:szCs w:val="20"/>
              </w:rPr>
            </w:pPr>
            <w:r>
              <w:rPr>
                <w:rFonts w:ascii="Arial" w:hAnsi="Arial" w:cs="Arial"/>
                <w:sz w:val="20"/>
                <w:szCs w:val="20"/>
              </w:rPr>
              <w:t>1.9</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8112A89" w14:textId="77777777">
            <w:pPr>
              <w:keepNext/>
              <w:jc w:val="center"/>
              <w:rPr>
                <w:rFonts w:ascii="Arial" w:hAnsi="Arial" w:cs="Arial"/>
                <w:sz w:val="20"/>
                <w:szCs w:val="20"/>
              </w:rPr>
            </w:pPr>
            <w:r>
              <w:rPr>
                <w:rFonts w:ascii="Arial" w:hAnsi="Arial" w:cs="Arial"/>
                <w:sz w:val="20"/>
                <w:szCs w:val="20"/>
              </w:rPr>
              <w:t>2.0</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7599B1D8" w14:textId="77777777">
            <w:pPr>
              <w:keepNext/>
              <w:jc w:val="center"/>
              <w:rPr>
                <w:rFonts w:ascii="Arial" w:hAnsi="Arial" w:cs="Arial"/>
                <w:sz w:val="20"/>
                <w:szCs w:val="20"/>
              </w:rPr>
            </w:pPr>
            <w:r>
              <w:rPr>
                <w:rFonts w:ascii="Arial" w:hAnsi="Arial" w:cs="Arial"/>
                <w:sz w:val="20"/>
                <w:szCs w:val="20"/>
              </w:rPr>
              <w:t>115.1</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244890C6" w14:textId="77777777">
            <w:pPr>
              <w:keepNext/>
              <w:jc w:val="center"/>
              <w:rPr>
                <w:rFonts w:ascii="Arial" w:hAnsi="Arial" w:cs="Arial"/>
                <w:sz w:val="20"/>
                <w:szCs w:val="20"/>
              </w:rPr>
            </w:pPr>
            <w:r>
              <w:rPr>
                <w:rFonts w:ascii="Arial" w:hAnsi="Arial" w:cs="Arial"/>
                <w:sz w:val="20"/>
                <w:szCs w:val="20"/>
              </w:rPr>
              <w:t>45.9</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0EE6C596" w14:textId="77777777">
            <w:pPr>
              <w:keepNext/>
              <w:jc w:val="center"/>
              <w:rPr>
                <w:rFonts w:ascii="Arial" w:hAnsi="Arial" w:cs="Arial"/>
                <w:sz w:val="20"/>
                <w:szCs w:val="20"/>
              </w:rPr>
            </w:pPr>
            <w:r>
              <w:rPr>
                <w:rFonts w:ascii="Arial" w:hAnsi="Arial" w:cs="Arial"/>
                <w:sz w:val="20"/>
                <w:szCs w:val="20"/>
              </w:rPr>
              <w:t>5.3</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4636D42C" w14:textId="77777777">
            <w:pPr>
              <w:keepNext/>
              <w:jc w:val="center"/>
              <w:rPr>
                <w:rFonts w:ascii="Arial" w:hAnsi="Arial" w:cs="Arial"/>
                <w:sz w:val="20"/>
                <w:szCs w:val="20"/>
              </w:rPr>
            </w:pPr>
            <w:r>
              <w:rPr>
                <w:rFonts w:ascii="Arial" w:hAnsi="Arial" w:cs="Arial"/>
                <w:sz w:val="20"/>
                <w:szCs w:val="20"/>
              </w:rPr>
              <w:t>166.3</w:t>
            </w:r>
          </w:p>
        </w:tc>
      </w:tr>
      <w:tr w:rsidR="003B0815" w14:paraId="0B00F9FC"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CACA4A7" w14:textId="77777777">
            <w:pPr>
              <w:keepNext/>
              <w:jc w:val="center"/>
              <w:rPr>
                <w:rFonts w:ascii="Arial" w:hAnsi="Arial" w:cs="Arial"/>
                <w:sz w:val="20"/>
                <w:szCs w:val="20"/>
              </w:rPr>
            </w:pPr>
            <w:r>
              <w:rPr>
                <w:rFonts w:ascii="Arial" w:hAnsi="Arial"/>
                <w:sz w:val="20"/>
                <w:szCs w:val="20"/>
              </w:rPr>
              <w:t>8</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6355FD4" w14:textId="77777777">
            <w:pPr>
              <w:keepNext/>
              <w:jc w:val="center"/>
              <w:rPr>
                <w:rFonts w:ascii="Arial" w:hAnsi="Arial" w:cs="Arial"/>
                <w:sz w:val="20"/>
                <w:szCs w:val="20"/>
              </w:rPr>
            </w:pPr>
            <w:r>
              <w:rPr>
                <w:rFonts w:ascii="Arial" w:hAnsi="Arial" w:cs="Arial"/>
                <w:sz w:val="20"/>
                <w:szCs w:val="20"/>
              </w:rPr>
              <w:t>54.9</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8AA1497" w14:textId="77777777">
            <w:pPr>
              <w:keepNext/>
              <w:jc w:val="center"/>
              <w:rPr>
                <w:rFonts w:ascii="Arial" w:hAnsi="Arial" w:cs="Arial"/>
                <w:sz w:val="20"/>
                <w:szCs w:val="20"/>
              </w:rPr>
            </w:pPr>
            <w:r>
              <w:rPr>
                <w:rFonts w:ascii="Arial" w:hAnsi="Arial" w:cs="Arial"/>
                <w:sz w:val="20"/>
                <w:szCs w:val="20"/>
              </w:rPr>
              <w:t>61.9</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FE4D71F" w14:textId="77777777">
            <w:pPr>
              <w:keepNext/>
              <w:jc w:val="center"/>
              <w:rPr>
                <w:rFonts w:ascii="Arial" w:hAnsi="Arial" w:cs="Arial"/>
                <w:sz w:val="20"/>
                <w:szCs w:val="20"/>
              </w:rPr>
            </w:pPr>
            <w:r>
              <w:rPr>
                <w:rFonts w:ascii="Arial" w:hAnsi="Arial" w:cs="Arial"/>
                <w:sz w:val="20"/>
                <w:szCs w:val="20"/>
              </w:rPr>
              <w:t>2.0</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91D9A2C" w14:textId="77777777">
            <w:pPr>
              <w:keepNext/>
              <w:jc w:val="center"/>
              <w:rPr>
                <w:rFonts w:ascii="Arial" w:hAnsi="Arial" w:cs="Arial"/>
                <w:sz w:val="20"/>
                <w:szCs w:val="20"/>
              </w:rPr>
            </w:pPr>
            <w:r>
              <w:rPr>
                <w:rFonts w:ascii="Arial" w:hAnsi="Arial" w:cs="Arial"/>
                <w:sz w:val="20"/>
                <w:szCs w:val="20"/>
              </w:rPr>
              <w:t>2.1</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2FB088FD" w14:textId="77777777">
            <w:pPr>
              <w:keepNext/>
              <w:jc w:val="center"/>
              <w:rPr>
                <w:rFonts w:ascii="Arial" w:hAnsi="Arial" w:cs="Arial"/>
                <w:sz w:val="20"/>
                <w:szCs w:val="20"/>
              </w:rPr>
            </w:pPr>
            <w:r>
              <w:rPr>
                <w:rFonts w:ascii="Arial" w:hAnsi="Arial" w:cs="Arial"/>
                <w:sz w:val="20"/>
                <w:szCs w:val="20"/>
              </w:rPr>
              <w:t>120.8</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2284272E" w14:textId="77777777">
            <w:pPr>
              <w:keepNext/>
              <w:jc w:val="center"/>
              <w:rPr>
                <w:rFonts w:ascii="Arial" w:hAnsi="Arial" w:cs="Arial"/>
                <w:sz w:val="20"/>
                <w:szCs w:val="20"/>
              </w:rPr>
            </w:pPr>
            <w:r>
              <w:rPr>
                <w:rFonts w:ascii="Arial" w:hAnsi="Arial" w:cs="Arial"/>
                <w:sz w:val="20"/>
                <w:szCs w:val="20"/>
              </w:rPr>
              <w:t>48.2</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42DFDE50" w14:textId="77777777">
            <w:pPr>
              <w:keepNext/>
              <w:jc w:val="center"/>
              <w:rPr>
                <w:rFonts w:ascii="Arial" w:hAnsi="Arial" w:cs="Arial"/>
                <w:sz w:val="20"/>
                <w:szCs w:val="20"/>
              </w:rPr>
            </w:pPr>
            <w:r>
              <w:rPr>
                <w:rFonts w:ascii="Arial" w:hAnsi="Arial" w:cs="Arial"/>
                <w:sz w:val="20"/>
                <w:szCs w:val="20"/>
              </w:rPr>
              <w:t>5.6</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21606B4C" w14:textId="77777777">
            <w:pPr>
              <w:keepNext/>
              <w:jc w:val="center"/>
              <w:rPr>
                <w:rFonts w:ascii="Arial" w:hAnsi="Arial" w:cs="Arial"/>
                <w:sz w:val="20"/>
                <w:szCs w:val="20"/>
              </w:rPr>
            </w:pPr>
            <w:r>
              <w:rPr>
                <w:rFonts w:ascii="Arial" w:hAnsi="Arial" w:cs="Arial"/>
                <w:sz w:val="20"/>
                <w:szCs w:val="20"/>
              </w:rPr>
              <w:t>174.6</w:t>
            </w:r>
          </w:p>
        </w:tc>
      </w:tr>
      <w:tr w:rsidR="003B0815" w14:paraId="171D302F" w14:textId="77777777">
        <w:trPr>
          <w:trHeight w:val="255"/>
          <w:jc w:val="center"/>
        </w:trPr>
        <w:tc>
          <w:tcPr>
            <w:tcW w:w="985"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3F82F4F0" w14:textId="77777777">
            <w:pPr>
              <w:keepNext/>
              <w:jc w:val="center"/>
              <w:rPr>
                <w:rFonts w:ascii="Arial" w:hAnsi="Arial" w:cs="Arial"/>
                <w:sz w:val="20"/>
                <w:szCs w:val="20"/>
              </w:rPr>
            </w:pPr>
            <w:r>
              <w:rPr>
                <w:rFonts w:ascii="Arial" w:hAnsi="Arial"/>
                <w:sz w:val="20"/>
                <w:szCs w:val="20"/>
              </w:rPr>
              <w:t>9</w:t>
            </w:r>
          </w:p>
        </w:tc>
        <w:tc>
          <w:tcPr>
            <w:tcW w:w="89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DFB8477" w14:textId="77777777">
            <w:pPr>
              <w:keepNext/>
              <w:jc w:val="center"/>
              <w:rPr>
                <w:rFonts w:ascii="Arial" w:hAnsi="Arial" w:cs="Arial"/>
                <w:sz w:val="20"/>
                <w:szCs w:val="20"/>
              </w:rPr>
            </w:pPr>
            <w:r>
              <w:rPr>
                <w:rFonts w:ascii="Arial" w:hAnsi="Arial" w:cs="Arial"/>
                <w:sz w:val="20"/>
                <w:szCs w:val="20"/>
              </w:rPr>
              <w:t>57.6</w:t>
            </w:r>
          </w:p>
        </w:tc>
        <w:tc>
          <w:tcPr>
            <w:tcW w:w="108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5158493" w14:textId="77777777">
            <w:pPr>
              <w:keepNext/>
              <w:jc w:val="center"/>
              <w:rPr>
                <w:rFonts w:ascii="Arial" w:hAnsi="Arial" w:cs="Arial"/>
                <w:sz w:val="20"/>
                <w:szCs w:val="20"/>
              </w:rPr>
            </w:pPr>
            <w:r>
              <w:rPr>
                <w:rFonts w:ascii="Arial" w:hAnsi="Arial" w:cs="Arial"/>
                <w:sz w:val="20"/>
                <w:szCs w:val="20"/>
              </w:rPr>
              <w:t>65.0</w:t>
            </w:r>
          </w:p>
        </w:tc>
        <w:tc>
          <w:tcPr>
            <w:tcW w:w="90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58BCFD9" w14:textId="77777777">
            <w:pPr>
              <w:keepNext/>
              <w:jc w:val="center"/>
              <w:rPr>
                <w:rFonts w:ascii="Arial" w:hAnsi="Arial" w:cs="Arial"/>
                <w:sz w:val="20"/>
                <w:szCs w:val="20"/>
              </w:rPr>
            </w:pPr>
            <w:r>
              <w:rPr>
                <w:rFonts w:ascii="Arial" w:hAnsi="Arial" w:cs="Arial"/>
                <w:sz w:val="20"/>
                <w:szCs w:val="20"/>
              </w:rPr>
              <w:t>2.1</w:t>
            </w:r>
          </w:p>
        </w:tc>
        <w:tc>
          <w:tcPr>
            <w:tcW w:w="108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FB18682" w14:textId="77777777">
            <w:pPr>
              <w:keepNext/>
              <w:jc w:val="center"/>
              <w:rPr>
                <w:rFonts w:ascii="Arial" w:hAnsi="Arial" w:cs="Arial"/>
                <w:sz w:val="20"/>
                <w:szCs w:val="20"/>
              </w:rPr>
            </w:pPr>
            <w:r>
              <w:rPr>
                <w:rFonts w:ascii="Arial" w:hAnsi="Arial" w:cs="Arial"/>
                <w:sz w:val="20"/>
                <w:szCs w:val="20"/>
              </w:rPr>
              <w:t>2.2</w:t>
            </w:r>
          </w:p>
        </w:tc>
        <w:tc>
          <w:tcPr>
            <w:tcW w:w="958" w:type="dxa"/>
            <w:tcBorders>
              <w:top w:val="single" w:color="auto" w:sz="4" w:space="0"/>
              <w:left w:val="single" w:color="auto" w:sz="4" w:space="0"/>
              <w:bottom w:val="single" w:color="auto" w:sz="4" w:space="0"/>
              <w:right w:val="single" w:color="auto" w:sz="4" w:space="0"/>
            </w:tcBorders>
            <w:shd w:val="clear" w:color="auto" w:fill="CCCCCC"/>
            <w:noWrap/>
            <w:vAlign w:val="bottom"/>
          </w:tcPr>
          <w:p w:rsidR="003B0815" w:rsidRDefault="003B0815" w14:paraId="6881F86C" w14:textId="77777777">
            <w:pPr>
              <w:keepNext/>
              <w:jc w:val="center"/>
              <w:rPr>
                <w:rFonts w:ascii="Arial" w:hAnsi="Arial" w:cs="Arial"/>
                <w:sz w:val="20"/>
                <w:szCs w:val="20"/>
              </w:rPr>
            </w:pPr>
            <w:r>
              <w:rPr>
                <w:rFonts w:ascii="Arial" w:hAnsi="Arial" w:cs="Arial"/>
                <w:sz w:val="20"/>
                <w:szCs w:val="20"/>
              </w:rPr>
              <w:t>126.9</w:t>
            </w:r>
          </w:p>
        </w:tc>
        <w:tc>
          <w:tcPr>
            <w:tcW w:w="1206" w:type="dxa"/>
            <w:tcBorders>
              <w:top w:val="single" w:color="auto" w:sz="4" w:space="0"/>
              <w:left w:val="single" w:color="auto" w:sz="4" w:space="0"/>
              <w:bottom w:val="single" w:color="auto" w:sz="4" w:space="0"/>
              <w:right w:val="single" w:color="auto" w:sz="4" w:space="0"/>
            </w:tcBorders>
            <w:vAlign w:val="bottom"/>
          </w:tcPr>
          <w:p w:rsidR="003B0815" w:rsidRDefault="003B0815" w14:paraId="5D244736" w14:textId="77777777">
            <w:pPr>
              <w:keepNext/>
              <w:jc w:val="center"/>
              <w:rPr>
                <w:rFonts w:ascii="Arial" w:hAnsi="Arial" w:cs="Arial"/>
                <w:sz w:val="20"/>
                <w:szCs w:val="20"/>
              </w:rPr>
            </w:pPr>
            <w:r>
              <w:rPr>
                <w:rFonts w:ascii="Arial" w:hAnsi="Arial" w:cs="Arial"/>
                <w:sz w:val="20"/>
                <w:szCs w:val="20"/>
              </w:rPr>
              <w:t>50.6</w:t>
            </w:r>
          </w:p>
        </w:tc>
        <w:tc>
          <w:tcPr>
            <w:tcW w:w="1157" w:type="dxa"/>
            <w:tcBorders>
              <w:top w:val="single" w:color="auto" w:sz="4" w:space="0"/>
              <w:left w:val="single" w:color="auto" w:sz="4" w:space="0"/>
              <w:bottom w:val="single" w:color="auto" w:sz="4" w:space="0"/>
              <w:right w:val="single" w:color="auto" w:sz="4" w:space="0"/>
            </w:tcBorders>
            <w:vAlign w:val="bottom"/>
          </w:tcPr>
          <w:p w:rsidR="003B0815" w:rsidRDefault="003B0815" w14:paraId="53CCC5BF" w14:textId="77777777">
            <w:pPr>
              <w:keepNext/>
              <w:jc w:val="center"/>
              <w:rPr>
                <w:rFonts w:ascii="Arial" w:hAnsi="Arial" w:cs="Arial"/>
                <w:sz w:val="20"/>
                <w:szCs w:val="20"/>
              </w:rPr>
            </w:pPr>
            <w:r>
              <w:rPr>
                <w:rFonts w:ascii="Arial" w:hAnsi="Arial" w:cs="Arial"/>
                <w:sz w:val="20"/>
                <w:szCs w:val="20"/>
              </w:rPr>
              <w:t>5.9</w:t>
            </w:r>
          </w:p>
        </w:tc>
        <w:tc>
          <w:tcPr>
            <w:tcW w:w="1380" w:type="dxa"/>
            <w:tcBorders>
              <w:top w:val="single" w:color="auto" w:sz="4" w:space="0"/>
              <w:left w:val="single" w:color="auto" w:sz="4" w:space="0"/>
              <w:bottom w:val="single" w:color="auto" w:sz="4" w:space="0"/>
              <w:right w:val="single" w:color="auto" w:sz="12" w:space="0"/>
            </w:tcBorders>
            <w:shd w:val="clear" w:color="auto" w:fill="CCCCCC"/>
            <w:vAlign w:val="bottom"/>
          </w:tcPr>
          <w:p w:rsidR="003B0815" w:rsidRDefault="003B0815" w14:paraId="71CB1623" w14:textId="77777777">
            <w:pPr>
              <w:keepNext/>
              <w:jc w:val="center"/>
              <w:rPr>
                <w:rFonts w:ascii="Arial" w:hAnsi="Arial" w:cs="Arial"/>
                <w:sz w:val="20"/>
                <w:szCs w:val="20"/>
              </w:rPr>
            </w:pPr>
            <w:r>
              <w:rPr>
                <w:rFonts w:ascii="Arial" w:hAnsi="Arial" w:cs="Arial"/>
                <w:sz w:val="20"/>
                <w:szCs w:val="20"/>
              </w:rPr>
              <w:t>183.4</w:t>
            </w:r>
          </w:p>
        </w:tc>
      </w:tr>
      <w:tr w:rsidR="003B0815" w14:paraId="635FEF68" w14:textId="77777777">
        <w:trPr>
          <w:trHeight w:val="255"/>
          <w:jc w:val="center"/>
        </w:trPr>
        <w:tc>
          <w:tcPr>
            <w:tcW w:w="985" w:type="dxa"/>
            <w:tcBorders>
              <w:top w:val="single" w:color="auto" w:sz="4" w:space="0"/>
              <w:left w:val="single" w:color="auto" w:sz="12" w:space="0"/>
              <w:bottom w:val="single" w:color="auto" w:sz="12" w:space="0"/>
              <w:right w:val="single" w:color="auto" w:sz="4" w:space="0"/>
            </w:tcBorders>
            <w:noWrap/>
            <w:vAlign w:val="bottom"/>
          </w:tcPr>
          <w:p w:rsidR="003B0815" w:rsidRDefault="003B0815" w14:paraId="55CE2B1A" w14:textId="77777777">
            <w:pPr>
              <w:keepNext/>
              <w:jc w:val="center"/>
              <w:rPr>
                <w:rFonts w:ascii="Arial" w:hAnsi="Arial" w:cs="Arial"/>
                <w:sz w:val="20"/>
                <w:szCs w:val="20"/>
              </w:rPr>
            </w:pPr>
            <w:r>
              <w:rPr>
                <w:rFonts w:ascii="Arial" w:hAnsi="Arial"/>
                <w:sz w:val="20"/>
                <w:szCs w:val="20"/>
              </w:rPr>
              <w:t>10</w:t>
            </w:r>
          </w:p>
        </w:tc>
        <w:tc>
          <w:tcPr>
            <w:tcW w:w="893" w:type="dxa"/>
            <w:tcBorders>
              <w:top w:val="single" w:color="auto" w:sz="4" w:space="0"/>
              <w:left w:val="single" w:color="auto" w:sz="4" w:space="0"/>
              <w:bottom w:val="single" w:color="auto" w:sz="12" w:space="0"/>
              <w:right w:val="single" w:color="auto" w:sz="4" w:space="0"/>
            </w:tcBorders>
            <w:noWrap/>
            <w:vAlign w:val="bottom"/>
          </w:tcPr>
          <w:p w:rsidR="003B0815" w:rsidRDefault="003B0815" w14:paraId="61586ED7" w14:textId="77777777">
            <w:pPr>
              <w:jc w:val="center"/>
              <w:rPr>
                <w:rFonts w:ascii="Arial" w:hAnsi="Arial" w:cs="Arial"/>
                <w:sz w:val="20"/>
                <w:szCs w:val="20"/>
              </w:rPr>
            </w:pPr>
            <w:r>
              <w:rPr>
                <w:rFonts w:ascii="Arial" w:hAnsi="Arial" w:cs="Arial"/>
                <w:sz w:val="20"/>
                <w:szCs w:val="20"/>
              </w:rPr>
              <w:t>60.5</w:t>
            </w:r>
          </w:p>
        </w:tc>
        <w:tc>
          <w:tcPr>
            <w:tcW w:w="1087" w:type="dxa"/>
            <w:tcBorders>
              <w:top w:val="single" w:color="auto" w:sz="4" w:space="0"/>
              <w:left w:val="single" w:color="auto" w:sz="4" w:space="0"/>
              <w:bottom w:val="single" w:color="auto" w:sz="12" w:space="0"/>
              <w:right w:val="single" w:color="auto" w:sz="4" w:space="0"/>
            </w:tcBorders>
            <w:noWrap/>
            <w:vAlign w:val="bottom"/>
          </w:tcPr>
          <w:p w:rsidR="003B0815" w:rsidRDefault="003B0815" w14:paraId="18A12B9D" w14:textId="77777777">
            <w:pPr>
              <w:jc w:val="center"/>
              <w:rPr>
                <w:rFonts w:ascii="Arial" w:hAnsi="Arial" w:cs="Arial"/>
                <w:sz w:val="20"/>
                <w:szCs w:val="20"/>
              </w:rPr>
            </w:pPr>
            <w:r>
              <w:rPr>
                <w:rFonts w:ascii="Arial" w:hAnsi="Arial" w:cs="Arial"/>
                <w:sz w:val="20"/>
                <w:szCs w:val="20"/>
              </w:rPr>
              <w:t>68.2</w:t>
            </w:r>
          </w:p>
        </w:tc>
        <w:tc>
          <w:tcPr>
            <w:tcW w:w="900" w:type="dxa"/>
            <w:tcBorders>
              <w:top w:val="single" w:color="auto" w:sz="4" w:space="0"/>
              <w:left w:val="single" w:color="auto" w:sz="4" w:space="0"/>
              <w:bottom w:val="single" w:color="auto" w:sz="12" w:space="0"/>
              <w:right w:val="single" w:color="auto" w:sz="4" w:space="0"/>
            </w:tcBorders>
            <w:noWrap/>
            <w:vAlign w:val="bottom"/>
          </w:tcPr>
          <w:p w:rsidR="003B0815" w:rsidRDefault="003B0815" w14:paraId="7A12E306" w14:textId="77777777">
            <w:pPr>
              <w:jc w:val="center"/>
              <w:rPr>
                <w:rFonts w:ascii="Arial" w:hAnsi="Arial" w:cs="Arial"/>
                <w:sz w:val="20"/>
                <w:szCs w:val="20"/>
              </w:rPr>
            </w:pPr>
            <w:r>
              <w:rPr>
                <w:rFonts w:ascii="Arial" w:hAnsi="Arial" w:cs="Arial"/>
                <w:sz w:val="20"/>
                <w:szCs w:val="20"/>
              </w:rPr>
              <w:t>2.2</w:t>
            </w:r>
          </w:p>
        </w:tc>
        <w:tc>
          <w:tcPr>
            <w:tcW w:w="1080" w:type="dxa"/>
            <w:tcBorders>
              <w:top w:val="single" w:color="auto" w:sz="4" w:space="0"/>
              <w:left w:val="single" w:color="auto" w:sz="4" w:space="0"/>
              <w:bottom w:val="single" w:color="auto" w:sz="12" w:space="0"/>
              <w:right w:val="single" w:color="auto" w:sz="4" w:space="0"/>
            </w:tcBorders>
            <w:noWrap/>
            <w:vAlign w:val="bottom"/>
          </w:tcPr>
          <w:p w:rsidR="003B0815" w:rsidRDefault="003B0815" w14:paraId="419C57D6" w14:textId="77777777">
            <w:pPr>
              <w:jc w:val="center"/>
              <w:rPr>
                <w:rFonts w:ascii="Arial" w:hAnsi="Arial" w:cs="Arial"/>
                <w:sz w:val="20"/>
                <w:szCs w:val="20"/>
              </w:rPr>
            </w:pPr>
            <w:r>
              <w:rPr>
                <w:rFonts w:ascii="Arial" w:hAnsi="Arial" w:cs="Arial"/>
                <w:sz w:val="20"/>
                <w:szCs w:val="20"/>
              </w:rPr>
              <w:t>2.3</w:t>
            </w:r>
          </w:p>
        </w:tc>
        <w:tc>
          <w:tcPr>
            <w:tcW w:w="958" w:type="dxa"/>
            <w:tcBorders>
              <w:top w:val="single" w:color="auto" w:sz="4" w:space="0"/>
              <w:left w:val="single" w:color="auto" w:sz="4" w:space="0"/>
              <w:bottom w:val="single" w:color="auto" w:sz="12" w:space="0"/>
              <w:right w:val="single" w:color="auto" w:sz="4" w:space="0"/>
            </w:tcBorders>
            <w:shd w:val="clear" w:color="auto" w:fill="CCCCCC"/>
            <w:noWrap/>
            <w:vAlign w:val="bottom"/>
          </w:tcPr>
          <w:p w:rsidR="003B0815" w:rsidRDefault="003B0815" w14:paraId="25E293EC" w14:textId="77777777">
            <w:pPr>
              <w:jc w:val="center"/>
              <w:rPr>
                <w:rFonts w:ascii="Arial" w:hAnsi="Arial" w:cs="Arial"/>
                <w:sz w:val="20"/>
                <w:szCs w:val="20"/>
              </w:rPr>
            </w:pPr>
            <w:r>
              <w:rPr>
                <w:rFonts w:ascii="Arial" w:hAnsi="Arial" w:cs="Arial"/>
                <w:sz w:val="20"/>
                <w:szCs w:val="20"/>
              </w:rPr>
              <w:t>133.2</w:t>
            </w:r>
          </w:p>
        </w:tc>
        <w:tc>
          <w:tcPr>
            <w:tcW w:w="1206" w:type="dxa"/>
            <w:tcBorders>
              <w:top w:val="single" w:color="auto" w:sz="4" w:space="0"/>
              <w:left w:val="single" w:color="auto" w:sz="4" w:space="0"/>
              <w:bottom w:val="single" w:color="auto" w:sz="12" w:space="0"/>
              <w:right w:val="single" w:color="auto" w:sz="4" w:space="0"/>
            </w:tcBorders>
            <w:vAlign w:val="bottom"/>
          </w:tcPr>
          <w:p w:rsidR="003B0815" w:rsidRDefault="003B0815" w14:paraId="00517CC9" w14:textId="77777777">
            <w:pPr>
              <w:jc w:val="center"/>
              <w:rPr>
                <w:rFonts w:ascii="Arial" w:hAnsi="Arial" w:cs="Arial"/>
                <w:sz w:val="20"/>
                <w:szCs w:val="20"/>
              </w:rPr>
            </w:pPr>
            <w:r>
              <w:rPr>
                <w:rFonts w:ascii="Arial" w:hAnsi="Arial" w:cs="Arial"/>
                <w:sz w:val="20"/>
                <w:szCs w:val="20"/>
              </w:rPr>
              <w:t>53.1</w:t>
            </w:r>
          </w:p>
        </w:tc>
        <w:tc>
          <w:tcPr>
            <w:tcW w:w="1157" w:type="dxa"/>
            <w:tcBorders>
              <w:top w:val="single" w:color="auto" w:sz="4" w:space="0"/>
              <w:left w:val="single" w:color="auto" w:sz="4" w:space="0"/>
              <w:bottom w:val="single" w:color="auto" w:sz="12" w:space="0"/>
              <w:right w:val="single" w:color="auto" w:sz="4" w:space="0"/>
            </w:tcBorders>
            <w:vAlign w:val="bottom"/>
          </w:tcPr>
          <w:p w:rsidR="003B0815" w:rsidRDefault="003B0815" w14:paraId="512CD966" w14:textId="77777777">
            <w:pPr>
              <w:jc w:val="center"/>
              <w:rPr>
                <w:rFonts w:ascii="Arial" w:hAnsi="Arial" w:cs="Arial"/>
                <w:sz w:val="20"/>
                <w:szCs w:val="20"/>
              </w:rPr>
            </w:pPr>
            <w:r>
              <w:rPr>
                <w:rFonts w:ascii="Arial" w:hAnsi="Arial" w:cs="Arial"/>
                <w:sz w:val="20"/>
                <w:szCs w:val="20"/>
              </w:rPr>
              <w:t>6.2</w:t>
            </w:r>
          </w:p>
        </w:tc>
        <w:tc>
          <w:tcPr>
            <w:tcW w:w="1380" w:type="dxa"/>
            <w:tcBorders>
              <w:top w:val="single" w:color="auto" w:sz="4" w:space="0"/>
              <w:left w:val="single" w:color="auto" w:sz="4" w:space="0"/>
              <w:bottom w:val="single" w:color="auto" w:sz="12" w:space="0"/>
              <w:right w:val="single" w:color="auto" w:sz="12" w:space="0"/>
            </w:tcBorders>
            <w:shd w:val="clear" w:color="auto" w:fill="CCCCCC"/>
            <w:vAlign w:val="bottom"/>
          </w:tcPr>
          <w:p w:rsidR="003B0815" w:rsidRDefault="003B0815" w14:paraId="409D089B" w14:textId="77777777">
            <w:pPr>
              <w:jc w:val="center"/>
              <w:rPr>
                <w:rFonts w:ascii="Arial" w:hAnsi="Arial" w:cs="Arial"/>
                <w:sz w:val="20"/>
                <w:szCs w:val="20"/>
              </w:rPr>
            </w:pPr>
            <w:r>
              <w:rPr>
                <w:rFonts w:ascii="Arial" w:hAnsi="Arial" w:cs="Arial"/>
                <w:sz w:val="20"/>
                <w:szCs w:val="20"/>
              </w:rPr>
              <w:t>192.5</w:t>
            </w:r>
          </w:p>
        </w:tc>
      </w:tr>
    </w:tbl>
    <w:p w:rsidR="003B0815" w:rsidRDefault="003B0815" w14:paraId="72706576" w14:textId="77777777"/>
    <w:p w:rsidR="003B0815" w:rsidRDefault="003B0815" w14:paraId="5CF1434C" w14:textId="77777777">
      <w:pPr>
        <w:keepNext/>
        <w:spacing w:line="360" w:lineRule="auto"/>
        <w:rPr>
          <w:b/>
        </w:rPr>
      </w:pPr>
      <w:r>
        <w:rPr>
          <w:b/>
        </w:rPr>
        <w:t>Airport Operators</w:t>
      </w:r>
    </w:p>
    <w:p w:rsidR="003B0815" w:rsidRDefault="003B0815" w14:paraId="2EAF95F3" w14:textId="77777777">
      <w:pPr>
        <w:spacing w:line="360" w:lineRule="auto"/>
        <w:ind w:firstLine="720"/>
      </w:pPr>
      <w:r>
        <w:t>The rule establishes a process by which airports having a TSA-approved program to authorize non-travelers to enter the airport sterile area will transmit non-traveler information to TSA for watch list matching by Secure Flight.  Since covered carriers are responsible for authorizing non-traveling individuals who wish to accompany passengers, this clause for airport operators is intended largely for commercial purposes.  For example, an airport with a large shopping center beyond the checkpoints may wish to open those stores to the public.  Consequently, this rule does not require airport operators to change existing operations.  Further, airport operators are not part of Secure Flight operational testing and their participation in a program to authorize non-traveling individuals to enter a sterile area is voluntary.</w:t>
      </w:r>
    </w:p>
    <w:p w:rsidR="003B0815" w:rsidRDefault="003B0815" w14:paraId="21184EDD" w14:textId="77777777">
      <w:pPr>
        <w:spacing w:line="360" w:lineRule="auto"/>
        <w:ind w:firstLine="720"/>
      </w:pPr>
      <w:r>
        <w:t>At present, most airports are not permitted to grant individuals authorization to enter the sterile area; rather, non-travelers must acquire a gate pass from airlines.  TSA recently began a pilot program, however, at three domestic airports where hotels are located on the airport.  Guests at those hotels are given the option to enter the airport sterile area for shopping and dining purposes.  This option is only available to guests who do not have an airline itinerary for the same day; guests with flight itineraries must use their airline boarding pass to enter the sterile area.  Currently, guests wishing to enter the sterile area under the pilot program must provide their personal information to the hotel.  Hotel personnel then give this information to a law enforcement officer who typically conducts a manual comparison of the information against the watch lists, checks the guests’ identifications and, if approved, issues them a pass to enter the sterile area.  The guests must then pass through the TSA screening checkpoint.</w:t>
      </w:r>
    </w:p>
    <w:p w:rsidR="003B0815" w:rsidRDefault="003B0815" w14:paraId="3C9647FB" w14:textId="77777777">
      <w:pPr>
        <w:spacing w:line="360" w:lineRule="auto"/>
        <w:ind w:firstLine="720"/>
      </w:pPr>
      <w:r>
        <w:t>Under the rule, the function of comparing guests’ names against the watch list is transferred from a manual process to an automated process, likely using the Secure Flight web interface.  TSA is unable to say at this time, however, how this change will affect the processes in place at the time of Secure Flight’s implementation.  Given the small number of airports involved and the eligibility restrictions, guest participation in the pilot has been limited.  TSA will continue to evaluate different operational processes as the pilot progresses in order to determine which are most efficient without jeopardizing security.</w:t>
      </w:r>
    </w:p>
    <w:p w:rsidR="003B0815" w:rsidRDefault="003B0815" w14:paraId="6C543DE6" w14:textId="77777777">
      <w:pPr>
        <w:keepNext/>
        <w:spacing w:line="360" w:lineRule="auto"/>
        <w:rPr>
          <w:b/>
        </w:rPr>
      </w:pPr>
      <w:r>
        <w:rPr>
          <w:b/>
        </w:rPr>
        <w:t>Travel Agencies, GDSs, and Host ARSs</w:t>
      </w:r>
    </w:p>
    <w:p w:rsidR="003B0815" w:rsidRDefault="003B0815" w14:paraId="76D798F6" w14:textId="77777777">
      <w:pPr>
        <w:spacing w:line="360" w:lineRule="auto"/>
        <w:ind w:firstLine="720"/>
      </w:pPr>
      <w:r>
        <w:t>As previously discussed, the high degree of interconnectedness of airline reservation systems requires GDSs and host ARSs to incur costs as a consequence of this regulation.  While they are not a regulated party, TSA sought to represent the impact of the rule to these groups.</w:t>
      </w:r>
    </w:p>
    <w:p w:rsidR="003B0815" w:rsidRDefault="003B0815" w14:paraId="481411AC" w14:textId="77777777">
      <w:pPr>
        <w:spacing w:line="360" w:lineRule="auto"/>
        <w:ind w:firstLine="720"/>
      </w:pPr>
      <w:r>
        <w:t>Travel agents are also impacted by this rule.  Travel agents rely on GDSs to make reservations on behalf of their clients.  Changes to GDS systems can subsequently require a period of adjustment on the part of travel agents, resulting in a temporary slowing of the reservation process.  More directly, the requirement within this rule that aircraft operators must request each passenger’s full name, date of birth, gender, and submit if available the Redress Number will result in a long-term impact to travel agents because it lengthens the time required to complete each reservation.</w:t>
      </w:r>
    </w:p>
    <w:p w:rsidR="003B0815" w:rsidRDefault="003B0815" w14:paraId="44F6DA83" w14:textId="77777777">
      <w:pPr>
        <w:spacing w:line="360" w:lineRule="auto"/>
        <w:ind w:firstLine="720"/>
      </w:pPr>
      <w:r>
        <w:t>For the purposes of this analysis, TSA considered two types of travel agencies: online and traditional.  Online travel agencies, like Expedia and Travelocity, are an intermediary to a GDS interface.  TSA estimated in 2004 that GDSs processed approximately 70% of airline bookings from travel agencies and Internet reservation sites, with five GDSs handling a majority of these transactions.  Based on guidance from industry experts, GDSs will bill airlines for changes they will have to make to comply with Secure Flight.  GDSs will then push the modifications to their online travel agency subscribers.  Thus, many of the reprogramming changes that will be required for online travel agencies are assumed to be covered in the airline reprogramming costs.  Some online travel agencies, particularly the very large ones, may incur additional costs to modify their user interfaces and other corporate systems to incorporate the changes provided by the GDS.  Accordingly, TSA has estimated a nominal cost for this effort in Section 1.6.4.</w:t>
      </w:r>
    </w:p>
    <w:p w:rsidR="003B0815" w:rsidRDefault="003B0815" w14:paraId="4D29A410" w14:textId="77777777">
      <w:pPr>
        <w:spacing w:line="360" w:lineRule="auto"/>
        <w:ind w:firstLine="720"/>
      </w:pPr>
      <w:r>
        <w:t>Traditional travel agencies comprise a diverse industry.  According to survey information on the American Society of Travel Agents’ (ASTA) website</w:t>
      </w:r>
      <w:r>
        <w:rPr>
          <w:rStyle w:val="FootnoteReference"/>
        </w:rPr>
        <w:footnoteReference w:id="17"/>
      </w:r>
      <w:r>
        <w:t>, most traditional travel agencies are small, with an average staff size of four to five full-time employees.  With the ease of Internet booking, travel agents have experienced a decline in the number of domestic air traffic reservations they place on behalf of customers in recent years.  Survey data collected by ASTA shows that airline tickets as a proportion of travel agency business has fallen from 58% in 1996 to 29.3% in 2005.  As a strategy to cut costs, airlines began reducing commissions to travel agents in 1995 and eliminated commissions for domestic itineraries altogether in 2002.  Airlines have also aggressively promoted the use of online reservation methods by offering special low fares that they do not always pass on to travel agents.</w:t>
      </w:r>
      <w:r>
        <w:rPr>
          <w:rStyle w:val="FootnoteReference"/>
        </w:rPr>
        <w:footnoteReference w:id="18"/>
      </w:r>
      <w:r>
        <w:t xml:space="preserve">  Nevertheless, data in Travel Weekly’s 2004 annual survey shows that airlines anticipated 36% of reservations would be made by traditional travel agents that year.</w:t>
      </w:r>
      <w:r>
        <w:rPr>
          <w:rStyle w:val="FootnoteReference"/>
        </w:rPr>
        <w:footnoteReference w:id="19"/>
      </w:r>
      <w:r>
        <w:t xml:space="preserve">  TSA was unable to update these findings for more recent years, but Travel Weekly’s 2005 survey notes, “when suppliers were asked how their mix of intermediary and direct sales for 2005 are expected to differ from 2004, most said they expect no significant changes this year.”</w:t>
      </w:r>
      <w:r>
        <w:rPr>
          <w:rStyle w:val="FootnoteReference"/>
        </w:rPr>
        <w:footnoteReference w:id="20"/>
      </w:r>
    </w:p>
    <w:p w:rsidR="003B0815" w:rsidRDefault="003B0815" w14:paraId="5187D6CC" w14:textId="77777777">
      <w:pPr>
        <w:pStyle w:val="RegEvalSectionSubheader"/>
        <w:keepNext/>
        <w:spacing w:line="360" w:lineRule="auto"/>
      </w:pPr>
      <w:bookmarkStart w:name="_Toc111627360" w:id="124"/>
      <w:bookmarkStart w:name="_Toc114566411" w:id="125"/>
      <w:bookmarkStart w:name="_Toc141001076" w:id="126"/>
      <w:bookmarkStart w:name="_Toc141000905" w:id="127"/>
      <w:bookmarkStart w:name="_Toc165278432" w:id="128"/>
      <w:bookmarkStart w:name="_Toc202683380" w:id="129"/>
      <w:r>
        <w:t>1.4.2 The Airline Reservation Process</w:t>
      </w:r>
      <w:bookmarkEnd w:id="124"/>
      <w:bookmarkEnd w:id="125"/>
      <w:bookmarkEnd w:id="126"/>
      <w:bookmarkEnd w:id="127"/>
      <w:bookmarkEnd w:id="128"/>
      <w:bookmarkEnd w:id="129"/>
    </w:p>
    <w:p w:rsidR="003B0815" w:rsidRDefault="003B0815" w14:paraId="634839E8" w14:textId="77777777">
      <w:pPr>
        <w:keepNext/>
        <w:spacing w:line="360" w:lineRule="auto"/>
        <w:rPr>
          <w:b/>
        </w:rPr>
      </w:pPr>
      <w:r>
        <w:rPr>
          <w:b/>
        </w:rPr>
        <w:t>Domestic Reservations</w:t>
      </w:r>
    </w:p>
    <w:p w:rsidR="003B0815" w:rsidRDefault="003B0815" w14:paraId="64E26567" w14:textId="77777777">
      <w:pPr>
        <w:spacing w:line="360" w:lineRule="auto"/>
        <w:ind w:firstLine="720"/>
      </w:pPr>
      <w:r>
        <w:t>Airline reservations are placed primarily through three sources: online reservation sites, airline call centers, and traditional travel agencies.  Online reservation methods include both airline websites (which are examples of ARSs) and online travel agencies (GDSs).  Travel Weekly’s 2004 annual survey indicates that airlines anticipated 49% of their bookings that year would come from online sources.  Meanwhile, only 15% of bookings were expected to be placed through airline call centers, a result of continuing airline efforts to reduce their costs per reservation.  The remaining 36% of bookings were expected to come from traditional travel agents.</w:t>
      </w:r>
    </w:p>
    <w:p w:rsidR="003B0815" w:rsidRDefault="003B0815" w14:paraId="5C58FE60" w14:textId="77777777">
      <w:pPr>
        <w:spacing w:line="360" w:lineRule="auto"/>
        <w:ind w:firstLine="720"/>
      </w:pPr>
      <w:r>
        <w:t xml:space="preserve">Due to the lack of reliable raw data on the distribution of passenger reservations, TSA adopted these booking proportions for the purposes of calculating opportunity costs in this analysis.  Although TSA recognized there is considerable uncertainty surrounding the future distribution of airline reservations, TSA did not have sufficient data to estimate growth rates and chose to hold these proportions steady over the ten year projected costs.  </w:t>
      </w:r>
    </w:p>
    <w:p w:rsidR="003B0815" w:rsidRDefault="003B0815" w14:paraId="5D23A089" w14:textId="77777777">
      <w:pPr>
        <w:spacing w:line="360" w:lineRule="auto"/>
        <w:ind w:firstLine="720"/>
      </w:pPr>
      <w:r>
        <w:t>Since this rule impacts the time required to complete airline reservations, TSA had to estimate the number of actual reservations processed annually for the covered airlines.  The aviation industry keeps no record of the actual number of passengers transported, so TSA chose to use a combination of enplanement data and analysis of BTS’ Airline Origin and Destination Survey to estimate a number of annual airline reservations.</w:t>
      </w:r>
    </w:p>
    <w:p w:rsidR="003B0815" w:rsidRDefault="003B0815" w14:paraId="3AD284AE" w14:textId="77777777">
      <w:pPr>
        <w:spacing w:line="360" w:lineRule="auto"/>
        <w:ind w:firstLine="720"/>
      </w:pPr>
      <w:r>
        <w:t xml:space="preserve">Since total enplanements is a count of the number of passengers who board passenger aircraft in a given year, this figure likely overestimates the number of reservations made annually.  For example, a passenger flying from </w:t>
      </w:r>
      <w:smartTag w:uri="urn:schemas-microsoft-com:office:smarttags" w:element="City">
        <w:r>
          <w:t>Des Moines</w:t>
        </w:r>
      </w:smartTag>
      <w:r>
        <w:t xml:space="preserve"> to </w:t>
      </w:r>
      <w:smartTag w:uri="urn:schemas-microsoft-com:office:smarttags" w:element="City">
        <w:r>
          <w:t>Washington</w:t>
        </w:r>
      </w:smartTag>
      <w:r>
        <w:t xml:space="preserve">, </w:t>
      </w:r>
      <w:smartTag w:uri="urn:schemas-microsoft-com:office:smarttags" w:element="State">
        <w:r>
          <w:t>D.C.</w:t>
        </w:r>
      </w:smartTag>
      <w:r>
        <w:t xml:space="preserve">, with a connecting flight in </w:t>
      </w:r>
      <w:smartTag w:uri="urn:schemas-microsoft-com:office:smarttags" w:element="City">
        <w:smartTag w:uri="urn:schemas-microsoft-com:office:smarttags" w:element="place">
          <w:r>
            <w:t>St. Louis</w:t>
          </w:r>
        </w:smartTag>
      </w:smartTag>
      <w:r>
        <w:t>, is counted as two passengers rather than one.  Further adjustment must be made for the fact that a roundtrip reservation will account for at least two enplanements.</w:t>
      </w:r>
    </w:p>
    <w:p w:rsidR="003B0815" w:rsidRDefault="003B0815" w14:paraId="3938EA0B" w14:textId="77777777">
      <w:pPr>
        <w:spacing w:line="360" w:lineRule="auto"/>
        <w:ind w:firstLine="720"/>
      </w:pPr>
      <w:r>
        <w:t>To estimate the number of roundtrip flights booked by passengers, TSA conducted an analysis of BTS’ Airline Origin and Destination Survey DB1B Ticket Data.</w:t>
      </w:r>
      <w:r>
        <w:rPr>
          <w:rStyle w:val="FootnoteReference"/>
        </w:rPr>
        <w:footnoteReference w:id="21"/>
      </w:r>
      <w:r>
        <w:t xml:space="preserve">  Table 1.4.2.a presents data for 2000 through 2004, which reveals that the proportion of roundtrip itineraries over the five years remained very close to the average of 79%.</w:t>
      </w:r>
      <w:bookmarkStart w:name="_Toc107984974" w:id="130"/>
      <w:bookmarkStart w:name="_Toc111627361" w:id="131"/>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8"/>
        <w:gridCol w:w="1452"/>
      </w:tblGrid>
      <w:tr w:rsidR="003B0815" w14:paraId="1C587BF7" w14:textId="77777777">
        <w:trPr>
          <w:jc w:val="center"/>
        </w:trPr>
        <w:tc>
          <w:tcPr>
            <w:tcW w:w="2480" w:type="dxa"/>
            <w:gridSpan w:val="2"/>
            <w:tcBorders>
              <w:top w:val="nil"/>
              <w:left w:val="nil"/>
              <w:bottom w:val="single" w:color="auto" w:sz="12" w:space="0"/>
              <w:right w:val="nil"/>
            </w:tcBorders>
          </w:tcPr>
          <w:p w:rsidR="003B0815" w:rsidRDefault="003B0815" w14:paraId="577771E0" w14:textId="77777777">
            <w:pPr>
              <w:pStyle w:val="RegEvalTableHeader"/>
              <w:keepNext/>
            </w:pPr>
            <w:bookmarkStart w:name="_Toc114566412" w:id="132"/>
            <w:bookmarkStart w:name="_Toc139943606" w:id="133"/>
            <w:bookmarkStart w:name="_Toc141001116" w:id="134"/>
            <w:bookmarkStart w:name="_Toc141000947" w:id="135"/>
            <w:bookmarkStart w:name="_Toc165278371" w:id="136"/>
            <w:bookmarkStart w:name="_Toc174438367" w:id="137"/>
            <w:bookmarkStart w:name="_Toc207109506" w:id="138"/>
            <w:r>
              <w:t>Table 1.4.2.a Percent of Roundtrip Itineraries</w:t>
            </w:r>
            <w:bookmarkEnd w:id="130"/>
            <w:bookmarkEnd w:id="131"/>
            <w:bookmarkEnd w:id="132"/>
            <w:bookmarkEnd w:id="133"/>
            <w:bookmarkEnd w:id="134"/>
            <w:bookmarkEnd w:id="135"/>
            <w:bookmarkEnd w:id="136"/>
            <w:bookmarkEnd w:id="137"/>
            <w:bookmarkEnd w:id="138"/>
          </w:p>
        </w:tc>
      </w:tr>
      <w:tr w:rsidR="003B0815" w14:paraId="500F36D0" w14:textId="77777777">
        <w:trPr>
          <w:jc w:val="center"/>
        </w:trPr>
        <w:tc>
          <w:tcPr>
            <w:tcW w:w="0" w:type="auto"/>
            <w:tcBorders>
              <w:top w:val="single" w:color="auto" w:sz="12" w:space="0"/>
              <w:left w:val="single" w:color="auto" w:sz="12" w:space="0"/>
            </w:tcBorders>
            <w:vAlign w:val="bottom"/>
          </w:tcPr>
          <w:p w:rsidR="003B0815" w:rsidRDefault="003B0815" w14:paraId="09986131" w14:textId="77777777">
            <w:pPr>
              <w:keepNext/>
              <w:jc w:val="center"/>
              <w:rPr>
                <w:rFonts w:ascii="Arial" w:hAnsi="Arial"/>
                <w:b/>
                <w:sz w:val="20"/>
                <w:szCs w:val="20"/>
              </w:rPr>
            </w:pPr>
            <w:r>
              <w:rPr>
                <w:rFonts w:ascii="Arial" w:hAnsi="Arial"/>
                <w:b/>
                <w:sz w:val="20"/>
                <w:szCs w:val="20"/>
              </w:rPr>
              <w:t>Year</w:t>
            </w:r>
          </w:p>
        </w:tc>
        <w:tc>
          <w:tcPr>
            <w:tcW w:w="1422" w:type="dxa"/>
            <w:tcBorders>
              <w:top w:val="single" w:color="auto" w:sz="12" w:space="0"/>
              <w:right w:val="single" w:color="auto" w:sz="12" w:space="0"/>
            </w:tcBorders>
            <w:vAlign w:val="bottom"/>
          </w:tcPr>
          <w:p w:rsidR="003B0815" w:rsidRDefault="003B0815" w14:paraId="35D53997" w14:textId="77777777">
            <w:pPr>
              <w:keepNext/>
              <w:jc w:val="center"/>
              <w:rPr>
                <w:rFonts w:ascii="Arial" w:hAnsi="Arial"/>
                <w:b/>
                <w:sz w:val="20"/>
                <w:szCs w:val="20"/>
              </w:rPr>
            </w:pPr>
            <w:r>
              <w:rPr>
                <w:rFonts w:ascii="Arial" w:hAnsi="Arial"/>
                <w:b/>
                <w:sz w:val="20"/>
                <w:szCs w:val="20"/>
              </w:rPr>
              <w:t>Roundtrip</w:t>
            </w:r>
          </w:p>
        </w:tc>
      </w:tr>
      <w:tr w:rsidR="003B0815" w14:paraId="24C3FD57" w14:textId="77777777">
        <w:trPr>
          <w:jc w:val="center"/>
        </w:trPr>
        <w:tc>
          <w:tcPr>
            <w:tcW w:w="0" w:type="auto"/>
            <w:tcBorders>
              <w:left w:val="single" w:color="auto" w:sz="12" w:space="0"/>
            </w:tcBorders>
            <w:vAlign w:val="bottom"/>
          </w:tcPr>
          <w:p w:rsidR="003B0815" w:rsidRDefault="003B0815" w14:paraId="72B6A50C" w14:textId="77777777">
            <w:pPr>
              <w:keepNext/>
              <w:jc w:val="center"/>
              <w:rPr>
                <w:rFonts w:ascii="Arial" w:hAnsi="Arial"/>
                <w:sz w:val="20"/>
                <w:szCs w:val="20"/>
              </w:rPr>
            </w:pPr>
            <w:r>
              <w:rPr>
                <w:rFonts w:ascii="Arial" w:hAnsi="Arial"/>
                <w:sz w:val="20"/>
                <w:szCs w:val="20"/>
              </w:rPr>
              <w:t>2000</w:t>
            </w:r>
          </w:p>
        </w:tc>
        <w:tc>
          <w:tcPr>
            <w:tcW w:w="1422" w:type="dxa"/>
            <w:tcBorders>
              <w:right w:val="single" w:color="auto" w:sz="12" w:space="0"/>
            </w:tcBorders>
            <w:vAlign w:val="bottom"/>
          </w:tcPr>
          <w:p w:rsidR="003B0815" w:rsidRDefault="003B0815" w14:paraId="63E6B53E" w14:textId="77777777">
            <w:pPr>
              <w:keepNext/>
              <w:jc w:val="center"/>
              <w:rPr>
                <w:rFonts w:ascii="Arial" w:hAnsi="Arial"/>
                <w:sz w:val="20"/>
                <w:szCs w:val="20"/>
              </w:rPr>
            </w:pPr>
            <w:r>
              <w:rPr>
                <w:rFonts w:ascii="Arial" w:hAnsi="Arial"/>
                <w:sz w:val="20"/>
                <w:szCs w:val="20"/>
              </w:rPr>
              <w:t>77.4%</w:t>
            </w:r>
          </w:p>
        </w:tc>
      </w:tr>
      <w:tr w:rsidR="003B0815" w14:paraId="203C9F4E" w14:textId="77777777">
        <w:trPr>
          <w:jc w:val="center"/>
        </w:trPr>
        <w:tc>
          <w:tcPr>
            <w:tcW w:w="0" w:type="auto"/>
            <w:tcBorders>
              <w:left w:val="single" w:color="auto" w:sz="12" w:space="0"/>
            </w:tcBorders>
            <w:vAlign w:val="bottom"/>
          </w:tcPr>
          <w:p w:rsidR="003B0815" w:rsidRDefault="003B0815" w14:paraId="0DDAC913" w14:textId="77777777">
            <w:pPr>
              <w:keepNext/>
              <w:jc w:val="center"/>
              <w:rPr>
                <w:rFonts w:ascii="Arial" w:hAnsi="Arial"/>
                <w:sz w:val="20"/>
                <w:szCs w:val="20"/>
              </w:rPr>
            </w:pPr>
            <w:r>
              <w:rPr>
                <w:rFonts w:ascii="Arial" w:hAnsi="Arial"/>
                <w:sz w:val="20"/>
                <w:szCs w:val="20"/>
              </w:rPr>
              <w:t>2001</w:t>
            </w:r>
          </w:p>
        </w:tc>
        <w:tc>
          <w:tcPr>
            <w:tcW w:w="1422" w:type="dxa"/>
            <w:tcBorders>
              <w:right w:val="single" w:color="auto" w:sz="12" w:space="0"/>
            </w:tcBorders>
            <w:vAlign w:val="bottom"/>
          </w:tcPr>
          <w:p w:rsidR="003B0815" w:rsidRDefault="003B0815" w14:paraId="1D60A8E8" w14:textId="77777777">
            <w:pPr>
              <w:keepNext/>
              <w:jc w:val="center"/>
              <w:rPr>
                <w:rFonts w:ascii="Arial" w:hAnsi="Arial"/>
                <w:sz w:val="20"/>
                <w:szCs w:val="20"/>
              </w:rPr>
            </w:pPr>
            <w:r>
              <w:rPr>
                <w:rFonts w:ascii="Arial" w:hAnsi="Arial"/>
                <w:sz w:val="20"/>
                <w:szCs w:val="20"/>
              </w:rPr>
              <w:t>79.6%</w:t>
            </w:r>
          </w:p>
        </w:tc>
      </w:tr>
      <w:tr w:rsidR="003B0815" w14:paraId="0C912FC2" w14:textId="77777777">
        <w:trPr>
          <w:jc w:val="center"/>
        </w:trPr>
        <w:tc>
          <w:tcPr>
            <w:tcW w:w="0" w:type="auto"/>
            <w:tcBorders>
              <w:left w:val="single" w:color="auto" w:sz="12" w:space="0"/>
            </w:tcBorders>
            <w:vAlign w:val="bottom"/>
          </w:tcPr>
          <w:p w:rsidR="003B0815" w:rsidRDefault="003B0815" w14:paraId="50B830B4" w14:textId="77777777">
            <w:pPr>
              <w:keepNext/>
              <w:jc w:val="center"/>
              <w:rPr>
                <w:rFonts w:ascii="Arial" w:hAnsi="Arial"/>
                <w:sz w:val="20"/>
                <w:szCs w:val="20"/>
              </w:rPr>
            </w:pPr>
            <w:r>
              <w:rPr>
                <w:rFonts w:ascii="Arial" w:hAnsi="Arial"/>
                <w:sz w:val="20"/>
                <w:szCs w:val="20"/>
              </w:rPr>
              <w:t>2002</w:t>
            </w:r>
          </w:p>
        </w:tc>
        <w:tc>
          <w:tcPr>
            <w:tcW w:w="1422" w:type="dxa"/>
            <w:tcBorders>
              <w:right w:val="single" w:color="auto" w:sz="12" w:space="0"/>
            </w:tcBorders>
            <w:vAlign w:val="bottom"/>
          </w:tcPr>
          <w:p w:rsidR="003B0815" w:rsidRDefault="003B0815" w14:paraId="45313A2A" w14:textId="77777777">
            <w:pPr>
              <w:keepNext/>
              <w:jc w:val="center"/>
              <w:rPr>
                <w:rFonts w:ascii="Arial" w:hAnsi="Arial"/>
                <w:sz w:val="20"/>
                <w:szCs w:val="20"/>
              </w:rPr>
            </w:pPr>
            <w:r>
              <w:rPr>
                <w:rFonts w:ascii="Arial" w:hAnsi="Arial"/>
                <w:sz w:val="20"/>
                <w:szCs w:val="20"/>
              </w:rPr>
              <w:t>80.4%</w:t>
            </w:r>
          </w:p>
        </w:tc>
      </w:tr>
      <w:tr w:rsidR="003B0815" w14:paraId="5A732337" w14:textId="77777777">
        <w:trPr>
          <w:jc w:val="center"/>
        </w:trPr>
        <w:tc>
          <w:tcPr>
            <w:tcW w:w="0" w:type="auto"/>
            <w:tcBorders>
              <w:left w:val="single" w:color="auto" w:sz="12" w:space="0"/>
            </w:tcBorders>
            <w:vAlign w:val="bottom"/>
          </w:tcPr>
          <w:p w:rsidR="003B0815" w:rsidRDefault="003B0815" w14:paraId="38E1D86E" w14:textId="77777777">
            <w:pPr>
              <w:keepNext/>
              <w:jc w:val="center"/>
              <w:rPr>
                <w:rFonts w:ascii="Arial" w:hAnsi="Arial"/>
                <w:sz w:val="20"/>
                <w:szCs w:val="20"/>
              </w:rPr>
            </w:pPr>
            <w:r>
              <w:rPr>
                <w:rFonts w:ascii="Arial" w:hAnsi="Arial"/>
                <w:sz w:val="20"/>
                <w:szCs w:val="20"/>
              </w:rPr>
              <w:t>2003</w:t>
            </w:r>
          </w:p>
        </w:tc>
        <w:tc>
          <w:tcPr>
            <w:tcW w:w="1422" w:type="dxa"/>
            <w:tcBorders>
              <w:right w:val="single" w:color="auto" w:sz="12" w:space="0"/>
            </w:tcBorders>
            <w:vAlign w:val="bottom"/>
          </w:tcPr>
          <w:p w:rsidR="003B0815" w:rsidRDefault="003B0815" w14:paraId="4B38BB38" w14:textId="77777777">
            <w:pPr>
              <w:keepNext/>
              <w:jc w:val="center"/>
              <w:rPr>
                <w:rFonts w:ascii="Arial" w:hAnsi="Arial"/>
                <w:sz w:val="20"/>
                <w:szCs w:val="20"/>
              </w:rPr>
            </w:pPr>
            <w:r>
              <w:rPr>
                <w:rFonts w:ascii="Arial" w:hAnsi="Arial"/>
                <w:sz w:val="20"/>
                <w:szCs w:val="20"/>
              </w:rPr>
              <w:t>79.6%</w:t>
            </w:r>
          </w:p>
        </w:tc>
      </w:tr>
      <w:tr w:rsidR="003B0815" w14:paraId="50D12A8D" w14:textId="77777777">
        <w:trPr>
          <w:jc w:val="center"/>
        </w:trPr>
        <w:tc>
          <w:tcPr>
            <w:tcW w:w="0" w:type="auto"/>
            <w:tcBorders>
              <w:left w:val="single" w:color="auto" w:sz="12" w:space="0"/>
            </w:tcBorders>
            <w:vAlign w:val="bottom"/>
          </w:tcPr>
          <w:p w:rsidR="003B0815" w:rsidRDefault="003B0815" w14:paraId="0E1AE6F3" w14:textId="77777777">
            <w:pPr>
              <w:keepNext/>
              <w:jc w:val="center"/>
              <w:rPr>
                <w:rFonts w:ascii="Arial" w:hAnsi="Arial"/>
                <w:sz w:val="20"/>
                <w:szCs w:val="20"/>
              </w:rPr>
            </w:pPr>
            <w:r>
              <w:rPr>
                <w:rFonts w:ascii="Arial" w:hAnsi="Arial"/>
                <w:sz w:val="20"/>
                <w:szCs w:val="20"/>
              </w:rPr>
              <w:t>2004</w:t>
            </w:r>
          </w:p>
        </w:tc>
        <w:tc>
          <w:tcPr>
            <w:tcW w:w="1422" w:type="dxa"/>
            <w:tcBorders>
              <w:right w:val="single" w:color="auto" w:sz="12" w:space="0"/>
            </w:tcBorders>
            <w:vAlign w:val="bottom"/>
          </w:tcPr>
          <w:p w:rsidR="003B0815" w:rsidRDefault="003B0815" w14:paraId="391AB652" w14:textId="77777777">
            <w:pPr>
              <w:keepNext/>
              <w:jc w:val="center"/>
              <w:rPr>
                <w:rFonts w:ascii="Arial" w:hAnsi="Arial"/>
                <w:sz w:val="20"/>
                <w:szCs w:val="20"/>
              </w:rPr>
            </w:pPr>
            <w:r>
              <w:rPr>
                <w:rFonts w:ascii="Arial" w:hAnsi="Arial"/>
                <w:sz w:val="20"/>
                <w:szCs w:val="20"/>
              </w:rPr>
              <w:t>78.5%</w:t>
            </w:r>
          </w:p>
        </w:tc>
      </w:tr>
      <w:tr w:rsidR="003B0815" w14:paraId="116BCD4C" w14:textId="77777777">
        <w:trPr>
          <w:jc w:val="center"/>
        </w:trPr>
        <w:tc>
          <w:tcPr>
            <w:tcW w:w="0" w:type="auto"/>
            <w:tcBorders>
              <w:left w:val="single" w:color="auto" w:sz="12" w:space="0"/>
              <w:bottom w:val="single" w:color="auto" w:sz="12" w:space="0"/>
            </w:tcBorders>
            <w:vAlign w:val="bottom"/>
          </w:tcPr>
          <w:p w:rsidR="003B0815" w:rsidRDefault="003B0815" w14:paraId="035A36FF" w14:textId="77777777">
            <w:pPr>
              <w:keepNext/>
              <w:jc w:val="center"/>
              <w:rPr>
                <w:rFonts w:ascii="Arial" w:hAnsi="Arial"/>
                <w:b/>
                <w:sz w:val="20"/>
                <w:szCs w:val="20"/>
              </w:rPr>
            </w:pPr>
            <w:r>
              <w:rPr>
                <w:rFonts w:ascii="Arial" w:hAnsi="Arial"/>
                <w:b/>
                <w:sz w:val="20"/>
                <w:szCs w:val="20"/>
              </w:rPr>
              <w:t>Average</w:t>
            </w:r>
          </w:p>
        </w:tc>
        <w:tc>
          <w:tcPr>
            <w:tcW w:w="1422" w:type="dxa"/>
            <w:tcBorders>
              <w:bottom w:val="single" w:color="auto" w:sz="12" w:space="0"/>
              <w:right w:val="single" w:color="auto" w:sz="12" w:space="0"/>
            </w:tcBorders>
            <w:vAlign w:val="bottom"/>
          </w:tcPr>
          <w:p w:rsidR="003B0815" w:rsidRDefault="003B0815" w14:paraId="36FC8AF6" w14:textId="77777777">
            <w:pPr>
              <w:keepNext/>
              <w:jc w:val="center"/>
              <w:rPr>
                <w:rFonts w:ascii="Arial" w:hAnsi="Arial"/>
                <w:b/>
                <w:sz w:val="20"/>
                <w:szCs w:val="20"/>
              </w:rPr>
            </w:pPr>
            <w:r>
              <w:rPr>
                <w:rFonts w:ascii="Arial" w:hAnsi="Arial"/>
                <w:b/>
                <w:sz w:val="20"/>
                <w:szCs w:val="20"/>
              </w:rPr>
              <w:t>79.1%</w:t>
            </w:r>
          </w:p>
        </w:tc>
      </w:tr>
    </w:tbl>
    <w:p w:rsidR="003B0815" w:rsidRDefault="003B0815" w14:paraId="6FAF8C7C" w14:textId="77777777">
      <w:pPr>
        <w:spacing w:line="360" w:lineRule="auto"/>
        <w:ind w:firstLine="720"/>
      </w:pPr>
    </w:p>
    <w:p w:rsidR="003B0815" w:rsidRDefault="003B0815" w14:paraId="3CAD73DF" w14:textId="77777777">
      <w:pPr>
        <w:spacing w:line="360" w:lineRule="auto"/>
        <w:ind w:firstLine="720"/>
      </w:pPr>
      <w:r>
        <w:t xml:space="preserve">Further analysis of the BTS Origin and Destination Survey provided insights into the number of itineraries with connecting flights at a hub airport.  Calculations based on all domestic enplanements (including international connections from outside the </w:t>
      </w:r>
      <w:smartTag w:uri="urn:schemas-microsoft-com:office:smarttags" w:element="country-region">
        <w:r>
          <w:t>U.S.</w:t>
        </w:r>
      </w:smartTag>
      <w:r>
        <w:t xml:space="preserve"> headed for other </w:t>
      </w:r>
      <w:smartTag w:uri="urn:schemas-microsoft-com:office:smarttags" w:element="country-region">
        <w:smartTag w:uri="urn:schemas-microsoft-com:office:smarttags" w:element="place">
          <w:r>
            <w:t>U.S.</w:t>
          </w:r>
        </w:smartTag>
      </w:smartTag>
      <w:r>
        <w:t xml:space="preserve"> destinations) for the year ending in the third quarter of 2005 indicate that approximately 30% of itineraries involve connecting enplanements.</w:t>
      </w:r>
    </w:p>
    <w:p w:rsidR="003B0815" w:rsidRDefault="003B0815" w14:paraId="6543118B" w14:textId="77777777">
      <w:pPr>
        <w:spacing w:line="360" w:lineRule="auto"/>
        <w:ind w:firstLine="720"/>
      </w:pPr>
      <w:r>
        <w:t xml:space="preserve">Combining the data on roundtrip itineraries and connecting flights enabled TSA to make a rough conversion from annual enplanements to the number of reservations those enplanements potentially represent.  One offsetting consideration, however, is that a significant percentage of reservations are cancelled and rebooked or otherwise modified such that assuming each reservation results in a completed trip could result in underestimating the number of reservations.  According to a December 2005 </w:t>
      </w:r>
      <w:r>
        <w:rPr>
          <w:u w:val="single"/>
        </w:rPr>
        <w:t>USA Today</w:t>
      </w:r>
      <w:r>
        <w:t xml:space="preserve"> article, the percentage of cancelled itineraries across the airline industry is approximately 12%.</w:t>
      </w:r>
      <w:r>
        <w:rPr>
          <w:rStyle w:val="FootnoteReference"/>
        </w:rPr>
        <w:footnoteReference w:id="22"/>
      </w:r>
    </w:p>
    <w:p w:rsidR="003B0815" w:rsidRDefault="003B0815" w14:paraId="5904F20A" w14:textId="77777777">
      <w:pPr>
        <w:spacing w:line="360" w:lineRule="auto"/>
        <w:ind w:firstLine="720"/>
      </w:pPr>
      <w:r>
        <w:t>Since some reservations represent more enplanements than others, TSA used the available data to come up with four broad categories of reservations.  The data on roundtrip flights first allowed TSA to distinguish between roundtrip (79%) and one-way (21%) reservations.  The data on connecting flights (30%) then permitted TSA to subdivide these reservations into the four categories: direct roundtrip, multi-segment roundtrip, direct one-way, and multi-segment one-way reservations.  To convert enplanements into reservations, TSA assumed that each direct roundtrip and connecting one-way reservation represent two enplanements.  TSA further assumed that multi-segment roundtrip reservations represent four enplanements and that direct one-way reservations represent a single enplanement.  Having thus converted enplanements into a projected number of reservations, TSA inflated the yearly totals by 12% to compensate for cancelled and rebooked reservations.</w:t>
      </w:r>
    </w:p>
    <w:p w:rsidR="003B0815" w:rsidRDefault="003B0815" w14:paraId="2DC63CBB" w14:textId="77777777">
      <w:pPr>
        <w:spacing w:line="360" w:lineRule="auto"/>
        <w:ind w:firstLine="720"/>
      </w:pPr>
      <w:r>
        <w:t>Table 1.4.2.b presents projected reservations by reservation method based on these calculations over the next ten years.</w:t>
      </w:r>
      <w:bookmarkStart w:name="_Toc111627362" w:id="139"/>
      <w:r>
        <w:t xml:space="preserve">  Reservations for Group 4 are not included in the table below because this group does not process reservations in the same manner as the rest of the industry.  These differences are discussed in greater detail below.</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
        <w:gridCol w:w="1377"/>
        <w:gridCol w:w="1619"/>
        <w:gridCol w:w="2161"/>
        <w:gridCol w:w="1473"/>
      </w:tblGrid>
      <w:tr w:rsidR="003B0815" w14:paraId="15D5A1B9" w14:textId="77777777">
        <w:trPr>
          <w:jc w:val="center"/>
        </w:trPr>
        <w:tc>
          <w:tcPr>
            <w:tcW w:w="7521" w:type="dxa"/>
            <w:gridSpan w:val="5"/>
            <w:tcBorders>
              <w:top w:val="nil"/>
              <w:left w:val="nil"/>
              <w:bottom w:val="single" w:color="auto" w:sz="12" w:space="0"/>
              <w:right w:val="nil"/>
            </w:tcBorders>
            <w:vAlign w:val="center"/>
          </w:tcPr>
          <w:p w:rsidR="003B0815" w:rsidRDefault="003B0815" w14:paraId="29149645" w14:textId="77777777">
            <w:pPr>
              <w:pStyle w:val="RegEvalTableHeader"/>
              <w:keepNext/>
              <w:rPr>
                <w:bCs/>
              </w:rPr>
            </w:pPr>
            <w:bookmarkStart w:name="_Toc165278372" w:id="140"/>
            <w:bookmarkStart w:name="_Toc174438368" w:id="141"/>
            <w:bookmarkStart w:name="_Toc207109507" w:id="142"/>
            <w:bookmarkEnd w:id="139"/>
            <w:r>
              <w:rPr>
                <w:bCs/>
              </w:rPr>
              <w:t>Table 1.4.2.b Covered Carrier Forecasted Domestic Reservations (Millions)</w:t>
            </w:r>
            <w:bookmarkEnd w:id="140"/>
            <w:bookmarkEnd w:id="141"/>
            <w:bookmarkEnd w:id="142"/>
          </w:p>
        </w:tc>
      </w:tr>
      <w:tr w:rsidR="003B0815" w14:paraId="74170FDB" w14:textId="77777777">
        <w:trPr>
          <w:jc w:val="center"/>
        </w:trPr>
        <w:tc>
          <w:tcPr>
            <w:tcW w:w="891" w:type="dxa"/>
            <w:tcBorders>
              <w:top w:val="single" w:color="auto" w:sz="12" w:space="0"/>
              <w:left w:val="single" w:color="auto" w:sz="12" w:space="0"/>
            </w:tcBorders>
            <w:vAlign w:val="center"/>
          </w:tcPr>
          <w:p w:rsidR="003B0815" w:rsidRDefault="003B0815" w14:paraId="3FA9E2B7" w14:textId="77777777">
            <w:pPr>
              <w:keepNext/>
              <w:jc w:val="center"/>
              <w:rPr>
                <w:rFonts w:ascii="Arial" w:hAnsi="Arial"/>
                <w:b/>
                <w:sz w:val="20"/>
                <w:szCs w:val="20"/>
              </w:rPr>
            </w:pPr>
            <w:r>
              <w:rPr>
                <w:rFonts w:ascii="Arial" w:hAnsi="Arial"/>
                <w:b/>
                <w:sz w:val="20"/>
                <w:szCs w:val="20"/>
              </w:rPr>
              <w:t>Program Year</w:t>
            </w:r>
          </w:p>
        </w:tc>
        <w:tc>
          <w:tcPr>
            <w:tcW w:w="1377" w:type="dxa"/>
            <w:tcBorders>
              <w:top w:val="single" w:color="auto" w:sz="12" w:space="0"/>
            </w:tcBorders>
            <w:vAlign w:val="center"/>
          </w:tcPr>
          <w:p w:rsidR="003B0815" w:rsidRDefault="003B0815" w14:paraId="736B5C45" w14:textId="77777777">
            <w:pPr>
              <w:keepNext/>
              <w:jc w:val="center"/>
              <w:rPr>
                <w:rFonts w:ascii="Arial" w:hAnsi="Arial"/>
                <w:b/>
                <w:sz w:val="20"/>
                <w:szCs w:val="20"/>
              </w:rPr>
            </w:pPr>
            <w:r>
              <w:rPr>
                <w:rFonts w:ascii="Arial" w:hAnsi="Arial"/>
                <w:b/>
                <w:sz w:val="20"/>
                <w:szCs w:val="20"/>
              </w:rPr>
              <w:t>Airline Call Centers</w:t>
            </w:r>
          </w:p>
          <w:p w:rsidR="003B0815" w:rsidRDefault="003B0815" w14:paraId="78BFC271" w14:textId="77777777">
            <w:pPr>
              <w:keepNext/>
              <w:jc w:val="center"/>
              <w:rPr>
                <w:rFonts w:ascii="Arial" w:hAnsi="Arial"/>
                <w:b/>
                <w:sz w:val="20"/>
                <w:szCs w:val="20"/>
              </w:rPr>
            </w:pPr>
            <w:r>
              <w:rPr>
                <w:rFonts w:ascii="Arial" w:hAnsi="Arial"/>
                <w:b/>
                <w:sz w:val="20"/>
                <w:szCs w:val="20"/>
              </w:rPr>
              <w:t>(15%)</w:t>
            </w:r>
          </w:p>
        </w:tc>
        <w:tc>
          <w:tcPr>
            <w:tcW w:w="1619" w:type="dxa"/>
            <w:tcBorders>
              <w:top w:val="single" w:color="auto" w:sz="12" w:space="0"/>
            </w:tcBorders>
            <w:vAlign w:val="center"/>
          </w:tcPr>
          <w:p w:rsidR="003B0815" w:rsidRDefault="003B0815" w14:paraId="6F936129" w14:textId="77777777">
            <w:pPr>
              <w:keepNext/>
              <w:jc w:val="center"/>
              <w:rPr>
                <w:rFonts w:ascii="Arial" w:hAnsi="Arial"/>
                <w:b/>
                <w:sz w:val="20"/>
                <w:szCs w:val="20"/>
              </w:rPr>
            </w:pPr>
            <w:r>
              <w:rPr>
                <w:rFonts w:ascii="Arial" w:hAnsi="Arial"/>
                <w:b/>
                <w:sz w:val="20"/>
                <w:szCs w:val="20"/>
              </w:rPr>
              <w:t>Traditional Travel Agency</w:t>
            </w:r>
          </w:p>
          <w:p w:rsidR="003B0815" w:rsidRDefault="003B0815" w14:paraId="04034255" w14:textId="77777777">
            <w:pPr>
              <w:keepNext/>
              <w:jc w:val="center"/>
              <w:rPr>
                <w:rFonts w:ascii="Arial" w:hAnsi="Arial"/>
                <w:b/>
                <w:sz w:val="20"/>
                <w:szCs w:val="20"/>
              </w:rPr>
            </w:pPr>
            <w:r>
              <w:rPr>
                <w:rFonts w:ascii="Arial" w:hAnsi="Arial"/>
                <w:b/>
                <w:sz w:val="20"/>
                <w:szCs w:val="20"/>
              </w:rPr>
              <w:t>(36%)</w:t>
            </w:r>
          </w:p>
        </w:tc>
        <w:tc>
          <w:tcPr>
            <w:tcW w:w="2161" w:type="dxa"/>
            <w:tcBorders>
              <w:top w:val="single" w:color="auto" w:sz="12" w:space="0"/>
            </w:tcBorders>
            <w:vAlign w:val="center"/>
          </w:tcPr>
          <w:p w:rsidR="003B0815" w:rsidRDefault="003B0815" w14:paraId="0C1461AB" w14:textId="77777777">
            <w:pPr>
              <w:keepNext/>
              <w:jc w:val="center"/>
              <w:rPr>
                <w:rFonts w:ascii="Arial" w:hAnsi="Arial"/>
                <w:b/>
                <w:sz w:val="20"/>
                <w:szCs w:val="20"/>
              </w:rPr>
            </w:pPr>
            <w:r>
              <w:rPr>
                <w:rFonts w:ascii="Arial" w:hAnsi="Arial"/>
                <w:b/>
                <w:sz w:val="20"/>
                <w:szCs w:val="20"/>
              </w:rPr>
              <w:t>Online Reservation Method</w:t>
            </w:r>
          </w:p>
          <w:p w:rsidR="003B0815" w:rsidRDefault="003B0815" w14:paraId="04F385BC" w14:textId="77777777">
            <w:pPr>
              <w:keepNext/>
              <w:jc w:val="center"/>
              <w:rPr>
                <w:rFonts w:ascii="Arial" w:hAnsi="Arial"/>
                <w:b/>
                <w:sz w:val="20"/>
                <w:szCs w:val="20"/>
              </w:rPr>
            </w:pPr>
            <w:r>
              <w:rPr>
                <w:rFonts w:ascii="Arial" w:hAnsi="Arial"/>
                <w:b/>
                <w:sz w:val="20"/>
                <w:szCs w:val="20"/>
              </w:rPr>
              <w:t>(49%)</w:t>
            </w:r>
          </w:p>
        </w:tc>
        <w:tc>
          <w:tcPr>
            <w:tcW w:w="1473" w:type="dxa"/>
            <w:tcBorders>
              <w:top w:val="single" w:color="auto" w:sz="12" w:space="0"/>
              <w:bottom w:val="single" w:color="auto" w:sz="4" w:space="0"/>
              <w:right w:val="single" w:color="auto" w:sz="12" w:space="0"/>
            </w:tcBorders>
            <w:vAlign w:val="center"/>
          </w:tcPr>
          <w:p w:rsidR="003B0815" w:rsidRDefault="003B0815" w14:paraId="0D5E4202" w14:textId="77777777">
            <w:pPr>
              <w:keepNext/>
              <w:jc w:val="center"/>
              <w:rPr>
                <w:rFonts w:ascii="Arial" w:hAnsi="Arial"/>
                <w:b/>
                <w:sz w:val="20"/>
                <w:szCs w:val="20"/>
              </w:rPr>
            </w:pPr>
            <w:r>
              <w:rPr>
                <w:rFonts w:ascii="Arial" w:hAnsi="Arial"/>
                <w:b/>
                <w:sz w:val="20"/>
                <w:szCs w:val="20"/>
              </w:rPr>
              <w:t>Total Domestic Reservations</w:t>
            </w:r>
          </w:p>
        </w:tc>
      </w:tr>
      <w:tr w:rsidR="003B0815" w14:paraId="13705B34" w14:textId="77777777">
        <w:trPr>
          <w:jc w:val="center"/>
        </w:trPr>
        <w:tc>
          <w:tcPr>
            <w:tcW w:w="891" w:type="dxa"/>
            <w:tcBorders>
              <w:left w:val="single" w:color="auto" w:sz="12" w:space="0"/>
            </w:tcBorders>
            <w:vAlign w:val="bottom"/>
          </w:tcPr>
          <w:p w:rsidR="003B0815" w:rsidRDefault="003B0815" w14:paraId="33C82930" w14:textId="77777777">
            <w:pPr>
              <w:keepNext/>
              <w:jc w:val="center"/>
              <w:rPr>
                <w:rFonts w:ascii="Arial" w:hAnsi="Arial"/>
                <w:sz w:val="20"/>
                <w:szCs w:val="20"/>
              </w:rPr>
            </w:pPr>
            <w:r>
              <w:rPr>
                <w:rFonts w:ascii="Arial" w:hAnsi="Arial"/>
                <w:sz w:val="20"/>
                <w:szCs w:val="20"/>
              </w:rPr>
              <w:t>1</w:t>
            </w:r>
          </w:p>
        </w:tc>
        <w:tc>
          <w:tcPr>
            <w:tcW w:w="1377" w:type="dxa"/>
            <w:vAlign w:val="bottom"/>
          </w:tcPr>
          <w:p w:rsidR="003B0815" w:rsidRDefault="003B0815" w14:paraId="20E0EE2E" w14:textId="77777777">
            <w:pPr>
              <w:keepNext/>
              <w:jc w:val="center"/>
              <w:rPr>
                <w:rFonts w:ascii="Arial" w:hAnsi="Arial" w:cs="Arial"/>
                <w:sz w:val="20"/>
                <w:szCs w:val="20"/>
              </w:rPr>
            </w:pPr>
            <w:r>
              <w:rPr>
                <w:rFonts w:ascii="Arial" w:hAnsi="Arial" w:cs="Arial"/>
                <w:sz w:val="20"/>
                <w:szCs w:val="20"/>
              </w:rPr>
              <w:t>58.1</w:t>
            </w:r>
          </w:p>
        </w:tc>
        <w:tc>
          <w:tcPr>
            <w:tcW w:w="1619" w:type="dxa"/>
            <w:vAlign w:val="bottom"/>
          </w:tcPr>
          <w:p w:rsidR="003B0815" w:rsidRDefault="003B0815" w14:paraId="701E2915" w14:textId="77777777">
            <w:pPr>
              <w:keepNext/>
              <w:jc w:val="center"/>
              <w:rPr>
                <w:rFonts w:ascii="Arial" w:hAnsi="Arial" w:cs="Arial"/>
                <w:sz w:val="20"/>
                <w:szCs w:val="20"/>
              </w:rPr>
            </w:pPr>
            <w:r>
              <w:rPr>
                <w:rFonts w:ascii="Arial" w:hAnsi="Arial" w:cs="Arial"/>
                <w:sz w:val="20"/>
                <w:szCs w:val="20"/>
              </w:rPr>
              <w:t>139.5</w:t>
            </w:r>
          </w:p>
        </w:tc>
        <w:tc>
          <w:tcPr>
            <w:tcW w:w="2161" w:type="dxa"/>
            <w:vAlign w:val="bottom"/>
          </w:tcPr>
          <w:p w:rsidR="003B0815" w:rsidRDefault="003B0815" w14:paraId="501B0AAE" w14:textId="77777777">
            <w:pPr>
              <w:keepNext/>
              <w:jc w:val="center"/>
              <w:rPr>
                <w:rFonts w:ascii="Arial" w:hAnsi="Arial" w:cs="Arial"/>
                <w:sz w:val="20"/>
                <w:szCs w:val="20"/>
              </w:rPr>
            </w:pPr>
            <w:r>
              <w:rPr>
                <w:rFonts w:ascii="Arial" w:hAnsi="Arial" w:cs="Arial"/>
                <w:sz w:val="20"/>
                <w:szCs w:val="20"/>
              </w:rPr>
              <w:t>189.8</w:t>
            </w:r>
          </w:p>
        </w:tc>
        <w:tc>
          <w:tcPr>
            <w:tcW w:w="1473" w:type="dxa"/>
            <w:tcBorders>
              <w:right w:val="single" w:color="auto" w:sz="12" w:space="0"/>
            </w:tcBorders>
            <w:shd w:val="clear" w:color="auto" w:fill="CCCCCC"/>
            <w:vAlign w:val="bottom"/>
          </w:tcPr>
          <w:p w:rsidR="003B0815" w:rsidRDefault="003B0815" w14:paraId="38759F63" w14:textId="77777777">
            <w:pPr>
              <w:keepNext/>
              <w:jc w:val="center"/>
              <w:rPr>
                <w:rFonts w:ascii="Arial" w:hAnsi="Arial" w:cs="Arial"/>
                <w:b/>
                <w:sz w:val="20"/>
                <w:szCs w:val="20"/>
              </w:rPr>
            </w:pPr>
            <w:r>
              <w:rPr>
                <w:rFonts w:ascii="Arial" w:hAnsi="Arial" w:cs="Arial"/>
                <w:b/>
                <w:sz w:val="20"/>
                <w:szCs w:val="20"/>
              </w:rPr>
              <w:t>387.4</w:t>
            </w:r>
          </w:p>
        </w:tc>
      </w:tr>
      <w:tr w:rsidR="003B0815" w14:paraId="49932DB5" w14:textId="77777777">
        <w:trPr>
          <w:jc w:val="center"/>
        </w:trPr>
        <w:tc>
          <w:tcPr>
            <w:tcW w:w="891" w:type="dxa"/>
            <w:tcBorders>
              <w:left w:val="single" w:color="auto" w:sz="12" w:space="0"/>
            </w:tcBorders>
            <w:vAlign w:val="bottom"/>
          </w:tcPr>
          <w:p w:rsidR="003B0815" w:rsidRDefault="003B0815" w14:paraId="5867A33F" w14:textId="77777777">
            <w:pPr>
              <w:keepNext/>
              <w:jc w:val="center"/>
              <w:rPr>
                <w:rFonts w:ascii="Arial" w:hAnsi="Arial"/>
                <w:sz w:val="20"/>
                <w:szCs w:val="20"/>
              </w:rPr>
            </w:pPr>
            <w:r>
              <w:rPr>
                <w:rFonts w:ascii="Arial" w:hAnsi="Arial"/>
                <w:sz w:val="20"/>
                <w:szCs w:val="20"/>
              </w:rPr>
              <w:t>2</w:t>
            </w:r>
          </w:p>
        </w:tc>
        <w:tc>
          <w:tcPr>
            <w:tcW w:w="1377" w:type="dxa"/>
            <w:vAlign w:val="bottom"/>
          </w:tcPr>
          <w:p w:rsidR="003B0815" w:rsidRDefault="003B0815" w14:paraId="1AEE7B0F" w14:textId="77777777">
            <w:pPr>
              <w:keepNext/>
              <w:jc w:val="center"/>
              <w:rPr>
                <w:rFonts w:ascii="Arial" w:hAnsi="Arial" w:cs="Arial"/>
                <w:sz w:val="20"/>
                <w:szCs w:val="20"/>
              </w:rPr>
            </w:pPr>
            <w:r>
              <w:rPr>
                <w:rFonts w:ascii="Arial" w:hAnsi="Arial" w:cs="Arial"/>
                <w:sz w:val="20"/>
                <w:szCs w:val="20"/>
              </w:rPr>
              <w:t>59.9</w:t>
            </w:r>
          </w:p>
        </w:tc>
        <w:tc>
          <w:tcPr>
            <w:tcW w:w="1619" w:type="dxa"/>
            <w:vAlign w:val="bottom"/>
          </w:tcPr>
          <w:p w:rsidR="003B0815" w:rsidRDefault="003B0815" w14:paraId="49F3B9C0" w14:textId="77777777">
            <w:pPr>
              <w:keepNext/>
              <w:jc w:val="center"/>
              <w:rPr>
                <w:rFonts w:ascii="Arial" w:hAnsi="Arial" w:cs="Arial"/>
                <w:sz w:val="20"/>
                <w:szCs w:val="20"/>
              </w:rPr>
            </w:pPr>
            <w:r>
              <w:rPr>
                <w:rFonts w:ascii="Arial" w:hAnsi="Arial" w:cs="Arial"/>
                <w:sz w:val="20"/>
                <w:szCs w:val="20"/>
              </w:rPr>
              <w:t>143.8</w:t>
            </w:r>
          </w:p>
        </w:tc>
        <w:tc>
          <w:tcPr>
            <w:tcW w:w="2161" w:type="dxa"/>
            <w:vAlign w:val="bottom"/>
          </w:tcPr>
          <w:p w:rsidR="003B0815" w:rsidRDefault="003B0815" w14:paraId="2629E9A5" w14:textId="77777777">
            <w:pPr>
              <w:keepNext/>
              <w:jc w:val="center"/>
              <w:rPr>
                <w:rFonts w:ascii="Arial" w:hAnsi="Arial" w:cs="Arial"/>
                <w:sz w:val="20"/>
                <w:szCs w:val="20"/>
              </w:rPr>
            </w:pPr>
            <w:r>
              <w:rPr>
                <w:rFonts w:ascii="Arial" w:hAnsi="Arial" w:cs="Arial"/>
                <w:sz w:val="20"/>
                <w:szCs w:val="20"/>
              </w:rPr>
              <w:t>195.7</w:t>
            </w:r>
          </w:p>
        </w:tc>
        <w:tc>
          <w:tcPr>
            <w:tcW w:w="1473" w:type="dxa"/>
            <w:tcBorders>
              <w:right w:val="single" w:color="auto" w:sz="12" w:space="0"/>
            </w:tcBorders>
            <w:shd w:val="clear" w:color="auto" w:fill="CCCCCC"/>
            <w:vAlign w:val="bottom"/>
          </w:tcPr>
          <w:p w:rsidR="003B0815" w:rsidRDefault="003B0815" w14:paraId="30F53230" w14:textId="77777777">
            <w:pPr>
              <w:keepNext/>
              <w:jc w:val="center"/>
              <w:rPr>
                <w:rFonts w:ascii="Arial" w:hAnsi="Arial" w:cs="Arial"/>
                <w:b/>
                <w:sz w:val="20"/>
                <w:szCs w:val="20"/>
              </w:rPr>
            </w:pPr>
            <w:r>
              <w:rPr>
                <w:rFonts w:ascii="Arial" w:hAnsi="Arial" w:cs="Arial"/>
                <w:b/>
                <w:sz w:val="20"/>
                <w:szCs w:val="20"/>
              </w:rPr>
              <w:t>399.4</w:t>
            </w:r>
          </w:p>
        </w:tc>
      </w:tr>
      <w:tr w:rsidR="003B0815" w14:paraId="29301C95" w14:textId="77777777">
        <w:trPr>
          <w:jc w:val="center"/>
        </w:trPr>
        <w:tc>
          <w:tcPr>
            <w:tcW w:w="891" w:type="dxa"/>
            <w:tcBorders>
              <w:left w:val="single" w:color="auto" w:sz="12" w:space="0"/>
            </w:tcBorders>
            <w:vAlign w:val="bottom"/>
          </w:tcPr>
          <w:p w:rsidR="003B0815" w:rsidRDefault="003B0815" w14:paraId="2E4D6387" w14:textId="77777777">
            <w:pPr>
              <w:keepNext/>
              <w:jc w:val="center"/>
              <w:rPr>
                <w:rFonts w:ascii="Arial" w:hAnsi="Arial"/>
                <w:sz w:val="20"/>
                <w:szCs w:val="20"/>
              </w:rPr>
            </w:pPr>
            <w:r>
              <w:rPr>
                <w:rFonts w:ascii="Arial" w:hAnsi="Arial"/>
                <w:sz w:val="20"/>
                <w:szCs w:val="20"/>
              </w:rPr>
              <w:t>3</w:t>
            </w:r>
          </w:p>
        </w:tc>
        <w:tc>
          <w:tcPr>
            <w:tcW w:w="1377" w:type="dxa"/>
            <w:vAlign w:val="bottom"/>
          </w:tcPr>
          <w:p w:rsidR="003B0815" w:rsidRDefault="003B0815" w14:paraId="69F005A9" w14:textId="77777777">
            <w:pPr>
              <w:keepNext/>
              <w:jc w:val="center"/>
              <w:rPr>
                <w:rFonts w:ascii="Arial" w:hAnsi="Arial" w:cs="Arial"/>
                <w:sz w:val="20"/>
                <w:szCs w:val="20"/>
              </w:rPr>
            </w:pPr>
            <w:r>
              <w:rPr>
                <w:rFonts w:ascii="Arial" w:hAnsi="Arial" w:cs="Arial"/>
                <w:sz w:val="20"/>
                <w:szCs w:val="20"/>
              </w:rPr>
              <w:t>61.8</w:t>
            </w:r>
          </w:p>
        </w:tc>
        <w:tc>
          <w:tcPr>
            <w:tcW w:w="1619" w:type="dxa"/>
            <w:vAlign w:val="bottom"/>
          </w:tcPr>
          <w:p w:rsidR="003B0815" w:rsidRDefault="003B0815" w14:paraId="38161982" w14:textId="77777777">
            <w:pPr>
              <w:keepNext/>
              <w:jc w:val="center"/>
              <w:rPr>
                <w:rFonts w:ascii="Arial" w:hAnsi="Arial" w:cs="Arial"/>
                <w:sz w:val="20"/>
                <w:szCs w:val="20"/>
              </w:rPr>
            </w:pPr>
            <w:r>
              <w:rPr>
                <w:rFonts w:ascii="Arial" w:hAnsi="Arial" w:cs="Arial"/>
                <w:sz w:val="20"/>
                <w:szCs w:val="20"/>
              </w:rPr>
              <w:t>148.3</w:t>
            </w:r>
          </w:p>
        </w:tc>
        <w:tc>
          <w:tcPr>
            <w:tcW w:w="2161" w:type="dxa"/>
            <w:vAlign w:val="bottom"/>
          </w:tcPr>
          <w:p w:rsidR="003B0815" w:rsidRDefault="003B0815" w14:paraId="42DD6665" w14:textId="77777777">
            <w:pPr>
              <w:keepNext/>
              <w:jc w:val="center"/>
              <w:rPr>
                <w:rFonts w:ascii="Arial" w:hAnsi="Arial" w:cs="Arial"/>
                <w:sz w:val="20"/>
                <w:szCs w:val="20"/>
              </w:rPr>
            </w:pPr>
            <w:r>
              <w:rPr>
                <w:rFonts w:ascii="Arial" w:hAnsi="Arial" w:cs="Arial"/>
                <w:sz w:val="20"/>
                <w:szCs w:val="20"/>
              </w:rPr>
              <w:t>201.9</w:t>
            </w:r>
          </w:p>
        </w:tc>
        <w:tc>
          <w:tcPr>
            <w:tcW w:w="1473" w:type="dxa"/>
            <w:tcBorders>
              <w:right w:val="single" w:color="auto" w:sz="12" w:space="0"/>
            </w:tcBorders>
            <w:shd w:val="clear" w:color="auto" w:fill="CCCCCC"/>
            <w:vAlign w:val="bottom"/>
          </w:tcPr>
          <w:p w:rsidR="003B0815" w:rsidRDefault="003B0815" w14:paraId="42AE062F" w14:textId="77777777">
            <w:pPr>
              <w:keepNext/>
              <w:jc w:val="center"/>
              <w:rPr>
                <w:rFonts w:ascii="Arial" w:hAnsi="Arial" w:cs="Arial"/>
                <w:b/>
                <w:sz w:val="20"/>
                <w:szCs w:val="20"/>
              </w:rPr>
            </w:pPr>
            <w:r>
              <w:rPr>
                <w:rFonts w:ascii="Arial" w:hAnsi="Arial" w:cs="Arial"/>
                <w:b/>
                <w:sz w:val="20"/>
                <w:szCs w:val="20"/>
              </w:rPr>
              <w:t>412.0</w:t>
            </w:r>
          </w:p>
        </w:tc>
      </w:tr>
      <w:tr w:rsidR="003B0815" w14:paraId="11E9D506" w14:textId="77777777">
        <w:trPr>
          <w:jc w:val="center"/>
        </w:trPr>
        <w:tc>
          <w:tcPr>
            <w:tcW w:w="891" w:type="dxa"/>
            <w:tcBorders>
              <w:left w:val="single" w:color="auto" w:sz="12" w:space="0"/>
            </w:tcBorders>
            <w:vAlign w:val="bottom"/>
          </w:tcPr>
          <w:p w:rsidR="003B0815" w:rsidRDefault="003B0815" w14:paraId="35C53BFF" w14:textId="77777777">
            <w:pPr>
              <w:keepNext/>
              <w:jc w:val="center"/>
              <w:rPr>
                <w:rFonts w:ascii="Arial" w:hAnsi="Arial"/>
                <w:sz w:val="20"/>
                <w:szCs w:val="20"/>
              </w:rPr>
            </w:pPr>
            <w:r>
              <w:rPr>
                <w:rFonts w:ascii="Arial" w:hAnsi="Arial"/>
                <w:sz w:val="20"/>
                <w:szCs w:val="20"/>
              </w:rPr>
              <w:t>4</w:t>
            </w:r>
          </w:p>
        </w:tc>
        <w:tc>
          <w:tcPr>
            <w:tcW w:w="1377" w:type="dxa"/>
            <w:vAlign w:val="bottom"/>
          </w:tcPr>
          <w:p w:rsidR="003B0815" w:rsidRDefault="003B0815" w14:paraId="6A9B847E" w14:textId="77777777">
            <w:pPr>
              <w:keepNext/>
              <w:jc w:val="center"/>
              <w:rPr>
                <w:rFonts w:ascii="Arial" w:hAnsi="Arial" w:cs="Arial"/>
                <w:sz w:val="20"/>
                <w:szCs w:val="20"/>
              </w:rPr>
            </w:pPr>
            <w:r>
              <w:rPr>
                <w:rFonts w:ascii="Arial" w:hAnsi="Arial" w:cs="Arial"/>
                <w:sz w:val="20"/>
                <w:szCs w:val="20"/>
              </w:rPr>
              <w:t>63.7</w:t>
            </w:r>
          </w:p>
        </w:tc>
        <w:tc>
          <w:tcPr>
            <w:tcW w:w="1619" w:type="dxa"/>
            <w:vAlign w:val="bottom"/>
          </w:tcPr>
          <w:p w:rsidR="003B0815" w:rsidRDefault="003B0815" w14:paraId="6B36D453" w14:textId="77777777">
            <w:pPr>
              <w:keepNext/>
              <w:jc w:val="center"/>
              <w:rPr>
                <w:rFonts w:ascii="Arial" w:hAnsi="Arial" w:cs="Arial"/>
                <w:sz w:val="20"/>
                <w:szCs w:val="20"/>
              </w:rPr>
            </w:pPr>
            <w:r>
              <w:rPr>
                <w:rFonts w:ascii="Arial" w:hAnsi="Arial" w:cs="Arial"/>
                <w:sz w:val="20"/>
                <w:szCs w:val="20"/>
              </w:rPr>
              <w:t>153</w:t>
            </w:r>
          </w:p>
        </w:tc>
        <w:tc>
          <w:tcPr>
            <w:tcW w:w="2161" w:type="dxa"/>
            <w:vAlign w:val="bottom"/>
          </w:tcPr>
          <w:p w:rsidR="003B0815" w:rsidRDefault="003B0815" w14:paraId="317C6C57" w14:textId="77777777">
            <w:pPr>
              <w:keepNext/>
              <w:jc w:val="center"/>
              <w:rPr>
                <w:rFonts w:ascii="Arial" w:hAnsi="Arial" w:cs="Arial"/>
                <w:sz w:val="20"/>
                <w:szCs w:val="20"/>
              </w:rPr>
            </w:pPr>
            <w:r>
              <w:rPr>
                <w:rFonts w:ascii="Arial" w:hAnsi="Arial" w:cs="Arial"/>
                <w:sz w:val="20"/>
                <w:szCs w:val="20"/>
              </w:rPr>
              <w:t>208.2</w:t>
            </w:r>
          </w:p>
        </w:tc>
        <w:tc>
          <w:tcPr>
            <w:tcW w:w="1473" w:type="dxa"/>
            <w:tcBorders>
              <w:right w:val="single" w:color="auto" w:sz="12" w:space="0"/>
            </w:tcBorders>
            <w:shd w:val="clear" w:color="auto" w:fill="CCCCCC"/>
            <w:vAlign w:val="bottom"/>
          </w:tcPr>
          <w:p w:rsidR="003B0815" w:rsidRDefault="003B0815" w14:paraId="0D550692" w14:textId="77777777">
            <w:pPr>
              <w:keepNext/>
              <w:jc w:val="center"/>
              <w:rPr>
                <w:rFonts w:ascii="Arial" w:hAnsi="Arial" w:cs="Arial"/>
                <w:b/>
                <w:sz w:val="20"/>
                <w:szCs w:val="20"/>
              </w:rPr>
            </w:pPr>
            <w:r>
              <w:rPr>
                <w:rFonts w:ascii="Arial" w:hAnsi="Arial" w:cs="Arial"/>
                <w:b/>
                <w:sz w:val="20"/>
                <w:szCs w:val="20"/>
              </w:rPr>
              <w:t>424.9</w:t>
            </w:r>
          </w:p>
        </w:tc>
      </w:tr>
      <w:tr w:rsidR="003B0815" w14:paraId="594BB8CA" w14:textId="77777777">
        <w:trPr>
          <w:jc w:val="center"/>
        </w:trPr>
        <w:tc>
          <w:tcPr>
            <w:tcW w:w="891" w:type="dxa"/>
            <w:tcBorders>
              <w:left w:val="single" w:color="auto" w:sz="12" w:space="0"/>
            </w:tcBorders>
            <w:vAlign w:val="bottom"/>
          </w:tcPr>
          <w:p w:rsidR="003B0815" w:rsidRDefault="003B0815" w14:paraId="529E13AE" w14:textId="77777777">
            <w:pPr>
              <w:keepNext/>
              <w:jc w:val="center"/>
              <w:rPr>
                <w:rFonts w:ascii="Arial" w:hAnsi="Arial"/>
                <w:sz w:val="20"/>
                <w:szCs w:val="20"/>
              </w:rPr>
            </w:pPr>
            <w:r>
              <w:rPr>
                <w:rFonts w:ascii="Arial" w:hAnsi="Arial"/>
                <w:sz w:val="20"/>
                <w:szCs w:val="20"/>
              </w:rPr>
              <w:t>5</w:t>
            </w:r>
          </w:p>
        </w:tc>
        <w:tc>
          <w:tcPr>
            <w:tcW w:w="1377" w:type="dxa"/>
            <w:vAlign w:val="bottom"/>
          </w:tcPr>
          <w:p w:rsidR="003B0815" w:rsidRDefault="003B0815" w14:paraId="1565E583" w14:textId="77777777">
            <w:pPr>
              <w:keepNext/>
              <w:jc w:val="center"/>
              <w:rPr>
                <w:rFonts w:ascii="Arial" w:hAnsi="Arial" w:cs="Arial"/>
                <w:sz w:val="20"/>
                <w:szCs w:val="20"/>
              </w:rPr>
            </w:pPr>
            <w:r>
              <w:rPr>
                <w:rFonts w:ascii="Arial" w:hAnsi="Arial" w:cs="Arial"/>
                <w:sz w:val="20"/>
                <w:szCs w:val="20"/>
              </w:rPr>
              <w:t>65.8</w:t>
            </w:r>
          </w:p>
        </w:tc>
        <w:tc>
          <w:tcPr>
            <w:tcW w:w="1619" w:type="dxa"/>
            <w:vAlign w:val="bottom"/>
          </w:tcPr>
          <w:p w:rsidR="003B0815" w:rsidRDefault="003B0815" w14:paraId="01228A44" w14:textId="77777777">
            <w:pPr>
              <w:keepNext/>
              <w:jc w:val="center"/>
              <w:rPr>
                <w:rFonts w:ascii="Arial" w:hAnsi="Arial" w:cs="Arial"/>
                <w:sz w:val="20"/>
                <w:szCs w:val="20"/>
              </w:rPr>
            </w:pPr>
            <w:r>
              <w:rPr>
                <w:rFonts w:ascii="Arial" w:hAnsi="Arial" w:cs="Arial"/>
                <w:sz w:val="20"/>
                <w:szCs w:val="20"/>
              </w:rPr>
              <w:t>157.9</w:t>
            </w:r>
          </w:p>
        </w:tc>
        <w:tc>
          <w:tcPr>
            <w:tcW w:w="2161" w:type="dxa"/>
            <w:vAlign w:val="bottom"/>
          </w:tcPr>
          <w:p w:rsidR="003B0815" w:rsidRDefault="003B0815" w14:paraId="251F049B" w14:textId="77777777">
            <w:pPr>
              <w:keepNext/>
              <w:jc w:val="center"/>
              <w:rPr>
                <w:rFonts w:ascii="Arial" w:hAnsi="Arial" w:cs="Arial"/>
                <w:sz w:val="20"/>
                <w:szCs w:val="20"/>
              </w:rPr>
            </w:pPr>
            <w:r>
              <w:rPr>
                <w:rFonts w:ascii="Arial" w:hAnsi="Arial" w:cs="Arial"/>
                <w:sz w:val="20"/>
                <w:szCs w:val="20"/>
              </w:rPr>
              <w:t>214.9</w:t>
            </w:r>
          </w:p>
        </w:tc>
        <w:tc>
          <w:tcPr>
            <w:tcW w:w="1473" w:type="dxa"/>
            <w:tcBorders>
              <w:right w:val="single" w:color="auto" w:sz="12" w:space="0"/>
            </w:tcBorders>
            <w:shd w:val="clear" w:color="auto" w:fill="CCCCCC"/>
            <w:vAlign w:val="bottom"/>
          </w:tcPr>
          <w:p w:rsidR="003B0815" w:rsidRDefault="003B0815" w14:paraId="3200871A" w14:textId="77777777">
            <w:pPr>
              <w:keepNext/>
              <w:jc w:val="center"/>
              <w:rPr>
                <w:rFonts w:ascii="Arial" w:hAnsi="Arial" w:cs="Arial"/>
                <w:b/>
                <w:sz w:val="20"/>
                <w:szCs w:val="20"/>
              </w:rPr>
            </w:pPr>
            <w:r>
              <w:rPr>
                <w:rFonts w:ascii="Arial" w:hAnsi="Arial" w:cs="Arial"/>
                <w:b/>
                <w:sz w:val="20"/>
                <w:szCs w:val="20"/>
              </w:rPr>
              <w:t>438.6</w:t>
            </w:r>
          </w:p>
        </w:tc>
      </w:tr>
      <w:tr w:rsidR="003B0815" w14:paraId="7C654111" w14:textId="77777777">
        <w:trPr>
          <w:jc w:val="center"/>
        </w:trPr>
        <w:tc>
          <w:tcPr>
            <w:tcW w:w="891" w:type="dxa"/>
            <w:tcBorders>
              <w:left w:val="single" w:color="auto" w:sz="12" w:space="0"/>
            </w:tcBorders>
            <w:vAlign w:val="bottom"/>
          </w:tcPr>
          <w:p w:rsidR="003B0815" w:rsidRDefault="003B0815" w14:paraId="48FCF264" w14:textId="77777777">
            <w:pPr>
              <w:keepNext/>
              <w:jc w:val="center"/>
              <w:rPr>
                <w:rFonts w:ascii="Arial" w:hAnsi="Arial"/>
                <w:sz w:val="20"/>
                <w:szCs w:val="20"/>
              </w:rPr>
            </w:pPr>
            <w:r>
              <w:rPr>
                <w:rFonts w:ascii="Arial" w:hAnsi="Arial"/>
                <w:sz w:val="20"/>
                <w:szCs w:val="20"/>
              </w:rPr>
              <w:t>6</w:t>
            </w:r>
          </w:p>
        </w:tc>
        <w:tc>
          <w:tcPr>
            <w:tcW w:w="1377" w:type="dxa"/>
            <w:vAlign w:val="bottom"/>
          </w:tcPr>
          <w:p w:rsidR="003B0815" w:rsidRDefault="003B0815" w14:paraId="2AEBAFC2" w14:textId="77777777">
            <w:pPr>
              <w:keepNext/>
              <w:jc w:val="center"/>
              <w:rPr>
                <w:rFonts w:ascii="Arial" w:hAnsi="Arial" w:cs="Arial"/>
                <w:sz w:val="20"/>
                <w:szCs w:val="20"/>
              </w:rPr>
            </w:pPr>
            <w:r>
              <w:rPr>
                <w:rFonts w:ascii="Arial" w:hAnsi="Arial" w:cs="Arial"/>
                <w:sz w:val="20"/>
                <w:szCs w:val="20"/>
              </w:rPr>
              <w:t>67.9</w:t>
            </w:r>
          </w:p>
        </w:tc>
        <w:tc>
          <w:tcPr>
            <w:tcW w:w="1619" w:type="dxa"/>
            <w:vAlign w:val="bottom"/>
          </w:tcPr>
          <w:p w:rsidR="003B0815" w:rsidRDefault="003B0815" w14:paraId="2EC27F9E" w14:textId="77777777">
            <w:pPr>
              <w:keepNext/>
              <w:jc w:val="center"/>
              <w:rPr>
                <w:rFonts w:ascii="Arial" w:hAnsi="Arial" w:cs="Arial"/>
                <w:sz w:val="20"/>
                <w:szCs w:val="20"/>
              </w:rPr>
            </w:pPr>
            <w:r>
              <w:rPr>
                <w:rFonts w:ascii="Arial" w:hAnsi="Arial" w:cs="Arial"/>
                <w:sz w:val="20"/>
                <w:szCs w:val="20"/>
              </w:rPr>
              <w:t>162.9</w:t>
            </w:r>
          </w:p>
        </w:tc>
        <w:tc>
          <w:tcPr>
            <w:tcW w:w="2161" w:type="dxa"/>
            <w:vAlign w:val="bottom"/>
          </w:tcPr>
          <w:p w:rsidR="003B0815" w:rsidRDefault="003B0815" w14:paraId="76A69794" w14:textId="77777777">
            <w:pPr>
              <w:keepNext/>
              <w:jc w:val="center"/>
              <w:rPr>
                <w:rFonts w:ascii="Arial" w:hAnsi="Arial" w:cs="Arial"/>
                <w:sz w:val="20"/>
                <w:szCs w:val="20"/>
              </w:rPr>
            </w:pPr>
            <w:r>
              <w:rPr>
                <w:rFonts w:ascii="Arial" w:hAnsi="Arial" w:cs="Arial"/>
                <w:sz w:val="20"/>
                <w:szCs w:val="20"/>
              </w:rPr>
              <w:t>221.7</w:t>
            </w:r>
          </w:p>
        </w:tc>
        <w:tc>
          <w:tcPr>
            <w:tcW w:w="1473" w:type="dxa"/>
            <w:tcBorders>
              <w:right w:val="single" w:color="auto" w:sz="12" w:space="0"/>
            </w:tcBorders>
            <w:shd w:val="clear" w:color="auto" w:fill="CCCCCC"/>
            <w:vAlign w:val="bottom"/>
          </w:tcPr>
          <w:p w:rsidR="003B0815" w:rsidRDefault="003B0815" w14:paraId="7011F808" w14:textId="77777777">
            <w:pPr>
              <w:keepNext/>
              <w:jc w:val="center"/>
              <w:rPr>
                <w:rFonts w:ascii="Arial" w:hAnsi="Arial" w:cs="Arial"/>
                <w:b/>
                <w:sz w:val="20"/>
                <w:szCs w:val="20"/>
              </w:rPr>
            </w:pPr>
            <w:r>
              <w:rPr>
                <w:rFonts w:ascii="Arial" w:hAnsi="Arial" w:cs="Arial"/>
                <w:b/>
                <w:sz w:val="20"/>
                <w:szCs w:val="20"/>
              </w:rPr>
              <w:t>452.4</w:t>
            </w:r>
          </w:p>
        </w:tc>
      </w:tr>
      <w:tr w:rsidR="003B0815" w14:paraId="5674A3B5" w14:textId="77777777">
        <w:trPr>
          <w:jc w:val="center"/>
        </w:trPr>
        <w:tc>
          <w:tcPr>
            <w:tcW w:w="891" w:type="dxa"/>
            <w:tcBorders>
              <w:left w:val="single" w:color="auto" w:sz="12" w:space="0"/>
            </w:tcBorders>
            <w:vAlign w:val="bottom"/>
          </w:tcPr>
          <w:p w:rsidR="003B0815" w:rsidRDefault="003B0815" w14:paraId="537E143F" w14:textId="77777777">
            <w:pPr>
              <w:keepNext/>
              <w:jc w:val="center"/>
              <w:rPr>
                <w:rFonts w:ascii="Arial" w:hAnsi="Arial"/>
                <w:sz w:val="20"/>
                <w:szCs w:val="20"/>
              </w:rPr>
            </w:pPr>
            <w:r>
              <w:rPr>
                <w:rFonts w:ascii="Arial" w:hAnsi="Arial"/>
                <w:sz w:val="20"/>
                <w:szCs w:val="20"/>
              </w:rPr>
              <w:t>7</w:t>
            </w:r>
          </w:p>
        </w:tc>
        <w:tc>
          <w:tcPr>
            <w:tcW w:w="1377" w:type="dxa"/>
            <w:vAlign w:val="bottom"/>
          </w:tcPr>
          <w:p w:rsidR="003B0815" w:rsidRDefault="003B0815" w14:paraId="26DBA475" w14:textId="77777777">
            <w:pPr>
              <w:keepNext/>
              <w:jc w:val="center"/>
              <w:rPr>
                <w:rFonts w:ascii="Arial" w:hAnsi="Arial" w:cs="Arial"/>
                <w:sz w:val="20"/>
                <w:szCs w:val="20"/>
              </w:rPr>
            </w:pPr>
            <w:r>
              <w:rPr>
                <w:rFonts w:ascii="Arial" w:hAnsi="Arial" w:cs="Arial"/>
                <w:sz w:val="20"/>
                <w:szCs w:val="20"/>
              </w:rPr>
              <w:t>70.1</w:t>
            </w:r>
          </w:p>
        </w:tc>
        <w:tc>
          <w:tcPr>
            <w:tcW w:w="1619" w:type="dxa"/>
            <w:vAlign w:val="bottom"/>
          </w:tcPr>
          <w:p w:rsidR="003B0815" w:rsidRDefault="003B0815" w14:paraId="5340E1BD" w14:textId="77777777">
            <w:pPr>
              <w:keepNext/>
              <w:jc w:val="center"/>
              <w:rPr>
                <w:rFonts w:ascii="Arial" w:hAnsi="Arial" w:cs="Arial"/>
                <w:sz w:val="20"/>
                <w:szCs w:val="20"/>
              </w:rPr>
            </w:pPr>
            <w:r>
              <w:rPr>
                <w:rFonts w:ascii="Arial" w:hAnsi="Arial" w:cs="Arial"/>
                <w:sz w:val="20"/>
                <w:szCs w:val="20"/>
              </w:rPr>
              <w:t>168.2</w:t>
            </w:r>
          </w:p>
        </w:tc>
        <w:tc>
          <w:tcPr>
            <w:tcW w:w="2161" w:type="dxa"/>
            <w:vAlign w:val="bottom"/>
          </w:tcPr>
          <w:p w:rsidR="003B0815" w:rsidRDefault="003B0815" w14:paraId="7B20E334" w14:textId="77777777">
            <w:pPr>
              <w:keepNext/>
              <w:jc w:val="center"/>
              <w:rPr>
                <w:rFonts w:ascii="Arial" w:hAnsi="Arial" w:cs="Arial"/>
                <w:sz w:val="20"/>
                <w:szCs w:val="20"/>
              </w:rPr>
            </w:pPr>
            <w:r>
              <w:rPr>
                <w:rFonts w:ascii="Arial" w:hAnsi="Arial" w:cs="Arial"/>
                <w:sz w:val="20"/>
                <w:szCs w:val="20"/>
              </w:rPr>
              <w:t>228.9</w:t>
            </w:r>
          </w:p>
        </w:tc>
        <w:tc>
          <w:tcPr>
            <w:tcW w:w="1473" w:type="dxa"/>
            <w:tcBorders>
              <w:right w:val="single" w:color="auto" w:sz="12" w:space="0"/>
            </w:tcBorders>
            <w:shd w:val="clear" w:color="auto" w:fill="CCCCCC"/>
            <w:vAlign w:val="bottom"/>
          </w:tcPr>
          <w:p w:rsidR="003B0815" w:rsidRDefault="003B0815" w14:paraId="37B93009" w14:textId="77777777">
            <w:pPr>
              <w:keepNext/>
              <w:jc w:val="center"/>
              <w:rPr>
                <w:rFonts w:ascii="Arial" w:hAnsi="Arial" w:cs="Arial"/>
                <w:b/>
                <w:sz w:val="20"/>
                <w:szCs w:val="20"/>
              </w:rPr>
            </w:pPr>
            <w:r>
              <w:rPr>
                <w:rFonts w:ascii="Arial" w:hAnsi="Arial" w:cs="Arial"/>
                <w:b/>
                <w:sz w:val="20"/>
                <w:szCs w:val="20"/>
              </w:rPr>
              <w:t>467.1</w:t>
            </w:r>
          </w:p>
        </w:tc>
      </w:tr>
      <w:tr w:rsidR="003B0815" w14:paraId="47EFC59A" w14:textId="77777777">
        <w:trPr>
          <w:jc w:val="center"/>
        </w:trPr>
        <w:tc>
          <w:tcPr>
            <w:tcW w:w="891" w:type="dxa"/>
            <w:tcBorders>
              <w:left w:val="single" w:color="auto" w:sz="12" w:space="0"/>
            </w:tcBorders>
            <w:vAlign w:val="bottom"/>
          </w:tcPr>
          <w:p w:rsidR="003B0815" w:rsidRDefault="003B0815" w14:paraId="53B939CF" w14:textId="77777777">
            <w:pPr>
              <w:keepNext/>
              <w:jc w:val="center"/>
              <w:rPr>
                <w:rFonts w:ascii="Arial" w:hAnsi="Arial"/>
                <w:sz w:val="20"/>
                <w:szCs w:val="20"/>
              </w:rPr>
            </w:pPr>
            <w:r>
              <w:rPr>
                <w:rFonts w:ascii="Arial" w:hAnsi="Arial"/>
                <w:sz w:val="20"/>
                <w:szCs w:val="20"/>
              </w:rPr>
              <w:t>8</w:t>
            </w:r>
          </w:p>
        </w:tc>
        <w:tc>
          <w:tcPr>
            <w:tcW w:w="1377" w:type="dxa"/>
            <w:vAlign w:val="bottom"/>
          </w:tcPr>
          <w:p w:rsidR="003B0815" w:rsidRDefault="003B0815" w14:paraId="03EB98FD" w14:textId="77777777">
            <w:pPr>
              <w:keepNext/>
              <w:jc w:val="center"/>
              <w:rPr>
                <w:rFonts w:ascii="Arial" w:hAnsi="Arial" w:cs="Arial"/>
                <w:sz w:val="20"/>
                <w:szCs w:val="20"/>
              </w:rPr>
            </w:pPr>
            <w:r>
              <w:rPr>
                <w:rFonts w:ascii="Arial" w:hAnsi="Arial" w:cs="Arial"/>
                <w:sz w:val="20"/>
                <w:szCs w:val="20"/>
              </w:rPr>
              <w:t>72.3</w:t>
            </w:r>
          </w:p>
        </w:tc>
        <w:tc>
          <w:tcPr>
            <w:tcW w:w="1619" w:type="dxa"/>
            <w:vAlign w:val="bottom"/>
          </w:tcPr>
          <w:p w:rsidR="003B0815" w:rsidRDefault="003B0815" w14:paraId="0058CCC6" w14:textId="77777777">
            <w:pPr>
              <w:keepNext/>
              <w:jc w:val="center"/>
              <w:rPr>
                <w:rFonts w:ascii="Arial" w:hAnsi="Arial" w:cs="Arial"/>
                <w:sz w:val="20"/>
                <w:szCs w:val="20"/>
              </w:rPr>
            </w:pPr>
            <w:r>
              <w:rPr>
                <w:rFonts w:ascii="Arial" w:hAnsi="Arial" w:cs="Arial"/>
                <w:sz w:val="20"/>
                <w:szCs w:val="20"/>
              </w:rPr>
              <w:t>173.6</w:t>
            </w:r>
          </w:p>
        </w:tc>
        <w:tc>
          <w:tcPr>
            <w:tcW w:w="2161" w:type="dxa"/>
            <w:vAlign w:val="bottom"/>
          </w:tcPr>
          <w:p w:rsidR="003B0815" w:rsidRDefault="003B0815" w14:paraId="69B47782" w14:textId="77777777">
            <w:pPr>
              <w:keepNext/>
              <w:jc w:val="center"/>
              <w:rPr>
                <w:rFonts w:ascii="Arial" w:hAnsi="Arial" w:cs="Arial"/>
                <w:sz w:val="20"/>
                <w:szCs w:val="20"/>
              </w:rPr>
            </w:pPr>
            <w:r>
              <w:rPr>
                <w:rFonts w:ascii="Arial" w:hAnsi="Arial" w:cs="Arial"/>
                <w:sz w:val="20"/>
                <w:szCs w:val="20"/>
              </w:rPr>
              <w:t>236.3</w:t>
            </w:r>
          </w:p>
        </w:tc>
        <w:tc>
          <w:tcPr>
            <w:tcW w:w="1473" w:type="dxa"/>
            <w:tcBorders>
              <w:right w:val="single" w:color="auto" w:sz="12" w:space="0"/>
            </w:tcBorders>
            <w:shd w:val="clear" w:color="auto" w:fill="CCCCCC"/>
            <w:vAlign w:val="bottom"/>
          </w:tcPr>
          <w:p w:rsidR="003B0815" w:rsidRDefault="003B0815" w14:paraId="4B599D2E" w14:textId="77777777">
            <w:pPr>
              <w:keepNext/>
              <w:jc w:val="center"/>
              <w:rPr>
                <w:rFonts w:ascii="Arial" w:hAnsi="Arial" w:cs="Arial"/>
                <w:b/>
                <w:sz w:val="20"/>
                <w:szCs w:val="20"/>
              </w:rPr>
            </w:pPr>
            <w:r>
              <w:rPr>
                <w:rFonts w:ascii="Arial" w:hAnsi="Arial" w:cs="Arial"/>
                <w:b/>
                <w:sz w:val="20"/>
                <w:szCs w:val="20"/>
              </w:rPr>
              <w:t>482.3</w:t>
            </w:r>
          </w:p>
        </w:tc>
      </w:tr>
      <w:tr w:rsidR="003B0815" w14:paraId="0C859101" w14:textId="77777777">
        <w:trPr>
          <w:jc w:val="center"/>
        </w:trPr>
        <w:tc>
          <w:tcPr>
            <w:tcW w:w="891" w:type="dxa"/>
            <w:tcBorders>
              <w:left w:val="single" w:color="auto" w:sz="12" w:space="0"/>
            </w:tcBorders>
            <w:vAlign w:val="bottom"/>
          </w:tcPr>
          <w:p w:rsidR="003B0815" w:rsidRDefault="003B0815" w14:paraId="547C8142" w14:textId="77777777">
            <w:pPr>
              <w:keepNext/>
              <w:jc w:val="center"/>
              <w:rPr>
                <w:rFonts w:ascii="Arial" w:hAnsi="Arial"/>
                <w:sz w:val="20"/>
                <w:szCs w:val="20"/>
              </w:rPr>
            </w:pPr>
            <w:r>
              <w:rPr>
                <w:rFonts w:ascii="Arial" w:hAnsi="Arial"/>
                <w:sz w:val="20"/>
                <w:szCs w:val="20"/>
              </w:rPr>
              <w:t>9</w:t>
            </w:r>
          </w:p>
        </w:tc>
        <w:tc>
          <w:tcPr>
            <w:tcW w:w="1377" w:type="dxa"/>
            <w:vAlign w:val="bottom"/>
          </w:tcPr>
          <w:p w:rsidR="003B0815" w:rsidRDefault="003B0815" w14:paraId="4777926C" w14:textId="77777777">
            <w:pPr>
              <w:keepNext/>
              <w:jc w:val="center"/>
              <w:rPr>
                <w:rFonts w:ascii="Arial" w:hAnsi="Arial" w:cs="Arial"/>
                <w:sz w:val="20"/>
                <w:szCs w:val="20"/>
              </w:rPr>
            </w:pPr>
            <w:r>
              <w:rPr>
                <w:rFonts w:ascii="Arial" w:hAnsi="Arial" w:cs="Arial"/>
                <w:sz w:val="20"/>
                <w:szCs w:val="20"/>
              </w:rPr>
              <w:t>74.7</w:t>
            </w:r>
          </w:p>
        </w:tc>
        <w:tc>
          <w:tcPr>
            <w:tcW w:w="1619" w:type="dxa"/>
            <w:vAlign w:val="bottom"/>
          </w:tcPr>
          <w:p w:rsidR="003B0815" w:rsidRDefault="003B0815" w14:paraId="51392415" w14:textId="77777777">
            <w:pPr>
              <w:keepNext/>
              <w:jc w:val="center"/>
              <w:rPr>
                <w:rFonts w:ascii="Arial" w:hAnsi="Arial" w:cs="Arial"/>
                <w:sz w:val="20"/>
                <w:szCs w:val="20"/>
              </w:rPr>
            </w:pPr>
            <w:r>
              <w:rPr>
                <w:rFonts w:ascii="Arial" w:hAnsi="Arial" w:cs="Arial"/>
                <w:sz w:val="20"/>
                <w:szCs w:val="20"/>
              </w:rPr>
              <w:t>179.4</w:t>
            </w:r>
          </w:p>
        </w:tc>
        <w:tc>
          <w:tcPr>
            <w:tcW w:w="2161" w:type="dxa"/>
            <w:vAlign w:val="bottom"/>
          </w:tcPr>
          <w:p w:rsidR="003B0815" w:rsidRDefault="003B0815" w14:paraId="182A1438" w14:textId="77777777">
            <w:pPr>
              <w:keepNext/>
              <w:jc w:val="center"/>
              <w:rPr>
                <w:rFonts w:ascii="Arial" w:hAnsi="Arial" w:cs="Arial"/>
                <w:sz w:val="20"/>
                <w:szCs w:val="20"/>
              </w:rPr>
            </w:pPr>
            <w:r>
              <w:rPr>
                <w:rFonts w:ascii="Arial" w:hAnsi="Arial" w:cs="Arial"/>
                <w:sz w:val="20"/>
                <w:szCs w:val="20"/>
              </w:rPr>
              <w:t>244.2</w:t>
            </w:r>
          </w:p>
        </w:tc>
        <w:tc>
          <w:tcPr>
            <w:tcW w:w="1473" w:type="dxa"/>
            <w:tcBorders>
              <w:right w:val="single" w:color="auto" w:sz="12" w:space="0"/>
            </w:tcBorders>
            <w:shd w:val="clear" w:color="auto" w:fill="CCCCCC"/>
            <w:vAlign w:val="bottom"/>
          </w:tcPr>
          <w:p w:rsidR="003B0815" w:rsidRDefault="003B0815" w14:paraId="215672F9" w14:textId="77777777">
            <w:pPr>
              <w:keepNext/>
              <w:jc w:val="center"/>
              <w:rPr>
                <w:rFonts w:ascii="Arial" w:hAnsi="Arial" w:cs="Arial"/>
                <w:b/>
                <w:sz w:val="20"/>
                <w:szCs w:val="20"/>
              </w:rPr>
            </w:pPr>
            <w:r>
              <w:rPr>
                <w:rFonts w:ascii="Arial" w:hAnsi="Arial" w:cs="Arial"/>
                <w:b/>
                <w:sz w:val="20"/>
                <w:szCs w:val="20"/>
              </w:rPr>
              <w:t>498.3</w:t>
            </w:r>
          </w:p>
        </w:tc>
      </w:tr>
      <w:tr w:rsidR="003B0815" w14:paraId="52D9F6F7" w14:textId="77777777">
        <w:trPr>
          <w:jc w:val="center"/>
        </w:trPr>
        <w:tc>
          <w:tcPr>
            <w:tcW w:w="891" w:type="dxa"/>
            <w:tcBorders>
              <w:left w:val="single" w:color="auto" w:sz="12" w:space="0"/>
              <w:bottom w:val="single" w:color="auto" w:sz="12" w:space="0"/>
            </w:tcBorders>
            <w:vAlign w:val="bottom"/>
          </w:tcPr>
          <w:p w:rsidR="003B0815" w:rsidRDefault="003B0815" w14:paraId="7B187EF8" w14:textId="77777777">
            <w:pPr>
              <w:keepNext/>
              <w:jc w:val="center"/>
              <w:rPr>
                <w:rFonts w:ascii="Arial" w:hAnsi="Arial"/>
                <w:sz w:val="20"/>
                <w:szCs w:val="20"/>
              </w:rPr>
            </w:pPr>
            <w:r>
              <w:rPr>
                <w:rFonts w:ascii="Arial" w:hAnsi="Arial"/>
                <w:sz w:val="20"/>
                <w:szCs w:val="20"/>
              </w:rPr>
              <w:t>10</w:t>
            </w:r>
          </w:p>
        </w:tc>
        <w:tc>
          <w:tcPr>
            <w:tcW w:w="1377" w:type="dxa"/>
            <w:tcBorders>
              <w:bottom w:val="single" w:color="auto" w:sz="12" w:space="0"/>
            </w:tcBorders>
            <w:vAlign w:val="bottom"/>
          </w:tcPr>
          <w:p w:rsidR="003B0815" w:rsidRDefault="003B0815" w14:paraId="75CBE55B" w14:textId="77777777">
            <w:pPr>
              <w:keepNext/>
              <w:jc w:val="center"/>
              <w:rPr>
                <w:rFonts w:ascii="Arial" w:hAnsi="Arial" w:cs="Arial"/>
                <w:sz w:val="20"/>
                <w:szCs w:val="20"/>
              </w:rPr>
            </w:pPr>
            <w:r>
              <w:rPr>
                <w:rFonts w:ascii="Arial" w:hAnsi="Arial" w:cs="Arial"/>
                <w:sz w:val="20"/>
                <w:szCs w:val="20"/>
              </w:rPr>
              <w:t>77.3</w:t>
            </w:r>
          </w:p>
        </w:tc>
        <w:tc>
          <w:tcPr>
            <w:tcW w:w="1619" w:type="dxa"/>
            <w:tcBorders>
              <w:bottom w:val="single" w:color="auto" w:sz="12" w:space="0"/>
            </w:tcBorders>
            <w:vAlign w:val="bottom"/>
          </w:tcPr>
          <w:p w:rsidR="003B0815" w:rsidRDefault="003B0815" w14:paraId="2A2AB83D" w14:textId="77777777">
            <w:pPr>
              <w:keepNext/>
              <w:jc w:val="center"/>
              <w:rPr>
                <w:rFonts w:ascii="Arial" w:hAnsi="Arial" w:cs="Arial"/>
                <w:sz w:val="20"/>
                <w:szCs w:val="20"/>
              </w:rPr>
            </w:pPr>
            <w:r>
              <w:rPr>
                <w:rFonts w:ascii="Arial" w:hAnsi="Arial" w:cs="Arial"/>
                <w:sz w:val="20"/>
                <w:szCs w:val="20"/>
              </w:rPr>
              <w:t>185.4</w:t>
            </w:r>
          </w:p>
        </w:tc>
        <w:tc>
          <w:tcPr>
            <w:tcW w:w="2161" w:type="dxa"/>
            <w:tcBorders>
              <w:bottom w:val="single" w:color="auto" w:sz="12" w:space="0"/>
            </w:tcBorders>
            <w:vAlign w:val="bottom"/>
          </w:tcPr>
          <w:p w:rsidR="003B0815" w:rsidRDefault="003B0815" w14:paraId="43EAD074" w14:textId="77777777">
            <w:pPr>
              <w:keepNext/>
              <w:jc w:val="center"/>
              <w:rPr>
                <w:rFonts w:ascii="Arial" w:hAnsi="Arial" w:cs="Arial"/>
                <w:sz w:val="20"/>
                <w:szCs w:val="20"/>
              </w:rPr>
            </w:pPr>
            <w:r>
              <w:rPr>
                <w:rFonts w:ascii="Arial" w:hAnsi="Arial" w:cs="Arial"/>
                <w:sz w:val="20"/>
                <w:szCs w:val="20"/>
              </w:rPr>
              <w:t>252.4</w:t>
            </w:r>
          </w:p>
        </w:tc>
        <w:tc>
          <w:tcPr>
            <w:tcW w:w="1473" w:type="dxa"/>
            <w:tcBorders>
              <w:bottom w:val="single" w:color="auto" w:sz="12" w:space="0"/>
              <w:right w:val="single" w:color="auto" w:sz="12" w:space="0"/>
            </w:tcBorders>
            <w:shd w:val="clear" w:color="auto" w:fill="CCCCCC"/>
            <w:vAlign w:val="bottom"/>
          </w:tcPr>
          <w:p w:rsidR="003B0815" w:rsidRDefault="003B0815" w14:paraId="224BD93E" w14:textId="77777777">
            <w:pPr>
              <w:keepNext/>
              <w:jc w:val="center"/>
              <w:rPr>
                <w:rFonts w:ascii="Arial" w:hAnsi="Arial" w:cs="Arial"/>
                <w:b/>
                <w:sz w:val="20"/>
                <w:szCs w:val="20"/>
              </w:rPr>
            </w:pPr>
            <w:r>
              <w:rPr>
                <w:rFonts w:ascii="Arial" w:hAnsi="Arial" w:cs="Arial"/>
                <w:b/>
                <w:sz w:val="20"/>
                <w:szCs w:val="20"/>
              </w:rPr>
              <w:t>515.0</w:t>
            </w:r>
          </w:p>
        </w:tc>
      </w:tr>
      <w:tr w:rsidR="003B0815" w14:paraId="64A8C364" w14:textId="77777777">
        <w:trPr>
          <w:jc w:val="center"/>
        </w:trPr>
        <w:tc>
          <w:tcPr>
            <w:tcW w:w="7521" w:type="dxa"/>
            <w:gridSpan w:val="5"/>
            <w:tcBorders>
              <w:top w:val="single" w:color="auto" w:sz="12" w:space="0"/>
              <w:left w:val="nil"/>
              <w:bottom w:val="nil"/>
              <w:right w:val="nil"/>
            </w:tcBorders>
            <w:vAlign w:val="bottom"/>
          </w:tcPr>
          <w:p w:rsidR="003B0815" w:rsidRDefault="003B0815" w14:paraId="0EE43A99" w14:textId="77777777">
            <w:pPr>
              <w:keepNext/>
              <w:rPr>
                <w:rFonts w:ascii="Arial" w:hAnsi="Arial" w:cs="Arial"/>
                <w:sz w:val="20"/>
                <w:szCs w:val="20"/>
              </w:rPr>
            </w:pPr>
            <w:r>
              <w:rPr>
                <w:rFonts w:ascii="Arial" w:hAnsi="Arial" w:cs="Arial"/>
                <w:sz w:val="20"/>
                <w:szCs w:val="20"/>
              </w:rPr>
              <w:t>* Totals may not sum due to rounding.</w:t>
            </w:r>
          </w:p>
        </w:tc>
      </w:tr>
    </w:tbl>
    <w:p w:rsidR="003B0815" w:rsidRDefault="003B0815" w14:paraId="395CBBEE" w14:textId="77777777">
      <w:pPr>
        <w:spacing w:line="360" w:lineRule="auto"/>
        <w:ind w:firstLine="720"/>
      </w:pPr>
    </w:p>
    <w:p w:rsidR="003B0815" w:rsidRDefault="003B0815" w14:paraId="35A262D1" w14:textId="77777777">
      <w:pPr>
        <w:spacing w:line="360" w:lineRule="auto"/>
        <w:ind w:firstLine="720"/>
      </w:pPr>
      <w:r>
        <w:t>While there is no standardized format for reservations accepted throughout the air travel industry, very few travel agents or airlines currently request a passenger’s full name, date of birth, and gender, Redress Number, Known Traveler Number or passport information as required under this regulation.  Analysis of the June 2004 PNRs submitted by the airlines revealed that many PNRs did contain both a first and last name.  Middle names or initials were often included in the first name field, however, and date of birth was rarely present at all.</w:t>
      </w:r>
    </w:p>
    <w:p w:rsidR="003B0815" w:rsidRDefault="003B0815" w14:paraId="31B5BF19" w14:textId="77777777">
      <w:pPr>
        <w:spacing w:line="360" w:lineRule="auto"/>
        <w:ind w:firstLine="720"/>
      </w:pPr>
      <w:r>
        <w:t>Booking systems that do not currently have unique fields for each of these data elements need to be reprogrammed in order to accept them.  This work will be done largely by the GDSs and host ARSs that maintain reservation systems for airlines subscribing to such services.  The GDSs and host ARSs will then bill these charges back to the airlines.  Additional reprogramming may be required specifically of airlines and travel agencies to accept this information in their customer databases.  These costs are discussed in section 1.6.2.</w:t>
      </w:r>
    </w:p>
    <w:p w:rsidR="003B0815" w:rsidRDefault="003B0815" w14:paraId="2470ED63" w14:textId="77777777">
      <w:pPr>
        <w:spacing w:line="360" w:lineRule="auto"/>
        <w:ind w:firstLine="720"/>
      </w:pPr>
      <w:r>
        <w:t xml:space="preserve">ASTA representatives informed TSA that nearly all travel agencies maintain databases containing customer profiles.  When asked about likely travel agent responses to the addition of one or two passenger data elements to the air reservation process, ASTA indicated most travel agencies find it more cost-effective to collect this information when their clients book their next trip.  ASTA also indicated, however, that some corporate travel agencies may attempt to contact business travelers, asking them to update their profiles prior to their next booking.  ASTA pointed out that such an outreach will likely be cost-effective only for a small number of firms.  As </w:t>
      </w:r>
      <w:bookmarkStart w:name="OLE_LINK22" w:id="143"/>
      <w:bookmarkStart w:name="OLE_LINK25" w:id="144"/>
      <w:r>
        <w:t>TSA has quantified both the anticipated cost for travel agencies to request the additional information and for their clients to provide it, TSA believes the remaining unquantified cost will be small.</w:t>
      </w:r>
      <w:bookmarkEnd w:id="143"/>
      <w:bookmarkEnd w:id="144"/>
    </w:p>
    <w:p w:rsidR="003B0815" w:rsidRDefault="003B0815" w14:paraId="1B4FB77F" w14:textId="77777777">
      <w:pPr>
        <w:spacing w:line="360" w:lineRule="auto"/>
        <w:ind w:firstLine="720"/>
      </w:pPr>
      <w:r>
        <w:t>Given the absence of data on profiles retained by travel agencies, customer loyalty to a particular form of booking air travel, and an estimate of repeat travelers, TSA assumed for the purposes of this evaluation that all passengers will be asked to provide their full names, dates of birth, genders, and Redress Numbers when making air travel reservations.  TSA developed three scenarios to capture the range of potential impacts to airlines and travel agents of the data collection requirements in the rule.</w:t>
      </w:r>
      <w:r>
        <w:rPr>
          <w:rStyle w:val="FootnoteReference"/>
        </w:rPr>
        <w:footnoteReference w:id="23"/>
      </w:r>
      <w:r>
        <w:t xml:space="preserve">  TSA assumed that these burdens to be more significant for reservations made via telephone than those booked online because information must be relayed between the reservation agent and passenger.  Consequently, TSA assumed for all online reservations an additional 10 seconds per reservation is required for passengers to provide the requested information.  The scenarios, described below, thus address the uncertainty surrounding reservations made over the telephone.</w:t>
      </w:r>
    </w:p>
    <w:p w:rsidR="003B0815" w:rsidRDefault="003B0815" w14:paraId="5C3F5661" w14:textId="77777777">
      <w:pPr>
        <w:spacing w:line="360" w:lineRule="auto"/>
        <w:ind w:firstLine="720"/>
      </w:pPr>
      <w:r>
        <w:t>Requesting and collecting additional data elements during telephone reservations lengthens the time to complete those reservations.  Airlines and travel agents informed TSA that they closely monitor their telephone reservation process, assigning an undisclosed cost to each second a reservation extends beyond an optimum time.  According to industry information from ASTA, many travel agents facilitate this process by utilizing “scripts,” software code that prompts the agent word-for-word through the reservation process based on the information they enter into the booking system.  Any change to the reservation process requires reprogramming of these scripts.  Both airlines and travel agents use these time targets to make a variety of operational decisions.  Stakeholder representatives said that extending the time required to complete an average reservation will be costly.  Neither group provided estimates to TSA, however, that would allow for actual quantification of this impact.  Passengers listening to the request and deciding whether to provide the additional information also incur opportunity costs in the form of lost time.</w:t>
      </w:r>
    </w:p>
    <w:p w:rsidR="003B0815" w:rsidRDefault="003B0815" w14:paraId="04E1BFE0" w14:textId="77777777">
      <w:pPr>
        <w:spacing w:line="360" w:lineRule="auto"/>
        <w:ind w:firstLine="720"/>
      </w:pPr>
      <w:r>
        <w:t>To account for these costs, TSA estimated the additional time needed to request and provide the additional information to be an average of 25 seconds per reservation.  This forms TSA’s primary estimate.  For its low scenario, TSA assumed the information collection add only 20 seconds to each telephone reservation.  TSA assumed in the high scenario that the information collection adds 30 seconds to each telephone reservation.</w:t>
      </w:r>
    </w:p>
    <w:p w:rsidR="003B0815" w:rsidRDefault="003B0815" w14:paraId="638AB8C8" w14:textId="77777777">
      <w:pPr>
        <w:spacing w:line="360" w:lineRule="auto"/>
        <w:ind w:firstLine="720"/>
      </w:pPr>
      <w:r>
        <w:t>Since airline reservation agents will collect personal information from passengers and share that information with the Federal Government, the rule requires airlines to make available to passengers before collecting their information a privacy notice on a website or self-service kiosk.  TSA also will post a copy of the notice on its own website.  Airlines and internet reservation sites will then duplicate this notice on their own privacy pages or provide a link to the notice on TSA’s website.  Many online booking systems have privacy notices already built into the reservations process for their own purposes; thus, TSA determined that adding the TSA privacy notice to these existing notices have little impact on either those systems or their customers.  As a result, TSA assumed provision of a privacy notice adds no appreciable time to reservations.</w:t>
      </w:r>
    </w:p>
    <w:p w:rsidR="003B0815" w:rsidRDefault="003B0815" w14:paraId="5BDFCAA3" w14:textId="77777777">
      <w:pPr>
        <w:spacing w:line="360" w:lineRule="auto"/>
        <w:ind w:firstLine="720"/>
      </w:pPr>
      <w:r>
        <w:t>The discussion in this section applies to carriers in Implementation Groups 1-3 but cannot be extended to carriers in Group 4 because not all carriers in this group accept reservations in the same manner as those discussed above.  Some are scheduled service carriers that accept reservations from the public through their company websites or call center, while others are public charter operations and only accept reservations through a tour operator.  A few operate as a combination, providing limited scheduled service and accepting charter reservations.  In the case of a charter reservation, the carrier does not receive individual passenger reservations.  Instead, the tour operator or group chartering the aircraft submits information for a full planeload of passengers in a passenger manifest.  Consequently, charter-only operators do not have their own reservation systems but instead receive these manifests two to three days prior to a flight.</w:t>
      </w:r>
      <w:bookmarkStart w:name="_Ref139607930" w:id="145"/>
      <w:r>
        <w:rPr>
          <w:rStyle w:val="FootnoteReference"/>
        </w:rPr>
        <w:footnoteReference w:id="24"/>
      </w:r>
      <w:bookmarkEnd w:id="145"/>
      <w:r>
        <w:t xml:space="preserve">  Per the Final Rule, covered aircraft operators performing private charter operations may submit voluntarily the SFPD for their passengers to TSA.</w:t>
      </w:r>
    </w:p>
    <w:p w:rsidR="003B0815" w:rsidRDefault="003B0815" w14:paraId="336DC454" w14:textId="77777777">
      <w:pPr>
        <w:spacing w:line="360" w:lineRule="auto"/>
        <w:ind w:firstLine="720"/>
      </w:pPr>
      <w:r>
        <w:t>Due to these differences, TSA has treated reservations for these Group 4 carriers separately from those of Carriers in Groups 1 - 3.  Costs for passengers traveling on Group 4 carriers to provide the additional date requested in the final rule are presented in Section 1.6.6.  Based on the way these carriers collect reservations and observations of similar carriers currently reporting to CBP’s web-based application, eAPIS, TSA believes these carriers will be able to shift the data collection burden directly to the passenger.  Accordingly, TSA has not estimated data collection costs for these Group 4 airlines.  Table 1.4.2.c shows forecasted reservations for Group 4 carriers over the next ten years using the same calculation techniques as above.</w:t>
      </w:r>
      <w:bookmarkStart w:name="_Toc111627364" w:id="146"/>
      <w:bookmarkStart w:name="_Toc114566415" w:id="147"/>
      <w:bookmarkStart w:name="_Toc139943609" w:id="148"/>
      <w:bookmarkStart w:name="_Toc141001119" w:id="149"/>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8"/>
        <w:gridCol w:w="1864"/>
      </w:tblGrid>
      <w:tr w:rsidR="003B0815" w14:paraId="604E2F11" w14:textId="77777777">
        <w:trPr>
          <w:jc w:val="center"/>
        </w:trPr>
        <w:tc>
          <w:tcPr>
            <w:tcW w:w="3137" w:type="dxa"/>
            <w:gridSpan w:val="2"/>
            <w:tcBorders>
              <w:top w:val="nil"/>
              <w:left w:val="nil"/>
              <w:bottom w:val="single" w:color="auto" w:sz="12" w:space="0"/>
              <w:right w:val="nil"/>
            </w:tcBorders>
          </w:tcPr>
          <w:p w:rsidR="003B0815" w:rsidRDefault="003B0815" w14:paraId="1511A0B0" w14:textId="77777777">
            <w:pPr>
              <w:pStyle w:val="RegEvalTableHeader"/>
              <w:keepNext/>
              <w:rPr>
                <w:bCs/>
              </w:rPr>
            </w:pPr>
            <w:bookmarkStart w:name="_Toc141000950" w:id="150"/>
            <w:bookmarkStart w:name="_Toc165278373" w:id="151"/>
            <w:bookmarkStart w:name="_Toc174438369" w:id="152"/>
            <w:bookmarkStart w:name="_Toc207109508" w:id="153"/>
            <w:r>
              <w:rPr>
                <w:bCs/>
              </w:rPr>
              <w:t xml:space="preserve">Table 1.4.2.c Forecasted Group 4 </w:t>
            </w:r>
            <w:bookmarkEnd w:id="146"/>
            <w:bookmarkEnd w:id="147"/>
            <w:bookmarkEnd w:id="148"/>
            <w:bookmarkEnd w:id="149"/>
            <w:bookmarkEnd w:id="150"/>
            <w:bookmarkEnd w:id="151"/>
            <w:r>
              <w:rPr>
                <w:bCs/>
              </w:rPr>
              <w:t>Reservations</w:t>
            </w:r>
            <w:bookmarkEnd w:id="152"/>
            <w:bookmarkEnd w:id="153"/>
          </w:p>
        </w:tc>
      </w:tr>
      <w:tr w:rsidR="003B0815" w14:paraId="68F2E0E8" w14:textId="77777777">
        <w:trPr>
          <w:jc w:val="center"/>
        </w:trPr>
        <w:tc>
          <w:tcPr>
            <w:tcW w:w="0" w:type="auto"/>
            <w:tcBorders>
              <w:top w:val="single" w:color="auto" w:sz="12" w:space="0"/>
              <w:left w:val="single" w:color="auto" w:sz="12" w:space="0"/>
            </w:tcBorders>
            <w:vAlign w:val="center"/>
          </w:tcPr>
          <w:p w:rsidR="003B0815" w:rsidRDefault="003B0815" w14:paraId="327082AF" w14:textId="77777777">
            <w:pPr>
              <w:keepNext/>
              <w:jc w:val="center"/>
              <w:rPr>
                <w:rFonts w:ascii="Arial" w:hAnsi="Arial"/>
                <w:b/>
                <w:sz w:val="20"/>
                <w:szCs w:val="20"/>
              </w:rPr>
            </w:pPr>
            <w:r>
              <w:rPr>
                <w:rFonts w:ascii="Arial" w:hAnsi="Arial"/>
                <w:b/>
                <w:sz w:val="20"/>
                <w:szCs w:val="20"/>
              </w:rPr>
              <w:t>Program Year</w:t>
            </w:r>
          </w:p>
        </w:tc>
        <w:tc>
          <w:tcPr>
            <w:tcW w:w="1864" w:type="dxa"/>
            <w:tcBorders>
              <w:top w:val="single" w:color="auto" w:sz="12" w:space="0"/>
              <w:right w:val="single" w:color="auto" w:sz="12" w:space="0"/>
            </w:tcBorders>
            <w:vAlign w:val="center"/>
          </w:tcPr>
          <w:p w:rsidR="003B0815" w:rsidRDefault="003B0815" w14:paraId="21522F72" w14:textId="77777777">
            <w:pPr>
              <w:keepNext/>
              <w:jc w:val="center"/>
              <w:rPr>
                <w:rFonts w:ascii="Arial" w:hAnsi="Arial"/>
                <w:b/>
                <w:sz w:val="20"/>
                <w:szCs w:val="20"/>
              </w:rPr>
            </w:pPr>
            <w:r>
              <w:rPr>
                <w:rFonts w:ascii="Arial" w:hAnsi="Arial"/>
                <w:b/>
                <w:sz w:val="20"/>
                <w:szCs w:val="20"/>
              </w:rPr>
              <w:t>Millions of Reservations</w:t>
            </w:r>
          </w:p>
        </w:tc>
      </w:tr>
      <w:tr w:rsidR="003B0815" w14:paraId="689AA4A3" w14:textId="77777777">
        <w:trPr>
          <w:jc w:val="center"/>
        </w:trPr>
        <w:tc>
          <w:tcPr>
            <w:tcW w:w="0" w:type="auto"/>
            <w:tcBorders>
              <w:left w:val="single" w:color="auto" w:sz="12" w:space="0"/>
            </w:tcBorders>
            <w:vAlign w:val="bottom"/>
          </w:tcPr>
          <w:p w:rsidR="003B0815" w:rsidRDefault="003B0815" w14:paraId="48AB22D6" w14:textId="77777777">
            <w:pPr>
              <w:keepNext/>
              <w:jc w:val="center"/>
              <w:rPr>
                <w:rFonts w:ascii="Arial" w:hAnsi="Arial"/>
                <w:sz w:val="20"/>
                <w:szCs w:val="20"/>
              </w:rPr>
            </w:pPr>
            <w:r>
              <w:rPr>
                <w:rFonts w:ascii="Arial" w:hAnsi="Arial"/>
                <w:sz w:val="20"/>
                <w:szCs w:val="20"/>
              </w:rPr>
              <w:t>1</w:t>
            </w:r>
          </w:p>
        </w:tc>
        <w:tc>
          <w:tcPr>
            <w:tcW w:w="1864" w:type="dxa"/>
            <w:tcBorders>
              <w:right w:val="single" w:color="auto" w:sz="12" w:space="0"/>
            </w:tcBorders>
            <w:vAlign w:val="bottom"/>
          </w:tcPr>
          <w:p w:rsidR="003B0815" w:rsidRDefault="003B0815" w14:paraId="68643D90" w14:textId="77777777">
            <w:pPr>
              <w:keepNext/>
              <w:jc w:val="center"/>
              <w:rPr>
                <w:rFonts w:ascii="Arial" w:hAnsi="Arial" w:cs="Arial"/>
                <w:sz w:val="20"/>
                <w:szCs w:val="20"/>
              </w:rPr>
            </w:pPr>
            <w:r>
              <w:rPr>
                <w:rFonts w:ascii="Arial" w:hAnsi="Arial" w:cs="Arial"/>
                <w:sz w:val="20"/>
                <w:szCs w:val="20"/>
              </w:rPr>
              <w:t>2.4</w:t>
            </w:r>
          </w:p>
        </w:tc>
      </w:tr>
      <w:tr w:rsidR="003B0815" w14:paraId="62160BDC" w14:textId="77777777">
        <w:trPr>
          <w:jc w:val="center"/>
        </w:trPr>
        <w:tc>
          <w:tcPr>
            <w:tcW w:w="0" w:type="auto"/>
            <w:tcBorders>
              <w:left w:val="single" w:color="auto" w:sz="12" w:space="0"/>
            </w:tcBorders>
            <w:vAlign w:val="bottom"/>
          </w:tcPr>
          <w:p w:rsidR="003B0815" w:rsidRDefault="003B0815" w14:paraId="0FAAED90" w14:textId="77777777">
            <w:pPr>
              <w:keepNext/>
              <w:jc w:val="center"/>
              <w:rPr>
                <w:rFonts w:ascii="Arial" w:hAnsi="Arial"/>
                <w:sz w:val="20"/>
                <w:szCs w:val="20"/>
              </w:rPr>
            </w:pPr>
            <w:r>
              <w:rPr>
                <w:rFonts w:ascii="Arial" w:hAnsi="Arial"/>
                <w:sz w:val="20"/>
                <w:szCs w:val="20"/>
              </w:rPr>
              <w:t>2</w:t>
            </w:r>
          </w:p>
        </w:tc>
        <w:tc>
          <w:tcPr>
            <w:tcW w:w="1864" w:type="dxa"/>
            <w:tcBorders>
              <w:right w:val="single" w:color="auto" w:sz="12" w:space="0"/>
            </w:tcBorders>
            <w:vAlign w:val="bottom"/>
          </w:tcPr>
          <w:p w:rsidR="003B0815" w:rsidRDefault="003B0815" w14:paraId="2B6879D1" w14:textId="77777777">
            <w:pPr>
              <w:keepNext/>
              <w:jc w:val="center"/>
              <w:rPr>
                <w:rFonts w:ascii="Arial" w:hAnsi="Arial" w:cs="Arial"/>
                <w:sz w:val="20"/>
                <w:szCs w:val="20"/>
              </w:rPr>
            </w:pPr>
            <w:r>
              <w:rPr>
                <w:rFonts w:ascii="Arial" w:hAnsi="Arial" w:cs="Arial"/>
                <w:sz w:val="20"/>
                <w:szCs w:val="20"/>
              </w:rPr>
              <w:t>2.4</w:t>
            </w:r>
          </w:p>
        </w:tc>
      </w:tr>
      <w:tr w:rsidR="003B0815" w14:paraId="239596DC" w14:textId="77777777">
        <w:trPr>
          <w:jc w:val="center"/>
        </w:trPr>
        <w:tc>
          <w:tcPr>
            <w:tcW w:w="0" w:type="auto"/>
            <w:tcBorders>
              <w:left w:val="single" w:color="auto" w:sz="12" w:space="0"/>
            </w:tcBorders>
            <w:vAlign w:val="bottom"/>
          </w:tcPr>
          <w:p w:rsidR="003B0815" w:rsidRDefault="003B0815" w14:paraId="02D1D4F6" w14:textId="77777777">
            <w:pPr>
              <w:keepNext/>
              <w:jc w:val="center"/>
              <w:rPr>
                <w:rFonts w:ascii="Arial" w:hAnsi="Arial"/>
                <w:sz w:val="20"/>
                <w:szCs w:val="20"/>
              </w:rPr>
            </w:pPr>
            <w:r>
              <w:rPr>
                <w:rFonts w:ascii="Arial" w:hAnsi="Arial"/>
                <w:sz w:val="20"/>
                <w:szCs w:val="20"/>
              </w:rPr>
              <w:t>3</w:t>
            </w:r>
          </w:p>
        </w:tc>
        <w:tc>
          <w:tcPr>
            <w:tcW w:w="1864" w:type="dxa"/>
            <w:tcBorders>
              <w:right w:val="single" w:color="auto" w:sz="12" w:space="0"/>
            </w:tcBorders>
            <w:vAlign w:val="bottom"/>
          </w:tcPr>
          <w:p w:rsidR="003B0815" w:rsidRDefault="003B0815" w14:paraId="46E39345" w14:textId="77777777">
            <w:pPr>
              <w:keepNext/>
              <w:jc w:val="center"/>
              <w:rPr>
                <w:rFonts w:ascii="Arial" w:hAnsi="Arial" w:cs="Arial"/>
                <w:sz w:val="20"/>
                <w:szCs w:val="20"/>
              </w:rPr>
            </w:pPr>
            <w:r>
              <w:rPr>
                <w:rFonts w:ascii="Arial" w:hAnsi="Arial" w:cs="Arial"/>
                <w:sz w:val="20"/>
                <w:szCs w:val="20"/>
              </w:rPr>
              <w:t>2.4</w:t>
            </w:r>
          </w:p>
        </w:tc>
      </w:tr>
      <w:tr w:rsidR="003B0815" w14:paraId="0B430CBB" w14:textId="77777777">
        <w:trPr>
          <w:jc w:val="center"/>
        </w:trPr>
        <w:tc>
          <w:tcPr>
            <w:tcW w:w="0" w:type="auto"/>
            <w:tcBorders>
              <w:left w:val="single" w:color="auto" w:sz="12" w:space="0"/>
            </w:tcBorders>
            <w:vAlign w:val="bottom"/>
          </w:tcPr>
          <w:p w:rsidR="003B0815" w:rsidRDefault="003B0815" w14:paraId="3CC949C4" w14:textId="77777777">
            <w:pPr>
              <w:keepNext/>
              <w:jc w:val="center"/>
              <w:rPr>
                <w:rFonts w:ascii="Arial" w:hAnsi="Arial"/>
                <w:sz w:val="20"/>
                <w:szCs w:val="20"/>
              </w:rPr>
            </w:pPr>
            <w:r>
              <w:rPr>
                <w:rFonts w:ascii="Arial" w:hAnsi="Arial"/>
                <w:sz w:val="20"/>
                <w:szCs w:val="20"/>
              </w:rPr>
              <w:t>4</w:t>
            </w:r>
          </w:p>
        </w:tc>
        <w:tc>
          <w:tcPr>
            <w:tcW w:w="1864" w:type="dxa"/>
            <w:tcBorders>
              <w:right w:val="single" w:color="auto" w:sz="12" w:space="0"/>
            </w:tcBorders>
            <w:vAlign w:val="bottom"/>
          </w:tcPr>
          <w:p w:rsidR="003B0815" w:rsidRDefault="003B0815" w14:paraId="111FC7DC" w14:textId="77777777">
            <w:pPr>
              <w:keepNext/>
              <w:jc w:val="center"/>
              <w:rPr>
                <w:rFonts w:ascii="Arial" w:hAnsi="Arial" w:cs="Arial"/>
                <w:sz w:val="20"/>
                <w:szCs w:val="20"/>
              </w:rPr>
            </w:pPr>
            <w:r>
              <w:rPr>
                <w:rFonts w:ascii="Arial" w:hAnsi="Arial" w:cs="Arial"/>
                <w:sz w:val="20"/>
                <w:szCs w:val="20"/>
              </w:rPr>
              <w:t>2.6</w:t>
            </w:r>
          </w:p>
        </w:tc>
      </w:tr>
      <w:tr w:rsidR="003B0815" w14:paraId="13E31805" w14:textId="77777777">
        <w:trPr>
          <w:jc w:val="center"/>
        </w:trPr>
        <w:tc>
          <w:tcPr>
            <w:tcW w:w="0" w:type="auto"/>
            <w:tcBorders>
              <w:left w:val="single" w:color="auto" w:sz="12" w:space="0"/>
            </w:tcBorders>
            <w:vAlign w:val="bottom"/>
          </w:tcPr>
          <w:p w:rsidR="003B0815" w:rsidRDefault="003B0815" w14:paraId="264C1230" w14:textId="77777777">
            <w:pPr>
              <w:keepNext/>
              <w:jc w:val="center"/>
              <w:rPr>
                <w:rFonts w:ascii="Arial" w:hAnsi="Arial"/>
                <w:sz w:val="20"/>
                <w:szCs w:val="20"/>
              </w:rPr>
            </w:pPr>
            <w:r>
              <w:rPr>
                <w:rFonts w:ascii="Arial" w:hAnsi="Arial"/>
                <w:sz w:val="20"/>
                <w:szCs w:val="20"/>
              </w:rPr>
              <w:t>5</w:t>
            </w:r>
          </w:p>
        </w:tc>
        <w:tc>
          <w:tcPr>
            <w:tcW w:w="1864" w:type="dxa"/>
            <w:tcBorders>
              <w:right w:val="single" w:color="auto" w:sz="12" w:space="0"/>
            </w:tcBorders>
            <w:vAlign w:val="bottom"/>
          </w:tcPr>
          <w:p w:rsidR="003B0815" w:rsidRDefault="003B0815" w14:paraId="4F629460" w14:textId="77777777">
            <w:pPr>
              <w:keepNext/>
              <w:jc w:val="center"/>
              <w:rPr>
                <w:rFonts w:ascii="Arial" w:hAnsi="Arial" w:cs="Arial"/>
                <w:sz w:val="20"/>
                <w:szCs w:val="20"/>
              </w:rPr>
            </w:pPr>
            <w:r>
              <w:rPr>
                <w:rFonts w:ascii="Arial" w:hAnsi="Arial" w:cs="Arial"/>
                <w:sz w:val="20"/>
                <w:szCs w:val="20"/>
              </w:rPr>
              <w:t>2.6</w:t>
            </w:r>
          </w:p>
        </w:tc>
      </w:tr>
      <w:tr w:rsidR="003B0815" w14:paraId="3EB5A63C" w14:textId="77777777">
        <w:trPr>
          <w:jc w:val="center"/>
        </w:trPr>
        <w:tc>
          <w:tcPr>
            <w:tcW w:w="0" w:type="auto"/>
            <w:tcBorders>
              <w:left w:val="single" w:color="auto" w:sz="12" w:space="0"/>
            </w:tcBorders>
            <w:vAlign w:val="bottom"/>
          </w:tcPr>
          <w:p w:rsidR="003B0815" w:rsidRDefault="003B0815" w14:paraId="0A1D35F0" w14:textId="77777777">
            <w:pPr>
              <w:keepNext/>
              <w:jc w:val="center"/>
              <w:rPr>
                <w:rFonts w:ascii="Arial" w:hAnsi="Arial"/>
                <w:sz w:val="20"/>
                <w:szCs w:val="20"/>
              </w:rPr>
            </w:pPr>
            <w:r>
              <w:rPr>
                <w:rFonts w:ascii="Arial" w:hAnsi="Arial"/>
                <w:sz w:val="20"/>
                <w:szCs w:val="20"/>
              </w:rPr>
              <w:t>6</w:t>
            </w:r>
          </w:p>
        </w:tc>
        <w:tc>
          <w:tcPr>
            <w:tcW w:w="1864" w:type="dxa"/>
            <w:tcBorders>
              <w:right w:val="single" w:color="auto" w:sz="12" w:space="0"/>
            </w:tcBorders>
            <w:vAlign w:val="bottom"/>
          </w:tcPr>
          <w:p w:rsidR="003B0815" w:rsidRDefault="003B0815" w14:paraId="1DAADB8E" w14:textId="77777777">
            <w:pPr>
              <w:keepNext/>
              <w:jc w:val="center"/>
              <w:rPr>
                <w:rFonts w:ascii="Arial" w:hAnsi="Arial" w:cs="Arial"/>
                <w:sz w:val="20"/>
                <w:szCs w:val="20"/>
              </w:rPr>
            </w:pPr>
            <w:r>
              <w:rPr>
                <w:rFonts w:ascii="Arial" w:hAnsi="Arial" w:cs="Arial"/>
                <w:sz w:val="20"/>
                <w:szCs w:val="20"/>
              </w:rPr>
              <w:t>2.8</w:t>
            </w:r>
          </w:p>
        </w:tc>
      </w:tr>
      <w:tr w:rsidR="003B0815" w14:paraId="46DB3A27" w14:textId="77777777">
        <w:trPr>
          <w:jc w:val="center"/>
        </w:trPr>
        <w:tc>
          <w:tcPr>
            <w:tcW w:w="0" w:type="auto"/>
            <w:tcBorders>
              <w:left w:val="single" w:color="auto" w:sz="12" w:space="0"/>
            </w:tcBorders>
            <w:vAlign w:val="bottom"/>
          </w:tcPr>
          <w:p w:rsidR="003B0815" w:rsidRDefault="003B0815" w14:paraId="59B728DB" w14:textId="77777777">
            <w:pPr>
              <w:keepNext/>
              <w:jc w:val="center"/>
              <w:rPr>
                <w:rFonts w:ascii="Arial" w:hAnsi="Arial"/>
                <w:sz w:val="20"/>
                <w:szCs w:val="20"/>
              </w:rPr>
            </w:pPr>
            <w:r>
              <w:rPr>
                <w:rFonts w:ascii="Arial" w:hAnsi="Arial"/>
                <w:sz w:val="20"/>
                <w:szCs w:val="20"/>
              </w:rPr>
              <w:t>7</w:t>
            </w:r>
          </w:p>
        </w:tc>
        <w:tc>
          <w:tcPr>
            <w:tcW w:w="1864" w:type="dxa"/>
            <w:tcBorders>
              <w:right w:val="single" w:color="auto" w:sz="12" w:space="0"/>
            </w:tcBorders>
            <w:vAlign w:val="bottom"/>
          </w:tcPr>
          <w:p w:rsidR="003B0815" w:rsidRDefault="003B0815" w14:paraId="62A74A53" w14:textId="77777777">
            <w:pPr>
              <w:keepNext/>
              <w:jc w:val="center"/>
              <w:rPr>
                <w:rFonts w:ascii="Arial" w:hAnsi="Arial" w:cs="Arial"/>
                <w:sz w:val="20"/>
                <w:szCs w:val="20"/>
              </w:rPr>
            </w:pPr>
            <w:r>
              <w:rPr>
                <w:rFonts w:ascii="Arial" w:hAnsi="Arial" w:cs="Arial"/>
                <w:sz w:val="20"/>
                <w:szCs w:val="20"/>
              </w:rPr>
              <w:t>2.8</w:t>
            </w:r>
          </w:p>
        </w:tc>
      </w:tr>
      <w:tr w:rsidR="003B0815" w14:paraId="0C84BDE3" w14:textId="77777777">
        <w:trPr>
          <w:jc w:val="center"/>
        </w:trPr>
        <w:tc>
          <w:tcPr>
            <w:tcW w:w="0" w:type="auto"/>
            <w:tcBorders>
              <w:left w:val="single" w:color="auto" w:sz="12" w:space="0"/>
            </w:tcBorders>
            <w:vAlign w:val="bottom"/>
          </w:tcPr>
          <w:p w:rsidR="003B0815" w:rsidRDefault="003B0815" w14:paraId="6352C880" w14:textId="77777777">
            <w:pPr>
              <w:keepNext/>
              <w:jc w:val="center"/>
              <w:rPr>
                <w:rFonts w:ascii="Arial" w:hAnsi="Arial"/>
                <w:sz w:val="20"/>
                <w:szCs w:val="20"/>
              </w:rPr>
            </w:pPr>
            <w:r>
              <w:rPr>
                <w:rFonts w:ascii="Arial" w:hAnsi="Arial"/>
                <w:sz w:val="20"/>
                <w:szCs w:val="20"/>
              </w:rPr>
              <w:t>8</w:t>
            </w:r>
          </w:p>
        </w:tc>
        <w:tc>
          <w:tcPr>
            <w:tcW w:w="1864" w:type="dxa"/>
            <w:tcBorders>
              <w:right w:val="single" w:color="auto" w:sz="12" w:space="0"/>
            </w:tcBorders>
            <w:vAlign w:val="bottom"/>
          </w:tcPr>
          <w:p w:rsidR="003B0815" w:rsidRDefault="003B0815" w14:paraId="79E2CAA3" w14:textId="77777777">
            <w:pPr>
              <w:keepNext/>
              <w:jc w:val="center"/>
              <w:rPr>
                <w:rFonts w:ascii="Arial" w:hAnsi="Arial" w:cs="Arial"/>
                <w:sz w:val="20"/>
                <w:szCs w:val="20"/>
              </w:rPr>
            </w:pPr>
            <w:r>
              <w:rPr>
                <w:rFonts w:ascii="Arial" w:hAnsi="Arial" w:cs="Arial"/>
                <w:sz w:val="20"/>
                <w:szCs w:val="20"/>
              </w:rPr>
              <w:t>3.0</w:t>
            </w:r>
          </w:p>
        </w:tc>
      </w:tr>
      <w:tr w:rsidR="003B0815" w14:paraId="3A86FB22" w14:textId="77777777">
        <w:trPr>
          <w:jc w:val="center"/>
        </w:trPr>
        <w:tc>
          <w:tcPr>
            <w:tcW w:w="0" w:type="auto"/>
            <w:tcBorders>
              <w:left w:val="single" w:color="auto" w:sz="12" w:space="0"/>
            </w:tcBorders>
            <w:vAlign w:val="bottom"/>
          </w:tcPr>
          <w:p w:rsidR="003B0815" w:rsidRDefault="003B0815" w14:paraId="5B756BE1" w14:textId="77777777">
            <w:pPr>
              <w:keepNext/>
              <w:jc w:val="center"/>
              <w:rPr>
                <w:rFonts w:ascii="Arial" w:hAnsi="Arial"/>
                <w:sz w:val="20"/>
                <w:szCs w:val="20"/>
              </w:rPr>
            </w:pPr>
            <w:r>
              <w:rPr>
                <w:rFonts w:ascii="Arial" w:hAnsi="Arial"/>
                <w:sz w:val="20"/>
                <w:szCs w:val="20"/>
              </w:rPr>
              <w:t>9</w:t>
            </w:r>
          </w:p>
        </w:tc>
        <w:tc>
          <w:tcPr>
            <w:tcW w:w="1864" w:type="dxa"/>
            <w:tcBorders>
              <w:right w:val="single" w:color="auto" w:sz="12" w:space="0"/>
            </w:tcBorders>
            <w:vAlign w:val="bottom"/>
          </w:tcPr>
          <w:p w:rsidR="003B0815" w:rsidRDefault="003B0815" w14:paraId="42B87C57" w14:textId="77777777">
            <w:pPr>
              <w:keepNext/>
              <w:jc w:val="center"/>
              <w:rPr>
                <w:rFonts w:ascii="Arial" w:hAnsi="Arial" w:cs="Arial"/>
                <w:sz w:val="20"/>
                <w:szCs w:val="20"/>
              </w:rPr>
            </w:pPr>
            <w:r>
              <w:rPr>
                <w:rFonts w:ascii="Arial" w:hAnsi="Arial" w:cs="Arial"/>
                <w:sz w:val="20"/>
                <w:szCs w:val="20"/>
              </w:rPr>
              <w:t>3.0</w:t>
            </w:r>
          </w:p>
        </w:tc>
      </w:tr>
      <w:tr w:rsidR="003B0815" w14:paraId="1B57D876" w14:textId="77777777">
        <w:trPr>
          <w:jc w:val="center"/>
        </w:trPr>
        <w:tc>
          <w:tcPr>
            <w:tcW w:w="0" w:type="auto"/>
            <w:tcBorders>
              <w:left w:val="single" w:color="auto" w:sz="12" w:space="0"/>
              <w:bottom w:val="single" w:color="auto" w:sz="12" w:space="0"/>
            </w:tcBorders>
            <w:vAlign w:val="bottom"/>
          </w:tcPr>
          <w:p w:rsidR="003B0815" w:rsidRDefault="003B0815" w14:paraId="675D25E9" w14:textId="77777777">
            <w:pPr>
              <w:keepNext/>
              <w:jc w:val="center"/>
              <w:rPr>
                <w:rFonts w:ascii="Arial" w:hAnsi="Arial"/>
                <w:sz w:val="20"/>
                <w:szCs w:val="20"/>
              </w:rPr>
            </w:pPr>
            <w:r>
              <w:rPr>
                <w:rFonts w:ascii="Arial" w:hAnsi="Arial"/>
                <w:sz w:val="20"/>
                <w:szCs w:val="20"/>
              </w:rPr>
              <w:t>10</w:t>
            </w:r>
          </w:p>
        </w:tc>
        <w:tc>
          <w:tcPr>
            <w:tcW w:w="1864" w:type="dxa"/>
            <w:tcBorders>
              <w:bottom w:val="single" w:color="auto" w:sz="12" w:space="0"/>
              <w:right w:val="single" w:color="auto" w:sz="12" w:space="0"/>
            </w:tcBorders>
            <w:vAlign w:val="bottom"/>
          </w:tcPr>
          <w:p w:rsidR="003B0815" w:rsidRDefault="003B0815" w14:paraId="7B843E52" w14:textId="77777777">
            <w:pPr>
              <w:keepNext/>
              <w:jc w:val="center"/>
              <w:rPr>
                <w:rFonts w:ascii="Arial" w:hAnsi="Arial" w:cs="Arial"/>
                <w:sz w:val="20"/>
                <w:szCs w:val="20"/>
              </w:rPr>
            </w:pPr>
            <w:r>
              <w:rPr>
                <w:rFonts w:ascii="Arial" w:hAnsi="Arial" w:cs="Arial"/>
                <w:sz w:val="20"/>
                <w:szCs w:val="20"/>
              </w:rPr>
              <w:t>3.1</w:t>
            </w:r>
          </w:p>
        </w:tc>
      </w:tr>
    </w:tbl>
    <w:p w:rsidR="003B0815" w:rsidRDefault="003B0815" w14:paraId="1417E656" w14:textId="77777777">
      <w:pPr>
        <w:spacing w:line="360" w:lineRule="auto"/>
        <w:ind w:firstLine="720"/>
      </w:pPr>
    </w:p>
    <w:p w:rsidR="003B0815" w:rsidRDefault="003B0815" w14:paraId="73EC1EF2" w14:textId="77777777">
      <w:pPr>
        <w:keepNext/>
        <w:spacing w:line="360" w:lineRule="auto"/>
        <w:rPr>
          <w:b/>
        </w:rPr>
      </w:pPr>
      <w:r>
        <w:rPr>
          <w:b/>
        </w:rPr>
        <w:t>International Reservations</w:t>
      </w:r>
    </w:p>
    <w:p w:rsidR="003B0815" w:rsidRDefault="003B0815" w14:paraId="446C2279" w14:textId="77777777">
      <w:pPr>
        <w:spacing w:line="360" w:lineRule="auto"/>
        <w:ind w:firstLine="720"/>
      </w:pPr>
      <w:r>
        <w:t xml:space="preserve">TSA did not have information on the distribution of international reservations between different reservation methods.  As a proxy, TSA assumed international reservations for large domestic and large foreign carriers will be distributed among airline call centers, brick and mortar travel agencies, and online reservation sites in the same proportions as reported above for domestic reservations.  TSA assumed, however, that the reservation processes for small foreign carriers exhibit characteristics more comparable to domestic carriers in Group 4 than to large carriers.  Thus, consistent with its determination regarding Group 4 carriers, TSA has based its estimates of data collection costs only on the international passenger totals for large domestic and large foreign carriers, including overflights and </w:t>
      </w:r>
      <w:smartTag w:uri="urn:schemas-microsoft-com:office:smarttags" w:element="country-region">
        <w:smartTag w:uri="urn:schemas-microsoft-com:office:smarttags" w:element="place">
          <w:r>
            <w:t>U.S.</w:t>
          </w:r>
        </w:smartTag>
      </w:smartTag>
      <w:r>
        <w:t xml:space="preserve"> carriers flying point-to-point internationally.  These totals are presented in Table 1.4.1.h.  TSA has summarized these international passengers by their assumed respective reservation methods in Table 1.4.2.d below.  </w:t>
      </w:r>
      <w:smartTag w:uri="urn:schemas-microsoft-com:office:smarttags" w:element="place">
        <w:r>
          <w:t>Opportunity</w:t>
        </w:r>
      </w:smartTag>
      <w:r>
        <w:t xml:space="preserve"> costs for passengers on small foreign carriers are presented in Section 1.6.6.</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0"/>
        <w:gridCol w:w="1377"/>
        <w:gridCol w:w="1619"/>
        <w:gridCol w:w="2161"/>
        <w:gridCol w:w="1473"/>
      </w:tblGrid>
      <w:tr w:rsidR="003B0815" w14:paraId="7C307373" w14:textId="77777777">
        <w:trPr>
          <w:jc w:val="center"/>
        </w:trPr>
        <w:tc>
          <w:tcPr>
            <w:tcW w:w="7900" w:type="dxa"/>
            <w:gridSpan w:val="5"/>
            <w:tcBorders>
              <w:top w:val="nil"/>
              <w:left w:val="nil"/>
              <w:bottom w:val="single" w:color="auto" w:sz="12" w:space="0"/>
              <w:right w:val="nil"/>
            </w:tcBorders>
            <w:vAlign w:val="center"/>
          </w:tcPr>
          <w:p w:rsidR="003B0815" w:rsidRDefault="003B0815" w14:paraId="03735FD7" w14:textId="77777777">
            <w:pPr>
              <w:pStyle w:val="RegEvalTableHeader"/>
              <w:keepNext/>
              <w:rPr>
                <w:bCs/>
              </w:rPr>
            </w:pPr>
            <w:bookmarkStart w:name="_Toc165278374" w:id="154"/>
            <w:bookmarkStart w:name="_Toc174438370" w:id="155"/>
            <w:bookmarkStart w:name="_Toc207109509" w:id="156"/>
            <w:r>
              <w:rPr>
                <w:bCs/>
              </w:rPr>
              <w:t>Table 1.4.2.d Covered Carrier Forecasted International Reservations (Millions)</w:t>
            </w:r>
            <w:bookmarkEnd w:id="154"/>
            <w:bookmarkEnd w:id="155"/>
            <w:bookmarkEnd w:id="156"/>
          </w:p>
        </w:tc>
      </w:tr>
      <w:tr w:rsidR="003B0815" w14:paraId="56726354" w14:textId="77777777">
        <w:trPr>
          <w:jc w:val="center"/>
        </w:trPr>
        <w:tc>
          <w:tcPr>
            <w:tcW w:w="1270" w:type="dxa"/>
            <w:tcBorders>
              <w:top w:val="single" w:color="auto" w:sz="12" w:space="0"/>
              <w:left w:val="single" w:color="auto" w:sz="12" w:space="0"/>
            </w:tcBorders>
            <w:vAlign w:val="center"/>
          </w:tcPr>
          <w:p w:rsidR="003B0815" w:rsidRDefault="003B0815" w14:paraId="69C9F364" w14:textId="77777777">
            <w:pPr>
              <w:keepNext/>
              <w:jc w:val="center"/>
              <w:rPr>
                <w:rFonts w:ascii="Arial" w:hAnsi="Arial"/>
                <w:b/>
                <w:sz w:val="20"/>
                <w:szCs w:val="20"/>
              </w:rPr>
            </w:pPr>
            <w:r>
              <w:rPr>
                <w:rFonts w:ascii="Arial" w:hAnsi="Arial"/>
                <w:b/>
                <w:sz w:val="20"/>
                <w:szCs w:val="20"/>
              </w:rPr>
              <w:t>Program Year</w:t>
            </w:r>
          </w:p>
        </w:tc>
        <w:tc>
          <w:tcPr>
            <w:tcW w:w="1377" w:type="dxa"/>
            <w:tcBorders>
              <w:top w:val="single" w:color="auto" w:sz="12" w:space="0"/>
            </w:tcBorders>
            <w:vAlign w:val="center"/>
          </w:tcPr>
          <w:p w:rsidR="003B0815" w:rsidRDefault="003B0815" w14:paraId="038B43D6" w14:textId="77777777">
            <w:pPr>
              <w:keepNext/>
              <w:jc w:val="center"/>
              <w:rPr>
                <w:rFonts w:ascii="Arial" w:hAnsi="Arial"/>
                <w:b/>
                <w:sz w:val="20"/>
                <w:szCs w:val="20"/>
              </w:rPr>
            </w:pPr>
            <w:r>
              <w:rPr>
                <w:rFonts w:ascii="Arial" w:hAnsi="Arial"/>
                <w:b/>
                <w:sz w:val="20"/>
                <w:szCs w:val="20"/>
              </w:rPr>
              <w:t>Airline Call Centers</w:t>
            </w:r>
          </w:p>
          <w:p w:rsidR="003B0815" w:rsidRDefault="003B0815" w14:paraId="10B60990" w14:textId="77777777">
            <w:pPr>
              <w:keepNext/>
              <w:jc w:val="center"/>
              <w:rPr>
                <w:rFonts w:ascii="Arial" w:hAnsi="Arial"/>
                <w:b/>
                <w:sz w:val="20"/>
                <w:szCs w:val="20"/>
              </w:rPr>
            </w:pPr>
            <w:r>
              <w:rPr>
                <w:rFonts w:ascii="Arial" w:hAnsi="Arial"/>
                <w:b/>
                <w:sz w:val="20"/>
                <w:szCs w:val="20"/>
              </w:rPr>
              <w:t>(15%)</w:t>
            </w:r>
          </w:p>
        </w:tc>
        <w:tc>
          <w:tcPr>
            <w:tcW w:w="1619" w:type="dxa"/>
            <w:tcBorders>
              <w:top w:val="single" w:color="auto" w:sz="12" w:space="0"/>
            </w:tcBorders>
            <w:vAlign w:val="center"/>
          </w:tcPr>
          <w:p w:rsidR="003B0815" w:rsidRDefault="003B0815" w14:paraId="3299A238" w14:textId="77777777">
            <w:pPr>
              <w:keepNext/>
              <w:jc w:val="center"/>
              <w:rPr>
                <w:rFonts w:ascii="Arial" w:hAnsi="Arial"/>
                <w:b/>
                <w:sz w:val="20"/>
                <w:szCs w:val="20"/>
              </w:rPr>
            </w:pPr>
            <w:r>
              <w:rPr>
                <w:rFonts w:ascii="Arial" w:hAnsi="Arial"/>
                <w:b/>
                <w:sz w:val="20"/>
                <w:szCs w:val="20"/>
              </w:rPr>
              <w:t>Traditional Travel Agency</w:t>
            </w:r>
          </w:p>
          <w:p w:rsidR="003B0815" w:rsidRDefault="003B0815" w14:paraId="4AF10E11" w14:textId="77777777">
            <w:pPr>
              <w:keepNext/>
              <w:jc w:val="center"/>
              <w:rPr>
                <w:rFonts w:ascii="Arial" w:hAnsi="Arial"/>
                <w:b/>
                <w:sz w:val="20"/>
                <w:szCs w:val="20"/>
              </w:rPr>
            </w:pPr>
            <w:r>
              <w:rPr>
                <w:rFonts w:ascii="Arial" w:hAnsi="Arial"/>
                <w:b/>
                <w:sz w:val="20"/>
                <w:szCs w:val="20"/>
              </w:rPr>
              <w:t>(36%)</w:t>
            </w:r>
          </w:p>
        </w:tc>
        <w:tc>
          <w:tcPr>
            <w:tcW w:w="2161" w:type="dxa"/>
            <w:tcBorders>
              <w:top w:val="single" w:color="auto" w:sz="12" w:space="0"/>
            </w:tcBorders>
            <w:vAlign w:val="center"/>
          </w:tcPr>
          <w:p w:rsidR="003B0815" w:rsidRDefault="003B0815" w14:paraId="1CB58635" w14:textId="77777777">
            <w:pPr>
              <w:keepNext/>
              <w:jc w:val="center"/>
              <w:rPr>
                <w:rFonts w:ascii="Arial" w:hAnsi="Arial"/>
                <w:b/>
                <w:sz w:val="20"/>
                <w:szCs w:val="20"/>
              </w:rPr>
            </w:pPr>
            <w:r>
              <w:rPr>
                <w:rFonts w:ascii="Arial" w:hAnsi="Arial"/>
                <w:b/>
                <w:sz w:val="20"/>
                <w:szCs w:val="20"/>
              </w:rPr>
              <w:t>Online Reservation Method</w:t>
            </w:r>
          </w:p>
          <w:p w:rsidR="003B0815" w:rsidRDefault="003B0815" w14:paraId="7AEA6589" w14:textId="77777777">
            <w:pPr>
              <w:keepNext/>
              <w:jc w:val="center"/>
              <w:rPr>
                <w:rFonts w:ascii="Arial" w:hAnsi="Arial"/>
                <w:b/>
                <w:sz w:val="20"/>
                <w:szCs w:val="20"/>
              </w:rPr>
            </w:pPr>
            <w:r>
              <w:rPr>
                <w:rFonts w:ascii="Arial" w:hAnsi="Arial"/>
                <w:b/>
                <w:sz w:val="20"/>
                <w:szCs w:val="20"/>
              </w:rPr>
              <w:t>(49%)</w:t>
            </w:r>
          </w:p>
        </w:tc>
        <w:tc>
          <w:tcPr>
            <w:tcW w:w="1473" w:type="dxa"/>
            <w:tcBorders>
              <w:top w:val="single" w:color="auto" w:sz="12" w:space="0"/>
              <w:bottom w:val="single" w:color="auto" w:sz="4" w:space="0"/>
              <w:right w:val="single" w:color="auto" w:sz="12" w:space="0"/>
            </w:tcBorders>
            <w:vAlign w:val="center"/>
          </w:tcPr>
          <w:p w:rsidR="003B0815" w:rsidRDefault="003B0815" w14:paraId="0D462126" w14:textId="77777777">
            <w:pPr>
              <w:keepNext/>
              <w:jc w:val="center"/>
              <w:rPr>
                <w:rFonts w:ascii="Arial" w:hAnsi="Arial"/>
                <w:b/>
                <w:sz w:val="20"/>
                <w:szCs w:val="20"/>
              </w:rPr>
            </w:pPr>
            <w:r>
              <w:rPr>
                <w:rFonts w:ascii="Arial" w:hAnsi="Arial"/>
                <w:b/>
                <w:sz w:val="20"/>
                <w:szCs w:val="20"/>
              </w:rPr>
              <w:t>Total International Reservations</w:t>
            </w:r>
          </w:p>
        </w:tc>
      </w:tr>
      <w:tr w:rsidR="003B0815" w14:paraId="28F93D68" w14:textId="77777777">
        <w:trPr>
          <w:jc w:val="center"/>
        </w:trPr>
        <w:tc>
          <w:tcPr>
            <w:tcW w:w="1270" w:type="dxa"/>
            <w:tcBorders>
              <w:left w:val="single" w:color="auto" w:sz="12" w:space="0"/>
            </w:tcBorders>
            <w:vAlign w:val="bottom"/>
          </w:tcPr>
          <w:p w:rsidR="003B0815" w:rsidRDefault="003B0815" w14:paraId="7D597404" w14:textId="77777777">
            <w:pPr>
              <w:keepNext/>
              <w:jc w:val="center"/>
              <w:rPr>
                <w:rFonts w:ascii="Arial" w:hAnsi="Arial"/>
                <w:sz w:val="20"/>
                <w:szCs w:val="20"/>
              </w:rPr>
            </w:pPr>
            <w:r>
              <w:rPr>
                <w:rFonts w:ascii="Arial" w:hAnsi="Arial"/>
                <w:sz w:val="20"/>
                <w:szCs w:val="20"/>
              </w:rPr>
              <w:t>1</w:t>
            </w:r>
          </w:p>
        </w:tc>
        <w:tc>
          <w:tcPr>
            <w:tcW w:w="1377" w:type="dxa"/>
            <w:vAlign w:val="bottom"/>
          </w:tcPr>
          <w:p w:rsidR="003B0815" w:rsidRDefault="003B0815" w14:paraId="6BC4A9DF" w14:textId="77777777">
            <w:pPr>
              <w:keepNext/>
              <w:jc w:val="center"/>
              <w:rPr>
                <w:rFonts w:ascii="Arial" w:hAnsi="Arial" w:cs="Arial"/>
                <w:sz w:val="20"/>
                <w:szCs w:val="20"/>
              </w:rPr>
            </w:pPr>
            <w:r>
              <w:rPr>
                <w:rFonts w:ascii="Arial" w:hAnsi="Arial" w:cs="Arial"/>
                <w:sz w:val="20"/>
                <w:szCs w:val="20"/>
              </w:rPr>
              <w:t>18.2</w:t>
            </w:r>
          </w:p>
        </w:tc>
        <w:tc>
          <w:tcPr>
            <w:tcW w:w="1619" w:type="dxa"/>
            <w:vAlign w:val="bottom"/>
          </w:tcPr>
          <w:p w:rsidR="003B0815" w:rsidRDefault="003B0815" w14:paraId="72B5C9EB" w14:textId="77777777">
            <w:pPr>
              <w:keepNext/>
              <w:jc w:val="center"/>
              <w:rPr>
                <w:rFonts w:ascii="Arial" w:hAnsi="Arial" w:cs="Arial"/>
                <w:sz w:val="20"/>
                <w:szCs w:val="20"/>
              </w:rPr>
            </w:pPr>
            <w:r>
              <w:rPr>
                <w:rFonts w:ascii="Arial" w:hAnsi="Arial" w:cs="Arial"/>
                <w:sz w:val="20"/>
                <w:szCs w:val="20"/>
              </w:rPr>
              <w:t>43.6</w:t>
            </w:r>
          </w:p>
        </w:tc>
        <w:tc>
          <w:tcPr>
            <w:tcW w:w="2161" w:type="dxa"/>
            <w:vAlign w:val="bottom"/>
          </w:tcPr>
          <w:p w:rsidR="003B0815" w:rsidRDefault="003B0815" w14:paraId="43102A97" w14:textId="77777777">
            <w:pPr>
              <w:keepNext/>
              <w:jc w:val="center"/>
              <w:rPr>
                <w:rFonts w:ascii="Arial" w:hAnsi="Arial" w:cs="Arial"/>
                <w:sz w:val="20"/>
                <w:szCs w:val="20"/>
              </w:rPr>
            </w:pPr>
            <w:r>
              <w:rPr>
                <w:rFonts w:ascii="Arial" w:hAnsi="Arial" w:cs="Arial"/>
                <w:sz w:val="20"/>
                <w:szCs w:val="20"/>
              </w:rPr>
              <w:t>59.4</w:t>
            </w:r>
          </w:p>
        </w:tc>
        <w:tc>
          <w:tcPr>
            <w:tcW w:w="1473" w:type="dxa"/>
            <w:tcBorders>
              <w:right w:val="single" w:color="auto" w:sz="12" w:space="0"/>
            </w:tcBorders>
            <w:shd w:val="clear" w:color="auto" w:fill="CCCCCC"/>
            <w:vAlign w:val="bottom"/>
          </w:tcPr>
          <w:p w:rsidR="003B0815" w:rsidRDefault="003B0815" w14:paraId="5E3EC430" w14:textId="77777777">
            <w:pPr>
              <w:keepNext/>
              <w:jc w:val="center"/>
              <w:rPr>
                <w:rFonts w:ascii="Arial" w:hAnsi="Arial" w:cs="Arial"/>
                <w:b/>
                <w:sz w:val="20"/>
                <w:szCs w:val="20"/>
              </w:rPr>
            </w:pPr>
            <w:r>
              <w:rPr>
                <w:rFonts w:ascii="Arial" w:hAnsi="Arial" w:cs="Arial"/>
                <w:sz w:val="20"/>
                <w:szCs w:val="20"/>
              </w:rPr>
              <w:t>121.2</w:t>
            </w:r>
          </w:p>
        </w:tc>
      </w:tr>
      <w:tr w:rsidR="003B0815" w14:paraId="1E702265" w14:textId="77777777">
        <w:trPr>
          <w:jc w:val="center"/>
        </w:trPr>
        <w:tc>
          <w:tcPr>
            <w:tcW w:w="1270" w:type="dxa"/>
            <w:tcBorders>
              <w:left w:val="single" w:color="auto" w:sz="12" w:space="0"/>
            </w:tcBorders>
            <w:vAlign w:val="bottom"/>
          </w:tcPr>
          <w:p w:rsidR="003B0815" w:rsidRDefault="003B0815" w14:paraId="7CB57BB2" w14:textId="77777777">
            <w:pPr>
              <w:keepNext/>
              <w:jc w:val="center"/>
              <w:rPr>
                <w:rFonts w:ascii="Arial" w:hAnsi="Arial"/>
                <w:sz w:val="20"/>
                <w:szCs w:val="20"/>
              </w:rPr>
            </w:pPr>
            <w:r>
              <w:rPr>
                <w:rFonts w:ascii="Arial" w:hAnsi="Arial"/>
                <w:sz w:val="20"/>
                <w:szCs w:val="20"/>
              </w:rPr>
              <w:t>2</w:t>
            </w:r>
          </w:p>
        </w:tc>
        <w:tc>
          <w:tcPr>
            <w:tcW w:w="1377" w:type="dxa"/>
            <w:vAlign w:val="bottom"/>
          </w:tcPr>
          <w:p w:rsidR="003B0815" w:rsidRDefault="003B0815" w14:paraId="59574F5A" w14:textId="77777777">
            <w:pPr>
              <w:keepNext/>
              <w:jc w:val="center"/>
              <w:rPr>
                <w:rFonts w:ascii="Arial" w:hAnsi="Arial" w:cs="Arial"/>
                <w:sz w:val="20"/>
                <w:szCs w:val="20"/>
              </w:rPr>
            </w:pPr>
            <w:r>
              <w:rPr>
                <w:rFonts w:ascii="Arial" w:hAnsi="Arial" w:cs="Arial"/>
                <w:sz w:val="20"/>
                <w:szCs w:val="20"/>
              </w:rPr>
              <w:t>19.1</w:t>
            </w:r>
          </w:p>
        </w:tc>
        <w:tc>
          <w:tcPr>
            <w:tcW w:w="1619" w:type="dxa"/>
            <w:vAlign w:val="bottom"/>
          </w:tcPr>
          <w:p w:rsidR="003B0815" w:rsidRDefault="003B0815" w14:paraId="058C1AEC" w14:textId="77777777">
            <w:pPr>
              <w:keepNext/>
              <w:jc w:val="center"/>
              <w:rPr>
                <w:rFonts w:ascii="Arial" w:hAnsi="Arial" w:cs="Arial"/>
                <w:sz w:val="20"/>
                <w:szCs w:val="20"/>
              </w:rPr>
            </w:pPr>
            <w:r>
              <w:rPr>
                <w:rFonts w:ascii="Arial" w:hAnsi="Arial" w:cs="Arial"/>
                <w:sz w:val="20"/>
                <w:szCs w:val="20"/>
              </w:rPr>
              <w:t>45.8</w:t>
            </w:r>
          </w:p>
        </w:tc>
        <w:tc>
          <w:tcPr>
            <w:tcW w:w="2161" w:type="dxa"/>
            <w:vAlign w:val="bottom"/>
          </w:tcPr>
          <w:p w:rsidR="003B0815" w:rsidRDefault="003B0815" w14:paraId="6AF1806F" w14:textId="77777777">
            <w:pPr>
              <w:keepNext/>
              <w:jc w:val="center"/>
              <w:rPr>
                <w:rFonts w:ascii="Arial" w:hAnsi="Arial" w:cs="Arial"/>
                <w:sz w:val="20"/>
                <w:szCs w:val="20"/>
              </w:rPr>
            </w:pPr>
            <w:r>
              <w:rPr>
                <w:rFonts w:ascii="Arial" w:hAnsi="Arial" w:cs="Arial"/>
                <w:sz w:val="20"/>
                <w:szCs w:val="20"/>
              </w:rPr>
              <w:t>62.4</w:t>
            </w:r>
          </w:p>
        </w:tc>
        <w:tc>
          <w:tcPr>
            <w:tcW w:w="1473" w:type="dxa"/>
            <w:tcBorders>
              <w:right w:val="single" w:color="auto" w:sz="12" w:space="0"/>
            </w:tcBorders>
            <w:shd w:val="clear" w:color="auto" w:fill="CCCCCC"/>
            <w:vAlign w:val="bottom"/>
          </w:tcPr>
          <w:p w:rsidR="003B0815" w:rsidRDefault="003B0815" w14:paraId="4DD92513" w14:textId="77777777">
            <w:pPr>
              <w:keepNext/>
              <w:jc w:val="center"/>
              <w:rPr>
                <w:rFonts w:ascii="Arial" w:hAnsi="Arial" w:cs="Arial"/>
                <w:b/>
                <w:sz w:val="20"/>
                <w:szCs w:val="20"/>
              </w:rPr>
            </w:pPr>
            <w:r>
              <w:rPr>
                <w:rFonts w:ascii="Arial" w:hAnsi="Arial" w:cs="Arial"/>
                <w:sz w:val="20"/>
                <w:szCs w:val="20"/>
              </w:rPr>
              <w:t>127.3</w:t>
            </w:r>
          </w:p>
        </w:tc>
      </w:tr>
      <w:tr w:rsidR="003B0815" w14:paraId="14116306" w14:textId="77777777">
        <w:trPr>
          <w:jc w:val="center"/>
        </w:trPr>
        <w:tc>
          <w:tcPr>
            <w:tcW w:w="1270" w:type="dxa"/>
            <w:tcBorders>
              <w:left w:val="single" w:color="auto" w:sz="12" w:space="0"/>
            </w:tcBorders>
            <w:vAlign w:val="bottom"/>
          </w:tcPr>
          <w:p w:rsidR="003B0815" w:rsidRDefault="003B0815" w14:paraId="4EE44406" w14:textId="77777777">
            <w:pPr>
              <w:keepNext/>
              <w:jc w:val="center"/>
              <w:rPr>
                <w:rFonts w:ascii="Arial" w:hAnsi="Arial"/>
                <w:sz w:val="20"/>
                <w:szCs w:val="20"/>
              </w:rPr>
            </w:pPr>
            <w:r>
              <w:rPr>
                <w:rFonts w:ascii="Arial" w:hAnsi="Arial"/>
                <w:sz w:val="20"/>
                <w:szCs w:val="20"/>
              </w:rPr>
              <w:t>3</w:t>
            </w:r>
          </w:p>
        </w:tc>
        <w:tc>
          <w:tcPr>
            <w:tcW w:w="1377" w:type="dxa"/>
            <w:vAlign w:val="bottom"/>
          </w:tcPr>
          <w:p w:rsidR="003B0815" w:rsidRDefault="003B0815" w14:paraId="26127106" w14:textId="77777777">
            <w:pPr>
              <w:keepNext/>
              <w:jc w:val="center"/>
              <w:rPr>
                <w:rFonts w:ascii="Arial" w:hAnsi="Arial" w:cs="Arial"/>
                <w:sz w:val="20"/>
                <w:szCs w:val="20"/>
              </w:rPr>
            </w:pPr>
            <w:r>
              <w:rPr>
                <w:rFonts w:ascii="Arial" w:hAnsi="Arial" w:cs="Arial"/>
                <w:sz w:val="20"/>
                <w:szCs w:val="20"/>
              </w:rPr>
              <w:t>20.0</w:t>
            </w:r>
          </w:p>
        </w:tc>
        <w:tc>
          <w:tcPr>
            <w:tcW w:w="1619" w:type="dxa"/>
            <w:vAlign w:val="bottom"/>
          </w:tcPr>
          <w:p w:rsidR="003B0815" w:rsidRDefault="003B0815" w14:paraId="2C86BAAA" w14:textId="77777777">
            <w:pPr>
              <w:keepNext/>
              <w:jc w:val="center"/>
              <w:rPr>
                <w:rFonts w:ascii="Arial" w:hAnsi="Arial" w:cs="Arial"/>
                <w:sz w:val="20"/>
                <w:szCs w:val="20"/>
              </w:rPr>
            </w:pPr>
            <w:r>
              <w:rPr>
                <w:rFonts w:ascii="Arial" w:hAnsi="Arial" w:cs="Arial"/>
                <w:sz w:val="20"/>
                <w:szCs w:val="20"/>
              </w:rPr>
              <w:t>48.1</w:t>
            </w:r>
          </w:p>
        </w:tc>
        <w:tc>
          <w:tcPr>
            <w:tcW w:w="2161" w:type="dxa"/>
            <w:vAlign w:val="bottom"/>
          </w:tcPr>
          <w:p w:rsidR="003B0815" w:rsidRDefault="003B0815" w14:paraId="47B3CA2C" w14:textId="77777777">
            <w:pPr>
              <w:keepNext/>
              <w:jc w:val="center"/>
              <w:rPr>
                <w:rFonts w:ascii="Arial" w:hAnsi="Arial" w:cs="Arial"/>
                <w:sz w:val="20"/>
                <w:szCs w:val="20"/>
              </w:rPr>
            </w:pPr>
            <w:r>
              <w:rPr>
                <w:rFonts w:ascii="Arial" w:hAnsi="Arial" w:cs="Arial"/>
                <w:sz w:val="20"/>
                <w:szCs w:val="20"/>
              </w:rPr>
              <w:t>65.5</w:t>
            </w:r>
          </w:p>
        </w:tc>
        <w:tc>
          <w:tcPr>
            <w:tcW w:w="1473" w:type="dxa"/>
            <w:tcBorders>
              <w:right w:val="single" w:color="auto" w:sz="12" w:space="0"/>
            </w:tcBorders>
            <w:shd w:val="clear" w:color="auto" w:fill="CCCCCC"/>
            <w:vAlign w:val="bottom"/>
          </w:tcPr>
          <w:p w:rsidR="003B0815" w:rsidRDefault="003B0815" w14:paraId="575FDF96" w14:textId="77777777">
            <w:pPr>
              <w:keepNext/>
              <w:jc w:val="center"/>
              <w:rPr>
                <w:rFonts w:ascii="Arial" w:hAnsi="Arial" w:cs="Arial"/>
                <w:b/>
                <w:sz w:val="20"/>
                <w:szCs w:val="20"/>
              </w:rPr>
            </w:pPr>
            <w:r>
              <w:rPr>
                <w:rFonts w:ascii="Arial" w:hAnsi="Arial" w:cs="Arial"/>
                <w:sz w:val="20"/>
                <w:szCs w:val="20"/>
              </w:rPr>
              <w:t>133.6</w:t>
            </w:r>
          </w:p>
        </w:tc>
      </w:tr>
      <w:tr w:rsidR="003B0815" w14:paraId="579407D8" w14:textId="77777777">
        <w:trPr>
          <w:jc w:val="center"/>
        </w:trPr>
        <w:tc>
          <w:tcPr>
            <w:tcW w:w="1270" w:type="dxa"/>
            <w:tcBorders>
              <w:left w:val="single" w:color="auto" w:sz="12" w:space="0"/>
            </w:tcBorders>
            <w:vAlign w:val="bottom"/>
          </w:tcPr>
          <w:p w:rsidR="003B0815" w:rsidRDefault="003B0815" w14:paraId="7A10955F" w14:textId="77777777">
            <w:pPr>
              <w:keepNext/>
              <w:jc w:val="center"/>
              <w:rPr>
                <w:rFonts w:ascii="Arial" w:hAnsi="Arial"/>
                <w:sz w:val="20"/>
                <w:szCs w:val="20"/>
              </w:rPr>
            </w:pPr>
            <w:r>
              <w:rPr>
                <w:rFonts w:ascii="Arial" w:hAnsi="Arial"/>
                <w:sz w:val="20"/>
                <w:szCs w:val="20"/>
              </w:rPr>
              <w:t>4</w:t>
            </w:r>
          </w:p>
        </w:tc>
        <w:tc>
          <w:tcPr>
            <w:tcW w:w="1377" w:type="dxa"/>
            <w:vAlign w:val="bottom"/>
          </w:tcPr>
          <w:p w:rsidR="003B0815" w:rsidRDefault="003B0815" w14:paraId="693F668E" w14:textId="77777777">
            <w:pPr>
              <w:keepNext/>
              <w:jc w:val="center"/>
              <w:rPr>
                <w:rFonts w:ascii="Arial" w:hAnsi="Arial" w:cs="Arial"/>
                <w:sz w:val="20"/>
                <w:szCs w:val="20"/>
              </w:rPr>
            </w:pPr>
            <w:r>
              <w:rPr>
                <w:rFonts w:ascii="Arial" w:hAnsi="Arial" w:cs="Arial"/>
                <w:sz w:val="20"/>
                <w:szCs w:val="20"/>
              </w:rPr>
              <w:t>21.0</w:t>
            </w:r>
          </w:p>
        </w:tc>
        <w:tc>
          <w:tcPr>
            <w:tcW w:w="1619" w:type="dxa"/>
            <w:vAlign w:val="bottom"/>
          </w:tcPr>
          <w:p w:rsidR="003B0815" w:rsidRDefault="003B0815" w14:paraId="404E37F8" w14:textId="77777777">
            <w:pPr>
              <w:keepNext/>
              <w:jc w:val="center"/>
              <w:rPr>
                <w:rFonts w:ascii="Arial" w:hAnsi="Arial" w:cs="Arial"/>
                <w:sz w:val="20"/>
                <w:szCs w:val="20"/>
              </w:rPr>
            </w:pPr>
            <w:r>
              <w:rPr>
                <w:rFonts w:ascii="Arial" w:hAnsi="Arial" w:cs="Arial"/>
                <w:sz w:val="20"/>
                <w:szCs w:val="20"/>
              </w:rPr>
              <w:t>50.5</w:t>
            </w:r>
          </w:p>
        </w:tc>
        <w:tc>
          <w:tcPr>
            <w:tcW w:w="2161" w:type="dxa"/>
            <w:vAlign w:val="bottom"/>
          </w:tcPr>
          <w:p w:rsidR="003B0815" w:rsidRDefault="003B0815" w14:paraId="13C5EB88" w14:textId="77777777">
            <w:pPr>
              <w:keepNext/>
              <w:jc w:val="center"/>
              <w:rPr>
                <w:rFonts w:ascii="Arial" w:hAnsi="Arial" w:cs="Arial"/>
                <w:sz w:val="20"/>
                <w:szCs w:val="20"/>
              </w:rPr>
            </w:pPr>
            <w:r>
              <w:rPr>
                <w:rFonts w:ascii="Arial" w:hAnsi="Arial" w:cs="Arial"/>
                <w:sz w:val="20"/>
                <w:szCs w:val="20"/>
              </w:rPr>
              <w:t>68.7</w:t>
            </w:r>
          </w:p>
        </w:tc>
        <w:tc>
          <w:tcPr>
            <w:tcW w:w="1473" w:type="dxa"/>
            <w:tcBorders>
              <w:right w:val="single" w:color="auto" w:sz="12" w:space="0"/>
            </w:tcBorders>
            <w:shd w:val="clear" w:color="auto" w:fill="CCCCCC"/>
            <w:vAlign w:val="bottom"/>
          </w:tcPr>
          <w:p w:rsidR="003B0815" w:rsidRDefault="003B0815" w14:paraId="2AE969FE" w14:textId="77777777">
            <w:pPr>
              <w:keepNext/>
              <w:jc w:val="center"/>
              <w:rPr>
                <w:rFonts w:ascii="Arial" w:hAnsi="Arial" w:cs="Arial"/>
                <w:b/>
                <w:sz w:val="20"/>
                <w:szCs w:val="20"/>
              </w:rPr>
            </w:pPr>
            <w:r>
              <w:rPr>
                <w:rFonts w:ascii="Arial" w:hAnsi="Arial" w:cs="Arial"/>
                <w:sz w:val="20"/>
                <w:szCs w:val="20"/>
              </w:rPr>
              <w:t>140.2</w:t>
            </w:r>
          </w:p>
        </w:tc>
      </w:tr>
      <w:tr w:rsidR="003B0815" w14:paraId="470AACFC" w14:textId="77777777">
        <w:trPr>
          <w:jc w:val="center"/>
        </w:trPr>
        <w:tc>
          <w:tcPr>
            <w:tcW w:w="1270" w:type="dxa"/>
            <w:tcBorders>
              <w:left w:val="single" w:color="auto" w:sz="12" w:space="0"/>
            </w:tcBorders>
            <w:vAlign w:val="bottom"/>
          </w:tcPr>
          <w:p w:rsidR="003B0815" w:rsidRDefault="003B0815" w14:paraId="64FDC9C0" w14:textId="77777777">
            <w:pPr>
              <w:keepNext/>
              <w:jc w:val="center"/>
              <w:rPr>
                <w:rFonts w:ascii="Arial" w:hAnsi="Arial"/>
                <w:sz w:val="20"/>
                <w:szCs w:val="20"/>
              </w:rPr>
            </w:pPr>
            <w:r>
              <w:rPr>
                <w:rFonts w:ascii="Arial" w:hAnsi="Arial"/>
                <w:sz w:val="20"/>
                <w:szCs w:val="20"/>
              </w:rPr>
              <w:t>5</w:t>
            </w:r>
          </w:p>
        </w:tc>
        <w:tc>
          <w:tcPr>
            <w:tcW w:w="1377" w:type="dxa"/>
            <w:vAlign w:val="bottom"/>
          </w:tcPr>
          <w:p w:rsidR="003B0815" w:rsidRDefault="003B0815" w14:paraId="7731B43F" w14:textId="77777777">
            <w:pPr>
              <w:keepNext/>
              <w:jc w:val="center"/>
              <w:rPr>
                <w:rFonts w:ascii="Arial" w:hAnsi="Arial" w:cs="Arial"/>
                <w:sz w:val="20"/>
                <w:szCs w:val="20"/>
              </w:rPr>
            </w:pPr>
            <w:r>
              <w:rPr>
                <w:rFonts w:ascii="Arial" w:hAnsi="Arial" w:cs="Arial"/>
                <w:sz w:val="20"/>
                <w:szCs w:val="20"/>
              </w:rPr>
              <w:t>22.1</w:t>
            </w:r>
          </w:p>
        </w:tc>
        <w:tc>
          <w:tcPr>
            <w:tcW w:w="1619" w:type="dxa"/>
            <w:vAlign w:val="bottom"/>
          </w:tcPr>
          <w:p w:rsidR="003B0815" w:rsidRDefault="003B0815" w14:paraId="48DCCB7F" w14:textId="77777777">
            <w:pPr>
              <w:keepNext/>
              <w:jc w:val="center"/>
              <w:rPr>
                <w:rFonts w:ascii="Arial" w:hAnsi="Arial" w:cs="Arial"/>
                <w:sz w:val="20"/>
                <w:szCs w:val="20"/>
              </w:rPr>
            </w:pPr>
            <w:r>
              <w:rPr>
                <w:rFonts w:ascii="Arial" w:hAnsi="Arial" w:cs="Arial"/>
                <w:sz w:val="20"/>
                <w:szCs w:val="20"/>
              </w:rPr>
              <w:t>53.0</w:t>
            </w:r>
          </w:p>
        </w:tc>
        <w:tc>
          <w:tcPr>
            <w:tcW w:w="2161" w:type="dxa"/>
            <w:vAlign w:val="bottom"/>
          </w:tcPr>
          <w:p w:rsidR="003B0815" w:rsidRDefault="003B0815" w14:paraId="5977B5A8" w14:textId="77777777">
            <w:pPr>
              <w:keepNext/>
              <w:jc w:val="center"/>
              <w:rPr>
                <w:rFonts w:ascii="Arial" w:hAnsi="Arial" w:cs="Arial"/>
                <w:sz w:val="20"/>
                <w:szCs w:val="20"/>
              </w:rPr>
            </w:pPr>
            <w:r>
              <w:rPr>
                <w:rFonts w:ascii="Arial" w:hAnsi="Arial" w:cs="Arial"/>
                <w:sz w:val="20"/>
                <w:szCs w:val="20"/>
              </w:rPr>
              <w:t>72.2</w:t>
            </w:r>
          </w:p>
        </w:tc>
        <w:tc>
          <w:tcPr>
            <w:tcW w:w="1473" w:type="dxa"/>
            <w:tcBorders>
              <w:right w:val="single" w:color="auto" w:sz="12" w:space="0"/>
            </w:tcBorders>
            <w:shd w:val="clear" w:color="auto" w:fill="CCCCCC"/>
            <w:vAlign w:val="bottom"/>
          </w:tcPr>
          <w:p w:rsidR="003B0815" w:rsidRDefault="003B0815" w14:paraId="6080C4CC" w14:textId="77777777">
            <w:pPr>
              <w:keepNext/>
              <w:jc w:val="center"/>
              <w:rPr>
                <w:rFonts w:ascii="Arial" w:hAnsi="Arial" w:cs="Arial"/>
                <w:b/>
                <w:sz w:val="20"/>
                <w:szCs w:val="20"/>
              </w:rPr>
            </w:pPr>
            <w:r>
              <w:rPr>
                <w:rFonts w:ascii="Arial" w:hAnsi="Arial" w:cs="Arial"/>
                <w:sz w:val="20"/>
                <w:szCs w:val="20"/>
              </w:rPr>
              <w:t>147.3</w:t>
            </w:r>
          </w:p>
        </w:tc>
      </w:tr>
      <w:tr w:rsidR="003B0815" w14:paraId="14C14BD2" w14:textId="77777777">
        <w:trPr>
          <w:jc w:val="center"/>
        </w:trPr>
        <w:tc>
          <w:tcPr>
            <w:tcW w:w="1270" w:type="dxa"/>
            <w:tcBorders>
              <w:left w:val="single" w:color="auto" w:sz="12" w:space="0"/>
            </w:tcBorders>
            <w:vAlign w:val="bottom"/>
          </w:tcPr>
          <w:p w:rsidR="003B0815" w:rsidRDefault="003B0815" w14:paraId="7F9B2871" w14:textId="77777777">
            <w:pPr>
              <w:keepNext/>
              <w:jc w:val="center"/>
              <w:rPr>
                <w:rFonts w:ascii="Arial" w:hAnsi="Arial"/>
                <w:sz w:val="20"/>
                <w:szCs w:val="20"/>
              </w:rPr>
            </w:pPr>
            <w:r>
              <w:rPr>
                <w:rFonts w:ascii="Arial" w:hAnsi="Arial"/>
                <w:sz w:val="20"/>
                <w:szCs w:val="20"/>
              </w:rPr>
              <w:t>6</w:t>
            </w:r>
          </w:p>
        </w:tc>
        <w:tc>
          <w:tcPr>
            <w:tcW w:w="1377" w:type="dxa"/>
            <w:vAlign w:val="bottom"/>
          </w:tcPr>
          <w:p w:rsidR="003B0815" w:rsidRDefault="003B0815" w14:paraId="7E6B82A4" w14:textId="77777777">
            <w:pPr>
              <w:keepNext/>
              <w:jc w:val="center"/>
              <w:rPr>
                <w:rFonts w:ascii="Arial" w:hAnsi="Arial" w:cs="Arial"/>
                <w:sz w:val="20"/>
                <w:szCs w:val="20"/>
              </w:rPr>
            </w:pPr>
            <w:r>
              <w:rPr>
                <w:rFonts w:ascii="Arial" w:hAnsi="Arial" w:cs="Arial"/>
                <w:sz w:val="20"/>
                <w:szCs w:val="20"/>
              </w:rPr>
              <w:t>23.2</w:t>
            </w:r>
          </w:p>
        </w:tc>
        <w:tc>
          <w:tcPr>
            <w:tcW w:w="1619" w:type="dxa"/>
            <w:vAlign w:val="bottom"/>
          </w:tcPr>
          <w:p w:rsidR="003B0815" w:rsidRDefault="003B0815" w14:paraId="7D7FB6B3" w14:textId="77777777">
            <w:pPr>
              <w:keepNext/>
              <w:jc w:val="center"/>
              <w:rPr>
                <w:rFonts w:ascii="Arial" w:hAnsi="Arial" w:cs="Arial"/>
                <w:sz w:val="20"/>
                <w:szCs w:val="20"/>
              </w:rPr>
            </w:pPr>
            <w:r>
              <w:rPr>
                <w:rFonts w:ascii="Arial" w:hAnsi="Arial" w:cs="Arial"/>
                <w:sz w:val="20"/>
                <w:szCs w:val="20"/>
              </w:rPr>
              <w:t>55.7</w:t>
            </w:r>
          </w:p>
        </w:tc>
        <w:tc>
          <w:tcPr>
            <w:tcW w:w="2161" w:type="dxa"/>
            <w:vAlign w:val="bottom"/>
          </w:tcPr>
          <w:p w:rsidR="003B0815" w:rsidRDefault="003B0815" w14:paraId="2790EB3D" w14:textId="77777777">
            <w:pPr>
              <w:keepNext/>
              <w:jc w:val="center"/>
              <w:rPr>
                <w:rFonts w:ascii="Arial" w:hAnsi="Arial" w:cs="Arial"/>
                <w:sz w:val="20"/>
                <w:szCs w:val="20"/>
              </w:rPr>
            </w:pPr>
            <w:r>
              <w:rPr>
                <w:rFonts w:ascii="Arial" w:hAnsi="Arial" w:cs="Arial"/>
                <w:sz w:val="20"/>
                <w:szCs w:val="20"/>
              </w:rPr>
              <w:t>75.8</w:t>
            </w:r>
          </w:p>
        </w:tc>
        <w:tc>
          <w:tcPr>
            <w:tcW w:w="1473" w:type="dxa"/>
            <w:tcBorders>
              <w:right w:val="single" w:color="auto" w:sz="12" w:space="0"/>
            </w:tcBorders>
            <w:shd w:val="clear" w:color="auto" w:fill="CCCCCC"/>
            <w:vAlign w:val="bottom"/>
          </w:tcPr>
          <w:p w:rsidR="003B0815" w:rsidRDefault="003B0815" w14:paraId="7D9D4086" w14:textId="77777777">
            <w:pPr>
              <w:keepNext/>
              <w:jc w:val="center"/>
              <w:rPr>
                <w:rFonts w:ascii="Arial" w:hAnsi="Arial" w:cs="Arial"/>
                <w:b/>
                <w:sz w:val="20"/>
                <w:szCs w:val="20"/>
              </w:rPr>
            </w:pPr>
            <w:r>
              <w:rPr>
                <w:rFonts w:ascii="Arial" w:hAnsi="Arial" w:cs="Arial"/>
                <w:sz w:val="20"/>
                <w:szCs w:val="20"/>
              </w:rPr>
              <w:t>154.7</w:t>
            </w:r>
          </w:p>
        </w:tc>
      </w:tr>
      <w:tr w:rsidR="003B0815" w14:paraId="4B5A0F54" w14:textId="77777777">
        <w:trPr>
          <w:jc w:val="center"/>
        </w:trPr>
        <w:tc>
          <w:tcPr>
            <w:tcW w:w="1270" w:type="dxa"/>
            <w:tcBorders>
              <w:left w:val="single" w:color="auto" w:sz="12" w:space="0"/>
            </w:tcBorders>
            <w:vAlign w:val="bottom"/>
          </w:tcPr>
          <w:p w:rsidR="003B0815" w:rsidRDefault="003B0815" w14:paraId="56866392" w14:textId="77777777">
            <w:pPr>
              <w:keepNext/>
              <w:jc w:val="center"/>
              <w:rPr>
                <w:rFonts w:ascii="Arial" w:hAnsi="Arial"/>
                <w:sz w:val="20"/>
                <w:szCs w:val="20"/>
              </w:rPr>
            </w:pPr>
            <w:r>
              <w:rPr>
                <w:rFonts w:ascii="Arial" w:hAnsi="Arial"/>
                <w:sz w:val="20"/>
                <w:szCs w:val="20"/>
              </w:rPr>
              <w:t>7</w:t>
            </w:r>
          </w:p>
        </w:tc>
        <w:tc>
          <w:tcPr>
            <w:tcW w:w="1377" w:type="dxa"/>
            <w:vAlign w:val="bottom"/>
          </w:tcPr>
          <w:p w:rsidR="003B0815" w:rsidRDefault="003B0815" w14:paraId="7CA6BF49" w14:textId="77777777">
            <w:pPr>
              <w:keepNext/>
              <w:jc w:val="center"/>
              <w:rPr>
                <w:rFonts w:ascii="Arial" w:hAnsi="Arial" w:cs="Arial"/>
                <w:sz w:val="20"/>
                <w:szCs w:val="20"/>
              </w:rPr>
            </w:pPr>
            <w:r>
              <w:rPr>
                <w:rFonts w:ascii="Arial" w:hAnsi="Arial" w:cs="Arial"/>
                <w:sz w:val="20"/>
                <w:szCs w:val="20"/>
              </w:rPr>
              <w:t>24.4</w:t>
            </w:r>
          </w:p>
        </w:tc>
        <w:tc>
          <w:tcPr>
            <w:tcW w:w="1619" w:type="dxa"/>
            <w:vAlign w:val="bottom"/>
          </w:tcPr>
          <w:p w:rsidR="003B0815" w:rsidRDefault="003B0815" w14:paraId="24055F43" w14:textId="77777777">
            <w:pPr>
              <w:keepNext/>
              <w:jc w:val="center"/>
              <w:rPr>
                <w:rFonts w:ascii="Arial" w:hAnsi="Arial" w:cs="Arial"/>
                <w:sz w:val="20"/>
                <w:szCs w:val="20"/>
              </w:rPr>
            </w:pPr>
            <w:r>
              <w:rPr>
                <w:rFonts w:ascii="Arial" w:hAnsi="Arial" w:cs="Arial"/>
                <w:sz w:val="20"/>
                <w:szCs w:val="20"/>
              </w:rPr>
              <w:t>58.5</w:t>
            </w:r>
          </w:p>
        </w:tc>
        <w:tc>
          <w:tcPr>
            <w:tcW w:w="2161" w:type="dxa"/>
            <w:vAlign w:val="bottom"/>
          </w:tcPr>
          <w:p w:rsidR="003B0815" w:rsidRDefault="003B0815" w14:paraId="7D245E09" w14:textId="77777777">
            <w:pPr>
              <w:keepNext/>
              <w:jc w:val="center"/>
              <w:rPr>
                <w:rFonts w:ascii="Arial" w:hAnsi="Arial" w:cs="Arial"/>
                <w:sz w:val="20"/>
                <w:szCs w:val="20"/>
              </w:rPr>
            </w:pPr>
            <w:r>
              <w:rPr>
                <w:rFonts w:ascii="Arial" w:hAnsi="Arial" w:cs="Arial"/>
                <w:sz w:val="20"/>
                <w:szCs w:val="20"/>
              </w:rPr>
              <w:t>79.6</w:t>
            </w:r>
          </w:p>
        </w:tc>
        <w:tc>
          <w:tcPr>
            <w:tcW w:w="1473" w:type="dxa"/>
            <w:tcBorders>
              <w:right w:val="single" w:color="auto" w:sz="12" w:space="0"/>
            </w:tcBorders>
            <w:shd w:val="clear" w:color="auto" w:fill="CCCCCC"/>
            <w:vAlign w:val="bottom"/>
          </w:tcPr>
          <w:p w:rsidR="003B0815" w:rsidRDefault="003B0815" w14:paraId="77387128" w14:textId="77777777">
            <w:pPr>
              <w:keepNext/>
              <w:jc w:val="center"/>
              <w:rPr>
                <w:rFonts w:ascii="Arial" w:hAnsi="Arial" w:cs="Arial"/>
                <w:b/>
                <w:sz w:val="20"/>
                <w:szCs w:val="20"/>
              </w:rPr>
            </w:pPr>
            <w:r>
              <w:rPr>
                <w:rFonts w:ascii="Arial" w:hAnsi="Arial" w:cs="Arial"/>
                <w:sz w:val="20"/>
                <w:szCs w:val="20"/>
              </w:rPr>
              <w:t>162.5</w:t>
            </w:r>
          </w:p>
        </w:tc>
      </w:tr>
      <w:tr w:rsidR="003B0815" w14:paraId="761D37EC" w14:textId="77777777">
        <w:trPr>
          <w:jc w:val="center"/>
        </w:trPr>
        <w:tc>
          <w:tcPr>
            <w:tcW w:w="1270" w:type="dxa"/>
            <w:tcBorders>
              <w:left w:val="single" w:color="auto" w:sz="12" w:space="0"/>
            </w:tcBorders>
            <w:vAlign w:val="bottom"/>
          </w:tcPr>
          <w:p w:rsidR="003B0815" w:rsidRDefault="003B0815" w14:paraId="590AF6D6" w14:textId="77777777">
            <w:pPr>
              <w:keepNext/>
              <w:jc w:val="center"/>
              <w:rPr>
                <w:rFonts w:ascii="Arial" w:hAnsi="Arial"/>
                <w:sz w:val="20"/>
                <w:szCs w:val="20"/>
              </w:rPr>
            </w:pPr>
            <w:r>
              <w:rPr>
                <w:rFonts w:ascii="Arial" w:hAnsi="Arial"/>
                <w:sz w:val="20"/>
                <w:szCs w:val="20"/>
              </w:rPr>
              <w:t>8</w:t>
            </w:r>
          </w:p>
        </w:tc>
        <w:tc>
          <w:tcPr>
            <w:tcW w:w="1377" w:type="dxa"/>
            <w:vAlign w:val="bottom"/>
          </w:tcPr>
          <w:p w:rsidR="003B0815" w:rsidRDefault="003B0815" w14:paraId="14AC4A1C" w14:textId="77777777">
            <w:pPr>
              <w:keepNext/>
              <w:jc w:val="center"/>
              <w:rPr>
                <w:rFonts w:ascii="Arial" w:hAnsi="Arial" w:cs="Arial"/>
                <w:sz w:val="20"/>
                <w:szCs w:val="20"/>
              </w:rPr>
            </w:pPr>
            <w:r>
              <w:rPr>
                <w:rFonts w:ascii="Arial" w:hAnsi="Arial" w:cs="Arial"/>
                <w:sz w:val="20"/>
                <w:szCs w:val="20"/>
              </w:rPr>
              <w:t>25.6</w:t>
            </w:r>
          </w:p>
        </w:tc>
        <w:tc>
          <w:tcPr>
            <w:tcW w:w="1619" w:type="dxa"/>
            <w:vAlign w:val="bottom"/>
          </w:tcPr>
          <w:p w:rsidR="003B0815" w:rsidRDefault="003B0815" w14:paraId="30A3C9E6" w14:textId="77777777">
            <w:pPr>
              <w:keepNext/>
              <w:jc w:val="center"/>
              <w:rPr>
                <w:rFonts w:ascii="Arial" w:hAnsi="Arial" w:cs="Arial"/>
                <w:sz w:val="20"/>
                <w:szCs w:val="20"/>
              </w:rPr>
            </w:pPr>
            <w:r>
              <w:rPr>
                <w:rFonts w:ascii="Arial" w:hAnsi="Arial" w:cs="Arial"/>
                <w:sz w:val="20"/>
                <w:szCs w:val="20"/>
              </w:rPr>
              <w:t>61.4</w:t>
            </w:r>
          </w:p>
        </w:tc>
        <w:tc>
          <w:tcPr>
            <w:tcW w:w="2161" w:type="dxa"/>
            <w:vAlign w:val="bottom"/>
          </w:tcPr>
          <w:p w:rsidR="003B0815" w:rsidRDefault="003B0815" w14:paraId="16853919" w14:textId="77777777">
            <w:pPr>
              <w:keepNext/>
              <w:jc w:val="center"/>
              <w:rPr>
                <w:rFonts w:ascii="Arial" w:hAnsi="Arial" w:cs="Arial"/>
                <w:sz w:val="20"/>
                <w:szCs w:val="20"/>
              </w:rPr>
            </w:pPr>
            <w:r>
              <w:rPr>
                <w:rFonts w:ascii="Arial" w:hAnsi="Arial" w:cs="Arial"/>
                <w:sz w:val="20"/>
                <w:szCs w:val="20"/>
              </w:rPr>
              <w:t>83.6</w:t>
            </w:r>
          </w:p>
        </w:tc>
        <w:tc>
          <w:tcPr>
            <w:tcW w:w="1473" w:type="dxa"/>
            <w:tcBorders>
              <w:right w:val="single" w:color="auto" w:sz="12" w:space="0"/>
            </w:tcBorders>
            <w:shd w:val="clear" w:color="auto" w:fill="CCCCCC"/>
            <w:vAlign w:val="bottom"/>
          </w:tcPr>
          <w:p w:rsidR="003B0815" w:rsidRDefault="003B0815" w14:paraId="0FEC44EF" w14:textId="77777777">
            <w:pPr>
              <w:keepNext/>
              <w:jc w:val="center"/>
              <w:rPr>
                <w:rFonts w:ascii="Arial" w:hAnsi="Arial" w:cs="Arial"/>
                <w:b/>
                <w:sz w:val="20"/>
                <w:szCs w:val="20"/>
              </w:rPr>
            </w:pPr>
            <w:r>
              <w:rPr>
                <w:rFonts w:ascii="Arial" w:hAnsi="Arial" w:cs="Arial"/>
                <w:sz w:val="20"/>
                <w:szCs w:val="20"/>
              </w:rPr>
              <w:t>170.6</w:t>
            </w:r>
          </w:p>
        </w:tc>
      </w:tr>
      <w:tr w:rsidR="003B0815" w14:paraId="2FD0F567" w14:textId="77777777">
        <w:trPr>
          <w:jc w:val="center"/>
        </w:trPr>
        <w:tc>
          <w:tcPr>
            <w:tcW w:w="1270" w:type="dxa"/>
            <w:tcBorders>
              <w:left w:val="single" w:color="auto" w:sz="12" w:space="0"/>
            </w:tcBorders>
            <w:vAlign w:val="bottom"/>
          </w:tcPr>
          <w:p w:rsidR="003B0815" w:rsidRDefault="003B0815" w14:paraId="59F7544A" w14:textId="77777777">
            <w:pPr>
              <w:keepNext/>
              <w:jc w:val="center"/>
              <w:rPr>
                <w:rFonts w:ascii="Arial" w:hAnsi="Arial"/>
                <w:sz w:val="20"/>
                <w:szCs w:val="20"/>
              </w:rPr>
            </w:pPr>
            <w:r>
              <w:rPr>
                <w:rFonts w:ascii="Arial" w:hAnsi="Arial"/>
                <w:sz w:val="20"/>
                <w:szCs w:val="20"/>
              </w:rPr>
              <w:t>9</w:t>
            </w:r>
          </w:p>
        </w:tc>
        <w:tc>
          <w:tcPr>
            <w:tcW w:w="1377" w:type="dxa"/>
            <w:vAlign w:val="bottom"/>
          </w:tcPr>
          <w:p w:rsidR="003B0815" w:rsidRDefault="003B0815" w14:paraId="006988F5" w14:textId="77777777">
            <w:pPr>
              <w:keepNext/>
              <w:jc w:val="center"/>
              <w:rPr>
                <w:rFonts w:ascii="Arial" w:hAnsi="Arial" w:cs="Arial"/>
                <w:sz w:val="20"/>
                <w:szCs w:val="20"/>
              </w:rPr>
            </w:pPr>
            <w:r>
              <w:rPr>
                <w:rFonts w:ascii="Arial" w:hAnsi="Arial" w:cs="Arial"/>
                <w:sz w:val="20"/>
                <w:szCs w:val="20"/>
              </w:rPr>
              <w:t>26.9</w:t>
            </w:r>
          </w:p>
        </w:tc>
        <w:tc>
          <w:tcPr>
            <w:tcW w:w="1619" w:type="dxa"/>
            <w:vAlign w:val="bottom"/>
          </w:tcPr>
          <w:p w:rsidR="003B0815" w:rsidRDefault="003B0815" w14:paraId="6BB7CBF5" w14:textId="77777777">
            <w:pPr>
              <w:keepNext/>
              <w:jc w:val="center"/>
              <w:rPr>
                <w:rFonts w:ascii="Arial" w:hAnsi="Arial" w:cs="Arial"/>
                <w:sz w:val="20"/>
                <w:szCs w:val="20"/>
              </w:rPr>
            </w:pPr>
            <w:r>
              <w:rPr>
                <w:rFonts w:ascii="Arial" w:hAnsi="Arial" w:cs="Arial"/>
                <w:sz w:val="20"/>
                <w:szCs w:val="20"/>
              </w:rPr>
              <w:t>64.5</w:t>
            </w:r>
          </w:p>
        </w:tc>
        <w:tc>
          <w:tcPr>
            <w:tcW w:w="2161" w:type="dxa"/>
            <w:vAlign w:val="bottom"/>
          </w:tcPr>
          <w:p w:rsidR="003B0815" w:rsidRDefault="003B0815" w14:paraId="0518759D" w14:textId="77777777">
            <w:pPr>
              <w:keepNext/>
              <w:jc w:val="center"/>
              <w:rPr>
                <w:rFonts w:ascii="Arial" w:hAnsi="Arial" w:cs="Arial"/>
                <w:sz w:val="20"/>
                <w:szCs w:val="20"/>
              </w:rPr>
            </w:pPr>
            <w:r>
              <w:rPr>
                <w:rFonts w:ascii="Arial" w:hAnsi="Arial" w:cs="Arial"/>
                <w:sz w:val="20"/>
                <w:szCs w:val="20"/>
              </w:rPr>
              <w:t>87.7</w:t>
            </w:r>
          </w:p>
        </w:tc>
        <w:tc>
          <w:tcPr>
            <w:tcW w:w="1473" w:type="dxa"/>
            <w:tcBorders>
              <w:right w:val="single" w:color="auto" w:sz="12" w:space="0"/>
            </w:tcBorders>
            <w:shd w:val="clear" w:color="auto" w:fill="CCCCCC"/>
            <w:vAlign w:val="bottom"/>
          </w:tcPr>
          <w:p w:rsidR="003B0815" w:rsidRDefault="003B0815" w14:paraId="1664B06D" w14:textId="77777777">
            <w:pPr>
              <w:keepNext/>
              <w:jc w:val="center"/>
              <w:rPr>
                <w:rFonts w:ascii="Arial" w:hAnsi="Arial" w:cs="Arial"/>
                <w:b/>
                <w:sz w:val="20"/>
                <w:szCs w:val="20"/>
              </w:rPr>
            </w:pPr>
            <w:r>
              <w:rPr>
                <w:rFonts w:ascii="Arial" w:hAnsi="Arial" w:cs="Arial"/>
                <w:sz w:val="20"/>
                <w:szCs w:val="20"/>
              </w:rPr>
              <w:t>179.1</w:t>
            </w:r>
          </w:p>
        </w:tc>
      </w:tr>
      <w:tr w:rsidR="003B0815" w14:paraId="1D81039C" w14:textId="77777777">
        <w:trPr>
          <w:jc w:val="center"/>
        </w:trPr>
        <w:tc>
          <w:tcPr>
            <w:tcW w:w="1270" w:type="dxa"/>
            <w:tcBorders>
              <w:left w:val="single" w:color="auto" w:sz="12" w:space="0"/>
              <w:bottom w:val="single" w:color="auto" w:sz="12" w:space="0"/>
            </w:tcBorders>
            <w:vAlign w:val="bottom"/>
          </w:tcPr>
          <w:p w:rsidR="003B0815" w:rsidRDefault="003B0815" w14:paraId="7E6345E8" w14:textId="77777777">
            <w:pPr>
              <w:keepNext/>
              <w:jc w:val="center"/>
              <w:rPr>
                <w:rFonts w:ascii="Arial" w:hAnsi="Arial"/>
                <w:sz w:val="20"/>
                <w:szCs w:val="20"/>
              </w:rPr>
            </w:pPr>
            <w:r>
              <w:rPr>
                <w:rFonts w:ascii="Arial" w:hAnsi="Arial"/>
                <w:sz w:val="20"/>
                <w:szCs w:val="20"/>
              </w:rPr>
              <w:t>10</w:t>
            </w:r>
          </w:p>
        </w:tc>
        <w:tc>
          <w:tcPr>
            <w:tcW w:w="1377" w:type="dxa"/>
            <w:tcBorders>
              <w:bottom w:val="single" w:color="auto" w:sz="12" w:space="0"/>
            </w:tcBorders>
            <w:vAlign w:val="bottom"/>
          </w:tcPr>
          <w:p w:rsidR="003B0815" w:rsidRDefault="003B0815" w14:paraId="417DDF26" w14:textId="77777777">
            <w:pPr>
              <w:keepNext/>
              <w:jc w:val="center"/>
              <w:rPr>
                <w:rFonts w:ascii="Arial" w:hAnsi="Arial" w:cs="Arial"/>
                <w:sz w:val="20"/>
                <w:szCs w:val="20"/>
              </w:rPr>
            </w:pPr>
            <w:r>
              <w:rPr>
                <w:rFonts w:ascii="Arial" w:hAnsi="Arial" w:cs="Arial"/>
                <w:sz w:val="20"/>
                <w:szCs w:val="20"/>
              </w:rPr>
              <w:t>28.2</w:t>
            </w:r>
          </w:p>
        </w:tc>
        <w:tc>
          <w:tcPr>
            <w:tcW w:w="1619" w:type="dxa"/>
            <w:tcBorders>
              <w:bottom w:val="single" w:color="auto" w:sz="12" w:space="0"/>
            </w:tcBorders>
            <w:vAlign w:val="bottom"/>
          </w:tcPr>
          <w:p w:rsidR="003B0815" w:rsidRDefault="003B0815" w14:paraId="14E6970A" w14:textId="77777777">
            <w:pPr>
              <w:keepNext/>
              <w:jc w:val="center"/>
              <w:rPr>
                <w:rFonts w:ascii="Arial" w:hAnsi="Arial" w:cs="Arial"/>
                <w:sz w:val="20"/>
                <w:szCs w:val="20"/>
              </w:rPr>
            </w:pPr>
            <w:r>
              <w:rPr>
                <w:rFonts w:ascii="Arial" w:hAnsi="Arial" w:cs="Arial"/>
                <w:sz w:val="20"/>
                <w:szCs w:val="20"/>
              </w:rPr>
              <w:t>67.7</w:t>
            </w:r>
          </w:p>
        </w:tc>
        <w:tc>
          <w:tcPr>
            <w:tcW w:w="2161" w:type="dxa"/>
            <w:tcBorders>
              <w:bottom w:val="single" w:color="auto" w:sz="12" w:space="0"/>
            </w:tcBorders>
            <w:vAlign w:val="bottom"/>
          </w:tcPr>
          <w:p w:rsidR="003B0815" w:rsidRDefault="003B0815" w14:paraId="6D3D1320" w14:textId="77777777">
            <w:pPr>
              <w:keepNext/>
              <w:jc w:val="center"/>
              <w:rPr>
                <w:rFonts w:ascii="Arial" w:hAnsi="Arial" w:cs="Arial"/>
                <w:sz w:val="20"/>
                <w:szCs w:val="20"/>
              </w:rPr>
            </w:pPr>
            <w:r>
              <w:rPr>
                <w:rFonts w:ascii="Arial" w:hAnsi="Arial" w:cs="Arial"/>
                <w:sz w:val="20"/>
                <w:szCs w:val="20"/>
              </w:rPr>
              <w:t>92.1</w:t>
            </w:r>
          </w:p>
        </w:tc>
        <w:tc>
          <w:tcPr>
            <w:tcW w:w="1473" w:type="dxa"/>
            <w:tcBorders>
              <w:bottom w:val="single" w:color="auto" w:sz="12" w:space="0"/>
              <w:right w:val="single" w:color="auto" w:sz="12" w:space="0"/>
            </w:tcBorders>
            <w:shd w:val="clear" w:color="auto" w:fill="CCCCCC"/>
            <w:vAlign w:val="bottom"/>
          </w:tcPr>
          <w:p w:rsidR="003B0815" w:rsidRDefault="003B0815" w14:paraId="5B13B12D" w14:textId="77777777">
            <w:pPr>
              <w:keepNext/>
              <w:jc w:val="center"/>
              <w:rPr>
                <w:rFonts w:ascii="Arial" w:hAnsi="Arial" w:cs="Arial"/>
                <w:b/>
                <w:sz w:val="20"/>
                <w:szCs w:val="20"/>
              </w:rPr>
            </w:pPr>
            <w:r>
              <w:rPr>
                <w:rFonts w:ascii="Arial" w:hAnsi="Arial" w:cs="Arial"/>
                <w:sz w:val="20"/>
                <w:szCs w:val="20"/>
              </w:rPr>
              <w:t>188.0</w:t>
            </w:r>
          </w:p>
        </w:tc>
      </w:tr>
      <w:tr w:rsidR="003B0815" w14:paraId="7BB8DF2B" w14:textId="77777777">
        <w:trPr>
          <w:jc w:val="center"/>
        </w:trPr>
        <w:tc>
          <w:tcPr>
            <w:tcW w:w="7900" w:type="dxa"/>
            <w:gridSpan w:val="5"/>
            <w:tcBorders>
              <w:top w:val="single" w:color="auto" w:sz="12" w:space="0"/>
              <w:left w:val="nil"/>
              <w:bottom w:val="nil"/>
              <w:right w:val="nil"/>
            </w:tcBorders>
            <w:vAlign w:val="bottom"/>
          </w:tcPr>
          <w:p w:rsidR="003B0815" w:rsidRDefault="003B0815" w14:paraId="79743F9A" w14:textId="77777777">
            <w:pPr>
              <w:keepNext/>
              <w:rPr>
                <w:rFonts w:ascii="Arial" w:hAnsi="Arial" w:cs="Arial"/>
                <w:sz w:val="20"/>
                <w:szCs w:val="20"/>
              </w:rPr>
            </w:pPr>
            <w:r>
              <w:rPr>
                <w:rFonts w:ascii="Arial" w:hAnsi="Arial" w:cs="Arial"/>
                <w:sz w:val="20"/>
                <w:szCs w:val="20"/>
              </w:rPr>
              <w:t>* Totals may not sum due to rounding.</w:t>
            </w:r>
          </w:p>
        </w:tc>
      </w:tr>
    </w:tbl>
    <w:p w:rsidR="003B0815" w:rsidRDefault="003B0815" w14:paraId="7E5667EF" w14:textId="77777777">
      <w:pPr>
        <w:spacing w:line="360" w:lineRule="auto"/>
        <w:ind w:firstLine="720"/>
      </w:pPr>
    </w:p>
    <w:p w:rsidR="003B0815" w:rsidRDefault="003B0815" w14:paraId="53DE2AA4" w14:textId="77777777">
      <w:pPr>
        <w:pStyle w:val="RegEvalSectionSubheader"/>
        <w:keepNext/>
        <w:spacing w:line="360" w:lineRule="auto"/>
      </w:pPr>
      <w:bookmarkStart w:name="_Toc111627365" w:id="157"/>
      <w:bookmarkStart w:name="_Toc114566416" w:id="158"/>
      <w:bookmarkStart w:name="_Toc141001077" w:id="159"/>
      <w:bookmarkStart w:name="_Toc141000906" w:id="160"/>
      <w:bookmarkStart w:name="_Toc165278433" w:id="161"/>
      <w:bookmarkStart w:name="_Toc202683381" w:id="162"/>
      <w:r>
        <w:t>1.4.3 Watch List Matching Today</w:t>
      </w:r>
      <w:bookmarkEnd w:id="157"/>
      <w:bookmarkEnd w:id="158"/>
      <w:bookmarkEnd w:id="159"/>
      <w:bookmarkEnd w:id="160"/>
      <w:bookmarkEnd w:id="161"/>
      <w:bookmarkEnd w:id="162"/>
    </w:p>
    <w:p w:rsidR="003B0815" w:rsidRDefault="003B0815" w14:paraId="0D16C84C" w14:textId="77777777">
      <w:pPr>
        <w:keepNext/>
        <w:spacing w:line="360" w:lineRule="auto"/>
        <w:rPr>
          <w:b/>
        </w:rPr>
      </w:pPr>
      <w:r>
        <w:rPr>
          <w:b/>
        </w:rPr>
        <w:t>Domestic</w:t>
      </w:r>
    </w:p>
    <w:p w:rsidR="003B0815" w:rsidRDefault="003B0815" w14:paraId="3E0EC29B" w14:textId="77777777">
      <w:pPr>
        <w:spacing w:line="360" w:lineRule="auto"/>
        <w:ind w:firstLine="720"/>
      </w:pPr>
      <w:r>
        <w:t>At present, covered aircraft operators employ a variety of methods to conduct watch list matching.  Most major carriers have a corporate security department that keeps track of when TSA posts updated watch lists.  These lists are then incorporated into the carriers’ automated reservation systems.  Though there are various procedures in place across airlines, representatives of two carriers stated the process of incorporating the updated watch list into their reservation systems requires two to three hours to complete.</w:t>
      </w:r>
    </w:p>
    <w:p w:rsidR="003B0815" w:rsidRDefault="003B0815" w14:paraId="574C9A96" w14:textId="77777777">
      <w:pPr>
        <w:spacing w:line="360" w:lineRule="auto"/>
        <w:ind w:firstLine="720"/>
      </w:pPr>
      <w:r>
        <w:t>The reservation systems perform name-based comparisons of passenger names to the names in the watch lists.  Some major airlines have recently invested in technology that uses sophisticated algorithms to compare passenger names to TSA’s watch lists.  Others continue to perform more basic automated comparisons, while some, predominately smaller, airlines do not use an automated process.  The boarding pass of a passenger whose name matches a name on the list is “inhibited” until it can be determined the passenger is not a threat to aviation security.  In the case of some major carriers, the passenger record is referred to a special watch list adjudication staff maintained by the carrier 24 hours a day.  This staff attempts to verify the individual’s identity and rule out false positives before the passenger checks in at the ticket counter.</w:t>
      </w:r>
    </w:p>
    <w:p w:rsidR="003B0815" w:rsidRDefault="003B0815" w14:paraId="30D34402" w14:textId="77777777">
      <w:pPr>
        <w:spacing w:line="360" w:lineRule="auto"/>
        <w:ind w:firstLine="720"/>
      </w:pPr>
      <w:r>
        <w:t>If this staff cannot distinguish the passenger from the name on the watch list, or if the carrier does not have such a staff, additional information is collected from the passenger at the ticket counter.  Generally, the carrier’s Ground Security Coordinator or TSA is consulted to determine the appropriate course of action based on the available information.  In some cases, an interview with a law enforcement officer is required before a passenger can be cleared to enter the airport sterile area.</w:t>
      </w:r>
    </w:p>
    <w:p w:rsidR="003B0815" w:rsidRDefault="003B0815" w14:paraId="33E4E090" w14:textId="77777777">
      <w:pPr>
        <w:spacing w:line="360" w:lineRule="auto"/>
        <w:ind w:firstLine="720"/>
      </w:pPr>
      <w:r>
        <w:t>Since each carrier determines its own procedures, there are many variations in current processes based on carrier size and the automation of their systems.  Some of the larger carriers maintain 24-hour operations to manage the watch list matching process.  Even among these large carriers, however, there are some that require all of their watch list matches to be adjudicated at the ticket counter rather than dedicate staff to attempting to clear these passengers prior to check-in.  In similar cost-saving fashion, mid-size and smaller carriers may also use resources for the watch list process that also perform other tasks.  This yields great diversity in the current application, continuity, and quality of watch list checks.</w:t>
      </w:r>
    </w:p>
    <w:p w:rsidR="003B0815" w:rsidRDefault="003B0815" w14:paraId="6E87B400" w14:textId="77777777">
      <w:pPr>
        <w:spacing w:line="360" w:lineRule="auto"/>
        <w:ind w:firstLine="720"/>
      </w:pPr>
      <w:r>
        <w:t>Air carriers today do not keep records on the number of false positives created by their watch list matching processes.  They are only required to report true positive matches, i.e., when the passenger requesting transportation is actually the person identified on the No Fly list.  The airlines are responsible for maintaining these records for only seven days.</w:t>
      </w:r>
    </w:p>
    <w:p w:rsidR="003B0815" w:rsidRDefault="003B0815" w14:paraId="67114CF9" w14:textId="77777777">
      <w:pPr>
        <w:spacing w:line="360" w:lineRule="auto"/>
        <w:ind w:firstLine="720"/>
      </w:pPr>
      <w:r>
        <w:t>After much inquiry, TSA was able to acquire only anecdotal estimates from a few airlines on the number of watch list matches processed daily.  As noted, some large and many smaller airlines adjudicate all of their matches at the ticket counter and no record is kept of the outcome.  Many smaller airlines could not even speculate on a daily volume of watch list matches, much less a rate of false positives.  Overall, there is no industry data available to estimate what percentage of domestic air passengers are affected by watch list matching performed by the covered aircraft operators.  Consequently, TSA was unable to identify a watch list baseline for the industry.</w:t>
      </w:r>
      <w:bookmarkStart w:name="_Toc111627366" w:id="163"/>
    </w:p>
    <w:p w:rsidR="003B0815" w:rsidRDefault="003B0815" w14:paraId="1DC2D8BB" w14:textId="77777777">
      <w:pPr>
        <w:keepNext/>
        <w:spacing w:line="360" w:lineRule="auto"/>
        <w:rPr>
          <w:b/>
        </w:rPr>
      </w:pPr>
      <w:r>
        <w:rPr>
          <w:b/>
        </w:rPr>
        <w:t>International</w:t>
      </w:r>
    </w:p>
    <w:p w:rsidR="003B0815" w:rsidRDefault="003B0815" w14:paraId="57014377" w14:textId="77777777">
      <w:pPr>
        <w:spacing w:line="360" w:lineRule="auto"/>
        <w:ind w:firstLine="720"/>
      </w:pPr>
      <w:r>
        <w:t>The baseline watch list matching process for international passengers under Secure Flight is the process established by the APIS pre-departure final rule.  Interested parties are referred to the preamble of the APIS final rule to learn about changes to the international watch list process.</w:t>
      </w:r>
    </w:p>
    <w:p w:rsidR="003B0815" w:rsidRDefault="003B0815" w14:paraId="66861BA6" w14:textId="77777777">
      <w:pPr>
        <w:spacing w:line="360" w:lineRule="auto"/>
        <w:ind w:firstLine="720"/>
        <w:sectPr w:rsidR="003B0815">
          <w:pgSz w:w="12240" w:h="15840"/>
          <w:pgMar w:top="1440" w:right="1440" w:bottom="1440" w:left="1440" w:header="720" w:footer="720" w:gutter="0"/>
          <w:cols w:space="720"/>
          <w:docGrid w:linePitch="360"/>
        </w:sectPr>
      </w:pPr>
    </w:p>
    <w:p w:rsidR="003B0815" w:rsidRDefault="003B0815" w14:paraId="41DF8CF7" w14:textId="77777777">
      <w:pPr>
        <w:pStyle w:val="RegEvalSectionHeader"/>
        <w:keepNext/>
        <w:spacing w:line="360" w:lineRule="auto"/>
      </w:pPr>
      <w:bookmarkStart w:name="_Toc114566417" w:id="164"/>
      <w:bookmarkStart w:name="OLE_LINK2" w:id="165"/>
      <w:bookmarkStart w:name="_Toc141001078" w:id="166"/>
      <w:bookmarkStart w:name="_Toc141000907" w:id="167"/>
      <w:bookmarkStart w:name="_Toc165278434" w:id="168"/>
      <w:bookmarkStart w:name="_Toc202683382" w:id="169"/>
      <w:r>
        <w:t>Section 5: Benefits</w:t>
      </w:r>
      <w:bookmarkEnd w:id="163"/>
      <w:bookmarkEnd w:id="164"/>
      <w:bookmarkEnd w:id="166"/>
      <w:bookmarkEnd w:id="167"/>
      <w:bookmarkEnd w:id="168"/>
      <w:bookmarkEnd w:id="169"/>
    </w:p>
    <w:p w:rsidR="003B0815" w:rsidRDefault="003B0815" w14:paraId="382FBB85" w14:textId="77777777">
      <w:pPr>
        <w:pStyle w:val="RegEvalSectionSubheader"/>
        <w:keepNext/>
        <w:spacing w:line="360" w:lineRule="auto"/>
      </w:pPr>
      <w:bookmarkStart w:name="_Toc107984956" w:id="170"/>
      <w:bookmarkStart w:name="_Toc111627367" w:id="171"/>
      <w:bookmarkStart w:name="_Toc114566418" w:id="172"/>
      <w:bookmarkStart w:name="_Toc141001079" w:id="173"/>
      <w:bookmarkStart w:name="_Toc141000908" w:id="174"/>
      <w:bookmarkStart w:name="_Toc165278435" w:id="175"/>
      <w:bookmarkStart w:name="_Toc202683383" w:id="176"/>
      <w:r>
        <w:t>1.5.1 Summary of Benefits</w:t>
      </w:r>
      <w:bookmarkEnd w:id="170"/>
      <w:bookmarkEnd w:id="171"/>
      <w:bookmarkEnd w:id="172"/>
      <w:bookmarkEnd w:id="173"/>
      <w:bookmarkEnd w:id="174"/>
      <w:bookmarkEnd w:id="175"/>
      <w:bookmarkEnd w:id="176"/>
    </w:p>
    <w:p w:rsidR="003B0815" w:rsidRDefault="003B0815" w14:paraId="1A39A45A" w14:textId="77777777">
      <w:pPr>
        <w:spacing w:line="360" w:lineRule="auto"/>
        <w:ind w:firstLine="720"/>
      </w:pPr>
      <w:r>
        <w:t>Secure Flight operational testing will exercise and validate TSA’s ability to connect with the aircraft operators and the TSC, receive passenger and non-traveler information, conduct watch list matching, and transmit watch list results back to the aircraft operators using live data from SFPDs.  Once the testing results achieve the program’s desired efficacy levels, Secure Flight will be implemented and TSA will receive the primary responsibility for airline passenger watch list matching.</w:t>
      </w:r>
    </w:p>
    <w:p w:rsidR="003B0815" w:rsidRDefault="003B0815" w14:paraId="3062CBAA" w14:textId="77777777">
      <w:pPr>
        <w:spacing w:line="360" w:lineRule="auto"/>
        <w:ind w:firstLine="720"/>
      </w:pPr>
      <w:r>
        <w:t>Benefits of the rule occur in two phases: the first during operational testing and the second post-implementation.  During operational testing, Secure Flight screens passengers in parallel with the airlines.  Primary responsibility for watch list matching remains with covered aircraft operators during this period, but Secure Flight may notify aircraft operators if its watch list matching technology enables it to detect a potential match the aircraft operator may have missed.  Therefore, during the operational testing phase, benefits include increased aviation security resulting from the detection of threats not identified by carriers participating in the testing.</w:t>
      </w:r>
    </w:p>
    <w:p w:rsidR="003B0815" w:rsidRDefault="003B0815" w14:paraId="592C10B9" w14:textId="77777777">
      <w:pPr>
        <w:spacing w:line="360" w:lineRule="auto"/>
        <w:ind w:firstLine="720"/>
      </w:pPr>
      <w:r>
        <w:t>Most of the rule’s benefits occur post-implementation.  These include more accurate, timely, and comprehensive screening, and a reduction in false positives.  This occurs because Secure Flight has access to more data than airlines with which to distinguish passengers from records in the watch lists.  Further, the airlines will be relieved of watch list matching responsibilities, and TSA will be relieved of distributing the watch lists.</w:t>
      </w:r>
    </w:p>
    <w:p w:rsidR="003B0815" w:rsidRDefault="003B0815" w14:paraId="0A8A6C7E" w14:textId="77777777">
      <w:pPr>
        <w:spacing w:line="360" w:lineRule="auto"/>
        <w:ind w:firstLine="720"/>
      </w:pPr>
      <w:r>
        <w:t>Other benefits include increased security due to the watch list matching of non-traveling individuals who request access to a sterile area.  Also, the rule anticipates that TSA may allow airports also to authorize non-traveling individuals to enter the airport sterile area.  As a result, the rule establishes requirements related to airports’ transmission of information from non-traveling individuals to Secure Flight for watch list matching.  These requirements only apply to airports that request and receive authorization from TSA to grant non-traveling individuals access to the airport sterile area.</w:t>
      </w:r>
    </w:p>
    <w:p w:rsidR="003B0815" w:rsidRDefault="003B0815" w14:paraId="7B70C4BC" w14:textId="77777777">
      <w:pPr>
        <w:spacing w:line="360" w:lineRule="auto"/>
        <w:ind w:firstLine="720"/>
      </w:pPr>
      <w:r>
        <w:t xml:space="preserve">Once TSA assumes responsibility of watch list matching, and assuming passenger data provided to TSA matches the data on the government-issued identification, watch list matching should be more efficient and secure than methods the airlines currently have in place.  The resources used by the government enable TSA to better focus its resources and security screening efforts on those passengers who are identified as likely to pose a threat to aviation security.  This benefit is further augmented by the requirement that covered airlines must print on boarding passes a code generated by the Secure Flight system that is unique for each watch list result returned.  Depending on the final implementation method, this requirement at a minimum allows checkpoint personnel to verify that a boarding or gate pass has been processed by the Secure Flight system. </w:t>
      </w:r>
    </w:p>
    <w:p w:rsidR="003B0815" w:rsidRDefault="003B0815" w14:paraId="30384B85" w14:textId="77777777">
      <w:pPr>
        <w:spacing w:line="360" w:lineRule="auto"/>
        <w:ind w:firstLine="720"/>
      </w:pPr>
      <w:r>
        <w:t>Finally, the rule consolidates passenger prescreening operations within the department, thereby reducing redundancies between similar programs and facilitating better governance.  The rule enables CBP to focus its resources on its mission of protecting U.S. borders while permitting TSA to apply its expertise in watch list matching consistently across all commercial air traffic within and overflying the United States.  DHS expects that reducing overlap between these agencies’ missions will improve national security through more efficient and targeted use of national resources.</w:t>
      </w:r>
    </w:p>
    <w:p w:rsidR="003B0815" w:rsidRDefault="003B0815" w14:paraId="7AB60474" w14:textId="77777777">
      <w:pPr>
        <w:spacing w:line="360" w:lineRule="auto"/>
        <w:ind w:firstLine="720"/>
      </w:pPr>
      <w:r>
        <w:t>TSA has also conducted a “break-even” analysis which indicates the tradeoffs between program cost and program benefits (in the form of reductions in the baseline risk of a significant aviation-related terror attack) that would be required for Secure Flight to be a cost beneficial undertaking.</w:t>
      </w:r>
    </w:p>
    <w:p w:rsidR="003B0815" w:rsidRDefault="003B0815" w14:paraId="33D5DFDC" w14:textId="77777777">
      <w:pPr>
        <w:pStyle w:val="RegEvalSectionSubheader"/>
        <w:keepNext/>
        <w:spacing w:line="360" w:lineRule="auto"/>
      </w:pPr>
      <w:bookmarkStart w:name="_Toc111627368" w:id="177"/>
      <w:bookmarkStart w:name="_Toc114566419" w:id="178"/>
      <w:bookmarkStart w:name="_Toc141001081" w:id="179"/>
      <w:bookmarkStart w:name="_Toc141000910" w:id="180"/>
      <w:bookmarkStart w:name="_Toc165278436" w:id="181"/>
      <w:bookmarkStart w:name="_Toc202683384" w:id="182"/>
      <w:r>
        <w:t>1.5.2 Improved Security and Additional Access for Non-traveling Individuals</w:t>
      </w:r>
      <w:bookmarkEnd w:id="179"/>
      <w:bookmarkEnd w:id="180"/>
      <w:bookmarkEnd w:id="181"/>
      <w:bookmarkEnd w:id="182"/>
    </w:p>
    <w:p w:rsidR="003B0815" w:rsidRDefault="003B0815" w14:paraId="2EF9CF5E" w14:textId="77777777">
      <w:pPr>
        <w:spacing w:line="360" w:lineRule="auto"/>
        <w:ind w:firstLine="720"/>
      </w:pPr>
      <w:bookmarkStart w:name="OLE_LINK6" w:id="183"/>
      <w:r>
        <w:t>The security benefits of passenger screening by Secure Flight also apply to the screening of non-traveling individuals.  Secure Flight requires the airlines to submit the full name, date of birth, gender, and Redress Number (if available) of a non-traveling individual, along with the airport code of the airport to which access is being requested, to Secure Flight for watch list matching purposes before issuing the individual a pass to enter the sterile area.  The rule also requires an aircraft operator representative to obtain other identifying information if TSA is unable to complete watch list matching for the individual.</w:t>
      </w:r>
      <w:bookmarkEnd w:id="183"/>
    </w:p>
    <w:p w:rsidR="003B0815" w:rsidRDefault="003B0815" w14:paraId="409517D3" w14:textId="77777777">
      <w:pPr>
        <w:spacing w:line="360" w:lineRule="auto"/>
        <w:ind w:firstLine="720"/>
      </w:pPr>
      <w:r>
        <w:t>TSA currently permits airlines to authorize non-traveling individuals to enter the sterile area if the individual has a permitted reason to do so, such as escorting a minor or a passenger with disabilities.  The rule anticipates that TSA may allow airports to also authorize non-traveling individuals to enter the airport sterile area.  As a result, the rule establishes requirements related to airports’ transmission of information from non-traveling individuals to Secure Flight for watch list matching.  The requirements only apply to airports that request and receive authorization from TSA to grant non-traveling individuals access to the airport sterile area.</w:t>
      </w:r>
    </w:p>
    <w:p w:rsidR="003B0815" w:rsidRDefault="003B0815" w14:paraId="32BFC8DA" w14:textId="77777777">
      <w:pPr>
        <w:spacing w:line="360" w:lineRule="auto"/>
        <w:ind w:firstLine="720"/>
      </w:pPr>
      <w:r>
        <w:t>While approved programs are not strictly defined, these could include programs that would provide access to retail facilities within the sterile areas.  Several airport operators have significant retail establishments within the sterile areas and individuals who are not currently permitted to access the sterile area are not permitted access to these establishments.</w:t>
      </w:r>
    </w:p>
    <w:p w:rsidR="003B0815" w:rsidRDefault="003B0815" w14:paraId="02892CD0" w14:textId="77777777">
      <w:pPr>
        <w:pStyle w:val="RegEvalSectionSubheader"/>
        <w:keepNext/>
        <w:spacing w:line="360" w:lineRule="auto"/>
      </w:pPr>
      <w:bookmarkStart w:name="_Toc111627369" w:id="184"/>
      <w:bookmarkStart w:name="_Toc114566420" w:id="185"/>
      <w:bookmarkStart w:name="_Toc141001082" w:id="186"/>
      <w:bookmarkStart w:name="_Toc141000911" w:id="187"/>
      <w:bookmarkStart w:name="_Toc165278437" w:id="188"/>
      <w:bookmarkStart w:name="_Toc202683385" w:id="189"/>
      <w:bookmarkEnd w:id="177"/>
      <w:bookmarkEnd w:id="178"/>
      <w:r>
        <w:t>1.5.3 Reduced False Positives</w:t>
      </w:r>
      <w:bookmarkEnd w:id="184"/>
      <w:bookmarkEnd w:id="185"/>
      <w:bookmarkEnd w:id="186"/>
      <w:bookmarkEnd w:id="187"/>
      <w:bookmarkEnd w:id="188"/>
      <w:bookmarkEnd w:id="189"/>
    </w:p>
    <w:p w:rsidR="003B0815" w:rsidRDefault="003B0815" w14:paraId="6388E454" w14:textId="77777777">
      <w:pPr>
        <w:spacing w:line="360" w:lineRule="auto"/>
        <w:ind w:firstLine="720"/>
      </w:pPr>
      <w:r>
        <w:t>Once the initial testing period and parallel processing is completed, the reduction in the incidence of false positives through enhanced watch list matching processes becomes available.  TSA will utilize the first phase to create benchmark data upon which to compare match rates in the future.  The additional information required by the rule, date of birth, gender, and Redress Number, focuses security efforts on passengers and non-traveling individuals who truly pose a potential threat to aviation security.  Passengers who have the same name as but a different gender from a record in the watch list will no longer be flagged as possible watch list matches and will not be subject to delays at the ticket counter, higher levels of screening, or the possibility of being denied boarding.</w:t>
      </w:r>
    </w:p>
    <w:p w:rsidR="003B0815" w:rsidRDefault="003B0815" w14:paraId="15AC5046" w14:textId="77777777">
      <w:pPr>
        <w:spacing w:line="360" w:lineRule="auto"/>
        <w:ind w:firstLine="720"/>
      </w:pPr>
      <w:r>
        <w:t xml:space="preserve">This reduction will be achieved through a multilayered approach.  First, the additional personal data collected should contain enough uniquely identifying information to differentiate a false positive from a watch list match.  Secondly, a TSA matching analyst compares the available information for any potential match to the Selectee and No Fly lists to </w:t>
      </w:r>
      <w:r>
        <w:rPr>
          <w:szCs w:val="22"/>
        </w:rPr>
        <w:t>classified and unclassified governmental terrorist, law enforcement, and intelligence databases</w:t>
      </w:r>
      <w:r>
        <w:rPr>
          <w:rStyle w:val="FootnoteReference"/>
          <w:szCs w:val="22"/>
        </w:rPr>
        <w:footnoteReference w:id="25"/>
      </w:r>
      <w:r>
        <w:rPr>
          <w:szCs w:val="22"/>
        </w:rPr>
        <w:t xml:space="preserve"> in an attempt to distinguish a false positive from a watch list match prior to the individual’s arrival at the airport.  Thirdly,</w:t>
      </w:r>
      <w:r>
        <w:t xml:space="preserve"> Secure Flight will keep a limited record of close name matches that have been previously cleared to prevent those individuals from being flagged during future travel.  Finally, a robust redress procedure has been implemented, enabling those who feel they have been incorrectly identified by TSA as a watch list match to submit paperwork to DHS’ Traveler Redress Inquiry Program (TRIP).  If DHS should determine the redress applicant is not a person on the watch list, DHS adds the applicant’s name to a list of known misidentified persons to avoid future name matches and issue the person a Redress Number.</w:t>
      </w:r>
    </w:p>
    <w:p w:rsidR="003B0815" w:rsidRDefault="003B0815" w14:paraId="0E904B2D" w14:textId="77777777">
      <w:pPr>
        <w:spacing w:line="360" w:lineRule="auto"/>
        <w:ind w:firstLine="720"/>
      </w:pPr>
      <w:r>
        <w:t>Extensive testing was done against a control group of known false positives and false negatives to evaluate the relative efficiencies gained from matching with various data elements.  Date of birth, full name, and gender were selected based on their non-sensitive nature and value in reducing false positives.  TSA did not receive sufficient baseline data, however, to quantify the net reduction of false positives under Secure Flight relative to the current rate of false positives.</w:t>
      </w:r>
    </w:p>
    <w:p w:rsidR="003B0815" w:rsidRDefault="003B0815" w14:paraId="50A0A43C" w14:textId="77777777">
      <w:pPr>
        <w:spacing w:line="360" w:lineRule="auto"/>
        <w:ind w:firstLine="720"/>
      </w:pPr>
      <w:r>
        <w:t>The centralized watch list matching conducted through Secure Flight also allows for development of a centralized record of passengers and non-traveling individuals flagged as possible matches to a name in the Federal watch lists and subsequently cleared.  Under the current system, these passengers and non-traveling individuals may experience delays each time they request access to a sterile area.  Additionally, a robust redress procedure allows false positives to be added to a list of known misidentified persons.  This list contains the names of all travelers who have completed DHS’ redress procedures and are deemed by DHS not to be a match to the individuals on the watch lists.  As the names of false positives are added to these lists, fewer false positives will be generated by the Secure Flight system over time.</w:t>
      </w:r>
    </w:p>
    <w:p w:rsidR="003B0815" w:rsidRDefault="003B0815" w14:paraId="3DC9760D" w14:textId="77777777">
      <w:pPr>
        <w:spacing w:line="360" w:lineRule="auto"/>
        <w:ind w:firstLine="720"/>
      </w:pPr>
      <w:r>
        <w:t xml:space="preserve">The false positive rate under Secure Flight will be affected by the stringency requirements determined during the testing phase and the size of the watch lists.  Several methods and techniques exist to identify watch list matches using SFPD, and these can create a wide range of false positive rates.  Only when Secure Flight operational testing is complete will a projected false positive rate be known.  </w:t>
      </w:r>
    </w:p>
    <w:p w:rsidR="003B0815" w:rsidRDefault="003B0815" w14:paraId="74C2ABE8" w14:textId="77777777">
      <w:pPr>
        <w:pStyle w:val="RegEvalSectionSubheader"/>
        <w:keepNext/>
        <w:spacing w:line="360" w:lineRule="auto"/>
      </w:pPr>
      <w:bookmarkStart w:name="_Toc111627370" w:id="190"/>
      <w:bookmarkStart w:name="_Toc114566421" w:id="191"/>
      <w:bookmarkStart w:name="_Toc141001083" w:id="192"/>
      <w:bookmarkStart w:name="_Toc141000912" w:id="193"/>
      <w:bookmarkStart w:name="_Toc165278438" w:id="194"/>
      <w:bookmarkStart w:name="_Toc202683386" w:id="195"/>
      <w:r>
        <w:t>1.5.4 Airlines Relieved of Watch List Responsibilities</w:t>
      </w:r>
      <w:bookmarkEnd w:id="190"/>
      <w:bookmarkEnd w:id="191"/>
      <w:bookmarkEnd w:id="192"/>
      <w:bookmarkEnd w:id="193"/>
      <w:bookmarkEnd w:id="194"/>
      <w:bookmarkEnd w:id="195"/>
    </w:p>
    <w:p w:rsidR="003B0815" w:rsidRDefault="003B0815" w14:paraId="6B49E5A7" w14:textId="77777777">
      <w:pPr>
        <w:spacing w:line="360" w:lineRule="auto"/>
        <w:ind w:firstLine="720"/>
      </w:pPr>
      <w:r>
        <w:t>Once TSA assumes primary responsibility for watch list matching and the airlines are no longer required to match passenger data in parallel, airlines will be relieved of passenger watch list matching responsibilities.  For the purpose of the estimates in this analysis, TSA assumed that domestic implementation will be completed in the first year of the rule, and international implementation will be completed in the second year.  However, the actual date the carriers will be completely relieved is not known at this time and is contingent on several factors, such as the impact of budgetary constraints and the results of operational testing.  Prior to implementation, operational testing has to demonstrate that Secure Flight does not produce a large number of false positives, has the ability to process all matching requests in an efficient and accurate manner, and is fully integrated with a system of due process for passengers who believe they have been incorrectly delayed or denied boarding as a result of Secure Flight matching.  Elimination of the watch list matching responsibilities should enable airlines to offset some costs imposed by the regulation by reallocating to other tasks some of their operational resources currently dedicated to comparing passenger information to the watch lists.</w:t>
      </w:r>
    </w:p>
    <w:p w:rsidR="003B0815" w:rsidRDefault="003B0815" w14:paraId="0CFC39F9" w14:textId="77777777">
      <w:pPr>
        <w:spacing w:line="360" w:lineRule="auto"/>
        <w:ind w:firstLine="720"/>
      </w:pPr>
      <w:r>
        <w:t>The amount of resources dedicated to watch list matching ranges significantly across airlines.  Additionally, personnel tasked to conduct watch list matching often perform additional tasks as well.  Some major airlines use more than 20 full-time employees and dedicated computer systems to conduct watch list matching and match adjudication.  Other major airlines decentralize their matching procedures and require check-in agents to adjudicate many of the name matches.  Smaller airlines may have the reservation agent conduct a simple name search in the watch list database to screen passengers.  Due to the vast differences in resources used by each of the airlines for watch list matching and the uncertainty regarding the actual date each will be relieved of watch list duties, TSA was unable to quantify these cost savings.</w:t>
      </w:r>
    </w:p>
    <w:p w:rsidR="003B0815" w:rsidRDefault="003B0815" w14:paraId="4348B423" w14:textId="77777777">
      <w:pPr>
        <w:pStyle w:val="RegEvalSectionSubheader"/>
        <w:keepNext/>
        <w:spacing w:line="360" w:lineRule="auto"/>
      </w:pPr>
      <w:bookmarkStart w:name="_Toc111627371" w:id="196"/>
      <w:bookmarkStart w:name="_Toc114566422" w:id="197"/>
      <w:bookmarkStart w:name="_Toc141001084" w:id="198"/>
      <w:bookmarkStart w:name="_Toc141000913" w:id="199"/>
      <w:bookmarkStart w:name="_Toc165278439" w:id="200"/>
      <w:bookmarkStart w:name="_Toc202683387" w:id="201"/>
      <w:r>
        <w:t xml:space="preserve">1.5.5 More Accurate </w:t>
      </w:r>
      <w:bookmarkEnd w:id="196"/>
      <w:bookmarkEnd w:id="197"/>
      <w:r>
        <w:t>Matching</w:t>
      </w:r>
      <w:bookmarkEnd w:id="198"/>
      <w:bookmarkEnd w:id="199"/>
      <w:bookmarkEnd w:id="200"/>
      <w:bookmarkEnd w:id="201"/>
    </w:p>
    <w:p w:rsidR="003B0815" w:rsidRDefault="003B0815" w14:paraId="573382C6" w14:textId="77777777">
      <w:pPr>
        <w:spacing w:line="360" w:lineRule="auto"/>
        <w:ind w:firstLine="720"/>
      </w:pPr>
      <w:r>
        <w:t>Airlines currently screen passengers using the latest version of the watch lists distributed by TSA within the prescribed time period permitted.  Variables such as the vigilance of personnel tasked to monitor TSA updates to the watch lists and the time to download and begin using these new lists can result in lags between the time when a name is added to a watch list and when it is incorporated into the matching process.  Secure Flight uses the most recent data available in the extracted TSDB when comparing passenger information to the most current watch list and known misidentified persons list.  Thus, passenger information screened under Secure Flight is ultimately more timely and accurate than the information used in current matching methods.</w:t>
      </w:r>
    </w:p>
    <w:p w:rsidR="003B0815" w:rsidRDefault="003B0815" w14:paraId="6E2CBA85" w14:textId="77777777">
      <w:pPr>
        <w:spacing w:line="360" w:lineRule="auto"/>
        <w:ind w:firstLine="720"/>
      </w:pPr>
      <w:r>
        <w:t>The automation and centralization of watch list matching allows for the matching to be more standardized and consistent.  Current matching by the airlines is completed using different methods and techniques causing some travelers to be considered a match by one airline but not by others, resulting in frustration for travelers and differing levels of security across commercial passenger aviation.  Secure Flight eliminates these differences by using a standard method for all matching.</w:t>
      </w:r>
    </w:p>
    <w:p w:rsidR="003B0815" w:rsidRDefault="003B0815" w14:paraId="44FC834B" w14:textId="77777777">
      <w:pPr>
        <w:pStyle w:val="RegEvalSectionSubheader"/>
        <w:keepNext/>
        <w:spacing w:line="360" w:lineRule="auto"/>
      </w:pPr>
      <w:bookmarkStart w:name="_Toc107984960" w:id="202"/>
      <w:bookmarkStart w:name="_Toc111627373" w:id="203"/>
      <w:bookmarkStart w:name="_Toc114566424" w:id="204"/>
      <w:bookmarkStart w:name="_Toc141001085" w:id="205"/>
      <w:bookmarkStart w:name="_Toc141000914" w:id="206"/>
      <w:bookmarkStart w:name="_Toc165278440" w:id="207"/>
      <w:bookmarkStart w:name="_Toc202683388" w:id="208"/>
      <w:r>
        <w:t>1.5.6 Increased Watch List Security</w:t>
      </w:r>
      <w:bookmarkEnd w:id="202"/>
      <w:bookmarkEnd w:id="203"/>
      <w:bookmarkEnd w:id="204"/>
      <w:bookmarkEnd w:id="205"/>
      <w:bookmarkEnd w:id="206"/>
      <w:bookmarkEnd w:id="207"/>
      <w:bookmarkEnd w:id="208"/>
    </w:p>
    <w:p w:rsidR="003B0815" w:rsidRDefault="003B0815" w14:paraId="26459B35" w14:textId="77777777">
      <w:pPr>
        <w:spacing w:line="360" w:lineRule="auto"/>
        <w:ind w:firstLine="720"/>
      </w:pPr>
      <w:r>
        <w:t>Currently, TSA distributes the No Fly and Selectee lists to all air carriers required to perform watch list matching.  Secure Flight improves the security of the watch lists by eliminating the mass distribution of the lists to the numerous air carrier personnel involved in the domestic passenger watch list matching process.  This additional level of data control reduces the possibility of unauthorized individuals accessing or obtaining the watch lists.</w:t>
      </w:r>
    </w:p>
    <w:p w:rsidR="003B0815" w:rsidRDefault="003B0815" w14:paraId="575FF441" w14:textId="77777777">
      <w:pPr>
        <w:spacing w:line="360" w:lineRule="auto"/>
        <w:ind w:firstLine="720"/>
      </w:pPr>
      <w:r>
        <w:t>While the distribution is reduced once airlines are fully relieved of watch list matching responsibilities, the watch lists will not be completely within the government domain.  Small carriers not affected by this rule will still use the distributed watch lists for their passenger matching.</w:t>
      </w:r>
      <w:bookmarkStart w:name="_Toc111627376" w:id="209"/>
      <w:bookmarkEnd w:id="165"/>
    </w:p>
    <w:p w:rsidR="003B0815" w:rsidRDefault="003B0815" w14:paraId="172A3DB4" w14:textId="77777777">
      <w:pPr>
        <w:pStyle w:val="RegEvalSectionSubheader"/>
        <w:keepNext/>
        <w:spacing w:line="360" w:lineRule="auto"/>
      </w:pPr>
      <w:bookmarkStart w:name="_Toc202683389" w:id="210"/>
      <w:r>
        <w:t>1.5.7 Consolidated Regulatory Policy</w:t>
      </w:r>
      <w:bookmarkEnd w:id="210"/>
    </w:p>
    <w:p w:rsidR="003B0815" w:rsidRDefault="003B0815" w14:paraId="4A8DDEEF" w14:textId="77777777">
      <w:pPr>
        <w:spacing w:line="360" w:lineRule="auto"/>
        <w:ind w:firstLine="720"/>
      </w:pPr>
      <w:r>
        <w:t>The regulation consolidates passenger pre-screening programs within the Department of Homeland Security.  Channeling all pre-screening activities through one agency provides for increased program efficiencies and better governance.  Consolidating two program offices that perform similar tasks can reduce redundancy.  Consolidation also allows for better coordination within the government to remain responsive to both the airline industry and to traveling individuals, thereby generally improving governance.</w:t>
      </w:r>
    </w:p>
    <w:p w:rsidR="003B0815" w:rsidRDefault="003B0815" w14:paraId="3FAE47AC" w14:textId="77777777">
      <w:pPr>
        <w:pStyle w:val="RegEvalSectionSubheader"/>
        <w:keepNext/>
        <w:spacing w:line="360" w:lineRule="auto"/>
      </w:pPr>
      <w:bookmarkStart w:name="_Toc165278441" w:id="211"/>
      <w:bookmarkStart w:name="_Toc202683390" w:id="212"/>
      <w:r>
        <w:t xml:space="preserve">1.5.8 </w:t>
      </w:r>
      <w:smartTag w:uri="urn:schemas-microsoft-com:office:smarttags" w:element="place">
        <w:smartTag w:uri="urn:schemas-microsoft-com:office:smarttags" w:element="PlaceName">
          <w:r>
            <w:t>Boarding</w:t>
          </w:r>
        </w:smartTag>
        <w:r>
          <w:t xml:space="preserve"> </w:t>
        </w:r>
        <w:smartTag w:uri="urn:schemas-microsoft-com:office:smarttags" w:element="PlaceType">
          <w:r>
            <w:t>Pass</w:t>
          </w:r>
        </w:smartTag>
      </w:smartTag>
      <w:r>
        <w:t xml:space="preserve"> Authentication</w:t>
      </w:r>
      <w:bookmarkEnd w:id="211"/>
      <w:bookmarkEnd w:id="212"/>
    </w:p>
    <w:p w:rsidR="003B0815" w:rsidRDefault="003B0815" w14:paraId="1C006AF4" w14:textId="77777777">
      <w:pPr>
        <w:spacing w:line="360" w:lineRule="auto"/>
        <w:ind w:firstLine="720"/>
      </w:pPr>
      <w:r>
        <w:t>TSA also requires covered airlines to print on boarding or gate passes a unique code generated by the Secure Flight system when returning watch list results for individuals requesting access to the sterile area.  The benefits of this requirement vary, depending on how it is implemented.  At minimum, this unique code enables checkpoint personnel to verify that a boarding pass had been processed by Secure Flight, precluding the use of forged passes.  A more robust and costly implementation would allow checkpoint personnel to query the Secure Flight system and return the ID information and watch list status for the presented boarding or gate pass.  Checkpoint personnel would then be able to verify whether the information on the presented ID matched the information that had been processed by the Secure Flight system.</w:t>
      </w:r>
    </w:p>
    <w:p w:rsidR="003B0815" w:rsidRDefault="003B0815" w14:paraId="5713C178" w14:textId="77777777">
      <w:pPr>
        <w:pStyle w:val="RegEvalSectionSubheader"/>
        <w:keepNext/>
        <w:spacing w:line="360" w:lineRule="auto"/>
      </w:pPr>
      <w:bookmarkStart w:name="_Toc202683391" w:id="213"/>
      <w:r>
        <w:t>1.5.9 Break-Even Analysis</w:t>
      </w:r>
      <w:bookmarkEnd w:id="213"/>
    </w:p>
    <w:p w:rsidR="003B0815" w:rsidRDefault="003B0815" w14:paraId="2BF20697" w14:textId="77777777">
      <w:pPr>
        <w:spacing w:line="360" w:lineRule="auto"/>
        <w:ind w:firstLine="720"/>
      </w:pPr>
      <w:r>
        <w:t>A break-even analysis for a rulemaking such as Secure Flight is aimed at framing the relationships between the effects of the rulemaking (in increasing domestic security and reducing the risk of terror attack), the cost of implementing the rule, and the baseline risks of domestic terror attacks which would be improved by the rulemaking.  Ideally, the quantification and monetization of the security benefits of this regulation would involve two steps.  First, TSA would estimate the reduction in the probability of a successful terrorist attack resulting from implementation of the regulation and estimate the monetary value of the consequences of the avoided event (collectively, the risk associated with a potential terrorist attack).  Then TSA would identify individuals’ willingness to pay for this incremental risk reduction and multiply it by the population experiencing the benefit.  Both of these steps, however, rely on key data about risks and individual preferences that are not available for this analysis.</w:t>
      </w:r>
    </w:p>
    <w:p w:rsidR="003B0815" w:rsidRDefault="003B0815" w14:paraId="7EF39B34" w14:textId="77777777">
      <w:pPr>
        <w:spacing w:line="360" w:lineRule="auto"/>
        <w:ind w:firstLine="720"/>
      </w:pPr>
      <w:r>
        <w:t xml:space="preserve">In light of these limitations, TSA conducted a “break-even” analysis to determine what reduction in overall risk of a terror attack and resulting reduction in the expected losses for the nation due to such a terror attack would be necessary in order for the expected benefits of the rule to exceed the costs.  Because the types of attacks that would be prevented by this regulation vary widely in their intensity and effects, depending both on the intent of those undertaking the attack and their effectiveness in completing it, TSA considered three example attack scenarios and the monetized losses associated with each.  Similar break-even analyses have been undertaken in support of other DHS rules, and TSA has coordinated the current analysis with these earlier ones, with the aim of maintaining consistency in DHS analyses and results.  In the case of the Secure Flight rule, some of the types of terror attacks that might be undertaken using aircraft operated by those covered under the proposed rule are similar to those that have been considered by U.S. Customs and Border Protection (CBP), and this similarity has informed the current analysis and examples.  For one scenario, however, TSA has relied on DHS research into the effects of successful delivery of a weapon of mass destruction (WMD) by an aircraft of the type affected by the proposed rule.  The conclusions of this DHS research are consistent with results from existing academic and think tank research into similar issues.  </w:t>
      </w:r>
    </w:p>
    <w:p w:rsidR="003B0815" w:rsidRDefault="003B0815" w14:paraId="62961D9D" w14:textId="77777777">
      <w:pPr>
        <w:spacing w:line="360" w:lineRule="auto"/>
        <w:ind w:firstLine="720"/>
      </w:pPr>
      <w:r>
        <w:t>In order to compare the losses associated with each scenario to the cost of the proposed rule, TSA converted casualties into a monetary total.  TSA used the Value of a Statistical Life (VSL) of $5.8 million that is used by the Department of Transportation (DOT), and which was recently revised to reflect current academic and other research into this quantity.</w:t>
      </w:r>
      <w:r>
        <w:rPr>
          <w:rStyle w:val="FootnoteReference"/>
        </w:rPr>
        <w:footnoteReference w:id="26"/>
      </w:r>
      <w:r>
        <w:t xml:space="preserve">   The VSL represents an individual’s willingness to pay to avoid a fatality onboard an aircraft, based on economic studies of the value individuals place on small changes in risk.    </w:t>
      </w:r>
      <w:r>
        <w:rPr>
          <w:i/>
        </w:rPr>
        <w:t>TSA emphasizes that the VSL is a statistical value for regulatory comparison and does not suggest that the actual value of a life can be stated in dollar terms.</w:t>
      </w:r>
    </w:p>
    <w:p w:rsidR="003B0815" w:rsidRDefault="003B0815" w14:paraId="33FAF677" w14:textId="77777777">
      <w:pPr>
        <w:spacing w:line="360" w:lineRule="auto"/>
        <w:ind w:firstLine="720"/>
      </w:pPr>
      <w:r>
        <w:t>The following paragraphs present a description of the three scenarios considered by TSA with corresponding estimates of their monetary consequences.  Together, these scenarios make up a wide range of possible consequences, which reflects the varied opportunities for attack and targeting that may exist for those intent on doing harm to the nation and its citizens.   In order to compare direct costs to direct benefits, TSA only presents the direct economic losses estimated to ensue from the attack scenarios and has omitted economic “ripple effects,” “multiplier effects” and transfers from its calculations.</w:t>
      </w:r>
    </w:p>
    <w:p w:rsidR="003B0815" w:rsidRDefault="003B0815" w14:paraId="3DCDF252" w14:textId="77777777">
      <w:pPr>
        <w:spacing w:line="360" w:lineRule="auto"/>
        <w:ind w:firstLine="720"/>
      </w:pPr>
      <w:r>
        <w:rPr>
          <w:b/>
          <w:bCs/>
        </w:rPr>
        <w:t>Scenario 1</w:t>
      </w:r>
      <w:r>
        <w:t xml:space="preserve"> involves the targeting of an aircraft for destruction, which would result in the complete loss of the aircraft and the deaths of all passengers and crew on board the aircraft.  For this scenario, TSA has relied on official FAA guidance on aviation-related values for regulatory and investment analysis.</w:t>
      </w:r>
      <w:r>
        <w:rPr>
          <w:rStyle w:val="FootnoteReference"/>
        </w:rPr>
        <w:footnoteReference w:id="27"/>
      </w:r>
      <w:r>
        <w:t xml:space="preserve">  The value and capacity of the average aircraft in the </w:t>
      </w:r>
      <w:smartTag w:uri="urn:schemas-microsoft-com:office:smarttags" w:element="country-region">
        <w:smartTag w:uri="urn:schemas-microsoft-com:office:smarttags" w:element="place">
          <w:r>
            <w:t>US</w:t>
          </w:r>
        </w:smartTag>
      </w:smartTag>
      <w:r>
        <w:t xml:space="preserve"> fleet was used in these calculations, which include an average aircraft value of $21.9 million and an average of 132 souls on board the aircraft (which includes passengers and crew, calculated at an 80% load factor).  Using the DOT VSL of $5.8 million, the monetary estimate associated with the loss of life is $766 million.  Taken together, the monetary consequence of this scenario totals $0.79 billion.</w:t>
      </w:r>
    </w:p>
    <w:p w:rsidR="003B0815" w:rsidRDefault="003B0815" w14:paraId="20D60B62" w14:textId="77777777">
      <w:pPr>
        <w:spacing w:line="360" w:lineRule="auto"/>
        <w:ind w:firstLine="720"/>
      </w:pPr>
      <w:r>
        <w:rPr>
          <w:b/>
          <w:bCs/>
        </w:rPr>
        <w:t>Scenario 2</w:t>
      </w:r>
      <w:r>
        <w:t xml:space="preserve"> posits a situation where a large aircraft is used as a missile to carry out a direct attack on a building or building complex in a densely populated urban area.  Because of these locational details, a successful attack would result in much more severe consequences, including significantly increased loss of life and widespread real property damage, compared to Scenario 1.  This scenario requires terrorist control of the aircraft’s flight path.  For valuation purposes for this scenario, TSA assumes 3,000 fatalities, valued at $17.4 billion using the DOT VSL of $5.8 million.  To maintain consistency with existing DHS analyses, in particular the APIS analysis,</w:t>
      </w:r>
      <w:r>
        <w:rPr>
          <w:rStyle w:val="FootnoteReference"/>
        </w:rPr>
        <w:footnoteReference w:id="28"/>
      </w:r>
      <w:r>
        <w:t xml:space="preserve"> TSA assumes property losses totaling $21.8 billion; this total is motivated by comparison to the City of </w:t>
      </w:r>
      <w:smartTag w:uri="urn:schemas-microsoft-com:office:smarttags" w:element="City">
        <w:smartTag w:uri="urn:schemas-microsoft-com:office:smarttags" w:element="place">
          <w:r>
            <w:t>New York Comptroller</w:t>
          </w:r>
        </w:smartTag>
      </w:smartTag>
      <w:r>
        <w:t>’s estimate of direct losses to the city due to the September 11 attacks.</w:t>
      </w:r>
      <w:r>
        <w:rPr>
          <w:rStyle w:val="FootnoteReference"/>
        </w:rPr>
        <w:footnoteReference w:id="29"/>
      </w:r>
      <w:r>
        <w:t xml:space="preserve">  Finally, based on the FAA estimate of aircraft value, losses in Scenario </w:t>
      </w:r>
      <w:r w:rsidR="00496F59">
        <w:t xml:space="preserve">2 </w:t>
      </w:r>
      <w:r>
        <w:t xml:space="preserve">include $52.5 million due to complete hull loss of the aircraft used in the attack.  The scenario elements aggregate to a total consequence of $39.25 billion.  </w:t>
      </w:r>
    </w:p>
    <w:p w:rsidR="003B0815" w:rsidRDefault="003B0815" w14:paraId="4E7F6F0A" w14:textId="77777777">
      <w:pPr>
        <w:spacing w:line="360" w:lineRule="auto"/>
        <w:ind w:firstLine="720"/>
      </w:pPr>
      <w:r>
        <w:t xml:space="preserve">Finally, </w:t>
      </w:r>
      <w:r>
        <w:rPr>
          <w:b/>
          <w:bCs/>
        </w:rPr>
        <w:t>Scenario 3</w:t>
      </w:r>
      <w:r>
        <w:t xml:space="preserve"> assumes a catastrophic situation in which an aircraft is used to deliver a nuclear or biohazard device to an urban center.  This does not necessarily involve terrorist intrusion into the cockpit.  This scenario has been examined by DHS in detail for a nuclear device.</w:t>
      </w:r>
      <w:r>
        <w:rPr>
          <w:rStyle w:val="FootnoteReference"/>
        </w:rPr>
        <w:footnoteReference w:id="30"/>
      </w:r>
      <w:r>
        <w:t xml:space="preserve">   This research concludes that the consequences of such an event would be immense and highly uncertain.  For the present analysis, TSA is using a value of $1 trillion for the direct consequences of an attack of this severity.  This value falls in the midrange of values developed in the DHS research, and is consistent with results obtained from a review of academic and think tank research into the consequences of nuclear and bioterror attacks on urban areas.  The value of $1 trillion results from loss of life in an attacked urban area in the hundreds of thousands and enormous loss of property and other productive assets.  </w:t>
      </w:r>
    </w:p>
    <w:p w:rsidR="003B0815" w:rsidRDefault="003B0815" w14:paraId="09D3B491" w14:textId="77777777">
      <w:pPr>
        <w:spacing w:line="360" w:lineRule="auto"/>
        <w:ind w:firstLine="720"/>
      </w:pPr>
      <w:r>
        <w:t xml:space="preserve">To judge the value or effectiveness of the Secure Flight rule in the context of these scenarios, it is necessary to compare the scale of monetary consequence from successful attacks like those identified with the cost of the Secure Flight program that will be deployed to reduce the risk or likelihood of such an attack being successfully accomplished. The annual risk reductions required for the rule to break even under each of the three scenarios are presented in Table 1.5.9.a.  In this analysis the comparison is made between the estimated scenario consequence and the Secure Flight undiscounted annualized cost of $326.2 million; the “required risk reduction” for breakeven is simply the ratio between this annualized program cost and the scenario consequence total.  As shown, depending on the attack scenario, underlying baseline risk of terror attack would have to be reduced by approximately 0.83 percent (in the case of Scenario 2); 0.03 percent (in the case of Scenario 3); and 41 percent (in the case of Scenario 1) for the rule to break even with respect to the specific scenario consequence.  </w:t>
      </w:r>
    </w:p>
    <w:p w:rsidR="003B0815" w:rsidRDefault="003B0815" w14:paraId="19C2E1AA" w14:textId="77777777">
      <w:pPr>
        <w:pStyle w:val="RegEvalTableHeader"/>
        <w:rPr>
          <w:szCs w:val="24"/>
        </w:rPr>
      </w:pPr>
      <w:bookmarkStart w:name="_Toc192409692" w:id="214"/>
      <w:bookmarkStart w:name="_Toc192416067" w:id="215"/>
      <w:bookmarkStart w:name="_Toc207109510" w:id="216"/>
      <w:r>
        <w:rPr>
          <w:rStyle w:val="RegEvalTableHeaderChar"/>
        </w:rPr>
        <w:t>Table 1.5.9.a: Required Reduction in Annual Risk Required (%) for  Secure Flight Annualized</w:t>
      </w:r>
      <w:r>
        <w:t xml:space="preserve"> Undiscounted Costs ($326.2 M) to Equal Expected Benefits (Avoided Loss), by Attack Scenario</w:t>
      </w:r>
      <w:bookmarkEnd w:id="214"/>
      <w:bookmarkEnd w:id="215"/>
      <w:bookmarkEnd w:id="216"/>
    </w:p>
    <w:tbl>
      <w:tblPr>
        <w:tblW w:w="9750" w:type="dxa"/>
        <w:jc w:val="center"/>
        <w:tblLayout w:type="fixed"/>
        <w:tblCellMar>
          <w:left w:w="30" w:type="dxa"/>
          <w:right w:w="30" w:type="dxa"/>
        </w:tblCellMar>
        <w:tblLook w:val="0000" w:firstRow="0" w:lastRow="0" w:firstColumn="0" w:lastColumn="0" w:noHBand="0" w:noVBand="0"/>
      </w:tblPr>
      <w:tblGrid>
        <w:gridCol w:w="966"/>
        <w:gridCol w:w="1296"/>
        <w:gridCol w:w="1080"/>
        <w:gridCol w:w="1440"/>
        <w:gridCol w:w="1224"/>
        <w:gridCol w:w="1224"/>
        <w:gridCol w:w="1440"/>
        <w:gridCol w:w="1080"/>
      </w:tblGrid>
      <w:tr w:rsidR="003B0815" w14:paraId="41AD7021" w14:textId="77777777">
        <w:tblPrEx>
          <w:tblCellMar>
            <w:top w:w="0" w:type="dxa"/>
            <w:bottom w:w="0" w:type="dxa"/>
          </w:tblCellMar>
        </w:tblPrEx>
        <w:trPr>
          <w:trHeight w:val="989"/>
          <w:jc w:val="center"/>
        </w:trPr>
        <w:tc>
          <w:tcPr>
            <w:tcW w:w="966"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6457F911"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Scenario</w:t>
            </w:r>
          </w:p>
        </w:tc>
        <w:tc>
          <w:tcPr>
            <w:tcW w:w="1296"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1DFAF7DD"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Scale</w:t>
            </w:r>
          </w:p>
        </w:tc>
        <w:tc>
          <w:tcPr>
            <w:tcW w:w="1080"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4003A856"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Loss of Life</w:t>
            </w:r>
          </w:p>
        </w:tc>
        <w:tc>
          <w:tcPr>
            <w:tcW w:w="1440"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675DB6EB"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Valuation at VSL of       $5.8 M           ($ billion)</w:t>
            </w:r>
          </w:p>
        </w:tc>
        <w:tc>
          <w:tcPr>
            <w:tcW w:w="1224"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113F40BF"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Hull Loss     ($ billion)</w:t>
            </w:r>
          </w:p>
        </w:tc>
        <w:tc>
          <w:tcPr>
            <w:tcW w:w="1224"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42A39E07"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Property Loss            ($ billion)</w:t>
            </w:r>
          </w:p>
        </w:tc>
        <w:tc>
          <w:tcPr>
            <w:tcW w:w="1440"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19F246B1"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Total Consequence ($ billion)</w:t>
            </w:r>
          </w:p>
        </w:tc>
        <w:tc>
          <w:tcPr>
            <w:tcW w:w="1080"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7E8EA719" w14:textId="7777777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Required Risk Reduction by SF</w:t>
            </w:r>
          </w:p>
        </w:tc>
      </w:tr>
      <w:tr w:rsidR="003B0815" w14:paraId="451EC55A" w14:textId="77777777">
        <w:tblPrEx>
          <w:tblCellMar>
            <w:top w:w="0" w:type="dxa"/>
            <w:bottom w:w="0" w:type="dxa"/>
          </w:tblCellMar>
        </w:tblPrEx>
        <w:trPr>
          <w:trHeight w:val="247"/>
          <w:jc w:val="center"/>
        </w:trPr>
        <w:tc>
          <w:tcPr>
            <w:tcW w:w="966" w:type="dxa"/>
            <w:tcBorders>
              <w:top w:val="single" w:color="000000" w:sz="2" w:space="0"/>
              <w:left w:val="single" w:color="000000" w:sz="2" w:space="0"/>
              <w:bottom w:val="single" w:color="000000" w:sz="2" w:space="0"/>
              <w:right w:val="single" w:color="000000" w:sz="2" w:space="0"/>
            </w:tcBorders>
          </w:tcPr>
          <w:p w:rsidR="003B0815" w:rsidRDefault="003B0815" w14:paraId="35B37A2E"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296" w:type="dxa"/>
            <w:tcBorders>
              <w:top w:val="single" w:color="000000" w:sz="2" w:space="0"/>
              <w:left w:val="single" w:color="000000" w:sz="2" w:space="0"/>
              <w:bottom w:val="single" w:color="000000" w:sz="2" w:space="0"/>
              <w:right w:val="single" w:color="000000" w:sz="2" w:space="0"/>
            </w:tcBorders>
          </w:tcPr>
          <w:p w:rsidR="003B0815" w:rsidRDefault="003B0815" w14:paraId="41630888" w14:textId="77777777">
            <w:pPr>
              <w:autoSpaceDE w:val="0"/>
              <w:autoSpaceDN w:val="0"/>
              <w:adjustRightInd w:val="0"/>
              <w:rPr>
                <w:rFonts w:ascii="Arial" w:hAnsi="Arial" w:cs="Arial"/>
                <w:color w:val="000000"/>
                <w:sz w:val="20"/>
                <w:szCs w:val="20"/>
              </w:rPr>
            </w:pPr>
            <w:r>
              <w:rPr>
                <w:rFonts w:ascii="Arial" w:hAnsi="Arial" w:cs="Arial"/>
                <w:color w:val="000000"/>
                <w:sz w:val="20"/>
                <w:szCs w:val="20"/>
              </w:rPr>
              <w:t>AC as Target</w:t>
            </w:r>
          </w:p>
        </w:tc>
        <w:tc>
          <w:tcPr>
            <w:tcW w:w="1080" w:type="dxa"/>
            <w:tcBorders>
              <w:top w:val="single" w:color="000000" w:sz="2" w:space="0"/>
              <w:left w:val="single" w:color="000000" w:sz="2" w:space="0"/>
              <w:bottom w:val="single" w:color="000000" w:sz="2" w:space="0"/>
              <w:right w:val="single" w:color="000000" w:sz="2" w:space="0"/>
            </w:tcBorders>
          </w:tcPr>
          <w:p w:rsidR="003B0815" w:rsidRDefault="003B0815" w14:paraId="0F4B30BC"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132</w:t>
            </w:r>
          </w:p>
        </w:tc>
        <w:tc>
          <w:tcPr>
            <w:tcW w:w="1440" w:type="dxa"/>
            <w:tcBorders>
              <w:top w:val="single" w:color="000000" w:sz="2" w:space="0"/>
              <w:left w:val="single" w:color="000000" w:sz="2" w:space="0"/>
              <w:bottom w:val="single" w:color="000000" w:sz="2" w:space="0"/>
              <w:right w:val="single" w:color="000000" w:sz="2" w:space="0"/>
            </w:tcBorders>
          </w:tcPr>
          <w:p w:rsidR="003B0815" w:rsidRDefault="003B0815" w14:paraId="52996247"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$0.77</w:t>
            </w:r>
          </w:p>
        </w:tc>
        <w:tc>
          <w:tcPr>
            <w:tcW w:w="1224" w:type="dxa"/>
            <w:tcBorders>
              <w:top w:val="single" w:color="000000" w:sz="2" w:space="0"/>
              <w:left w:val="single" w:color="000000" w:sz="2" w:space="0"/>
              <w:bottom w:val="single" w:color="000000" w:sz="2" w:space="0"/>
              <w:right w:val="single" w:color="000000" w:sz="2" w:space="0"/>
            </w:tcBorders>
          </w:tcPr>
          <w:p w:rsidR="003B0815" w:rsidRDefault="003B0815" w14:paraId="615C30A8"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$0.022</w:t>
            </w:r>
          </w:p>
        </w:tc>
        <w:tc>
          <w:tcPr>
            <w:tcW w:w="1224" w:type="dxa"/>
            <w:tcBorders>
              <w:top w:val="single" w:color="000000" w:sz="2" w:space="0"/>
              <w:left w:val="single" w:color="000000" w:sz="2" w:space="0"/>
              <w:bottom w:val="single" w:color="000000" w:sz="2" w:space="0"/>
              <w:right w:val="single" w:color="000000" w:sz="2" w:space="0"/>
            </w:tcBorders>
          </w:tcPr>
          <w:p w:rsidR="003B0815" w:rsidRDefault="003B0815" w14:paraId="28C38855" w14:textId="77777777">
            <w:pPr>
              <w:autoSpaceDE w:val="0"/>
              <w:autoSpaceDN w:val="0"/>
              <w:adjustRightInd w:val="0"/>
              <w:jc w:val="center"/>
              <w:rPr>
                <w:rFonts w:ascii="Arial" w:hAnsi="Arial" w:cs="Arial"/>
                <w:color w:val="000000"/>
                <w:sz w:val="20"/>
                <w:szCs w:val="20"/>
              </w:rPr>
            </w:pPr>
            <w:r>
              <w:rPr>
                <w:rFonts w:ascii="Arial" w:hAnsi="Arial" w:cs="Arial"/>
                <w:color w:val="000000"/>
                <w:sz w:val="20"/>
                <w:szCs w:val="20"/>
              </w:rPr>
              <w:t>none</w:t>
            </w:r>
          </w:p>
        </w:tc>
        <w:tc>
          <w:tcPr>
            <w:tcW w:w="1440" w:type="dxa"/>
            <w:tcBorders>
              <w:top w:val="single" w:color="000000" w:sz="2" w:space="0"/>
              <w:left w:val="single" w:color="000000" w:sz="2" w:space="0"/>
              <w:bottom w:val="single" w:color="000000" w:sz="2" w:space="0"/>
              <w:right w:val="single" w:color="000000" w:sz="2" w:space="0"/>
            </w:tcBorders>
          </w:tcPr>
          <w:p w:rsidR="003B0815" w:rsidRDefault="003B0815" w14:paraId="7051DC8C"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$0.79</w:t>
            </w:r>
          </w:p>
        </w:tc>
        <w:tc>
          <w:tcPr>
            <w:tcW w:w="1080"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0F86E57E" w14:textId="77777777">
            <w:pPr>
              <w:autoSpaceDE w:val="0"/>
              <w:autoSpaceDN w:val="0"/>
              <w:adjustRightInd w:val="0"/>
              <w:jc w:val="right"/>
              <w:rPr>
                <w:rFonts w:ascii="Arial" w:hAnsi="Arial" w:cs="Arial"/>
                <w:color w:val="000000"/>
                <w:sz w:val="20"/>
                <w:szCs w:val="20"/>
              </w:rPr>
            </w:pPr>
            <w:r>
              <w:rPr>
                <w:rFonts w:ascii="Arial" w:hAnsi="Arial" w:cs="Arial"/>
                <w:sz w:val="20"/>
                <w:szCs w:val="20"/>
              </w:rPr>
              <w:t>41.15%</w:t>
            </w:r>
          </w:p>
        </w:tc>
      </w:tr>
      <w:tr w:rsidR="003B0815" w14:paraId="00EE6398" w14:textId="77777777">
        <w:tblPrEx>
          <w:tblCellMar>
            <w:top w:w="0" w:type="dxa"/>
            <w:bottom w:w="0" w:type="dxa"/>
          </w:tblCellMar>
        </w:tblPrEx>
        <w:trPr>
          <w:trHeight w:val="247"/>
          <w:jc w:val="center"/>
        </w:trPr>
        <w:tc>
          <w:tcPr>
            <w:tcW w:w="966" w:type="dxa"/>
            <w:tcBorders>
              <w:top w:val="single" w:color="000000" w:sz="2" w:space="0"/>
              <w:left w:val="single" w:color="000000" w:sz="2" w:space="0"/>
              <w:bottom w:val="single" w:color="000000" w:sz="2" w:space="0"/>
              <w:right w:val="single" w:color="000000" w:sz="2" w:space="0"/>
            </w:tcBorders>
          </w:tcPr>
          <w:p w:rsidR="003B0815" w:rsidRDefault="003B0815" w14:paraId="4885D879"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296" w:type="dxa"/>
            <w:tcBorders>
              <w:top w:val="single" w:color="000000" w:sz="2" w:space="0"/>
              <w:left w:val="single" w:color="000000" w:sz="2" w:space="0"/>
              <w:bottom w:val="single" w:color="000000" w:sz="2" w:space="0"/>
              <w:right w:val="single" w:color="000000" w:sz="2" w:space="0"/>
            </w:tcBorders>
          </w:tcPr>
          <w:p w:rsidR="003B0815" w:rsidRDefault="003B0815" w14:paraId="51CE7E6F" w14:textId="77777777">
            <w:pPr>
              <w:autoSpaceDE w:val="0"/>
              <w:autoSpaceDN w:val="0"/>
              <w:adjustRightInd w:val="0"/>
              <w:rPr>
                <w:rFonts w:ascii="Arial" w:hAnsi="Arial" w:cs="Arial"/>
                <w:color w:val="000000"/>
                <w:sz w:val="20"/>
                <w:szCs w:val="20"/>
              </w:rPr>
            </w:pPr>
            <w:r>
              <w:rPr>
                <w:rFonts w:ascii="Arial" w:hAnsi="Arial" w:cs="Arial"/>
                <w:color w:val="000000"/>
                <w:sz w:val="20"/>
                <w:szCs w:val="20"/>
              </w:rPr>
              <w:t>Major Impact</w:t>
            </w:r>
          </w:p>
        </w:tc>
        <w:tc>
          <w:tcPr>
            <w:tcW w:w="1080" w:type="dxa"/>
            <w:tcBorders>
              <w:top w:val="single" w:color="000000" w:sz="2" w:space="0"/>
              <w:left w:val="single" w:color="000000" w:sz="2" w:space="0"/>
              <w:bottom w:val="single" w:color="000000" w:sz="2" w:space="0"/>
              <w:right w:val="single" w:color="000000" w:sz="2" w:space="0"/>
            </w:tcBorders>
          </w:tcPr>
          <w:p w:rsidR="003B0815" w:rsidRDefault="003B0815" w14:paraId="79D5586A"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3000</w:t>
            </w:r>
          </w:p>
        </w:tc>
        <w:tc>
          <w:tcPr>
            <w:tcW w:w="1440" w:type="dxa"/>
            <w:tcBorders>
              <w:top w:val="single" w:color="000000" w:sz="2" w:space="0"/>
              <w:left w:val="single" w:color="000000" w:sz="2" w:space="0"/>
              <w:bottom w:val="single" w:color="000000" w:sz="2" w:space="0"/>
              <w:right w:val="single" w:color="000000" w:sz="2" w:space="0"/>
            </w:tcBorders>
          </w:tcPr>
          <w:p w:rsidR="003B0815" w:rsidRDefault="003B0815" w14:paraId="08ADD086"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$17.4</w:t>
            </w:r>
          </w:p>
        </w:tc>
        <w:tc>
          <w:tcPr>
            <w:tcW w:w="1224" w:type="dxa"/>
            <w:tcBorders>
              <w:top w:val="single" w:color="000000" w:sz="2" w:space="0"/>
              <w:left w:val="single" w:color="000000" w:sz="2" w:space="0"/>
              <w:bottom w:val="single" w:color="000000" w:sz="2" w:space="0"/>
              <w:right w:val="single" w:color="000000" w:sz="2" w:space="0"/>
            </w:tcBorders>
          </w:tcPr>
          <w:p w:rsidR="003B0815" w:rsidRDefault="003B0815" w14:paraId="0F255B75"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$0.053</w:t>
            </w:r>
          </w:p>
        </w:tc>
        <w:tc>
          <w:tcPr>
            <w:tcW w:w="1224" w:type="dxa"/>
            <w:tcBorders>
              <w:top w:val="single" w:color="000000" w:sz="2" w:space="0"/>
              <w:left w:val="single" w:color="000000" w:sz="2" w:space="0"/>
              <w:bottom w:val="single" w:color="000000" w:sz="2" w:space="0"/>
              <w:right w:val="single" w:color="000000" w:sz="2" w:space="0"/>
            </w:tcBorders>
          </w:tcPr>
          <w:p w:rsidR="003B0815" w:rsidRDefault="003B0815" w14:paraId="27324284"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$21.8</w:t>
            </w:r>
          </w:p>
        </w:tc>
        <w:tc>
          <w:tcPr>
            <w:tcW w:w="1440" w:type="dxa"/>
            <w:tcBorders>
              <w:top w:val="single" w:color="000000" w:sz="2" w:space="0"/>
              <w:left w:val="single" w:color="000000" w:sz="2" w:space="0"/>
              <w:bottom w:val="single" w:color="000000" w:sz="2" w:space="0"/>
              <w:right w:val="single" w:color="000000" w:sz="2" w:space="0"/>
            </w:tcBorders>
          </w:tcPr>
          <w:p w:rsidR="003B0815" w:rsidRDefault="003B0815" w14:paraId="4E2E7F78"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$39.25</w:t>
            </w:r>
          </w:p>
        </w:tc>
        <w:tc>
          <w:tcPr>
            <w:tcW w:w="1080" w:type="dxa"/>
            <w:tcBorders>
              <w:top w:val="single" w:color="000000" w:sz="2" w:space="0"/>
              <w:left w:val="single" w:color="000000" w:sz="2" w:space="0"/>
              <w:bottom w:val="single" w:color="000000" w:sz="2" w:space="0"/>
              <w:right w:val="single" w:color="000000" w:sz="2" w:space="0"/>
            </w:tcBorders>
            <w:vAlign w:val="bottom"/>
          </w:tcPr>
          <w:p w:rsidR="003B0815" w:rsidRDefault="003B0815" w14:paraId="68DCFD4D" w14:textId="77777777">
            <w:pPr>
              <w:autoSpaceDE w:val="0"/>
              <w:autoSpaceDN w:val="0"/>
              <w:adjustRightInd w:val="0"/>
              <w:jc w:val="right"/>
              <w:rPr>
                <w:rFonts w:ascii="Arial" w:hAnsi="Arial" w:cs="Arial"/>
                <w:color w:val="000000"/>
                <w:sz w:val="20"/>
                <w:szCs w:val="20"/>
              </w:rPr>
            </w:pPr>
            <w:r>
              <w:rPr>
                <w:rFonts w:ascii="Arial" w:hAnsi="Arial" w:cs="Arial"/>
                <w:sz w:val="20"/>
                <w:szCs w:val="20"/>
              </w:rPr>
              <w:t>0.83%</w:t>
            </w:r>
          </w:p>
        </w:tc>
      </w:tr>
      <w:tr w:rsidR="003B0815" w14:paraId="49A7F6B2" w14:textId="77777777">
        <w:tblPrEx>
          <w:tblCellMar>
            <w:top w:w="0" w:type="dxa"/>
            <w:bottom w:w="0" w:type="dxa"/>
          </w:tblCellMar>
        </w:tblPrEx>
        <w:trPr>
          <w:trHeight w:val="247"/>
          <w:jc w:val="center"/>
        </w:trPr>
        <w:tc>
          <w:tcPr>
            <w:tcW w:w="966" w:type="dxa"/>
            <w:tcBorders>
              <w:top w:val="single" w:color="000000" w:sz="2" w:space="0"/>
              <w:left w:val="single" w:color="000000" w:sz="2" w:space="0"/>
              <w:bottom w:val="single" w:color="000000" w:sz="2" w:space="0"/>
              <w:right w:val="single" w:color="000000" w:sz="2" w:space="0"/>
            </w:tcBorders>
          </w:tcPr>
          <w:p w:rsidR="003B0815" w:rsidRDefault="003B0815" w14:paraId="546F71EB"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296" w:type="dxa"/>
            <w:tcBorders>
              <w:top w:val="single" w:color="000000" w:sz="2" w:space="0"/>
              <w:left w:val="single" w:color="000000" w:sz="2" w:space="0"/>
              <w:bottom w:val="single" w:color="000000" w:sz="2" w:space="0"/>
              <w:right w:val="single" w:color="000000" w:sz="2" w:space="0"/>
            </w:tcBorders>
          </w:tcPr>
          <w:p w:rsidR="003B0815" w:rsidRDefault="003B0815" w14:paraId="52722AF3" w14:textId="77777777">
            <w:pPr>
              <w:autoSpaceDE w:val="0"/>
              <w:autoSpaceDN w:val="0"/>
              <w:adjustRightInd w:val="0"/>
              <w:rPr>
                <w:rFonts w:ascii="Arial" w:hAnsi="Arial" w:cs="Arial"/>
                <w:color w:val="000000"/>
                <w:sz w:val="20"/>
                <w:szCs w:val="20"/>
              </w:rPr>
            </w:pPr>
            <w:r>
              <w:rPr>
                <w:rFonts w:ascii="Arial" w:hAnsi="Arial" w:cs="Arial"/>
                <w:color w:val="000000"/>
                <w:sz w:val="20"/>
                <w:szCs w:val="20"/>
              </w:rPr>
              <w:t>Catastrophic</w:t>
            </w:r>
          </w:p>
        </w:tc>
        <w:tc>
          <w:tcPr>
            <w:tcW w:w="3744" w:type="dxa"/>
            <w:gridSpan w:val="3"/>
            <w:tcBorders>
              <w:top w:val="single" w:color="000000" w:sz="2" w:space="0"/>
              <w:left w:val="single" w:color="000000" w:sz="2" w:space="0"/>
              <w:bottom w:val="single" w:color="000000" w:sz="2" w:space="0"/>
            </w:tcBorders>
          </w:tcPr>
          <w:p w:rsidR="003B0815" w:rsidRDefault="003B0815" w14:paraId="00E684C6" w14:textId="77777777">
            <w:pPr>
              <w:autoSpaceDE w:val="0"/>
              <w:autoSpaceDN w:val="0"/>
              <w:adjustRightInd w:val="0"/>
              <w:jc w:val="center"/>
              <w:rPr>
                <w:rFonts w:ascii="Arial" w:hAnsi="Arial" w:cs="Arial"/>
                <w:color w:val="000000"/>
                <w:sz w:val="20"/>
                <w:szCs w:val="20"/>
              </w:rPr>
            </w:pPr>
            <w:r>
              <w:rPr>
                <w:rFonts w:ascii="Arial" w:hAnsi="Arial" w:cs="Arial"/>
                <w:color w:val="000000"/>
                <w:sz w:val="20"/>
                <w:szCs w:val="20"/>
              </w:rPr>
              <w:t>Large and Variable across Studies</w:t>
            </w:r>
          </w:p>
        </w:tc>
        <w:tc>
          <w:tcPr>
            <w:tcW w:w="1224" w:type="dxa"/>
            <w:tcBorders>
              <w:top w:val="single" w:color="000000" w:sz="2" w:space="0"/>
              <w:bottom w:val="single" w:color="000000" w:sz="2" w:space="0"/>
              <w:right w:val="single" w:color="000000" w:sz="2" w:space="0"/>
            </w:tcBorders>
          </w:tcPr>
          <w:p w:rsidR="003B0815" w:rsidRDefault="003B0815" w14:paraId="268040E6" w14:textId="77777777">
            <w:pPr>
              <w:autoSpaceDE w:val="0"/>
              <w:autoSpaceDN w:val="0"/>
              <w:adjustRightInd w:val="0"/>
              <w:jc w:val="center"/>
              <w:rPr>
                <w:rFonts w:ascii="Arial" w:hAnsi="Arial" w:cs="Arial"/>
                <w:color w:val="000000"/>
                <w:sz w:val="20"/>
                <w:szCs w:val="20"/>
              </w:rPr>
            </w:pPr>
          </w:p>
        </w:tc>
        <w:tc>
          <w:tcPr>
            <w:tcW w:w="1440" w:type="dxa"/>
            <w:tcBorders>
              <w:top w:val="single" w:color="000000" w:sz="2" w:space="0"/>
              <w:left w:val="single" w:color="000000" w:sz="2" w:space="0"/>
              <w:bottom w:val="single" w:color="000000" w:sz="2" w:space="0"/>
              <w:right w:val="single" w:color="000000" w:sz="2" w:space="0"/>
            </w:tcBorders>
          </w:tcPr>
          <w:p w:rsidR="003B0815" w:rsidRDefault="003B0815" w14:paraId="21468E66"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$1,000.0</w:t>
            </w:r>
          </w:p>
        </w:tc>
        <w:tc>
          <w:tcPr>
            <w:tcW w:w="1080" w:type="dxa"/>
            <w:tcBorders>
              <w:top w:val="single" w:color="000000" w:sz="2" w:space="0"/>
              <w:left w:val="single" w:color="000000" w:sz="2" w:space="0"/>
              <w:bottom w:val="single" w:color="000000" w:sz="2" w:space="0"/>
              <w:right w:val="single" w:color="000000" w:sz="2" w:space="0"/>
            </w:tcBorders>
          </w:tcPr>
          <w:p w:rsidR="003B0815" w:rsidRDefault="003B0815" w14:paraId="2AD1B20A" w14:textId="77777777">
            <w:pPr>
              <w:autoSpaceDE w:val="0"/>
              <w:autoSpaceDN w:val="0"/>
              <w:adjustRightInd w:val="0"/>
              <w:jc w:val="right"/>
              <w:rPr>
                <w:rFonts w:ascii="Arial" w:hAnsi="Arial" w:cs="Arial"/>
                <w:color w:val="000000"/>
                <w:sz w:val="20"/>
                <w:szCs w:val="20"/>
              </w:rPr>
            </w:pPr>
            <w:r>
              <w:rPr>
                <w:rFonts w:ascii="Arial" w:hAnsi="Arial" w:cs="Arial"/>
                <w:color w:val="000000"/>
                <w:sz w:val="20"/>
                <w:szCs w:val="20"/>
              </w:rPr>
              <w:t>0.03%</w:t>
            </w:r>
          </w:p>
        </w:tc>
      </w:tr>
    </w:tbl>
    <w:p w:rsidR="003B0815" w:rsidRDefault="003B0815" w14:paraId="4BAFF0AE" w14:textId="77777777">
      <w:pPr>
        <w:spacing w:line="480" w:lineRule="auto"/>
        <w:ind w:firstLine="720"/>
      </w:pPr>
    </w:p>
    <w:p w:rsidR="003B0815" w:rsidRDefault="003B0815" w14:paraId="37B1157C" w14:textId="77777777">
      <w:pPr>
        <w:spacing w:line="360" w:lineRule="auto"/>
        <w:ind w:firstLine="720"/>
      </w:pPr>
      <w:r>
        <w:t>While the “required risk reduction” due to Secure Flight can be quantified, the rule’s relationship to underlying baseline risk of attack (which is the risk that would be reduced by the Secure Flight program) can be more clearly illustrated graphically using a break even frontier.  This is especially true because while the amount by which baseline risk must be reduced by Secure Flight if the Rule is cost-beneficial can be directly calculated as a ratio of program costs to attack consequences, the underlying baseline risk of an attack in any given year is highly uncertain, variable over time and in most cases can be calculated with greater accuracy only through reliance on security-sensitive information.  Such a break-even frontier graphic is depicted in Figure 1.5.9.b.</w:t>
      </w:r>
    </w:p>
    <w:p w:rsidR="003B0815" w:rsidRDefault="003B0815" w14:paraId="1F91FA75" w14:textId="77777777">
      <w:pPr>
        <w:pStyle w:val="RegEvalTableHeader"/>
      </w:pPr>
      <w:bookmarkStart w:name="_Ref192409259" w:id="217"/>
      <w:bookmarkStart w:name="_Toc192409693" w:id="218"/>
      <w:bookmarkStart w:name="_Toc192416068" w:id="219"/>
      <w:bookmarkStart w:name="_Toc207109511" w:id="220"/>
      <w:r>
        <w:t>Figure 1.5.9.b</w:t>
      </w:r>
      <w:bookmarkEnd w:id="217"/>
      <w:r>
        <w:t>: Secure Flight Breakeven Frontier for Cost Beneficial Reduction of Annual Aviation Terror Attack Risk, by Attack Consequence (Annualized Undiscounted Secure Flight Primary Cost = $326.2 M)</w:t>
      </w:r>
      <w:bookmarkEnd w:id="218"/>
      <w:bookmarkEnd w:id="219"/>
      <w:bookmarkEnd w:id="220"/>
    </w:p>
    <w:p w:rsidR="003B0815" w:rsidRDefault="003B0815" w14:paraId="3E422E20" w14:textId="77777777">
      <w:pPr>
        <w:spacing w:line="480" w:lineRule="auto"/>
        <w:ind w:firstLine="720"/>
      </w:pPr>
      <w:r>
        <w:t xml:space="preserve"> </w:t>
      </w:r>
      <w:r>
        <w:pict w14:anchorId="6F075D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05pt;height:277.5pt" type="#_x0000_t75">
            <v:imagedata o:title="" r:id="rId22"/>
          </v:shape>
        </w:pict>
      </w:r>
    </w:p>
    <w:p w:rsidR="003B0815" w:rsidRDefault="003B0815" w14:paraId="0BF05061" w14:textId="77777777">
      <w:pPr>
        <w:spacing w:line="360" w:lineRule="auto"/>
        <w:ind w:firstLine="720"/>
      </w:pPr>
      <w:r>
        <w:t xml:space="preserve">In the figure, breakeven curves are shown for each of the three attack consequence scenarios.  Moving from the northeast corner of the figure in a southwesterly direction, the curves depict Scenario 1, </w:t>
      </w:r>
      <w:r>
        <w:rPr>
          <w:i/>
          <w:iCs/>
        </w:rPr>
        <w:t>Aircraft as Target</w:t>
      </w:r>
      <w:r>
        <w:t xml:space="preserve">, Scenario 2, </w:t>
      </w:r>
      <w:r>
        <w:rPr>
          <w:i/>
        </w:rPr>
        <w:t>Major Impact</w:t>
      </w:r>
      <w:r>
        <w:t xml:space="preserve">, and Scenario 3, </w:t>
      </w:r>
      <w:r>
        <w:rPr>
          <w:i/>
        </w:rPr>
        <w:t>Catastrophic Impact</w:t>
      </w:r>
      <w:r>
        <w:t>.  Along the horizontal axis is measured the baseline annual probability or likelihood of a terror attack involving an aircraft.  In the figure, these values run from 0 percent – no chance of such an attack – to 60 percent.  (This axis could be extended to 100 percent – certainty that an attack would occur in a given year – but doing so adds little or nothing to the analysis and the presentation of the break-even frontiers.) This baseline risk may vary at different points in time, as geopolitical and other factors change, and different decision-makers may have different views and judgments on precisely what value or range of values is taken by the baseline risk.  This baseline risk expresses the status quo security setting, which will be improved, at an annualized undiscounted cost of $381.3 million, by the Secure Flight requirements.</w:t>
      </w:r>
    </w:p>
    <w:p w:rsidR="003B0815" w:rsidRDefault="003B0815" w14:paraId="1D48490C" w14:textId="77777777">
      <w:pPr>
        <w:spacing w:line="360" w:lineRule="auto"/>
        <w:ind w:firstLine="720"/>
      </w:pPr>
      <w:r>
        <w:t>Along the vertical axis is the proportionate reduction in this baseline risk due to Secure Flight. These values range from 0 percent to 100 percent.  A completely ineffective program would not reduce baseline risk at all (taking a 0 percent value on this axis) and a completely effective program, relative to baseline risk, would take a 100 percent value on this axis.</w:t>
      </w:r>
    </w:p>
    <w:p w:rsidR="003B0815" w:rsidRDefault="003B0815" w14:paraId="7927007C" w14:textId="77777777">
      <w:pPr>
        <w:spacing w:line="360" w:lineRule="auto"/>
        <w:ind w:firstLine="720"/>
      </w:pPr>
      <w:r>
        <w:t>For a given breakeven frontier (loss scenario), points along the curve represent values of baseline risk and proportionate reduction in that risk for which the expected benefits of Secure Flight, represented by a reduction in the expected societal losses due to a successful terror attack, exactly offset the estimated annualized costs of the program.  Points to the northeast of a specific frontier are cost-beneficial for that scenario, because they represent values for which the Secure Flight program provides more than enough annual risk reduction (and reduction in expected loss due to terror attack) to cover the annualized costs of the program.  Points to the southwest of a frontier are not cost-beneficial with respect to the scenario, since they indicate that the program does not provide enough risk reduction – expressed in the figure as proportionate reduction in baseline risk – to justify the program costs.  Because it depicts the relationship between baseline likelihood of an attack (of a given severity) and the extent to which the Secure Flight program reduces that baseline risk, the break-even frontier presentation is a useful tool for communicating to decision-makers some important tradeoffs related to the rule.</w:t>
      </w:r>
    </w:p>
    <w:p w:rsidR="003B0815" w:rsidRDefault="003B0815" w14:paraId="684A9EEA" w14:textId="77777777">
      <w:pPr>
        <w:spacing w:line="360" w:lineRule="auto"/>
        <w:ind w:firstLine="720"/>
        <w:sectPr w:rsidR="003B0815">
          <w:pgSz w:w="12240" w:h="15840"/>
          <w:pgMar w:top="1440" w:right="1440" w:bottom="1440" w:left="1440" w:header="720" w:footer="720" w:gutter="0"/>
          <w:cols w:space="720"/>
          <w:docGrid w:linePitch="360"/>
        </w:sectPr>
      </w:pPr>
      <w:r>
        <w:t xml:space="preserve">As indicated in the figure and the earlier table, for Scenario 1, </w:t>
      </w:r>
      <w:r>
        <w:rPr>
          <w:i/>
        </w:rPr>
        <w:t>Aircraft as Target</w:t>
      </w:r>
      <w:r>
        <w:t xml:space="preserve">, if the underlying baseline risk is less than 41.15 percent, the Secure Flight program is not cost beneficial, however effective it is, since on its own it must reduce baseline risk by at least 41.15 percent.  At the other extreme, Scenario 3, </w:t>
      </w:r>
      <w:r>
        <w:rPr>
          <w:i/>
        </w:rPr>
        <w:t>Catastrophic Attack</w:t>
      </w:r>
      <w:r>
        <w:t xml:space="preserve">, given the size of the impact relative to the cost of Secure Flight, the program is cost beneficial requiring a 0.03 percent risk reduction to meet that criteria.  For Scenario 2, </w:t>
      </w:r>
      <w:r>
        <w:rPr>
          <w:i/>
          <w:iCs/>
        </w:rPr>
        <w:t>Aircraft as Weapon</w:t>
      </w:r>
      <w:r>
        <w:t>, risk reduction must reach 0.83 percent for the Secure Flight to be cost.</w:t>
      </w:r>
    </w:p>
    <w:p w:rsidR="003B0815" w:rsidRDefault="003B0815" w14:paraId="11BF593E" w14:textId="77777777">
      <w:pPr>
        <w:pStyle w:val="RegEvalSectionHeader"/>
        <w:keepNext/>
        <w:spacing w:line="360" w:lineRule="auto"/>
      </w:pPr>
      <w:bookmarkStart w:name="_Toc114566427" w:id="221"/>
      <w:bookmarkStart w:name="_Toc141001086" w:id="222"/>
      <w:bookmarkStart w:name="_Toc141000915" w:id="223"/>
      <w:bookmarkStart w:name="_Toc165278442" w:id="224"/>
      <w:bookmarkStart w:name="_Toc202683392" w:id="225"/>
      <w:r>
        <w:t>Section 6: Costs</w:t>
      </w:r>
      <w:bookmarkEnd w:id="209"/>
      <w:bookmarkEnd w:id="221"/>
      <w:bookmarkEnd w:id="222"/>
      <w:bookmarkEnd w:id="223"/>
      <w:bookmarkEnd w:id="224"/>
      <w:bookmarkEnd w:id="225"/>
    </w:p>
    <w:p w:rsidR="003B0815" w:rsidRDefault="003B0815" w14:paraId="74CF5804" w14:textId="77777777">
      <w:pPr>
        <w:pStyle w:val="RegEvalSectionSubheader"/>
        <w:keepNext/>
        <w:spacing w:line="360" w:lineRule="auto"/>
      </w:pPr>
      <w:bookmarkStart w:name="_Toc111627377" w:id="226"/>
      <w:bookmarkStart w:name="_Toc114566428" w:id="227"/>
      <w:bookmarkStart w:name="_Toc141001087" w:id="228"/>
      <w:bookmarkStart w:name="_Toc141000916" w:id="229"/>
      <w:bookmarkStart w:name="_Toc165278443" w:id="230"/>
      <w:bookmarkStart w:name="_Toc202683393" w:id="231"/>
      <w:r>
        <w:t>1.6.1 Summary of Costs</w:t>
      </w:r>
      <w:bookmarkEnd w:id="226"/>
      <w:bookmarkEnd w:id="227"/>
      <w:bookmarkEnd w:id="228"/>
      <w:bookmarkEnd w:id="229"/>
      <w:bookmarkEnd w:id="230"/>
      <w:bookmarkEnd w:id="231"/>
    </w:p>
    <w:p w:rsidR="003B0815" w:rsidRDefault="003B0815" w14:paraId="51709002" w14:textId="77777777">
      <w:pPr>
        <w:spacing w:line="360" w:lineRule="auto"/>
        <w:ind w:firstLine="720"/>
      </w:pPr>
      <w:r>
        <w:t xml:space="preserve">This analysis divides the cost impact of the final rule into the following major categories: reprogramming of traveler reservation systems (1.6.2), burden of information collection (1.6.3 and 1.6.4), government infrastructure development (1.6.5), and opportunity cost to travelers and non-traveling individuals (1.6.6).  Table 1.6.1.a presents projected annual costs for fiscal years 2008 through 2017.  A discussion of each cost category follows the summary tables and explains in detail TSA’s derivation of the high and low scenario totals.  All costs in this section are in undiscounted 2005 constant dollars unless otherwise noted.  </w:t>
      </w:r>
    </w:p>
    <w:p w:rsidR="003B0815" w:rsidRDefault="003B0815" w14:paraId="66516E9F" w14:textId="77777777">
      <w:pPr>
        <w:spacing w:line="360" w:lineRule="auto"/>
        <w:ind w:firstLine="720"/>
      </w:pPr>
      <w:r>
        <w:t xml:space="preserve">Given the global nature of commercial aviation and the prevalence of airline partnerships, TSA was unable to divide the incidence of the estimated costs between the domestic and foreign economies.  Thus, the table below presents the aggregate costs attributable to the Secure Flight rule.  TSA has divided its discussion within each of the cost sections between domestic and international operations, reflecting the scope and phasing of the rule.  However, this distinction between costs accruing to domestic and international operations should not be confused with costs to the domestic and foreign economies.  </w:t>
      </w:r>
    </w:p>
    <w:tbl>
      <w:tblPr>
        <w:tblW w:w="1019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1"/>
        <w:gridCol w:w="1006"/>
        <w:gridCol w:w="1761"/>
        <w:gridCol w:w="1183"/>
        <w:gridCol w:w="939"/>
        <w:gridCol w:w="995"/>
        <w:gridCol w:w="995"/>
        <w:gridCol w:w="1361"/>
        <w:gridCol w:w="995"/>
      </w:tblGrid>
      <w:tr w:rsidR="003B0815" w14:paraId="725AD94F" w14:textId="77777777">
        <w:tc>
          <w:tcPr>
            <w:tcW w:w="10196" w:type="dxa"/>
            <w:gridSpan w:val="9"/>
            <w:tcBorders>
              <w:top w:val="nil"/>
              <w:left w:val="nil"/>
              <w:bottom w:val="nil"/>
              <w:right w:val="nil"/>
            </w:tcBorders>
          </w:tcPr>
          <w:p w:rsidR="003B0815" w:rsidRDefault="003B0815" w14:paraId="5D0DB80E" w14:textId="77777777">
            <w:pPr>
              <w:pStyle w:val="RegEvalTableHeader"/>
              <w:keepNext/>
              <w:rPr>
                <w:bCs/>
              </w:rPr>
            </w:pPr>
            <w:bookmarkStart w:name="_Toc165278375" w:id="232"/>
            <w:bookmarkStart w:name="_Toc174438377" w:id="233"/>
            <w:bookmarkStart w:name="_Toc207109512" w:id="234"/>
            <w:r>
              <w:rPr>
                <w:bCs/>
              </w:rPr>
              <w:t>Table 1.6.1.a Total Secure Flight Costs, Millions of 2005 $</w:t>
            </w:r>
            <w:bookmarkEnd w:id="232"/>
            <w:bookmarkEnd w:id="233"/>
            <w:bookmarkEnd w:id="234"/>
          </w:p>
        </w:tc>
      </w:tr>
      <w:tr w:rsidR="003B0815" w14:paraId="717409D1" w14:textId="77777777">
        <w:tc>
          <w:tcPr>
            <w:tcW w:w="961" w:type="dxa"/>
            <w:tcBorders>
              <w:top w:val="nil"/>
              <w:left w:val="nil"/>
              <w:bottom w:val="single" w:color="auto" w:sz="12" w:space="0"/>
              <w:right w:val="single" w:color="auto" w:sz="12" w:space="0"/>
            </w:tcBorders>
          </w:tcPr>
          <w:p w:rsidR="003B0815" w:rsidRDefault="003B0815" w14:paraId="224F9EF1" w14:textId="77777777">
            <w:pPr>
              <w:keepNext/>
            </w:pPr>
          </w:p>
        </w:tc>
        <w:tc>
          <w:tcPr>
            <w:tcW w:w="1006" w:type="dxa"/>
            <w:tcBorders>
              <w:top w:val="single" w:color="auto" w:sz="12" w:space="0"/>
              <w:left w:val="single" w:color="auto" w:sz="12" w:space="0"/>
            </w:tcBorders>
            <w:vAlign w:val="center"/>
          </w:tcPr>
          <w:p w:rsidR="003B0815" w:rsidRDefault="003B0815" w14:paraId="6391451C" w14:textId="77777777">
            <w:pPr>
              <w:keepNext/>
              <w:jc w:val="center"/>
              <w:rPr>
                <w:rFonts w:ascii="Arial" w:hAnsi="Arial" w:cs="Arial"/>
                <w:b/>
                <w:sz w:val="20"/>
                <w:szCs w:val="20"/>
              </w:rPr>
            </w:pPr>
            <w:r>
              <w:rPr>
                <w:rFonts w:ascii="Arial" w:hAnsi="Arial" w:cs="Arial"/>
                <w:b/>
                <w:sz w:val="20"/>
                <w:szCs w:val="20"/>
              </w:rPr>
              <w:t>Fiscal Year</w:t>
            </w:r>
          </w:p>
        </w:tc>
        <w:tc>
          <w:tcPr>
            <w:tcW w:w="1761" w:type="dxa"/>
            <w:tcBorders>
              <w:top w:val="single" w:color="auto" w:sz="12" w:space="0"/>
            </w:tcBorders>
            <w:vAlign w:val="center"/>
          </w:tcPr>
          <w:p w:rsidR="003B0815" w:rsidRDefault="003B0815" w14:paraId="571540E7" w14:textId="77777777">
            <w:pPr>
              <w:keepNext/>
              <w:jc w:val="center"/>
              <w:rPr>
                <w:rFonts w:ascii="Arial" w:hAnsi="Arial" w:cs="Arial"/>
                <w:b/>
                <w:sz w:val="20"/>
                <w:szCs w:val="20"/>
              </w:rPr>
            </w:pPr>
            <w:r>
              <w:rPr>
                <w:rFonts w:ascii="Arial" w:hAnsi="Arial" w:cs="Arial"/>
                <w:b/>
                <w:sz w:val="20"/>
                <w:szCs w:val="20"/>
              </w:rPr>
              <w:t>Airline Reprogramming Costs</w:t>
            </w:r>
          </w:p>
        </w:tc>
        <w:tc>
          <w:tcPr>
            <w:tcW w:w="1183" w:type="dxa"/>
            <w:tcBorders>
              <w:top w:val="single" w:color="auto" w:sz="12" w:space="0"/>
            </w:tcBorders>
            <w:vAlign w:val="center"/>
          </w:tcPr>
          <w:p w:rsidR="003B0815" w:rsidRDefault="003B0815" w14:paraId="6567AFD0" w14:textId="77777777">
            <w:pPr>
              <w:keepNext/>
              <w:jc w:val="center"/>
              <w:rPr>
                <w:rFonts w:ascii="Arial" w:hAnsi="Arial" w:cs="Arial"/>
                <w:b/>
                <w:sz w:val="20"/>
                <w:szCs w:val="20"/>
              </w:rPr>
            </w:pPr>
            <w:r>
              <w:rPr>
                <w:rFonts w:ascii="Arial" w:hAnsi="Arial" w:cs="Arial"/>
                <w:b/>
                <w:sz w:val="20"/>
                <w:szCs w:val="20"/>
              </w:rPr>
              <w:t>Airline Collection Costs</w:t>
            </w:r>
          </w:p>
        </w:tc>
        <w:tc>
          <w:tcPr>
            <w:tcW w:w="939" w:type="dxa"/>
            <w:tcBorders>
              <w:top w:val="single" w:color="auto" w:sz="12" w:space="0"/>
            </w:tcBorders>
            <w:vAlign w:val="center"/>
          </w:tcPr>
          <w:p w:rsidR="003B0815" w:rsidRDefault="003B0815" w14:paraId="55D0ACDB" w14:textId="77777777">
            <w:pPr>
              <w:keepNext/>
              <w:jc w:val="center"/>
              <w:rPr>
                <w:rFonts w:ascii="Arial" w:hAnsi="Arial" w:cs="Arial"/>
                <w:b/>
                <w:sz w:val="20"/>
                <w:szCs w:val="20"/>
              </w:rPr>
            </w:pPr>
            <w:r>
              <w:rPr>
                <w:rFonts w:ascii="Arial" w:hAnsi="Arial" w:cs="Arial"/>
                <w:b/>
                <w:sz w:val="20"/>
                <w:szCs w:val="20"/>
              </w:rPr>
              <w:t>Travel Agency Costs</w:t>
            </w:r>
          </w:p>
        </w:tc>
        <w:tc>
          <w:tcPr>
            <w:tcW w:w="995" w:type="dxa"/>
            <w:tcBorders>
              <w:top w:val="single" w:color="auto" w:sz="12" w:space="0"/>
            </w:tcBorders>
            <w:vAlign w:val="center"/>
          </w:tcPr>
          <w:p w:rsidR="003B0815" w:rsidRDefault="003B0815" w14:paraId="418435C9" w14:textId="77777777">
            <w:pPr>
              <w:keepNext/>
              <w:jc w:val="center"/>
              <w:rPr>
                <w:rFonts w:ascii="Arial" w:hAnsi="Arial" w:cs="Arial"/>
                <w:b/>
                <w:sz w:val="20"/>
                <w:szCs w:val="20"/>
              </w:rPr>
            </w:pPr>
            <w:r>
              <w:rPr>
                <w:rFonts w:ascii="Arial" w:hAnsi="Arial" w:cs="Arial"/>
                <w:b/>
                <w:sz w:val="20"/>
                <w:szCs w:val="20"/>
              </w:rPr>
              <w:t>Federal Costs</w:t>
            </w:r>
          </w:p>
        </w:tc>
        <w:tc>
          <w:tcPr>
            <w:tcW w:w="995" w:type="dxa"/>
            <w:tcBorders>
              <w:top w:val="single" w:color="auto" w:sz="12" w:space="0"/>
            </w:tcBorders>
            <w:vAlign w:val="center"/>
          </w:tcPr>
          <w:p w:rsidR="003B0815" w:rsidRDefault="003B0815" w14:paraId="08102CE6" w14:textId="77777777">
            <w:pPr>
              <w:keepNext/>
              <w:jc w:val="center"/>
              <w:rPr>
                <w:rFonts w:ascii="Arial" w:hAnsi="Arial" w:cs="Arial"/>
                <w:b/>
                <w:sz w:val="20"/>
                <w:szCs w:val="20"/>
              </w:rPr>
            </w:pPr>
            <w:r>
              <w:rPr>
                <w:rFonts w:ascii="Arial" w:hAnsi="Arial" w:cs="Arial"/>
                <w:b/>
                <w:sz w:val="20"/>
                <w:szCs w:val="20"/>
              </w:rPr>
              <w:t>Total Cash Outlay</w:t>
            </w:r>
          </w:p>
        </w:tc>
        <w:tc>
          <w:tcPr>
            <w:tcW w:w="1361" w:type="dxa"/>
            <w:tcBorders>
              <w:top w:val="single" w:color="auto" w:sz="12" w:space="0"/>
            </w:tcBorders>
            <w:vAlign w:val="center"/>
          </w:tcPr>
          <w:p w:rsidR="003B0815" w:rsidRDefault="003B0815" w14:paraId="6F9734F7" w14:textId="77777777">
            <w:pPr>
              <w:keepNext/>
              <w:jc w:val="center"/>
              <w:rPr>
                <w:rFonts w:ascii="Arial" w:hAnsi="Arial" w:cs="Arial"/>
                <w:b/>
                <w:sz w:val="20"/>
                <w:szCs w:val="20"/>
              </w:rPr>
            </w:pPr>
            <w:r>
              <w:rPr>
                <w:rFonts w:ascii="Arial" w:hAnsi="Arial" w:cs="Arial"/>
                <w:b/>
                <w:sz w:val="20"/>
                <w:szCs w:val="20"/>
              </w:rPr>
              <w:t xml:space="preserve">Passenger </w:t>
            </w:r>
            <w:smartTag w:uri="urn:schemas-microsoft-com:office:smarttags" w:element="place">
              <w:r>
                <w:rPr>
                  <w:rFonts w:ascii="Arial" w:hAnsi="Arial" w:cs="Arial"/>
                  <w:b/>
                  <w:sz w:val="20"/>
                  <w:szCs w:val="20"/>
                </w:rPr>
                <w:t>Opportunity</w:t>
              </w:r>
            </w:smartTag>
            <w:r>
              <w:rPr>
                <w:rFonts w:ascii="Arial" w:hAnsi="Arial" w:cs="Arial"/>
                <w:b/>
                <w:sz w:val="20"/>
                <w:szCs w:val="20"/>
              </w:rPr>
              <w:t xml:space="preserve"> Costs</w:t>
            </w:r>
          </w:p>
        </w:tc>
        <w:tc>
          <w:tcPr>
            <w:tcW w:w="995" w:type="dxa"/>
            <w:tcBorders>
              <w:top w:val="single" w:color="auto" w:sz="12" w:space="0"/>
              <w:right w:val="single" w:color="auto" w:sz="12" w:space="0"/>
            </w:tcBorders>
            <w:vAlign w:val="center"/>
          </w:tcPr>
          <w:p w:rsidR="003B0815" w:rsidRDefault="003B0815" w14:paraId="16D7D787" w14:textId="77777777">
            <w:pPr>
              <w:keepNext/>
              <w:jc w:val="center"/>
              <w:rPr>
                <w:rFonts w:ascii="Arial" w:hAnsi="Arial" w:cs="Arial"/>
                <w:b/>
                <w:sz w:val="20"/>
                <w:szCs w:val="20"/>
              </w:rPr>
            </w:pPr>
            <w:r>
              <w:rPr>
                <w:rFonts w:ascii="Arial" w:hAnsi="Arial" w:cs="Arial"/>
                <w:b/>
                <w:sz w:val="20"/>
                <w:szCs w:val="20"/>
              </w:rPr>
              <w:t>Total Costs</w:t>
            </w:r>
          </w:p>
        </w:tc>
      </w:tr>
      <w:tr w:rsidR="003B0815" w14:paraId="15529A21" w14:textId="77777777">
        <w:trPr>
          <w:cantSplit/>
        </w:trPr>
        <w:tc>
          <w:tcPr>
            <w:tcW w:w="961" w:type="dxa"/>
            <w:vMerge w:val="restart"/>
            <w:tcBorders>
              <w:top w:val="single" w:color="auto" w:sz="12" w:space="0"/>
              <w:left w:val="single" w:color="auto" w:sz="12" w:space="0"/>
              <w:bottom w:val="single" w:color="auto" w:sz="12" w:space="0"/>
            </w:tcBorders>
            <w:textDirection w:val="btLr"/>
          </w:tcPr>
          <w:p w:rsidR="003B0815" w:rsidRDefault="003B0815" w14:paraId="0BA98479" w14:textId="77777777">
            <w:pPr>
              <w:keepNext/>
              <w:ind w:left="113" w:right="113"/>
              <w:jc w:val="center"/>
              <w:rPr>
                <w:rFonts w:ascii="Arial" w:hAnsi="Arial" w:cs="Arial"/>
                <w:sz w:val="20"/>
                <w:szCs w:val="20"/>
              </w:rPr>
            </w:pPr>
          </w:p>
        </w:tc>
        <w:tc>
          <w:tcPr>
            <w:tcW w:w="1006" w:type="dxa"/>
            <w:vAlign w:val="bottom"/>
          </w:tcPr>
          <w:p w:rsidR="003B0815" w:rsidRDefault="003B0815" w14:paraId="014BDF04" w14:textId="77777777">
            <w:pPr>
              <w:keepNext/>
              <w:jc w:val="center"/>
              <w:rPr>
                <w:rFonts w:ascii="Arial" w:hAnsi="Arial" w:cs="Arial"/>
                <w:sz w:val="20"/>
                <w:szCs w:val="20"/>
              </w:rPr>
            </w:pPr>
            <w:r>
              <w:rPr>
                <w:rFonts w:ascii="Arial" w:hAnsi="Arial" w:cs="Arial"/>
                <w:sz w:val="20"/>
                <w:szCs w:val="20"/>
              </w:rPr>
              <w:t>2008</w:t>
            </w:r>
          </w:p>
        </w:tc>
        <w:tc>
          <w:tcPr>
            <w:tcW w:w="1761" w:type="dxa"/>
            <w:vAlign w:val="bottom"/>
          </w:tcPr>
          <w:p w:rsidR="003B0815" w:rsidRDefault="003B0815" w14:paraId="56B753C0" w14:textId="77777777">
            <w:pPr>
              <w:keepNext/>
              <w:jc w:val="right"/>
              <w:rPr>
                <w:rFonts w:ascii="Arial" w:hAnsi="Arial" w:cs="Arial"/>
                <w:sz w:val="20"/>
                <w:szCs w:val="20"/>
              </w:rPr>
            </w:pPr>
            <w:r>
              <w:rPr>
                <w:rFonts w:ascii="Arial" w:hAnsi="Arial" w:cs="Arial"/>
                <w:sz w:val="20"/>
                <w:szCs w:val="20"/>
              </w:rPr>
              <w:t>$101.6</w:t>
            </w:r>
          </w:p>
        </w:tc>
        <w:tc>
          <w:tcPr>
            <w:tcW w:w="1183" w:type="dxa"/>
            <w:vAlign w:val="bottom"/>
          </w:tcPr>
          <w:p w:rsidR="003B0815" w:rsidRDefault="003B0815" w14:paraId="5214C88A" w14:textId="77777777">
            <w:pPr>
              <w:keepNext/>
              <w:jc w:val="right"/>
              <w:rPr>
                <w:rFonts w:ascii="Arial" w:hAnsi="Arial" w:cs="Arial"/>
                <w:sz w:val="20"/>
                <w:szCs w:val="20"/>
              </w:rPr>
            </w:pPr>
            <w:r>
              <w:rPr>
                <w:rFonts w:ascii="Arial" w:hAnsi="Arial" w:cs="Arial"/>
                <w:sz w:val="20"/>
                <w:szCs w:val="20"/>
              </w:rPr>
              <w:t>$11.0</w:t>
            </w:r>
          </w:p>
        </w:tc>
        <w:tc>
          <w:tcPr>
            <w:tcW w:w="939" w:type="dxa"/>
            <w:vAlign w:val="bottom"/>
          </w:tcPr>
          <w:p w:rsidR="003B0815" w:rsidRDefault="003B0815" w14:paraId="025E28A2" w14:textId="77777777">
            <w:pPr>
              <w:keepNext/>
              <w:jc w:val="right"/>
              <w:rPr>
                <w:rFonts w:ascii="Arial" w:hAnsi="Arial" w:cs="Arial"/>
                <w:sz w:val="20"/>
                <w:szCs w:val="20"/>
              </w:rPr>
            </w:pPr>
            <w:r>
              <w:rPr>
                <w:rFonts w:ascii="Arial" w:hAnsi="Arial" w:cs="Arial"/>
                <w:sz w:val="20"/>
                <w:szCs w:val="20"/>
              </w:rPr>
              <w:t>$43.0</w:t>
            </w:r>
          </w:p>
        </w:tc>
        <w:tc>
          <w:tcPr>
            <w:tcW w:w="995" w:type="dxa"/>
            <w:vAlign w:val="bottom"/>
          </w:tcPr>
          <w:p w:rsidR="003B0815" w:rsidRDefault="003B0815" w14:paraId="714981CD" w14:textId="77777777">
            <w:pPr>
              <w:keepNext/>
              <w:jc w:val="right"/>
              <w:rPr>
                <w:rFonts w:ascii="Arial" w:hAnsi="Arial" w:cs="Arial"/>
                <w:sz w:val="20"/>
                <w:szCs w:val="20"/>
              </w:rPr>
            </w:pPr>
            <w:r>
              <w:rPr>
                <w:rFonts w:ascii="Arial" w:hAnsi="Arial" w:cs="Arial"/>
                <w:sz w:val="20"/>
                <w:szCs w:val="20"/>
              </w:rPr>
              <w:t>$100.6</w:t>
            </w:r>
          </w:p>
        </w:tc>
        <w:tc>
          <w:tcPr>
            <w:tcW w:w="995" w:type="dxa"/>
            <w:vAlign w:val="bottom"/>
          </w:tcPr>
          <w:p w:rsidR="003B0815" w:rsidRDefault="003B0815" w14:paraId="2C058319" w14:textId="77777777">
            <w:pPr>
              <w:keepNext/>
              <w:jc w:val="right"/>
              <w:rPr>
                <w:rFonts w:ascii="Arial" w:hAnsi="Arial" w:cs="Arial"/>
                <w:sz w:val="20"/>
                <w:szCs w:val="20"/>
              </w:rPr>
            </w:pPr>
            <w:r>
              <w:rPr>
                <w:rFonts w:ascii="Arial" w:hAnsi="Arial" w:cs="Arial"/>
                <w:sz w:val="20"/>
                <w:szCs w:val="20"/>
              </w:rPr>
              <w:t>$256.2</w:t>
            </w:r>
          </w:p>
        </w:tc>
        <w:tc>
          <w:tcPr>
            <w:tcW w:w="1361" w:type="dxa"/>
            <w:vAlign w:val="bottom"/>
          </w:tcPr>
          <w:p w:rsidR="003B0815" w:rsidRDefault="003B0815" w14:paraId="6A831698" w14:textId="77777777">
            <w:pPr>
              <w:keepNext/>
              <w:jc w:val="right"/>
              <w:rPr>
                <w:rFonts w:ascii="Arial" w:hAnsi="Arial" w:cs="Arial"/>
                <w:sz w:val="20"/>
                <w:szCs w:val="20"/>
              </w:rPr>
            </w:pPr>
            <w:r>
              <w:rPr>
                <w:rFonts w:ascii="Arial" w:hAnsi="Arial" w:cs="Arial"/>
                <w:sz w:val="20"/>
                <w:szCs w:val="20"/>
              </w:rPr>
              <w:t>$74.5</w:t>
            </w:r>
          </w:p>
        </w:tc>
        <w:tc>
          <w:tcPr>
            <w:tcW w:w="995" w:type="dxa"/>
            <w:tcBorders>
              <w:right w:val="single" w:color="auto" w:sz="12" w:space="0"/>
            </w:tcBorders>
            <w:vAlign w:val="bottom"/>
          </w:tcPr>
          <w:p w:rsidR="003B0815" w:rsidRDefault="003B0815" w14:paraId="4206AE1E" w14:textId="77777777">
            <w:pPr>
              <w:keepNext/>
              <w:jc w:val="right"/>
              <w:rPr>
                <w:rFonts w:ascii="Arial" w:hAnsi="Arial" w:cs="Arial"/>
                <w:sz w:val="20"/>
                <w:szCs w:val="20"/>
              </w:rPr>
            </w:pPr>
            <w:r>
              <w:rPr>
                <w:rFonts w:ascii="Arial" w:hAnsi="Arial" w:cs="Arial"/>
                <w:sz w:val="20"/>
                <w:szCs w:val="20"/>
              </w:rPr>
              <w:t>$330.7</w:t>
            </w:r>
          </w:p>
        </w:tc>
      </w:tr>
      <w:tr w:rsidR="003B0815" w14:paraId="1AB21671"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1CEFA6AD" w14:textId="77777777">
            <w:pPr>
              <w:keepNext/>
            </w:pPr>
          </w:p>
        </w:tc>
        <w:tc>
          <w:tcPr>
            <w:tcW w:w="1006" w:type="dxa"/>
            <w:vAlign w:val="bottom"/>
          </w:tcPr>
          <w:p w:rsidR="003B0815" w:rsidRDefault="003B0815" w14:paraId="30DA07A7" w14:textId="77777777">
            <w:pPr>
              <w:keepNext/>
              <w:jc w:val="center"/>
              <w:rPr>
                <w:rFonts w:ascii="Arial" w:hAnsi="Arial" w:cs="Arial"/>
                <w:sz w:val="20"/>
                <w:szCs w:val="20"/>
              </w:rPr>
            </w:pPr>
            <w:r>
              <w:rPr>
                <w:rFonts w:ascii="Arial" w:hAnsi="Arial" w:cs="Arial"/>
                <w:sz w:val="20"/>
                <w:szCs w:val="20"/>
              </w:rPr>
              <w:t>2009</w:t>
            </w:r>
          </w:p>
        </w:tc>
        <w:tc>
          <w:tcPr>
            <w:tcW w:w="1761" w:type="dxa"/>
            <w:vAlign w:val="bottom"/>
          </w:tcPr>
          <w:p w:rsidR="003B0815" w:rsidRDefault="003B0815" w14:paraId="37644C1D" w14:textId="77777777">
            <w:pPr>
              <w:keepNext/>
              <w:jc w:val="right"/>
              <w:rPr>
                <w:rFonts w:ascii="Arial" w:hAnsi="Arial" w:cs="Arial"/>
                <w:sz w:val="20"/>
                <w:szCs w:val="20"/>
              </w:rPr>
            </w:pPr>
            <w:r>
              <w:rPr>
                <w:rFonts w:ascii="Arial" w:hAnsi="Arial" w:cs="Arial"/>
                <w:sz w:val="20"/>
                <w:szCs w:val="20"/>
              </w:rPr>
              <w:t>183.8</w:t>
            </w:r>
          </w:p>
        </w:tc>
        <w:tc>
          <w:tcPr>
            <w:tcW w:w="1183" w:type="dxa"/>
            <w:vAlign w:val="bottom"/>
          </w:tcPr>
          <w:p w:rsidR="003B0815" w:rsidRDefault="003B0815" w14:paraId="1DC8C217" w14:textId="77777777">
            <w:pPr>
              <w:keepNext/>
              <w:jc w:val="right"/>
              <w:rPr>
                <w:rFonts w:ascii="Arial" w:hAnsi="Arial" w:cs="Arial"/>
                <w:sz w:val="20"/>
                <w:szCs w:val="20"/>
              </w:rPr>
            </w:pPr>
            <w:r>
              <w:rPr>
                <w:rFonts w:ascii="Arial" w:hAnsi="Arial" w:cs="Arial"/>
                <w:sz w:val="20"/>
                <w:szCs w:val="20"/>
              </w:rPr>
              <w:t>11.5</w:t>
            </w:r>
          </w:p>
        </w:tc>
        <w:tc>
          <w:tcPr>
            <w:tcW w:w="939" w:type="dxa"/>
            <w:vAlign w:val="bottom"/>
          </w:tcPr>
          <w:p w:rsidR="003B0815" w:rsidRDefault="003B0815" w14:paraId="39CA9FC2" w14:textId="77777777">
            <w:pPr>
              <w:keepNext/>
              <w:jc w:val="right"/>
              <w:rPr>
                <w:rFonts w:ascii="Arial" w:hAnsi="Arial" w:cs="Arial"/>
                <w:sz w:val="20"/>
                <w:szCs w:val="20"/>
              </w:rPr>
            </w:pPr>
            <w:r>
              <w:rPr>
                <w:rFonts w:ascii="Arial" w:hAnsi="Arial" w:cs="Arial"/>
                <w:sz w:val="20"/>
                <w:szCs w:val="20"/>
              </w:rPr>
              <w:t>27.3</w:t>
            </w:r>
          </w:p>
        </w:tc>
        <w:tc>
          <w:tcPr>
            <w:tcW w:w="995" w:type="dxa"/>
            <w:vAlign w:val="bottom"/>
          </w:tcPr>
          <w:p w:rsidR="003B0815" w:rsidRDefault="003B0815" w14:paraId="2D5FA02E" w14:textId="77777777">
            <w:pPr>
              <w:keepNext/>
              <w:jc w:val="right"/>
              <w:rPr>
                <w:rFonts w:ascii="Arial" w:hAnsi="Arial" w:cs="Arial"/>
                <w:sz w:val="20"/>
                <w:szCs w:val="20"/>
              </w:rPr>
            </w:pPr>
            <w:r>
              <w:rPr>
                <w:rFonts w:ascii="Arial" w:hAnsi="Arial" w:cs="Arial"/>
                <w:sz w:val="20"/>
                <w:szCs w:val="20"/>
              </w:rPr>
              <w:t>139.6</w:t>
            </w:r>
          </w:p>
        </w:tc>
        <w:tc>
          <w:tcPr>
            <w:tcW w:w="995" w:type="dxa"/>
            <w:vAlign w:val="bottom"/>
          </w:tcPr>
          <w:p w:rsidR="003B0815" w:rsidRDefault="003B0815" w14:paraId="4890E239" w14:textId="77777777">
            <w:pPr>
              <w:keepNext/>
              <w:jc w:val="right"/>
              <w:rPr>
                <w:rFonts w:ascii="Arial" w:hAnsi="Arial" w:cs="Arial"/>
                <w:sz w:val="20"/>
                <w:szCs w:val="20"/>
              </w:rPr>
            </w:pPr>
            <w:r>
              <w:rPr>
                <w:rFonts w:ascii="Arial" w:hAnsi="Arial" w:cs="Arial"/>
                <w:sz w:val="20"/>
                <w:szCs w:val="20"/>
              </w:rPr>
              <w:t>362.1</w:t>
            </w:r>
          </w:p>
        </w:tc>
        <w:tc>
          <w:tcPr>
            <w:tcW w:w="1361" w:type="dxa"/>
            <w:vAlign w:val="bottom"/>
          </w:tcPr>
          <w:p w:rsidR="003B0815" w:rsidRDefault="003B0815" w14:paraId="7943728E" w14:textId="77777777">
            <w:pPr>
              <w:keepNext/>
              <w:jc w:val="right"/>
              <w:rPr>
                <w:rFonts w:ascii="Arial" w:hAnsi="Arial" w:cs="Arial"/>
                <w:sz w:val="20"/>
                <w:szCs w:val="20"/>
              </w:rPr>
            </w:pPr>
            <w:r>
              <w:rPr>
                <w:rFonts w:ascii="Arial" w:hAnsi="Arial" w:cs="Arial"/>
                <w:sz w:val="20"/>
                <w:szCs w:val="20"/>
              </w:rPr>
              <w:t>77.0</w:t>
            </w:r>
          </w:p>
        </w:tc>
        <w:tc>
          <w:tcPr>
            <w:tcW w:w="995" w:type="dxa"/>
            <w:tcBorders>
              <w:right w:val="single" w:color="auto" w:sz="12" w:space="0"/>
            </w:tcBorders>
            <w:vAlign w:val="bottom"/>
          </w:tcPr>
          <w:p w:rsidR="003B0815" w:rsidRDefault="003B0815" w14:paraId="2B8EA73A" w14:textId="77777777">
            <w:pPr>
              <w:keepNext/>
              <w:jc w:val="right"/>
              <w:rPr>
                <w:rFonts w:ascii="Arial" w:hAnsi="Arial" w:cs="Arial"/>
                <w:sz w:val="20"/>
                <w:szCs w:val="20"/>
              </w:rPr>
            </w:pPr>
            <w:r>
              <w:rPr>
                <w:rFonts w:ascii="Arial" w:hAnsi="Arial" w:cs="Arial"/>
                <w:sz w:val="20"/>
                <w:szCs w:val="20"/>
              </w:rPr>
              <w:t>439.1</w:t>
            </w:r>
          </w:p>
        </w:tc>
      </w:tr>
      <w:tr w:rsidR="003B0815" w14:paraId="3D4DDC07"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3D13B3A2" w14:textId="77777777">
            <w:pPr>
              <w:keepNext/>
            </w:pPr>
          </w:p>
        </w:tc>
        <w:tc>
          <w:tcPr>
            <w:tcW w:w="1006" w:type="dxa"/>
            <w:vAlign w:val="bottom"/>
          </w:tcPr>
          <w:p w:rsidR="003B0815" w:rsidRDefault="003B0815" w14:paraId="37DF2BBD" w14:textId="77777777">
            <w:pPr>
              <w:keepNext/>
              <w:jc w:val="center"/>
              <w:rPr>
                <w:rFonts w:ascii="Arial" w:hAnsi="Arial" w:cs="Arial"/>
                <w:sz w:val="20"/>
                <w:szCs w:val="20"/>
              </w:rPr>
            </w:pPr>
            <w:r>
              <w:rPr>
                <w:rFonts w:ascii="Arial" w:hAnsi="Arial" w:cs="Arial"/>
                <w:sz w:val="20"/>
                <w:szCs w:val="20"/>
              </w:rPr>
              <w:t>2010</w:t>
            </w:r>
          </w:p>
        </w:tc>
        <w:tc>
          <w:tcPr>
            <w:tcW w:w="1761" w:type="dxa"/>
            <w:vAlign w:val="bottom"/>
          </w:tcPr>
          <w:p w:rsidR="003B0815" w:rsidRDefault="003B0815" w14:paraId="079DBBFE" w14:textId="77777777">
            <w:pPr>
              <w:keepNext/>
              <w:jc w:val="right"/>
              <w:rPr>
                <w:rFonts w:ascii="Arial" w:hAnsi="Arial" w:cs="Arial"/>
                <w:sz w:val="20"/>
                <w:szCs w:val="20"/>
              </w:rPr>
            </w:pPr>
            <w:r>
              <w:rPr>
                <w:rFonts w:ascii="Arial" w:hAnsi="Arial" w:cs="Arial"/>
                <w:sz w:val="20"/>
                <w:szCs w:val="20"/>
              </w:rPr>
              <w:t>23.4</w:t>
            </w:r>
          </w:p>
        </w:tc>
        <w:tc>
          <w:tcPr>
            <w:tcW w:w="1183" w:type="dxa"/>
            <w:vAlign w:val="bottom"/>
          </w:tcPr>
          <w:p w:rsidR="003B0815" w:rsidRDefault="003B0815" w14:paraId="4941B9F1" w14:textId="77777777">
            <w:pPr>
              <w:keepNext/>
              <w:jc w:val="right"/>
              <w:rPr>
                <w:rFonts w:ascii="Arial" w:hAnsi="Arial" w:cs="Arial"/>
                <w:sz w:val="20"/>
                <w:szCs w:val="20"/>
              </w:rPr>
            </w:pPr>
            <w:r>
              <w:rPr>
                <w:rFonts w:ascii="Arial" w:hAnsi="Arial" w:cs="Arial"/>
                <w:sz w:val="20"/>
                <w:szCs w:val="20"/>
              </w:rPr>
              <w:t>11.9</w:t>
            </w:r>
          </w:p>
        </w:tc>
        <w:tc>
          <w:tcPr>
            <w:tcW w:w="939" w:type="dxa"/>
            <w:vAlign w:val="bottom"/>
          </w:tcPr>
          <w:p w:rsidR="003B0815" w:rsidRDefault="003B0815" w14:paraId="79873501" w14:textId="77777777">
            <w:pPr>
              <w:keepNext/>
              <w:jc w:val="right"/>
              <w:rPr>
                <w:rFonts w:ascii="Arial" w:hAnsi="Arial" w:cs="Arial"/>
                <w:sz w:val="20"/>
                <w:szCs w:val="20"/>
              </w:rPr>
            </w:pPr>
            <w:r>
              <w:rPr>
                <w:rFonts w:ascii="Arial" w:hAnsi="Arial" w:cs="Arial"/>
                <w:sz w:val="20"/>
                <w:szCs w:val="20"/>
              </w:rPr>
              <w:t>28.2</w:t>
            </w:r>
          </w:p>
        </w:tc>
        <w:tc>
          <w:tcPr>
            <w:tcW w:w="995" w:type="dxa"/>
            <w:vAlign w:val="bottom"/>
          </w:tcPr>
          <w:p w:rsidR="003B0815" w:rsidRDefault="003B0815" w14:paraId="53095B20" w14:textId="77777777">
            <w:pPr>
              <w:keepNext/>
              <w:jc w:val="right"/>
              <w:rPr>
                <w:rFonts w:ascii="Arial" w:hAnsi="Arial" w:cs="Arial"/>
                <w:sz w:val="20"/>
                <w:szCs w:val="20"/>
              </w:rPr>
            </w:pPr>
            <w:r>
              <w:rPr>
                <w:rFonts w:ascii="Arial" w:hAnsi="Arial" w:cs="Arial"/>
                <w:sz w:val="20"/>
                <w:szCs w:val="20"/>
              </w:rPr>
              <w:t>146.2</w:t>
            </w:r>
          </w:p>
        </w:tc>
        <w:tc>
          <w:tcPr>
            <w:tcW w:w="995" w:type="dxa"/>
            <w:vAlign w:val="bottom"/>
          </w:tcPr>
          <w:p w:rsidR="003B0815" w:rsidRDefault="003B0815" w14:paraId="28F9CCE4" w14:textId="77777777">
            <w:pPr>
              <w:keepNext/>
              <w:jc w:val="right"/>
              <w:rPr>
                <w:rFonts w:ascii="Arial" w:hAnsi="Arial" w:cs="Arial"/>
                <w:sz w:val="20"/>
                <w:szCs w:val="20"/>
              </w:rPr>
            </w:pPr>
            <w:r>
              <w:rPr>
                <w:rFonts w:ascii="Arial" w:hAnsi="Arial" w:cs="Arial"/>
                <w:sz w:val="20"/>
                <w:szCs w:val="20"/>
              </w:rPr>
              <w:t>209.8</w:t>
            </w:r>
          </w:p>
        </w:tc>
        <w:tc>
          <w:tcPr>
            <w:tcW w:w="1361" w:type="dxa"/>
            <w:vAlign w:val="bottom"/>
          </w:tcPr>
          <w:p w:rsidR="003B0815" w:rsidRDefault="003B0815" w14:paraId="123620BF" w14:textId="77777777">
            <w:pPr>
              <w:keepNext/>
              <w:jc w:val="right"/>
              <w:rPr>
                <w:rFonts w:ascii="Arial" w:hAnsi="Arial" w:cs="Arial"/>
                <w:sz w:val="20"/>
                <w:szCs w:val="20"/>
              </w:rPr>
            </w:pPr>
            <w:r>
              <w:rPr>
                <w:rFonts w:ascii="Arial" w:hAnsi="Arial" w:cs="Arial"/>
                <w:sz w:val="20"/>
                <w:szCs w:val="20"/>
              </w:rPr>
              <w:t>79.8</w:t>
            </w:r>
          </w:p>
        </w:tc>
        <w:tc>
          <w:tcPr>
            <w:tcW w:w="995" w:type="dxa"/>
            <w:tcBorders>
              <w:right w:val="single" w:color="auto" w:sz="12" w:space="0"/>
            </w:tcBorders>
            <w:vAlign w:val="bottom"/>
          </w:tcPr>
          <w:p w:rsidR="003B0815" w:rsidRDefault="003B0815" w14:paraId="4192F1AA" w14:textId="77777777">
            <w:pPr>
              <w:keepNext/>
              <w:jc w:val="right"/>
              <w:rPr>
                <w:rFonts w:ascii="Arial" w:hAnsi="Arial" w:cs="Arial"/>
                <w:sz w:val="20"/>
                <w:szCs w:val="20"/>
              </w:rPr>
            </w:pPr>
            <w:r>
              <w:rPr>
                <w:rFonts w:ascii="Arial" w:hAnsi="Arial" w:cs="Arial"/>
                <w:sz w:val="20"/>
                <w:szCs w:val="20"/>
              </w:rPr>
              <w:t>289.5</w:t>
            </w:r>
          </w:p>
        </w:tc>
      </w:tr>
      <w:tr w:rsidR="003B0815" w14:paraId="50616F4A"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6EFEC724" w14:textId="77777777">
            <w:pPr>
              <w:keepNext/>
            </w:pPr>
          </w:p>
        </w:tc>
        <w:tc>
          <w:tcPr>
            <w:tcW w:w="1006" w:type="dxa"/>
            <w:vAlign w:val="bottom"/>
          </w:tcPr>
          <w:p w:rsidR="003B0815" w:rsidRDefault="003B0815" w14:paraId="3F2A9EAC" w14:textId="77777777">
            <w:pPr>
              <w:keepNext/>
              <w:jc w:val="center"/>
              <w:rPr>
                <w:rFonts w:ascii="Arial" w:hAnsi="Arial" w:cs="Arial"/>
                <w:sz w:val="20"/>
                <w:szCs w:val="20"/>
              </w:rPr>
            </w:pPr>
            <w:r>
              <w:rPr>
                <w:rFonts w:ascii="Arial" w:hAnsi="Arial" w:cs="Arial"/>
                <w:sz w:val="20"/>
                <w:szCs w:val="20"/>
              </w:rPr>
              <w:t>2011</w:t>
            </w:r>
          </w:p>
        </w:tc>
        <w:tc>
          <w:tcPr>
            <w:tcW w:w="1761" w:type="dxa"/>
            <w:vAlign w:val="bottom"/>
          </w:tcPr>
          <w:p w:rsidR="003B0815" w:rsidRDefault="003B0815" w14:paraId="61160A38" w14:textId="77777777">
            <w:pPr>
              <w:keepNext/>
              <w:jc w:val="right"/>
              <w:rPr>
                <w:rFonts w:ascii="Arial" w:hAnsi="Arial" w:cs="Arial"/>
                <w:sz w:val="20"/>
                <w:szCs w:val="20"/>
              </w:rPr>
            </w:pPr>
            <w:r>
              <w:rPr>
                <w:rFonts w:ascii="Arial" w:hAnsi="Arial" w:cs="Arial"/>
                <w:sz w:val="20"/>
                <w:szCs w:val="20"/>
              </w:rPr>
              <w:t>24.3</w:t>
            </w:r>
          </w:p>
        </w:tc>
        <w:tc>
          <w:tcPr>
            <w:tcW w:w="1183" w:type="dxa"/>
            <w:vAlign w:val="bottom"/>
          </w:tcPr>
          <w:p w:rsidR="003B0815" w:rsidRDefault="003B0815" w14:paraId="2592E91A" w14:textId="77777777">
            <w:pPr>
              <w:keepNext/>
              <w:jc w:val="right"/>
              <w:rPr>
                <w:rFonts w:ascii="Arial" w:hAnsi="Arial" w:cs="Arial"/>
                <w:sz w:val="20"/>
                <w:szCs w:val="20"/>
              </w:rPr>
            </w:pPr>
            <w:r>
              <w:rPr>
                <w:rFonts w:ascii="Arial" w:hAnsi="Arial" w:cs="Arial"/>
                <w:sz w:val="20"/>
                <w:szCs w:val="20"/>
              </w:rPr>
              <w:t>12.3</w:t>
            </w:r>
          </w:p>
        </w:tc>
        <w:tc>
          <w:tcPr>
            <w:tcW w:w="939" w:type="dxa"/>
            <w:vAlign w:val="bottom"/>
          </w:tcPr>
          <w:p w:rsidR="003B0815" w:rsidRDefault="003B0815" w14:paraId="10054D5C" w14:textId="77777777">
            <w:pPr>
              <w:keepNext/>
              <w:jc w:val="right"/>
              <w:rPr>
                <w:rFonts w:ascii="Arial" w:hAnsi="Arial" w:cs="Arial"/>
                <w:sz w:val="20"/>
                <w:szCs w:val="20"/>
              </w:rPr>
            </w:pPr>
            <w:r>
              <w:rPr>
                <w:rFonts w:ascii="Arial" w:hAnsi="Arial" w:cs="Arial"/>
                <w:sz w:val="20"/>
                <w:szCs w:val="20"/>
              </w:rPr>
              <w:t>29.2</w:t>
            </w:r>
          </w:p>
        </w:tc>
        <w:tc>
          <w:tcPr>
            <w:tcW w:w="995" w:type="dxa"/>
            <w:vAlign w:val="bottom"/>
          </w:tcPr>
          <w:p w:rsidR="003B0815" w:rsidRDefault="003B0815" w14:paraId="36757DC4" w14:textId="77777777">
            <w:pPr>
              <w:keepNext/>
              <w:jc w:val="right"/>
              <w:rPr>
                <w:rFonts w:ascii="Arial" w:hAnsi="Arial" w:cs="Arial"/>
                <w:sz w:val="20"/>
                <w:szCs w:val="20"/>
              </w:rPr>
            </w:pPr>
            <w:r>
              <w:rPr>
                <w:rFonts w:ascii="Arial" w:hAnsi="Arial" w:cs="Arial"/>
                <w:sz w:val="20"/>
                <w:szCs w:val="20"/>
              </w:rPr>
              <w:t>135.6</w:t>
            </w:r>
          </w:p>
        </w:tc>
        <w:tc>
          <w:tcPr>
            <w:tcW w:w="995" w:type="dxa"/>
            <w:vAlign w:val="bottom"/>
          </w:tcPr>
          <w:p w:rsidR="003B0815" w:rsidRDefault="003B0815" w14:paraId="54669CA5" w14:textId="77777777">
            <w:pPr>
              <w:keepNext/>
              <w:jc w:val="right"/>
              <w:rPr>
                <w:rFonts w:ascii="Arial" w:hAnsi="Arial" w:cs="Arial"/>
                <w:sz w:val="20"/>
                <w:szCs w:val="20"/>
              </w:rPr>
            </w:pPr>
            <w:r>
              <w:rPr>
                <w:rFonts w:ascii="Arial" w:hAnsi="Arial" w:cs="Arial"/>
                <w:sz w:val="20"/>
                <w:szCs w:val="20"/>
              </w:rPr>
              <w:t>201.4</w:t>
            </w:r>
          </w:p>
        </w:tc>
        <w:tc>
          <w:tcPr>
            <w:tcW w:w="1361" w:type="dxa"/>
            <w:vAlign w:val="bottom"/>
          </w:tcPr>
          <w:p w:rsidR="003B0815" w:rsidRDefault="003B0815" w14:paraId="7F945AFA" w14:textId="77777777">
            <w:pPr>
              <w:keepNext/>
              <w:jc w:val="right"/>
              <w:rPr>
                <w:rFonts w:ascii="Arial" w:hAnsi="Arial" w:cs="Arial"/>
                <w:sz w:val="20"/>
                <w:szCs w:val="20"/>
              </w:rPr>
            </w:pPr>
            <w:r>
              <w:rPr>
                <w:rFonts w:ascii="Arial" w:hAnsi="Arial" w:cs="Arial"/>
                <w:sz w:val="20"/>
                <w:szCs w:val="20"/>
              </w:rPr>
              <w:t>82.7</w:t>
            </w:r>
          </w:p>
        </w:tc>
        <w:tc>
          <w:tcPr>
            <w:tcW w:w="995" w:type="dxa"/>
            <w:tcBorders>
              <w:right w:val="single" w:color="auto" w:sz="12" w:space="0"/>
            </w:tcBorders>
            <w:vAlign w:val="bottom"/>
          </w:tcPr>
          <w:p w:rsidR="003B0815" w:rsidRDefault="003B0815" w14:paraId="79731E61" w14:textId="77777777">
            <w:pPr>
              <w:keepNext/>
              <w:jc w:val="right"/>
              <w:rPr>
                <w:rFonts w:ascii="Arial" w:hAnsi="Arial" w:cs="Arial"/>
                <w:sz w:val="20"/>
                <w:szCs w:val="20"/>
              </w:rPr>
            </w:pPr>
            <w:r>
              <w:rPr>
                <w:rFonts w:ascii="Arial" w:hAnsi="Arial" w:cs="Arial"/>
                <w:sz w:val="20"/>
                <w:szCs w:val="20"/>
              </w:rPr>
              <w:t>284.0</w:t>
            </w:r>
          </w:p>
        </w:tc>
      </w:tr>
      <w:tr w:rsidR="003B0815" w14:paraId="0735C78B"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44F7540E" w14:textId="77777777">
            <w:pPr>
              <w:keepNext/>
            </w:pPr>
          </w:p>
        </w:tc>
        <w:tc>
          <w:tcPr>
            <w:tcW w:w="1006" w:type="dxa"/>
            <w:vAlign w:val="bottom"/>
          </w:tcPr>
          <w:p w:rsidR="003B0815" w:rsidRDefault="003B0815" w14:paraId="5F6085AF" w14:textId="77777777">
            <w:pPr>
              <w:keepNext/>
              <w:jc w:val="center"/>
              <w:rPr>
                <w:rFonts w:ascii="Arial" w:hAnsi="Arial" w:cs="Arial"/>
                <w:sz w:val="20"/>
                <w:szCs w:val="20"/>
              </w:rPr>
            </w:pPr>
            <w:r>
              <w:rPr>
                <w:rFonts w:ascii="Arial" w:hAnsi="Arial" w:cs="Arial"/>
                <w:sz w:val="20"/>
                <w:szCs w:val="20"/>
              </w:rPr>
              <w:t>2012</w:t>
            </w:r>
          </w:p>
        </w:tc>
        <w:tc>
          <w:tcPr>
            <w:tcW w:w="1761" w:type="dxa"/>
            <w:vAlign w:val="bottom"/>
          </w:tcPr>
          <w:p w:rsidR="003B0815" w:rsidRDefault="003B0815" w14:paraId="14F57A4C" w14:textId="77777777">
            <w:pPr>
              <w:keepNext/>
              <w:jc w:val="right"/>
              <w:rPr>
                <w:rFonts w:ascii="Arial" w:hAnsi="Arial" w:cs="Arial"/>
                <w:sz w:val="20"/>
                <w:szCs w:val="20"/>
              </w:rPr>
            </w:pPr>
            <w:r>
              <w:rPr>
                <w:rFonts w:ascii="Arial" w:hAnsi="Arial" w:cs="Arial"/>
                <w:sz w:val="20"/>
                <w:szCs w:val="20"/>
              </w:rPr>
              <w:t>25.2</w:t>
            </w:r>
          </w:p>
        </w:tc>
        <w:tc>
          <w:tcPr>
            <w:tcW w:w="1183" w:type="dxa"/>
            <w:vAlign w:val="bottom"/>
          </w:tcPr>
          <w:p w:rsidR="003B0815" w:rsidRDefault="003B0815" w14:paraId="2861626B" w14:textId="77777777">
            <w:pPr>
              <w:keepNext/>
              <w:jc w:val="right"/>
              <w:rPr>
                <w:rFonts w:ascii="Arial" w:hAnsi="Arial" w:cs="Arial"/>
                <w:sz w:val="20"/>
                <w:szCs w:val="20"/>
              </w:rPr>
            </w:pPr>
            <w:r>
              <w:rPr>
                <w:rFonts w:ascii="Arial" w:hAnsi="Arial" w:cs="Arial"/>
                <w:sz w:val="20"/>
                <w:szCs w:val="20"/>
              </w:rPr>
              <w:t>12.7</w:t>
            </w:r>
          </w:p>
        </w:tc>
        <w:tc>
          <w:tcPr>
            <w:tcW w:w="939" w:type="dxa"/>
            <w:vAlign w:val="bottom"/>
          </w:tcPr>
          <w:p w:rsidR="003B0815" w:rsidRDefault="003B0815" w14:paraId="3B096E2D" w14:textId="77777777">
            <w:pPr>
              <w:keepNext/>
              <w:jc w:val="right"/>
              <w:rPr>
                <w:rFonts w:ascii="Arial" w:hAnsi="Arial" w:cs="Arial"/>
                <w:sz w:val="20"/>
                <w:szCs w:val="20"/>
              </w:rPr>
            </w:pPr>
            <w:r>
              <w:rPr>
                <w:rFonts w:ascii="Arial" w:hAnsi="Arial" w:cs="Arial"/>
                <w:sz w:val="20"/>
                <w:szCs w:val="20"/>
              </w:rPr>
              <w:t>30.4</w:t>
            </w:r>
          </w:p>
        </w:tc>
        <w:tc>
          <w:tcPr>
            <w:tcW w:w="995" w:type="dxa"/>
            <w:vAlign w:val="bottom"/>
          </w:tcPr>
          <w:p w:rsidR="003B0815" w:rsidRDefault="003B0815" w14:paraId="73D47CE0" w14:textId="77777777">
            <w:pPr>
              <w:keepNext/>
              <w:jc w:val="right"/>
              <w:rPr>
                <w:rFonts w:ascii="Arial" w:hAnsi="Arial" w:cs="Arial"/>
                <w:sz w:val="20"/>
                <w:szCs w:val="20"/>
              </w:rPr>
            </w:pPr>
            <w:r>
              <w:rPr>
                <w:rFonts w:ascii="Arial" w:hAnsi="Arial" w:cs="Arial"/>
                <w:sz w:val="20"/>
                <w:szCs w:val="20"/>
              </w:rPr>
              <w:t>141.8</w:t>
            </w:r>
          </w:p>
        </w:tc>
        <w:tc>
          <w:tcPr>
            <w:tcW w:w="995" w:type="dxa"/>
            <w:vAlign w:val="bottom"/>
          </w:tcPr>
          <w:p w:rsidR="003B0815" w:rsidRDefault="003B0815" w14:paraId="39C796FC" w14:textId="77777777">
            <w:pPr>
              <w:keepNext/>
              <w:jc w:val="right"/>
              <w:rPr>
                <w:rFonts w:ascii="Arial" w:hAnsi="Arial" w:cs="Arial"/>
                <w:sz w:val="20"/>
                <w:szCs w:val="20"/>
              </w:rPr>
            </w:pPr>
            <w:r>
              <w:rPr>
                <w:rFonts w:ascii="Arial" w:hAnsi="Arial" w:cs="Arial"/>
                <w:sz w:val="20"/>
                <w:szCs w:val="20"/>
              </w:rPr>
              <w:t>210.1</w:t>
            </w:r>
          </w:p>
        </w:tc>
        <w:tc>
          <w:tcPr>
            <w:tcW w:w="1361" w:type="dxa"/>
            <w:vAlign w:val="bottom"/>
          </w:tcPr>
          <w:p w:rsidR="003B0815" w:rsidRDefault="003B0815" w14:paraId="38F813E5" w14:textId="77777777">
            <w:pPr>
              <w:keepNext/>
              <w:jc w:val="right"/>
              <w:rPr>
                <w:rFonts w:ascii="Arial" w:hAnsi="Arial" w:cs="Arial"/>
                <w:sz w:val="20"/>
                <w:szCs w:val="20"/>
              </w:rPr>
            </w:pPr>
            <w:r>
              <w:rPr>
                <w:rFonts w:ascii="Arial" w:hAnsi="Arial" w:cs="Arial"/>
                <w:sz w:val="20"/>
                <w:szCs w:val="20"/>
              </w:rPr>
              <w:t>85.7</w:t>
            </w:r>
          </w:p>
        </w:tc>
        <w:tc>
          <w:tcPr>
            <w:tcW w:w="995" w:type="dxa"/>
            <w:tcBorders>
              <w:right w:val="single" w:color="auto" w:sz="12" w:space="0"/>
            </w:tcBorders>
            <w:vAlign w:val="bottom"/>
          </w:tcPr>
          <w:p w:rsidR="003B0815" w:rsidRDefault="003B0815" w14:paraId="20200392" w14:textId="77777777">
            <w:pPr>
              <w:keepNext/>
              <w:jc w:val="right"/>
              <w:rPr>
                <w:rFonts w:ascii="Arial" w:hAnsi="Arial" w:cs="Arial"/>
                <w:sz w:val="20"/>
                <w:szCs w:val="20"/>
              </w:rPr>
            </w:pPr>
            <w:r>
              <w:rPr>
                <w:rFonts w:ascii="Arial" w:hAnsi="Arial" w:cs="Arial"/>
                <w:sz w:val="20"/>
                <w:szCs w:val="20"/>
              </w:rPr>
              <w:t>295.8</w:t>
            </w:r>
          </w:p>
        </w:tc>
      </w:tr>
      <w:tr w:rsidR="003B0815" w14:paraId="3AD8F846"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3534C842" w14:textId="77777777">
            <w:pPr>
              <w:keepNext/>
            </w:pPr>
          </w:p>
        </w:tc>
        <w:tc>
          <w:tcPr>
            <w:tcW w:w="1006" w:type="dxa"/>
            <w:vAlign w:val="bottom"/>
          </w:tcPr>
          <w:p w:rsidR="003B0815" w:rsidRDefault="003B0815" w14:paraId="44F35E9F" w14:textId="77777777">
            <w:pPr>
              <w:keepNext/>
              <w:jc w:val="center"/>
              <w:rPr>
                <w:rFonts w:ascii="Arial" w:hAnsi="Arial" w:cs="Arial"/>
                <w:sz w:val="20"/>
                <w:szCs w:val="20"/>
              </w:rPr>
            </w:pPr>
            <w:r>
              <w:rPr>
                <w:rFonts w:ascii="Arial" w:hAnsi="Arial" w:cs="Arial"/>
                <w:sz w:val="20"/>
                <w:szCs w:val="20"/>
              </w:rPr>
              <w:t>2013</w:t>
            </w:r>
          </w:p>
        </w:tc>
        <w:tc>
          <w:tcPr>
            <w:tcW w:w="1761" w:type="dxa"/>
            <w:vAlign w:val="bottom"/>
          </w:tcPr>
          <w:p w:rsidR="003B0815" w:rsidRDefault="003B0815" w14:paraId="4781E103" w14:textId="77777777">
            <w:pPr>
              <w:keepNext/>
              <w:jc w:val="right"/>
              <w:rPr>
                <w:rFonts w:ascii="Arial" w:hAnsi="Arial" w:cs="Arial"/>
                <w:sz w:val="20"/>
                <w:szCs w:val="20"/>
              </w:rPr>
            </w:pPr>
            <w:r>
              <w:rPr>
                <w:rFonts w:ascii="Arial" w:hAnsi="Arial" w:cs="Arial"/>
                <w:sz w:val="20"/>
                <w:szCs w:val="20"/>
              </w:rPr>
              <w:t>26.1</w:t>
            </w:r>
          </w:p>
        </w:tc>
        <w:tc>
          <w:tcPr>
            <w:tcW w:w="1183" w:type="dxa"/>
            <w:vAlign w:val="bottom"/>
          </w:tcPr>
          <w:p w:rsidR="003B0815" w:rsidRDefault="003B0815" w14:paraId="5CA21577" w14:textId="77777777">
            <w:pPr>
              <w:keepNext/>
              <w:jc w:val="right"/>
              <w:rPr>
                <w:rFonts w:ascii="Arial" w:hAnsi="Arial" w:cs="Arial"/>
                <w:sz w:val="20"/>
                <w:szCs w:val="20"/>
              </w:rPr>
            </w:pPr>
            <w:r>
              <w:rPr>
                <w:rFonts w:ascii="Arial" w:hAnsi="Arial" w:cs="Arial"/>
                <w:sz w:val="20"/>
                <w:szCs w:val="20"/>
              </w:rPr>
              <w:t>13.3</w:t>
            </w:r>
          </w:p>
        </w:tc>
        <w:tc>
          <w:tcPr>
            <w:tcW w:w="939" w:type="dxa"/>
            <w:vAlign w:val="bottom"/>
          </w:tcPr>
          <w:p w:rsidR="003B0815" w:rsidRDefault="003B0815" w14:paraId="511E6D37" w14:textId="77777777">
            <w:pPr>
              <w:keepNext/>
              <w:jc w:val="right"/>
              <w:rPr>
                <w:rFonts w:ascii="Arial" w:hAnsi="Arial" w:cs="Arial"/>
                <w:sz w:val="20"/>
                <w:szCs w:val="20"/>
              </w:rPr>
            </w:pPr>
            <w:r>
              <w:rPr>
                <w:rFonts w:ascii="Arial" w:hAnsi="Arial" w:cs="Arial"/>
                <w:sz w:val="20"/>
                <w:szCs w:val="20"/>
              </w:rPr>
              <w:t>31.4</w:t>
            </w:r>
          </w:p>
        </w:tc>
        <w:tc>
          <w:tcPr>
            <w:tcW w:w="995" w:type="dxa"/>
            <w:vAlign w:val="bottom"/>
          </w:tcPr>
          <w:p w:rsidR="003B0815" w:rsidRDefault="003B0815" w14:paraId="1750C1E8" w14:textId="77777777">
            <w:pPr>
              <w:keepNext/>
              <w:jc w:val="right"/>
              <w:rPr>
                <w:rFonts w:ascii="Arial" w:hAnsi="Arial" w:cs="Arial"/>
                <w:sz w:val="20"/>
                <w:szCs w:val="20"/>
              </w:rPr>
            </w:pPr>
            <w:r>
              <w:rPr>
                <w:rFonts w:ascii="Arial" w:hAnsi="Arial" w:cs="Arial"/>
                <w:sz w:val="20"/>
                <w:szCs w:val="20"/>
              </w:rPr>
              <w:t>146.4</w:t>
            </w:r>
          </w:p>
        </w:tc>
        <w:tc>
          <w:tcPr>
            <w:tcW w:w="995" w:type="dxa"/>
            <w:vAlign w:val="bottom"/>
          </w:tcPr>
          <w:p w:rsidR="003B0815" w:rsidRDefault="003B0815" w14:paraId="102B9C7A" w14:textId="77777777">
            <w:pPr>
              <w:keepNext/>
              <w:jc w:val="right"/>
              <w:rPr>
                <w:rFonts w:ascii="Arial" w:hAnsi="Arial" w:cs="Arial"/>
                <w:sz w:val="20"/>
                <w:szCs w:val="20"/>
              </w:rPr>
            </w:pPr>
            <w:r>
              <w:rPr>
                <w:rFonts w:ascii="Arial" w:hAnsi="Arial" w:cs="Arial"/>
                <w:sz w:val="20"/>
                <w:szCs w:val="20"/>
              </w:rPr>
              <w:t>217.2</w:t>
            </w:r>
          </w:p>
        </w:tc>
        <w:tc>
          <w:tcPr>
            <w:tcW w:w="1361" w:type="dxa"/>
            <w:vAlign w:val="bottom"/>
          </w:tcPr>
          <w:p w:rsidR="003B0815" w:rsidRDefault="003B0815" w14:paraId="741EBAD3" w14:textId="77777777">
            <w:pPr>
              <w:keepNext/>
              <w:jc w:val="right"/>
              <w:rPr>
                <w:rFonts w:ascii="Arial" w:hAnsi="Arial" w:cs="Arial"/>
                <w:sz w:val="20"/>
                <w:szCs w:val="20"/>
              </w:rPr>
            </w:pPr>
            <w:r>
              <w:rPr>
                <w:rFonts w:ascii="Arial" w:hAnsi="Arial" w:cs="Arial"/>
                <w:sz w:val="20"/>
                <w:szCs w:val="20"/>
              </w:rPr>
              <w:t>88.8</w:t>
            </w:r>
          </w:p>
        </w:tc>
        <w:tc>
          <w:tcPr>
            <w:tcW w:w="995" w:type="dxa"/>
            <w:tcBorders>
              <w:right w:val="single" w:color="auto" w:sz="12" w:space="0"/>
            </w:tcBorders>
            <w:vAlign w:val="bottom"/>
          </w:tcPr>
          <w:p w:rsidR="003B0815" w:rsidRDefault="003B0815" w14:paraId="59F22DEE" w14:textId="77777777">
            <w:pPr>
              <w:keepNext/>
              <w:jc w:val="right"/>
              <w:rPr>
                <w:rFonts w:ascii="Arial" w:hAnsi="Arial" w:cs="Arial"/>
                <w:sz w:val="20"/>
                <w:szCs w:val="20"/>
              </w:rPr>
            </w:pPr>
            <w:r>
              <w:rPr>
                <w:rFonts w:ascii="Arial" w:hAnsi="Arial" w:cs="Arial"/>
                <w:sz w:val="20"/>
                <w:szCs w:val="20"/>
              </w:rPr>
              <w:t>306.0</w:t>
            </w:r>
          </w:p>
        </w:tc>
      </w:tr>
      <w:tr w:rsidR="003B0815" w14:paraId="6A9350C7"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30B97617" w14:textId="77777777">
            <w:pPr>
              <w:keepNext/>
            </w:pPr>
          </w:p>
        </w:tc>
        <w:tc>
          <w:tcPr>
            <w:tcW w:w="1006" w:type="dxa"/>
            <w:vAlign w:val="bottom"/>
          </w:tcPr>
          <w:p w:rsidR="003B0815" w:rsidRDefault="003B0815" w14:paraId="55F40FF8" w14:textId="77777777">
            <w:pPr>
              <w:keepNext/>
              <w:jc w:val="center"/>
              <w:rPr>
                <w:rFonts w:ascii="Arial" w:hAnsi="Arial" w:cs="Arial"/>
                <w:sz w:val="20"/>
                <w:szCs w:val="20"/>
              </w:rPr>
            </w:pPr>
            <w:r>
              <w:rPr>
                <w:rFonts w:ascii="Arial" w:hAnsi="Arial" w:cs="Arial"/>
                <w:sz w:val="20"/>
                <w:szCs w:val="20"/>
              </w:rPr>
              <w:t>2014</w:t>
            </w:r>
          </w:p>
        </w:tc>
        <w:tc>
          <w:tcPr>
            <w:tcW w:w="1761" w:type="dxa"/>
            <w:vAlign w:val="bottom"/>
          </w:tcPr>
          <w:p w:rsidR="003B0815" w:rsidRDefault="003B0815" w14:paraId="0F157F1A" w14:textId="77777777">
            <w:pPr>
              <w:keepNext/>
              <w:jc w:val="right"/>
              <w:rPr>
                <w:rFonts w:ascii="Arial" w:hAnsi="Arial" w:cs="Arial"/>
                <w:sz w:val="20"/>
                <w:szCs w:val="20"/>
              </w:rPr>
            </w:pPr>
            <w:r>
              <w:rPr>
                <w:rFonts w:ascii="Arial" w:hAnsi="Arial" w:cs="Arial"/>
                <w:sz w:val="20"/>
                <w:szCs w:val="20"/>
              </w:rPr>
              <w:t>27.0</w:t>
            </w:r>
          </w:p>
        </w:tc>
        <w:tc>
          <w:tcPr>
            <w:tcW w:w="1183" w:type="dxa"/>
            <w:vAlign w:val="bottom"/>
          </w:tcPr>
          <w:p w:rsidR="003B0815" w:rsidRDefault="003B0815" w14:paraId="46B9D266" w14:textId="77777777">
            <w:pPr>
              <w:keepNext/>
              <w:jc w:val="right"/>
              <w:rPr>
                <w:rFonts w:ascii="Arial" w:hAnsi="Arial" w:cs="Arial"/>
                <w:sz w:val="20"/>
                <w:szCs w:val="20"/>
              </w:rPr>
            </w:pPr>
            <w:r>
              <w:rPr>
                <w:rFonts w:ascii="Arial" w:hAnsi="Arial" w:cs="Arial"/>
                <w:sz w:val="20"/>
                <w:szCs w:val="20"/>
              </w:rPr>
              <w:t>13.8</w:t>
            </w:r>
          </w:p>
        </w:tc>
        <w:tc>
          <w:tcPr>
            <w:tcW w:w="939" w:type="dxa"/>
            <w:vAlign w:val="bottom"/>
          </w:tcPr>
          <w:p w:rsidR="003B0815" w:rsidRDefault="003B0815" w14:paraId="61C9779B" w14:textId="77777777">
            <w:pPr>
              <w:keepNext/>
              <w:jc w:val="right"/>
              <w:rPr>
                <w:rFonts w:ascii="Arial" w:hAnsi="Arial" w:cs="Arial"/>
                <w:sz w:val="20"/>
                <w:szCs w:val="20"/>
              </w:rPr>
            </w:pPr>
            <w:r>
              <w:rPr>
                <w:rFonts w:ascii="Arial" w:hAnsi="Arial" w:cs="Arial"/>
                <w:sz w:val="20"/>
                <w:szCs w:val="20"/>
              </w:rPr>
              <w:t>32.6</w:t>
            </w:r>
          </w:p>
        </w:tc>
        <w:tc>
          <w:tcPr>
            <w:tcW w:w="995" w:type="dxa"/>
            <w:vAlign w:val="bottom"/>
          </w:tcPr>
          <w:p w:rsidR="003B0815" w:rsidRDefault="003B0815" w14:paraId="08FE6C60" w14:textId="77777777">
            <w:pPr>
              <w:keepNext/>
              <w:jc w:val="right"/>
              <w:rPr>
                <w:rFonts w:ascii="Arial" w:hAnsi="Arial" w:cs="Arial"/>
                <w:sz w:val="20"/>
                <w:szCs w:val="20"/>
              </w:rPr>
            </w:pPr>
            <w:r>
              <w:rPr>
                <w:rFonts w:ascii="Arial" w:hAnsi="Arial" w:cs="Arial"/>
                <w:sz w:val="20"/>
                <w:szCs w:val="20"/>
              </w:rPr>
              <w:t>147.8</w:t>
            </w:r>
          </w:p>
        </w:tc>
        <w:tc>
          <w:tcPr>
            <w:tcW w:w="995" w:type="dxa"/>
            <w:vAlign w:val="bottom"/>
          </w:tcPr>
          <w:p w:rsidR="003B0815" w:rsidRDefault="003B0815" w14:paraId="2390440B" w14:textId="77777777">
            <w:pPr>
              <w:keepNext/>
              <w:jc w:val="right"/>
              <w:rPr>
                <w:rFonts w:ascii="Arial" w:hAnsi="Arial" w:cs="Arial"/>
                <w:sz w:val="20"/>
                <w:szCs w:val="20"/>
              </w:rPr>
            </w:pPr>
            <w:r>
              <w:rPr>
                <w:rFonts w:ascii="Arial" w:hAnsi="Arial" w:cs="Arial"/>
                <w:sz w:val="20"/>
                <w:szCs w:val="20"/>
              </w:rPr>
              <w:t>221.2</w:t>
            </w:r>
          </w:p>
        </w:tc>
        <w:tc>
          <w:tcPr>
            <w:tcW w:w="1361" w:type="dxa"/>
            <w:vAlign w:val="bottom"/>
          </w:tcPr>
          <w:p w:rsidR="003B0815" w:rsidRDefault="003B0815" w14:paraId="708F1111" w14:textId="77777777">
            <w:pPr>
              <w:keepNext/>
              <w:jc w:val="right"/>
              <w:rPr>
                <w:rFonts w:ascii="Arial" w:hAnsi="Arial" w:cs="Arial"/>
                <w:sz w:val="20"/>
                <w:szCs w:val="20"/>
              </w:rPr>
            </w:pPr>
            <w:r>
              <w:rPr>
                <w:rFonts w:ascii="Arial" w:hAnsi="Arial" w:cs="Arial"/>
                <w:sz w:val="20"/>
                <w:szCs w:val="20"/>
              </w:rPr>
              <w:t>92.1</w:t>
            </w:r>
          </w:p>
        </w:tc>
        <w:tc>
          <w:tcPr>
            <w:tcW w:w="995" w:type="dxa"/>
            <w:tcBorders>
              <w:right w:val="single" w:color="auto" w:sz="12" w:space="0"/>
            </w:tcBorders>
            <w:vAlign w:val="bottom"/>
          </w:tcPr>
          <w:p w:rsidR="003B0815" w:rsidRDefault="003B0815" w14:paraId="3B8EA66C" w14:textId="77777777">
            <w:pPr>
              <w:keepNext/>
              <w:jc w:val="right"/>
              <w:rPr>
                <w:rFonts w:ascii="Arial" w:hAnsi="Arial" w:cs="Arial"/>
                <w:sz w:val="20"/>
                <w:szCs w:val="20"/>
              </w:rPr>
            </w:pPr>
            <w:r>
              <w:rPr>
                <w:rFonts w:ascii="Arial" w:hAnsi="Arial" w:cs="Arial"/>
                <w:sz w:val="20"/>
                <w:szCs w:val="20"/>
              </w:rPr>
              <w:t>313.3</w:t>
            </w:r>
          </w:p>
        </w:tc>
      </w:tr>
      <w:tr w:rsidR="003B0815" w14:paraId="6AB5EC0E"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308ED070" w14:textId="77777777">
            <w:pPr>
              <w:keepNext/>
            </w:pPr>
          </w:p>
        </w:tc>
        <w:tc>
          <w:tcPr>
            <w:tcW w:w="1006" w:type="dxa"/>
            <w:vAlign w:val="bottom"/>
          </w:tcPr>
          <w:p w:rsidR="003B0815" w:rsidRDefault="003B0815" w14:paraId="71DF32F9" w14:textId="77777777">
            <w:pPr>
              <w:keepNext/>
              <w:jc w:val="center"/>
              <w:rPr>
                <w:rFonts w:ascii="Arial" w:hAnsi="Arial" w:cs="Arial"/>
                <w:sz w:val="20"/>
                <w:szCs w:val="20"/>
              </w:rPr>
            </w:pPr>
            <w:r>
              <w:rPr>
                <w:rFonts w:ascii="Arial" w:hAnsi="Arial" w:cs="Arial"/>
                <w:sz w:val="20"/>
                <w:szCs w:val="20"/>
              </w:rPr>
              <w:t>2015</w:t>
            </w:r>
          </w:p>
        </w:tc>
        <w:tc>
          <w:tcPr>
            <w:tcW w:w="1761" w:type="dxa"/>
            <w:vAlign w:val="bottom"/>
          </w:tcPr>
          <w:p w:rsidR="003B0815" w:rsidRDefault="003B0815" w14:paraId="1AB375F1" w14:textId="77777777">
            <w:pPr>
              <w:keepNext/>
              <w:jc w:val="right"/>
              <w:rPr>
                <w:rFonts w:ascii="Arial" w:hAnsi="Arial" w:cs="Arial"/>
                <w:sz w:val="20"/>
                <w:szCs w:val="20"/>
              </w:rPr>
            </w:pPr>
            <w:r>
              <w:rPr>
                <w:rFonts w:ascii="Arial" w:hAnsi="Arial" w:cs="Arial"/>
                <w:sz w:val="20"/>
                <w:szCs w:val="20"/>
              </w:rPr>
              <w:t>28.1</w:t>
            </w:r>
          </w:p>
        </w:tc>
        <w:tc>
          <w:tcPr>
            <w:tcW w:w="1183" w:type="dxa"/>
            <w:vAlign w:val="bottom"/>
          </w:tcPr>
          <w:p w:rsidR="003B0815" w:rsidRDefault="003B0815" w14:paraId="71C05F36" w14:textId="77777777">
            <w:pPr>
              <w:keepNext/>
              <w:jc w:val="right"/>
              <w:rPr>
                <w:rFonts w:ascii="Arial" w:hAnsi="Arial" w:cs="Arial"/>
                <w:sz w:val="20"/>
                <w:szCs w:val="20"/>
              </w:rPr>
            </w:pPr>
            <w:r>
              <w:rPr>
                <w:rFonts w:ascii="Arial" w:hAnsi="Arial" w:cs="Arial"/>
                <w:sz w:val="20"/>
                <w:szCs w:val="20"/>
              </w:rPr>
              <w:t>14.2</w:t>
            </w:r>
          </w:p>
        </w:tc>
        <w:tc>
          <w:tcPr>
            <w:tcW w:w="939" w:type="dxa"/>
            <w:vAlign w:val="bottom"/>
          </w:tcPr>
          <w:p w:rsidR="003B0815" w:rsidRDefault="003B0815" w14:paraId="7C119173" w14:textId="77777777">
            <w:pPr>
              <w:keepNext/>
              <w:jc w:val="right"/>
              <w:rPr>
                <w:rFonts w:ascii="Arial" w:hAnsi="Arial" w:cs="Arial"/>
                <w:sz w:val="20"/>
                <w:szCs w:val="20"/>
              </w:rPr>
            </w:pPr>
            <w:r>
              <w:rPr>
                <w:rFonts w:ascii="Arial" w:hAnsi="Arial" w:cs="Arial"/>
                <w:sz w:val="20"/>
                <w:szCs w:val="20"/>
              </w:rPr>
              <w:t>33.8</w:t>
            </w:r>
          </w:p>
        </w:tc>
        <w:tc>
          <w:tcPr>
            <w:tcW w:w="995" w:type="dxa"/>
            <w:vAlign w:val="bottom"/>
          </w:tcPr>
          <w:p w:rsidR="003B0815" w:rsidRDefault="003B0815" w14:paraId="4905EC47" w14:textId="77777777">
            <w:pPr>
              <w:keepNext/>
              <w:jc w:val="right"/>
              <w:rPr>
                <w:rFonts w:ascii="Arial" w:hAnsi="Arial" w:cs="Arial"/>
                <w:sz w:val="20"/>
                <w:szCs w:val="20"/>
              </w:rPr>
            </w:pPr>
            <w:r>
              <w:rPr>
                <w:rFonts w:ascii="Arial" w:hAnsi="Arial" w:cs="Arial"/>
                <w:sz w:val="20"/>
                <w:szCs w:val="20"/>
              </w:rPr>
              <w:t>150.4</w:t>
            </w:r>
          </w:p>
        </w:tc>
        <w:tc>
          <w:tcPr>
            <w:tcW w:w="995" w:type="dxa"/>
            <w:vAlign w:val="bottom"/>
          </w:tcPr>
          <w:p w:rsidR="003B0815" w:rsidRDefault="003B0815" w14:paraId="0346313E" w14:textId="77777777">
            <w:pPr>
              <w:keepNext/>
              <w:jc w:val="right"/>
              <w:rPr>
                <w:rFonts w:ascii="Arial" w:hAnsi="Arial" w:cs="Arial"/>
                <w:sz w:val="20"/>
                <w:szCs w:val="20"/>
              </w:rPr>
            </w:pPr>
            <w:r>
              <w:rPr>
                <w:rFonts w:ascii="Arial" w:hAnsi="Arial" w:cs="Arial"/>
                <w:sz w:val="20"/>
                <w:szCs w:val="20"/>
              </w:rPr>
              <w:t>226.5</w:t>
            </w:r>
          </w:p>
        </w:tc>
        <w:tc>
          <w:tcPr>
            <w:tcW w:w="1361" w:type="dxa"/>
            <w:vAlign w:val="bottom"/>
          </w:tcPr>
          <w:p w:rsidR="003B0815" w:rsidRDefault="003B0815" w14:paraId="36DBDC02" w14:textId="77777777">
            <w:pPr>
              <w:keepNext/>
              <w:jc w:val="right"/>
              <w:rPr>
                <w:rFonts w:ascii="Arial" w:hAnsi="Arial" w:cs="Arial"/>
                <w:sz w:val="20"/>
                <w:szCs w:val="20"/>
              </w:rPr>
            </w:pPr>
            <w:r>
              <w:rPr>
                <w:rFonts w:ascii="Arial" w:hAnsi="Arial" w:cs="Arial"/>
                <w:sz w:val="20"/>
                <w:szCs w:val="20"/>
              </w:rPr>
              <w:t>95.4</w:t>
            </w:r>
          </w:p>
        </w:tc>
        <w:tc>
          <w:tcPr>
            <w:tcW w:w="995" w:type="dxa"/>
            <w:tcBorders>
              <w:right w:val="single" w:color="auto" w:sz="12" w:space="0"/>
            </w:tcBorders>
            <w:vAlign w:val="bottom"/>
          </w:tcPr>
          <w:p w:rsidR="003B0815" w:rsidRDefault="003B0815" w14:paraId="2B941352" w14:textId="77777777">
            <w:pPr>
              <w:keepNext/>
              <w:jc w:val="right"/>
              <w:rPr>
                <w:rFonts w:ascii="Arial" w:hAnsi="Arial" w:cs="Arial"/>
                <w:sz w:val="20"/>
                <w:szCs w:val="20"/>
              </w:rPr>
            </w:pPr>
            <w:r>
              <w:rPr>
                <w:rFonts w:ascii="Arial" w:hAnsi="Arial" w:cs="Arial"/>
                <w:sz w:val="20"/>
                <w:szCs w:val="20"/>
              </w:rPr>
              <w:t>321.9</w:t>
            </w:r>
          </w:p>
        </w:tc>
      </w:tr>
      <w:tr w:rsidR="003B0815" w14:paraId="5A269F5E"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602DC8EC" w14:textId="77777777">
            <w:pPr>
              <w:keepNext/>
            </w:pPr>
          </w:p>
        </w:tc>
        <w:tc>
          <w:tcPr>
            <w:tcW w:w="1006" w:type="dxa"/>
            <w:tcBorders>
              <w:bottom w:val="single" w:color="auto" w:sz="4" w:space="0"/>
            </w:tcBorders>
            <w:vAlign w:val="bottom"/>
          </w:tcPr>
          <w:p w:rsidR="003B0815" w:rsidRDefault="003B0815" w14:paraId="5781FEE4" w14:textId="77777777">
            <w:pPr>
              <w:keepNext/>
              <w:jc w:val="center"/>
              <w:rPr>
                <w:rFonts w:ascii="Arial" w:hAnsi="Arial" w:cs="Arial"/>
                <w:sz w:val="20"/>
                <w:szCs w:val="20"/>
              </w:rPr>
            </w:pPr>
            <w:r>
              <w:rPr>
                <w:rFonts w:ascii="Arial" w:hAnsi="Arial" w:cs="Arial"/>
                <w:sz w:val="20"/>
                <w:szCs w:val="20"/>
              </w:rPr>
              <w:t>2016</w:t>
            </w:r>
          </w:p>
        </w:tc>
        <w:tc>
          <w:tcPr>
            <w:tcW w:w="1761" w:type="dxa"/>
            <w:tcBorders>
              <w:bottom w:val="single" w:color="auto" w:sz="4" w:space="0"/>
            </w:tcBorders>
            <w:vAlign w:val="bottom"/>
          </w:tcPr>
          <w:p w:rsidR="003B0815" w:rsidRDefault="003B0815" w14:paraId="311C6604" w14:textId="77777777">
            <w:pPr>
              <w:keepNext/>
              <w:jc w:val="right"/>
              <w:rPr>
                <w:rFonts w:ascii="Arial" w:hAnsi="Arial" w:cs="Arial"/>
                <w:sz w:val="20"/>
                <w:szCs w:val="20"/>
              </w:rPr>
            </w:pPr>
            <w:r>
              <w:rPr>
                <w:rFonts w:ascii="Arial" w:hAnsi="Arial" w:cs="Arial"/>
                <w:sz w:val="20"/>
                <w:szCs w:val="20"/>
              </w:rPr>
              <w:t>29.1</w:t>
            </w:r>
          </w:p>
        </w:tc>
        <w:tc>
          <w:tcPr>
            <w:tcW w:w="1183" w:type="dxa"/>
            <w:tcBorders>
              <w:bottom w:val="single" w:color="auto" w:sz="4" w:space="0"/>
            </w:tcBorders>
            <w:vAlign w:val="bottom"/>
          </w:tcPr>
          <w:p w:rsidR="003B0815" w:rsidRDefault="003B0815" w14:paraId="29828497" w14:textId="77777777">
            <w:pPr>
              <w:keepNext/>
              <w:jc w:val="right"/>
              <w:rPr>
                <w:rFonts w:ascii="Arial" w:hAnsi="Arial" w:cs="Arial"/>
                <w:sz w:val="20"/>
                <w:szCs w:val="20"/>
              </w:rPr>
            </w:pPr>
            <w:r>
              <w:rPr>
                <w:rFonts w:ascii="Arial" w:hAnsi="Arial" w:cs="Arial"/>
                <w:sz w:val="20"/>
                <w:szCs w:val="20"/>
              </w:rPr>
              <w:t>14.7</w:t>
            </w:r>
          </w:p>
        </w:tc>
        <w:tc>
          <w:tcPr>
            <w:tcW w:w="939" w:type="dxa"/>
            <w:tcBorders>
              <w:bottom w:val="single" w:color="auto" w:sz="4" w:space="0"/>
            </w:tcBorders>
            <w:vAlign w:val="bottom"/>
          </w:tcPr>
          <w:p w:rsidR="003B0815" w:rsidRDefault="003B0815" w14:paraId="0F25663B" w14:textId="77777777">
            <w:pPr>
              <w:keepNext/>
              <w:jc w:val="right"/>
              <w:rPr>
                <w:rFonts w:ascii="Arial" w:hAnsi="Arial" w:cs="Arial"/>
                <w:sz w:val="20"/>
                <w:szCs w:val="20"/>
              </w:rPr>
            </w:pPr>
            <w:r>
              <w:rPr>
                <w:rFonts w:ascii="Arial" w:hAnsi="Arial" w:cs="Arial"/>
                <w:sz w:val="20"/>
                <w:szCs w:val="20"/>
              </w:rPr>
              <w:t>35.1</w:t>
            </w:r>
          </w:p>
        </w:tc>
        <w:tc>
          <w:tcPr>
            <w:tcW w:w="995" w:type="dxa"/>
            <w:tcBorders>
              <w:bottom w:val="single" w:color="auto" w:sz="4" w:space="0"/>
            </w:tcBorders>
            <w:vAlign w:val="bottom"/>
          </w:tcPr>
          <w:p w:rsidR="003B0815" w:rsidRDefault="003B0815" w14:paraId="28CFA2F4" w14:textId="77777777">
            <w:pPr>
              <w:keepNext/>
              <w:jc w:val="right"/>
              <w:rPr>
                <w:rFonts w:ascii="Arial" w:hAnsi="Arial" w:cs="Arial"/>
                <w:sz w:val="20"/>
                <w:szCs w:val="20"/>
              </w:rPr>
            </w:pPr>
            <w:r>
              <w:rPr>
                <w:rFonts w:ascii="Arial" w:hAnsi="Arial" w:cs="Arial"/>
                <w:sz w:val="20"/>
                <w:szCs w:val="20"/>
              </w:rPr>
              <w:t>156.0</w:t>
            </w:r>
          </w:p>
        </w:tc>
        <w:tc>
          <w:tcPr>
            <w:tcW w:w="995" w:type="dxa"/>
            <w:tcBorders>
              <w:bottom w:val="single" w:color="auto" w:sz="4" w:space="0"/>
            </w:tcBorders>
            <w:vAlign w:val="bottom"/>
          </w:tcPr>
          <w:p w:rsidR="003B0815" w:rsidRDefault="003B0815" w14:paraId="40AB22FD" w14:textId="77777777">
            <w:pPr>
              <w:keepNext/>
              <w:jc w:val="right"/>
              <w:rPr>
                <w:rFonts w:ascii="Arial" w:hAnsi="Arial" w:cs="Arial"/>
                <w:sz w:val="20"/>
                <w:szCs w:val="20"/>
              </w:rPr>
            </w:pPr>
            <w:r>
              <w:rPr>
                <w:rFonts w:ascii="Arial" w:hAnsi="Arial" w:cs="Arial"/>
                <w:sz w:val="20"/>
                <w:szCs w:val="20"/>
              </w:rPr>
              <w:t>234.9</w:t>
            </w:r>
          </w:p>
        </w:tc>
        <w:tc>
          <w:tcPr>
            <w:tcW w:w="1361" w:type="dxa"/>
            <w:tcBorders>
              <w:bottom w:val="single" w:color="auto" w:sz="4" w:space="0"/>
            </w:tcBorders>
            <w:vAlign w:val="bottom"/>
          </w:tcPr>
          <w:p w:rsidR="003B0815" w:rsidRDefault="003B0815" w14:paraId="006A0E2B" w14:textId="77777777">
            <w:pPr>
              <w:keepNext/>
              <w:jc w:val="right"/>
              <w:rPr>
                <w:rFonts w:ascii="Arial" w:hAnsi="Arial" w:cs="Arial"/>
                <w:sz w:val="20"/>
                <w:szCs w:val="20"/>
              </w:rPr>
            </w:pPr>
            <w:r>
              <w:rPr>
                <w:rFonts w:ascii="Arial" w:hAnsi="Arial" w:cs="Arial"/>
                <w:sz w:val="20"/>
                <w:szCs w:val="20"/>
              </w:rPr>
              <w:t>99.2</w:t>
            </w:r>
          </w:p>
        </w:tc>
        <w:tc>
          <w:tcPr>
            <w:tcW w:w="995" w:type="dxa"/>
            <w:tcBorders>
              <w:bottom w:val="single" w:color="auto" w:sz="4" w:space="0"/>
              <w:right w:val="single" w:color="auto" w:sz="12" w:space="0"/>
            </w:tcBorders>
            <w:vAlign w:val="bottom"/>
          </w:tcPr>
          <w:p w:rsidR="003B0815" w:rsidRDefault="003B0815" w14:paraId="7FAE3B51" w14:textId="77777777">
            <w:pPr>
              <w:keepNext/>
              <w:jc w:val="right"/>
              <w:rPr>
                <w:rFonts w:ascii="Arial" w:hAnsi="Arial" w:cs="Arial"/>
                <w:sz w:val="20"/>
                <w:szCs w:val="20"/>
              </w:rPr>
            </w:pPr>
            <w:r>
              <w:rPr>
                <w:rFonts w:ascii="Arial" w:hAnsi="Arial" w:cs="Arial"/>
                <w:sz w:val="20"/>
                <w:szCs w:val="20"/>
              </w:rPr>
              <w:t>334.1</w:t>
            </w:r>
          </w:p>
        </w:tc>
      </w:tr>
      <w:tr w:rsidR="003B0815" w14:paraId="3BD70A8F" w14:textId="77777777">
        <w:trPr>
          <w:cantSplit/>
        </w:trPr>
        <w:tc>
          <w:tcPr>
            <w:tcW w:w="961" w:type="dxa"/>
            <w:vMerge/>
            <w:tcBorders>
              <w:top w:val="double" w:color="auto" w:sz="4" w:space="0"/>
              <w:left w:val="single" w:color="auto" w:sz="12" w:space="0"/>
              <w:bottom w:val="single" w:color="auto" w:sz="12" w:space="0"/>
            </w:tcBorders>
          </w:tcPr>
          <w:p w:rsidR="003B0815" w:rsidRDefault="003B0815" w14:paraId="16BCB4A4" w14:textId="77777777">
            <w:pPr>
              <w:keepNext/>
            </w:pPr>
          </w:p>
        </w:tc>
        <w:tc>
          <w:tcPr>
            <w:tcW w:w="1006" w:type="dxa"/>
            <w:tcBorders>
              <w:bottom w:val="double" w:color="auto" w:sz="4" w:space="0"/>
            </w:tcBorders>
            <w:vAlign w:val="bottom"/>
          </w:tcPr>
          <w:p w:rsidR="003B0815" w:rsidRDefault="003B0815" w14:paraId="606AA2BC" w14:textId="77777777">
            <w:pPr>
              <w:keepNext/>
              <w:jc w:val="center"/>
              <w:rPr>
                <w:rFonts w:ascii="Arial" w:hAnsi="Arial" w:cs="Arial"/>
                <w:sz w:val="20"/>
                <w:szCs w:val="20"/>
              </w:rPr>
            </w:pPr>
            <w:r>
              <w:rPr>
                <w:rFonts w:ascii="Arial" w:hAnsi="Arial" w:cs="Arial"/>
                <w:sz w:val="20"/>
                <w:szCs w:val="20"/>
              </w:rPr>
              <w:t>2017</w:t>
            </w:r>
          </w:p>
        </w:tc>
        <w:tc>
          <w:tcPr>
            <w:tcW w:w="1761" w:type="dxa"/>
            <w:tcBorders>
              <w:bottom w:val="double" w:color="auto" w:sz="4" w:space="0"/>
            </w:tcBorders>
            <w:vAlign w:val="bottom"/>
          </w:tcPr>
          <w:p w:rsidR="003B0815" w:rsidRDefault="003B0815" w14:paraId="75F1F81C" w14:textId="77777777">
            <w:pPr>
              <w:keepNext/>
              <w:jc w:val="right"/>
              <w:rPr>
                <w:rFonts w:ascii="Arial" w:hAnsi="Arial" w:cs="Arial"/>
                <w:sz w:val="20"/>
                <w:szCs w:val="20"/>
              </w:rPr>
            </w:pPr>
            <w:r>
              <w:rPr>
                <w:rFonts w:ascii="Arial" w:hAnsi="Arial" w:cs="Arial"/>
                <w:sz w:val="20"/>
                <w:szCs w:val="20"/>
              </w:rPr>
              <w:t>$30.2</w:t>
            </w:r>
          </w:p>
        </w:tc>
        <w:tc>
          <w:tcPr>
            <w:tcW w:w="1183" w:type="dxa"/>
            <w:tcBorders>
              <w:bottom w:val="double" w:color="auto" w:sz="4" w:space="0"/>
            </w:tcBorders>
            <w:vAlign w:val="bottom"/>
          </w:tcPr>
          <w:p w:rsidR="003B0815" w:rsidRDefault="003B0815" w14:paraId="5EC84700" w14:textId="77777777">
            <w:pPr>
              <w:keepNext/>
              <w:jc w:val="right"/>
              <w:rPr>
                <w:rFonts w:ascii="Arial" w:hAnsi="Arial" w:cs="Arial"/>
                <w:sz w:val="20"/>
                <w:szCs w:val="20"/>
              </w:rPr>
            </w:pPr>
            <w:r>
              <w:rPr>
                <w:rFonts w:ascii="Arial" w:hAnsi="Arial" w:cs="Arial"/>
                <w:sz w:val="20"/>
                <w:szCs w:val="20"/>
              </w:rPr>
              <w:t>$15.3</w:t>
            </w:r>
          </w:p>
        </w:tc>
        <w:tc>
          <w:tcPr>
            <w:tcW w:w="939" w:type="dxa"/>
            <w:tcBorders>
              <w:bottom w:val="double" w:color="auto" w:sz="4" w:space="0"/>
            </w:tcBorders>
            <w:vAlign w:val="bottom"/>
          </w:tcPr>
          <w:p w:rsidR="003B0815" w:rsidRDefault="003B0815" w14:paraId="4458BC84" w14:textId="77777777">
            <w:pPr>
              <w:keepNext/>
              <w:jc w:val="right"/>
              <w:rPr>
                <w:rFonts w:ascii="Arial" w:hAnsi="Arial" w:cs="Arial"/>
                <w:sz w:val="20"/>
                <w:szCs w:val="20"/>
              </w:rPr>
            </w:pPr>
            <w:r>
              <w:rPr>
                <w:rFonts w:ascii="Arial" w:hAnsi="Arial" w:cs="Arial"/>
                <w:sz w:val="20"/>
                <w:szCs w:val="20"/>
              </w:rPr>
              <w:t>$36.4</w:t>
            </w:r>
          </w:p>
        </w:tc>
        <w:tc>
          <w:tcPr>
            <w:tcW w:w="995" w:type="dxa"/>
            <w:tcBorders>
              <w:bottom w:val="double" w:color="auto" w:sz="4" w:space="0"/>
            </w:tcBorders>
            <w:vAlign w:val="bottom"/>
          </w:tcPr>
          <w:p w:rsidR="003B0815" w:rsidRDefault="003B0815" w14:paraId="1B44F4EA" w14:textId="77777777">
            <w:pPr>
              <w:keepNext/>
              <w:jc w:val="right"/>
              <w:rPr>
                <w:rFonts w:ascii="Arial" w:hAnsi="Arial" w:cs="Arial"/>
                <w:sz w:val="20"/>
                <w:szCs w:val="20"/>
              </w:rPr>
            </w:pPr>
            <w:r>
              <w:rPr>
                <w:rFonts w:ascii="Arial" w:hAnsi="Arial" w:cs="Arial"/>
                <w:sz w:val="20"/>
                <w:szCs w:val="20"/>
              </w:rPr>
              <w:t>$163.0</w:t>
            </w:r>
          </w:p>
        </w:tc>
        <w:tc>
          <w:tcPr>
            <w:tcW w:w="995" w:type="dxa"/>
            <w:tcBorders>
              <w:bottom w:val="double" w:color="auto" w:sz="4" w:space="0"/>
            </w:tcBorders>
            <w:vAlign w:val="bottom"/>
          </w:tcPr>
          <w:p w:rsidR="003B0815" w:rsidRDefault="003B0815" w14:paraId="3F746A22" w14:textId="77777777">
            <w:pPr>
              <w:keepNext/>
              <w:jc w:val="right"/>
              <w:rPr>
                <w:rFonts w:ascii="Arial" w:hAnsi="Arial" w:cs="Arial"/>
                <w:sz w:val="20"/>
                <w:szCs w:val="20"/>
              </w:rPr>
            </w:pPr>
            <w:r>
              <w:rPr>
                <w:rFonts w:ascii="Arial" w:hAnsi="Arial" w:cs="Arial"/>
                <w:sz w:val="20"/>
                <w:szCs w:val="20"/>
              </w:rPr>
              <w:t>$245.0</w:t>
            </w:r>
          </w:p>
        </w:tc>
        <w:tc>
          <w:tcPr>
            <w:tcW w:w="1361" w:type="dxa"/>
            <w:tcBorders>
              <w:bottom w:val="double" w:color="auto" w:sz="4" w:space="0"/>
            </w:tcBorders>
            <w:vAlign w:val="bottom"/>
          </w:tcPr>
          <w:p w:rsidR="003B0815" w:rsidRDefault="003B0815" w14:paraId="70186BDF" w14:textId="77777777">
            <w:pPr>
              <w:keepNext/>
              <w:jc w:val="right"/>
              <w:rPr>
                <w:rFonts w:ascii="Arial" w:hAnsi="Arial" w:cs="Arial"/>
                <w:sz w:val="20"/>
                <w:szCs w:val="20"/>
              </w:rPr>
            </w:pPr>
            <w:r>
              <w:rPr>
                <w:rFonts w:ascii="Arial" w:hAnsi="Arial" w:cs="Arial"/>
                <w:sz w:val="20"/>
                <w:szCs w:val="20"/>
              </w:rPr>
              <w:t>$102.9</w:t>
            </w:r>
          </w:p>
        </w:tc>
        <w:tc>
          <w:tcPr>
            <w:tcW w:w="995" w:type="dxa"/>
            <w:tcBorders>
              <w:bottom w:val="double" w:color="auto" w:sz="4" w:space="0"/>
              <w:right w:val="single" w:color="auto" w:sz="12" w:space="0"/>
            </w:tcBorders>
            <w:vAlign w:val="bottom"/>
          </w:tcPr>
          <w:p w:rsidR="003B0815" w:rsidRDefault="003B0815" w14:paraId="73EF3BD3" w14:textId="77777777">
            <w:pPr>
              <w:keepNext/>
              <w:jc w:val="right"/>
              <w:rPr>
                <w:rFonts w:ascii="Arial" w:hAnsi="Arial" w:cs="Arial"/>
                <w:sz w:val="20"/>
                <w:szCs w:val="20"/>
              </w:rPr>
            </w:pPr>
            <w:r>
              <w:rPr>
                <w:rFonts w:ascii="Arial" w:hAnsi="Arial" w:cs="Arial"/>
                <w:sz w:val="20"/>
                <w:szCs w:val="20"/>
              </w:rPr>
              <w:t>$347.9</w:t>
            </w:r>
          </w:p>
        </w:tc>
      </w:tr>
      <w:tr w:rsidR="003B0815" w14:paraId="380F5AF1" w14:textId="77777777">
        <w:trPr>
          <w:cantSplit/>
          <w:trHeight w:val="413"/>
        </w:trPr>
        <w:tc>
          <w:tcPr>
            <w:tcW w:w="961" w:type="dxa"/>
            <w:vMerge w:val="restart"/>
            <w:tcBorders>
              <w:top w:val="double" w:color="auto" w:sz="4" w:space="0"/>
              <w:left w:val="single" w:color="auto" w:sz="12" w:space="0"/>
              <w:bottom w:val="single" w:color="auto" w:sz="12" w:space="0"/>
            </w:tcBorders>
            <w:textDirection w:val="btLr"/>
          </w:tcPr>
          <w:p w:rsidR="003B0815" w:rsidRDefault="003B0815" w14:paraId="43BCE1FF" w14:textId="77777777">
            <w:pPr>
              <w:keepNext/>
              <w:ind w:left="113" w:right="113"/>
              <w:jc w:val="center"/>
              <w:rPr>
                <w:rFonts w:ascii="Arial" w:hAnsi="Arial" w:cs="Arial"/>
                <w:sz w:val="20"/>
                <w:szCs w:val="20"/>
              </w:rPr>
            </w:pPr>
          </w:p>
        </w:tc>
        <w:tc>
          <w:tcPr>
            <w:tcW w:w="1006" w:type="dxa"/>
            <w:tcBorders>
              <w:top w:val="double" w:color="auto" w:sz="4" w:space="0"/>
            </w:tcBorders>
            <w:vAlign w:val="bottom"/>
          </w:tcPr>
          <w:p w:rsidR="003B0815" w:rsidRDefault="003B0815" w14:paraId="4036C981" w14:textId="77777777">
            <w:pPr>
              <w:keepNext/>
              <w:jc w:val="center"/>
              <w:rPr>
                <w:rFonts w:ascii="Arial" w:hAnsi="Arial" w:cs="Arial"/>
                <w:sz w:val="20"/>
                <w:szCs w:val="20"/>
              </w:rPr>
            </w:pPr>
            <w:r>
              <w:rPr>
                <w:rFonts w:ascii="Arial" w:hAnsi="Arial" w:cs="Arial"/>
                <w:sz w:val="20"/>
                <w:szCs w:val="20"/>
              </w:rPr>
              <w:t xml:space="preserve">Primary </w:t>
            </w:r>
          </w:p>
        </w:tc>
        <w:tc>
          <w:tcPr>
            <w:tcW w:w="1761" w:type="dxa"/>
            <w:tcBorders>
              <w:top w:val="double" w:color="auto" w:sz="4" w:space="0"/>
            </w:tcBorders>
            <w:vAlign w:val="bottom"/>
          </w:tcPr>
          <w:p w:rsidR="003B0815" w:rsidRDefault="003B0815" w14:paraId="10DD39DA" w14:textId="77777777">
            <w:pPr>
              <w:keepNext/>
              <w:jc w:val="right"/>
              <w:rPr>
                <w:rFonts w:ascii="Arial" w:hAnsi="Arial" w:cs="Arial"/>
                <w:sz w:val="20"/>
                <w:szCs w:val="20"/>
              </w:rPr>
            </w:pPr>
            <w:r>
              <w:rPr>
                <w:rFonts w:ascii="Arial" w:hAnsi="Arial" w:cs="Arial"/>
                <w:sz w:val="20"/>
                <w:szCs w:val="20"/>
              </w:rPr>
              <w:t>$498.8</w:t>
            </w:r>
          </w:p>
        </w:tc>
        <w:tc>
          <w:tcPr>
            <w:tcW w:w="1183" w:type="dxa"/>
            <w:tcBorders>
              <w:top w:val="double" w:color="auto" w:sz="4" w:space="0"/>
            </w:tcBorders>
            <w:vAlign w:val="bottom"/>
          </w:tcPr>
          <w:p w:rsidR="003B0815" w:rsidRDefault="003B0815" w14:paraId="12010776" w14:textId="77777777">
            <w:pPr>
              <w:keepNext/>
              <w:jc w:val="right"/>
              <w:rPr>
                <w:rFonts w:ascii="Arial" w:hAnsi="Arial" w:cs="Arial"/>
                <w:b/>
                <w:sz w:val="20"/>
                <w:szCs w:val="20"/>
              </w:rPr>
            </w:pPr>
            <w:r>
              <w:rPr>
                <w:rFonts w:ascii="Arial" w:hAnsi="Arial" w:cs="Arial"/>
                <w:sz w:val="20"/>
                <w:szCs w:val="20"/>
              </w:rPr>
              <w:t>$130.7</w:t>
            </w:r>
          </w:p>
        </w:tc>
        <w:tc>
          <w:tcPr>
            <w:tcW w:w="939" w:type="dxa"/>
            <w:tcBorders>
              <w:top w:val="double" w:color="auto" w:sz="4" w:space="0"/>
            </w:tcBorders>
            <w:vAlign w:val="bottom"/>
          </w:tcPr>
          <w:p w:rsidR="003B0815" w:rsidRDefault="003B0815" w14:paraId="4C87F43C" w14:textId="77777777">
            <w:pPr>
              <w:keepNext/>
              <w:jc w:val="right"/>
              <w:rPr>
                <w:rFonts w:ascii="Arial" w:hAnsi="Arial" w:cs="Arial"/>
                <w:b/>
                <w:sz w:val="20"/>
                <w:szCs w:val="20"/>
              </w:rPr>
            </w:pPr>
            <w:r>
              <w:rPr>
                <w:rFonts w:ascii="Arial" w:hAnsi="Arial" w:cs="Arial"/>
                <w:sz w:val="20"/>
                <w:szCs w:val="20"/>
              </w:rPr>
              <w:t>$327.4</w:t>
            </w:r>
          </w:p>
        </w:tc>
        <w:tc>
          <w:tcPr>
            <w:tcW w:w="995" w:type="dxa"/>
            <w:tcBorders>
              <w:top w:val="double" w:color="auto" w:sz="4" w:space="0"/>
            </w:tcBorders>
            <w:vAlign w:val="bottom"/>
          </w:tcPr>
          <w:p w:rsidR="003B0815" w:rsidRDefault="003B0815" w14:paraId="16B18EBF" w14:textId="77777777">
            <w:pPr>
              <w:keepNext/>
              <w:jc w:val="right"/>
              <w:rPr>
                <w:rFonts w:ascii="Arial" w:hAnsi="Arial" w:cs="Arial"/>
                <w:sz w:val="20"/>
                <w:szCs w:val="20"/>
              </w:rPr>
            </w:pPr>
            <w:r>
              <w:rPr>
                <w:rFonts w:ascii="Arial" w:hAnsi="Arial" w:cs="Arial"/>
                <w:sz w:val="20"/>
                <w:szCs w:val="20"/>
              </w:rPr>
              <w:t>$1,427.5</w:t>
            </w:r>
          </w:p>
        </w:tc>
        <w:tc>
          <w:tcPr>
            <w:tcW w:w="995" w:type="dxa"/>
            <w:tcBorders>
              <w:top w:val="double" w:color="auto" w:sz="4" w:space="0"/>
            </w:tcBorders>
            <w:vAlign w:val="bottom"/>
          </w:tcPr>
          <w:p w:rsidR="003B0815" w:rsidRDefault="003B0815" w14:paraId="34BDECE9" w14:textId="77777777">
            <w:pPr>
              <w:keepNext/>
              <w:jc w:val="right"/>
              <w:rPr>
                <w:rFonts w:ascii="Arial" w:hAnsi="Arial" w:cs="Arial"/>
                <w:b/>
                <w:sz w:val="20"/>
                <w:szCs w:val="20"/>
              </w:rPr>
            </w:pPr>
            <w:r>
              <w:rPr>
                <w:rFonts w:ascii="Arial" w:hAnsi="Arial" w:cs="Arial"/>
                <w:b/>
                <w:bCs/>
                <w:sz w:val="20"/>
                <w:szCs w:val="20"/>
              </w:rPr>
              <w:t>$2,384.4</w:t>
            </w:r>
          </w:p>
        </w:tc>
        <w:tc>
          <w:tcPr>
            <w:tcW w:w="1361" w:type="dxa"/>
            <w:tcBorders>
              <w:top w:val="double" w:color="auto" w:sz="4" w:space="0"/>
            </w:tcBorders>
            <w:vAlign w:val="bottom"/>
          </w:tcPr>
          <w:p w:rsidR="003B0815" w:rsidRDefault="003B0815" w14:paraId="753670F8" w14:textId="77777777">
            <w:pPr>
              <w:keepNext/>
              <w:jc w:val="right"/>
              <w:rPr>
                <w:rFonts w:ascii="Arial" w:hAnsi="Arial" w:cs="Arial"/>
                <w:b/>
                <w:sz w:val="20"/>
                <w:szCs w:val="20"/>
              </w:rPr>
            </w:pPr>
            <w:r>
              <w:rPr>
                <w:rFonts w:ascii="Arial" w:hAnsi="Arial" w:cs="Arial"/>
                <w:sz w:val="20"/>
                <w:szCs w:val="20"/>
              </w:rPr>
              <w:t>$877.9</w:t>
            </w:r>
          </w:p>
        </w:tc>
        <w:tc>
          <w:tcPr>
            <w:tcW w:w="995" w:type="dxa"/>
            <w:tcBorders>
              <w:top w:val="double" w:color="auto" w:sz="4" w:space="0"/>
              <w:right w:val="single" w:color="auto" w:sz="12" w:space="0"/>
            </w:tcBorders>
            <w:vAlign w:val="bottom"/>
          </w:tcPr>
          <w:p w:rsidR="003B0815" w:rsidRDefault="003B0815" w14:paraId="4498E17D" w14:textId="77777777">
            <w:pPr>
              <w:keepNext/>
              <w:jc w:val="right"/>
              <w:rPr>
                <w:rFonts w:ascii="Arial" w:hAnsi="Arial" w:cs="Arial"/>
                <w:b/>
                <w:sz w:val="20"/>
                <w:szCs w:val="20"/>
              </w:rPr>
            </w:pPr>
            <w:r>
              <w:rPr>
                <w:rFonts w:ascii="Arial" w:hAnsi="Arial" w:cs="Arial"/>
                <w:b/>
                <w:bCs/>
                <w:sz w:val="20"/>
                <w:szCs w:val="20"/>
              </w:rPr>
              <w:t>$3,262.3</w:t>
            </w:r>
          </w:p>
        </w:tc>
      </w:tr>
      <w:tr w:rsidR="003B0815" w14:paraId="4FD11ABD" w14:textId="77777777">
        <w:trPr>
          <w:cantSplit/>
          <w:trHeight w:val="359"/>
        </w:trPr>
        <w:tc>
          <w:tcPr>
            <w:tcW w:w="961" w:type="dxa"/>
            <w:vMerge/>
            <w:tcBorders>
              <w:top w:val="double" w:color="auto" w:sz="4" w:space="0"/>
              <w:left w:val="single" w:color="auto" w:sz="12" w:space="0"/>
              <w:bottom w:val="single" w:color="auto" w:sz="12" w:space="0"/>
            </w:tcBorders>
          </w:tcPr>
          <w:p w:rsidR="003B0815" w:rsidRDefault="003B0815" w14:paraId="4020A3EC" w14:textId="77777777">
            <w:pPr>
              <w:keepNext/>
              <w:rPr>
                <w:rFonts w:ascii="Arial" w:hAnsi="Arial" w:cs="Arial"/>
                <w:sz w:val="20"/>
                <w:szCs w:val="20"/>
              </w:rPr>
            </w:pPr>
          </w:p>
        </w:tc>
        <w:tc>
          <w:tcPr>
            <w:tcW w:w="1006" w:type="dxa"/>
            <w:vAlign w:val="bottom"/>
          </w:tcPr>
          <w:p w:rsidR="003B0815" w:rsidRDefault="003B0815" w14:paraId="3F3D5C71" w14:textId="77777777">
            <w:pPr>
              <w:keepNext/>
              <w:jc w:val="center"/>
              <w:rPr>
                <w:rFonts w:ascii="Arial" w:hAnsi="Arial" w:cs="Arial"/>
                <w:sz w:val="20"/>
                <w:szCs w:val="20"/>
              </w:rPr>
            </w:pPr>
            <w:r>
              <w:rPr>
                <w:rFonts w:ascii="Arial" w:hAnsi="Arial" w:cs="Arial"/>
                <w:sz w:val="20"/>
                <w:szCs w:val="20"/>
              </w:rPr>
              <w:t xml:space="preserve">High </w:t>
            </w:r>
          </w:p>
        </w:tc>
        <w:tc>
          <w:tcPr>
            <w:tcW w:w="1761" w:type="dxa"/>
            <w:vAlign w:val="bottom"/>
          </w:tcPr>
          <w:p w:rsidR="003B0815" w:rsidRDefault="003B0815" w14:paraId="30102E5F" w14:textId="77777777">
            <w:pPr>
              <w:keepNext/>
              <w:jc w:val="right"/>
              <w:rPr>
                <w:rFonts w:ascii="Arial" w:hAnsi="Arial" w:cs="Arial"/>
                <w:sz w:val="20"/>
                <w:szCs w:val="20"/>
              </w:rPr>
            </w:pPr>
            <w:r>
              <w:rPr>
                <w:rFonts w:ascii="Arial" w:hAnsi="Arial" w:cs="Arial"/>
                <w:sz w:val="20"/>
                <w:szCs w:val="20"/>
              </w:rPr>
              <w:t>$635.1</w:t>
            </w:r>
          </w:p>
        </w:tc>
        <w:tc>
          <w:tcPr>
            <w:tcW w:w="1183" w:type="dxa"/>
            <w:vAlign w:val="bottom"/>
          </w:tcPr>
          <w:p w:rsidR="003B0815" w:rsidRDefault="003B0815" w14:paraId="77CFCBC0" w14:textId="77777777">
            <w:pPr>
              <w:keepNext/>
              <w:jc w:val="right"/>
              <w:rPr>
                <w:rFonts w:ascii="Arial" w:hAnsi="Arial" w:cs="Arial"/>
                <w:b/>
                <w:sz w:val="20"/>
                <w:szCs w:val="20"/>
              </w:rPr>
            </w:pPr>
            <w:r>
              <w:rPr>
                <w:rFonts w:ascii="Arial" w:hAnsi="Arial" w:cs="Arial"/>
                <w:sz w:val="20"/>
                <w:szCs w:val="20"/>
              </w:rPr>
              <w:t>$156.6</w:t>
            </w:r>
          </w:p>
        </w:tc>
        <w:tc>
          <w:tcPr>
            <w:tcW w:w="939" w:type="dxa"/>
            <w:vAlign w:val="bottom"/>
          </w:tcPr>
          <w:p w:rsidR="003B0815" w:rsidRDefault="003B0815" w14:paraId="79C86B66" w14:textId="77777777">
            <w:pPr>
              <w:keepNext/>
              <w:jc w:val="right"/>
              <w:rPr>
                <w:rFonts w:ascii="Arial" w:hAnsi="Arial" w:cs="Arial"/>
                <w:b/>
                <w:sz w:val="20"/>
                <w:szCs w:val="20"/>
              </w:rPr>
            </w:pPr>
            <w:r>
              <w:rPr>
                <w:rFonts w:ascii="Arial" w:hAnsi="Arial" w:cs="Arial"/>
                <w:sz w:val="20"/>
                <w:szCs w:val="20"/>
              </w:rPr>
              <w:t>$393.5</w:t>
            </w:r>
          </w:p>
        </w:tc>
        <w:tc>
          <w:tcPr>
            <w:tcW w:w="995" w:type="dxa"/>
            <w:vAlign w:val="bottom"/>
          </w:tcPr>
          <w:p w:rsidR="003B0815" w:rsidRDefault="003B0815" w14:paraId="18CD2291" w14:textId="77777777">
            <w:pPr>
              <w:keepNext/>
              <w:jc w:val="right"/>
              <w:rPr>
                <w:rFonts w:ascii="Arial" w:hAnsi="Arial" w:cs="Arial"/>
                <w:sz w:val="20"/>
                <w:szCs w:val="20"/>
              </w:rPr>
            </w:pPr>
            <w:r>
              <w:rPr>
                <w:rFonts w:ascii="Arial" w:hAnsi="Arial" w:cs="Arial"/>
                <w:sz w:val="20"/>
                <w:szCs w:val="20"/>
              </w:rPr>
              <w:t>$1,675.4</w:t>
            </w:r>
          </w:p>
        </w:tc>
        <w:tc>
          <w:tcPr>
            <w:tcW w:w="995" w:type="dxa"/>
            <w:vAlign w:val="bottom"/>
          </w:tcPr>
          <w:p w:rsidR="003B0815" w:rsidRDefault="003B0815" w14:paraId="10B3C78E" w14:textId="77777777">
            <w:pPr>
              <w:keepNext/>
              <w:jc w:val="right"/>
              <w:rPr>
                <w:rFonts w:ascii="Arial" w:hAnsi="Arial" w:cs="Arial"/>
                <w:b/>
                <w:sz w:val="20"/>
                <w:szCs w:val="20"/>
              </w:rPr>
            </w:pPr>
            <w:r>
              <w:rPr>
                <w:rFonts w:ascii="Arial" w:hAnsi="Arial" w:cs="Arial"/>
                <w:b/>
                <w:bCs/>
                <w:sz w:val="20"/>
                <w:szCs w:val="20"/>
              </w:rPr>
              <w:t>$2,860.6</w:t>
            </w:r>
          </w:p>
        </w:tc>
        <w:tc>
          <w:tcPr>
            <w:tcW w:w="1361" w:type="dxa"/>
            <w:vAlign w:val="bottom"/>
          </w:tcPr>
          <w:p w:rsidR="003B0815" w:rsidRDefault="003B0815" w14:paraId="5BFB52DF" w14:textId="77777777">
            <w:pPr>
              <w:keepNext/>
              <w:jc w:val="right"/>
              <w:rPr>
                <w:rFonts w:ascii="Arial" w:hAnsi="Arial" w:cs="Arial"/>
                <w:b/>
                <w:sz w:val="20"/>
                <w:szCs w:val="20"/>
              </w:rPr>
            </w:pPr>
            <w:r>
              <w:rPr>
                <w:rFonts w:ascii="Arial" w:hAnsi="Arial" w:cs="Arial"/>
                <w:sz w:val="20"/>
                <w:szCs w:val="20"/>
              </w:rPr>
              <w:t>$961.6</w:t>
            </w:r>
          </w:p>
        </w:tc>
        <w:tc>
          <w:tcPr>
            <w:tcW w:w="995" w:type="dxa"/>
            <w:tcBorders>
              <w:right w:val="single" w:color="auto" w:sz="12" w:space="0"/>
            </w:tcBorders>
            <w:vAlign w:val="bottom"/>
          </w:tcPr>
          <w:p w:rsidR="003B0815" w:rsidRDefault="003B0815" w14:paraId="53A72F5E" w14:textId="77777777">
            <w:pPr>
              <w:keepNext/>
              <w:jc w:val="right"/>
              <w:rPr>
                <w:rFonts w:ascii="Arial" w:hAnsi="Arial" w:cs="Arial"/>
                <w:b/>
                <w:sz w:val="20"/>
                <w:szCs w:val="20"/>
              </w:rPr>
            </w:pPr>
            <w:r>
              <w:rPr>
                <w:rFonts w:ascii="Arial" w:hAnsi="Arial" w:cs="Arial"/>
                <w:b/>
                <w:bCs/>
                <w:sz w:val="20"/>
                <w:szCs w:val="20"/>
              </w:rPr>
              <w:t>$3,822.2</w:t>
            </w:r>
          </w:p>
        </w:tc>
      </w:tr>
      <w:tr w:rsidR="003B0815" w14:paraId="2B00E28E" w14:textId="77777777">
        <w:trPr>
          <w:cantSplit/>
          <w:trHeight w:val="485"/>
        </w:trPr>
        <w:tc>
          <w:tcPr>
            <w:tcW w:w="961" w:type="dxa"/>
            <w:vMerge/>
            <w:tcBorders>
              <w:top w:val="double" w:color="auto" w:sz="4" w:space="0"/>
              <w:left w:val="single" w:color="auto" w:sz="12" w:space="0"/>
              <w:bottom w:val="single" w:color="auto" w:sz="12" w:space="0"/>
            </w:tcBorders>
          </w:tcPr>
          <w:p w:rsidR="003B0815" w:rsidRDefault="003B0815" w14:paraId="23FBAC96" w14:textId="77777777">
            <w:pPr>
              <w:keepNext/>
              <w:rPr>
                <w:rFonts w:ascii="Arial" w:hAnsi="Arial" w:cs="Arial"/>
                <w:sz w:val="20"/>
                <w:szCs w:val="20"/>
              </w:rPr>
            </w:pPr>
          </w:p>
        </w:tc>
        <w:tc>
          <w:tcPr>
            <w:tcW w:w="1006" w:type="dxa"/>
            <w:tcBorders>
              <w:bottom w:val="single" w:color="auto" w:sz="12" w:space="0"/>
            </w:tcBorders>
            <w:vAlign w:val="bottom"/>
          </w:tcPr>
          <w:p w:rsidR="003B0815" w:rsidRDefault="003B0815" w14:paraId="0918CDDD" w14:textId="77777777">
            <w:pPr>
              <w:keepNext/>
              <w:jc w:val="center"/>
              <w:rPr>
                <w:rFonts w:ascii="Arial" w:hAnsi="Arial" w:cs="Arial"/>
                <w:sz w:val="20"/>
                <w:szCs w:val="20"/>
              </w:rPr>
            </w:pPr>
            <w:r>
              <w:rPr>
                <w:rFonts w:ascii="Arial" w:hAnsi="Arial" w:cs="Arial"/>
                <w:sz w:val="20"/>
                <w:szCs w:val="20"/>
              </w:rPr>
              <w:t xml:space="preserve">Low </w:t>
            </w:r>
          </w:p>
        </w:tc>
        <w:tc>
          <w:tcPr>
            <w:tcW w:w="1761" w:type="dxa"/>
            <w:tcBorders>
              <w:bottom w:val="single" w:color="auto" w:sz="12" w:space="0"/>
            </w:tcBorders>
            <w:vAlign w:val="bottom"/>
          </w:tcPr>
          <w:p w:rsidR="003B0815" w:rsidRDefault="003B0815" w14:paraId="179E42D2" w14:textId="77777777">
            <w:pPr>
              <w:keepNext/>
              <w:jc w:val="right"/>
              <w:rPr>
                <w:rFonts w:ascii="Arial" w:hAnsi="Arial" w:cs="Arial"/>
                <w:sz w:val="20"/>
                <w:szCs w:val="20"/>
              </w:rPr>
            </w:pPr>
            <w:r>
              <w:rPr>
                <w:rFonts w:ascii="Arial" w:hAnsi="Arial" w:cs="Arial"/>
                <w:sz w:val="20"/>
                <w:szCs w:val="20"/>
              </w:rPr>
              <w:t>$362.4</w:t>
            </w:r>
          </w:p>
        </w:tc>
        <w:tc>
          <w:tcPr>
            <w:tcW w:w="1183" w:type="dxa"/>
            <w:tcBorders>
              <w:bottom w:val="single" w:color="auto" w:sz="12" w:space="0"/>
            </w:tcBorders>
            <w:vAlign w:val="bottom"/>
          </w:tcPr>
          <w:p w:rsidR="003B0815" w:rsidRDefault="003B0815" w14:paraId="2D763A39" w14:textId="77777777">
            <w:pPr>
              <w:keepNext/>
              <w:jc w:val="right"/>
              <w:rPr>
                <w:rFonts w:ascii="Arial" w:hAnsi="Arial" w:cs="Arial"/>
                <w:b/>
                <w:sz w:val="20"/>
                <w:szCs w:val="20"/>
              </w:rPr>
            </w:pPr>
            <w:r>
              <w:rPr>
                <w:rFonts w:ascii="Arial" w:hAnsi="Arial" w:cs="Arial"/>
                <w:sz w:val="20"/>
                <w:szCs w:val="20"/>
              </w:rPr>
              <w:t>$104.8</w:t>
            </w:r>
          </w:p>
        </w:tc>
        <w:tc>
          <w:tcPr>
            <w:tcW w:w="939" w:type="dxa"/>
            <w:tcBorders>
              <w:bottom w:val="single" w:color="auto" w:sz="12" w:space="0"/>
            </w:tcBorders>
            <w:vAlign w:val="bottom"/>
          </w:tcPr>
          <w:p w:rsidR="003B0815" w:rsidRDefault="003B0815" w14:paraId="2BA45E92" w14:textId="77777777">
            <w:pPr>
              <w:keepNext/>
              <w:jc w:val="right"/>
              <w:rPr>
                <w:rFonts w:ascii="Arial" w:hAnsi="Arial" w:cs="Arial"/>
                <w:b/>
                <w:sz w:val="20"/>
                <w:szCs w:val="20"/>
              </w:rPr>
            </w:pPr>
            <w:r>
              <w:rPr>
                <w:rFonts w:ascii="Arial" w:hAnsi="Arial" w:cs="Arial"/>
                <w:sz w:val="20"/>
                <w:szCs w:val="20"/>
              </w:rPr>
              <w:t>$260.6</w:t>
            </w:r>
          </w:p>
        </w:tc>
        <w:tc>
          <w:tcPr>
            <w:tcW w:w="995" w:type="dxa"/>
            <w:tcBorders>
              <w:bottom w:val="single" w:color="auto" w:sz="12" w:space="0"/>
            </w:tcBorders>
            <w:vAlign w:val="bottom"/>
          </w:tcPr>
          <w:p w:rsidR="003B0815" w:rsidRDefault="003B0815" w14:paraId="5BCCD3EA" w14:textId="77777777">
            <w:pPr>
              <w:keepNext/>
              <w:jc w:val="right"/>
              <w:rPr>
                <w:rFonts w:ascii="Arial" w:hAnsi="Arial" w:cs="Arial"/>
                <w:sz w:val="20"/>
                <w:szCs w:val="20"/>
              </w:rPr>
            </w:pPr>
            <w:r>
              <w:rPr>
                <w:rFonts w:ascii="Arial" w:hAnsi="Arial" w:cs="Arial"/>
                <w:sz w:val="20"/>
                <w:szCs w:val="20"/>
              </w:rPr>
              <w:t>$1,370.5</w:t>
            </w:r>
          </w:p>
        </w:tc>
        <w:tc>
          <w:tcPr>
            <w:tcW w:w="995" w:type="dxa"/>
            <w:tcBorders>
              <w:bottom w:val="single" w:color="auto" w:sz="12" w:space="0"/>
            </w:tcBorders>
            <w:vAlign w:val="bottom"/>
          </w:tcPr>
          <w:p w:rsidR="003B0815" w:rsidRDefault="003B0815" w14:paraId="5BEA9FC8" w14:textId="77777777">
            <w:pPr>
              <w:keepNext/>
              <w:jc w:val="right"/>
              <w:rPr>
                <w:rFonts w:ascii="Arial" w:hAnsi="Arial" w:cs="Arial"/>
                <w:b/>
                <w:sz w:val="20"/>
                <w:szCs w:val="20"/>
              </w:rPr>
            </w:pPr>
            <w:r>
              <w:rPr>
                <w:rFonts w:ascii="Arial" w:hAnsi="Arial" w:cs="Arial"/>
                <w:b/>
                <w:bCs/>
                <w:sz w:val="20"/>
                <w:szCs w:val="20"/>
              </w:rPr>
              <w:t>$2,098.3</w:t>
            </w:r>
          </w:p>
        </w:tc>
        <w:tc>
          <w:tcPr>
            <w:tcW w:w="1361" w:type="dxa"/>
            <w:tcBorders>
              <w:bottom w:val="single" w:color="auto" w:sz="12" w:space="0"/>
            </w:tcBorders>
            <w:vAlign w:val="bottom"/>
          </w:tcPr>
          <w:p w:rsidR="003B0815" w:rsidRDefault="003B0815" w14:paraId="5300AB73" w14:textId="77777777">
            <w:pPr>
              <w:keepNext/>
              <w:jc w:val="right"/>
              <w:rPr>
                <w:rFonts w:ascii="Arial" w:hAnsi="Arial" w:cs="Arial"/>
                <w:b/>
                <w:sz w:val="20"/>
                <w:szCs w:val="20"/>
              </w:rPr>
            </w:pPr>
            <w:r>
              <w:rPr>
                <w:rFonts w:ascii="Arial" w:hAnsi="Arial" w:cs="Arial"/>
                <w:sz w:val="20"/>
                <w:szCs w:val="20"/>
              </w:rPr>
              <w:t>$793.8</w:t>
            </w:r>
          </w:p>
        </w:tc>
        <w:tc>
          <w:tcPr>
            <w:tcW w:w="995" w:type="dxa"/>
            <w:tcBorders>
              <w:bottom w:val="single" w:color="auto" w:sz="12" w:space="0"/>
              <w:right w:val="single" w:color="auto" w:sz="12" w:space="0"/>
            </w:tcBorders>
            <w:vAlign w:val="bottom"/>
          </w:tcPr>
          <w:p w:rsidR="003B0815" w:rsidRDefault="003B0815" w14:paraId="5BBE34EA" w14:textId="77777777">
            <w:pPr>
              <w:keepNext/>
              <w:jc w:val="right"/>
              <w:rPr>
                <w:rFonts w:ascii="Arial" w:hAnsi="Arial" w:cs="Arial"/>
                <w:b/>
                <w:sz w:val="20"/>
                <w:szCs w:val="20"/>
              </w:rPr>
            </w:pPr>
            <w:r>
              <w:rPr>
                <w:rFonts w:ascii="Arial" w:hAnsi="Arial" w:cs="Arial"/>
                <w:b/>
                <w:bCs/>
                <w:sz w:val="20"/>
                <w:szCs w:val="20"/>
              </w:rPr>
              <w:t>$2,892.1</w:t>
            </w:r>
          </w:p>
        </w:tc>
      </w:tr>
    </w:tbl>
    <w:p w:rsidR="003B0815" w:rsidRDefault="003B0815" w14:paraId="5C002A7D" w14:textId="77777777">
      <w:pPr>
        <w:spacing w:line="360" w:lineRule="auto"/>
      </w:pPr>
    </w:p>
    <w:p w:rsidR="003B0815" w:rsidRDefault="003B0815" w14:paraId="0D6AF380" w14:textId="77777777">
      <w:pPr>
        <w:spacing w:line="360" w:lineRule="auto"/>
      </w:pPr>
    </w:p>
    <w:p w:rsidR="003B0815" w:rsidRDefault="003B0815" w14:paraId="5B0C332A" w14:textId="77777777">
      <w:pPr>
        <w:keepNext/>
        <w:spacing w:line="360" w:lineRule="auto"/>
        <w:ind w:firstLine="720"/>
      </w:pPr>
      <w:r>
        <w:t>Table 1.6.1.b shows annual total costs discounted at 7% and 3%.</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1407"/>
        <w:gridCol w:w="1082"/>
        <w:gridCol w:w="989"/>
        <w:gridCol w:w="1622"/>
        <w:gridCol w:w="1080"/>
        <w:gridCol w:w="1620"/>
      </w:tblGrid>
      <w:tr w:rsidR="003B0815" w14:paraId="568F8C4B" w14:textId="77777777">
        <w:trPr>
          <w:jc w:val="center"/>
        </w:trPr>
        <w:tc>
          <w:tcPr>
            <w:tcW w:w="7800" w:type="dxa"/>
            <w:gridSpan w:val="6"/>
            <w:tcBorders>
              <w:top w:val="nil"/>
              <w:left w:val="nil"/>
              <w:bottom w:val="single" w:color="auto" w:sz="12" w:space="0"/>
              <w:right w:val="nil"/>
            </w:tcBorders>
          </w:tcPr>
          <w:p w:rsidR="003B0815" w:rsidRDefault="003B0815" w14:paraId="7E13BEE6" w14:textId="77777777">
            <w:pPr>
              <w:pStyle w:val="RegEvalTableHeader"/>
              <w:keepNext/>
              <w:rPr>
                <w:bCs/>
              </w:rPr>
            </w:pPr>
            <w:bookmarkStart w:name="_Toc165278376" w:id="235"/>
            <w:bookmarkStart w:name="_Toc174438378" w:id="236"/>
            <w:bookmarkStart w:name="_Toc207109513" w:id="237"/>
            <w:r>
              <w:rPr>
                <w:bCs/>
              </w:rPr>
              <w:t>Table 1.6.1.b Total Secure Flight Costs, Discounted 7% and 3%</w:t>
            </w:r>
            <w:bookmarkEnd w:id="235"/>
            <w:bookmarkEnd w:id="236"/>
            <w:bookmarkEnd w:id="237"/>
          </w:p>
        </w:tc>
      </w:tr>
      <w:tr w:rsidR="003B0815" w14:paraId="1EBD457D" w14:textId="77777777">
        <w:trPr>
          <w:jc w:val="center"/>
        </w:trPr>
        <w:tc>
          <w:tcPr>
            <w:tcW w:w="1407" w:type="dxa"/>
            <w:tcBorders>
              <w:top w:val="single" w:color="auto" w:sz="12" w:space="0"/>
              <w:left w:val="single" w:color="auto" w:sz="12" w:space="0"/>
            </w:tcBorders>
            <w:vAlign w:val="center"/>
          </w:tcPr>
          <w:p w:rsidR="003B0815" w:rsidRDefault="003B0815" w14:paraId="5C05F422" w14:textId="77777777">
            <w:pPr>
              <w:keepNext/>
              <w:jc w:val="center"/>
              <w:rPr>
                <w:rFonts w:ascii="Arial" w:hAnsi="Arial"/>
                <w:b/>
                <w:sz w:val="20"/>
                <w:szCs w:val="20"/>
              </w:rPr>
            </w:pPr>
            <w:r>
              <w:rPr>
                <w:rFonts w:ascii="Arial" w:hAnsi="Arial"/>
                <w:b/>
                <w:sz w:val="20"/>
                <w:szCs w:val="20"/>
              </w:rPr>
              <w:t>Fiscal Year</w:t>
            </w:r>
          </w:p>
        </w:tc>
        <w:tc>
          <w:tcPr>
            <w:tcW w:w="1082" w:type="dxa"/>
            <w:tcBorders>
              <w:top w:val="single" w:color="auto" w:sz="12" w:space="0"/>
            </w:tcBorders>
            <w:vAlign w:val="center"/>
          </w:tcPr>
          <w:p w:rsidR="003B0815" w:rsidRDefault="003B0815" w14:paraId="6B73A2DA" w14:textId="77777777">
            <w:pPr>
              <w:keepNext/>
              <w:jc w:val="center"/>
              <w:rPr>
                <w:rFonts w:ascii="Arial" w:hAnsi="Arial"/>
                <w:b/>
                <w:sz w:val="20"/>
                <w:szCs w:val="20"/>
              </w:rPr>
            </w:pPr>
            <w:r>
              <w:rPr>
                <w:rFonts w:ascii="Arial" w:hAnsi="Arial"/>
                <w:b/>
                <w:sz w:val="20"/>
                <w:szCs w:val="20"/>
              </w:rPr>
              <w:t>Total Costs</w:t>
            </w:r>
          </w:p>
          <w:p w:rsidR="003B0815" w:rsidRDefault="003B0815" w14:paraId="4E3B719E" w14:textId="77777777">
            <w:pPr>
              <w:keepNext/>
              <w:jc w:val="center"/>
              <w:rPr>
                <w:rFonts w:ascii="Arial" w:hAnsi="Arial"/>
                <w:b/>
                <w:sz w:val="20"/>
                <w:szCs w:val="20"/>
              </w:rPr>
            </w:pPr>
            <w:r>
              <w:rPr>
                <w:rFonts w:ascii="Arial" w:hAnsi="Arial"/>
                <w:b/>
                <w:sz w:val="20"/>
                <w:szCs w:val="20"/>
              </w:rPr>
              <w:t>(millions)</w:t>
            </w:r>
          </w:p>
        </w:tc>
        <w:tc>
          <w:tcPr>
            <w:tcW w:w="989" w:type="dxa"/>
            <w:tcBorders>
              <w:top w:val="single" w:color="auto" w:sz="12" w:space="0"/>
            </w:tcBorders>
            <w:vAlign w:val="center"/>
          </w:tcPr>
          <w:p w:rsidR="003B0815" w:rsidRDefault="003B0815" w14:paraId="59828DF1" w14:textId="77777777">
            <w:pPr>
              <w:keepNext/>
              <w:jc w:val="center"/>
              <w:rPr>
                <w:rFonts w:ascii="Arial" w:hAnsi="Arial"/>
                <w:b/>
                <w:sz w:val="20"/>
                <w:szCs w:val="20"/>
              </w:rPr>
            </w:pPr>
            <w:r>
              <w:rPr>
                <w:rFonts w:ascii="Arial" w:hAnsi="Arial"/>
                <w:b/>
                <w:sz w:val="20"/>
                <w:szCs w:val="20"/>
              </w:rPr>
              <w:t xml:space="preserve">7% Discount </w:t>
            </w:r>
            <w:bookmarkStart w:name="OLE_LINK21" w:id="238"/>
            <w:r>
              <w:rPr>
                <w:rFonts w:ascii="Arial" w:hAnsi="Arial"/>
                <w:b/>
                <w:sz w:val="20"/>
                <w:szCs w:val="20"/>
              </w:rPr>
              <w:t>Factor</w:t>
            </w:r>
            <w:bookmarkEnd w:id="238"/>
          </w:p>
        </w:tc>
        <w:tc>
          <w:tcPr>
            <w:tcW w:w="1622" w:type="dxa"/>
            <w:tcBorders>
              <w:top w:val="single" w:color="auto" w:sz="12" w:space="0"/>
            </w:tcBorders>
            <w:vAlign w:val="center"/>
          </w:tcPr>
          <w:p w:rsidR="003B0815" w:rsidRDefault="003B0815" w14:paraId="008C44B3" w14:textId="77777777">
            <w:pPr>
              <w:keepNext/>
              <w:jc w:val="center"/>
              <w:rPr>
                <w:rFonts w:ascii="Arial" w:hAnsi="Arial"/>
                <w:b/>
                <w:sz w:val="20"/>
                <w:szCs w:val="20"/>
              </w:rPr>
            </w:pPr>
            <w:r>
              <w:rPr>
                <w:rFonts w:ascii="Arial" w:hAnsi="Arial"/>
                <w:b/>
                <w:sz w:val="20"/>
                <w:szCs w:val="20"/>
              </w:rPr>
              <w:t>Total Annual Cost Discounted 7%</w:t>
            </w:r>
          </w:p>
          <w:p w:rsidR="003B0815" w:rsidRDefault="003B0815" w14:paraId="20343AF4" w14:textId="77777777">
            <w:pPr>
              <w:keepNext/>
              <w:jc w:val="center"/>
              <w:rPr>
                <w:rFonts w:ascii="Arial" w:hAnsi="Arial"/>
                <w:b/>
                <w:sz w:val="20"/>
                <w:szCs w:val="20"/>
              </w:rPr>
            </w:pPr>
            <w:r>
              <w:rPr>
                <w:rFonts w:ascii="Arial" w:hAnsi="Arial"/>
                <w:b/>
                <w:sz w:val="20"/>
                <w:szCs w:val="20"/>
              </w:rPr>
              <w:t>(millions)</w:t>
            </w:r>
          </w:p>
        </w:tc>
        <w:tc>
          <w:tcPr>
            <w:tcW w:w="1080" w:type="dxa"/>
            <w:tcBorders>
              <w:top w:val="single" w:color="auto" w:sz="12" w:space="0"/>
            </w:tcBorders>
            <w:vAlign w:val="center"/>
          </w:tcPr>
          <w:p w:rsidR="003B0815" w:rsidRDefault="003B0815" w14:paraId="0EC677C3" w14:textId="77777777">
            <w:pPr>
              <w:keepNext/>
              <w:jc w:val="center"/>
              <w:rPr>
                <w:rFonts w:ascii="Arial" w:hAnsi="Arial"/>
                <w:b/>
                <w:sz w:val="20"/>
                <w:szCs w:val="20"/>
              </w:rPr>
            </w:pPr>
            <w:r>
              <w:rPr>
                <w:rFonts w:ascii="Arial" w:hAnsi="Arial"/>
                <w:b/>
                <w:sz w:val="20"/>
                <w:szCs w:val="20"/>
              </w:rPr>
              <w:t>3% Discount Factor</w:t>
            </w:r>
          </w:p>
        </w:tc>
        <w:tc>
          <w:tcPr>
            <w:tcW w:w="1620" w:type="dxa"/>
            <w:tcBorders>
              <w:top w:val="single" w:color="auto" w:sz="12" w:space="0"/>
              <w:right w:val="single" w:color="auto" w:sz="12" w:space="0"/>
            </w:tcBorders>
            <w:vAlign w:val="center"/>
          </w:tcPr>
          <w:p w:rsidR="003B0815" w:rsidRDefault="003B0815" w14:paraId="6EED4000" w14:textId="77777777">
            <w:pPr>
              <w:keepNext/>
              <w:jc w:val="center"/>
              <w:rPr>
                <w:rFonts w:ascii="Arial" w:hAnsi="Arial"/>
                <w:b/>
                <w:sz w:val="20"/>
                <w:szCs w:val="20"/>
              </w:rPr>
            </w:pPr>
            <w:r>
              <w:rPr>
                <w:rFonts w:ascii="Arial" w:hAnsi="Arial"/>
                <w:b/>
                <w:sz w:val="20"/>
                <w:szCs w:val="20"/>
              </w:rPr>
              <w:t>Total Annual Cost Discounted 3% (millions)</w:t>
            </w:r>
          </w:p>
        </w:tc>
      </w:tr>
      <w:tr w:rsidR="003B0815" w14:paraId="60EE4D07" w14:textId="77777777">
        <w:trPr>
          <w:jc w:val="center"/>
        </w:trPr>
        <w:tc>
          <w:tcPr>
            <w:tcW w:w="1407" w:type="dxa"/>
            <w:tcBorders>
              <w:left w:val="single" w:color="auto" w:sz="12" w:space="0"/>
            </w:tcBorders>
            <w:vAlign w:val="bottom"/>
          </w:tcPr>
          <w:p w:rsidR="003B0815" w:rsidRDefault="003B0815" w14:paraId="5E1F837B" w14:textId="77777777">
            <w:pPr>
              <w:keepNext/>
              <w:jc w:val="center"/>
              <w:rPr>
                <w:rFonts w:ascii="Arial" w:hAnsi="Arial" w:cs="Arial"/>
                <w:sz w:val="20"/>
                <w:szCs w:val="20"/>
              </w:rPr>
            </w:pPr>
            <w:r>
              <w:rPr>
                <w:rFonts w:ascii="Arial" w:hAnsi="Arial" w:cs="Arial"/>
                <w:sz w:val="20"/>
                <w:szCs w:val="20"/>
              </w:rPr>
              <w:t>2008</w:t>
            </w:r>
          </w:p>
        </w:tc>
        <w:tc>
          <w:tcPr>
            <w:tcW w:w="1082" w:type="dxa"/>
            <w:vAlign w:val="bottom"/>
          </w:tcPr>
          <w:p w:rsidR="003B0815" w:rsidRDefault="003B0815" w14:paraId="7A03F2ED" w14:textId="77777777">
            <w:pPr>
              <w:keepNext/>
              <w:jc w:val="right"/>
              <w:rPr>
                <w:rFonts w:ascii="Arial" w:hAnsi="Arial" w:cs="Arial"/>
                <w:sz w:val="20"/>
                <w:szCs w:val="20"/>
              </w:rPr>
            </w:pPr>
            <w:r>
              <w:rPr>
                <w:rFonts w:ascii="Arial" w:hAnsi="Arial" w:cs="Arial"/>
                <w:sz w:val="20"/>
                <w:szCs w:val="20"/>
              </w:rPr>
              <w:t xml:space="preserve">$330.7 </w:t>
            </w:r>
          </w:p>
        </w:tc>
        <w:tc>
          <w:tcPr>
            <w:tcW w:w="989" w:type="dxa"/>
            <w:vAlign w:val="bottom"/>
          </w:tcPr>
          <w:p w:rsidR="003B0815" w:rsidRDefault="003B0815" w14:paraId="048B67DC" w14:textId="77777777">
            <w:pPr>
              <w:keepNext/>
              <w:jc w:val="center"/>
              <w:rPr>
                <w:rFonts w:ascii="Arial" w:hAnsi="Arial" w:cs="Arial"/>
                <w:sz w:val="20"/>
                <w:szCs w:val="20"/>
              </w:rPr>
            </w:pPr>
            <w:r>
              <w:rPr>
                <w:rFonts w:ascii="Arial" w:hAnsi="Arial" w:cs="Arial"/>
                <w:sz w:val="20"/>
                <w:szCs w:val="20"/>
              </w:rPr>
              <w:t>93.46%</w:t>
            </w:r>
          </w:p>
        </w:tc>
        <w:tc>
          <w:tcPr>
            <w:tcW w:w="1622" w:type="dxa"/>
            <w:vAlign w:val="bottom"/>
          </w:tcPr>
          <w:p w:rsidR="003B0815" w:rsidRDefault="003B0815" w14:paraId="731C1CD7" w14:textId="77777777">
            <w:pPr>
              <w:keepNext/>
              <w:jc w:val="right"/>
              <w:rPr>
                <w:rFonts w:ascii="Arial" w:hAnsi="Arial" w:cs="Arial"/>
                <w:sz w:val="20"/>
                <w:szCs w:val="20"/>
              </w:rPr>
            </w:pPr>
            <w:r>
              <w:rPr>
                <w:rFonts w:ascii="Arial" w:hAnsi="Arial" w:cs="Arial"/>
                <w:sz w:val="20"/>
                <w:szCs w:val="20"/>
              </w:rPr>
              <w:t xml:space="preserve">$309.1 </w:t>
            </w:r>
          </w:p>
        </w:tc>
        <w:tc>
          <w:tcPr>
            <w:tcW w:w="1080" w:type="dxa"/>
            <w:vAlign w:val="bottom"/>
          </w:tcPr>
          <w:p w:rsidR="003B0815" w:rsidRDefault="003B0815" w14:paraId="188B4D9B" w14:textId="77777777">
            <w:pPr>
              <w:keepNext/>
              <w:jc w:val="center"/>
              <w:rPr>
                <w:rFonts w:ascii="Arial" w:hAnsi="Arial" w:cs="Arial"/>
                <w:sz w:val="20"/>
                <w:szCs w:val="20"/>
              </w:rPr>
            </w:pPr>
            <w:r>
              <w:rPr>
                <w:rFonts w:ascii="Arial" w:hAnsi="Arial" w:cs="Arial"/>
                <w:sz w:val="20"/>
                <w:szCs w:val="20"/>
              </w:rPr>
              <w:t>97.09%</w:t>
            </w:r>
          </w:p>
        </w:tc>
        <w:tc>
          <w:tcPr>
            <w:tcW w:w="1620" w:type="dxa"/>
            <w:tcBorders>
              <w:right w:val="single" w:color="auto" w:sz="12" w:space="0"/>
            </w:tcBorders>
            <w:vAlign w:val="bottom"/>
          </w:tcPr>
          <w:p w:rsidR="003B0815" w:rsidRDefault="003B0815" w14:paraId="332D038F" w14:textId="77777777">
            <w:pPr>
              <w:keepNext/>
              <w:jc w:val="right"/>
              <w:rPr>
                <w:rFonts w:ascii="Arial" w:hAnsi="Arial" w:cs="Arial"/>
                <w:sz w:val="20"/>
                <w:szCs w:val="20"/>
              </w:rPr>
            </w:pPr>
            <w:r>
              <w:rPr>
                <w:rFonts w:ascii="Arial" w:hAnsi="Arial" w:cs="Arial"/>
                <w:sz w:val="20"/>
                <w:szCs w:val="20"/>
              </w:rPr>
              <w:t xml:space="preserve">$321.1 </w:t>
            </w:r>
          </w:p>
        </w:tc>
      </w:tr>
      <w:tr w:rsidR="003B0815" w14:paraId="7496E65C" w14:textId="77777777">
        <w:trPr>
          <w:jc w:val="center"/>
        </w:trPr>
        <w:tc>
          <w:tcPr>
            <w:tcW w:w="1407" w:type="dxa"/>
            <w:tcBorders>
              <w:left w:val="single" w:color="auto" w:sz="12" w:space="0"/>
            </w:tcBorders>
            <w:vAlign w:val="bottom"/>
          </w:tcPr>
          <w:p w:rsidR="003B0815" w:rsidRDefault="003B0815" w14:paraId="310DFBB5" w14:textId="77777777">
            <w:pPr>
              <w:keepNext/>
              <w:jc w:val="center"/>
              <w:rPr>
                <w:rFonts w:ascii="Arial" w:hAnsi="Arial" w:cs="Arial"/>
                <w:sz w:val="20"/>
                <w:szCs w:val="20"/>
              </w:rPr>
            </w:pPr>
            <w:r>
              <w:rPr>
                <w:rFonts w:ascii="Arial" w:hAnsi="Arial" w:cs="Arial"/>
                <w:sz w:val="20"/>
                <w:szCs w:val="20"/>
              </w:rPr>
              <w:t>2009</w:t>
            </w:r>
          </w:p>
        </w:tc>
        <w:tc>
          <w:tcPr>
            <w:tcW w:w="1082" w:type="dxa"/>
            <w:vAlign w:val="bottom"/>
          </w:tcPr>
          <w:p w:rsidR="003B0815" w:rsidRDefault="003B0815" w14:paraId="007E1364" w14:textId="77777777">
            <w:pPr>
              <w:keepNext/>
              <w:jc w:val="right"/>
              <w:rPr>
                <w:rFonts w:ascii="Arial" w:hAnsi="Arial" w:cs="Arial"/>
                <w:sz w:val="20"/>
                <w:szCs w:val="20"/>
              </w:rPr>
            </w:pPr>
            <w:r>
              <w:rPr>
                <w:rFonts w:ascii="Arial" w:hAnsi="Arial" w:cs="Arial"/>
                <w:sz w:val="20"/>
                <w:szCs w:val="20"/>
              </w:rPr>
              <w:t xml:space="preserve">439.1 </w:t>
            </w:r>
          </w:p>
        </w:tc>
        <w:tc>
          <w:tcPr>
            <w:tcW w:w="989" w:type="dxa"/>
            <w:vAlign w:val="bottom"/>
          </w:tcPr>
          <w:p w:rsidR="003B0815" w:rsidRDefault="003B0815" w14:paraId="7FBAA57C" w14:textId="77777777">
            <w:pPr>
              <w:keepNext/>
              <w:jc w:val="center"/>
              <w:rPr>
                <w:rFonts w:ascii="Arial" w:hAnsi="Arial" w:cs="Arial"/>
                <w:sz w:val="20"/>
                <w:szCs w:val="20"/>
              </w:rPr>
            </w:pPr>
            <w:r>
              <w:rPr>
                <w:rFonts w:ascii="Arial" w:hAnsi="Arial" w:cs="Arial"/>
                <w:sz w:val="20"/>
                <w:szCs w:val="20"/>
              </w:rPr>
              <w:t>87.34</w:t>
            </w:r>
          </w:p>
        </w:tc>
        <w:tc>
          <w:tcPr>
            <w:tcW w:w="1622" w:type="dxa"/>
            <w:vAlign w:val="bottom"/>
          </w:tcPr>
          <w:p w:rsidR="003B0815" w:rsidRDefault="003B0815" w14:paraId="366B9529" w14:textId="77777777">
            <w:pPr>
              <w:keepNext/>
              <w:jc w:val="right"/>
              <w:rPr>
                <w:rFonts w:ascii="Arial" w:hAnsi="Arial" w:cs="Arial"/>
                <w:sz w:val="20"/>
                <w:szCs w:val="20"/>
              </w:rPr>
            </w:pPr>
            <w:r>
              <w:rPr>
                <w:rFonts w:ascii="Arial" w:hAnsi="Arial" w:cs="Arial"/>
                <w:sz w:val="20"/>
                <w:szCs w:val="20"/>
              </w:rPr>
              <w:t xml:space="preserve">383.5 </w:t>
            </w:r>
          </w:p>
        </w:tc>
        <w:tc>
          <w:tcPr>
            <w:tcW w:w="1080" w:type="dxa"/>
            <w:vAlign w:val="bottom"/>
          </w:tcPr>
          <w:p w:rsidR="003B0815" w:rsidRDefault="003B0815" w14:paraId="584628B9" w14:textId="77777777">
            <w:pPr>
              <w:keepNext/>
              <w:jc w:val="center"/>
              <w:rPr>
                <w:rFonts w:ascii="Arial" w:hAnsi="Arial" w:cs="Arial"/>
                <w:sz w:val="20"/>
                <w:szCs w:val="20"/>
              </w:rPr>
            </w:pPr>
            <w:r>
              <w:rPr>
                <w:rFonts w:ascii="Arial" w:hAnsi="Arial" w:cs="Arial"/>
                <w:sz w:val="20"/>
                <w:szCs w:val="20"/>
              </w:rPr>
              <w:t>94.26</w:t>
            </w:r>
          </w:p>
        </w:tc>
        <w:tc>
          <w:tcPr>
            <w:tcW w:w="1620" w:type="dxa"/>
            <w:tcBorders>
              <w:right w:val="single" w:color="auto" w:sz="12" w:space="0"/>
            </w:tcBorders>
            <w:vAlign w:val="bottom"/>
          </w:tcPr>
          <w:p w:rsidR="003B0815" w:rsidRDefault="003B0815" w14:paraId="16953174" w14:textId="77777777">
            <w:pPr>
              <w:keepNext/>
              <w:jc w:val="right"/>
              <w:rPr>
                <w:rFonts w:ascii="Arial" w:hAnsi="Arial" w:cs="Arial"/>
                <w:sz w:val="20"/>
                <w:szCs w:val="20"/>
              </w:rPr>
            </w:pPr>
            <w:r>
              <w:rPr>
                <w:rFonts w:ascii="Arial" w:hAnsi="Arial" w:cs="Arial"/>
                <w:sz w:val="20"/>
                <w:szCs w:val="20"/>
              </w:rPr>
              <w:t xml:space="preserve">413.9 </w:t>
            </w:r>
          </w:p>
        </w:tc>
      </w:tr>
      <w:tr w:rsidR="003B0815" w14:paraId="46E7ECED" w14:textId="77777777">
        <w:trPr>
          <w:jc w:val="center"/>
        </w:trPr>
        <w:tc>
          <w:tcPr>
            <w:tcW w:w="1407" w:type="dxa"/>
            <w:tcBorders>
              <w:left w:val="single" w:color="auto" w:sz="12" w:space="0"/>
            </w:tcBorders>
            <w:vAlign w:val="bottom"/>
          </w:tcPr>
          <w:p w:rsidR="003B0815" w:rsidRDefault="003B0815" w14:paraId="5C10529A" w14:textId="77777777">
            <w:pPr>
              <w:keepNext/>
              <w:jc w:val="center"/>
              <w:rPr>
                <w:rFonts w:ascii="Arial" w:hAnsi="Arial" w:cs="Arial"/>
                <w:sz w:val="20"/>
                <w:szCs w:val="20"/>
              </w:rPr>
            </w:pPr>
            <w:r>
              <w:rPr>
                <w:rFonts w:ascii="Arial" w:hAnsi="Arial" w:cs="Arial"/>
                <w:sz w:val="20"/>
                <w:szCs w:val="20"/>
              </w:rPr>
              <w:t>2010</w:t>
            </w:r>
          </w:p>
        </w:tc>
        <w:tc>
          <w:tcPr>
            <w:tcW w:w="1082" w:type="dxa"/>
            <w:vAlign w:val="bottom"/>
          </w:tcPr>
          <w:p w:rsidR="003B0815" w:rsidRDefault="003B0815" w14:paraId="793DCF75" w14:textId="77777777">
            <w:pPr>
              <w:keepNext/>
              <w:jc w:val="right"/>
              <w:rPr>
                <w:rFonts w:ascii="Arial" w:hAnsi="Arial" w:cs="Arial"/>
                <w:sz w:val="20"/>
                <w:szCs w:val="20"/>
              </w:rPr>
            </w:pPr>
            <w:r>
              <w:rPr>
                <w:rFonts w:ascii="Arial" w:hAnsi="Arial" w:cs="Arial"/>
                <w:sz w:val="20"/>
                <w:szCs w:val="20"/>
              </w:rPr>
              <w:t xml:space="preserve">289.5 </w:t>
            </w:r>
          </w:p>
        </w:tc>
        <w:tc>
          <w:tcPr>
            <w:tcW w:w="989" w:type="dxa"/>
            <w:vAlign w:val="bottom"/>
          </w:tcPr>
          <w:p w:rsidR="003B0815" w:rsidRDefault="003B0815" w14:paraId="534CC2D3" w14:textId="77777777">
            <w:pPr>
              <w:keepNext/>
              <w:jc w:val="center"/>
              <w:rPr>
                <w:rFonts w:ascii="Arial" w:hAnsi="Arial" w:cs="Arial"/>
                <w:sz w:val="20"/>
                <w:szCs w:val="20"/>
              </w:rPr>
            </w:pPr>
            <w:r>
              <w:rPr>
                <w:rFonts w:ascii="Arial" w:hAnsi="Arial" w:cs="Arial"/>
                <w:sz w:val="20"/>
                <w:szCs w:val="20"/>
              </w:rPr>
              <w:t>81.63</w:t>
            </w:r>
          </w:p>
        </w:tc>
        <w:tc>
          <w:tcPr>
            <w:tcW w:w="1622" w:type="dxa"/>
            <w:vAlign w:val="bottom"/>
          </w:tcPr>
          <w:p w:rsidR="003B0815" w:rsidRDefault="003B0815" w14:paraId="42DAF44A" w14:textId="77777777">
            <w:pPr>
              <w:keepNext/>
              <w:jc w:val="right"/>
              <w:rPr>
                <w:rFonts w:ascii="Arial" w:hAnsi="Arial" w:cs="Arial"/>
                <w:sz w:val="20"/>
                <w:szCs w:val="20"/>
              </w:rPr>
            </w:pPr>
            <w:r>
              <w:rPr>
                <w:rFonts w:ascii="Arial" w:hAnsi="Arial" w:cs="Arial"/>
                <w:sz w:val="20"/>
                <w:szCs w:val="20"/>
              </w:rPr>
              <w:t xml:space="preserve">236.3 </w:t>
            </w:r>
          </w:p>
        </w:tc>
        <w:tc>
          <w:tcPr>
            <w:tcW w:w="1080" w:type="dxa"/>
            <w:vAlign w:val="bottom"/>
          </w:tcPr>
          <w:p w:rsidR="003B0815" w:rsidRDefault="003B0815" w14:paraId="64DA9A57" w14:textId="77777777">
            <w:pPr>
              <w:keepNext/>
              <w:jc w:val="center"/>
              <w:rPr>
                <w:rFonts w:ascii="Arial" w:hAnsi="Arial" w:cs="Arial"/>
                <w:sz w:val="20"/>
                <w:szCs w:val="20"/>
              </w:rPr>
            </w:pPr>
            <w:r>
              <w:rPr>
                <w:rFonts w:ascii="Arial" w:hAnsi="Arial" w:cs="Arial"/>
                <w:sz w:val="20"/>
                <w:szCs w:val="20"/>
              </w:rPr>
              <w:t>91.51</w:t>
            </w:r>
          </w:p>
        </w:tc>
        <w:tc>
          <w:tcPr>
            <w:tcW w:w="1620" w:type="dxa"/>
            <w:tcBorders>
              <w:right w:val="single" w:color="auto" w:sz="12" w:space="0"/>
            </w:tcBorders>
            <w:vAlign w:val="bottom"/>
          </w:tcPr>
          <w:p w:rsidR="003B0815" w:rsidRDefault="003B0815" w14:paraId="315FE52E" w14:textId="77777777">
            <w:pPr>
              <w:keepNext/>
              <w:jc w:val="right"/>
              <w:rPr>
                <w:rFonts w:ascii="Arial" w:hAnsi="Arial" w:cs="Arial"/>
                <w:sz w:val="20"/>
                <w:szCs w:val="20"/>
              </w:rPr>
            </w:pPr>
            <w:r>
              <w:rPr>
                <w:rFonts w:ascii="Arial" w:hAnsi="Arial" w:cs="Arial"/>
                <w:sz w:val="20"/>
                <w:szCs w:val="20"/>
              </w:rPr>
              <w:t xml:space="preserve">265.0 </w:t>
            </w:r>
          </w:p>
        </w:tc>
      </w:tr>
      <w:tr w:rsidR="003B0815" w14:paraId="563EB2AA" w14:textId="77777777">
        <w:trPr>
          <w:jc w:val="center"/>
        </w:trPr>
        <w:tc>
          <w:tcPr>
            <w:tcW w:w="1407" w:type="dxa"/>
            <w:tcBorders>
              <w:left w:val="single" w:color="auto" w:sz="12" w:space="0"/>
            </w:tcBorders>
            <w:vAlign w:val="bottom"/>
          </w:tcPr>
          <w:p w:rsidR="003B0815" w:rsidRDefault="003B0815" w14:paraId="4A792A6C" w14:textId="77777777">
            <w:pPr>
              <w:keepNext/>
              <w:jc w:val="center"/>
              <w:rPr>
                <w:rFonts w:ascii="Arial" w:hAnsi="Arial" w:cs="Arial"/>
                <w:sz w:val="20"/>
                <w:szCs w:val="20"/>
              </w:rPr>
            </w:pPr>
            <w:r>
              <w:rPr>
                <w:rFonts w:ascii="Arial" w:hAnsi="Arial" w:cs="Arial"/>
                <w:sz w:val="20"/>
                <w:szCs w:val="20"/>
              </w:rPr>
              <w:t>2011</w:t>
            </w:r>
          </w:p>
        </w:tc>
        <w:tc>
          <w:tcPr>
            <w:tcW w:w="1082" w:type="dxa"/>
            <w:vAlign w:val="bottom"/>
          </w:tcPr>
          <w:p w:rsidR="003B0815" w:rsidRDefault="003B0815" w14:paraId="255D4169" w14:textId="77777777">
            <w:pPr>
              <w:keepNext/>
              <w:jc w:val="right"/>
              <w:rPr>
                <w:rFonts w:ascii="Arial" w:hAnsi="Arial" w:cs="Arial"/>
                <w:sz w:val="20"/>
                <w:szCs w:val="20"/>
              </w:rPr>
            </w:pPr>
            <w:r>
              <w:rPr>
                <w:rFonts w:ascii="Arial" w:hAnsi="Arial" w:cs="Arial"/>
                <w:sz w:val="20"/>
                <w:szCs w:val="20"/>
              </w:rPr>
              <w:t xml:space="preserve">284.0 </w:t>
            </w:r>
          </w:p>
        </w:tc>
        <w:tc>
          <w:tcPr>
            <w:tcW w:w="989" w:type="dxa"/>
            <w:vAlign w:val="bottom"/>
          </w:tcPr>
          <w:p w:rsidR="003B0815" w:rsidRDefault="003B0815" w14:paraId="05A31A43" w14:textId="77777777">
            <w:pPr>
              <w:keepNext/>
              <w:jc w:val="center"/>
              <w:rPr>
                <w:rFonts w:ascii="Arial" w:hAnsi="Arial" w:cs="Arial"/>
                <w:sz w:val="20"/>
                <w:szCs w:val="20"/>
              </w:rPr>
            </w:pPr>
            <w:r>
              <w:rPr>
                <w:rFonts w:ascii="Arial" w:hAnsi="Arial" w:cs="Arial"/>
                <w:sz w:val="20"/>
                <w:szCs w:val="20"/>
              </w:rPr>
              <w:t>76.29</w:t>
            </w:r>
          </w:p>
        </w:tc>
        <w:tc>
          <w:tcPr>
            <w:tcW w:w="1622" w:type="dxa"/>
            <w:vAlign w:val="bottom"/>
          </w:tcPr>
          <w:p w:rsidR="003B0815" w:rsidRDefault="003B0815" w14:paraId="5D3329E5" w14:textId="77777777">
            <w:pPr>
              <w:keepNext/>
              <w:jc w:val="right"/>
              <w:rPr>
                <w:rFonts w:ascii="Arial" w:hAnsi="Arial" w:cs="Arial"/>
                <w:sz w:val="20"/>
                <w:szCs w:val="20"/>
              </w:rPr>
            </w:pPr>
            <w:r>
              <w:rPr>
                <w:rFonts w:ascii="Arial" w:hAnsi="Arial" w:cs="Arial"/>
                <w:sz w:val="20"/>
                <w:szCs w:val="20"/>
              </w:rPr>
              <w:t xml:space="preserve">216.8 </w:t>
            </w:r>
          </w:p>
        </w:tc>
        <w:tc>
          <w:tcPr>
            <w:tcW w:w="1080" w:type="dxa"/>
            <w:vAlign w:val="bottom"/>
          </w:tcPr>
          <w:p w:rsidR="003B0815" w:rsidRDefault="003B0815" w14:paraId="0EDB20D1" w14:textId="77777777">
            <w:pPr>
              <w:keepNext/>
              <w:jc w:val="center"/>
              <w:rPr>
                <w:rFonts w:ascii="Arial" w:hAnsi="Arial" w:cs="Arial"/>
                <w:sz w:val="20"/>
                <w:szCs w:val="20"/>
              </w:rPr>
            </w:pPr>
            <w:r>
              <w:rPr>
                <w:rFonts w:ascii="Arial" w:hAnsi="Arial" w:cs="Arial"/>
                <w:sz w:val="20"/>
                <w:szCs w:val="20"/>
              </w:rPr>
              <w:t>88.85</w:t>
            </w:r>
          </w:p>
        </w:tc>
        <w:tc>
          <w:tcPr>
            <w:tcW w:w="1620" w:type="dxa"/>
            <w:tcBorders>
              <w:right w:val="single" w:color="auto" w:sz="12" w:space="0"/>
            </w:tcBorders>
            <w:vAlign w:val="bottom"/>
          </w:tcPr>
          <w:p w:rsidR="003B0815" w:rsidRDefault="003B0815" w14:paraId="0786B79D" w14:textId="77777777">
            <w:pPr>
              <w:keepNext/>
              <w:jc w:val="right"/>
              <w:rPr>
                <w:rFonts w:ascii="Arial" w:hAnsi="Arial" w:cs="Arial"/>
                <w:sz w:val="20"/>
                <w:szCs w:val="20"/>
              </w:rPr>
            </w:pPr>
            <w:r>
              <w:rPr>
                <w:rFonts w:ascii="Arial" w:hAnsi="Arial" w:cs="Arial"/>
                <w:sz w:val="20"/>
                <w:szCs w:val="20"/>
              </w:rPr>
              <w:t xml:space="preserve">252.2 </w:t>
            </w:r>
          </w:p>
        </w:tc>
      </w:tr>
      <w:tr w:rsidR="003B0815" w14:paraId="65DD8A7B" w14:textId="77777777">
        <w:trPr>
          <w:jc w:val="center"/>
        </w:trPr>
        <w:tc>
          <w:tcPr>
            <w:tcW w:w="1407" w:type="dxa"/>
            <w:tcBorders>
              <w:left w:val="single" w:color="auto" w:sz="12" w:space="0"/>
            </w:tcBorders>
            <w:vAlign w:val="bottom"/>
          </w:tcPr>
          <w:p w:rsidR="003B0815" w:rsidRDefault="003B0815" w14:paraId="3E58F92D" w14:textId="77777777">
            <w:pPr>
              <w:keepNext/>
              <w:jc w:val="center"/>
              <w:rPr>
                <w:rFonts w:ascii="Arial" w:hAnsi="Arial" w:cs="Arial"/>
                <w:sz w:val="20"/>
                <w:szCs w:val="20"/>
              </w:rPr>
            </w:pPr>
            <w:r>
              <w:rPr>
                <w:rFonts w:ascii="Arial" w:hAnsi="Arial" w:cs="Arial"/>
                <w:sz w:val="20"/>
                <w:szCs w:val="20"/>
              </w:rPr>
              <w:t>2012</w:t>
            </w:r>
          </w:p>
        </w:tc>
        <w:tc>
          <w:tcPr>
            <w:tcW w:w="1082" w:type="dxa"/>
            <w:vAlign w:val="bottom"/>
          </w:tcPr>
          <w:p w:rsidR="003B0815" w:rsidRDefault="003B0815" w14:paraId="765C0FE2" w14:textId="77777777">
            <w:pPr>
              <w:keepNext/>
              <w:jc w:val="right"/>
              <w:rPr>
                <w:rFonts w:ascii="Arial" w:hAnsi="Arial" w:cs="Arial"/>
                <w:sz w:val="20"/>
                <w:szCs w:val="20"/>
              </w:rPr>
            </w:pPr>
            <w:r>
              <w:rPr>
                <w:rFonts w:ascii="Arial" w:hAnsi="Arial" w:cs="Arial"/>
                <w:sz w:val="20"/>
                <w:szCs w:val="20"/>
              </w:rPr>
              <w:t xml:space="preserve">295.8 </w:t>
            </w:r>
          </w:p>
        </w:tc>
        <w:tc>
          <w:tcPr>
            <w:tcW w:w="989" w:type="dxa"/>
            <w:vAlign w:val="bottom"/>
          </w:tcPr>
          <w:p w:rsidR="003B0815" w:rsidRDefault="003B0815" w14:paraId="44DA3774" w14:textId="77777777">
            <w:pPr>
              <w:keepNext/>
              <w:jc w:val="center"/>
              <w:rPr>
                <w:rFonts w:ascii="Arial" w:hAnsi="Arial" w:cs="Arial"/>
                <w:sz w:val="20"/>
                <w:szCs w:val="20"/>
              </w:rPr>
            </w:pPr>
            <w:r>
              <w:rPr>
                <w:rFonts w:ascii="Arial" w:hAnsi="Arial" w:cs="Arial"/>
                <w:sz w:val="20"/>
                <w:szCs w:val="20"/>
              </w:rPr>
              <w:t>71.30</w:t>
            </w:r>
          </w:p>
        </w:tc>
        <w:tc>
          <w:tcPr>
            <w:tcW w:w="1622" w:type="dxa"/>
            <w:vAlign w:val="bottom"/>
          </w:tcPr>
          <w:p w:rsidR="003B0815" w:rsidRDefault="003B0815" w14:paraId="028E3BC7" w14:textId="77777777">
            <w:pPr>
              <w:keepNext/>
              <w:jc w:val="right"/>
              <w:rPr>
                <w:rFonts w:ascii="Arial" w:hAnsi="Arial" w:cs="Arial"/>
                <w:sz w:val="20"/>
                <w:szCs w:val="20"/>
              </w:rPr>
            </w:pPr>
            <w:r>
              <w:rPr>
                <w:rFonts w:ascii="Arial" w:hAnsi="Arial" w:cs="Arial"/>
                <w:sz w:val="20"/>
                <w:szCs w:val="20"/>
              </w:rPr>
              <w:t xml:space="preserve">210.9 </w:t>
            </w:r>
          </w:p>
        </w:tc>
        <w:tc>
          <w:tcPr>
            <w:tcW w:w="1080" w:type="dxa"/>
            <w:vAlign w:val="bottom"/>
          </w:tcPr>
          <w:p w:rsidR="003B0815" w:rsidRDefault="003B0815" w14:paraId="25980495" w14:textId="77777777">
            <w:pPr>
              <w:keepNext/>
              <w:jc w:val="center"/>
              <w:rPr>
                <w:rFonts w:ascii="Arial" w:hAnsi="Arial" w:cs="Arial"/>
                <w:sz w:val="20"/>
                <w:szCs w:val="20"/>
              </w:rPr>
            </w:pPr>
            <w:r>
              <w:rPr>
                <w:rFonts w:ascii="Arial" w:hAnsi="Arial" w:cs="Arial"/>
                <w:sz w:val="20"/>
                <w:szCs w:val="20"/>
              </w:rPr>
              <w:t>86.26</w:t>
            </w:r>
          </w:p>
        </w:tc>
        <w:tc>
          <w:tcPr>
            <w:tcW w:w="1620" w:type="dxa"/>
            <w:tcBorders>
              <w:right w:val="single" w:color="auto" w:sz="12" w:space="0"/>
            </w:tcBorders>
            <w:vAlign w:val="bottom"/>
          </w:tcPr>
          <w:p w:rsidR="003B0815" w:rsidRDefault="003B0815" w14:paraId="53F47FF4" w14:textId="77777777">
            <w:pPr>
              <w:keepNext/>
              <w:jc w:val="right"/>
              <w:rPr>
                <w:rFonts w:ascii="Arial" w:hAnsi="Arial" w:cs="Arial"/>
                <w:sz w:val="20"/>
                <w:szCs w:val="20"/>
              </w:rPr>
            </w:pPr>
            <w:r>
              <w:rPr>
                <w:rFonts w:ascii="Arial" w:hAnsi="Arial" w:cs="Arial"/>
                <w:sz w:val="20"/>
                <w:szCs w:val="20"/>
              </w:rPr>
              <w:t xml:space="preserve">255.1 </w:t>
            </w:r>
          </w:p>
        </w:tc>
      </w:tr>
      <w:tr w:rsidR="003B0815" w14:paraId="50738FF1" w14:textId="77777777">
        <w:trPr>
          <w:jc w:val="center"/>
        </w:trPr>
        <w:tc>
          <w:tcPr>
            <w:tcW w:w="1407" w:type="dxa"/>
            <w:tcBorders>
              <w:left w:val="single" w:color="auto" w:sz="12" w:space="0"/>
            </w:tcBorders>
            <w:vAlign w:val="bottom"/>
          </w:tcPr>
          <w:p w:rsidR="003B0815" w:rsidRDefault="003B0815" w14:paraId="7F167E86" w14:textId="77777777">
            <w:pPr>
              <w:keepNext/>
              <w:jc w:val="center"/>
              <w:rPr>
                <w:rFonts w:ascii="Arial" w:hAnsi="Arial" w:cs="Arial"/>
                <w:sz w:val="20"/>
                <w:szCs w:val="20"/>
              </w:rPr>
            </w:pPr>
            <w:r>
              <w:rPr>
                <w:rFonts w:ascii="Arial" w:hAnsi="Arial" w:cs="Arial"/>
                <w:sz w:val="20"/>
                <w:szCs w:val="20"/>
              </w:rPr>
              <w:t>2013</w:t>
            </w:r>
          </w:p>
        </w:tc>
        <w:tc>
          <w:tcPr>
            <w:tcW w:w="1082" w:type="dxa"/>
            <w:vAlign w:val="bottom"/>
          </w:tcPr>
          <w:p w:rsidR="003B0815" w:rsidRDefault="003B0815" w14:paraId="1D00E5D3" w14:textId="77777777">
            <w:pPr>
              <w:keepNext/>
              <w:jc w:val="right"/>
              <w:rPr>
                <w:rFonts w:ascii="Arial" w:hAnsi="Arial" w:cs="Arial"/>
                <w:sz w:val="20"/>
                <w:szCs w:val="20"/>
              </w:rPr>
            </w:pPr>
            <w:r>
              <w:rPr>
                <w:rFonts w:ascii="Arial" w:hAnsi="Arial" w:cs="Arial"/>
                <w:sz w:val="20"/>
                <w:szCs w:val="20"/>
              </w:rPr>
              <w:t xml:space="preserve">306.0 </w:t>
            </w:r>
          </w:p>
        </w:tc>
        <w:tc>
          <w:tcPr>
            <w:tcW w:w="989" w:type="dxa"/>
            <w:vAlign w:val="bottom"/>
          </w:tcPr>
          <w:p w:rsidR="003B0815" w:rsidRDefault="003B0815" w14:paraId="467D8EF7" w14:textId="77777777">
            <w:pPr>
              <w:keepNext/>
              <w:jc w:val="center"/>
              <w:rPr>
                <w:rFonts w:ascii="Arial" w:hAnsi="Arial" w:cs="Arial"/>
                <w:sz w:val="20"/>
                <w:szCs w:val="20"/>
              </w:rPr>
            </w:pPr>
            <w:r>
              <w:rPr>
                <w:rFonts w:ascii="Arial" w:hAnsi="Arial" w:cs="Arial"/>
                <w:sz w:val="20"/>
                <w:szCs w:val="20"/>
              </w:rPr>
              <w:t>66.63</w:t>
            </w:r>
          </w:p>
        </w:tc>
        <w:tc>
          <w:tcPr>
            <w:tcW w:w="1622" w:type="dxa"/>
            <w:vAlign w:val="bottom"/>
          </w:tcPr>
          <w:p w:rsidR="003B0815" w:rsidRDefault="003B0815" w14:paraId="59E2863A" w14:textId="77777777">
            <w:pPr>
              <w:keepNext/>
              <w:jc w:val="right"/>
              <w:rPr>
                <w:rFonts w:ascii="Arial" w:hAnsi="Arial" w:cs="Arial"/>
                <w:sz w:val="20"/>
                <w:szCs w:val="20"/>
              </w:rPr>
            </w:pPr>
            <w:r>
              <w:rPr>
                <w:rFonts w:ascii="Arial" w:hAnsi="Arial" w:cs="Arial"/>
                <w:sz w:val="20"/>
                <w:szCs w:val="20"/>
              </w:rPr>
              <w:t xml:space="preserve">203.9 </w:t>
            </w:r>
          </w:p>
        </w:tc>
        <w:tc>
          <w:tcPr>
            <w:tcW w:w="1080" w:type="dxa"/>
            <w:vAlign w:val="bottom"/>
          </w:tcPr>
          <w:p w:rsidR="003B0815" w:rsidRDefault="003B0815" w14:paraId="62443982" w14:textId="77777777">
            <w:pPr>
              <w:keepNext/>
              <w:jc w:val="center"/>
              <w:rPr>
                <w:rFonts w:ascii="Arial" w:hAnsi="Arial" w:cs="Arial"/>
                <w:sz w:val="20"/>
                <w:szCs w:val="20"/>
              </w:rPr>
            </w:pPr>
            <w:r>
              <w:rPr>
                <w:rFonts w:ascii="Arial" w:hAnsi="Arial" w:cs="Arial"/>
                <w:sz w:val="20"/>
                <w:szCs w:val="20"/>
              </w:rPr>
              <w:t>83.75</w:t>
            </w:r>
          </w:p>
        </w:tc>
        <w:tc>
          <w:tcPr>
            <w:tcW w:w="1620" w:type="dxa"/>
            <w:tcBorders>
              <w:right w:val="single" w:color="auto" w:sz="12" w:space="0"/>
            </w:tcBorders>
            <w:vAlign w:val="bottom"/>
          </w:tcPr>
          <w:p w:rsidR="003B0815" w:rsidRDefault="003B0815" w14:paraId="6E5F1347" w14:textId="77777777">
            <w:pPr>
              <w:keepNext/>
              <w:jc w:val="right"/>
              <w:rPr>
                <w:rFonts w:ascii="Arial" w:hAnsi="Arial" w:cs="Arial"/>
                <w:sz w:val="20"/>
                <w:szCs w:val="20"/>
              </w:rPr>
            </w:pPr>
            <w:r>
              <w:rPr>
                <w:rFonts w:ascii="Arial" w:hAnsi="Arial" w:cs="Arial"/>
                <w:sz w:val="20"/>
                <w:szCs w:val="20"/>
              </w:rPr>
              <w:t xml:space="preserve">256.2 </w:t>
            </w:r>
          </w:p>
        </w:tc>
      </w:tr>
      <w:tr w:rsidR="003B0815" w14:paraId="3881547F" w14:textId="77777777">
        <w:trPr>
          <w:jc w:val="center"/>
        </w:trPr>
        <w:tc>
          <w:tcPr>
            <w:tcW w:w="1407" w:type="dxa"/>
            <w:tcBorders>
              <w:left w:val="single" w:color="auto" w:sz="12" w:space="0"/>
            </w:tcBorders>
            <w:vAlign w:val="bottom"/>
          </w:tcPr>
          <w:p w:rsidR="003B0815" w:rsidRDefault="003B0815" w14:paraId="7C65E1D8" w14:textId="77777777">
            <w:pPr>
              <w:keepNext/>
              <w:jc w:val="center"/>
              <w:rPr>
                <w:rFonts w:ascii="Arial" w:hAnsi="Arial" w:cs="Arial"/>
                <w:sz w:val="20"/>
                <w:szCs w:val="20"/>
              </w:rPr>
            </w:pPr>
            <w:r>
              <w:rPr>
                <w:rFonts w:ascii="Arial" w:hAnsi="Arial" w:cs="Arial"/>
                <w:sz w:val="20"/>
                <w:szCs w:val="20"/>
              </w:rPr>
              <w:t>2014</w:t>
            </w:r>
          </w:p>
        </w:tc>
        <w:tc>
          <w:tcPr>
            <w:tcW w:w="1082" w:type="dxa"/>
            <w:vAlign w:val="bottom"/>
          </w:tcPr>
          <w:p w:rsidR="003B0815" w:rsidRDefault="003B0815" w14:paraId="6B961EBE" w14:textId="77777777">
            <w:pPr>
              <w:keepNext/>
              <w:jc w:val="right"/>
              <w:rPr>
                <w:rFonts w:ascii="Arial" w:hAnsi="Arial" w:cs="Arial"/>
                <w:sz w:val="20"/>
                <w:szCs w:val="20"/>
              </w:rPr>
            </w:pPr>
            <w:r>
              <w:rPr>
                <w:rFonts w:ascii="Arial" w:hAnsi="Arial" w:cs="Arial"/>
                <w:sz w:val="20"/>
                <w:szCs w:val="20"/>
              </w:rPr>
              <w:t xml:space="preserve">313.3 </w:t>
            </w:r>
          </w:p>
        </w:tc>
        <w:tc>
          <w:tcPr>
            <w:tcW w:w="989" w:type="dxa"/>
            <w:vAlign w:val="bottom"/>
          </w:tcPr>
          <w:p w:rsidR="003B0815" w:rsidRDefault="003B0815" w14:paraId="792641DA" w14:textId="77777777">
            <w:pPr>
              <w:keepNext/>
              <w:jc w:val="center"/>
              <w:rPr>
                <w:rFonts w:ascii="Arial" w:hAnsi="Arial" w:cs="Arial"/>
                <w:sz w:val="20"/>
                <w:szCs w:val="20"/>
              </w:rPr>
            </w:pPr>
            <w:r>
              <w:rPr>
                <w:rFonts w:ascii="Arial" w:hAnsi="Arial" w:cs="Arial"/>
                <w:sz w:val="20"/>
                <w:szCs w:val="20"/>
              </w:rPr>
              <w:t>62.27</w:t>
            </w:r>
          </w:p>
        </w:tc>
        <w:tc>
          <w:tcPr>
            <w:tcW w:w="1622" w:type="dxa"/>
            <w:vAlign w:val="bottom"/>
          </w:tcPr>
          <w:p w:rsidR="003B0815" w:rsidRDefault="003B0815" w14:paraId="4BB93883" w14:textId="77777777">
            <w:pPr>
              <w:keepNext/>
              <w:jc w:val="right"/>
              <w:rPr>
                <w:rFonts w:ascii="Arial" w:hAnsi="Arial" w:cs="Arial"/>
                <w:sz w:val="20"/>
                <w:szCs w:val="20"/>
              </w:rPr>
            </w:pPr>
            <w:r>
              <w:rPr>
                <w:rFonts w:ascii="Arial" w:hAnsi="Arial" w:cs="Arial"/>
                <w:sz w:val="20"/>
                <w:szCs w:val="20"/>
              </w:rPr>
              <w:t xml:space="preserve">195.2 </w:t>
            </w:r>
          </w:p>
        </w:tc>
        <w:tc>
          <w:tcPr>
            <w:tcW w:w="1080" w:type="dxa"/>
            <w:vAlign w:val="bottom"/>
          </w:tcPr>
          <w:p w:rsidR="003B0815" w:rsidRDefault="003B0815" w14:paraId="1BB9DE39" w14:textId="77777777">
            <w:pPr>
              <w:keepNext/>
              <w:jc w:val="center"/>
              <w:rPr>
                <w:rFonts w:ascii="Arial" w:hAnsi="Arial" w:cs="Arial"/>
                <w:sz w:val="20"/>
                <w:szCs w:val="20"/>
              </w:rPr>
            </w:pPr>
            <w:r>
              <w:rPr>
                <w:rFonts w:ascii="Arial" w:hAnsi="Arial" w:cs="Arial"/>
                <w:sz w:val="20"/>
                <w:szCs w:val="20"/>
              </w:rPr>
              <w:t>81.31</w:t>
            </w:r>
          </w:p>
        </w:tc>
        <w:tc>
          <w:tcPr>
            <w:tcW w:w="1620" w:type="dxa"/>
            <w:tcBorders>
              <w:right w:val="single" w:color="auto" w:sz="12" w:space="0"/>
            </w:tcBorders>
            <w:vAlign w:val="bottom"/>
          </w:tcPr>
          <w:p w:rsidR="003B0815" w:rsidRDefault="003B0815" w14:paraId="448EE203" w14:textId="77777777">
            <w:pPr>
              <w:keepNext/>
              <w:jc w:val="right"/>
              <w:rPr>
                <w:rFonts w:ascii="Arial" w:hAnsi="Arial" w:cs="Arial"/>
                <w:sz w:val="20"/>
                <w:szCs w:val="20"/>
              </w:rPr>
            </w:pPr>
            <w:r>
              <w:rPr>
                <w:rFonts w:ascii="Arial" w:hAnsi="Arial" w:cs="Arial"/>
                <w:sz w:val="20"/>
                <w:szCs w:val="20"/>
              </w:rPr>
              <w:t xml:space="preserve">254.8 </w:t>
            </w:r>
          </w:p>
        </w:tc>
      </w:tr>
      <w:tr w:rsidR="003B0815" w14:paraId="5F40E5D8" w14:textId="77777777">
        <w:trPr>
          <w:jc w:val="center"/>
        </w:trPr>
        <w:tc>
          <w:tcPr>
            <w:tcW w:w="1407" w:type="dxa"/>
            <w:tcBorders>
              <w:left w:val="single" w:color="auto" w:sz="12" w:space="0"/>
            </w:tcBorders>
            <w:vAlign w:val="bottom"/>
          </w:tcPr>
          <w:p w:rsidR="003B0815" w:rsidRDefault="003B0815" w14:paraId="549369F2" w14:textId="77777777">
            <w:pPr>
              <w:keepNext/>
              <w:jc w:val="center"/>
              <w:rPr>
                <w:rFonts w:ascii="Arial" w:hAnsi="Arial" w:cs="Arial"/>
                <w:sz w:val="20"/>
                <w:szCs w:val="20"/>
              </w:rPr>
            </w:pPr>
            <w:r>
              <w:rPr>
                <w:rFonts w:ascii="Arial" w:hAnsi="Arial" w:cs="Arial"/>
                <w:sz w:val="20"/>
                <w:szCs w:val="20"/>
              </w:rPr>
              <w:t>2015</w:t>
            </w:r>
          </w:p>
        </w:tc>
        <w:tc>
          <w:tcPr>
            <w:tcW w:w="1082" w:type="dxa"/>
            <w:vAlign w:val="bottom"/>
          </w:tcPr>
          <w:p w:rsidR="003B0815" w:rsidRDefault="003B0815" w14:paraId="365452A4" w14:textId="77777777">
            <w:pPr>
              <w:keepNext/>
              <w:jc w:val="right"/>
              <w:rPr>
                <w:rFonts w:ascii="Arial" w:hAnsi="Arial" w:cs="Arial"/>
                <w:sz w:val="20"/>
                <w:szCs w:val="20"/>
              </w:rPr>
            </w:pPr>
            <w:r>
              <w:rPr>
                <w:rFonts w:ascii="Arial" w:hAnsi="Arial" w:cs="Arial"/>
                <w:sz w:val="20"/>
                <w:szCs w:val="20"/>
              </w:rPr>
              <w:t xml:space="preserve">321.9 </w:t>
            </w:r>
          </w:p>
        </w:tc>
        <w:tc>
          <w:tcPr>
            <w:tcW w:w="989" w:type="dxa"/>
            <w:vAlign w:val="bottom"/>
          </w:tcPr>
          <w:p w:rsidR="003B0815" w:rsidRDefault="003B0815" w14:paraId="5BF31C5E" w14:textId="77777777">
            <w:pPr>
              <w:keepNext/>
              <w:jc w:val="center"/>
              <w:rPr>
                <w:rFonts w:ascii="Arial" w:hAnsi="Arial" w:cs="Arial"/>
                <w:sz w:val="20"/>
                <w:szCs w:val="20"/>
              </w:rPr>
            </w:pPr>
            <w:r>
              <w:rPr>
                <w:rFonts w:ascii="Arial" w:hAnsi="Arial" w:cs="Arial"/>
                <w:sz w:val="20"/>
                <w:szCs w:val="20"/>
              </w:rPr>
              <w:t>58.20</w:t>
            </w:r>
          </w:p>
        </w:tc>
        <w:tc>
          <w:tcPr>
            <w:tcW w:w="1622" w:type="dxa"/>
            <w:vAlign w:val="bottom"/>
          </w:tcPr>
          <w:p w:rsidR="003B0815" w:rsidRDefault="003B0815" w14:paraId="1894243B" w14:textId="77777777">
            <w:pPr>
              <w:keepNext/>
              <w:jc w:val="right"/>
              <w:rPr>
                <w:rFonts w:ascii="Arial" w:hAnsi="Arial" w:cs="Arial"/>
                <w:sz w:val="20"/>
                <w:szCs w:val="20"/>
              </w:rPr>
            </w:pPr>
            <w:r>
              <w:rPr>
                <w:rFonts w:ascii="Arial" w:hAnsi="Arial" w:cs="Arial"/>
                <w:sz w:val="20"/>
                <w:szCs w:val="20"/>
              </w:rPr>
              <w:t xml:space="preserve">187.4 </w:t>
            </w:r>
          </w:p>
        </w:tc>
        <w:tc>
          <w:tcPr>
            <w:tcW w:w="1080" w:type="dxa"/>
            <w:vAlign w:val="bottom"/>
          </w:tcPr>
          <w:p w:rsidR="003B0815" w:rsidRDefault="003B0815" w14:paraId="063EBC5C" w14:textId="77777777">
            <w:pPr>
              <w:keepNext/>
              <w:jc w:val="center"/>
              <w:rPr>
                <w:rFonts w:ascii="Arial" w:hAnsi="Arial" w:cs="Arial"/>
                <w:sz w:val="20"/>
                <w:szCs w:val="20"/>
              </w:rPr>
            </w:pPr>
            <w:r>
              <w:rPr>
                <w:rFonts w:ascii="Arial" w:hAnsi="Arial" w:cs="Arial"/>
                <w:sz w:val="20"/>
                <w:szCs w:val="20"/>
              </w:rPr>
              <w:t>78.94</w:t>
            </w:r>
          </w:p>
        </w:tc>
        <w:tc>
          <w:tcPr>
            <w:tcW w:w="1620" w:type="dxa"/>
            <w:tcBorders>
              <w:right w:val="single" w:color="auto" w:sz="12" w:space="0"/>
            </w:tcBorders>
            <w:vAlign w:val="bottom"/>
          </w:tcPr>
          <w:p w:rsidR="003B0815" w:rsidRDefault="003B0815" w14:paraId="2FCCCF7E" w14:textId="77777777">
            <w:pPr>
              <w:keepNext/>
              <w:jc w:val="right"/>
              <w:rPr>
                <w:rFonts w:ascii="Arial" w:hAnsi="Arial" w:cs="Arial"/>
                <w:sz w:val="20"/>
                <w:szCs w:val="20"/>
              </w:rPr>
            </w:pPr>
            <w:r>
              <w:rPr>
                <w:rFonts w:ascii="Arial" w:hAnsi="Arial" w:cs="Arial"/>
                <w:sz w:val="20"/>
                <w:szCs w:val="20"/>
              </w:rPr>
              <w:t xml:space="preserve">254.1 </w:t>
            </w:r>
          </w:p>
        </w:tc>
      </w:tr>
      <w:tr w:rsidR="003B0815" w14:paraId="35C8FF10" w14:textId="77777777">
        <w:trPr>
          <w:jc w:val="center"/>
        </w:trPr>
        <w:tc>
          <w:tcPr>
            <w:tcW w:w="1407" w:type="dxa"/>
            <w:tcBorders>
              <w:left w:val="single" w:color="auto" w:sz="12" w:space="0"/>
            </w:tcBorders>
            <w:vAlign w:val="bottom"/>
          </w:tcPr>
          <w:p w:rsidR="003B0815" w:rsidRDefault="003B0815" w14:paraId="57BE7DD6" w14:textId="77777777">
            <w:pPr>
              <w:keepNext/>
              <w:jc w:val="center"/>
              <w:rPr>
                <w:rFonts w:ascii="Arial" w:hAnsi="Arial" w:cs="Arial"/>
                <w:sz w:val="20"/>
                <w:szCs w:val="20"/>
              </w:rPr>
            </w:pPr>
            <w:r>
              <w:rPr>
                <w:rFonts w:ascii="Arial" w:hAnsi="Arial" w:cs="Arial"/>
                <w:sz w:val="20"/>
                <w:szCs w:val="20"/>
              </w:rPr>
              <w:t>2016</w:t>
            </w:r>
          </w:p>
        </w:tc>
        <w:tc>
          <w:tcPr>
            <w:tcW w:w="1082" w:type="dxa"/>
            <w:vAlign w:val="bottom"/>
          </w:tcPr>
          <w:p w:rsidR="003B0815" w:rsidRDefault="003B0815" w14:paraId="41EE69F0" w14:textId="77777777">
            <w:pPr>
              <w:keepNext/>
              <w:jc w:val="right"/>
              <w:rPr>
                <w:rFonts w:ascii="Arial" w:hAnsi="Arial" w:cs="Arial"/>
                <w:sz w:val="20"/>
                <w:szCs w:val="20"/>
              </w:rPr>
            </w:pPr>
            <w:r>
              <w:rPr>
                <w:rFonts w:ascii="Arial" w:hAnsi="Arial" w:cs="Arial"/>
                <w:sz w:val="20"/>
                <w:szCs w:val="20"/>
              </w:rPr>
              <w:t xml:space="preserve">334.1 </w:t>
            </w:r>
          </w:p>
        </w:tc>
        <w:tc>
          <w:tcPr>
            <w:tcW w:w="989" w:type="dxa"/>
            <w:vAlign w:val="bottom"/>
          </w:tcPr>
          <w:p w:rsidR="003B0815" w:rsidRDefault="003B0815" w14:paraId="7262E4F1" w14:textId="77777777">
            <w:pPr>
              <w:keepNext/>
              <w:jc w:val="center"/>
              <w:rPr>
                <w:rFonts w:ascii="Arial" w:hAnsi="Arial" w:cs="Arial"/>
                <w:sz w:val="20"/>
                <w:szCs w:val="20"/>
              </w:rPr>
            </w:pPr>
            <w:r>
              <w:rPr>
                <w:rFonts w:ascii="Arial" w:hAnsi="Arial" w:cs="Arial"/>
                <w:sz w:val="20"/>
                <w:szCs w:val="20"/>
              </w:rPr>
              <w:t>54.39</w:t>
            </w:r>
          </w:p>
        </w:tc>
        <w:tc>
          <w:tcPr>
            <w:tcW w:w="1622" w:type="dxa"/>
            <w:vAlign w:val="bottom"/>
          </w:tcPr>
          <w:p w:rsidR="003B0815" w:rsidRDefault="003B0815" w14:paraId="56F5D9B3" w14:textId="77777777">
            <w:pPr>
              <w:keepNext/>
              <w:jc w:val="right"/>
              <w:rPr>
                <w:rFonts w:ascii="Arial" w:hAnsi="Arial" w:cs="Arial"/>
                <w:sz w:val="20"/>
                <w:szCs w:val="20"/>
              </w:rPr>
            </w:pPr>
            <w:r>
              <w:rPr>
                <w:rFonts w:ascii="Arial" w:hAnsi="Arial" w:cs="Arial"/>
                <w:sz w:val="20"/>
                <w:szCs w:val="20"/>
              </w:rPr>
              <w:t xml:space="preserve">181.8 </w:t>
            </w:r>
          </w:p>
        </w:tc>
        <w:tc>
          <w:tcPr>
            <w:tcW w:w="1080" w:type="dxa"/>
            <w:vAlign w:val="bottom"/>
          </w:tcPr>
          <w:p w:rsidR="003B0815" w:rsidRDefault="003B0815" w14:paraId="30AD9473" w14:textId="77777777">
            <w:pPr>
              <w:keepNext/>
              <w:jc w:val="center"/>
              <w:rPr>
                <w:rFonts w:ascii="Arial" w:hAnsi="Arial" w:cs="Arial"/>
                <w:sz w:val="20"/>
                <w:szCs w:val="20"/>
              </w:rPr>
            </w:pPr>
            <w:r>
              <w:rPr>
                <w:rFonts w:ascii="Arial" w:hAnsi="Arial" w:cs="Arial"/>
                <w:sz w:val="20"/>
                <w:szCs w:val="20"/>
              </w:rPr>
              <w:t>76.64</w:t>
            </w:r>
          </w:p>
        </w:tc>
        <w:tc>
          <w:tcPr>
            <w:tcW w:w="1620" w:type="dxa"/>
            <w:tcBorders>
              <w:right w:val="single" w:color="auto" w:sz="12" w:space="0"/>
            </w:tcBorders>
            <w:vAlign w:val="bottom"/>
          </w:tcPr>
          <w:p w:rsidR="003B0815" w:rsidRDefault="003B0815" w14:paraId="0E24D340" w14:textId="77777777">
            <w:pPr>
              <w:keepNext/>
              <w:jc w:val="right"/>
              <w:rPr>
                <w:rFonts w:ascii="Arial" w:hAnsi="Arial" w:cs="Arial"/>
                <w:sz w:val="20"/>
                <w:szCs w:val="20"/>
              </w:rPr>
            </w:pPr>
            <w:r>
              <w:rPr>
                <w:rFonts w:ascii="Arial" w:hAnsi="Arial" w:cs="Arial"/>
                <w:sz w:val="20"/>
                <w:szCs w:val="20"/>
              </w:rPr>
              <w:t xml:space="preserve">256.1 </w:t>
            </w:r>
          </w:p>
        </w:tc>
      </w:tr>
      <w:tr w:rsidR="003B0815" w14:paraId="248B9257" w14:textId="77777777">
        <w:trPr>
          <w:jc w:val="center"/>
        </w:trPr>
        <w:tc>
          <w:tcPr>
            <w:tcW w:w="1407" w:type="dxa"/>
            <w:tcBorders>
              <w:left w:val="single" w:color="auto" w:sz="12" w:space="0"/>
              <w:bottom w:val="single" w:color="auto" w:sz="4" w:space="0"/>
            </w:tcBorders>
            <w:vAlign w:val="bottom"/>
          </w:tcPr>
          <w:p w:rsidR="003B0815" w:rsidRDefault="003B0815" w14:paraId="7AEDE738" w14:textId="77777777">
            <w:pPr>
              <w:keepNext/>
              <w:jc w:val="center"/>
              <w:rPr>
                <w:rFonts w:ascii="Arial" w:hAnsi="Arial" w:cs="Arial"/>
                <w:sz w:val="20"/>
                <w:szCs w:val="20"/>
              </w:rPr>
            </w:pPr>
            <w:r>
              <w:rPr>
                <w:rFonts w:ascii="Arial" w:hAnsi="Arial" w:cs="Arial"/>
                <w:sz w:val="20"/>
                <w:szCs w:val="20"/>
              </w:rPr>
              <w:t>2017</w:t>
            </w:r>
          </w:p>
        </w:tc>
        <w:tc>
          <w:tcPr>
            <w:tcW w:w="1082" w:type="dxa"/>
            <w:tcBorders>
              <w:bottom w:val="single" w:color="auto" w:sz="4" w:space="0"/>
            </w:tcBorders>
            <w:vAlign w:val="bottom"/>
          </w:tcPr>
          <w:p w:rsidR="003B0815" w:rsidRDefault="003B0815" w14:paraId="13CC4A74" w14:textId="77777777">
            <w:pPr>
              <w:keepNext/>
              <w:jc w:val="right"/>
              <w:rPr>
                <w:rFonts w:ascii="Arial" w:hAnsi="Arial" w:cs="Arial"/>
                <w:sz w:val="20"/>
                <w:szCs w:val="20"/>
              </w:rPr>
            </w:pPr>
            <w:r>
              <w:rPr>
                <w:rFonts w:ascii="Arial" w:hAnsi="Arial" w:cs="Arial"/>
                <w:sz w:val="20"/>
                <w:szCs w:val="20"/>
              </w:rPr>
              <w:t xml:space="preserve">347.9 </w:t>
            </w:r>
          </w:p>
        </w:tc>
        <w:tc>
          <w:tcPr>
            <w:tcW w:w="989" w:type="dxa"/>
            <w:tcBorders>
              <w:bottom w:val="single" w:color="auto" w:sz="4" w:space="0"/>
            </w:tcBorders>
            <w:vAlign w:val="bottom"/>
          </w:tcPr>
          <w:p w:rsidR="003B0815" w:rsidRDefault="003B0815" w14:paraId="1F510867" w14:textId="77777777">
            <w:pPr>
              <w:keepNext/>
              <w:jc w:val="center"/>
              <w:rPr>
                <w:rFonts w:ascii="Arial" w:hAnsi="Arial" w:cs="Arial"/>
                <w:sz w:val="20"/>
                <w:szCs w:val="20"/>
              </w:rPr>
            </w:pPr>
            <w:r>
              <w:rPr>
                <w:rFonts w:ascii="Arial" w:hAnsi="Arial" w:cs="Arial"/>
                <w:sz w:val="20"/>
                <w:szCs w:val="20"/>
              </w:rPr>
              <w:t>50.83</w:t>
            </w:r>
          </w:p>
        </w:tc>
        <w:tc>
          <w:tcPr>
            <w:tcW w:w="1622" w:type="dxa"/>
            <w:tcBorders>
              <w:bottom w:val="single" w:color="auto" w:sz="4" w:space="0"/>
            </w:tcBorders>
            <w:vAlign w:val="bottom"/>
          </w:tcPr>
          <w:p w:rsidR="003B0815" w:rsidRDefault="003B0815" w14:paraId="02BC1D1B" w14:textId="77777777">
            <w:pPr>
              <w:keepNext/>
              <w:jc w:val="right"/>
              <w:rPr>
                <w:rFonts w:ascii="Arial" w:hAnsi="Arial" w:cs="Arial"/>
                <w:sz w:val="20"/>
                <w:szCs w:val="20"/>
              </w:rPr>
            </w:pPr>
            <w:r>
              <w:rPr>
                <w:rFonts w:ascii="Arial" w:hAnsi="Arial" w:cs="Arial"/>
                <w:sz w:val="20"/>
                <w:szCs w:val="20"/>
              </w:rPr>
              <w:t xml:space="preserve">176.8 </w:t>
            </w:r>
          </w:p>
        </w:tc>
        <w:tc>
          <w:tcPr>
            <w:tcW w:w="1080" w:type="dxa"/>
            <w:tcBorders>
              <w:bottom w:val="single" w:color="auto" w:sz="4" w:space="0"/>
            </w:tcBorders>
            <w:vAlign w:val="bottom"/>
          </w:tcPr>
          <w:p w:rsidR="003B0815" w:rsidRDefault="003B0815" w14:paraId="05B54571" w14:textId="77777777">
            <w:pPr>
              <w:keepNext/>
              <w:jc w:val="center"/>
              <w:rPr>
                <w:rFonts w:ascii="Arial" w:hAnsi="Arial" w:cs="Arial"/>
                <w:sz w:val="20"/>
                <w:szCs w:val="20"/>
              </w:rPr>
            </w:pPr>
            <w:r>
              <w:rPr>
                <w:rFonts w:ascii="Arial" w:hAnsi="Arial" w:cs="Arial"/>
                <w:sz w:val="20"/>
                <w:szCs w:val="20"/>
              </w:rPr>
              <w:t>74.41</w:t>
            </w:r>
          </w:p>
        </w:tc>
        <w:tc>
          <w:tcPr>
            <w:tcW w:w="1620" w:type="dxa"/>
            <w:tcBorders>
              <w:bottom w:val="single" w:color="auto" w:sz="4" w:space="0"/>
              <w:right w:val="single" w:color="auto" w:sz="12" w:space="0"/>
            </w:tcBorders>
            <w:vAlign w:val="bottom"/>
          </w:tcPr>
          <w:p w:rsidR="003B0815" w:rsidRDefault="003B0815" w14:paraId="1635AF1C" w14:textId="77777777">
            <w:pPr>
              <w:keepNext/>
              <w:jc w:val="right"/>
              <w:rPr>
                <w:rFonts w:ascii="Arial" w:hAnsi="Arial" w:cs="Arial"/>
                <w:sz w:val="20"/>
                <w:szCs w:val="20"/>
              </w:rPr>
            </w:pPr>
            <w:r>
              <w:rPr>
                <w:rFonts w:ascii="Arial" w:hAnsi="Arial" w:cs="Arial"/>
                <w:sz w:val="20"/>
                <w:szCs w:val="20"/>
              </w:rPr>
              <w:t xml:space="preserve">258.9 </w:t>
            </w:r>
          </w:p>
        </w:tc>
      </w:tr>
      <w:tr w:rsidR="003B0815" w14:paraId="7643C83A" w14:textId="77777777">
        <w:trPr>
          <w:jc w:val="center"/>
        </w:trPr>
        <w:tc>
          <w:tcPr>
            <w:tcW w:w="1407" w:type="dxa"/>
            <w:tcBorders>
              <w:top w:val="double" w:color="auto" w:sz="4" w:space="0"/>
              <w:left w:val="single" w:color="auto" w:sz="12" w:space="0"/>
            </w:tcBorders>
            <w:vAlign w:val="bottom"/>
          </w:tcPr>
          <w:p w:rsidR="003B0815" w:rsidRDefault="003B0815" w14:paraId="1979E1A5" w14:textId="77777777">
            <w:pPr>
              <w:keepNext/>
              <w:jc w:val="center"/>
              <w:rPr>
                <w:rFonts w:ascii="Arial" w:hAnsi="Arial"/>
                <w:b/>
                <w:sz w:val="20"/>
                <w:szCs w:val="20"/>
              </w:rPr>
            </w:pPr>
            <w:r>
              <w:rPr>
                <w:rFonts w:ascii="Arial" w:hAnsi="Arial" w:cs="Arial"/>
                <w:sz w:val="20"/>
                <w:szCs w:val="20"/>
              </w:rPr>
              <w:t>Total, Primary Scenario</w:t>
            </w:r>
          </w:p>
        </w:tc>
        <w:tc>
          <w:tcPr>
            <w:tcW w:w="1082" w:type="dxa"/>
            <w:tcBorders>
              <w:top w:val="double" w:color="auto" w:sz="4" w:space="0"/>
            </w:tcBorders>
            <w:vAlign w:val="center"/>
          </w:tcPr>
          <w:p w:rsidR="003B0815" w:rsidRDefault="003B0815" w14:paraId="73D24474" w14:textId="77777777">
            <w:pPr>
              <w:jc w:val="right"/>
              <w:rPr>
                <w:rFonts w:ascii="Arial" w:hAnsi="Arial" w:cs="Arial"/>
                <w:b/>
                <w:bCs/>
                <w:sz w:val="20"/>
                <w:szCs w:val="20"/>
              </w:rPr>
            </w:pPr>
            <w:r>
              <w:rPr>
                <w:rFonts w:ascii="Arial" w:hAnsi="Arial" w:cs="Arial"/>
                <w:b/>
                <w:bCs/>
                <w:sz w:val="20"/>
                <w:szCs w:val="20"/>
              </w:rPr>
              <w:t xml:space="preserve">$3,262.3 </w:t>
            </w:r>
          </w:p>
        </w:tc>
        <w:tc>
          <w:tcPr>
            <w:tcW w:w="989" w:type="dxa"/>
            <w:tcBorders>
              <w:top w:val="double" w:color="auto" w:sz="4" w:space="0"/>
              <w:bottom w:val="nil"/>
            </w:tcBorders>
            <w:shd w:val="clear" w:color="auto" w:fill="CCCCCC"/>
            <w:vAlign w:val="center"/>
          </w:tcPr>
          <w:p w:rsidR="003B0815" w:rsidRDefault="003B0815" w14:paraId="6498FF9A" w14:textId="77777777">
            <w:pPr>
              <w:keepNext/>
              <w:rPr>
                <w:rFonts w:ascii="Arial" w:hAnsi="Arial" w:cs="Arial"/>
                <w:sz w:val="20"/>
                <w:szCs w:val="20"/>
              </w:rPr>
            </w:pPr>
            <w:r>
              <w:rPr>
                <w:rFonts w:ascii="Arial" w:hAnsi="Arial" w:cs="Arial"/>
                <w:sz w:val="20"/>
                <w:szCs w:val="20"/>
              </w:rPr>
              <w:t> </w:t>
            </w:r>
          </w:p>
        </w:tc>
        <w:tc>
          <w:tcPr>
            <w:tcW w:w="1622" w:type="dxa"/>
            <w:tcBorders>
              <w:top w:val="double" w:color="auto" w:sz="4" w:space="0"/>
            </w:tcBorders>
            <w:vAlign w:val="center"/>
          </w:tcPr>
          <w:p w:rsidR="003B0815" w:rsidRDefault="003B0815" w14:paraId="5C9296ED" w14:textId="77777777">
            <w:pPr>
              <w:jc w:val="right"/>
              <w:rPr>
                <w:rFonts w:ascii="Arial" w:hAnsi="Arial" w:cs="Arial"/>
                <w:b/>
                <w:bCs/>
                <w:sz w:val="20"/>
                <w:szCs w:val="20"/>
              </w:rPr>
            </w:pPr>
            <w:r>
              <w:rPr>
                <w:rFonts w:ascii="Arial" w:hAnsi="Arial" w:cs="Arial"/>
                <w:b/>
                <w:bCs/>
                <w:sz w:val="20"/>
                <w:szCs w:val="20"/>
              </w:rPr>
              <w:t xml:space="preserve">$2,301.8 </w:t>
            </w:r>
          </w:p>
        </w:tc>
        <w:tc>
          <w:tcPr>
            <w:tcW w:w="1080" w:type="dxa"/>
            <w:tcBorders>
              <w:top w:val="double" w:color="auto" w:sz="4" w:space="0"/>
              <w:bottom w:val="nil"/>
            </w:tcBorders>
            <w:shd w:val="clear" w:color="auto" w:fill="CCCCCC"/>
            <w:vAlign w:val="center"/>
          </w:tcPr>
          <w:p w:rsidR="003B0815" w:rsidRDefault="003B0815" w14:paraId="7EB4F615" w14:textId="77777777">
            <w:pPr>
              <w:keepNext/>
              <w:rPr>
                <w:rFonts w:ascii="Arial" w:hAnsi="Arial" w:cs="Arial"/>
                <w:sz w:val="20"/>
                <w:szCs w:val="20"/>
              </w:rPr>
            </w:pPr>
            <w:r>
              <w:rPr>
                <w:rFonts w:ascii="Arial" w:hAnsi="Arial" w:cs="Arial"/>
                <w:sz w:val="20"/>
                <w:szCs w:val="20"/>
              </w:rPr>
              <w:t> </w:t>
            </w:r>
          </w:p>
        </w:tc>
        <w:tc>
          <w:tcPr>
            <w:tcW w:w="1620" w:type="dxa"/>
            <w:tcBorders>
              <w:top w:val="double" w:color="auto" w:sz="4" w:space="0"/>
              <w:right w:val="single" w:color="auto" w:sz="12" w:space="0"/>
            </w:tcBorders>
            <w:vAlign w:val="center"/>
          </w:tcPr>
          <w:p w:rsidR="003B0815" w:rsidRDefault="003B0815" w14:paraId="7F518AB9" w14:textId="77777777">
            <w:pPr>
              <w:keepNext/>
              <w:jc w:val="right"/>
              <w:rPr>
                <w:rFonts w:ascii="Arial" w:hAnsi="Arial" w:cs="Arial"/>
                <w:b/>
                <w:bCs/>
                <w:sz w:val="20"/>
                <w:szCs w:val="20"/>
              </w:rPr>
            </w:pPr>
            <w:r>
              <w:rPr>
                <w:rFonts w:ascii="Arial" w:hAnsi="Arial" w:cs="Arial"/>
                <w:b/>
                <w:bCs/>
                <w:sz w:val="20"/>
                <w:szCs w:val="20"/>
              </w:rPr>
              <w:t xml:space="preserve">$2,787.4 </w:t>
            </w:r>
          </w:p>
        </w:tc>
      </w:tr>
      <w:tr w:rsidR="003B0815" w14:paraId="3784AAC4" w14:textId="77777777">
        <w:trPr>
          <w:jc w:val="center"/>
        </w:trPr>
        <w:tc>
          <w:tcPr>
            <w:tcW w:w="1407" w:type="dxa"/>
            <w:tcBorders>
              <w:left w:val="single" w:color="auto" w:sz="12" w:space="0"/>
            </w:tcBorders>
            <w:vAlign w:val="bottom"/>
          </w:tcPr>
          <w:p w:rsidR="003B0815" w:rsidRDefault="003B0815" w14:paraId="21653E00" w14:textId="77777777">
            <w:pPr>
              <w:keepNext/>
              <w:jc w:val="center"/>
              <w:rPr>
                <w:rFonts w:ascii="Arial" w:hAnsi="Arial"/>
                <w:b/>
                <w:sz w:val="20"/>
                <w:szCs w:val="20"/>
              </w:rPr>
            </w:pPr>
            <w:r>
              <w:rPr>
                <w:rFonts w:ascii="Arial" w:hAnsi="Arial" w:cs="Arial"/>
                <w:sz w:val="20"/>
                <w:szCs w:val="20"/>
              </w:rPr>
              <w:t>Total,</w:t>
            </w:r>
            <w:r>
              <w:rPr>
                <w:rFonts w:ascii="Arial" w:hAnsi="Arial" w:cs="Arial"/>
                <w:sz w:val="20"/>
                <w:szCs w:val="20"/>
              </w:rPr>
              <w:br/>
              <w:t>High Scenario</w:t>
            </w:r>
          </w:p>
        </w:tc>
        <w:tc>
          <w:tcPr>
            <w:tcW w:w="1082" w:type="dxa"/>
            <w:vAlign w:val="center"/>
          </w:tcPr>
          <w:p w:rsidR="003B0815" w:rsidRDefault="003B0815" w14:paraId="44085340" w14:textId="77777777">
            <w:pPr>
              <w:keepNext/>
              <w:jc w:val="right"/>
              <w:rPr>
                <w:rFonts w:ascii="Arial" w:hAnsi="Arial" w:cs="Arial"/>
                <w:b/>
                <w:bCs/>
                <w:sz w:val="20"/>
                <w:szCs w:val="20"/>
              </w:rPr>
            </w:pPr>
            <w:r>
              <w:rPr>
                <w:rFonts w:ascii="Arial" w:hAnsi="Arial" w:cs="Arial"/>
                <w:b/>
                <w:bCs/>
                <w:sz w:val="20"/>
                <w:szCs w:val="20"/>
              </w:rPr>
              <w:t xml:space="preserve">$3,822.2 </w:t>
            </w:r>
          </w:p>
        </w:tc>
        <w:tc>
          <w:tcPr>
            <w:tcW w:w="989" w:type="dxa"/>
            <w:tcBorders>
              <w:top w:val="nil"/>
              <w:bottom w:val="nil"/>
            </w:tcBorders>
            <w:shd w:val="clear" w:color="auto" w:fill="CCCCCC"/>
            <w:vAlign w:val="center"/>
          </w:tcPr>
          <w:p w:rsidR="003B0815" w:rsidRDefault="003B0815" w14:paraId="0E6EA282" w14:textId="77777777">
            <w:pPr>
              <w:keepNext/>
              <w:rPr>
                <w:rFonts w:ascii="Arial" w:hAnsi="Arial" w:cs="Arial"/>
                <w:sz w:val="20"/>
                <w:szCs w:val="20"/>
              </w:rPr>
            </w:pPr>
            <w:r>
              <w:rPr>
                <w:rFonts w:ascii="Arial" w:hAnsi="Arial" w:cs="Arial"/>
                <w:b/>
                <w:bCs/>
                <w:sz w:val="20"/>
                <w:szCs w:val="20"/>
              </w:rPr>
              <w:t> </w:t>
            </w:r>
          </w:p>
        </w:tc>
        <w:tc>
          <w:tcPr>
            <w:tcW w:w="1622" w:type="dxa"/>
            <w:vAlign w:val="center"/>
          </w:tcPr>
          <w:p w:rsidR="003B0815" w:rsidRDefault="003B0815" w14:paraId="455D0A0D" w14:textId="77777777">
            <w:pPr>
              <w:keepNext/>
              <w:jc w:val="right"/>
              <w:rPr>
                <w:rFonts w:ascii="Arial" w:hAnsi="Arial" w:cs="Arial"/>
                <w:b/>
                <w:bCs/>
                <w:sz w:val="20"/>
                <w:szCs w:val="20"/>
              </w:rPr>
            </w:pPr>
            <w:r>
              <w:rPr>
                <w:rFonts w:ascii="Arial" w:hAnsi="Arial" w:cs="Arial"/>
                <w:b/>
                <w:bCs/>
                <w:sz w:val="20"/>
                <w:szCs w:val="20"/>
              </w:rPr>
              <w:t xml:space="preserve">$2,693.3 </w:t>
            </w:r>
          </w:p>
        </w:tc>
        <w:tc>
          <w:tcPr>
            <w:tcW w:w="1080" w:type="dxa"/>
            <w:tcBorders>
              <w:top w:val="nil"/>
              <w:bottom w:val="nil"/>
            </w:tcBorders>
            <w:shd w:val="clear" w:color="auto" w:fill="CCCCCC"/>
            <w:vAlign w:val="center"/>
          </w:tcPr>
          <w:p w:rsidR="003B0815" w:rsidRDefault="003B0815" w14:paraId="1D5770BD" w14:textId="77777777">
            <w:pPr>
              <w:keepNext/>
              <w:rPr>
                <w:rFonts w:ascii="Arial" w:hAnsi="Arial" w:cs="Arial"/>
                <w:sz w:val="20"/>
                <w:szCs w:val="20"/>
              </w:rPr>
            </w:pPr>
            <w:r>
              <w:rPr>
                <w:rFonts w:ascii="Arial" w:hAnsi="Arial" w:cs="Arial"/>
                <w:b/>
                <w:bCs/>
                <w:sz w:val="20"/>
                <w:szCs w:val="20"/>
              </w:rPr>
              <w:t> </w:t>
            </w:r>
          </w:p>
        </w:tc>
        <w:tc>
          <w:tcPr>
            <w:tcW w:w="1620" w:type="dxa"/>
            <w:tcBorders>
              <w:right w:val="single" w:color="auto" w:sz="12" w:space="0"/>
            </w:tcBorders>
            <w:vAlign w:val="center"/>
          </w:tcPr>
          <w:p w:rsidR="003B0815" w:rsidRDefault="003B0815" w14:paraId="3E8CB83C" w14:textId="77777777">
            <w:pPr>
              <w:keepNext/>
              <w:jc w:val="right"/>
              <w:rPr>
                <w:rFonts w:ascii="Arial" w:hAnsi="Arial" w:cs="Arial"/>
                <w:b/>
                <w:bCs/>
                <w:sz w:val="20"/>
                <w:szCs w:val="20"/>
              </w:rPr>
            </w:pPr>
            <w:r>
              <w:rPr>
                <w:rFonts w:ascii="Arial" w:hAnsi="Arial" w:cs="Arial"/>
                <w:b/>
                <w:bCs/>
                <w:sz w:val="20"/>
                <w:szCs w:val="20"/>
              </w:rPr>
              <w:t xml:space="preserve">3,264.1 </w:t>
            </w:r>
          </w:p>
        </w:tc>
      </w:tr>
      <w:tr w:rsidR="003B0815" w14:paraId="378AFAC7" w14:textId="77777777">
        <w:trPr>
          <w:jc w:val="center"/>
        </w:trPr>
        <w:tc>
          <w:tcPr>
            <w:tcW w:w="1407" w:type="dxa"/>
            <w:tcBorders>
              <w:left w:val="single" w:color="auto" w:sz="12" w:space="0"/>
              <w:bottom w:val="single" w:color="auto" w:sz="12" w:space="0"/>
            </w:tcBorders>
            <w:vAlign w:val="bottom"/>
          </w:tcPr>
          <w:p w:rsidR="003B0815" w:rsidRDefault="003B0815" w14:paraId="7797FA4A" w14:textId="77777777">
            <w:pPr>
              <w:keepNext/>
              <w:jc w:val="center"/>
              <w:rPr>
                <w:rFonts w:ascii="Arial" w:hAnsi="Arial"/>
                <w:b/>
                <w:sz w:val="20"/>
                <w:szCs w:val="20"/>
              </w:rPr>
            </w:pPr>
            <w:r>
              <w:rPr>
                <w:rFonts w:ascii="Arial" w:hAnsi="Arial" w:cs="Arial"/>
                <w:sz w:val="20"/>
                <w:szCs w:val="20"/>
              </w:rPr>
              <w:t>Total,</w:t>
            </w:r>
            <w:r>
              <w:rPr>
                <w:rFonts w:ascii="Arial" w:hAnsi="Arial" w:cs="Arial"/>
                <w:sz w:val="20"/>
                <w:szCs w:val="20"/>
              </w:rPr>
              <w:br/>
              <w:t>Low Scenario</w:t>
            </w:r>
          </w:p>
        </w:tc>
        <w:tc>
          <w:tcPr>
            <w:tcW w:w="1082" w:type="dxa"/>
            <w:tcBorders>
              <w:bottom w:val="single" w:color="auto" w:sz="12" w:space="0"/>
            </w:tcBorders>
            <w:vAlign w:val="center"/>
          </w:tcPr>
          <w:p w:rsidR="003B0815" w:rsidRDefault="003B0815" w14:paraId="1C69E7F7" w14:textId="77777777">
            <w:pPr>
              <w:keepNext/>
              <w:jc w:val="right"/>
              <w:rPr>
                <w:rFonts w:ascii="Arial" w:hAnsi="Arial" w:cs="Arial"/>
                <w:b/>
                <w:bCs/>
                <w:sz w:val="20"/>
                <w:szCs w:val="20"/>
              </w:rPr>
            </w:pPr>
            <w:r>
              <w:rPr>
                <w:rFonts w:ascii="Arial" w:hAnsi="Arial" w:cs="Arial"/>
                <w:b/>
                <w:bCs/>
                <w:sz w:val="20"/>
                <w:szCs w:val="20"/>
              </w:rPr>
              <w:t xml:space="preserve">$2,892.2 </w:t>
            </w:r>
          </w:p>
        </w:tc>
        <w:tc>
          <w:tcPr>
            <w:tcW w:w="989" w:type="dxa"/>
            <w:tcBorders>
              <w:top w:val="nil"/>
              <w:bottom w:val="single" w:color="auto" w:sz="12" w:space="0"/>
            </w:tcBorders>
            <w:shd w:val="clear" w:color="auto" w:fill="CCCCCC"/>
            <w:vAlign w:val="center"/>
          </w:tcPr>
          <w:p w:rsidR="003B0815" w:rsidRDefault="003B0815" w14:paraId="25F4A49B" w14:textId="77777777">
            <w:pPr>
              <w:keepNext/>
              <w:rPr>
                <w:rFonts w:ascii="Arial" w:hAnsi="Arial" w:cs="Arial"/>
                <w:sz w:val="20"/>
                <w:szCs w:val="20"/>
              </w:rPr>
            </w:pPr>
            <w:r>
              <w:rPr>
                <w:rFonts w:ascii="Arial" w:hAnsi="Arial" w:cs="Arial"/>
                <w:b/>
                <w:bCs/>
                <w:sz w:val="20"/>
                <w:szCs w:val="20"/>
              </w:rPr>
              <w:t> </w:t>
            </w:r>
          </w:p>
        </w:tc>
        <w:tc>
          <w:tcPr>
            <w:tcW w:w="1622" w:type="dxa"/>
            <w:tcBorders>
              <w:bottom w:val="single" w:color="auto" w:sz="12" w:space="0"/>
            </w:tcBorders>
            <w:vAlign w:val="center"/>
          </w:tcPr>
          <w:p w:rsidR="003B0815" w:rsidRDefault="003B0815" w14:paraId="355B98CA" w14:textId="77777777">
            <w:pPr>
              <w:keepNext/>
              <w:jc w:val="right"/>
              <w:rPr>
                <w:rFonts w:ascii="Arial" w:hAnsi="Arial" w:cs="Arial"/>
                <w:b/>
                <w:bCs/>
                <w:sz w:val="20"/>
                <w:szCs w:val="20"/>
              </w:rPr>
            </w:pPr>
            <w:r>
              <w:rPr>
                <w:rFonts w:ascii="Arial" w:hAnsi="Arial" w:cs="Arial"/>
                <w:b/>
                <w:bCs/>
                <w:sz w:val="20"/>
                <w:szCs w:val="20"/>
              </w:rPr>
              <w:t xml:space="preserve">$2,038.9 </w:t>
            </w:r>
          </w:p>
        </w:tc>
        <w:tc>
          <w:tcPr>
            <w:tcW w:w="1080" w:type="dxa"/>
            <w:tcBorders>
              <w:top w:val="nil"/>
              <w:bottom w:val="single" w:color="auto" w:sz="12" w:space="0"/>
            </w:tcBorders>
            <w:shd w:val="clear" w:color="auto" w:fill="CCCCCC"/>
            <w:vAlign w:val="center"/>
          </w:tcPr>
          <w:p w:rsidR="003B0815" w:rsidRDefault="003B0815" w14:paraId="160145FE" w14:textId="77777777">
            <w:pPr>
              <w:keepNext/>
              <w:rPr>
                <w:rFonts w:ascii="Arial" w:hAnsi="Arial" w:cs="Arial"/>
                <w:sz w:val="20"/>
                <w:szCs w:val="20"/>
              </w:rPr>
            </w:pPr>
            <w:r>
              <w:rPr>
                <w:rFonts w:ascii="Arial" w:hAnsi="Arial" w:cs="Arial"/>
                <w:b/>
                <w:bCs/>
                <w:sz w:val="20"/>
                <w:szCs w:val="20"/>
              </w:rPr>
              <w:t> </w:t>
            </w:r>
          </w:p>
        </w:tc>
        <w:tc>
          <w:tcPr>
            <w:tcW w:w="1620" w:type="dxa"/>
            <w:tcBorders>
              <w:bottom w:val="single" w:color="auto" w:sz="12" w:space="0"/>
              <w:right w:val="single" w:color="auto" w:sz="12" w:space="0"/>
            </w:tcBorders>
            <w:vAlign w:val="center"/>
          </w:tcPr>
          <w:p w:rsidR="003B0815" w:rsidRDefault="003B0815" w14:paraId="49E6D520" w14:textId="77777777">
            <w:pPr>
              <w:keepNext/>
              <w:jc w:val="right"/>
              <w:rPr>
                <w:rFonts w:ascii="Arial" w:hAnsi="Arial" w:cs="Arial"/>
                <w:b/>
                <w:bCs/>
                <w:sz w:val="20"/>
                <w:szCs w:val="20"/>
              </w:rPr>
            </w:pPr>
            <w:r>
              <w:rPr>
                <w:rFonts w:ascii="Arial" w:hAnsi="Arial" w:cs="Arial"/>
                <w:b/>
                <w:bCs/>
                <w:sz w:val="20"/>
                <w:szCs w:val="20"/>
              </w:rPr>
              <w:t xml:space="preserve">2,470.5 </w:t>
            </w:r>
          </w:p>
        </w:tc>
      </w:tr>
    </w:tbl>
    <w:p w:rsidR="003B0815" w:rsidRDefault="003B0815" w14:paraId="69C36913" w14:textId="77777777">
      <w:pPr>
        <w:pStyle w:val="RegEvalSectionSubheader"/>
        <w:spacing w:line="360" w:lineRule="auto"/>
      </w:pPr>
    </w:p>
    <w:p w:rsidR="003B0815" w:rsidRDefault="003B0815" w14:paraId="08A2F45E" w14:textId="77777777">
      <w:pPr>
        <w:pStyle w:val="RegEvalSectionSubheader"/>
        <w:keepNext/>
        <w:spacing w:line="360" w:lineRule="auto"/>
      </w:pPr>
      <w:bookmarkStart w:name="_Toc111627382" w:id="239"/>
      <w:bookmarkStart w:name="_Toc114566433" w:id="240"/>
      <w:bookmarkStart w:name="_Toc141001089" w:id="241"/>
      <w:bookmarkStart w:name="_Toc141000918" w:id="242"/>
      <w:bookmarkStart w:name="_Toc165278444" w:id="243"/>
      <w:bookmarkStart w:name="_Toc202683394" w:id="244"/>
      <w:r>
        <w:t>1.6.2 Airline Reprogramming and Implementation Costs</w:t>
      </w:r>
      <w:bookmarkEnd w:id="239"/>
      <w:bookmarkEnd w:id="240"/>
      <w:bookmarkEnd w:id="241"/>
      <w:bookmarkEnd w:id="242"/>
      <w:bookmarkEnd w:id="243"/>
      <w:bookmarkEnd w:id="244"/>
    </w:p>
    <w:p w:rsidR="003B0815" w:rsidRDefault="003B0815" w14:paraId="6E85744A" w14:textId="77777777">
      <w:pPr>
        <w:keepNext/>
        <w:spacing w:line="360" w:lineRule="auto"/>
        <w:ind w:firstLine="720"/>
      </w:pPr>
      <w:r>
        <w:t>This section presents TSA’s estimates of costs for both domestic and international airlines to reprogram their systems in light of both TSA’s final rule and CBP’s recent APIS pre-departure final rule, which forms part of the international baseline of Secure Flight.  Accordingly, TSA has assumed in its high scenario that all carriers subject to both the APIS and Secure Flight rules chose not to implement AQQ but waited to modify their systems until Secure Flight implementation.  In the low scenario, TSA has assumed that 9 domestic marketing carriers in Group 1 and 2 domestic marketing carriers in Group 2 will implement AQQ in addition to 81 large foreign carriers subject to the Secure Flight rule.</w:t>
      </w:r>
      <w:r>
        <w:rPr>
          <w:rStyle w:val="FootnoteReference"/>
        </w:rPr>
        <w:footnoteReference w:id="31"/>
      </w:r>
      <w:r>
        <w:t xml:space="preserve">  The true airline cost will likely lie somewhere between these two endpoints; without better information about likely airline decisions, TSA has adopted the midpoint for its primary scenario.  An explanation of the overlap between the APIS and Secure Flight programs, as well as the reasoning behind TSA’s assumptions, is provided below and in Section 4.</w:t>
      </w:r>
    </w:p>
    <w:p w:rsidR="003B0815" w:rsidRDefault="003B0815" w14:paraId="10CB394A" w14:textId="77777777">
      <w:pPr>
        <w:keepNext/>
        <w:spacing w:line="360" w:lineRule="auto"/>
        <w:rPr>
          <w:b/>
        </w:rPr>
      </w:pPr>
      <w:r>
        <w:rPr>
          <w:b/>
        </w:rPr>
        <w:t>Costs for Domestic Carriers</w:t>
      </w:r>
    </w:p>
    <w:p w:rsidR="003B0815" w:rsidRDefault="003B0815" w14:paraId="5F618FD7" w14:textId="77777777">
      <w:pPr>
        <w:spacing w:line="360" w:lineRule="auto"/>
        <w:ind w:firstLine="720"/>
      </w:pPr>
      <w:r>
        <w:t>As discussed in Section 1.4.2, airlines incur costs to modify their individual reservation systems.  In many cases, GDSs and host ARSs will make the changes necessary for each covered carrier to send SFPD to Secure Flight and receive watch list responses.  Marketing carriers will make further modifications to their individual “in-house” systems in conjunction with the work performed by their GDS or host ARS.  Since some airlines maintain their own reservation systems and because GDSs and host ARSs bill subscribing airlines for the work they perform, TSA has represented these simultaneous efforts as an aggregate airline cost.</w:t>
      </w:r>
    </w:p>
    <w:p w:rsidR="003B0815" w:rsidRDefault="003B0815" w14:paraId="3CD821A4" w14:textId="77777777">
      <w:pPr>
        <w:spacing w:line="360" w:lineRule="auto"/>
        <w:ind w:firstLine="720"/>
      </w:pPr>
      <w:r>
        <w:t>In general, these modifications can be grouped into two categories: reprogramming and program implementation.  Reprogramming includes such tasks as reprogramming the airline website to enable passengers to enter each component of their full name in a separate field, adding fields for date of birth, gender, and Redress Number, as necessary, and adding the privacy notice to web sites.  Additional reprogramming requirements include modifying ticketing consoles and kiosks to accept and properly process the gate and boarding pass printing instructions returned by Secure Flight.  Costs associated with program implementation include customer awareness campaigns, implementation support staff, and retraining of employees whose duties are affected by the requirements of the rule.</w:t>
      </w:r>
    </w:p>
    <w:p w:rsidR="003B0815" w:rsidRDefault="003B0815" w14:paraId="4A8F780E" w14:textId="77777777">
      <w:pPr>
        <w:pStyle w:val="BodyTextIndent3"/>
        <w:spacing w:line="360" w:lineRule="auto"/>
        <w:rPr>
          <w:rFonts w:ascii="Times New Roman" w:hAnsi="Times New Roman"/>
        </w:rPr>
      </w:pPr>
      <w:r>
        <w:rPr>
          <w:rFonts w:ascii="Times New Roman" w:hAnsi="Times New Roman"/>
        </w:rPr>
        <w:t>TSA conducted information-gathering interviews with a small number of airlines and ARS service providers as part of the research for the Secure Flight NPRM.  Since the NPRM requirements for airlines have not been changed in the final rule, these interview responses also apply to the final rule.  The eight airlines with which TSA spoke came from the diverse groups that make up the domestic passenger aviation industry, including legacy “hub and spoke” carriers, large and small “low cost” carriers that operate in a more point-to-point manner, smaller carriers that serve regional or niche markets, and carriers that provide charter services rather than scheduled passenger transportation.  TSA also spoke with two providers of airline reservation system services.  One of these is an ARS provider that has provided these services to legacy and other airlines throughout the world for many years, and the other is a more recently established company, providing web-based reservation services to airlines that are predominantly “low cost” operators from many parts of the world.  The interviews were conducted in person and over the telephone.</w:t>
      </w:r>
    </w:p>
    <w:p w:rsidR="003B0815" w:rsidRDefault="003B0815" w14:paraId="7CFD8501" w14:textId="77777777">
      <w:pPr>
        <w:spacing w:line="360" w:lineRule="auto"/>
        <w:ind w:firstLine="720"/>
      </w:pPr>
      <w:r>
        <w:t>The airlines and ARS providers interviewed were generally unable to assign precise costs for the software and hardware improvements and investments that are necessary for gathering and processing the additional data elements that is requested under the rule.  In general, those reservation processes that relied on older computer programs and interfaces were expected to be the more expensive systems to modify, compared to newer systems that rely more on web-based software and applications.  Airlines using hosted ARS services were unable to estimate the costs to their ARS service provider of enabling the use of the additional data elements called for under the rule, nor were they able to estimate the additional ARS costs the airlines themselves might face once modifications were successfully in place.</w:t>
      </w:r>
    </w:p>
    <w:p w:rsidR="003B0815" w:rsidRDefault="003B0815" w14:paraId="24E461FD" w14:textId="77777777">
      <w:pPr>
        <w:spacing w:line="360" w:lineRule="auto"/>
        <w:ind w:firstLine="720"/>
      </w:pPr>
      <w:r>
        <w:t xml:space="preserve">In TSA’s view, the lack of additional quantitative information developed from the interviews is regrettable but understandable.  The airlines and ARS service providers interviewed were hesitant to estimate complex modification costs quickly, especially with limited information about the exact requirements that would exist under the rule.  The complexity of these modifications increases for those carriers that rely on legacy computer systems, both for software modifications and hardware changes. Compounding this was the interview subjects’ natural concern over proprietary information that has competitive implications, especially for ARS service providers.  Because of this, interview subjects were reluctant to comment officially on specific impacts of the rule in such a setting.  Further, although TSA provided a preliminary copy of DHS’ Secure Flight/APIS implementation guidance and proposed requirements containing detailed information about the planned Secure Flight system, these airlines still preferred not to provide estimates.  </w:t>
      </w:r>
    </w:p>
    <w:p w:rsidR="003B0815" w:rsidRDefault="003B0815" w14:paraId="688FECAB" w14:textId="77777777">
      <w:pPr>
        <w:spacing w:line="360" w:lineRule="auto"/>
        <w:ind w:firstLine="720"/>
      </w:pPr>
      <w:r>
        <w:t>As a result, TSA estimated reprogramming and implementation costs for Group 1 marketing carriers based upon an extrapolation of estimates provided by three legacy airlines and an independent cost estimate prepared by a Secure Flight subject matter expert.  In general, these estimates provided little detail and TSA was unable to disaggregate them into comparable components.  Estimates from the legacy carriers for reprogramming of their in-house reservation systems differed widely: $1,066,000, $1,700,000, and $2,358,000.  The Secure Flight subject matter expert estimated average carrier reprogramming costs at $846,000.  Without more specific information, TSA chose to use the average of these disparate estimates ($1,500,000) for Group 1 airline reprogramming costs.</w:t>
      </w:r>
    </w:p>
    <w:p w:rsidR="003B0815" w:rsidRDefault="003B0815" w14:paraId="74773A14" w14:textId="77777777">
      <w:pPr>
        <w:spacing w:line="360" w:lineRule="auto"/>
        <w:ind w:firstLine="720"/>
      </w:pPr>
      <w:r>
        <w:t>Two of the legacy airlines also provided estimates of their costs to support implementation efforts, including customer awareness campaigns and retraining of staff.  As before, these estimates differed by a wide margin: $400,000 and $4,000,000.  TSA chose to adopt the lower estimate for inclusion in its calculations.  This decision was driven by the greater detail accompanying the lower estimate and TSA’s assumption that, considering the range of airlines covered by Secure Flight, incorporating the higher estimate would overstate the likely expenditure of most airlines.</w:t>
      </w:r>
    </w:p>
    <w:p w:rsidR="003B0815" w:rsidRDefault="003B0815" w14:paraId="1CFC08EE" w14:textId="77777777">
      <w:pPr>
        <w:spacing w:line="360" w:lineRule="auto"/>
        <w:ind w:firstLine="720"/>
      </w:pPr>
      <w:r>
        <w:t>Two airlines and the TSA subject matter expert also provided general estimates of recurring costs.  These costs principally reflect technical support and maintenance of the infrastructure installed or modified as a result of Secure Flight.  Here the range was narrower: $166,000, $169,000, and $216,000.  As with the reprogramming costs, TSA chose to use the average of these estimates ($184,000) in its calculation.</w:t>
      </w:r>
    </w:p>
    <w:p w:rsidR="003B0815" w:rsidRDefault="003B0815" w14:paraId="0BEF4916" w14:textId="77777777">
      <w:pPr>
        <w:spacing w:line="360" w:lineRule="auto"/>
        <w:ind w:firstLine="720"/>
      </w:pPr>
      <w:r>
        <w:t>Based on these inputs, TSA estimated airline reprogramming results in an initial cost of $1,500,000 per marketing carrier in Group 1 and recurring costs of $184,000 per year.  Implementation costs add $400,000 during the initial phase with no recurring costs.</w:t>
      </w:r>
    </w:p>
    <w:p w:rsidR="003B0815" w:rsidRDefault="003B0815" w14:paraId="75D3946D" w14:textId="77777777">
      <w:pPr>
        <w:spacing w:line="360" w:lineRule="auto"/>
        <w:ind w:firstLine="720"/>
      </w:pPr>
      <w:r>
        <w:t xml:space="preserve">TSA was unable to discern whether the provided estimates included modifications to affiliated carriers’ systems as well.  Without actual estimates from these carriers, TSA did not estimate additional reprogramming costs for affiliated carriers.  </w:t>
      </w:r>
    </w:p>
    <w:p w:rsidR="003B0815" w:rsidRDefault="003B0815" w14:paraId="50F205B8" w14:textId="77777777">
      <w:pPr>
        <w:spacing w:line="360" w:lineRule="auto"/>
        <w:ind w:firstLine="720"/>
      </w:pPr>
      <w:r>
        <w:t>Given the sparse available data regarding airline reprogramming costs, TSA subject matter experts assumed reprogramming for marketing carriers in Groups 2 and 3 will be 50% and 25%, respectively, of the costs incurred by Group 1 carriers.  Group 4 carriers will use the Secure Flight web interface rather than reprogram any existing systems they may have.  Consequently, the minimum equipment a Group 4 carrier needs will be a personal computer, an internet connection, and a commercial spreadsheet or database application.  TSA assumed all Group 4 carriers already have this equipment; therefore, no reprogramming or recurring costs are assigned to this group.  Given the diversity of airlines included in this group, however, TSA assumed some incur costs for customer awareness and retraining of staff.  Without specific information about likely airline expenditures, TSA assumed Group 4 carriers will spend comparable sums on implementation as Group 3 carriers ($400,000 x 25% = $100,000) in cases where Group 4 carriers had revenue, employment, and enplanement totals similar to Group 3.  Thirteen of the 16 Group 4 carriers met these criteria and are included in the calculations below.  Table 1.6.2.a presents the unit initial and recurring costs for domestic carriers.</w:t>
      </w:r>
    </w:p>
    <w:tbl>
      <w:tblPr>
        <w:tblW w:w="6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24"/>
        <w:gridCol w:w="1295"/>
        <w:gridCol w:w="1694"/>
        <w:gridCol w:w="1329"/>
        <w:gridCol w:w="1301"/>
      </w:tblGrid>
      <w:tr w:rsidR="003B0815" w14:paraId="70362D00" w14:textId="77777777">
        <w:trPr>
          <w:jc w:val="center"/>
        </w:trPr>
        <w:tc>
          <w:tcPr>
            <w:tcW w:w="6743" w:type="dxa"/>
            <w:gridSpan w:val="5"/>
            <w:tcBorders>
              <w:top w:val="nil"/>
              <w:left w:val="nil"/>
              <w:bottom w:val="single" w:color="auto" w:sz="12" w:space="0"/>
              <w:right w:val="nil"/>
            </w:tcBorders>
            <w:vAlign w:val="center"/>
          </w:tcPr>
          <w:p w:rsidR="003B0815" w:rsidRDefault="003B0815" w14:paraId="6FD241E0" w14:textId="77777777">
            <w:pPr>
              <w:pStyle w:val="RegEvalTableHeader"/>
              <w:keepNext/>
            </w:pPr>
            <w:bookmarkStart w:name="_Toc165278377" w:id="245"/>
            <w:bookmarkStart w:name="_Toc174438379" w:id="246"/>
            <w:bookmarkStart w:name="_Toc207109514" w:id="247"/>
            <w:r>
              <w:t>Table 1.6.2.a Initial and Recurring Unit Costs,</w:t>
            </w:r>
            <w:bookmarkStart w:name="_Toc165278378" w:id="248"/>
            <w:bookmarkEnd w:id="245"/>
            <w:r>
              <w:t xml:space="preserve"> Domestic Marketing Carriers</w:t>
            </w:r>
            <w:bookmarkEnd w:id="246"/>
            <w:bookmarkEnd w:id="247"/>
            <w:bookmarkEnd w:id="248"/>
          </w:p>
        </w:tc>
      </w:tr>
      <w:tr w:rsidR="003B0815" w14:paraId="48936EA3" w14:textId="77777777">
        <w:trPr>
          <w:jc w:val="center"/>
        </w:trPr>
        <w:tc>
          <w:tcPr>
            <w:tcW w:w="1124" w:type="dxa"/>
            <w:tcBorders>
              <w:top w:val="single" w:color="auto" w:sz="12" w:space="0"/>
              <w:left w:val="single" w:color="auto" w:sz="12" w:space="0"/>
            </w:tcBorders>
            <w:vAlign w:val="center"/>
          </w:tcPr>
          <w:p w:rsidR="003B0815" w:rsidRDefault="003B0815" w14:paraId="6969584D" w14:textId="77777777">
            <w:pPr>
              <w:keepNext/>
              <w:jc w:val="center"/>
              <w:rPr>
                <w:rFonts w:ascii="Arial" w:hAnsi="Arial"/>
                <w:b/>
                <w:sz w:val="20"/>
                <w:szCs w:val="20"/>
              </w:rPr>
            </w:pPr>
            <w:r>
              <w:rPr>
                <w:rFonts w:ascii="Arial" w:hAnsi="Arial"/>
                <w:b/>
                <w:sz w:val="20"/>
                <w:szCs w:val="20"/>
              </w:rPr>
              <w:t>Carrier Type</w:t>
            </w:r>
          </w:p>
        </w:tc>
        <w:tc>
          <w:tcPr>
            <w:tcW w:w="1295" w:type="dxa"/>
            <w:tcBorders>
              <w:top w:val="single" w:color="auto" w:sz="12" w:space="0"/>
            </w:tcBorders>
            <w:vAlign w:val="center"/>
          </w:tcPr>
          <w:p w:rsidR="003B0815" w:rsidRDefault="003B0815" w14:paraId="096D7331" w14:textId="77777777">
            <w:pPr>
              <w:keepNext/>
              <w:jc w:val="center"/>
              <w:rPr>
                <w:rFonts w:ascii="Arial" w:hAnsi="Arial"/>
                <w:b/>
                <w:sz w:val="20"/>
                <w:szCs w:val="20"/>
              </w:rPr>
            </w:pPr>
            <w:r>
              <w:rPr>
                <w:rFonts w:ascii="Arial" w:hAnsi="Arial"/>
                <w:b/>
                <w:sz w:val="20"/>
                <w:szCs w:val="20"/>
              </w:rPr>
              <w:t>Initial Reprogram  Cost per Carrier</w:t>
            </w:r>
          </w:p>
        </w:tc>
        <w:tc>
          <w:tcPr>
            <w:tcW w:w="1694" w:type="dxa"/>
            <w:tcBorders>
              <w:top w:val="single" w:color="auto" w:sz="12" w:space="0"/>
              <w:bottom w:val="single" w:color="auto" w:sz="4" w:space="0"/>
            </w:tcBorders>
            <w:vAlign w:val="center"/>
          </w:tcPr>
          <w:p w:rsidR="003B0815" w:rsidRDefault="003B0815" w14:paraId="46E8E3E2" w14:textId="77777777">
            <w:pPr>
              <w:keepNext/>
              <w:jc w:val="center"/>
              <w:rPr>
                <w:rFonts w:ascii="Arial" w:hAnsi="Arial"/>
                <w:b/>
                <w:sz w:val="20"/>
                <w:szCs w:val="20"/>
              </w:rPr>
            </w:pPr>
            <w:r>
              <w:rPr>
                <w:rFonts w:ascii="Arial" w:hAnsi="Arial"/>
                <w:b/>
                <w:sz w:val="20"/>
                <w:szCs w:val="20"/>
              </w:rPr>
              <w:t>Implementation Cost per Carrier</w:t>
            </w:r>
          </w:p>
        </w:tc>
        <w:tc>
          <w:tcPr>
            <w:tcW w:w="1329" w:type="dxa"/>
            <w:tcBorders>
              <w:top w:val="single" w:color="auto" w:sz="12" w:space="0"/>
              <w:bottom w:val="single" w:color="auto" w:sz="4" w:space="0"/>
            </w:tcBorders>
            <w:vAlign w:val="center"/>
          </w:tcPr>
          <w:p w:rsidR="003B0815" w:rsidRDefault="003B0815" w14:paraId="6F7B4112" w14:textId="77777777">
            <w:pPr>
              <w:keepNext/>
              <w:jc w:val="center"/>
              <w:rPr>
                <w:rFonts w:ascii="Arial" w:hAnsi="Arial"/>
                <w:b/>
                <w:sz w:val="20"/>
                <w:szCs w:val="20"/>
              </w:rPr>
            </w:pPr>
            <w:r>
              <w:rPr>
                <w:rFonts w:ascii="Arial" w:hAnsi="Arial"/>
                <w:b/>
                <w:sz w:val="20"/>
                <w:szCs w:val="20"/>
              </w:rPr>
              <w:t>Total Initial Costs</w:t>
            </w:r>
          </w:p>
        </w:tc>
        <w:tc>
          <w:tcPr>
            <w:tcW w:w="1301" w:type="dxa"/>
            <w:tcBorders>
              <w:top w:val="single" w:color="auto" w:sz="12" w:space="0"/>
              <w:right w:val="single" w:color="auto" w:sz="12" w:space="0"/>
            </w:tcBorders>
            <w:vAlign w:val="center"/>
          </w:tcPr>
          <w:p w:rsidR="003B0815" w:rsidRDefault="003B0815" w14:paraId="667C45EC" w14:textId="77777777">
            <w:pPr>
              <w:keepNext/>
              <w:jc w:val="center"/>
              <w:rPr>
                <w:rFonts w:ascii="Arial" w:hAnsi="Arial"/>
                <w:b/>
                <w:sz w:val="20"/>
                <w:szCs w:val="20"/>
              </w:rPr>
            </w:pPr>
            <w:r>
              <w:rPr>
                <w:rFonts w:ascii="Arial" w:hAnsi="Arial"/>
                <w:b/>
                <w:sz w:val="20"/>
                <w:szCs w:val="20"/>
              </w:rPr>
              <w:t>Recurring Cost per Carrier</w:t>
            </w:r>
          </w:p>
        </w:tc>
      </w:tr>
      <w:tr w:rsidR="003B0815" w14:paraId="02B8DD38" w14:textId="77777777">
        <w:trPr>
          <w:jc w:val="center"/>
        </w:trPr>
        <w:tc>
          <w:tcPr>
            <w:tcW w:w="1124" w:type="dxa"/>
            <w:tcBorders>
              <w:left w:val="single" w:color="auto" w:sz="12" w:space="0"/>
            </w:tcBorders>
            <w:vAlign w:val="bottom"/>
          </w:tcPr>
          <w:p w:rsidR="003B0815" w:rsidRDefault="003B0815" w14:paraId="5B083F60" w14:textId="77777777">
            <w:pPr>
              <w:keepNext/>
              <w:rPr>
                <w:rFonts w:ascii="Arial" w:hAnsi="Arial"/>
                <w:sz w:val="20"/>
                <w:szCs w:val="20"/>
              </w:rPr>
            </w:pPr>
            <w:r>
              <w:rPr>
                <w:rFonts w:ascii="Arial" w:hAnsi="Arial"/>
                <w:sz w:val="20"/>
                <w:szCs w:val="20"/>
              </w:rPr>
              <w:t>Group 1</w:t>
            </w:r>
          </w:p>
        </w:tc>
        <w:tc>
          <w:tcPr>
            <w:tcW w:w="1295" w:type="dxa"/>
            <w:vAlign w:val="bottom"/>
          </w:tcPr>
          <w:p w:rsidR="003B0815" w:rsidRDefault="003B0815" w14:paraId="66742FBF" w14:textId="77777777">
            <w:pPr>
              <w:keepNext/>
              <w:jc w:val="right"/>
              <w:rPr>
                <w:rFonts w:ascii="Arial" w:hAnsi="Arial"/>
                <w:sz w:val="20"/>
                <w:szCs w:val="20"/>
              </w:rPr>
            </w:pPr>
            <w:r>
              <w:rPr>
                <w:rFonts w:ascii="Arial" w:hAnsi="Arial" w:cs="Arial"/>
                <w:sz w:val="20"/>
                <w:szCs w:val="20"/>
              </w:rPr>
              <w:t>$6,500,000</w:t>
            </w:r>
          </w:p>
        </w:tc>
        <w:tc>
          <w:tcPr>
            <w:tcW w:w="1694" w:type="dxa"/>
            <w:vAlign w:val="bottom"/>
          </w:tcPr>
          <w:p w:rsidR="003B0815" w:rsidRDefault="003B0815" w14:paraId="1258A57B" w14:textId="77777777">
            <w:pPr>
              <w:keepNext/>
              <w:jc w:val="right"/>
              <w:rPr>
                <w:rFonts w:ascii="Arial" w:hAnsi="Arial" w:cs="Arial"/>
                <w:b/>
                <w:sz w:val="20"/>
                <w:szCs w:val="20"/>
              </w:rPr>
            </w:pPr>
            <w:r>
              <w:rPr>
                <w:rFonts w:ascii="Arial" w:hAnsi="Arial" w:cs="Arial"/>
                <w:sz w:val="20"/>
                <w:szCs w:val="20"/>
              </w:rPr>
              <w:t>$400,000</w:t>
            </w:r>
          </w:p>
        </w:tc>
        <w:tc>
          <w:tcPr>
            <w:tcW w:w="1329" w:type="dxa"/>
            <w:shd w:val="clear" w:color="auto" w:fill="CCCCCC"/>
            <w:vAlign w:val="bottom"/>
          </w:tcPr>
          <w:p w:rsidR="003B0815" w:rsidRDefault="003B0815" w14:paraId="6DD11328" w14:textId="77777777">
            <w:pPr>
              <w:keepNext/>
              <w:jc w:val="right"/>
              <w:rPr>
                <w:rFonts w:ascii="Arial" w:hAnsi="Arial"/>
                <w:b/>
                <w:sz w:val="20"/>
                <w:szCs w:val="20"/>
              </w:rPr>
            </w:pPr>
            <w:r>
              <w:rPr>
                <w:rFonts w:ascii="Arial" w:hAnsi="Arial" w:cs="Arial"/>
                <w:b/>
                <w:bCs/>
                <w:sz w:val="20"/>
                <w:szCs w:val="20"/>
              </w:rPr>
              <w:t>$6,900,000</w:t>
            </w:r>
          </w:p>
        </w:tc>
        <w:tc>
          <w:tcPr>
            <w:tcW w:w="1301" w:type="dxa"/>
            <w:tcBorders>
              <w:right w:val="single" w:color="auto" w:sz="12" w:space="0"/>
            </w:tcBorders>
            <w:vAlign w:val="bottom"/>
          </w:tcPr>
          <w:p w:rsidR="003B0815" w:rsidRDefault="003B0815" w14:paraId="08D8DD92" w14:textId="77777777">
            <w:pPr>
              <w:keepNext/>
              <w:jc w:val="right"/>
              <w:rPr>
                <w:rFonts w:ascii="Arial" w:hAnsi="Arial"/>
                <w:sz w:val="20"/>
                <w:szCs w:val="20"/>
              </w:rPr>
            </w:pPr>
            <w:r>
              <w:rPr>
                <w:rFonts w:ascii="Arial" w:hAnsi="Arial" w:cs="Arial"/>
                <w:sz w:val="20"/>
                <w:szCs w:val="20"/>
              </w:rPr>
              <w:t>$184,000</w:t>
            </w:r>
          </w:p>
        </w:tc>
      </w:tr>
      <w:tr w:rsidR="003B0815" w14:paraId="2F005B04" w14:textId="77777777">
        <w:trPr>
          <w:jc w:val="center"/>
        </w:trPr>
        <w:tc>
          <w:tcPr>
            <w:tcW w:w="1124" w:type="dxa"/>
            <w:tcBorders>
              <w:left w:val="single" w:color="auto" w:sz="12" w:space="0"/>
            </w:tcBorders>
            <w:vAlign w:val="bottom"/>
          </w:tcPr>
          <w:p w:rsidR="003B0815" w:rsidRDefault="003B0815" w14:paraId="090B6325" w14:textId="77777777">
            <w:pPr>
              <w:keepNext/>
              <w:rPr>
                <w:rFonts w:ascii="Arial" w:hAnsi="Arial"/>
                <w:sz w:val="20"/>
                <w:szCs w:val="20"/>
              </w:rPr>
            </w:pPr>
            <w:r>
              <w:rPr>
                <w:rFonts w:ascii="Arial" w:hAnsi="Arial"/>
                <w:sz w:val="20"/>
                <w:szCs w:val="20"/>
              </w:rPr>
              <w:t>Group 2</w:t>
            </w:r>
          </w:p>
        </w:tc>
        <w:tc>
          <w:tcPr>
            <w:tcW w:w="1295" w:type="dxa"/>
            <w:vAlign w:val="bottom"/>
          </w:tcPr>
          <w:p w:rsidR="003B0815" w:rsidRDefault="003B0815" w14:paraId="14E745F5" w14:textId="77777777">
            <w:pPr>
              <w:keepNext/>
              <w:jc w:val="right"/>
              <w:rPr>
                <w:rFonts w:ascii="Arial" w:hAnsi="Arial"/>
                <w:sz w:val="20"/>
                <w:szCs w:val="20"/>
              </w:rPr>
            </w:pPr>
            <w:r>
              <w:rPr>
                <w:rFonts w:ascii="Arial" w:hAnsi="Arial" w:cs="Arial"/>
                <w:sz w:val="20"/>
                <w:szCs w:val="20"/>
              </w:rPr>
              <w:t>$4,880,000</w:t>
            </w:r>
          </w:p>
        </w:tc>
        <w:tc>
          <w:tcPr>
            <w:tcW w:w="1694" w:type="dxa"/>
            <w:vAlign w:val="bottom"/>
          </w:tcPr>
          <w:p w:rsidR="003B0815" w:rsidRDefault="003B0815" w14:paraId="0773855D" w14:textId="77777777">
            <w:pPr>
              <w:keepNext/>
              <w:jc w:val="right"/>
              <w:rPr>
                <w:rFonts w:ascii="Arial" w:hAnsi="Arial" w:cs="Arial"/>
                <w:b/>
                <w:sz w:val="20"/>
                <w:szCs w:val="20"/>
              </w:rPr>
            </w:pPr>
            <w:r>
              <w:rPr>
                <w:rFonts w:ascii="Arial" w:hAnsi="Arial" w:cs="Arial"/>
                <w:sz w:val="20"/>
                <w:szCs w:val="20"/>
              </w:rPr>
              <w:t>$300,000</w:t>
            </w:r>
          </w:p>
        </w:tc>
        <w:tc>
          <w:tcPr>
            <w:tcW w:w="1329" w:type="dxa"/>
            <w:shd w:val="clear" w:color="auto" w:fill="CCCCCC"/>
            <w:vAlign w:val="bottom"/>
          </w:tcPr>
          <w:p w:rsidR="003B0815" w:rsidRDefault="003B0815" w14:paraId="75D0024F" w14:textId="77777777">
            <w:pPr>
              <w:keepNext/>
              <w:jc w:val="right"/>
              <w:rPr>
                <w:rFonts w:ascii="Arial" w:hAnsi="Arial"/>
                <w:b/>
                <w:sz w:val="20"/>
                <w:szCs w:val="20"/>
              </w:rPr>
            </w:pPr>
            <w:r>
              <w:rPr>
                <w:rFonts w:ascii="Arial" w:hAnsi="Arial" w:cs="Arial"/>
                <w:b/>
                <w:bCs/>
                <w:sz w:val="20"/>
                <w:szCs w:val="20"/>
              </w:rPr>
              <w:t>$5,180,000</w:t>
            </w:r>
          </w:p>
        </w:tc>
        <w:tc>
          <w:tcPr>
            <w:tcW w:w="1301" w:type="dxa"/>
            <w:tcBorders>
              <w:right w:val="single" w:color="auto" w:sz="12" w:space="0"/>
            </w:tcBorders>
            <w:vAlign w:val="bottom"/>
          </w:tcPr>
          <w:p w:rsidR="003B0815" w:rsidRDefault="003B0815" w14:paraId="47F577C3" w14:textId="77777777">
            <w:pPr>
              <w:keepNext/>
              <w:jc w:val="right"/>
              <w:rPr>
                <w:rFonts w:ascii="Arial" w:hAnsi="Arial"/>
                <w:sz w:val="20"/>
                <w:szCs w:val="20"/>
              </w:rPr>
            </w:pPr>
            <w:r>
              <w:rPr>
                <w:rFonts w:ascii="Arial" w:hAnsi="Arial" w:cs="Arial"/>
                <w:sz w:val="20"/>
                <w:szCs w:val="20"/>
              </w:rPr>
              <w:t>$140,000</w:t>
            </w:r>
          </w:p>
        </w:tc>
      </w:tr>
      <w:tr w:rsidR="003B0815" w14:paraId="765B4D61" w14:textId="77777777">
        <w:trPr>
          <w:jc w:val="center"/>
        </w:trPr>
        <w:tc>
          <w:tcPr>
            <w:tcW w:w="1124" w:type="dxa"/>
            <w:tcBorders>
              <w:left w:val="single" w:color="auto" w:sz="12" w:space="0"/>
            </w:tcBorders>
            <w:vAlign w:val="bottom"/>
          </w:tcPr>
          <w:p w:rsidR="003B0815" w:rsidRDefault="003B0815" w14:paraId="3BB086DD" w14:textId="77777777">
            <w:pPr>
              <w:keepNext/>
              <w:rPr>
                <w:rFonts w:ascii="Arial" w:hAnsi="Arial"/>
                <w:sz w:val="20"/>
                <w:szCs w:val="20"/>
              </w:rPr>
            </w:pPr>
            <w:r>
              <w:rPr>
                <w:rFonts w:ascii="Arial" w:hAnsi="Arial"/>
                <w:sz w:val="20"/>
                <w:szCs w:val="20"/>
              </w:rPr>
              <w:t>Group 3</w:t>
            </w:r>
          </w:p>
        </w:tc>
        <w:tc>
          <w:tcPr>
            <w:tcW w:w="1295" w:type="dxa"/>
            <w:vAlign w:val="bottom"/>
          </w:tcPr>
          <w:p w:rsidR="003B0815" w:rsidRDefault="003B0815" w14:paraId="7E32A107" w14:textId="77777777">
            <w:pPr>
              <w:keepNext/>
              <w:jc w:val="right"/>
              <w:rPr>
                <w:rFonts w:ascii="Arial" w:hAnsi="Arial"/>
                <w:sz w:val="20"/>
                <w:szCs w:val="20"/>
              </w:rPr>
            </w:pPr>
            <w:r>
              <w:rPr>
                <w:rFonts w:ascii="Arial" w:hAnsi="Arial" w:cs="Arial"/>
                <w:sz w:val="20"/>
                <w:szCs w:val="20"/>
              </w:rPr>
              <w:t>$1,625,000</w:t>
            </w:r>
          </w:p>
        </w:tc>
        <w:tc>
          <w:tcPr>
            <w:tcW w:w="1694" w:type="dxa"/>
            <w:vAlign w:val="bottom"/>
          </w:tcPr>
          <w:p w:rsidR="003B0815" w:rsidRDefault="003B0815" w14:paraId="77587417" w14:textId="77777777">
            <w:pPr>
              <w:keepNext/>
              <w:jc w:val="right"/>
              <w:rPr>
                <w:rFonts w:ascii="Arial" w:hAnsi="Arial" w:cs="Arial"/>
                <w:b/>
                <w:sz w:val="20"/>
                <w:szCs w:val="20"/>
              </w:rPr>
            </w:pPr>
            <w:r>
              <w:rPr>
                <w:rFonts w:ascii="Arial" w:hAnsi="Arial" w:cs="Arial"/>
                <w:sz w:val="20"/>
                <w:szCs w:val="20"/>
              </w:rPr>
              <w:t>$100,000</w:t>
            </w:r>
          </w:p>
        </w:tc>
        <w:tc>
          <w:tcPr>
            <w:tcW w:w="1329" w:type="dxa"/>
            <w:shd w:val="clear" w:color="auto" w:fill="CCCCCC"/>
            <w:vAlign w:val="bottom"/>
          </w:tcPr>
          <w:p w:rsidR="003B0815" w:rsidRDefault="003B0815" w14:paraId="176A7B96" w14:textId="77777777">
            <w:pPr>
              <w:keepNext/>
              <w:jc w:val="right"/>
              <w:rPr>
                <w:rFonts w:ascii="Arial" w:hAnsi="Arial"/>
                <w:b/>
                <w:sz w:val="20"/>
                <w:szCs w:val="20"/>
              </w:rPr>
            </w:pPr>
            <w:r>
              <w:rPr>
                <w:rFonts w:ascii="Arial" w:hAnsi="Arial" w:cs="Arial"/>
                <w:b/>
                <w:bCs/>
                <w:sz w:val="20"/>
                <w:szCs w:val="20"/>
              </w:rPr>
              <w:t>$1,725,000</w:t>
            </w:r>
          </w:p>
        </w:tc>
        <w:tc>
          <w:tcPr>
            <w:tcW w:w="1301" w:type="dxa"/>
            <w:tcBorders>
              <w:right w:val="single" w:color="auto" w:sz="12" w:space="0"/>
            </w:tcBorders>
            <w:vAlign w:val="bottom"/>
          </w:tcPr>
          <w:p w:rsidR="003B0815" w:rsidRDefault="003B0815" w14:paraId="6B13EC40" w14:textId="77777777">
            <w:pPr>
              <w:keepNext/>
              <w:jc w:val="right"/>
              <w:rPr>
                <w:rFonts w:ascii="Arial" w:hAnsi="Arial"/>
                <w:sz w:val="20"/>
                <w:szCs w:val="20"/>
              </w:rPr>
            </w:pPr>
            <w:r>
              <w:rPr>
                <w:rFonts w:ascii="Arial" w:hAnsi="Arial" w:cs="Arial"/>
                <w:sz w:val="20"/>
                <w:szCs w:val="20"/>
              </w:rPr>
              <w:t>$46,000</w:t>
            </w:r>
          </w:p>
        </w:tc>
      </w:tr>
      <w:tr w:rsidR="003B0815" w14:paraId="5FACFF3E" w14:textId="77777777">
        <w:trPr>
          <w:jc w:val="center"/>
        </w:trPr>
        <w:tc>
          <w:tcPr>
            <w:tcW w:w="1124" w:type="dxa"/>
            <w:tcBorders>
              <w:left w:val="single" w:color="auto" w:sz="12" w:space="0"/>
              <w:bottom w:val="single" w:color="auto" w:sz="12" w:space="0"/>
            </w:tcBorders>
            <w:vAlign w:val="bottom"/>
          </w:tcPr>
          <w:p w:rsidR="003B0815" w:rsidRDefault="003B0815" w14:paraId="27B48571" w14:textId="77777777">
            <w:pPr>
              <w:keepNext/>
              <w:rPr>
                <w:rFonts w:ascii="Arial" w:hAnsi="Arial"/>
                <w:sz w:val="20"/>
                <w:szCs w:val="20"/>
              </w:rPr>
            </w:pPr>
            <w:r>
              <w:rPr>
                <w:rFonts w:ascii="Arial" w:hAnsi="Arial"/>
                <w:sz w:val="20"/>
                <w:szCs w:val="20"/>
              </w:rPr>
              <w:t>Group 4</w:t>
            </w:r>
          </w:p>
        </w:tc>
        <w:tc>
          <w:tcPr>
            <w:tcW w:w="1295" w:type="dxa"/>
            <w:tcBorders>
              <w:bottom w:val="single" w:color="auto" w:sz="12" w:space="0"/>
            </w:tcBorders>
            <w:vAlign w:val="bottom"/>
          </w:tcPr>
          <w:p w:rsidR="003B0815" w:rsidRDefault="003B0815" w14:paraId="536FF5A0" w14:textId="77777777">
            <w:pPr>
              <w:keepNext/>
              <w:jc w:val="right"/>
              <w:rPr>
                <w:rFonts w:ascii="Arial" w:hAnsi="Arial"/>
                <w:sz w:val="20"/>
                <w:szCs w:val="20"/>
              </w:rPr>
            </w:pPr>
            <w:r>
              <w:rPr>
                <w:rFonts w:ascii="Arial" w:hAnsi="Arial" w:cs="Arial"/>
                <w:sz w:val="20"/>
                <w:szCs w:val="20"/>
              </w:rPr>
              <w:t>$650,000</w:t>
            </w:r>
          </w:p>
        </w:tc>
        <w:tc>
          <w:tcPr>
            <w:tcW w:w="1694" w:type="dxa"/>
            <w:tcBorders>
              <w:bottom w:val="single" w:color="auto" w:sz="12" w:space="0"/>
            </w:tcBorders>
            <w:vAlign w:val="bottom"/>
          </w:tcPr>
          <w:p w:rsidR="003B0815" w:rsidRDefault="003B0815" w14:paraId="092ED019" w14:textId="77777777">
            <w:pPr>
              <w:keepNext/>
              <w:jc w:val="right"/>
              <w:rPr>
                <w:rFonts w:ascii="Arial" w:hAnsi="Arial" w:cs="Arial"/>
                <w:b/>
                <w:sz w:val="20"/>
                <w:szCs w:val="20"/>
              </w:rPr>
            </w:pPr>
            <w:r>
              <w:rPr>
                <w:rFonts w:ascii="Arial" w:hAnsi="Arial" w:cs="Arial"/>
                <w:sz w:val="20"/>
                <w:szCs w:val="20"/>
              </w:rPr>
              <w:t>$100,000</w:t>
            </w:r>
          </w:p>
        </w:tc>
        <w:tc>
          <w:tcPr>
            <w:tcW w:w="1329" w:type="dxa"/>
            <w:tcBorders>
              <w:bottom w:val="single" w:color="auto" w:sz="12" w:space="0"/>
            </w:tcBorders>
            <w:shd w:val="clear" w:color="auto" w:fill="CCCCCC"/>
            <w:vAlign w:val="bottom"/>
          </w:tcPr>
          <w:p w:rsidR="003B0815" w:rsidRDefault="003B0815" w14:paraId="63F201CE" w14:textId="77777777">
            <w:pPr>
              <w:keepNext/>
              <w:jc w:val="right"/>
              <w:rPr>
                <w:rFonts w:ascii="Arial" w:hAnsi="Arial"/>
                <w:sz w:val="20"/>
                <w:szCs w:val="20"/>
              </w:rPr>
            </w:pPr>
            <w:r>
              <w:rPr>
                <w:rFonts w:ascii="Arial" w:hAnsi="Arial" w:cs="Arial"/>
                <w:b/>
                <w:bCs/>
                <w:sz w:val="20"/>
                <w:szCs w:val="20"/>
              </w:rPr>
              <w:t>$750,000</w:t>
            </w:r>
          </w:p>
        </w:tc>
        <w:tc>
          <w:tcPr>
            <w:tcW w:w="1301" w:type="dxa"/>
            <w:tcBorders>
              <w:bottom w:val="single" w:color="auto" w:sz="12" w:space="0"/>
              <w:right w:val="single" w:color="auto" w:sz="12" w:space="0"/>
            </w:tcBorders>
            <w:vAlign w:val="bottom"/>
          </w:tcPr>
          <w:p w:rsidR="003B0815" w:rsidRDefault="003B0815" w14:paraId="563C3AEA" w14:textId="77777777">
            <w:pPr>
              <w:keepNext/>
              <w:jc w:val="right"/>
              <w:rPr>
                <w:rFonts w:ascii="Arial" w:hAnsi="Arial"/>
                <w:sz w:val="20"/>
                <w:szCs w:val="20"/>
              </w:rPr>
            </w:pPr>
            <w:r>
              <w:rPr>
                <w:rFonts w:ascii="Arial" w:hAnsi="Arial" w:cs="Arial"/>
                <w:sz w:val="20"/>
                <w:szCs w:val="20"/>
              </w:rPr>
              <w:t>$18,400</w:t>
            </w:r>
          </w:p>
        </w:tc>
      </w:tr>
    </w:tbl>
    <w:p w:rsidR="003B0815" w:rsidRDefault="003B0815" w14:paraId="0AC8DE5E" w14:textId="77777777">
      <w:pPr>
        <w:spacing w:line="360" w:lineRule="auto"/>
        <w:ind w:firstLine="720"/>
      </w:pPr>
    </w:p>
    <w:p w:rsidR="003B0815" w:rsidRDefault="003B0815" w14:paraId="570784C1" w14:textId="77777777">
      <w:pPr>
        <w:spacing w:line="360" w:lineRule="auto"/>
        <w:ind w:firstLine="720"/>
      </w:pPr>
      <w:r>
        <w:t>In the low scenario, TSA assumed that 9 marketing carriers in Group 1 and 2 marketing carriers in Group 2 implemented AQQ in response to CBP’s APIS rule and prior to the implementation of Secure Flight.  These 11 marketing carriers are assumed to incur implementation costs in the first year of Secure Flight but not need to make reprogramming changes.  The remaining covered domestic operators incur both reprogramming and implementation costs.</w:t>
      </w:r>
    </w:p>
    <w:p w:rsidR="003B0815" w:rsidRDefault="003B0815" w14:paraId="567CBA53" w14:textId="77777777">
      <w:pPr>
        <w:spacing w:line="360" w:lineRule="auto"/>
        <w:ind w:firstLine="720"/>
      </w:pPr>
      <w:r>
        <w:t>In the high scenario, TSA assumed that all carriers covered by Secure Flight have not implemented AQQ but will reprogram their systems during Secure Flight implementation.  Tables 1.6.2.b and 1.6.2.c present the total initial and recurring costs under the low and high scenarios.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798"/>
        <w:gridCol w:w="850"/>
        <w:gridCol w:w="1136"/>
        <w:gridCol w:w="854"/>
        <w:gridCol w:w="1547"/>
        <w:gridCol w:w="1282"/>
        <w:gridCol w:w="856"/>
        <w:gridCol w:w="1020"/>
        <w:gridCol w:w="1075"/>
      </w:tblGrid>
      <w:tr w:rsidR="003B0815" w14:paraId="7B77C2E7" w14:textId="77777777">
        <w:trPr>
          <w:jc w:val="center"/>
        </w:trPr>
        <w:tc>
          <w:tcPr>
            <w:tcW w:w="9418" w:type="dxa"/>
            <w:gridSpan w:val="9"/>
            <w:tcBorders>
              <w:top w:val="nil"/>
              <w:left w:val="nil"/>
              <w:right w:val="nil"/>
            </w:tcBorders>
            <w:vAlign w:val="center"/>
          </w:tcPr>
          <w:p w:rsidR="003B0815" w:rsidRDefault="003B0815" w14:paraId="0A04F6AB" w14:textId="77777777">
            <w:pPr>
              <w:pStyle w:val="RegEvalTableHeader"/>
              <w:keepNext/>
            </w:pPr>
            <w:bookmarkStart w:name="_Toc165278379" w:id="249"/>
            <w:bookmarkStart w:name="_Toc174438380" w:id="250"/>
            <w:bookmarkStart w:name="_Toc207109515" w:id="251"/>
            <w:r>
              <w:t>Table 1.6.2.b Total Initial and Recurring Marketing Carrier Costs, Domestic High Scenario</w:t>
            </w:r>
            <w:bookmarkEnd w:id="249"/>
            <w:bookmarkEnd w:id="250"/>
            <w:bookmarkEnd w:id="251"/>
          </w:p>
        </w:tc>
      </w:tr>
      <w:tr w:rsidR="003B0815" w14:paraId="6B25E402" w14:textId="77777777">
        <w:trPr>
          <w:jc w:val="center"/>
        </w:trPr>
        <w:tc>
          <w:tcPr>
            <w:tcW w:w="832" w:type="dxa"/>
            <w:tcBorders>
              <w:top w:val="single" w:color="auto" w:sz="12" w:space="0"/>
              <w:left w:val="single" w:color="auto" w:sz="12" w:space="0"/>
            </w:tcBorders>
            <w:vAlign w:val="center"/>
          </w:tcPr>
          <w:p w:rsidR="003B0815" w:rsidRDefault="003B0815" w14:paraId="3C7D0E61" w14:textId="77777777">
            <w:pPr>
              <w:keepNext/>
              <w:jc w:val="center"/>
              <w:rPr>
                <w:rFonts w:ascii="Arial" w:hAnsi="Arial"/>
                <w:b/>
                <w:sz w:val="20"/>
                <w:szCs w:val="20"/>
              </w:rPr>
            </w:pPr>
            <w:r>
              <w:rPr>
                <w:rFonts w:ascii="Arial" w:hAnsi="Arial"/>
                <w:b/>
                <w:sz w:val="20"/>
                <w:szCs w:val="20"/>
              </w:rPr>
              <w:t>Carrier Type</w:t>
            </w:r>
          </w:p>
        </w:tc>
        <w:tc>
          <w:tcPr>
            <w:tcW w:w="861" w:type="dxa"/>
            <w:tcBorders>
              <w:top w:val="single" w:color="auto" w:sz="12" w:space="0"/>
            </w:tcBorders>
            <w:vAlign w:val="center"/>
          </w:tcPr>
          <w:p w:rsidR="003B0815" w:rsidRDefault="003B0815" w14:paraId="249D7FD3" w14:textId="77777777">
            <w:pPr>
              <w:keepNext/>
              <w:jc w:val="center"/>
              <w:rPr>
                <w:rFonts w:ascii="Arial" w:hAnsi="Arial"/>
                <w:b/>
                <w:sz w:val="20"/>
                <w:szCs w:val="20"/>
              </w:rPr>
            </w:pPr>
            <w:r>
              <w:rPr>
                <w:rFonts w:ascii="Arial" w:hAnsi="Arial"/>
                <w:b/>
                <w:sz w:val="20"/>
                <w:szCs w:val="20"/>
              </w:rPr>
              <w:t># of Carriers</w:t>
            </w:r>
          </w:p>
        </w:tc>
        <w:tc>
          <w:tcPr>
            <w:tcW w:w="1141" w:type="dxa"/>
            <w:tcBorders>
              <w:top w:val="single" w:color="auto" w:sz="12" w:space="0"/>
            </w:tcBorders>
            <w:vAlign w:val="center"/>
          </w:tcPr>
          <w:p w:rsidR="003B0815" w:rsidRDefault="003B0815" w14:paraId="493D7A4C" w14:textId="77777777">
            <w:pPr>
              <w:keepNext/>
              <w:jc w:val="center"/>
              <w:rPr>
                <w:rFonts w:ascii="Arial" w:hAnsi="Arial"/>
                <w:b/>
                <w:sz w:val="20"/>
                <w:szCs w:val="20"/>
              </w:rPr>
            </w:pPr>
            <w:r>
              <w:rPr>
                <w:rFonts w:ascii="Arial" w:hAnsi="Arial"/>
                <w:b/>
                <w:sz w:val="20"/>
                <w:szCs w:val="20"/>
              </w:rPr>
              <w:t>Initial Reprogram  Costs per Carrier</w:t>
            </w:r>
          </w:p>
        </w:tc>
        <w:tc>
          <w:tcPr>
            <w:tcW w:w="866" w:type="dxa"/>
            <w:tcBorders>
              <w:top w:val="single" w:color="auto" w:sz="12" w:space="0"/>
            </w:tcBorders>
            <w:vAlign w:val="center"/>
          </w:tcPr>
          <w:p w:rsidR="003B0815" w:rsidRDefault="003B0815" w14:paraId="56899BBC" w14:textId="77777777">
            <w:pPr>
              <w:keepNext/>
              <w:jc w:val="center"/>
              <w:rPr>
                <w:rFonts w:ascii="Arial" w:hAnsi="Arial"/>
                <w:b/>
                <w:sz w:val="20"/>
                <w:szCs w:val="20"/>
              </w:rPr>
            </w:pPr>
            <w:r>
              <w:rPr>
                <w:rFonts w:ascii="Arial" w:hAnsi="Arial"/>
                <w:b/>
                <w:sz w:val="20"/>
                <w:szCs w:val="20"/>
              </w:rPr>
              <w:t># of Carriers</w:t>
            </w:r>
          </w:p>
        </w:tc>
        <w:tc>
          <w:tcPr>
            <w:tcW w:w="1552" w:type="dxa"/>
            <w:tcBorders>
              <w:top w:val="single" w:color="auto" w:sz="12" w:space="0"/>
              <w:bottom w:val="single" w:color="auto" w:sz="4" w:space="0"/>
            </w:tcBorders>
            <w:vAlign w:val="center"/>
          </w:tcPr>
          <w:p w:rsidR="003B0815" w:rsidRDefault="003B0815" w14:paraId="78286B3D" w14:textId="77777777">
            <w:pPr>
              <w:keepNext/>
              <w:jc w:val="center"/>
              <w:rPr>
                <w:rFonts w:ascii="Arial" w:hAnsi="Arial"/>
                <w:b/>
                <w:sz w:val="20"/>
                <w:szCs w:val="20"/>
              </w:rPr>
            </w:pPr>
            <w:r>
              <w:rPr>
                <w:rFonts w:ascii="Arial" w:hAnsi="Arial"/>
                <w:b/>
                <w:sz w:val="20"/>
                <w:szCs w:val="20"/>
              </w:rPr>
              <w:t>Implementation Costs per Carrier</w:t>
            </w:r>
          </w:p>
        </w:tc>
        <w:tc>
          <w:tcPr>
            <w:tcW w:w="1187" w:type="dxa"/>
            <w:tcBorders>
              <w:top w:val="single" w:color="auto" w:sz="12" w:space="0"/>
              <w:bottom w:val="single" w:color="auto" w:sz="4" w:space="0"/>
              <w:right w:val="double" w:color="auto" w:sz="4" w:space="0"/>
            </w:tcBorders>
            <w:vAlign w:val="center"/>
          </w:tcPr>
          <w:p w:rsidR="003B0815" w:rsidRDefault="003B0815" w14:paraId="41A6EB3C" w14:textId="77777777">
            <w:pPr>
              <w:keepNext/>
              <w:jc w:val="center"/>
              <w:rPr>
                <w:rFonts w:ascii="Arial" w:hAnsi="Arial"/>
                <w:b/>
                <w:sz w:val="20"/>
                <w:szCs w:val="20"/>
              </w:rPr>
            </w:pPr>
            <w:r>
              <w:rPr>
                <w:rFonts w:ascii="Arial" w:hAnsi="Arial"/>
                <w:b/>
                <w:sz w:val="20"/>
                <w:szCs w:val="20"/>
              </w:rPr>
              <w:t>Total Initial Costs</w:t>
            </w:r>
          </w:p>
        </w:tc>
        <w:tc>
          <w:tcPr>
            <w:tcW w:w="869" w:type="dxa"/>
            <w:tcBorders>
              <w:top w:val="single" w:color="auto" w:sz="12" w:space="0"/>
              <w:left w:val="double" w:color="auto" w:sz="4" w:space="0"/>
            </w:tcBorders>
            <w:vAlign w:val="center"/>
          </w:tcPr>
          <w:p w:rsidR="003B0815" w:rsidRDefault="003B0815" w14:paraId="3B9B422D" w14:textId="77777777">
            <w:pPr>
              <w:keepNext/>
              <w:jc w:val="center"/>
              <w:rPr>
                <w:rFonts w:ascii="Arial" w:hAnsi="Arial"/>
                <w:b/>
                <w:sz w:val="20"/>
                <w:szCs w:val="20"/>
              </w:rPr>
            </w:pPr>
            <w:r>
              <w:rPr>
                <w:rFonts w:ascii="Arial" w:hAnsi="Arial"/>
                <w:b/>
                <w:sz w:val="20"/>
                <w:szCs w:val="20"/>
              </w:rPr>
              <w:t># of Carriers</w:t>
            </w:r>
          </w:p>
        </w:tc>
        <w:tc>
          <w:tcPr>
            <w:tcW w:w="1028" w:type="dxa"/>
            <w:tcBorders>
              <w:top w:val="single" w:color="auto" w:sz="12" w:space="0"/>
              <w:right w:val="double" w:color="auto" w:sz="4" w:space="0"/>
            </w:tcBorders>
            <w:vAlign w:val="center"/>
          </w:tcPr>
          <w:p w:rsidR="003B0815" w:rsidRDefault="003B0815" w14:paraId="4E4688F8" w14:textId="77777777">
            <w:pPr>
              <w:keepNext/>
              <w:jc w:val="center"/>
              <w:rPr>
                <w:rFonts w:ascii="Arial" w:hAnsi="Arial"/>
                <w:b/>
                <w:sz w:val="20"/>
                <w:szCs w:val="20"/>
              </w:rPr>
            </w:pPr>
            <w:r>
              <w:rPr>
                <w:rFonts w:ascii="Arial" w:hAnsi="Arial"/>
                <w:b/>
                <w:sz w:val="20"/>
                <w:szCs w:val="20"/>
              </w:rPr>
              <w:t>Recurring Costs per Carrier</w:t>
            </w:r>
          </w:p>
        </w:tc>
        <w:tc>
          <w:tcPr>
            <w:tcW w:w="1082" w:type="dxa"/>
            <w:tcBorders>
              <w:top w:val="single" w:color="auto" w:sz="12" w:space="0"/>
              <w:left w:val="double" w:color="auto" w:sz="4" w:space="0"/>
              <w:bottom w:val="single" w:color="auto" w:sz="4" w:space="0"/>
              <w:right w:val="single" w:color="auto" w:sz="12" w:space="0"/>
            </w:tcBorders>
            <w:vAlign w:val="center"/>
          </w:tcPr>
          <w:p w:rsidR="003B0815" w:rsidRDefault="003B0815" w14:paraId="03017D05" w14:textId="77777777">
            <w:pPr>
              <w:keepNext/>
              <w:jc w:val="center"/>
              <w:rPr>
                <w:rFonts w:ascii="Arial" w:hAnsi="Arial"/>
                <w:b/>
                <w:sz w:val="20"/>
                <w:szCs w:val="20"/>
              </w:rPr>
            </w:pPr>
            <w:r>
              <w:rPr>
                <w:rFonts w:ascii="Arial" w:hAnsi="Arial"/>
                <w:b/>
                <w:sz w:val="20"/>
                <w:szCs w:val="20"/>
              </w:rPr>
              <w:t>Total Recurring Cost per Year</w:t>
            </w:r>
          </w:p>
        </w:tc>
      </w:tr>
      <w:tr w:rsidR="003B0815" w14:paraId="74E8344F" w14:textId="77777777">
        <w:trPr>
          <w:jc w:val="center"/>
        </w:trPr>
        <w:tc>
          <w:tcPr>
            <w:tcW w:w="832" w:type="dxa"/>
            <w:tcBorders>
              <w:left w:val="single" w:color="auto" w:sz="12" w:space="0"/>
            </w:tcBorders>
            <w:vAlign w:val="bottom"/>
          </w:tcPr>
          <w:p w:rsidR="003B0815" w:rsidRDefault="003B0815" w14:paraId="27A90D9A" w14:textId="77777777">
            <w:pPr>
              <w:keepNext/>
              <w:rPr>
                <w:rFonts w:ascii="Arial" w:hAnsi="Arial"/>
                <w:sz w:val="20"/>
                <w:szCs w:val="20"/>
              </w:rPr>
            </w:pPr>
            <w:r>
              <w:rPr>
                <w:rFonts w:ascii="Arial" w:hAnsi="Arial"/>
                <w:sz w:val="20"/>
                <w:szCs w:val="20"/>
              </w:rPr>
              <w:t>Group 1</w:t>
            </w:r>
          </w:p>
        </w:tc>
        <w:tc>
          <w:tcPr>
            <w:tcW w:w="861" w:type="dxa"/>
            <w:vAlign w:val="bottom"/>
          </w:tcPr>
          <w:p w:rsidR="003B0815" w:rsidRDefault="003B0815" w14:paraId="1B7B9481" w14:textId="77777777">
            <w:pPr>
              <w:keepNext/>
              <w:jc w:val="center"/>
              <w:rPr>
                <w:rFonts w:ascii="Arial" w:hAnsi="Arial"/>
                <w:sz w:val="20"/>
                <w:szCs w:val="20"/>
              </w:rPr>
            </w:pPr>
            <w:r>
              <w:rPr>
                <w:rFonts w:ascii="Arial" w:hAnsi="Arial" w:cs="Arial"/>
                <w:sz w:val="20"/>
                <w:szCs w:val="20"/>
              </w:rPr>
              <w:t>10</w:t>
            </w:r>
          </w:p>
        </w:tc>
        <w:tc>
          <w:tcPr>
            <w:tcW w:w="1141" w:type="dxa"/>
            <w:vAlign w:val="bottom"/>
          </w:tcPr>
          <w:p w:rsidR="003B0815" w:rsidRDefault="003B0815" w14:paraId="6EFCDE3F" w14:textId="77777777">
            <w:pPr>
              <w:keepNext/>
              <w:jc w:val="right"/>
              <w:rPr>
                <w:rFonts w:ascii="Arial" w:hAnsi="Arial"/>
                <w:sz w:val="20"/>
                <w:szCs w:val="20"/>
              </w:rPr>
            </w:pPr>
            <w:r>
              <w:rPr>
                <w:rFonts w:ascii="Arial" w:hAnsi="Arial" w:cs="Arial"/>
                <w:sz w:val="20"/>
                <w:szCs w:val="20"/>
              </w:rPr>
              <w:t>$6,500,000</w:t>
            </w:r>
          </w:p>
        </w:tc>
        <w:tc>
          <w:tcPr>
            <w:tcW w:w="866" w:type="dxa"/>
            <w:vAlign w:val="bottom"/>
          </w:tcPr>
          <w:p w:rsidR="003B0815" w:rsidRDefault="003B0815" w14:paraId="75E6F85E" w14:textId="77777777">
            <w:pPr>
              <w:keepNext/>
              <w:jc w:val="right"/>
              <w:rPr>
                <w:rFonts w:ascii="Arial" w:hAnsi="Arial" w:cs="Arial"/>
                <w:sz w:val="20"/>
                <w:szCs w:val="20"/>
              </w:rPr>
            </w:pPr>
            <w:r>
              <w:rPr>
                <w:rFonts w:ascii="Arial" w:hAnsi="Arial" w:cs="Arial"/>
                <w:sz w:val="20"/>
                <w:szCs w:val="20"/>
              </w:rPr>
              <w:t>10</w:t>
            </w:r>
          </w:p>
        </w:tc>
        <w:tc>
          <w:tcPr>
            <w:tcW w:w="1552" w:type="dxa"/>
            <w:vAlign w:val="bottom"/>
          </w:tcPr>
          <w:p w:rsidR="003B0815" w:rsidRDefault="003B0815" w14:paraId="38D31420" w14:textId="77777777">
            <w:pPr>
              <w:keepNext/>
              <w:jc w:val="right"/>
              <w:rPr>
                <w:rFonts w:ascii="Arial" w:hAnsi="Arial" w:cs="Arial"/>
                <w:b/>
                <w:sz w:val="20"/>
                <w:szCs w:val="20"/>
              </w:rPr>
            </w:pPr>
            <w:r>
              <w:rPr>
                <w:rFonts w:ascii="Arial" w:hAnsi="Arial" w:cs="Arial"/>
                <w:sz w:val="20"/>
                <w:szCs w:val="20"/>
              </w:rPr>
              <w:t>$400,000</w:t>
            </w:r>
          </w:p>
        </w:tc>
        <w:tc>
          <w:tcPr>
            <w:tcW w:w="1187" w:type="dxa"/>
            <w:tcBorders>
              <w:right w:val="double" w:color="auto" w:sz="4" w:space="0"/>
            </w:tcBorders>
            <w:shd w:val="clear" w:color="auto" w:fill="CCCCCC"/>
            <w:vAlign w:val="bottom"/>
          </w:tcPr>
          <w:p w:rsidR="003B0815" w:rsidRDefault="003B0815" w14:paraId="14B7F1B6" w14:textId="77777777">
            <w:pPr>
              <w:keepNext/>
              <w:jc w:val="right"/>
              <w:rPr>
                <w:rFonts w:ascii="Arial" w:hAnsi="Arial"/>
                <w:b/>
                <w:sz w:val="20"/>
                <w:szCs w:val="20"/>
              </w:rPr>
            </w:pPr>
            <w:r>
              <w:rPr>
                <w:rFonts w:ascii="Arial" w:hAnsi="Arial" w:cs="Arial"/>
                <w:sz w:val="20"/>
                <w:szCs w:val="20"/>
              </w:rPr>
              <w:t>$69,000,000</w:t>
            </w:r>
          </w:p>
        </w:tc>
        <w:tc>
          <w:tcPr>
            <w:tcW w:w="869" w:type="dxa"/>
            <w:tcBorders>
              <w:left w:val="double" w:color="auto" w:sz="4" w:space="0"/>
            </w:tcBorders>
            <w:vAlign w:val="bottom"/>
          </w:tcPr>
          <w:p w:rsidR="003B0815" w:rsidRDefault="003B0815" w14:paraId="6FC07DAD" w14:textId="77777777">
            <w:pPr>
              <w:keepNext/>
              <w:jc w:val="right"/>
              <w:rPr>
                <w:rFonts w:ascii="Arial" w:hAnsi="Arial" w:cs="Arial"/>
                <w:sz w:val="20"/>
                <w:szCs w:val="20"/>
              </w:rPr>
            </w:pPr>
            <w:r>
              <w:rPr>
                <w:rFonts w:ascii="Arial" w:hAnsi="Arial" w:cs="Arial"/>
                <w:sz w:val="20"/>
                <w:szCs w:val="20"/>
              </w:rPr>
              <w:t>10</w:t>
            </w:r>
          </w:p>
        </w:tc>
        <w:tc>
          <w:tcPr>
            <w:tcW w:w="1028" w:type="dxa"/>
            <w:tcBorders>
              <w:right w:val="double" w:color="auto" w:sz="4" w:space="0"/>
            </w:tcBorders>
            <w:vAlign w:val="bottom"/>
          </w:tcPr>
          <w:p w:rsidR="003B0815" w:rsidRDefault="003B0815" w14:paraId="46A23648" w14:textId="77777777">
            <w:pPr>
              <w:keepNext/>
              <w:jc w:val="right"/>
              <w:rPr>
                <w:rFonts w:ascii="Arial" w:hAnsi="Arial"/>
                <w:sz w:val="20"/>
                <w:szCs w:val="20"/>
              </w:rPr>
            </w:pPr>
            <w:r>
              <w:rPr>
                <w:rFonts w:ascii="Arial" w:hAnsi="Arial" w:cs="Arial"/>
                <w:sz w:val="20"/>
                <w:szCs w:val="20"/>
              </w:rPr>
              <w:t>$184,000</w:t>
            </w:r>
          </w:p>
        </w:tc>
        <w:tc>
          <w:tcPr>
            <w:tcW w:w="1082" w:type="dxa"/>
            <w:tcBorders>
              <w:left w:val="double" w:color="auto" w:sz="4" w:space="0"/>
              <w:right w:val="single" w:color="auto" w:sz="12" w:space="0"/>
            </w:tcBorders>
            <w:shd w:val="clear" w:color="auto" w:fill="CCCCCC"/>
            <w:vAlign w:val="bottom"/>
          </w:tcPr>
          <w:p w:rsidR="003B0815" w:rsidRDefault="003B0815" w14:paraId="5809394D" w14:textId="77777777">
            <w:pPr>
              <w:keepNext/>
              <w:jc w:val="right"/>
              <w:rPr>
                <w:rFonts w:ascii="Arial" w:hAnsi="Arial"/>
                <w:b/>
                <w:sz w:val="20"/>
                <w:szCs w:val="20"/>
              </w:rPr>
            </w:pPr>
            <w:r>
              <w:rPr>
                <w:rFonts w:ascii="Arial" w:hAnsi="Arial" w:cs="Arial"/>
                <w:sz w:val="20"/>
                <w:szCs w:val="20"/>
              </w:rPr>
              <w:t>$1,800,000</w:t>
            </w:r>
          </w:p>
        </w:tc>
      </w:tr>
      <w:tr w:rsidR="003B0815" w14:paraId="55DC6733" w14:textId="77777777">
        <w:trPr>
          <w:jc w:val="center"/>
        </w:trPr>
        <w:tc>
          <w:tcPr>
            <w:tcW w:w="832" w:type="dxa"/>
            <w:tcBorders>
              <w:left w:val="single" w:color="auto" w:sz="12" w:space="0"/>
            </w:tcBorders>
            <w:vAlign w:val="bottom"/>
          </w:tcPr>
          <w:p w:rsidR="003B0815" w:rsidRDefault="003B0815" w14:paraId="0B2BA5C6" w14:textId="77777777">
            <w:pPr>
              <w:keepNext/>
              <w:rPr>
                <w:rFonts w:ascii="Arial" w:hAnsi="Arial"/>
                <w:sz w:val="20"/>
                <w:szCs w:val="20"/>
              </w:rPr>
            </w:pPr>
            <w:r>
              <w:rPr>
                <w:rFonts w:ascii="Arial" w:hAnsi="Arial"/>
                <w:sz w:val="20"/>
                <w:szCs w:val="20"/>
              </w:rPr>
              <w:t>Group 2</w:t>
            </w:r>
          </w:p>
        </w:tc>
        <w:tc>
          <w:tcPr>
            <w:tcW w:w="861" w:type="dxa"/>
            <w:vAlign w:val="bottom"/>
          </w:tcPr>
          <w:p w:rsidR="003B0815" w:rsidRDefault="003B0815" w14:paraId="24836623" w14:textId="77777777">
            <w:pPr>
              <w:keepNext/>
              <w:jc w:val="center"/>
              <w:rPr>
                <w:rFonts w:ascii="Arial" w:hAnsi="Arial"/>
                <w:sz w:val="20"/>
                <w:szCs w:val="20"/>
              </w:rPr>
            </w:pPr>
            <w:r>
              <w:rPr>
                <w:rFonts w:ascii="Arial" w:hAnsi="Arial" w:cs="Arial"/>
                <w:sz w:val="20"/>
                <w:szCs w:val="20"/>
              </w:rPr>
              <w:t>8</w:t>
            </w:r>
          </w:p>
        </w:tc>
        <w:tc>
          <w:tcPr>
            <w:tcW w:w="1141" w:type="dxa"/>
            <w:vAlign w:val="bottom"/>
          </w:tcPr>
          <w:p w:rsidR="003B0815" w:rsidRDefault="003B0815" w14:paraId="5FF211F2" w14:textId="77777777">
            <w:pPr>
              <w:keepNext/>
              <w:jc w:val="right"/>
              <w:rPr>
                <w:rFonts w:ascii="Arial" w:hAnsi="Arial"/>
                <w:sz w:val="20"/>
                <w:szCs w:val="20"/>
              </w:rPr>
            </w:pPr>
            <w:r>
              <w:rPr>
                <w:rFonts w:ascii="Arial" w:hAnsi="Arial" w:cs="Arial"/>
                <w:sz w:val="20"/>
                <w:szCs w:val="20"/>
              </w:rPr>
              <w:t>$4,880,000</w:t>
            </w:r>
          </w:p>
        </w:tc>
        <w:tc>
          <w:tcPr>
            <w:tcW w:w="866" w:type="dxa"/>
            <w:vAlign w:val="bottom"/>
          </w:tcPr>
          <w:p w:rsidR="003B0815" w:rsidRDefault="003B0815" w14:paraId="64A76AD2" w14:textId="77777777">
            <w:pPr>
              <w:keepNext/>
              <w:jc w:val="right"/>
              <w:rPr>
                <w:rFonts w:ascii="Arial" w:hAnsi="Arial" w:cs="Arial"/>
                <w:sz w:val="20"/>
                <w:szCs w:val="20"/>
              </w:rPr>
            </w:pPr>
            <w:r>
              <w:rPr>
                <w:rFonts w:ascii="Arial" w:hAnsi="Arial" w:cs="Arial"/>
                <w:sz w:val="20"/>
                <w:szCs w:val="20"/>
              </w:rPr>
              <w:t>8</w:t>
            </w:r>
          </w:p>
        </w:tc>
        <w:tc>
          <w:tcPr>
            <w:tcW w:w="1552" w:type="dxa"/>
            <w:vAlign w:val="bottom"/>
          </w:tcPr>
          <w:p w:rsidR="003B0815" w:rsidRDefault="003B0815" w14:paraId="05B9E870" w14:textId="77777777">
            <w:pPr>
              <w:keepNext/>
              <w:jc w:val="right"/>
              <w:rPr>
                <w:rFonts w:ascii="Arial" w:hAnsi="Arial" w:cs="Arial"/>
                <w:b/>
                <w:sz w:val="20"/>
                <w:szCs w:val="20"/>
              </w:rPr>
            </w:pPr>
            <w:r>
              <w:rPr>
                <w:rFonts w:ascii="Arial" w:hAnsi="Arial" w:cs="Arial"/>
                <w:sz w:val="20"/>
                <w:szCs w:val="20"/>
              </w:rPr>
              <w:t>$300,000</w:t>
            </w:r>
          </w:p>
        </w:tc>
        <w:tc>
          <w:tcPr>
            <w:tcW w:w="1187" w:type="dxa"/>
            <w:tcBorders>
              <w:right w:val="double" w:color="auto" w:sz="4" w:space="0"/>
            </w:tcBorders>
            <w:shd w:val="clear" w:color="auto" w:fill="CCCCCC"/>
            <w:vAlign w:val="bottom"/>
          </w:tcPr>
          <w:p w:rsidR="003B0815" w:rsidRDefault="003B0815" w14:paraId="4816C49D" w14:textId="77777777">
            <w:pPr>
              <w:keepNext/>
              <w:jc w:val="right"/>
              <w:rPr>
                <w:rFonts w:ascii="Arial" w:hAnsi="Arial"/>
                <w:b/>
                <w:sz w:val="20"/>
                <w:szCs w:val="20"/>
              </w:rPr>
            </w:pPr>
            <w:r>
              <w:rPr>
                <w:rFonts w:ascii="Arial" w:hAnsi="Arial" w:cs="Arial"/>
                <w:sz w:val="20"/>
                <w:szCs w:val="20"/>
              </w:rPr>
              <w:t>$41,400,000</w:t>
            </w:r>
          </w:p>
        </w:tc>
        <w:tc>
          <w:tcPr>
            <w:tcW w:w="869" w:type="dxa"/>
            <w:tcBorders>
              <w:left w:val="double" w:color="auto" w:sz="4" w:space="0"/>
            </w:tcBorders>
            <w:vAlign w:val="bottom"/>
          </w:tcPr>
          <w:p w:rsidR="003B0815" w:rsidRDefault="003B0815" w14:paraId="2C819028" w14:textId="77777777">
            <w:pPr>
              <w:keepNext/>
              <w:jc w:val="right"/>
              <w:rPr>
                <w:rFonts w:ascii="Arial" w:hAnsi="Arial" w:cs="Arial"/>
                <w:sz w:val="20"/>
                <w:szCs w:val="20"/>
              </w:rPr>
            </w:pPr>
            <w:r>
              <w:rPr>
                <w:rFonts w:ascii="Arial" w:hAnsi="Arial" w:cs="Arial"/>
                <w:sz w:val="20"/>
                <w:szCs w:val="20"/>
              </w:rPr>
              <w:t>8</w:t>
            </w:r>
          </w:p>
        </w:tc>
        <w:tc>
          <w:tcPr>
            <w:tcW w:w="1028" w:type="dxa"/>
            <w:tcBorders>
              <w:right w:val="double" w:color="auto" w:sz="4" w:space="0"/>
            </w:tcBorders>
            <w:vAlign w:val="bottom"/>
          </w:tcPr>
          <w:p w:rsidR="003B0815" w:rsidRDefault="003B0815" w14:paraId="01840F33" w14:textId="77777777">
            <w:pPr>
              <w:keepNext/>
              <w:jc w:val="right"/>
              <w:rPr>
                <w:rFonts w:ascii="Arial" w:hAnsi="Arial"/>
                <w:sz w:val="20"/>
                <w:szCs w:val="20"/>
              </w:rPr>
            </w:pPr>
            <w:r>
              <w:rPr>
                <w:rFonts w:ascii="Arial" w:hAnsi="Arial" w:cs="Arial"/>
                <w:sz w:val="20"/>
                <w:szCs w:val="20"/>
              </w:rPr>
              <w:t>$140,000</w:t>
            </w:r>
          </w:p>
        </w:tc>
        <w:tc>
          <w:tcPr>
            <w:tcW w:w="1082" w:type="dxa"/>
            <w:tcBorders>
              <w:left w:val="double" w:color="auto" w:sz="4" w:space="0"/>
              <w:right w:val="single" w:color="auto" w:sz="12" w:space="0"/>
            </w:tcBorders>
            <w:shd w:val="clear" w:color="auto" w:fill="CCCCCC"/>
            <w:vAlign w:val="bottom"/>
          </w:tcPr>
          <w:p w:rsidR="003B0815" w:rsidRDefault="003B0815" w14:paraId="4247C1A3" w14:textId="77777777">
            <w:pPr>
              <w:keepNext/>
              <w:jc w:val="right"/>
              <w:rPr>
                <w:rFonts w:ascii="Arial" w:hAnsi="Arial"/>
                <w:b/>
                <w:sz w:val="20"/>
                <w:szCs w:val="20"/>
              </w:rPr>
            </w:pPr>
            <w:r>
              <w:rPr>
                <w:rFonts w:ascii="Arial" w:hAnsi="Arial" w:cs="Arial"/>
                <w:sz w:val="20"/>
                <w:szCs w:val="20"/>
              </w:rPr>
              <w:t>$1,100,000</w:t>
            </w:r>
          </w:p>
        </w:tc>
      </w:tr>
      <w:tr w:rsidR="003B0815" w14:paraId="09302DBC" w14:textId="77777777">
        <w:trPr>
          <w:jc w:val="center"/>
        </w:trPr>
        <w:tc>
          <w:tcPr>
            <w:tcW w:w="832" w:type="dxa"/>
            <w:tcBorders>
              <w:left w:val="single" w:color="auto" w:sz="12" w:space="0"/>
            </w:tcBorders>
            <w:vAlign w:val="bottom"/>
          </w:tcPr>
          <w:p w:rsidR="003B0815" w:rsidRDefault="003B0815" w14:paraId="037004CB" w14:textId="77777777">
            <w:pPr>
              <w:keepNext/>
              <w:rPr>
                <w:rFonts w:ascii="Arial" w:hAnsi="Arial"/>
                <w:sz w:val="20"/>
                <w:szCs w:val="20"/>
              </w:rPr>
            </w:pPr>
            <w:r>
              <w:rPr>
                <w:rFonts w:ascii="Arial" w:hAnsi="Arial"/>
                <w:sz w:val="20"/>
                <w:szCs w:val="20"/>
              </w:rPr>
              <w:t>Group 3</w:t>
            </w:r>
          </w:p>
        </w:tc>
        <w:tc>
          <w:tcPr>
            <w:tcW w:w="861" w:type="dxa"/>
            <w:vAlign w:val="bottom"/>
          </w:tcPr>
          <w:p w:rsidR="003B0815" w:rsidRDefault="003B0815" w14:paraId="7B749D7C" w14:textId="77777777">
            <w:pPr>
              <w:keepNext/>
              <w:jc w:val="center"/>
              <w:rPr>
                <w:rFonts w:ascii="Arial" w:hAnsi="Arial"/>
                <w:sz w:val="20"/>
                <w:szCs w:val="20"/>
              </w:rPr>
            </w:pPr>
            <w:r>
              <w:rPr>
                <w:rFonts w:ascii="Arial" w:hAnsi="Arial" w:cs="Arial"/>
                <w:sz w:val="20"/>
                <w:szCs w:val="20"/>
              </w:rPr>
              <w:t>9</w:t>
            </w:r>
          </w:p>
        </w:tc>
        <w:tc>
          <w:tcPr>
            <w:tcW w:w="1141" w:type="dxa"/>
            <w:vAlign w:val="bottom"/>
          </w:tcPr>
          <w:p w:rsidR="003B0815" w:rsidRDefault="003B0815" w14:paraId="43CA91A9" w14:textId="77777777">
            <w:pPr>
              <w:keepNext/>
              <w:jc w:val="right"/>
              <w:rPr>
                <w:rFonts w:ascii="Arial" w:hAnsi="Arial"/>
                <w:sz w:val="20"/>
                <w:szCs w:val="20"/>
              </w:rPr>
            </w:pPr>
            <w:r>
              <w:rPr>
                <w:rFonts w:ascii="Arial" w:hAnsi="Arial" w:cs="Arial"/>
                <w:sz w:val="20"/>
                <w:szCs w:val="20"/>
              </w:rPr>
              <w:t>$1,625,000</w:t>
            </w:r>
          </w:p>
        </w:tc>
        <w:tc>
          <w:tcPr>
            <w:tcW w:w="866" w:type="dxa"/>
            <w:vAlign w:val="bottom"/>
          </w:tcPr>
          <w:p w:rsidR="003B0815" w:rsidRDefault="003B0815" w14:paraId="4D42E4B9" w14:textId="77777777">
            <w:pPr>
              <w:keepNext/>
              <w:jc w:val="right"/>
              <w:rPr>
                <w:rFonts w:ascii="Arial" w:hAnsi="Arial" w:cs="Arial"/>
                <w:sz w:val="20"/>
                <w:szCs w:val="20"/>
              </w:rPr>
            </w:pPr>
            <w:r>
              <w:rPr>
                <w:rFonts w:ascii="Arial" w:hAnsi="Arial" w:cs="Arial"/>
                <w:sz w:val="20"/>
                <w:szCs w:val="20"/>
              </w:rPr>
              <w:t>9</w:t>
            </w:r>
          </w:p>
        </w:tc>
        <w:tc>
          <w:tcPr>
            <w:tcW w:w="1552" w:type="dxa"/>
            <w:vAlign w:val="bottom"/>
          </w:tcPr>
          <w:p w:rsidR="003B0815" w:rsidRDefault="003B0815" w14:paraId="1A4D6F5E" w14:textId="77777777">
            <w:pPr>
              <w:keepNext/>
              <w:jc w:val="right"/>
              <w:rPr>
                <w:rFonts w:ascii="Arial" w:hAnsi="Arial" w:cs="Arial"/>
                <w:b/>
                <w:sz w:val="20"/>
                <w:szCs w:val="20"/>
              </w:rPr>
            </w:pPr>
            <w:r>
              <w:rPr>
                <w:rFonts w:ascii="Arial" w:hAnsi="Arial" w:cs="Arial"/>
                <w:sz w:val="20"/>
                <w:szCs w:val="20"/>
              </w:rPr>
              <w:t>$100,000</w:t>
            </w:r>
          </w:p>
        </w:tc>
        <w:tc>
          <w:tcPr>
            <w:tcW w:w="1187" w:type="dxa"/>
            <w:tcBorders>
              <w:right w:val="double" w:color="auto" w:sz="4" w:space="0"/>
            </w:tcBorders>
            <w:shd w:val="clear" w:color="auto" w:fill="CCCCCC"/>
            <w:vAlign w:val="bottom"/>
          </w:tcPr>
          <w:p w:rsidR="003B0815" w:rsidRDefault="003B0815" w14:paraId="27B61AAE" w14:textId="77777777">
            <w:pPr>
              <w:keepNext/>
              <w:jc w:val="right"/>
              <w:rPr>
                <w:rFonts w:ascii="Arial" w:hAnsi="Arial"/>
                <w:b/>
                <w:sz w:val="20"/>
                <w:szCs w:val="20"/>
              </w:rPr>
            </w:pPr>
            <w:r>
              <w:rPr>
                <w:rFonts w:ascii="Arial" w:hAnsi="Arial" w:cs="Arial"/>
                <w:sz w:val="20"/>
                <w:szCs w:val="20"/>
              </w:rPr>
              <w:t>$15,500,000</w:t>
            </w:r>
          </w:p>
        </w:tc>
        <w:tc>
          <w:tcPr>
            <w:tcW w:w="869" w:type="dxa"/>
            <w:tcBorders>
              <w:left w:val="double" w:color="auto" w:sz="4" w:space="0"/>
            </w:tcBorders>
            <w:vAlign w:val="bottom"/>
          </w:tcPr>
          <w:p w:rsidR="003B0815" w:rsidRDefault="003B0815" w14:paraId="102A3B2A" w14:textId="77777777">
            <w:pPr>
              <w:keepNext/>
              <w:jc w:val="right"/>
              <w:rPr>
                <w:rFonts w:ascii="Arial" w:hAnsi="Arial" w:cs="Arial"/>
                <w:sz w:val="20"/>
                <w:szCs w:val="20"/>
              </w:rPr>
            </w:pPr>
            <w:r>
              <w:rPr>
                <w:rFonts w:ascii="Arial" w:hAnsi="Arial" w:cs="Arial"/>
                <w:sz w:val="20"/>
                <w:szCs w:val="20"/>
              </w:rPr>
              <w:t>9</w:t>
            </w:r>
          </w:p>
        </w:tc>
        <w:tc>
          <w:tcPr>
            <w:tcW w:w="1028" w:type="dxa"/>
            <w:tcBorders>
              <w:right w:val="double" w:color="auto" w:sz="4" w:space="0"/>
            </w:tcBorders>
            <w:vAlign w:val="bottom"/>
          </w:tcPr>
          <w:p w:rsidR="003B0815" w:rsidRDefault="003B0815" w14:paraId="3F2C6558" w14:textId="77777777">
            <w:pPr>
              <w:keepNext/>
              <w:jc w:val="right"/>
              <w:rPr>
                <w:rFonts w:ascii="Arial" w:hAnsi="Arial"/>
                <w:sz w:val="20"/>
                <w:szCs w:val="20"/>
              </w:rPr>
            </w:pPr>
            <w:r>
              <w:rPr>
                <w:rFonts w:ascii="Arial" w:hAnsi="Arial" w:cs="Arial"/>
                <w:sz w:val="20"/>
                <w:szCs w:val="20"/>
              </w:rPr>
              <w:t>$46,000</w:t>
            </w:r>
          </w:p>
        </w:tc>
        <w:tc>
          <w:tcPr>
            <w:tcW w:w="1082" w:type="dxa"/>
            <w:tcBorders>
              <w:left w:val="double" w:color="auto" w:sz="4" w:space="0"/>
              <w:right w:val="single" w:color="auto" w:sz="12" w:space="0"/>
            </w:tcBorders>
            <w:shd w:val="clear" w:color="auto" w:fill="CCCCCC"/>
            <w:vAlign w:val="bottom"/>
          </w:tcPr>
          <w:p w:rsidR="003B0815" w:rsidRDefault="003B0815" w14:paraId="2538A575" w14:textId="77777777">
            <w:pPr>
              <w:keepNext/>
              <w:jc w:val="right"/>
              <w:rPr>
                <w:rFonts w:ascii="Arial" w:hAnsi="Arial"/>
                <w:b/>
                <w:sz w:val="20"/>
                <w:szCs w:val="20"/>
              </w:rPr>
            </w:pPr>
            <w:r>
              <w:rPr>
                <w:rFonts w:ascii="Arial" w:hAnsi="Arial" w:cs="Arial"/>
                <w:sz w:val="20"/>
                <w:szCs w:val="20"/>
              </w:rPr>
              <w:t>$400,000</w:t>
            </w:r>
          </w:p>
        </w:tc>
      </w:tr>
      <w:tr w:rsidR="003B0815" w14:paraId="062178DA" w14:textId="77777777">
        <w:trPr>
          <w:jc w:val="center"/>
        </w:trPr>
        <w:tc>
          <w:tcPr>
            <w:tcW w:w="832" w:type="dxa"/>
            <w:tcBorders>
              <w:left w:val="single" w:color="auto" w:sz="12" w:space="0"/>
              <w:bottom w:val="single" w:color="auto" w:sz="4" w:space="0"/>
            </w:tcBorders>
            <w:vAlign w:val="bottom"/>
          </w:tcPr>
          <w:p w:rsidR="003B0815" w:rsidRDefault="003B0815" w14:paraId="18572991" w14:textId="77777777">
            <w:pPr>
              <w:keepNext/>
              <w:rPr>
                <w:rFonts w:ascii="Arial" w:hAnsi="Arial"/>
                <w:sz w:val="20"/>
                <w:szCs w:val="20"/>
              </w:rPr>
            </w:pPr>
            <w:r>
              <w:rPr>
                <w:rFonts w:ascii="Arial" w:hAnsi="Arial"/>
                <w:sz w:val="20"/>
                <w:szCs w:val="20"/>
              </w:rPr>
              <w:t>Group 4</w:t>
            </w:r>
          </w:p>
        </w:tc>
        <w:tc>
          <w:tcPr>
            <w:tcW w:w="861" w:type="dxa"/>
            <w:tcBorders>
              <w:bottom w:val="single" w:color="auto" w:sz="4" w:space="0"/>
            </w:tcBorders>
            <w:vAlign w:val="bottom"/>
          </w:tcPr>
          <w:p w:rsidR="003B0815" w:rsidRDefault="003B0815" w14:paraId="62E24FDA" w14:textId="77777777">
            <w:pPr>
              <w:keepNext/>
              <w:jc w:val="center"/>
              <w:rPr>
                <w:rFonts w:ascii="Arial" w:hAnsi="Arial"/>
                <w:sz w:val="20"/>
                <w:szCs w:val="20"/>
              </w:rPr>
            </w:pPr>
            <w:r>
              <w:rPr>
                <w:rFonts w:ascii="Arial" w:hAnsi="Arial" w:cs="Arial"/>
                <w:sz w:val="20"/>
                <w:szCs w:val="20"/>
              </w:rPr>
              <w:t>13</w:t>
            </w:r>
          </w:p>
        </w:tc>
        <w:tc>
          <w:tcPr>
            <w:tcW w:w="1141" w:type="dxa"/>
            <w:tcBorders>
              <w:bottom w:val="single" w:color="auto" w:sz="4" w:space="0"/>
            </w:tcBorders>
            <w:vAlign w:val="bottom"/>
          </w:tcPr>
          <w:p w:rsidR="003B0815" w:rsidRDefault="003B0815" w14:paraId="1F1E5688" w14:textId="77777777">
            <w:pPr>
              <w:keepNext/>
              <w:jc w:val="right"/>
              <w:rPr>
                <w:rFonts w:ascii="Arial" w:hAnsi="Arial"/>
                <w:sz w:val="20"/>
                <w:szCs w:val="20"/>
              </w:rPr>
            </w:pPr>
            <w:r>
              <w:rPr>
                <w:rFonts w:ascii="Arial" w:hAnsi="Arial" w:cs="Arial"/>
                <w:sz w:val="20"/>
                <w:szCs w:val="20"/>
              </w:rPr>
              <w:t>$650,000</w:t>
            </w:r>
          </w:p>
        </w:tc>
        <w:tc>
          <w:tcPr>
            <w:tcW w:w="866" w:type="dxa"/>
            <w:tcBorders>
              <w:bottom w:val="single" w:color="auto" w:sz="4" w:space="0"/>
            </w:tcBorders>
            <w:vAlign w:val="bottom"/>
          </w:tcPr>
          <w:p w:rsidR="003B0815" w:rsidRDefault="003B0815" w14:paraId="69EA6E4E" w14:textId="77777777">
            <w:pPr>
              <w:keepNext/>
              <w:jc w:val="right"/>
              <w:rPr>
                <w:rFonts w:ascii="Arial" w:hAnsi="Arial" w:cs="Arial"/>
                <w:sz w:val="20"/>
                <w:szCs w:val="20"/>
              </w:rPr>
            </w:pPr>
            <w:r>
              <w:rPr>
                <w:rFonts w:ascii="Arial" w:hAnsi="Arial" w:cs="Arial"/>
                <w:sz w:val="20"/>
                <w:szCs w:val="20"/>
              </w:rPr>
              <w:t>13</w:t>
            </w:r>
          </w:p>
        </w:tc>
        <w:tc>
          <w:tcPr>
            <w:tcW w:w="1552" w:type="dxa"/>
            <w:tcBorders>
              <w:bottom w:val="single" w:color="auto" w:sz="4" w:space="0"/>
            </w:tcBorders>
            <w:vAlign w:val="bottom"/>
          </w:tcPr>
          <w:p w:rsidR="003B0815" w:rsidRDefault="003B0815" w14:paraId="61968A70" w14:textId="77777777">
            <w:pPr>
              <w:keepNext/>
              <w:jc w:val="right"/>
              <w:rPr>
                <w:rFonts w:ascii="Arial" w:hAnsi="Arial" w:cs="Arial"/>
                <w:b/>
                <w:sz w:val="20"/>
                <w:szCs w:val="20"/>
              </w:rPr>
            </w:pPr>
            <w:r>
              <w:rPr>
                <w:rFonts w:ascii="Arial" w:hAnsi="Arial" w:cs="Arial"/>
                <w:sz w:val="20"/>
                <w:szCs w:val="20"/>
              </w:rPr>
              <w:t>$100,000</w:t>
            </w:r>
          </w:p>
        </w:tc>
        <w:tc>
          <w:tcPr>
            <w:tcW w:w="1187" w:type="dxa"/>
            <w:tcBorders>
              <w:bottom w:val="single" w:color="auto" w:sz="4" w:space="0"/>
              <w:right w:val="double" w:color="auto" w:sz="4" w:space="0"/>
            </w:tcBorders>
            <w:shd w:val="clear" w:color="auto" w:fill="CCCCCC"/>
            <w:vAlign w:val="bottom"/>
          </w:tcPr>
          <w:p w:rsidR="003B0815" w:rsidRDefault="003B0815" w14:paraId="6749DE4D" w14:textId="77777777">
            <w:pPr>
              <w:keepNext/>
              <w:jc w:val="right"/>
              <w:rPr>
                <w:rFonts w:ascii="Arial" w:hAnsi="Arial"/>
                <w:b/>
                <w:sz w:val="20"/>
                <w:szCs w:val="20"/>
              </w:rPr>
            </w:pPr>
            <w:r>
              <w:rPr>
                <w:rFonts w:ascii="Arial" w:hAnsi="Arial" w:cs="Arial"/>
                <w:sz w:val="20"/>
                <w:szCs w:val="20"/>
              </w:rPr>
              <w:t>$9,800,000</w:t>
            </w:r>
          </w:p>
        </w:tc>
        <w:tc>
          <w:tcPr>
            <w:tcW w:w="869" w:type="dxa"/>
            <w:tcBorders>
              <w:left w:val="double" w:color="auto" w:sz="4" w:space="0"/>
              <w:bottom w:val="single" w:color="auto" w:sz="4" w:space="0"/>
            </w:tcBorders>
            <w:vAlign w:val="bottom"/>
          </w:tcPr>
          <w:p w:rsidR="003B0815" w:rsidRDefault="003B0815" w14:paraId="17E2143B" w14:textId="77777777">
            <w:pPr>
              <w:keepNext/>
              <w:jc w:val="right"/>
              <w:rPr>
                <w:rFonts w:ascii="Arial" w:hAnsi="Arial" w:cs="Arial"/>
                <w:sz w:val="20"/>
                <w:szCs w:val="20"/>
              </w:rPr>
            </w:pPr>
            <w:r>
              <w:rPr>
                <w:rFonts w:ascii="Arial" w:hAnsi="Arial" w:cs="Arial"/>
                <w:sz w:val="20"/>
                <w:szCs w:val="20"/>
              </w:rPr>
              <w:t>13</w:t>
            </w:r>
          </w:p>
        </w:tc>
        <w:tc>
          <w:tcPr>
            <w:tcW w:w="1028" w:type="dxa"/>
            <w:tcBorders>
              <w:bottom w:val="single" w:color="auto" w:sz="4" w:space="0"/>
              <w:right w:val="double" w:color="auto" w:sz="4" w:space="0"/>
            </w:tcBorders>
            <w:vAlign w:val="bottom"/>
          </w:tcPr>
          <w:p w:rsidR="003B0815" w:rsidRDefault="003B0815" w14:paraId="572ED042" w14:textId="77777777">
            <w:pPr>
              <w:keepNext/>
              <w:jc w:val="right"/>
              <w:rPr>
                <w:rFonts w:ascii="Arial" w:hAnsi="Arial"/>
                <w:sz w:val="20"/>
                <w:szCs w:val="20"/>
              </w:rPr>
            </w:pPr>
            <w:r>
              <w:rPr>
                <w:rFonts w:ascii="Arial" w:hAnsi="Arial" w:cs="Arial"/>
                <w:sz w:val="20"/>
                <w:szCs w:val="20"/>
              </w:rPr>
              <w:t>$18,400</w:t>
            </w:r>
          </w:p>
        </w:tc>
        <w:tc>
          <w:tcPr>
            <w:tcW w:w="1082" w:type="dxa"/>
            <w:tcBorders>
              <w:left w:val="double" w:color="auto" w:sz="4" w:space="0"/>
              <w:bottom w:val="single" w:color="auto" w:sz="4" w:space="0"/>
              <w:right w:val="single" w:color="auto" w:sz="12" w:space="0"/>
            </w:tcBorders>
            <w:shd w:val="clear" w:color="auto" w:fill="CCCCCC"/>
            <w:vAlign w:val="bottom"/>
          </w:tcPr>
          <w:p w:rsidR="003B0815" w:rsidRDefault="003B0815" w14:paraId="39F84FFD" w14:textId="77777777">
            <w:pPr>
              <w:keepNext/>
              <w:jc w:val="right"/>
              <w:rPr>
                <w:rFonts w:ascii="Arial" w:hAnsi="Arial"/>
                <w:b/>
                <w:sz w:val="20"/>
                <w:szCs w:val="20"/>
              </w:rPr>
            </w:pPr>
            <w:r>
              <w:rPr>
                <w:rFonts w:ascii="Arial" w:hAnsi="Arial" w:cs="Arial"/>
                <w:sz w:val="20"/>
                <w:szCs w:val="20"/>
              </w:rPr>
              <w:t>$239,200</w:t>
            </w:r>
          </w:p>
        </w:tc>
      </w:tr>
      <w:tr w:rsidR="003B0815" w14:paraId="32FF4BF6" w14:textId="77777777">
        <w:trPr>
          <w:jc w:val="center"/>
        </w:trPr>
        <w:tc>
          <w:tcPr>
            <w:tcW w:w="832" w:type="dxa"/>
            <w:tcBorders>
              <w:left w:val="single" w:color="auto" w:sz="12" w:space="0"/>
              <w:bottom w:val="single" w:color="auto" w:sz="12" w:space="0"/>
            </w:tcBorders>
            <w:vAlign w:val="bottom"/>
          </w:tcPr>
          <w:p w:rsidR="003B0815" w:rsidRDefault="003B0815" w14:paraId="4D25F1CD" w14:textId="77777777">
            <w:pPr>
              <w:rPr>
                <w:rFonts w:ascii="Arial" w:hAnsi="Arial"/>
                <w:b/>
                <w:sz w:val="20"/>
                <w:szCs w:val="20"/>
              </w:rPr>
            </w:pPr>
            <w:r>
              <w:rPr>
                <w:rFonts w:ascii="Arial" w:hAnsi="Arial"/>
                <w:b/>
                <w:sz w:val="20"/>
                <w:szCs w:val="20"/>
              </w:rPr>
              <w:t>Total</w:t>
            </w:r>
          </w:p>
        </w:tc>
        <w:tc>
          <w:tcPr>
            <w:tcW w:w="861" w:type="dxa"/>
            <w:tcBorders>
              <w:bottom w:val="single" w:color="auto" w:sz="12" w:space="0"/>
              <w:right w:val="nil"/>
            </w:tcBorders>
            <w:vAlign w:val="bottom"/>
          </w:tcPr>
          <w:p w:rsidR="003B0815" w:rsidRDefault="003B0815" w14:paraId="43BA1E90" w14:textId="77777777">
            <w:pPr>
              <w:jc w:val="center"/>
              <w:rPr>
                <w:rFonts w:ascii="Arial" w:hAnsi="Arial"/>
                <w:b/>
                <w:sz w:val="20"/>
                <w:szCs w:val="20"/>
              </w:rPr>
            </w:pPr>
            <w:r>
              <w:rPr>
                <w:rFonts w:ascii="Arial" w:hAnsi="Arial" w:cs="Arial"/>
                <w:sz w:val="20"/>
                <w:szCs w:val="20"/>
              </w:rPr>
              <w:t>40</w:t>
            </w:r>
          </w:p>
        </w:tc>
        <w:tc>
          <w:tcPr>
            <w:tcW w:w="1141" w:type="dxa"/>
            <w:tcBorders>
              <w:left w:val="nil"/>
              <w:bottom w:val="single" w:color="auto" w:sz="12" w:space="0"/>
              <w:right w:val="nil"/>
            </w:tcBorders>
            <w:vAlign w:val="bottom"/>
          </w:tcPr>
          <w:p w:rsidR="003B0815" w:rsidRDefault="003B0815" w14:paraId="56335307" w14:textId="77777777">
            <w:pPr>
              <w:jc w:val="right"/>
              <w:rPr>
                <w:rFonts w:ascii="Arial" w:hAnsi="Arial"/>
                <w:b/>
                <w:sz w:val="20"/>
                <w:szCs w:val="20"/>
              </w:rPr>
            </w:pPr>
            <w:r>
              <w:rPr>
                <w:rFonts w:ascii="Arial" w:hAnsi="Arial" w:cs="Arial"/>
                <w:sz w:val="20"/>
                <w:szCs w:val="20"/>
              </w:rPr>
              <w:t> </w:t>
            </w:r>
          </w:p>
        </w:tc>
        <w:tc>
          <w:tcPr>
            <w:tcW w:w="866" w:type="dxa"/>
            <w:tcBorders>
              <w:left w:val="nil"/>
              <w:bottom w:val="single" w:color="auto" w:sz="12" w:space="0"/>
              <w:right w:val="nil"/>
            </w:tcBorders>
            <w:vAlign w:val="bottom"/>
          </w:tcPr>
          <w:p w:rsidR="003B0815" w:rsidRDefault="003B0815" w14:paraId="0A050FC9" w14:textId="77777777">
            <w:pPr>
              <w:jc w:val="right"/>
              <w:rPr>
                <w:rFonts w:ascii="Arial" w:hAnsi="Arial" w:cs="Arial"/>
                <w:b/>
                <w:sz w:val="20"/>
                <w:szCs w:val="20"/>
              </w:rPr>
            </w:pPr>
            <w:r>
              <w:rPr>
                <w:rFonts w:ascii="Arial" w:hAnsi="Arial" w:cs="Arial"/>
                <w:sz w:val="20"/>
                <w:szCs w:val="20"/>
              </w:rPr>
              <w:t>40</w:t>
            </w:r>
          </w:p>
        </w:tc>
        <w:tc>
          <w:tcPr>
            <w:tcW w:w="1552" w:type="dxa"/>
            <w:tcBorders>
              <w:left w:val="nil"/>
              <w:bottom w:val="single" w:color="auto" w:sz="12" w:space="0"/>
            </w:tcBorders>
            <w:vAlign w:val="bottom"/>
          </w:tcPr>
          <w:p w:rsidR="003B0815" w:rsidRDefault="003B0815" w14:paraId="7F3B3622" w14:textId="77777777">
            <w:pPr>
              <w:jc w:val="right"/>
              <w:rPr>
                <w:rFonts w:ascii="Arial" w:hAnsi="Arial" w:cs="Arial"/>
                <w:b/>
                <w:sz w:val="20"/>
                <w:szCs w:val="20"/>
              </w:rPr>
            </w:pPr>
            <w:r>
              <w:rPr>
                <w:rFonts w:ascii="Arial" w:hAnsi="Arial" w:cs="Arial"/>
                <w:sz w:val="20"/>
                <w:szCs w:val="20"/>
              </w:rPr>
              <w:t> </w:t>
            </w:r>
          </w:p>
        </w:tc>
        <w:tc>
          <w:tcPr>
            <w:tcW w:w="1187" w:type="dxa"/>
            <w:tcBorders>
              <w:bottom w:val="single" w:color="auto" w:sz="12" w:space="0"/>
              <w:right w:val="double" w:color="auto" w:sz="4" w:space="0"/>
            </w:tcBorders>
            <w:vAlign w:val="bottom"/>
          </w:tcPr>
          <w:p w:rsidR="003B0815" w:rsidRDefault="003B0815" w14:paraId="1D98A553" w14:textId="77777777">
            <w:pPr>
              <w:jc w:val="right"/>
              <w:rPr>
                <w:rFonts w:ascii="Arial" w:hAnsi="Arial"/>
                <w:b/>
                <w:sz w:val="20"/>
                <w:szCs w:val="20"/>
              </w:rPr>
            </w:pPr>
            <w:r>
              <w:rPr>
                <w:rFonts w:ascii="Arial" w:hAnsi="Arial" w:cs="Arial"/>
                <w:b/>
                <w:bCs/>
                <w:sz w:val="20"/>
                <w:szCs w:val="20"/>
              </w:rPr>
              <w:t>$135,700,000</w:t>
            </w:r>
          </w:p>
        </w:tc>
        <w:tc>
          <w:tcPr>
            <w:tcW w:w="869" w:type="dxa"/>
            <w:tcBorders>
              <w:left w:val="double" w:color="auto" w:sz="4" w:space="0"/>
              <w:bottom w:val="single" w:color="auto" w:sz="12" w:space="0"/>
            </w:tcBorders>
            <w:vAlign w:val="bottom"/>
          </w:tcPr>
          <w:p w:rsidR="003B0815" w:rsidRDefault="003B0815" w14:paraId="040B1515" w14:textId="77777777">
            <w:pPr>
              <w:jc w:val="right"/>
              <w:rPr>
                <w:rFonts w:ascii="Arial" w:hAnsi="Arial" w:cs="Arial"/>
                <w:b/>
                <w:sz w:val="20"/>
                <w:szCs w:val="20"/>
              </w:rPr>
            </w:pPr>
            <w:r>
              <w:rPr>
                <w:rFonts w:ascii="Arial" w:hAnsi="Arial" w:cs="Arial"/>
                <w:sz w:val="20"/>
                <w:szCs w:val="20"/>
              </w:rPr>
              <w:t>40</w:t>
            </w:r>
          </w:p>
        </w:tc>
        <w:tc>
          <w:tcPr>
            <w:tcW w:w="1028" w:type="dxa"/>
            <w:tcBorders>
              <w:bottom w:val="single" w:color="auto" w:sz="12" w:space="0"/>
              <w:right w:val="double" w:color="auto" w:sz="4" w:space="0"/>
            </w:tcBorders>
            <w:vAlign w:val="bottom"/>
          </w:tcPr>
          <w:p w:rsidR="003B0815" w:rsidRDefault="003B0815" w14:paraId="38347563" w14:textId="77777777">
            <w:pPr>
              <w:jc w:val="right"/>
              <w:rPr>
                <w:rFonts w:ascii="Arial" w:hAnsi="Arial"/>
                <w:b/>
                <w:sz w:val="20"/>
                <w:szCs w:val="20"/>
              </w:rPr>
            </w:pPr>
            <w:r>
              <w:rPr>
                <w:rFonts w:ascii="Arial" w:hAnsi="Arial" w:cs="Arial"/>
                <w:sz w:val="20"/>
                <w:szCs w:val="20"/>
              </w:rPr>
              <w:t> </w:t>
            </w:r>
          </w:p>
        </w:tc>
        <w:tc>
          <w:tcPr>
            <w:tcW w:w="1082" w:type="dxa"/>
            <w:tcBorders>
              <w:left w:val="double" w:color="auto" w:sz="4" w:space="0"/>
              <w:bottom w:val="single" w:color="auto" w:sz="12" w:space="0"/>
              <w:right w:val="single" w:color="auto" w:sz="12" w:space="0"/>
            </w:tcBorders>
            <w:vAlign w:val="bottom"/>
          </w:tcPr>
          <w:p w:rsidR="003B0815" w:rsidRDefault="003B0815" w14:paraId="4F8817A1" w14:textId="77777777">
            <w:pPr>
              <w:jc w:val="right"/>
              <w:rPr>
                <w:rFonts w:ascii="Arial" w:hAnsi="Arial"/>
                <w:b/>
                <w:sz w:val="20"/>
                <w:szCs w:val="20"/>
              </w:rPr>
            </w:pPr>
            <w:r>
              <w:rPr>
                <w:rFonts w:ascii="Arial" w:hAnsi="Arial" w:cs="Arial"/>
                <w:b/>
                <w:bCs/>
                <w:sz w:val="20"/>
                <w:szCs w:val="20"/>
              </w:rPr>
              <w:t>$3,500,000</w:t>
            </w:r>
          </w:p>
        </w:tc>
      </w:tr>
    </w:tbl>
    <w:p w:rsidR="003B0815" w:rsidRDefault="003B0815" w14:paraId="0711F95B" w14:textId="77777777">
      <w:pPr>
        <w:spacing w:line="360" w:lineRule="auto"/>
        <w:ind w:firstLine="72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832"/>
        <w:gridCol w:w="861"/>
        <w:gridCol w:w="1141"/>
        <w:gridCol w:w="866"/>
        <w:gridCol w:w="1552"/>
        <w:gridCol w:w="1187"/>
        <w:gridCol w:w="869"/>
        <w:gridCol w:w="1028"/>
        <w:gridCol w:w="1082"/>
      </w:tblGrid>
      <w:tr w:rsidR="003B0815" w14:paraId="77CC5CE4" w14:textId="77777777">
        <w:trPr>
          <w:jc w:val="center"/>
        </w:trPr>
        <w:tc>
          <w:tcPr>
            <w:tcW w:w="9418" w:type="dxa"/>
            <w:gridSpan w:val="9"/>
            <w:tcBorders>
              <w:top w:val="nil"/>
              <w:left w:val="nil"/>
              <w:right w:val="nil"/>
            </w:tcBorders>
            <w:vAlign w:val="center"/>
          </w:tcPr>
          <w:p w:rsidR="003B0815" w:rsidRDefault="003B0815" w14:paraId="5797DB7E" w14:textId="77777777">
            <w:pPr>
              <w:pStyle w:val="RegEvalTableHeader"/>
              <w:keepNext/>
            </w:pPr>
            <w:bookmarkStart w:name="_Toc165278380" w:id="252"/>
            <w:bookmarkStart w:name="_Toc174438381" w:id="253"/>
            <w:bookmarkStart w:name="_Toc207109516" w:id="254"/>
            <w:r>
              <w:t>Table 1.6.2.c Total Initial and Recurring Marketing Carrier Costs, Domestic Low Scenario</w:t>
            </w:r>
            <w:bookmarkEnd w:id="252"/>
            <w:bookmarkEnd w:id="253"/>
            <w:bookmarkEnd w:id="254"/>
          </w:p>
        </w:tc>
      </w:tr>
      <w:tr w:rsidR="003B0815" w14:paraId="4B333A3F" w14:textId="77777777">
        <w:trPr>
          <w:jc w:val="center"/>
        </w:trPr>
        <w:tc>
          <w:tcPr>
            <w:tcW w:w="832" w:type="dxa"/>
            <w:tcBorders>
              <w:top w:val="single" w:color="auto" w:sz="12" w:space="0"/>
              <w:left w:val="single" w:color="auto" w:sz="12" w:space="0"/>
            </w:tcBorders>
            <w:vAlign w:val="center"/>
          </w:tcPr>
          <w:p w:rsidR="003B0815" w:rsidRDefault="003B0815" w14:paraId="76149B26" w14:textId="77777777">
            <w:pPr>
              <w:keepNext/>
              <w:jc w:val="center"/>
              <w:rPr>
                <w:rFonts w:ascii="Arial" w:hAnsi="Arial"/>
                <w:b/>
                <w:sz w:val="20"/>
                <w:szCs w:val="20"/>
              </w:rPr>
            </w:pPr>
            <w:r>
              <w:rPr>
                <w:rFonts w:ascii="Arial" w:hAnsi="Arial"/>
                <w:b/>
                <w:sz w:val="20"/>
                <w:szCs w:val="20"/>
              </w:rPr>
              <w:t>Carrier Type</w:t>
            </w:r>
          </w:p>
        </w:tc>
        <w:tc>
          <w:tcPr>
            <w:tcW w:w="861" w:type="dxa"/>
            <w:tcBorders>
              <w:top w:val="single" w:color="auto" w:sz="12" w:space="0"/>
            </w:tcBorders>
            <w:vAlign w:val="center"/>
          </w:tcPr>
          <w:p w:rsidR="003B0815" w:rsidRDefault="003B0815" w14:paraId="0F90F89E" w14:textId="77777777">
            <w:pPr>
              <w:keepNext/>
              <w:jc w:val="center"/>
              <w:rPr>
                <w:rFonts w:ascii="Arial" w:hAnsi="Arial"/>
                <w:b/>
                <w:sz w:val="20"/>
                <w:szCs w:val="20"/>
              </w:rPr>
            </w:pPr>
            <w:r>
              <w:rPr>
                <w:rFonts w:ascii="Arial" w:hAnsi="Arial"/>
                <w:b/>
                <w:sz w:val="20"/>
                <w:szCs w:val="20"/>
              </w:rPr>
              <w:t># of Carriers</w:t>
            </w:r>
          </w:p>
        </w:tc>
        <w:tc>
          <w:tcPr>
            <w:tcW w:w="1141" w:type="dxa"/>
            <w:tcBorders>
              <w:top w:val="single" w:color="auto" w:sz="12" w:space="0"/>
            </w:tcBorders>
            <w:vAlign w:val="center"/>
          </w:tcPr>
          <w:p w:rsidR="003B0815" w:rsidRDefault="003B0815" w14:paraId="479E89F5" w14:textId="77777777">
            <w:pPr>
              <w:keepNext/>
              <w:jc w:val="center"/>
              <w:rPr>
                <w:rFonts w:ascii="Arial" w:hAnsi="Arial"/>
                <w:b/>
                <w:sz w:val="20"/>
                <w:szCs w:val="20"/>
              </w:rPr>
            </w:pPr>
            <w:r>
              <w:rPr>
                <w:rFonts w:ascii="Arial" w:hAnsi="Arial"/>
                <w:b/>
                <w:sz w:val="20"/>
                <w:szCs w:val="20"/>
              </w:rPr>
              <w:t>Initial Reprogram  Costs per Carrier</w:t>
            </w:r>
          </w:p>
        </w:tc>
        <w:tc>
          <w:tcPr>
            <w:tcW w:w="866" w:type="dxa"/>
            <w:tcBorders>
              <w:top w:val="single" w:color="auto" w:sz="12" w:space="0"/>
            </w:tcBorders>
            <w:vAlign w:val="center"/>
          </w:tcPr>
          <w:p w:rsidR="003B0815" w:rsidRDefault="003B0815" w14:paraId="281F5D90" w14:textId="77777777">
            <w:pPr>
              <w:keepNext/>
              <w:jc w:val="center"/>
              <w:rPr>
                <w:rFonts w:ascii="Arial" w:hAnsi="Arial"/>
                <w:b/>
                <w:sz w:val="20"/>
                <w:szCs w:val="20"/>
              </w:rPr>
            </w:pPr>
            <w:r>
              <w:rPr>
                <w:rFonts w:ascii="Arial" w:hAnsi="Arial"/>
                <w:b/>
                <w:sz w:val="20"/>
                <w:szCs w:val="20"/>
              </w:rPr>
              <w:t># of Carriers</w:t>
            </w:r>
          </w:p>
        </w:tc>
        <w:tc>
          <w:tcPr>
            <w:tcW w:w="1552" w:type="dxa"/>
            <w:tcBorders>
              <w:top w:val="single" w:color="auto" w:sz="12" w:space="0"/>
              <w:bottom w:val="single" w:color="auto" w:sz="4" w:space="0"/>
            </w:tcBorders>
            <w:vAlign w:val="center"/>
          </w:tcPr>
          <w:p w:rsidR="003B0815" w:rsidRDefault="003B0815" w14:paraId="565523D2" w14:textId="77777777">
            <w:pPr>
              <w:keepNext/>
              <w:jc w:val="center"/>
              <w:rPr>
                <w:rFonts w:ascii="Arial" w:hAnsi="Arial"/>
                <w:b/>
                <w:sz w:val="20"/>
                <w:szCs w:val="20"/>
              </w:rPr>
            </w:pPr>
            <w:r>
              <w:rPr>
                <w:rFonts w:ascii="Arial" w:hAnsi="Arial"/>
                <w:b/>
                <w:sz w:val="20"/>
                <w:szCs w:val="20"/>
              </w:rPr>
              <w:t>Implementation Costs per Carrier</w:t>
            </w:r>
          </w:p>
        </w:tc>
        <w:tc>
          <w:tcPr>
            <w:tcW w:w="1187" w:type="dxa"/>
            <w:tcBorders>
              <w:top w:val="single" w:color="auto" w:sz="12" w:space="0"/>
              <w:bottom w:val="single" w:color="auto" w:sz="4" w:space="0"/>
              <w:right w:val="double" w:color="auto" w:sz="4" w:space="0"/>
            </w:tcBorders>
            <w:vAlign w:val="center"/>
          </w:tcPr>
          <w:p w:rsidR="003B0815" w:rsidRDefault="003B0815" w14:paraId="1B4C0635" w14:textId="77777777">
            <w:pPr>
              <w:keepNext/>
              <w:jc w:val="center"/>
              <w:rPr>
                <w:rFonts w:ascii="Arial" w:hAnsi="Arial"/>
                <w:b/>
                <w:sz w:val="20"/>
                <w:szCs w:val="20"/>
              </w:rPr>
            </w:pPr>
            <w:r>
              <w:rPr>
                <w:rFonts w:ascii="Arial" w:hAnsi="Arial"/>
                <w:b/>
                <w:sz w:val="20"/>
                <w:szCs w:val="20"/>
              </w:rPr>
              <w:t>Total Initial Costs</w:t>
            </w:r>
          </w:p>
        </w:tc>
        <w:tc>
          <w:tcPr>
            <w:tcW w:w="869" w:type="dxa"/>
            <w:tcBorders>
              <w:top w:val="single" w:color="auto" w:sz="12" w:space="0"/>
              <w:left w:val="double" w:color="auto" w:sz="4" w:space="0"/>
            </w:tcBorders>
            <w:vAlign w:val="center"/>
          </w:tcPr>
          <w:p w:rsidR="003B0815" w:rsidRDefault="003B0815" w14:paraId="4E96EDB4" w14:textId="77777777">
            <w:pPr>
              <w:keepNext/>
              <w:jc w:val="center"/>
              <w:rPr>
                <w:rFonts w:ascii="Arial" w:hAnsi="Arial"/>
                <w:b/>
                <w:sz w:val="20"/>
                <w:szCs w:val="20"/>
              </w:rPr>
            </w:pPr>
            <w:r>
              <w:rPr>
                <w:rFonts w:ascii="Arial" w:hAnsi="Arial"/>
                <w:b/>
                <w:sz w:val="20"/>
                <w:szCs w:val="20"/>
              </w:rPr>
              <w:t># of Carriers</w:t>
            </w:r>
          </w:p>
        </w:tc>
        <w:tc>
          <w:tcPr>
            <w:tcW w:w="1028" w:type="dxa"/>
            <w:tcBorders>
              <w:top w:val="single" w:color="auto" w:sz="12" w:space="0"/>
              <w:right w:val="double" w:color="auto" w:sz="4" w:space="0"/>
            </w:tcBorders>
            <w:vAlign w:val="center"/>
          </w:tcPr>
          <w:p w:rsidR="003B0815" w:rsidRDefault="003B0815" w14:paraId="0F29F30D" w14:textId="77777777">
            <w:pPr>
              <w:keepNext/>
              <w:jc w:val="center"/>
              <w:rPr>
                <w:rFonts w:ascii="Arial" w:hAnsi="Arial"/>
                <w:b/>
                <w:sz w:val="20"/>
                <w:szCs w:val="20"/>
              </w:rPr>
            </w:pPr>
            <w:r>
              <w:rPr>
                <w:rFonts w:ascii="Arial" w:hAnsi="Arial"/>
                <w:b/>
                <w:sz w:val="20"/>
                <w:szCs w:val="20"/>
              </w:rPr>
              <w:t>Recurring Costs per Carrier</w:t>
            </w:r>
          </w:p>
        </w:tc>
        <w:tc>
          <w:tcPr>
            <w:tcW w:w="1082" w:type="dxa"/>
            <w:tcBorders>
              <w:top w:val="single" w:color="auto" w:sz="12" w:space="0"/>
              <w:left w:val="double" w:color="auto" w:sz="4" w:space="0"/>
              <w:bottom w:val="single" w:color="auto" w:sz="4" w:space="0"/>
              <w:right w:val="single" w:color="auto" w:sz="12" w:space="0"/>
            </w:tcBorders>
            <w:vAlign w:val="center"/>
          </w:tcPr>
          <w:p w:rsidR="003B0815" w:rsidRDefault="003B0815" w14:paraId="575DF956" w14:textId="77777777">
            <w:pPr>
              <w:keepNext/>
              <w:jc w:val="center"/>
              <w:rPr>
                <w:rFonts w:ascii="Arial" w:hAnsi="Arial"/>
                <w:b/>
                <w:sz w:val="20"/>
                <w:szCs w:val="20"/>
              </w:rPr>
            </w:pPr>
            <w:r>
              <w:rPr>
                <w:rFonts w:ascii="Arial" w:hAnsi="Arial"/>
                <w:b/>
                <w:sz w:val="20"/>
                <w:szCs w:val="20"/>
              </w:rPr>
              <w:t>Total Recurring Cost per Year</w:t>
            </w:r>
          </w:p>
        </w:tc>
      </w:tr>
      <w:tr w:rsidR="003B0815" w14:paraId="3D81AA1F" w14:textId="77777777">
        <w:trPr>
          <w:jc w:val="center"/>
        </w:trPr>
        <w:tc>
          <w:tcPr>
            <w:tcW w:w="832" w:type="dxa"/>
            <w:tcBorders>
              <w:left w:val="single" w:color="auto" w:sz="12" w:space="0"/>
            </w:tcBorders>
            <w:vAlign w:val="bottom"/>
          </w:tcPr>
          <w:p w:rsidR="003B0815" w:rsidRDefault="003B0815" w14:paraId="074E7335" w14:textId="77777777">
            <w:pPr>
              <w:keepNext/>
              <w:rPr>
                <w:rFonts w:ascii="Arial" w:hAnsi="Arial"/>
                <w:sz w:val="20"/>
                <w:szCs w:val="20"/>
              </w:rPr>
            </w:pPr>
            <w:r>
              <w:rPr>
                <w:rFonts w:ascii="Arial" w:hAnsi="Arial"/>
                <w:sz w:val="20"/>
                <w:szCs w:val="20"/>
              </w:rPr>
              <w:t>Group 1</w:t>
            </w:r>
          </w:p>
        </w:tc>
        <w:tc>
          <w:tcPr>
            <w:tcW w:w="861" w:type="dxa"/>
            <w:vAlign w:val="bottom"/>
          </w:tcPr>
          <w:p w:rsidR="003B0815" w:rsidRDefault="003B0815" w14:paraId="67A67671" w14:textId="77777777">
            <w:pPr>
              <w:keepNext/>
              <w:jc w:val="center"/>
              <w:rPr>
                <w:rFonts w:ascii="Arial" w:hAnsi="Arial"/>
                <w:sz w:val="20"/>
                <w:szCs w:val="20"/>
              </w:rPr>
            </w:pPr>
            <w:r>
              <w:rPr>
                <w:rFonts w:ascii="Arial" w:hAnsi="Arial" w:cs="Arial"/>
                <w:sz w:val="20"/>
                <w:szCs w:val="20"/>
              </w:rPr>
              <w:t>1</w:t>
            </w:r>
          </w:p>
        </w:tc>
        <w:tc>
          <w:tcPr>
            <w:tcW w:w="1141" w:type="dxa"/>
            <w:vAlign w:val="bottom"/>
          </w:tcPr>
          <w:p w:rsidR="003B0815" w:rsidRDefault="003B0815" w14:paraId="781AC41C" w14:textId="77777777">
            <w:pPr>
              <w:keepNext/>
              <w:jc w:val="right"/>
              <w:rPr>
                <w:rFonts w:ascii="Arial" w:hAnsi="Arial"/>
                <w:sz w:val="20"/>
                <w:szCs w:val="20"/>
              </w:rPr>
            </w:pPr>
            <w:r>
              <w:rPr>
                <w:rFonts w:ascii="Arial" w:hAnsi="Arial" w:cs="Arial"/>
                <w:sz w:val="20"/>
                <w:szCs w:val="20"/>
              </w:rPr>
              <w:t>$6,500,000</w:t>
            </w:r>
          </w:p>
        </w:tc>
        <w:tc>
          <w:tcPr>
            <w:tcW w:w="866" w:type="dxa"/>
            <w:vAlign w:val="bottom"/>
          </w:tcPr>
          <w:p w:rsidR="003B0815" w:rsidRDefault="003B0815" w14:paraId="35E25810" w14:textId="77777777">
            <w:pPr>
              <w:keepNext/>
              <w:jc w:val="right"/>
              <w:rPr>
                <w:rFonts w:ascii="Arial" w:hAnsi="Arial" w:cs="Arial"/>
                <w:sz w:val="20"/>
                <w:szCs w:val="20"/>
              </w:rPr>
            </w:pPr>
            <w:r>
              <w:rPr>
                <w:rFonts w:ascii="Arial" w:hAnsi="Arial" w:cs="Arial"/>
                <w:sz w:val="20"/>
                <w:szCs w:val="20"/>
              </w:rPr>
              <w:t>10</w:t>
            </w:r>
          </w:p>
        </w:tc>
        <w:tc>
          <w:tcPr>
            <w:tcW w:w="1552" w:type="dxa"/>
            <w:vAlign w:val="bottom"/>
          </w:tcPr>
          <w:p w:rsidR="003B0815" w:rsidRDefault="003B0815" w14:paraId="47593B3F" w14:textId="77777777">
            <w:pPr>
              <w:keepNext/>
              <w:jc w:val="right"/>
              <w:rPr>
                <w:rFonts w:ascii="Arial" w:hAnsi="Arial" w:cs="Arial"/>
                <w:b/>
                <w:sz w:val="20"/>
                <w:szCs w:val="20"/>
              </w:rPr>
            </w:pPr>
            <w:r>
              <w:rPr>
                <w:rFonts w:ascii="Arial" w:hAnsi="Arial" w:cs="Arial"/>
                <w:sz w:val="20"/>
                <w:szCs w:val="20"/>
              </w:rPr>
              <w:t>$400,000</w:t>
            </w:r>
          </w:p>
        </w:tc>
        <w:tc>
          <w:tcPr>
            <w:tcW w:w="1187" w:type="dxa"/>
            <w:tcBorders>
              <w:right w:val="double" w:color="auto" w:sz="4" w:space="0"/>
            </w:tcBorders>
            <w:shd w:val="clear" w:color="auto" w:fill="CCCCCC"/>
            <w:vAlign w:val="bottom"/>
          </w:tcPr>
          <w:p w:rsidR="003B0815" w:rsidRDefault="003B0815" w14:paraId="4542CD22" w14:textId="77777777">
            <w:pPr>
              <w:keepNext/>
              <w:jc w:val="right"/>
              <w:rPr>
                <w:rFonts w:ascii="Arial" w:hAnsi="Arial"/>
                <w:b/>
                <w:sz w:val="20"/>
                <w:szCs w:val="20"/>
              </w:rPr>
            </w:pPr>
            <w:r>
              <w:rPr>
                <w:rFonts w:ascii="Arial" w:hAnsi="Arial" w:cs="Arial"/>
                <w:sz w:val="20"/>
                <w:szCs w:val="20"/>
              </w:rPr>
              <w:t>$10,500,000</w:t>
            </w:r>
          </w:p>
        </w:tc>
        <w:tc>
          <w:tcPr>
            <w:tcW w:w="869" w:type="dxa"/>
            <w:tcBorders>
              <w:left w:val="double" w:color="auto" w:sz="4" w:space="0"/>
            </w:tcBorders>
            <w:vAlign w:val="bottom"/>
          </w:tcPr>
          <w:p w:rsidR="003B0815" w:rsidRDefault="003B0815" w14:paraId="2EC464C0" w14:textId="77777777">
            <w:pPr>
              <w:keepNext/>
              <w:jc w:val="right"/>
              <w:rPr>
                <w:rFonts w:ascii="Arial" w:hAnsi="Arial" w:cs="Arial"/>
                <w:sz w:val="20"/>
                <w:szCs w:val="20"/>
              </w:rPr>
            </w:pPr>
            <w:r>
              <w:rPr>
                <w:rFonts w:ascii="Arial" w:hAnsi="Arial" w:cs="Arial"/>
                <w:sz w:val="20"/>
                <w:szCs w:val="20"/>
              </w:rPr>
              <w:t>1</w:t>
            </w:r>
          </w:p>
        </w:tc>
        <w:tc>
          <w:tcPr>
            <w:tcW w:w="1028" w:type="dxa"/>
            <w:tcBorders>
              <w:right w:val="double" w:color="auto" w:sz="4" w:space="0"/>
            </w:tcBorders>
            <w:vAlign w:val="bottom"/>
          </w:tcPr>
          <w:p w:rsidR="003B0815" w:rsidRDefault="003B0815" w14:paraId="3F59D398" w14:textId="77777777">
            <w:pPr>
              <w:keepNext/>
              <w:jc w:val="right"/>
              <w:rPr>
                <w:rFonts w:ascii="Arial" w:hAnsi="Arial"/>
                <w:sz w:val="20"/>
                <w:szCs w:val="20"/>
              </w:rPr>
            </w:pPr>
            <w:r>
              <w:rPr>
                <w:rFonts w:ascii="Arial" w:hAnsi="Arial" w:cs="Arial"/>
                <w:sz w:val="20"/>
                <w:szCs w:val="20"/>
              </w:rPr>
              <w:t>$184,000</w:t>
            </w:r>
          </w:p>
        </w:tc>
        <w:tc>
          <w:tcPr>
            <w:tcW w:w="1082" w:type="dxa"/>
            <w:tcBorders>
              <w:left w:val="double" w:color="auto" w:sz="4" w:space="0"/>
              <w:right w:val="single" w:color="auto" w:sz="12" w:space="0"/>
            </w:tcBorders>
            <w:shd w:val="clear" w:color="auto" w:fill="CCCCCC"/>
            <w:vAlign w:val="bottom"/>
          </w:tcPr>
          <w:p w:rsidR="003B0815" w:rsidRDefault="003B0815" w14:paraId="741750BF" w14:textId="77777777">
            <w:pPr>
              <w:keepNext/>
              <w:jc w:val="right"/>
              <w:rPr>
                <w:rFonts w:ascii="Arial" w:hAnsi="Arial"/>
                <w:b/>
                <w:sz w:val="20"/>
                <w:szCs w:val="20"/>
              </w:rPr>
            </w:pPr>
            <w:r>
              <w:rPr>
                <w:rFonts w:ascii="Arial" w:hAnsi="Arial" w:cs="Arial"/>
                <w:sz w:val="20"/>
                <w:szCs w:val="20"/>
              </w:rPr>
              <w:t>$184,000</w:t>
            </w:r>
          </w:p>
        </w:tc>
      </w:tr>
      <w:tr w:rsidR="003B0815" w14:paraId="7D3BDC45" w14:textId="77777777">
        <w:trPr>
          <w:jc w:val="center"/>
        </w:trPr>
        <w:tc>
          <w:tcPr>
            <w:tcW w:w="832" w:type="dxa"/>
            <w:tcBorders>
              <w:left w:val="single" w:color="auto" w:sz="12" w:space="0"/>
            </w:tcBorders>
            <w:vAlign w:val="bottom"/>
          </w:tcPr>
          <w:p w:rsidR="003B0815" w:rsidRDefault="003B0815" w14:paraId="32682F1E" w14:textId="77777777">
            <w:pPr>
              <w:keepNext/>
              <w:rPr>
                <w:rFonts w:ascii="Arial" w:hAnsi="Arial"/>
                <w:sz w:val="20"/>
                <w:szCs w:val="20"/>
              </w:rPr>
            </w:pPr>
            <w:r>
              <w:rPr>
                <w:rFonts w:ascii="Arial" w:hAnsi="Arial"/>
                <w:sz w:val="20"/>
                <w:szCs w:val="20"/>
              </w:rPr>
              <w:t>Group 2</w:t>
            </w:r>
          </w:p>
        </w:tc>
        <w:tc>
          <w:tcPr>
            <w:tcW w:w="861" w:type="dxa"/>
            <w:vAlign w:val="bottom"/>
          </w:tcPr>
          <w:p w:rsidR="003B0815" w:rsidRDefault="003B0815" w14:paraId="61E47327" w14:textId="77777777">
            <w:pPr>
              <w:keepNext/>
              <w:jc w:val="center"/>
              <w:rPr>
                <w:rFonts w:ascii="Arial" w:hAnsi="Arial"/>
                <w:sz w:val="20"/>
                <w:szCs w:val="20"/>
              </w:rPr>
            </w:pPr>
            <w:r>
              <w:rPr>
                <w:rFonts w:ascii="Arial" w:hAnsi="Arial" w:cs="Arial"/>
                <w:sz w:val="20"/>
                <w:szCs w:val="20"/>
              </w:rPr>
              <w:t>6</w:t>
            </w:r>
          </w:p>
        </w:tc>
        <w:tc>
          <w:tcPr>
            <w:tcW w:w="1141" w:type="dxa"/>
            <w:vAlign w:val="bottom"/>
          </w:tcPr>
          <w:p w:rsidR="003B0815" w:rsidRDefault="003B0815" w14:paraId="14229688" w14:textId="77777777">
            <w:pPr>
              <w:keepNext/>
              <w:jc w:val="right"/>
              <w:rPr>
                <w:rFonts w:ascii="Arial" w:hAnsi="Arial"/>
                <w:sz w:val="20"/>
                <w:szCs w:val="20"/>
              </w:rPr>
            </w:pPr>
            <w:r>
              <w:rPr>
                <w:rFonts w:ascii="Arial" w:hAnsi="Arial" w:cs="Arial"/>
                <w:sz w:val="20"/>
                <w:szCs w:val="20"/>
              </w:rPr>
              <w:t>$4,880,000</w:t>
            </w:r>
          </w:p>
        </w:tc>
        <w:tc>
          <w:tcPr>
            <w:tcW w:w="866" w:type="dxa"/>
            <w:vAlign w:val="bottom"/>
          </w:tcPr>
          <w:p w:rsidR="003B0815" w:rsidRDefault="003B0815" w14:paraId="0DF5A073" w14:textId="77777777">
            <w:pPr>
              <w:keepNext/>
              <w:jc w:val="right"/>
              <w:rPr>
                <w:rFonts w:ascii="Arial" w:hAnsi="Arial" w:cs="Arial"/>
                <w:sz w:val="20"/>
                <w:szCs w:val="20"/>
              </w:rPr>
            </w:pPr>
            <w:r>
              <w:rPr>
                <w:rFonts w:ascii="Arial" w:hAnsi="Arial" w:cs="Arial"/>
                <w:sz w:val="20"/>
                <w:szCs w:val="20"/>
              </w:rPr>
              <w:t>8</w:t>
            </w:r>
          </w:p>
        </w:tc>
        <w:tc>
          <w:tcPr>
            <w:tcW w:w="1552" w:type="dxa"/>
            <w:vAlign w:val="bottom"/>
          </w:tcPr>
          <w:p w:rsidR="003B0815" w:rsidRDefault="003B0815" w14:paraId="2319025E" w14:textId="77777777">
            <w:pPr>
              <w:keepNext/>
              <w:jc w:val="right"/>
              <w:rPr>
                <w:rFonts w:ascii="Arial" w:hAnsi="Arial" w:cs="Arial"/>
                <w:b/>
                <w:sz w:val="20"/>
                <w:szCs w:val="20"/>
              </w:rPr>
            </w:pPr>
            <w:r>
              <w:rPr>
                <w:rFonts w:ascii="Arial" w:hAnsi="Arial" w:cs="Arial"/>
                <w:sz w:val="20"/>
                <w:szCs w:val="20"/>
              </w:rPr>
              <w:t>$300,000</w:t>
            </w:r>
          </w:p>
        </w:tc>
        <w:tc>
          <w:tcPr>
            <w:tcW w:w="1187" w:type="dxa"/>
            <w:tcBorders>
              <w:right w:val="double" w:color="auto" w:sz="4" w:space="0"/>
            </w:tcBorders>
            <w:shd w:val="clear" w:color="auto" w:fill="CCCCCC"/>
            <w:vAlign w:val="bottom"/>
          </w:tcPr>
          <w:p w:rsidR="003B0815" w:rsidRDefault="003B0815" w14:paraId="117C9888" w14:textId="77777777">
            <w:pPr>
              <w:keepNext/>
              <w:jc w:val="right"/>
              <w:rPr>
                <w:rFonts w:ascii="Arial" w:hAnsi="Arial"/>
                <w:b/>
                <w:sz w:val="20"/>
                <w:szCs w:val="20"/>
              </w:rPr>
            </w:pPr>
            <w:r>
              <w:rPr>
                <w:rFonts w:ascii="Arial" w:hAnsi="Arial" w:cs="Arial"/>
                <w:sz w:val="20"/>
                <w:szCs w:val="20"/>
              </w:rPr>
              <w:t>$31,700,000</w:t>
            </w:r>
          </w:p>
        </w:tc>
        <w:tc>
          <w:tcPr>
            <w:tcW w:w="869" w:type="dxa"/>
            <w:tcBorders>
              <w:left w:val="double" w:color="auto" w:sz="4" w:space="0"/>
            </w:tcBorders>
            <w:vAlign w:val="bottom"/>
          </w:tcPr>
          <w:p w:rsidR="003B0815" w:rsidRDefault="003B0815" w14:paraId="73F45EB6" w14:textId="77777777">
            <w:pPr>
              <w:keepNext/>
              <w:jc w:val="right"/>
              <w:rPr>
                <w:rFonts w:ascii="Arial" w:hAnsi="Arial" w:cs="Arial"/>
                <w:sz w:val="20"/>
                <w:szCs w:val="20"/>
              </w:rPr>
            </w:pPr>
            <w:r>
              <w:rPr>
                <w:rFonts w:ascii="Arial" w:hAnsi="Arial" w:cs="Arial"/>
                <w:sz w:val="20"/>
                <w:szCs w:val="20"/>
              </w:rPr>
              <w:t>6</w:t>
            </w:r>
          </w:p>
        </w:tc>
        <w:tc>
          <w:tcPr>
            <w:tcW w:w="1028" w:type="dxa"/>
            <w:tcBorders>
              <w:right w:val="double" w:color="auto" w:sz="4" w:space="0"/>
            </w:tcBorders>
            <w:vAlign w:val="bottom"/>
          </w:tcPr>
          <w:p w:rsidR="003B0815" w:rsidRDefault="003B0815" w14:paraId="00E26CFF" w14:textId="77777777">
            <w:pPr>
              <w:keepNext/>
              <w:jc w:val="right"/>
              <w:rPr>
                <w:rFonts w:ascii="Arial" w:hAnsi="Arial"/>
                <w:sz w:val="20"/>
                <w:szCs w:val="20"/>
              </w:rPr>
            </w:pPr>
            <w:r>
              <w:rPr>
                <w:rFonts w:ascii="Arial" w:hAnsi="Arial" w:cs="Arial"/>
                <w:sz w:val="20"/>
                <w:szCs w:val="20"/>
              </w:rPr>
              <w:t>$140,000</w:t>
            </w:r>
          </w:p>
        </w:tc>
        <w:tc>
          <w:tcPr>
            <w:tcW w:w="1082" w:type="dxa"/>
            <w:tcBorders>
              <w:left w:val="double" w:color="auto" w:sz="4" w:space="0"/>
              <w:right w:val="single" w:color="auto" w:sz="12" w:space="0"/>
            </w:tcBorders>
            <w:shd w:val="clear" w:color="auto" w:fill="CCCCCC"/>
            <w:vAlign w:val="bottom"/>
          </w:tcPr>
          <w:p w:rsidR="003B0815" w:rsidRDefault="003B0815" w14:paraId="097C364D" w14:textId="77777777">
            <w:pPr>
              <w:keepNext/>
              <w:jc w:val="right"/>
              <w:rPr>
                <w:rFonts w:ascii="Arial" w:hAnsi="Arial"/>
                <w:b/>
                <w:sz w:val="20"/>
                <w:szCs w:val="20"/>
              </w:rPr>
            </w:pPr>
            <w:r>
              <w:rPr>
                <w:rFonts w:ascii="Arial" w:hAnsi="Arial" w:cs="Arial"/>
                <w:sz w:val="20"/>
                <w:szCs w:val="20"/>
              </w:rPr>
              <w:t>$840,000</w:t>
            </w:r>
          </w:p>
        </w:tc>
      </w:tr>
      <w:tr w:rsidR="003B0815" w14:paraId="5A27D38F" w14:textId="77777777">
        <w:trPr>
          <w:jc w:val="center"/>
        </w:trPr>
        <w:tc>
          <w:tcPr>
            <w:tcW w:w="832" w:type="dxa"/>
            <w:tcBorders>
              <w:left w:val="single" w:color="auto" w:sz="12" w:space="0"/>
            </w:tcBorders>
            <w:vAlign w:val="bottom"/>
          </w:tcPr>
          <w:p w:rsidR="003B0815" w:rsidRDefault="003B0815" w14:paraId="7C7E4686" w14:textId="77777777">
            <w:pPr>
              <w:keepNext/>
              <w:rPr>
                <w:rFonts w:ascii="Arial" w:hAnsi="Arial"/>
                <w:sz w:val="20"/>
                <w:szCs w:val="20"/>
              </w:rPr>
            </w:pPr>
            <w:r>
              <w:rPr>
                <w:rFonts w:ascii="Arial" w:hAnsi="Arial"/>
                <w:sz w:val="20"/>
                <w:szCs w:val="20"/>
              </w:rPr>
              <w:t>Group 3</w:t>
            </w:r>
          </w:p>
        </w:tc>
        <w:tc>
          <w:tcPr>
            <w:tcW w:w="861" w:type="dxa"/>
            <w:vAlign w:val="bottom"/>
          </w:tcPr>
          <w:p w:rsidR="003B0815" w:rsidRDefault="003B0815" w14:paraId="13648A3A" w14:textId="77777777">
            <w:pPr>
              <w:keepNext/>
              <w:jc w:val="center"/>
              <w:rPr>
                <w:rFonts w:ascii="Arial" w:hAnsi="Arial"/>
                <w:sz w:val="20"/>
                <w:szCs w:val="20"/>
              </w:rPr>
            </w:pPr>
            <w:r>
              <w:rPr>
                <w:rFonts w:ascii="Arial" w:hAnsi="Arial" w:cs="Arial"/>
                <w:sz w:val="20"/>
                <w:szCs w:val="20"/>
              </w:rPr>
              <w:t>9</w:t>
            </w:r>
          </w:p>
        </w:tc>
        <w:tc>
          <w:tcPr>
            <w:tcW w:w="1141" w:type="dxa"/>
            <w:vAlign w:val="bottom"/>
          </w:tcPr>
          <w:p w:rsidR="003B0815" w:rsidRDefault="003B0815" w14:paraId="13179D2D" w14:textId="77777777">
            <w:pPr>
              <w:keepNext/>
              <w:jc w:val="right"/>
              <w:rPr>
                <w:rFonts w:ascii="Arial" w:hAnsi="Arial"/>
                <w:sz w:val="20"/>
                <w:szCs w:val="20"/>
              </w:rPr>
            </w:pPr>
            <w:r>
              <w:rPr>
                <w:rFonts w:ascii="Arial" w:hAnsi="Arial" w:cs="Arial"/>
                <w:sz w:val="20"/>
                <w:szCs w:val="20"/>
              </w:rPr>
              <w:t>$1,625,000</w:t>
            </w:r>
          </w:p>
        </w:tc>
        <w:tc>
          <w:tcPr>
            <w:tcW w:w="866" w:type="dxa"/>
            <w:vAlign w:val="bottom"/>
          </w:tcPr>
          <w:p w:rsidR="003B0815" w:rsidRDefault="003B0815" w14:paraId="0BF5937A" w14:textId="77777777">
            <w:pPr>
              <w:keepNext/>
              <w:jc w:val="right"/>
              <w:rPr>
                <w:rFonts w:ascii="Arial" w:hAnsi="Arial" w:cs="Arial"/>
                <w:sz w:val="20"/>
                <w:szCs w:val="20"/>
              </w:rPr>
            </w:pPr>
            <w:r>
              <w:rPr>
                <w:rFonts w:ascii="Arial" w:hAnsi="Arial" w:cs="Arial"/>
                <w:sz w:val="20"/>
                <w:szCs w:val="20"/>
              </w:rPr>
              <w:t>9</w:t>
            </w:r>
          </w:p>
        </w:tc>
        <w:tc>
          <w:tcPr>
            <w:tcW w:w="1552" w:type="dxa"/>
            <w:vAlign w:val="bottom"/>
          </w:tcPr>
          <w:p w:rsidR="003B0815" w:rsidRDefault="003B0815" w14:paraId="672777C6" w14:textId="77777777">
            <w:pPr>
              <w:keepNext/>
              <w:jc w:val="right"/>
              <w:rPr>
                <w:rFonts w:ascii="Arial" w:hAnsi="Arial" w:cs="Arial"/>
                <w:b/>
                <w:sz w:val="20"/>
                <w:szCs w:val="20"/>
              </w:rPr>
            </w:pPr>
            <w:r>
              <w:rPr>
                <w:rFonts w:ascii="Arial" w:hAnsi="Arial" w:cs="Arial"/>
                <w:sz w:val="20"/>
                <w:szCs w:val="20"/>
              </w:rPr>
              <w:t>$100,000</w:t>
            </w:r>
          </w:p>
        </w:tc>
        <w:tc>
          <w:tcPr>
            <w:tcW w:w="1187" w:type="dxa"/>
            <w:tcBorders>
              <w:right w:val="double" w:color="auto" w:sz="4" w:space="0"/>
            </w:tcBorders>
            <w:shd w:val="clear" w:color="auto" w:fill="CCCCCC"/>
            <w:vAlign w:val="bottom"/>
          </w:tcPr>
          <w:p w:rsidR="003B0815" w:rsidRDefault="003B0815" w14:paraId="702AD991" w14:textId="77777777">
            <w:pPr>
              <w:keepNext/>
              <w:jc w:val="right"/>
              <w:rPr>
                <w:rFonts w:ascii="Arial" w:hAnsi="Arial"/>
                <w:b/>
                <w:sz w:val="20"/>
                <w:szCs w:val="20"/>
              </w:rPr>
            </w:pPr>
            <w:r>
              <w:rPr>
                <w:rFonts w:ascii="Arial" w:hAnsi="Arial" w:cs="Arial"/>
                <w:sz w:val="20"/>
                <w:szCs w:val="20"/>
              </w:rPr>
              <w:t>$15,500,000</w:t>
            </w:r>
          </w:p>
        </w:tc>
        <w:tc>
          <w:tcPr>
            <w:tcW w:w="869" w:type="dxa"/>
            <w:tcBorders>
              <w:left w:val="double" w:color="auto" w:sz="4" w:space="0"/>
            </w:tcBorders>
            <w:vAlign w:val="bottom"/>
          </w:tcPr>
          <w:p w:rsidR="003B0815" w:rsidRDefault="003B0815" w14:paraId="36E98C6F" w14:textId="77777777">
            <w:pPr>
              <w:keepNext/>
              <w:jc w:val="right"/>
              <w:rPr>
                <w:rFonts w:ascii="Arial" w:hAnsi="Arial" w:cs="Arial"/>
                <w:sz w:val="20"/>
                <w:szCs w:val="20"/>
              </w:rPr>
            </w:pPr>
            <w:r>
              <w:rPr>
                <w:rFonts w:ascii="Arial" w:hAnsi="Arial" w:cs="Arial"/>
                <w:sz w:val="20"/>
                <w:szCs w:val="20"/>
              </w:rPr>
              <w:t>9</w:t>
            </w:r>
          </w:p>
        </w:tc>
        <w:tc>
          <w:tcPr>
            <w:tcW w:w="1028" w:type="dxa"/>
            <w:tcBorders>
              <w:right w:val="double" w:color="auto" w:sz="4" w:space="0"/>
            </w:tcBorders>
            <w:vAlign w:val="bottom"/>
          </w:tcPr>
          <w:p w:rsidR="003B0815" w:rsidRDefault="003B0815" w14:paraId="38BD426F" w14:textId="77777777">
            <w:pPr>
              <w:keepNext/>
              <w:jc w:val="right"/>
              <w:rPr>
                <w:rFonts w:ascii="Arial" w:hAnsi="Arial"/>
                <w:sz w:val="20"/>
                <w:szCs w:val="20"/>
              </w:rPr>
            </w:pPr>
            <w:r>
              <w:rPr>
                <w:rFonts w:ascii="Arial" w:hAnsi="Arial" w:cs="Arial"/>
                <w:sz w:val="20"/>
                <w:szCs w:val="20"/>
              </w:rPr>
              <w:t>$46,000</w:t>
            </w:r>
          </w:p>
        </w:tc>
        <w:tc>
          <w:tcPr>
            <w:tcW w:w="1082" w:type="dxa"/>
            <w:tcBorders>
              <w:left w:val="double" w:color="auto" w:sz="4" w:space="0"/>
              <w:right w:val="single" w:color="auto" w:sz="12" w:space="0"/>
            </w:tcBorders>
            <w:shd w:val="clear" w:color="auto" w:fill="CCCCCC"/>
            <w:vAlign w:val="bottom"/>
          </w:tcPr>
          <w:p w:rsidR="003B0815" w:rsidRDefault="003B0815" w14:paraId="4FAA7A6F" w14:textId="77777777">
            <w:pPr>
              <w:keepNext/>
              <w:jc w:val="right"/>
              <w:rPr>
                <w:rFonts w:ascii="Arial" w:hAnsi="Arial"/>
                <w:b/>
                <w:sz w:val="20"/>
                <w:szCs w:val="20"/>
              </w:rPr>
            </w:pPr>
            <w:r>
              <w:rPr>
                <w:rFonts w:ascii="Arial" w:hAnsi="Arial" w:cs="Arial"/>
                <w:sz w:val="20"/>
                <w:szCs w:val="20"/>
              </w:rPr>
              <w:t>$414,000</w:t>
            </w:r>
          </w:p>
        </w:tc>
      </w:tr>
      <w:tr w:rsidR="003B0815" w14:paraId="187C38CE" w14:textId="77777777">
        <w:trPr>
          <w:jc w:val="center"/>
        </w:trPr>
        <w:tc>
          <w:tcPr>
            <w:tcW w:w="832" w:type="dxa"/>
            <w:tcBorders>
              <w:left w:val="single" w:color="auto" w:sz="12" w:space="0"/>
              <w:bottom w:val="single" w:color="auto" w:sz="4" w:space="0"/>
            </w:tcBorders>
            <w:vAlign w:val="bottom"/>
          </w:tcPr>
          <w:p w:rsidR="003B0815" w:rsidRDefault="003B0815" w14:paraId="44EBE99E" w14:textId="77777777">
            <w:pPr>
              <w:keepNext/>
              <w:rPr>
                <w:rFonts w:ascii="Arial" w:hAnsi="Arial"/>
                <w:sz w:val="20"/>
                <w:szCs w:val="20"/>
              </w:rPr>
            </w:pPr>
            <w:r>
              <w:rPr>
                <w:rFonts w:ascii="Arial" w:hAnsi="Arial"/>
                <w:sz w:val="20"/>
                <w:szCs w:val="20"/>
              </w:rPr>
              <w:t>Group 4</w:t>
            </w:r>
          </w:p>
        </w:tc>
        <w:tc>
          <w:tcPr>
            <w:tcW w:w="861" w:type="dxa"/>
            <w:tcBorders>
              <w:bottom w:val="single" w:color="auto" w:sz="4" w:space="0"/>
            </w:tcBorders>
            <w:vAlign w:val="bottom"/>
          </w:tcPr>
          <w:p w:rsidR="003B0815" w:rsidRDefault="003B0815" w14:paraId="296E35FB" w14:textId="77777777">
            <w:pPr>
              <w:keepNext/>
              <w:jc w:val="center"/>
              <w:rPr>
                <w:rFonts w:ascii="Arial" w:hAnsi="Arial"/>
                <w:sz w:val="20"/>
                <w:szCs w:val="20"/>
              </w:rPr>
            </w:pPr>
            <w:r>
              <w:rPr>
                <w:rFonts w:ascii="Arial" w:hAnsi="Arial" w:cs="Arial"/>
                <w:sz w:val="20"/>
                <w:szCs w:val="20"/>
              </w:rPr>
              <w:t>13</w:t>
            </w:r>
          </w:p>
        </w:tc>
        <w:tc>
          <w:tcPr>
            <w:tcW w:w="1141" w:type="dxa"/>
            <w:tcBorders>
              <w:bottom w:val="single" w:color="auto" w:sz="4" w:space="0"/>
            </w:tcBorders>
            <w:vAlign w:val="bottom"/>
          </w:tcPr>
          <w:p w:rsidR="003B0815" w:rsidRDefault="003B0815" w14:paraId="0419A106" w14:textId="77777777">
            <w:pPr>
              <w:keepNext/>
              <w:jc w:val="right"/>
              <w:rPr>
                <w:rFonts w:ascii="Arial" w:hAnsi="Arial"/>
                <w:sz w:val="20"/>
                <w:szCs w:val="20"/>
              </w:rPr>
            </w:pPr>
            <w:r>
              <w:rPr>
                <w:rFonts w:ascii="Arial" w:hAnsi="Arial" w:cs="Arial"/>
                <w:sz w:val="20"/>
                <w:szCs w:val="20"/>
              </w:rPr>
              <w:t>$650,000</w:t>
            </w:r>
          </w:p>
        </w:tc>
        <w:tc>
          <w:tcPr>
            <w:tcW w:w="866" w:type="dxa"/>
            <w:tcBorders>
              <w:bottom w:val="single" w:color="auto" w:sz="4" w:space="0"/>
            </w:tcBorders>
            <w:vAlign w:val="bottom"/>
          </w:tcPr>
          <w:p w:rsidR="003B0815" w:rsidRDefault="003B0815" w14:paraId="6643178D" w14:textId="77777777">
            <w:pPr>
              <w:keepNext/>
              <w:jc w:val="right"/>
              <w:rPr>
                <w:rFonts w:ascii="Arial" w:hAnsi="Arial" w:cs="Arial"/>
                <w:sz w:val="20"/>
                <w:szCs w:val="20"/>
              </w:rPr>
            </w:pPr>
            <w:r>
              <w:rPr>
                <w:rFonts w:ascii="Arial" w:hAnsi="Arial" w:cs="Arial"/>
                <w:sz w:val="20"/>
                <w:szCs w:val="20"/>
              </w:rPr>
              <w:t>13</w:t>
            </w:r>
          </w:p>
        </w:tc>
        <w:tc>
          <w:tcPr>
            <w:tcW w:w="1552" w:type="dxa"/>
            <w:tcBorders>
              <w:bottom w:val="single" w:color="auto" w:sz="4" w:space="0"/>
            </w:tcBorders>
            <w:vAlign w:val="bottom"/>
          </w:tcPr>
          <w:p w:rsidR="003B0815" w:rsidRDefault="003B0815" w14:paraId="36EB7B27" w14:textId="77777777">
            <w:pPr>
              <w:keepNext/>
              <w:jc w:val="right"/>
              <w:rPr>
                <w:rFonts w:ascii="Arial" w:hAnsi="Arial" w:cs="Arial"/>
                <w:b/>
                <w:sz w:val="20"/>
                <w:szCs w:val="20"/>
              </w:rPr>
            </w:pPr>
            <w:r>
              <w:rPr>
                <w:rFonts w:ascii="Arial" w:hAnsi="Arial" w:cs="Arial"/>
                <w:sz w:val="20"/>
                <w:szCs w:val="20"/>
              </w:rPr>
              <w:t>$100,000</w:t>
            </w:r>
          </w:p>
        </w:tc>
        <w:tc>
          <w:tcPr>
            <w:tcW w:w="1187" w:type="dxa"/>
            <w:tcBorders>
              <w:bottom w:val="single" w:color="auto" w:sz="4" w:space="0"/>
              <w:right w:val="double" w:color="auto" w:sz="4" w:space="0"/>
            </w:tcBorders>
            <w:shd w:val="clear" w:color="auto" w:fill="CCCCCC"/>
            <w:vAlign w:val="bottom"/>
          </w:tcPr>
          <w:p w:rsidR="003B0815" w:rsidRDefault="003B0815" w14:paraId="02E05579" w14:textId="77777777">
            <w:pPr>
              <w:keepNext/>
              <w:jc w:val="right"/>
              <w:rPr>
                <w:rFonts w:ascii="Arial" w:hAnsi="Arial"/>
                <w:b/>
                <w:sz w:val="20"/>
                <w:szCs w:val="20"/>
              </w:rPr>
            </w:pPr>
            <w:r>
              <w:rPr>
                <w:rFonts w:ascii="Arial" w:hAnsi="Arial" w:cs="Arial"/>
                <w:sz w:val="20"/>
                <w:szCs w:val="20"/>
              </w:rPr>
              <w:t>$9,800,000</w:t>
            </w:r>
          </w:p>
        </w:tc>
        <w:tc>
          <w:tcPr>
            <w:tcW w:w="869" w:type="dxa"/>
            <w:tcBorders>
              <w:left w:val="double" w:color="auto" w:sz="4" w:space="0"/>
              <w:bottom w:val="single" w:color="auto" w:sz="4" w:space="0"/>
            </w:tcBorders>
            <w:vAlign w:val="bottom"/>
          </w:tcPr>
          <w:p w:rsidR="003B0815" w:rsidRDefault="003B0815" w14:paraId="733BAF50" w14:textId="77777777">
            <w:pPr>
              <w:keepNext/>
              <w:jc w:val="right"/>
              <w:rPr>
                <w:rFonts w:ascii="Arial" w:hAnsi="Arial" w:cs="Arial"/>
                <w:sz w:val="20"/>
                <w:szCs w:val="20"/>
              </w:rPr>
            </w:pPr>
            <w:r>
              <w:rPr>
                <w:rFonts w:ascii="Arial" w:hAnsi="Arial" w:cs="Arial"/>
                <w:sz w:val="20"/>
                <w:szCs w:val="20"/>
              </w:rPr>
              <w:t>13</w:t>
            </w:r>
          </w:p>
        </w:tc>
        <w:tc>
          <w:tcPr>
            <w:tcW w:w="1028" w:type="dxa"/>
            <w:tcBorders>
              <w:bottom w:val="single" w:color="auto" w:sz="4" w:space="0"/>
              <w:right w:val="double" w:color="auto" w:sz="4" w:space="0"/>
            </w:tcBorders>
            <w:vAlign w:val="bottom"/>
          </w:tcPr>
          <w:p w:rsidR="003B0815" w:rsidRDefault="003B0815" w14:paraId="53C17E49" w14:textId="77777777">
            <w:pPr>
              <w:keepNext/>
              <w:jc w:val="right"/>
              <w:rPr>
                <w:rFonts w:ascii="Arial" w:hAnsi="Arial"/>
                <w:sz w:val="20"/>
                <w:szCs w:val="20"/>
              </w:rPr>
            </w:pPr>
            <w:r>
              <w:rPr>
                <w:rFonts w:ascii="Arial" w:hAnsi="Arial" w:cs="Arial"/>
                <w:sz w:val="20"/>
                <w:szCs w:val="20"/>
              </w:rPr>
              <w:t>$18,400</w:t>
            </w:r>
          </w:p>
        </w:tc>
        <w:tc>
          <w:tcPr>
            <w:tcW w:w="1082" w:type="dxa"/>
            <w:tcBorders>
              <w:left w:val="double" w:color="auto" w:sz="4" w:space="0"/>
              <w:bottom w:val="single" w:color="auto" w:sz="4" w:space="0"/>
              <w:right w:val="single" w:color="auto" w:sz="12" w:space="0"/>
            </w:tcBorders>
            <w:shd w:val="clear" w:color="auto" w:fill="CCCCCC"/>
            <w:vAlign w:val="bottom"/>
          </w:tcPr>
          <w:p w:rsidR="003B0815" w:rsidRDefault="003B0815" w14:paraId="4116886B" w14:textId="77777777">
            <w:pPr>
              <w:keepNext/>
              <w:jc w:val="right"/>
              <w:rPr>
                <w:rFonts w:ascii="Arial" w:hAnsi="Arial"/>
                <w:b/>
                <w:sz w:val="20"/>
                <w:szCs w:val="20"/>
              </w:rPr>
            </w:pPr>
            <w:r>
              <w:rPr>
                <w:rFonts w:ascii="Arial" w:hAnsi="Arial" w:cs="Arial"/>
                <w:sz w:val="20"/>
                <w:szCs w:val="20"/>
              </w:rPr>
              <w:t>$239,200</w:t>
            </w:r>
          </w:p>
        </w:tc>
      </w:tr>
      <w:tr w:rsidR="003B0815" w14:paraId="669478AD" w14:textId="77777777">
        <w:trPr>
          <w:jc w:val="center"/>
        </w:trPr>
        <w:tc>
          <w:tcPr>
            <w:tcW w:w="832" w:type="dxa"/>
            <w:tcBorders>
              <w:left w:val="single" w:color="auto" w:sz="12" w:space="0"/>
              <w:bottom w:val="single" w:color="auto" w:sz="12" w:space="0"/>
            </w:tcBorders>
            <w:vAlign w:val="bottom"/>
          </w:tcPr>
          <w:p w:rsidR="003B0815" w:rsidRDefault="003B0815" w14:paraId="709BF8B2" w14:textId="77777777">
            <w:pPr>
              <w:rPr>
                <w:rFonts w:ascii="Arial" w:hAnsi="Arial"/>
                <w:b/>
                <w:sz w:val="20"/>
                <w:szCs w:val="20"/>
              </w:rPr>
            </w:pPr>
            <w:r>
              <w:rPr>
                <w:rFonts w:ascii="Arial" w:hAnsi="Arial"/>
                <w:b/>
                <w:sz w:val="20"/>
                <w:szCs w:val="20"/>
              </w:rPr>
              <w:t>Total</w:t>
            </w:r>
          </w:p>
        </w:tc>
        <w:tc>
          <w:tcPr>
            <w:tcW w:w="861" w:type="dxa"/>
            <w:tcBorders>
              <w:bottom w:val="single" w:color="auto" w:sz="12" w:space="0"/>
              <w:right w:val="nil"/>
            </w:tcBorders>
            <w:vAlign w:val="bottom"/>
          </w:tcPr>
          <w:p w:rsidR="003B0815" w:rsidRDefault="003B0815" w14:paraId="2AA0B7E8" w14:textId="77777777">
            <w:pPr>
              <w:jc w:val="center"/>
              <w:rPr>
                <w:rFonts w:ascii="Arial" w:hAnsi="Arial"/>
                <w:b/>
                <w:sz w:val="20"/>
                <w:szCs w:val="20"/>
              </w:rPr>
            </w:pPr>
            <w:r>
              <w:rPr>
                <w:rFonts w:ascii="Arial" w:hAnsi="Arial" w:cs="Arial"/>
                <w:sz w:val="20"/>
                <w:szCs w:val="20"/>
              </w:rPr>
              <w:t>29</w:t>
            </w:r>
          </w:p>
        </w:tc>
        <w:tc>
          <w:tcPr>
            <w:tcW w:w="1141" w:type="dxa"/>
            <w:tcBorders>
              <w:left w:val="nil"/>
              <w:bottom w:val="single" w:color="auto" w:sz="12" w:space="0"/>
              <w:right w:val="nil"/>
            </w:tcBorders>
            <w:vAlign w:val="bottom"/>
          </w:tcPr>
          <w:p w:rsidR="003B0815" w:rsidRDefault="003B0815" w14:paraId="72BC00D7" w14:textId="77777777">
            <w:pPr>
              <w:jc w:val="right"/>
              <w:rPr>
                <w:rFonts w:ascii="Arial" w:hAnsi="Arial"/>
                <w:b/>
                <w:sz w:val="20"/>
                <w:szCs w:val="20"/>
              </w:rPr>
            </w:pPr>
            <w:r>
              <w:rPr>
                <w:rFonts w:ascii="Arial" w:hAnsi="Arial" w:cs="Arial"/>
                <w:sz w:val="20"/>
                <w:szCs w:val="20"/>
              </w:rPr>
              <w:t> </w:t>
            </w:r>
          </w:p>
        </w:tc>
        <w:tc>
          <w:tcPr>
            <w:tcW w:w="866" w:type="dxa"/>
            <w:tcBorders>
              <w:left w:val="nil"/>
              <w:bottom w:val="single" w:color="auto" w:sz="12" w:space="0"/>
              <w:right w:val="nil"/>
            </w:tcBorders>
            <w:vAlign w:val="bottom"/>
          </w:tcPr>
          <w:p w:rsidR="003B0815" w:rsidRDefault="003B0815" w14:paraId="317935D6" w14:textId="77777777">
            <w:pPr>
              <w:jc w:val="right"/>
              <w:rPr>
                <w:rFonts w:ascii="Arial" w:hAnsi="Arial" w:cs="Arial"/>
                <w:b/>
                <w:sz w:val="20"/>
                <w:szCs w:val="20"/>
              </w:rPr>
            </w:pPr>
            <w:r>
              <w:rPr>
                <w:rFonts w:ascii="Arial" w:hAnsi="Arial" w:cs="Arial"/>
                <w:sz w:val="20"/>
                <w:szCs w:val="20"/>
              </w:rPr>
              <w:t>40</w:t>
            </w:r>
          </w:p>
        </w:tc>
        <w:tc>
          <w:tcPr>
            <w:tcW w:w="1552" w:type="dxa"/>
            <w:tcBorders>
              <w:left w:val="nil"/>
              <w:bottom w:val="single" w:color="auto" w:sz="12" w:space="0"/>
              <w:right w:val="nil"/>
            </w:tcBorders>
            <w:vAlign w:val="bottom"/>
          </w:tcPr>
          <w:p w:rsidR="003B0815" w:rsidRDefault="003B0815" w14:paraId="121324CB" w14:textId="77777777">
            <w:pPr>
              <w:jc w:val="right"/>
              <w:rPr>
                <w:rFonts w:ascii="Arial" w:hAnsi="Arial" w:cs="Arial"/>
                <w:b/>
                <w:sz w:val="20"/>
                <w:szCs w:val="20"/>
              </w:rPr>
            </w:pPr>
            <w:r>
              <w:rPr>
                <w:rFonts w:ascii="Arial" w:hAnsi="Arial" w:cs="Arial"/>
                <w:b/>
                <w:bCs/>
                <w:sz w:val="20"/>
                <w:szCs w:val="20"/>
              </w:rPr>
              <w:t> </w:t>
            </w:r>
          </w:p>
        </w:tc>
        <w:tc>
          <w:tcPr>
            <w:tcW w:w="1187" w:type="dxa"/>
            <w:tcBorders>
              <w:left w:val="nil"/>
              <w:bottom w:val="single" w:color="auto" w:sz="12" w:space="0"/>
              <w:right w:val="double" w:color="auto" w:sz="4" w:space="0"/>
            </w:tcBorders>
            <w:vAlign w:val="bottom"/>
          </w:tcPr>
          <w:p w:rsidR="003B0815" w:rsidRDefault="003B0815" w14:paraId="03772F41" w14:textId="77777777">
            <w:pPr>
              <w:jc w:val="right"/>
              <w:rPr>
                <w:rFonts w:ascii="Arial" w:hAnsi="Arial"/>
                <w:b/>
                <w:sz w:val="20"/>
                <w:szCs w:val="20"/>
              </w:rPr>
            </w:pPr>
            <w:r>
              <w:rPr>
                <w:rFonts w:ascii="Arial" w:hAnsi="Arial" w:cs="Arial"/>
                <w:b/>
                <w:bCs/>
                <w:sz w:val="20"/>
                <w:szCs w:val="20"/>
              </w:rPr>
              <w:t>$67,500,000</w:t>
            </w:r>
          </w:p>
        </w:tc>
        <w:tc>
          <w:tcPr>
            <w:tcW w:w="869" w:type="dxa"/>
            <w:tcBorders>
              <w:left w:val="double" w:color="auto" w:sz="4" w:space="0"/>
              <w:bottom w:val="single" w:color="auto" w:sz="12" w:space="0"/>
              <w:right w:val="nil"/>
            </w:tcBorders>
            <w:vAlign w:val="bottom"/>
          </w:tcPr>
          <w:p w:rsidR="003B0815" w:rsidRDefault="003B0815" w14:paraId="0E5C8A3D" w14:textId="77777777">
            <w:pPr>
              <w:jc w:val="right"/>
              <w:rPr>
                <w:rFonts w:ascii="Arial" w:hAnsi="Arial" w:cs="Arial"/>
                <w:b/>
                <w:sz w:val="20"/>
                <w:szCs w:val="20"/>
              </w:rPr>
            </w:pPr>
            <w:r>
              <w:rPr>
                <w:rFonts w:ascii="Arial" w:hAnsi="Arial" w:cs="Arial"/>
                <w:sz w:val="20"/>
                <w:szCs w:val="20"/>
              </w:rPr>
              <w:t>29</w:t>
            </w:r>
          </w:p>
        </w:tc>
        <w:tc>
          <w:tcPr>
            <w:tcW w:w="1028" w:type="dxa"/>
            <w:tcBorders>
              <w:left w:val="nil"/>
              <w:bottom w:val="single" w:color="auto" w:sz="12" w:space="0"/>
              <w:right w:val="double" w:color="auto" w:sz="4" w:space="0"/>
            </w:tcBorders>
            <w:vAlign w:val="bottom"/>
          </w:tcPr>
          <w:p w:rsidR="003B0815" w:rsidRDefault="003B0815" w14:paraId="0F2FED6D" w14:textId="77777777">
            <w:pPr>
              <w:jc w:val="right"/>
              <w:rPr>
                <w:rFonts w:ascii="Arial" w:hAnsi="Arial"/>
                <w:b/>
                <w:sz w:val="20"/>
                <w:szCs w:val="20"/>
              </w:rPr>
            </w:pPr>
            <w:r>
              <w:rPr>
                <w:rFonts w:ascii="Arial" w:hAnsi="Arial" w:cs="Arial"/>
                <w:b/>
                <w:bCs/>
                <w:sz w:val="20"/>
                <w:szCs w:val="20"/>
              </w:rPr>
              <w:t> </w:t>
            </w:r>
          </w:p>
        </w:tc>
        <w:tc>
          <w:tcPr>
            <w:tcW w:w="1082" w:type="dxa"/>
            <w:tcBorders>
              <w:left w:val="double" w:color="auto" w:sz="4" w:space="0"/>
              <w:bottom w:val="single" w:color="auto" w:sz="12" w:space="0"/>
              <w:right w:val="single" w:color="auto" w:sz="12" w:space="0"/>
            </w:tcBorders>
            <w:vAlign w:val="bottom"/>
          </w:tcPr>
          <w:p w:rsidR="003B0815" w:rsidRDefault="003B0815" w14:paraId="3CB428F8" w14:textId="77777777">
            <w:pPr>
              <w:jc w:val="right"/>
              <w:rPr>
                <w:rFonts w:ascii="Arial" w:hAnsi="Arial"/>
                <w:b/>
                <w:sz w:val="20"/>
                <w:szCs w:val="20"/>
              </w:rPr>
            </w:pPr>
            <w:r>
              <w:rPr>
                <w:rFonts w:ascii="Arial" w:hAnsi="Arial" w:cs="Arial"/>
                <w:b/>
                <w:bCs/>
                <w:sz w:val="20"/>
                <w:szCs w:val="20"/>
              </w:rPr>
              <w:t>$1,700,000</w:t>
            </w:r>
          </w:p>
        </w:tc>
      </w:tr>
    </w:tbl>
    <w:p w:rsidR="003B0815" w:rsidRDefault="003B0815" w14:paraId="68E662BB" w14:textId="77777777">
      <w:pPr>
        <w:spacing w:line="360" w:lineRule="auto"/>
        <w:ind w:firstLine="720"/>
      </w:pPr>
    </w:p>
    <w:p w:rsidR="003B0815" w:rsidRDefault="003B0815" w14:paraId="696690A0" w14:textId="77777777">
      <w:pPr>
        <w:spacing w:line="360" w:lineRule="auto"/>
        <w:ind w:firstLine="720"/>
      </w:pPr>
      <w:r>
        <w:t>Table 1.6.2.d presents the ten-year costs for domestic marketing airlines.  The primary scenario is the midpoint of the high and low scenarios.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6"/>
        <w:gridCol w:w="1154"/>
        <w:gridCol w:w="1080"/>
        <w:gridCol w:w="1260"/>
      </w:tblGrid>
      <w:tr w:rsidR="003B0815" w14:paraId="59CF7FFC" w14:textId="77777777">
        <w:trPr>
          <w:jc w:val="center"/>
        </w:trPr>
        <w:tc>
          <w:tcPr>
            <w:tcW w:w="4320" w:type="dxa"/>
            <w:gridSpan w:val="4"/>
            <w:tcBorders>
              <w:top w:val="nil"/>
              <w:left w:val="nil"/>
              <w:bottom w:val="single" w:color="auto" w:sz="12" w:space="0"/>
              <w:right w:val="nil"/>
            </w:tcBorders>
          </w:tcPr>
          <w:p w:rsidR="003B0815" w:rsidRDefault="003B0815" w14:paraId="1EC72B29" w14:textId="77777777">
            <w:pPr>
              <w:pStyle w:val="RegEvalTableHeader"/>
              <w:keepNext/>
            </w:pPr>
            <w:bookmarkStart w:name="_Toc165278381" w:id="255"/>
            <w:bookmarkStart w:name="_Toc174438382" w:id="256"/>
            <w:bookmarkStart w:name="_Toc207109517" w:id="257"/>
            <w:r>
              <w:t>Table 1.6.2.d  Total Domestic Reprogramming and Implementation Costs (millions of 2005 $)</w:t>
            </w:r>
            <w:bookmarkEnd w:id="255"/>
            <w:bookmarkEnd w:id="256"/>
            <w:bookmarkEnd w:id="257"/>
          </w:p>
        </w:tc>
      </w:tr>
      <w:tr w:rsidR="003B0815" w14:paraId="259C2A24" w14:textId="77777777">
        <w:trPr>
          <w:jc w:val="center"/>
        </w:trPr>
        <w:tc>
          <w:tcPr>
            <w:tcW w:w="826" w:type="dxa"/>
            <w:tcBorders>
              <w:top w:val="single" w:color="auto" w:sz="12" w:space="0"/>
              <w:left w:val="single" w:color="auto" w:sz="12" w:space="0"/>
            </w:tcBorders>
            <w:vAlign w:val="center"/>
          </w:tcPr>
          <w:p w:rsidR="003B0815" w:rsidRDefault="003B0815" w14:paraId="086DDA51" w14:textId="77777777">
            <w:pPr>
              <w:keepNext/>
              <w:jc w:val="center"/>
              <w:rPr>
                <w:b/>
              </w:rPr>
            </w:pPr>
            <w:r>
              <w:rPr>
                <w:rFonts w:ascii="Arial" w:hAnsi="Arial" w:cs="Arial"/>
                <w:b/>
                <w:bCs/>
                <w:sz w:val="20"/>
                <w:szCs w:val="20"/>
              </w:rPr>
              <w:t>Year</w:t>
            </w:r>
          </w:p>
        </w:tc>
        <w:tc>
          <w:tcPr>
            <w:tcW w:w="1154" w:type="dxa"/>
            <w:tcBorders>
              <w:top w:val="single" w:color="auto" w:sz="12" w:space="0"/>
              <w:bottom w:val="single" w:color="auto" w:sz="4" w:space="0"/>
            </w:tcBorders>
            <w:vAlign w:val="center"/>
          </w:tcPr>
          <w:p w:rsidR="003B0815" w:rsidRDefault="003B0815" w14:paraId="795CFAE3" w14:textId="77777777">
            <w:pPr>
              <w:keepNext/>
              <w:jc w:val="center"/>
              <w:rPr>
                <w:b/>
              </w:rPr>
            </w:pPr>
            <w:r>
              <w:rPr>
                <w:rFonts w:ascii="Arial" w:hAnsi="Arial" w:cs="Arial"/>
                <w:b/>
                <w:bCs/>
                <w:sz w:val="20"/>
                <w:szCs w:val="20"/>
              </w:rPr>
              <w:t>Primary Scenario</w:t>
            </w:r>
          </w:p>
        </w:tc>
        <w:tc>
          <w:tcPr>
            <w:tcW w:w="1080" w:type="dxa"/>
            <w:tcBorders>
              <w:top w:val="single" w:color="auto" w:sz="12" w:space="0"/>
              <w:bottom w:val="single" w:color="auto" w:sz="4" w:space="0"/>
            </w:tcBorders>
            <w:vAlign w:val="center"/>
          </w:tcPr>
          <w:p w:rsidR="003B0815" w:rsidRDefault="003B0815" w14:paraId="7F11CFC5" w14:textId="77777777">
            <w:pPr>
              <w:keepNext/>
              <w:jc w:val="center"/>
              <w:rPr>
                <w:b/>
              </w:rPr>
            </w:pPr>
            <w:r>
              <w:rPr>
                <w:rFonts w:ascii="Arial" w:hAnsi="Arial" w:cs="Arial"/>
                <w:b/>
                <w:bCs/>
                <w:sz w:val="20"/>
                <w:szCs w:val="20"/>
              </w:rPr>
              <w:t>Low Scenario</w:t>
            </w:r>
          </w:p>
        </w:tc>
        <w:tc>
          <w:tcPr>
            <w:tcW w:w="1260" w:type="dxa"/>
            <w:tcBorders>
              <w:top w:val="single" w:color="auto" w:sz="12" w:space="0"/>
              <w:bottom w:val="single" w:color="auto" w:sz="4" w:space="0"/>
              <w:right w:val="single" w:color="auto" w:sz="12" w:space="0"/>
            </w:tcBorders>
            <w:vAlign w:val="center"/>
          </w:tcPr>
          <w:p w:rsidR="003B0815" w:rsidRDefault="003B0815" w14:paraId="695CBBC3" w14:textId="77777777">
            <w:pPr>
              <w:keepNext/>
              <w:jc w:val="center"/>
              <w:rPr>
                <w:b/>
              </w:rPr>
            </w:pPr>
            <w:r>
              <w:rPr>
                <w:rFonts w:ascii="Arial" w:hAnsi="Arial" w:cs="Arial"/>
                <w:b/>
                <w:bCs/>
                <w:sz w:val="20"/>
                <w:szCs w:val="20"/>
              </w:rPr>
              <w:t>High Scenario</w:t>
            </w:r>
          </w:p>
        </w:tc>
      </w:tr>
      <w:tr w:rsidR="003B0815" w14:paraId="3844D676" w14:textId="77777777">
        <w:trPr>
          <w:jc w:val="center"/>
        </w:trPr>
        <w:tc>
          <w:tcPr>
            <w:tcW w:w="826" w:type="dxa"/>
            <w:tcBorders>
              <w:left w:val="single" w:color="auto" w:sz="12" w:space="0"/>
            </w:tcBorders>
            <w:vAlign w:val="bottom"/>
          </w:tcPr>
          <w:p w:rsidR="003B0815" w:rsidRDefault="003B0815" w14:paraId="73097C0B" w14:textId="77777777">
            <w:pPr>
              <w:keepNext/>
              <w:jc w:val="center"/>
            </w:pPr>
            <w:r>
              <w:rPr>
                <w:rFonts w:ascii="Arial" w:hAnsi="Arial"/>
                <w:sz w:val="20"/>
                <w:szCs w:val="20"/>
              </w:rPr>
              <w:t>1</w:t>
            </w:r>
          </w:p>
        </w:tc>
        <w:tc>
          <w:tcPr>
            <w:tcW w:w="1154" w:type="dxa"/>
            <w:shd w:val="clear" w:color="auto" w:fill="CCCCCC"/>
            <w:vAlign w:val="bottom"/>
          </w:tcPr>
          <w:p w:rsidR="003B0815" w:rsidRDefault="003B0815" w14:paraId="4DE8B173" w14:textId="77777777">
            <w:pPr>
              <w:keepNext/>
              <w:jc w:val="center"/>
            </w:pPr>
            <w:r>
              <w:rPr>
                <w:rFonts w:ascii="Arial" w:hAnsi="Arial" w:cs="Arial"/>
                <w:sz w:val="20"/>
                <w:szCs w:val="20"/>
              </w:rPr>
              <w:t>$101.6</w:t>
            </w:r>
          </w:p>
        </w:tc>
        <w:tc>
          <w:tcPr>
            <w:tcW w:w="1080" w:type="dxa"/>
            <w:shd w:val="clear" w:color="auto" w:fill="CCCCCC"/>
            <w:vAlign w:val="bottom"/>
          </w:tcPr>
          <w:p w:rsidR="003B0815" w:rsidRDefault="003B0815" w14:paraId="72EC6191" w14:textId="77777777">
            <w:pPr>
              <w:keepNext/>
              <w:jc w:val="center"/>
            </w:pPr>
            <w:r>
              <w:rPr>
                <w:rFonts w:ascii="Arial" w:hAnsi="Arial" w:cs="Arial"/>
                <w:sz w:val="20"/>
                <w:szCs w:val="20"/>
              </w:rPr>
              <w:t>$67.5</w:t>
            </w:r>
          </w:p>
        </w:tc>
        <w:tc>
          <w:tcPr>
            <w:tcW w:w="1260" w:type="dxa"/>
            <w:tcBorders>
              <w:right w:val="single" w:color="auto" w:sz="12" w:space="0"/>
            </w:tcBorders>
            <w:shd w:val="clear" w:color="auto" w:fill="CCCCCC"/>
            <w:vAlign w:val="bottom"/>
          </w:tcPr>
          <w:p w:rsidR="003B0815" w:rsidRDefault="003B0815" w14:paraId="7167DAE1" w14:textId="77777777">
            <w:pPr>
              <w:keepNext/>
              <w:jc w:val="center"/>
            </w:pPr>
            <w:r>
              <w:rPr>
                <w:rFonts w:ascii="Arial" w:hAnsi="Arial" w:cs="Arial"/>
                <w:sz w:val="20"/>
                <w:szCs w:val="20"/>
              </w:rPr>
              <w:t>$135.7</w:t>
            </w:r>
          </w:p>
        </w:tc>
      </w:tr>
      <w:tr w:rsidR="003B0815" w14:paraId="428868D0" w14:textId="77777777">
        <w:trPr>
          <w:jc w:val="center"/>
        </w:trPr>
        <w:tc>
          <w:tcPr>
            <w:tcW w:w="826" w:type="dxa"/>
            <w:tcBorders>
              <w:left w:val="single" w:color="auto" w:sz="12" w:space="0"/>
            </w:tcBorders>
            <w:vAlign w:val="bottom"/>
          </w:tcPr>
          <w:p w:rsidR="003B0815" w:rsidRDefault="003B0815" w14:paraId="43E435EC" w14:textId="77777777">
            <w:pPr>
              <w:keepNext/>
              <w:jc w:val="center"/>
            </w:pPr>
            <w:r>
              <w:rPr>
                <w:rFonts w:ascii="Arial" w:hAnsi="Arial"/>
                <w:sz w:val="20"/>
                <w:szCs w:val="20"/>
              </w:rPr>
              <w:t>2</w:t>
            </w:r>
          </w:p>
        </w:tc>
        <w:tc>
          <w:tcPr>
            <w:tcW w:w="1154" w:type="dxa"/>
            <w:shd w:val="clear" w:color="auto" w:fill="CCCCCC"/>
            <w:vAlign w:val="bottom"/>
          </w:tcPr>
          <w:p w:rsidR="003B0815" w:rsidRDefault="003B0815" w14:paraId="24F57C66"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78B20A7A"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6148D7B7" w14:textId="77777777">
            <w:pPr>
              <w:keepNext/>
              <w:jc w:val="center"/>
            </w:pPr>
            <w:r>
              <w:rPr>
                <w:rFonts w:ascii="Arial" w:hAnsi="Arial" w:cs="Arial"/>
                <w:sz w:val="20"/>
                <w:szCs w:val="20"/>
              </w:rPr>
              <w:t>3.5</w:t>
            </w:r>
          </w:p>
        </w:tc>
      </w:tr>
      <w:tr w:rsidR="003B0815" w14:paraId="5CC46890" w14:textId="77777777">
        <w:trPr>
          <w:jc w:val="center"/>
        </w:trPr>
        <w:tc>
          <w:tcPr>
            <w:tcW w:w="826" w:type="dxa"/>
            <w:tcBorders>
              <w:left w:val="single" w:color="auto" w:sz="12" w:space="0"/>
            </w:tcBorders>
            <w:vAlign w:val="bottom"/>
          </w:tcPr>
          <w:p w:rsidR="003B0815" w:rsidRDefault="003B0815" w14:paraId="0629CB88" w14:textId="77777777">
            <w:pPr>
              <w:keepNext/>
              <w:jc w:val="center"/>
            </w:pPr>
            <w:r>
              <w:rPr>
                <w:rFonts w:ascii="Arial" w:hAnsi="Arial"/>
                <w:sz w:val="20"/>
                <w:szCs w:val="20"/>
              </w:rPr>
              <w:t>3</w:t>
            </w:r>
          </w:p>
        </w:tc>
        <w:tc>
          <w:tcPr>
            <w:tcW w:w="1154" w:type="dxa"/>
            <w:shd w:val="clear" w:color="auto" w:fill="CCCCCC"/>
            <w:vAlign w:val="bottom"/>
          </w:tcPr>
          <w:p w:rsidR="003B0815" w:rsidRDefault="003B0815" w14:paraId="0C71DD54"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0744867B"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6AE7E18A" w14:textId="77777777">
            <w:pPr>
              <w:keepNext/>
              <w:jc w:val="center"/>
            </w:pPr>
            <w:r>
              <w:rPr>
                <w:rFonts w:ascii="Arial" w:hAnsi="Arial" w:cs="Arial"/>
                <w:sz w:val="20"/>
                <w:szCs w:val="20"/>
              </w:rPr>
              <w:t>3.5</w:t>
            </w:r>
          </w:p>
        </w:tc>
      </w:tr>
      <w:tr w:rsidR="003B0815" w14:paraId="3B8169AE" w14:textId="77777777">
        <w:trPr>
          <w:jc w:val="center"/>
        </w:trPr>
        <w:tc>
          <w:tcPr>
            <w:tcW w:w="826" w:type="dxa"/>
            <w:tcBorders>
              <w:left w:val="single" w:color="auto" w:sz="12" w:space="0"/>
            </w:tcBorders>
            <w:vAlign w:val="bottom"/>
          </w:tcPr>
          <w:p w:rsidR="003B0815" w:rsidRDefault="003B0815" w14:paraId="75EC38D9" w14:textId="77777777">
            <w:pPr>
              <w:keepNext/>
              <w:jc w:val="center"/>
            </w:pPr>
            <w:r>
              <w:rPr>
                <w:rFonts w:ascii="Arial" w:hAnsi="Arial"/>
                <w:sz w:val="20"/>
                <w:szCs w:val="20"/>
              </w:rPr>
              <w:t>4</w:t>
            </w:r>
          </w:p>
        </w:tc>
        <w:tc>
          <w:tcPr>
            <w:tcW w:w="1154" w:type="dxa"/>
            <w:shd w:val="clear" w:color="auto" w:fill="CCCCCC"/>
            <w:vAlign w:val="bottom"/>
          </w:tcPr>
          <w:p w:rsidR="003B0815" w:rsidRDefault="003B0815" w14:paraId="024DC330"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7C45C0B5"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1AFEC968" w14:textId="77777777">
            <w:pPr>
              <w:keepNext/>
              <w:jc w:val="center"/>
            </w:pPr>
            <w:r>
              <w:rPr>
                <w:rFonts w:ascii="Arial" w:hAnsi="Arial" w:cs="Arial"/>
                <w:sz w:val="20"/>
                <w:szCs w:val="20"/>
              </w:rPr>
              <w:t>3.5</w:t>
            </w:r>
          </w:p>
        </w:tc>
      </w:tr>
      <w:tr w:rsidR="003B0815" w14:paraId="4CDFF1C1" w14:textId="77777777">
        <w:trPr>
          <w:jc w:val="center"/>
        </w:trPr>
        <w:tc>
          <w:tcPr>
            <w:tcW w:w="826" w:type="dxa"/>
            <w:tcBorders>
              <w:left w:val="single" w:color="auto" w:sz="12" w:space="0"/>
            </w:tcBorders>
            <w:vAlign w:val="bottom"/>
          </w:tcPr>
          <w:p w:rsidR="003B0815" w:rsidRDefault="003B0815" w14:paraId="6EC01C50" w14:textId="77777777">
            <w:pPr>
              <w:keepNext/>
              <w:jc w:val="center"/>
            </w:pPr>
            <w:r>
              <w:rPr>
                <w:rFonts w:ascii="Arial" w:hAnsi="Arial"/>
                <w:sz w:val="20"/>
                <w:szCs w:val="20"/>
              </w:rPr>
              <w:t>5</w:t>
            </w:r>
          </w:p>
        </w:tc>
        <w:tc>
          <w:tcPr>
            <w:tcW w:w="1154" w:type="dxa"/>
            <w:shd w:val="clear" w:color="auto" w:fill="CCCCCC"/>
            <w:vAlign w:val="bottom"/>
          </w:tcPr>
          <w:p w:rsidR="003B0815" w:rsidRDefault="003B0815" w14:paraId="5B0B1CAD"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5457FD2D"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4E988981" w14:textId="77777777">
            <w:pPr>
              <w:keepNext/>
              <w:jc w:val="center"/>
            </w:pPr>
            <w:r>
              <w:rPr>
                <w:rFonts w:ascii="Arial" w:hAnsi="Arial" w:cs="Arial"/>
                <w:sz w:val="20"/>
                <w:szCs w:val="20"/>
              </w:rPr>
              <w:t>3.5</w:t>
            </w:r>
          </w:p>
        </w:tc>
      </w:tr>
      <w:tr w:rsidR="003B0815" w14:paraId="7D9DF713" w14:textId="77777777">
        <w:trPr>
          <w:jc w:val="center"/>
        </w:trPr>
        <w:tc>
          <w:tcPr>
            <w:tcW w:w="826" w:type="dxa"/>
            <w:tcBorders>
              <w:left w:val="single" w:color="auto" w:sz="12" w:space="0"/>
            </w:tcBorders>
            <w:vAlign w:val="bottom"/>
          </w:tcPr>
          <w:p w:rsidR="003B0815" w:rsidRDefault="003B0815" w14:paraId="464A556D" w14:textId="77777777">
            <w:pPr>
              <w:keepNext/>
              <w:jc w:val="center"/>
            </w:pPr>
            <w:r>
              <w:rPr>
                <w:rFonts w:ascii="Arial" w:hAnsi="Arial"/>
                <w:sz w:val="20"/>
                <w:szCs w:val="20"/>
              </w:rPr>
              <w:t>6</w:t>
            </w:r>
          </w:p>
        </w:tc>
        <w:tc>
          <w:tcPr>
            <w:tcW w:w="1154" w:type="dxa"/>
            <w:shd w:val="clear" w:color="auto" w:fill="CCCCCC"/>
            <w:vAlign w:val="bottom"/>
          </w:tcPr>
          <w:p w:rsidR="003B0815" w:rsidRDefault="003B0815" w14:paraId="2CBC080C"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448D78D8"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0261D110" w14:textId="77777777">
            <w:pPr>
              <w:keepNext/>
              <w:jc w:val="center"/>
            </w:pPr>
            <w:r>
              <w:rPr>
                <w:rFonts w:ascii="Arial" w:hAnsi="Arial" w:cs="Arial"/>
                <w:sz w:val="20"/>
                <w:szCs w:val="20"/>
              </w:rPr>
              <w:t>3.5</w:t>
            </w:r>
          </w:p>
        </w:tc>
      </w:tr>
      <w:tr w:rsidR="003B0815" w14:paraId="50FF3FC1" w14:textId="77777777">
        <w:trPr>
          <w:jc w:val="center"/>
        </w:trPr>
        <w:tc>
          <w:tcPr>
            <w:tcW w:w="826" w:type="dxa"/>
            <w:tcBorders>
              <w:left w:val="single" w:color="auto" w:sz="12" w:space="0"/>
            </w:tcBorders>
            <w:vAlign w:val="bottom"/>
          </w:tcPr>
          <w:p w:rsidR="003B0815" w:rsidRDefault="003B0815" w14:paraId="301C90D0" w14:textId="77777777">
            <w:pPr>
              <w:keepNext/>
              <w:jc w:val="center"/>
            </w:pPr>
            <w:r>
              <w:rPr>
                <w:rFonts w:ascii="Arial" w:hAnsi="Arial"/>
                <w:sz w:val="20"/>
                <w:szCs w:val="20"/>
              </w:rPr>
              <w:t>7</w:t>
            </w:r>
          </w:p>
        </w:tc>
        <w:tc>
          <w:tcPr>
            <w:tcW w:w="1154" w:type="dxa"/>
            <w:shd w:val="clear" w:color="auto" w:fill="CCCCCC"/>
            <w:vAlign w:val="bottom"/>
          </w:tcPr>
          <w:p w:rsidR="003B0815" w:rsidRDefault="003B0815" w14:paraId="52EC3E2C"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4C1A0A2E"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1E056BA4" w14:textId="77777777">
            <w:pPr>
              <w:keepNext/>
              <w:jc w:val="center"/>
            </w:pPr>
            <w:r>
              <w:rPr>
                <w:rFonts w:ascii="Arial" w:hAnsi="Arial" w:cs="Arial"/>
                <w:sz w:val="20"/>
                <w:szCs w:val="20"/>
              </w:rPr>
              <w:t>3.5</w:t>
            </w:r>
          </w:p>
        </w:tc>
      </w:tr>
      <w:tr w:rsidR="003B0815" w14:paraId="260C1CE0" w14:textId="77777777">
        <w:trPr>
          <w:jc w:val="center"/>
        </w:trPr>
        <w:tc>
          <w:tcPr>
            <w:tcW w:w="826" w:type="dxa"/>
            <w:tcBorders>
              <w:left w:val="single" w:color="auto" w:sz="12" w:space="0"/>
            </w:tcBorders>
            <w:vAlign w:val="bottom"/>
          </w:tcPr>
          <w:p w:rsidR="003B0815" w:rsidRDefault="003B0815" w14:paraId="6B3DAC66" w14:textId="77777777">
            <w:pPr>
              <w:keepNext/>
              <w:jc w:val="center"/>
            </w:pPr>
            <w:r>
              <w:rPr>
                <w:rFonts w:ascii="Arial" w:hAnsi="Arial"/>
                <w:sz w:val="20"/>
                <w:szCs w:val="20"/>
              </w:rPr>
              <w:t>8</w:t>
            </w:r>
          </w:p>
        </w:tc>
        <w:tc>
          <w:tcPr>
            <w:tcW w:w="1154" w:type="dxa"/>
            <w:shd w:val="clear" w:color="auto" w:fill="CCCCCC"/>
            <w:vAlign w:val="bottom"/>
          </w:tcPr>
          <w:p w:rsidR="003B0815" w:rsidRDefault="003B0815" w14:paraId="380BA45D"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31AD5F6C"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633291B1" w14:textId="77777777">
            <w:pPr>
              <w:keepNext/>
              <w:jc w:val="center"/>
            </w:pPr>
            <w:r>
              <w:rPr>
                <w:rFonts w:ascii="Arial" w:hAnsi="Arial" w:cs="Arial"/>
                <w:sz w:val="20"/>
                <w:szCs w:val="20"/>
              </w:rPr>
              <w:t>3.5</w:t>
            </w:r>
          </w:p>
        </w:tc>
      </w:tr>
      <w:tr w:rsidR="003B0815" w14:paraId="668571AF" w14:textId="77777777">
        <w:trPr>
          <w:jc w:val="center"/>
        </w:trPr>
        <w:tc>
          <w:tcPr>
            <w:tcW w:w="826" w:type="dxa"/>
            <w:tcBorders>
              <w:left w:val="single" w:color="auto" w:sz="12" w:space="0"/>
            </w:tcBorders>
            <w:vAlign w:val="bottom"/>
          </w:tcPr>
          <w:p w:rsidR="003B0815" w:rsidRDefault="003B0815" w14:paraId="39BC9498" w14:textId="77777777">
            <w:pPr>
              <w:keepNext/>
              <w:jc w:val="center"/>
            </w:pPr>
            <w:r>
              <w:rPr>
                <w:rFonts w:ascii="Arial" w:hAnsi="Arial"/>
                <w:sz w:val="20"/>
                <w:szCs w:val="20"/>
              </w:rPr>
              <w:t>9</w:t>
            </w:r>
          </w:p>
        </w:tc>
        <w:tc>
          <w:tcPr>
            <w:tcW w:w="1154" w:type="dxa"/>
            <w:shd w:val="clear" w:color="auto" w:fill="CCCCCC"/>
            <w:vAlign w:val="bottom"/>
          </w:tcPr>
          <w:p w:rsidR="003B0815" w:rsidRDefault="003B0815" w14:paraId="129D4F2F" w14:textId="77777777">
            <w:pPr>
              <w:keepNext/>
              <w:jc w:val="center"/>
            </w:pPr>
            <w:r>
              <w:rPr>
                <w:rFonts w:ascii="Arial" w:hAnsi="Arial" w:cs="Arial"/>
                <w:sz w:val="20"/>
                <w:szCs w:val="20"/>
              </w:rPr>
              <w:t>2.6</w:t>
            </w:r>
          </w:p>
        </w:tc>
        <w:tc>
          <w:tcPr>
            <w:tcW w:w="1080" w:type="dxa"/>
            <w:shd w:val="clear" w:color="auto" w:fill="CCCCCC"/>
            <w:vAlign w:val="bottom"/>
          </w:tcPr>
          <w:p w:rsidR="003B0815" w:rsidRDefault="003B0815" w14:paraId="37F367E3" w14:textId="77777777">
            <w:pPr>
              <w:keepNext/>
              <w:jc w:val="center"/>
            </w:pPr>
            <w:r>
              <w:rPr>
                <w:rFonts w:ascii="Arial" w:hAnsi="Arial" w:cs="Arial"/>
                <w:sz w:val="20"/>
                <w:szCs w:val="20"/>
              </w:rPr>
              <w:t>1.7</w:t>
            </w:r>
          </w:p>
        </w:tc>
        <w:tc>
          <w:tcPr>
            <w:tcW w:w="1260" w:type="dxa"/>
            <w:tcBorders>
              <w:right w:val="single" w:color="auto" w:sz="12" w:space="0"/>
            </w:tcBorders>
            <w:shd w:val="clear" w:color="auto" w:fill="CCCCCC"/>
            <w:vAlign w:val="bottom"/>
          </w:tcPr>
          <w:p w:rsidR="003B0815" w:rsidRDefault="003B0815" w14:paraId="0FE53095" w14:textId="77777777">
            <w:pPr>
              <w:keepNext/>
              <w:jc w:val="center"/>
            </w:pPr>
            <w:r>
              <w:rPr>
                <w:rFonts w:ascii="Arial" w:hAnsi="Arial" w:cs="Arial"/>
                <w:sz w:val="20"/>
                <w:szCs w:val="20"/>
              </w:rPr>
              <w:t>3.5</w:t>
            </w:r>
          </w:p>
        </w:tc>
      </w:tr>
      <w:tr w:rsidR="003B0815" w14:paraId="198CDDE5" w14:textId="77777777">
        <w:trPr>
          <w:jc w:val="center"/>
        </w:trPr>
        <w:tc>
          <w:tcPr>
            <w:tcW w:w="826" w:type="dxa"/>
            <w:tcBorders>
              <w:left w:val="single" w:color="auto" w:sz="12" w:space="0"/>
              <w:bottom w:val="single" w:color="auto" w:sz="4" w:space="0"/>
            </w:tcBorders>
            <w:vAlign w:val="bottom"/>
          </w:tcPr>
          <w:p w:rsidR="003B0815" w:rsidRDefault="003B0815" w14:paraId="28673133" w14:textId="77777777">
            <w:pPr>
              <w:keepNext/>
              <w:jc w:val="center"/>
            </w:pPr>
            <w:r>
              <w:rPr>
                <w:rFonts w:ascii="Arial" w:hAnsi="Arial"/>
                <w:sz w:val="20"/>
                <w:szCs w:val="20"/>
              </w:rPr>
              <w:t>10</w:t>
            </w:r>
          </w:p>
        </w:tc>
        <w:tc>
          <w:tcPr>
            <w:tcW w:w="1154" w:type="dxa"/>
            <w:tcBorders>
              <w:bottom w:val="single" w:color="auto" w:sz="4" w:space="0"/>
            </w:tcBorders>
            <w:shd w:val="clear" w:color="auto" w:fill="CCCCCC"/>
            <w:vAlign w:val="bottom"/>
          </w:tcPr>
          <w:p w:rsidR="003B0815" w:rsidRDefault="003B0815" w14:paraId="19D73737" w14:textId="77777777">
            <w:pPr>
              <w:keepNext/>
              <w:jc w:val="center"/>
            </w:pPr>
            <w:r>
              <w:rPr>
                <w:rFonts w:ascii="Arial" w:hAnsi="Arial" w:cs="Arial"/>
                <w:sz w:val="20"/>
                <w:szCs w:val="20"/>
              </w:rPr>
              <w:t>$2.6</w:t>
            </w:r>
          </w:p>
        </w:tc>
        <w:tc>
          <w:tcPr>
            <w:tcW w:w="1080" w:type="dxa"/>
            <w:tcBorders>
              <w:bottom w:val="single" w:color="auto" w:sz="4" w:space="0"/>
            </w:tcBorders>
            <w:shd w:val="clear" w:color="auto" w:fill="CCCCCC"/>
            <w:vAlign w:val="bottom"/>
          </w:tcPr>
          <w:p w:rsidR="003B0815" w:rsidRDefault="003B0815" w14:paraId="706DE99B" w14:textId="77777777">
            <w:pPr>
              <w:keepNext/>
              <w:jc w:val="center"/>
            </w:pPr>
            <w:r>
              <w:rPr>
                <w:rFonts w:ascii="Arial" w:hAnsi="Arial" w:cs="Arial"/>
                <w:sz w:val="20"/>
                <w:szCs w:val="20"/>
              </w:rPr>
              <w:t>$1.7</w:t>
            </w:r>
          </w:p>
        </w:tc>
        <w:tc>
          <w:tcPr>
            <w:tcW w:w="1260" w:type="dxa"/>
            <w:tcBorders>
              <w:bottom w:val="single" w:color="auto" w:sz="4" w:space="0"/>
              <w:right w:val="single" w:color="auto" w:sz="12" w:space="0"/>
            </w:tcBorders>
            <w:shd w:val="clear" w:color="auto" w:fill="CCCCCC"/>
            <w:vAlign w:val="bottom"/>
          </w:tcPr>
          <w:p w:rsidR="003B0815" w:rsidRDefault="003B0815" w14:paraId="43A7DB17" w14:textId="77777777">
            <w:pPr>
              <w:keepNext/>
              <w:jc w:val="center"/>
            </w:pPr>
            <w:r>
              <w:rPr>
                <w:rFonts w:ascii="Arial" w:hAnsi="Arial" w:cs="Arial"/>
                <w:sz w:val="20"/>
                <w:szCs w:val="20"/>
              </w:rPr>
              <w:t>$3.5</w:t>
            </w:r>
          </w:p>
        </w:tc>
      </w:tr>
      <w:tr w:rsidR="003B0815" w14:paraId="521902ED" w14:textId="77777777">
        <w:trPr>
          <w:jc w:val="center"/>
        </w:trPr>
        <w:tc>
          <w:tcPr>
            <w:tcW w:w="826" w:type="dxa"/>
            <w:tcBorders>
              <w:left w:val="single" w:color="auto" w:sz="12" w:space="0"/>
              <w:bottom w:val="single" w:color="auto" w:sz="12" w:space="0"/>
              <w:right w:val="nil"/>
            </w:tcBorders>
            <w:vAlign w:val="bottom"/>
          </w:tcPr>
          <w:p w:rsidR="003B0815" w:rsidRDefault="003B0815" w14:paraId="4C295A2E" w14:textId="77777777">
            <w:pPr>
              <w:jc w:val="center"/>
            </w:pPr>
            <w:r>
              <w:rPr>
                <w:rFonts w:ascii="Arial" w:hAnsi="Arial" w:cs="Arial"/>
                <w:b/>
                <w:bCs/>
                <w:sz w:val="20"/>
                <w:szCs w:val="20"/>
              </w:rPr>
              <w:t>Total</w:t>
            </w:r>
          </w:p>
        </w:tc>
        <w:tc>
          <w:tcPr>
            <w:tcW w:w="1154" w:type="dxa"/>
            <w:tcBorders>
              <w:left w:val="nil"/>
              <w:bottom w:val="single" w:color="auto" w:sz="12" w:space="0"/>
              <w:right w:val="nil"/>
            </w:tcBorders>
            <w:vAlign w:val="bottom"/>
          </w:tcPr>
          <w:p w:rsidR="003B0815" w:rsidRDefault="003B0815" w14:paraId="69757531" w14:textId="77777777">
            <w:pPr>
              <w:jc w:val="center"/>
            </w:pPr>
            <w:r>
              <w:rPr>
                <w:rFonts w:ascii="Arial" w:hAnsi="Arial" w:cs="Arial"/>
                <w:b/>
                <w:bCs/>
                <w:sz w:val="20"/>
                <w:szCs w:val="20"/>
              </w:rPr>
              <w:t>$125.0</w:t>
            </w:r>
          </w:p>
        </w:tc>
        <w:tc>
          <w:tcPr>
            <w:tcW w:w="1080" w:type="dxa"/>
            <w:tcBorders>
              <w:left w:val="nil"/>
              <w:bottom w:val="single" w:color="auto" w:sz="12" w:space="0"/>
              <w:right w:val="nil"/>
            </w:tcBorders>
            <w:vAlign w:val="bottom"/>
          </w:tcPr>
          <w:p w:rsidR="003B0815" w:rsidRDefault="003B0815" w14:paraId="5A1DDAE0" w14:textId="77777777">
            <w:pPr>
              <w:jc w:val="center"/>
            </w:pPr>
            <w:r>
              <w:rPr>
                <w:rFonts w:ascii="Arial" w:hAnsi="Arial" w:cs="Arial"/>
                <w:b/>
                <w:bCs/>
                <w:sz w:val="20"/>
                <w:szCs w:val="20"/>
              </w:rPr>
              <w:t>$82.8</w:t>
            </w:r>
          </w:p>
        </w:tc>
        <w:tc>
          <w:tcPr>
            <w:tcW w:w="1260" w:type="dxa"/>
            <w:tcBorders>
              <w:left w:val="nil"/>
              <w:bottom w:val="single" w:color="auto" w:sz="12" w:space="0"/>
              <w:right w:val="single" w:color="auto" w:sz="12" w:space="0"/>
            </w:tcBorders>
            <w:vAlign w:val="bottom"/>
          </w:tcPr>
          <w:p w:rsidR="003B0815" w:rsidRDefault="003B0815" w14:paraId="4662A9CD" w14:textId="77777777">
            <w:pPr>
              <w:jc w:val="center"/>
            </w:pPr>
            <w:r>
              <w:rPr>
                <w:rFonts w:ascii="Arial" w:hAnsi="Arial" w:cs="Arial"/>
                <w:b/>
                <w:bCs/>
                <w:sz w:val="20"/>
                <w:szCs w:val="20"/>
              </w:rPr>
              <w:t>$167.2</w:t>
            </w:r>
          </w:p>
        </w:tc>
      </w:tr>
    </w:tbl>
    <w:p w:rsidR="003B0815" w:rsidRDefault="003B0815" w14:paraId="249215B1" w14:textId="77777777">
      <w:pPr>
        <w:spacing w:line="360" w:lineRule="auto"/>
      </w:pPr>
    </w:p>
    <w:p w:rsidR="003B0815" w:rsidRDefault="003B0815" w14:paraId="1356E7BE" w14:textId="77777777">
      <w:pPr>
        <w:keepNext/>
        <w:spacing w:line="360" w:lineRule="auto"/>
      </w:pPr>
      <w:r>
        <w:rPr>
          <w:b/>
        </w:rPr>
        <w:t>Secure Flight and APIS Quick Query</w:t>
      </w:r>
    </w:p>
    <w:p w:rsidR="003B0815" w:rsidRDefault="003B0815" w14:paraId="08051F98" w14:textId="77777777">
      <w:pPr>
        <w:spacing w:line="360" w:lineRule="auto"/>
        <w:ind w:firstLine="720"/>
      </w:pPr>
      <w:r>
        <w:t xml:space="preserve">Concurrent with the publication of the Secure Flight NPRM, U.S. Customs and Border Protection (CBP) published a final rule modifying requirements for air carriers subject to its Advance Passenger Information System (APIS) regulations.  The modification requires air carriers operating flights to or from the </w:t>
      </w:r>
      <w:smartTag w:uri="urn:schemas-microsoft-com:office:smarttags" w:element="country-region">
        <w:smartTag w:uri="urn:schemas-microsoft-com:office:smarttags" w:element="place">
          <w:r>
            <w:t>United States</w:t>
          </w:r>
        </w:smartTag>
      </w:smartTag>
      <w:r>
        <w:t xml:space="preserve"> to submit passenger manifests prior to the aircraft’s departure.  Previously, carriers subject to CBP regulations submitted these manifests after the departure of the aircraft.</w:t>
      </w:r>
    </w:p>
    <w:p w:rsidR="003B0815" w:rsidRDefault="003B0815" w14:paraId="4799CD34" w14:textId="77777777">
      <w:pPr>
        <w:spacing w:line="360" w:lineRule="auto"/>
        <w:ind w:firstLine="720"/>
      </w:pPr>
      <w:r>
        <w:t>Under previous regulations and security directives, international carriers (a term here collectively referring to U.S. and foreign air carriers operating flights between a U.S. city and a foreign port) were responsible for comparing passenger information to the U.S. government No Fly and Selectee lists, denying boarding to individuals who are determined to be a No Fly match and identifying Selectees for enhanced screening.  These carriers then submitted to CBP a passenger manifest after the departure of the flight.  This information was used for a variety of border enforcement purposes, including a second check of the passengers against the No Fly list.  In some cases, this follow up comparison led to the diversion of flights carrying passengers CBP suspected of being on the No Fly list, resulting in lengthy delays and highlighting the need for a more reliable means of preventing terrorist suspects from boarding an aircraft.</w:t>
      </w:r>
    </w:p>
    <w:p w:rsidR="003B0815" w:rsidRDefault="003B0815" w14:paraId="72622C90" w14:textId="77777777">
      <w:pPr>
        <w:spacing w:line="360" w:lineRule="auto"/>
        <w:ind w:firstLine="720"/>
      </w:pPr>
      <w:r>
        <w:t>The APIS final rule transferred the responsibility for conducting watch list matching from the airlines to CBP.  CBP requires international air carriers to submit passenger information prior to departure and to withhold a passenger’s boarding pass until the airline has received a watch list response for that passenger.  The watch list results are identical to those that are returned by Secure Flight: “cleared,” “selectee,” or “inhibited.”  Inhibited passengers are not issued a boarding pass.</w:t>
      </w:r>
    </w:p>
    <w:p w:rsidR="003B0815" w:rsidRDefault="003B0815" w14:paraId="3B548700" w14:textId="77777777">
      <w:pPr>
        <w:spacing w:line="360" w:lineRule="auto"/>
        <w:ind w:firstLine="720"/>
      </w:pPr>
      <w:r>
        <w:t>Recognizing that inserting this requirement into the international check-in process could result in costly delays or passengers missing their flights, CBP developed a system known as APIS Quick Query (AQQ).  This automated system has the capability to receive a passenger record from an airline and return a gate or boarding pass printing instruction in a matter of seconds.</w:t>
      </w:r>
      <w:bookmarkStart w:name="OLE_LINK26" w:id="258"/>
      <w:bookmarkStart w:name="OLE_LINK27" w:id="259"/>
      <w:r>
        <w:t xml:space="preserve">  Carriers that chose to modify their computer systems to support this interactive messaging capability incurred significant costs.  Nevertheless, some carriers, particularly those handling large volumes of connecting and business travelers determined the expense to be justified.</w:t>
      </w:r>
    </w:p>
    <w:bookmarkEnd w:id="258"/>
    <w:bookmarkEnd w:id="259"/>
    <w:p w:rsidR="003B0815" w:rsidRDefault="003B0815" w14:paraId="34CBDA0D" w14:textId="77777777">
      <w:pPr>
        <w:spacing w:line="360" w:lineRule="auto"/>
        <w:ind w:firstLine="720"/>
      </w:pPr>
      <w:r>
        <w:t>Since many of the carriers for which AQQ is a viable option are also subject to the Secure Flight requirements, DHS purposely coordinated the publication of CBP’s final rule and TSA’s NPRM in order to provide carriers with as much information as possible to inform their business decisions.  For example, to minimize airline reprogramming for carriers choosing to implement AQQ, DHS built a router that receives all information submitted from the airlines.  This router extracts only the information required by DHS and sends it to the appropriate agency.  Thus, prior to Secure Flight, all information goes to CBP.  As Secure Flight becomes operational, however, the router sends information needed for border enforcement to CBP and information needed for watch list matching to TSA.</w:t>
      </w:r>
    </w:p>
    <w:p w:rsidR="003B0815" w:rsidRDefault="003B0815" w14:paraId="0B78F067" w14:textId="77777777">
      <w:pPr>
        <w:spacing w:line="360" w:lineRule="auto"/>
        <w:ind w:firstLine="720"/>
      </w:pPr>
      <w:r>
        <w:t>Although DHS is taking such steps to minimize the impact to airlines, the Secure Flight requirements require some changes of the airlines beyond what is specified in the APIS final rule.  Given that Secure Flight performs matching not only for most international passengers covered by APIS but also for all passengers aboard covered U.S. carriers and passengers overflying the U.S., TSA has determined these changes are necessary to enable TSA to handle the anticipated volume of watch list matching requests.  Thus, under Secure Flight airlines must submit their passenger information required for watch list matching, as available, beginning approximately 72 hours prior to the scheduled departure of the flight.  In order to comply with this requirement, airlines are required to obtain each passenger’s full name, date of birth, gender, and, if available, a Redress Number.  DHS assumes airlines will build this requirement into their existing reservation processes; however, the regulation does not require this if airlines find it cost-effective to adopt a different approach.  Presently, airlines reporting to APIS collect passenger information during the check-in process, often through a passport swipe.</w:t>
      </w:r>
    </w:p>
    <w:p w:rsidR="003B0815" w:rsidRDefault="003B0815" w14:paraId="39AB646D" w14:textId="77777777">
      <w:pPr>
        <w:spacing w:line="360" w:lineRule="auto"/>
        <w:ind w:firstLine="720"/>
      </w:pPr>
      <w:r>
        <w:t xml:space="preserve">Other than this change, however, DHS has attempted to make the Secure Flight requirements as close as possible to the APIS process.  This is both to minimize the costs for airlines that are fully operational in APIS prior to the Secure Flight transition, and to allow airlines to take advantage of direct or indirect experience they have gained with the APIS program when implementing Secure Flight.  For example, after the required 72 hour batch transition of available information, the airlines may transition to an AQQ format as the departure time approaches, or they may continue to update information in batch mode.  In substance, DHS has sought to ensure that the Secure Flight transmission requirements are identical to those established in the APIS final rule, with the exception of the initial 72-hour transmission.  As a result, aside from the initial transmission requirements, the requirements of Secure Flight are identical to the baseline created by the APIS pre-departure final rule.  </w:t>
      </w:r>
    </w:p>
    <w:p w:rsidR="003B0815" w:rsidRDefault="003B0815" w14:paraId="7F388E99" w14:textId="77777777">
      <w:pPr>
        <w:spacing w:line="360" w:lineRule="auto"/>
        <w:ind w:firstLine="720"/>
        <w:rPr>
          <w:b/>
        </w:rPr>
      </w:pPr>
      <w:r>
        <w:t>Given these considerations, CBP estimated a broad range of costs when evaluating airline decisions to implement AQQ in response to CBP’s final rule.  Recognizing this same uncertainty and to avoid double-counting, TSA has adopted these assumptions in estimating its range of airline reprogramming and implementation costs to comply with this TSA final rule.  Accordingly, TSA has assumed in its high scenario that all carriers subject to both the APIS and Secure Flight rules have chosen not to implement AQQ but are waiting to modify their systems until Secure Flight implementation.  In the low scenario, TSA has assumed that 9 domestic marketing carriers in Group 1 and 2 domestic marketing carriers in Group 2 implemented AQQ in addition to 81 large foreign carriers subject to the Secure Flight rule.</w:t>
      </w:r>
      <w:r>
        <w:rPr>
          <w:rStyle w:val="FootnoteReference"/>
        </w:rPr>
        <w:footnoteReference w:id="32"/>
      </w:r>
      <w:r>
        <w:t xml:space="preserve">  DHS assumed the true airline cost likely lies somewhere between these two endpoints, but without better information about airline decisions, TSA adopted the midpoint for its primary scenario.  DHS also notes that CBP thoroughly analyzed the impact of adopting APIS AQQ versus adopting batch mode requirements in the international setting, before the transition to Secure Flight, in the regulatory impact assessment accompanying the APIS pre-departure final rule.</w:t>
      </w:r>
    </w:p>
    <w:p w:rsidR="003B0815" w:rsidRDefault="003B0815" w14:paraId="37C37E17" w14:textId="77777777">
      <w:pPr>
        <w:keepNext/>
        <w:spacing w:line="360" w:lineRule="auto"/>
        <w:rPr>
          <w:b/>
        </w:rPr>
      </w:pPr>
      <w:r>
        <w:rPr>
          <w:b/>
        </w:rPr>
        <w:t>Costs for Foreign Carriers</w:t>
      </w:r>
    </w:p>
    <w:p w:rsidR="003B0815" w:rsidRDefault="003B0815" w14:paraId="61C91198" w14:textId="77777777">
      <w:pPr>
        <w:spacing w:line="360" w:lineRule="auto"/>
        <w:ind w:firstLine="720"/>
      </w:pPr>
      <w:r>
        <w:t xml:space="preserve">To estimate costs for foreign carriers, TSA relied upon the estimates provided in the regulatory impact assessment accompanying CBP’s 2007 final rule establishing pre-departure APIS requirements.  In its evaluation, CBP estimates that carriers choosing to implement APIS Quick Query (AQQ) will incur an initial cost of $2,000,000.  TSA adopted this unit cost estimate for covered large foreign carriers that choose to wait until Secure Flight is implemented before reprogramming their systems to enable interactive queries.  In keeping with CBP’s estimates, TSA assumed this total includes implementation as well as reprogramming costs.  Although foreign carriers are required to implement Secure Flight on a date specified by TSA, this analysis anticipates these costs occurring in fiscal year 2009, one year after domestic implementation.  To estimate recurring costs for foreign air carriers, TSA considered recurring costs as 2.8 percent of the implementation cost.  This is consistent with the recurring costs associated with domestic carriers.  </w:t>
      </w:r>
    </w:p>
    <w:p w:rsidR="003B0815" w:rsidRDefault="003B0815" w14:paraId="79B4DADE" w14:textId="77777777">
      <w:pPr>
        <w:spacing w:line="360" w:lineRule="auto"/>
        <w:ind w:firstLine="720"/>
      </w:pPr>
      <w:r>
        <w:t>In the high scenario, TSA assumed that 81 covered foreign operators have waited until Secure Flight is implemented to reprogram their systems for interactive queries.  In both its high and low scenarios, CBP assumed that small foreign carriers will not implement APIS Quick Query but will instead simply change the timing of their transmissions and continue to submit passenger information to CBP as they currently do.  TSA thus assumed that these small carriers, like domestic Group 4 carriers, incur initial implementation costs of $100,000 in the year they are connected to Secure Flight.  Table 1.6.2.e presents costs to covered foreign carriers under this high scenario.</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807"/>
        <w:gridCol w:w="851"/>
        <w:gridCol w:w="1137"/>
        <w:gridCol w:w="855"/>
        <w:gridCol w:w="1548"/>
        <w:gridCol w:w="1282"/>
        <w:gridCol w:w="857"/>
        <w:gridCol w:w="1021"/>
        <w:gridCol w:w="1060"/>
      </w:tblGrid>
      <w:tr w:rsidR="003B0815" w14:paraId="12252508" w14:textId="77777777">
        <w:trPr>
          <w:jc w:val="center"/>
        </w:trPr>
        <w:tc>
          <w:tcPr>
            <w:tcW w:w="9418" w:type="dxa"/>
            <w:gridSpan w:val="9"/>
            <w:tcBorders>
              <w:top w:val="nil"/>
              <w:left w:val="nil"/>
              <w:right w:val="nil"/>
            </w:tcBorders>
            <w:vAlign w:val="center"/>
          </w:tcPr>
          <w:p w:rsidR="003B0815" w:rsidRDefault="003B0815" w14:paraId="2A3D7102" w14:textId="77777777">
            <w:pPr>
              <w:pStyle w:val="RegEvalTableHeader"/>
              <w:keepNext/>
            </w:pPr>
            <w:bookmarkStart w:name="_Toc165278382" w:id="260"/>
            <w:bookmarkStart w:name="_Toc174438383" w:id="261"/>
            <w:bookmarkStart w:name="_Toc207109518" w:id="262"/>
            <w:r>
              <w:t>Table 1.6.2.e Total Initial and Recurring Carrier Costs, Foreign High Scenario</w:t>
            </w:r>
            <w:bookmarkEnd w:id="260"/>
            <w:bookmarkEnd w:id="261"/>
            <w:bookmarkEnd w:id="262"/>
          </w:p>
        </w:tc>
      </w:tr>
      <w:tr w:rsidR="003B0815" w14:paraId="3158B110" w14:textId="77777777">
        <w:trPr>
          <w:jc w:val="center"/>
        </w:trPr>
        <w:tc>
          <w:tcPr>
            <w:tcW w:w="807" w:type="dxa"/>
            <w:tcBorders>
              <w:top w:val="single" w:color="auto" w:sz="12" w:space="0"/>
              <w:left w:val="single" w:color="auto" w:sz="12" w:space="0"/>
            </w:tcBorders>
            <w:vAlign w:val="center"/>
          </w:tcPr>
          <w:p w:rsidR="003B0815" w:rsidRDefault="003B0815" w14:paraId="360A6C70" w14:textId="77777777">
            <w:pPr>
              <w:keepNext/>
              <w:jc w:val="center"/>
              <w:rPr>
                <w:rFonts w:ascii="Arial" w:hAnsi="Arial"/>
                <w:b/>
                <w:sz w:val="20"/>
                <w:szCs w:val="20"/>
              </w:rPr>
            </w:pPr>
            <w:r>
              <w:rPr>
                <w:rFonts w:ascii="Arial" w:hAnsi="Arial"/>
                <w:b/>
                <w:sz w:val="20"/>
                <w:szCs w:val="20"/>
              </w:rPr>
              <w:t>Carrier Type</w:t>
            </w:r>
          </w:p>
        </w:tc>
        <w:tc>
          <w:tcPr>
            <w:tcW w:w="851" w:type="dxa"/>
            <w:tcBorders>
              <w:top w:val="single" w:color="auto" w:sz="12" w:space="0"/>
            </w:tcBorders>
            <w:vAlign w:val="center"/>
          </w:tcPr>
          <w:p w:rsidR="003B0815" w:rsidRDefault="003B0815" w14:paraId="48EED7EF" w14:textId="77777777">
            <w:pPr>
              <w:keepNext/>
              <w:jc w:val="center"/>
              <w:rPr>
                <w:rFonts w:ascii="Arial" w:hAnsi="Arial"/>
                <w:b/>
                <w:sz w:val="20"/>
                <w:szCs w:val="20"/>
              </w:rPr>
            </w:pPr>
            <w:r>
              <w:rPr>
                <w:rFonts w:ascii="Arial" w:hAnsi="Arial"/>
                <w:b/>
                <w:sz w:val="20"/>
                <w:szCs w:val="20"/>
              </w:rPr>
              <w:t># of Carriers</w:t>
            </w:r>
          </w:p>
        </w:tc>
        <w:tc>
          <w:tcPr>
            <w:tcW w:w="1137" w:type="dxa"/>
            <w:tcBorders>
              <w:top w:val="single" w:color="auto" w:sz="12" w:space="0"/>
            </w:tcBorders>
            <w:vAlign w:val="center"/>
          </w:tcPr>
          <w:p w:rsidR="003B0815" w:rsidRDefault="003B0815" w14:paraId="0DDEBE19" w14:textId="77777777">
            <w:pPr>
              <w:keepNext/>
              <w:jc w:val="center"/>
              <w:rPr>
                <w:rFonts w:ascii="Arial" w:hAnsi="Arial"/>
                <w:b/>
                <w:sz w:val="20"/>
                <w:szCs w:val="20"/>
              </w:rPr>
            </w:pPr>
            <w:r>
              <w:rPr>
                <w:rFonts w:ascii="Arial" w:hAnsi="Arial"/>
                <w:b/>
                <w:sz w:val="20"/>
                <w:szCs w:val="20"/>
              </w:rPr>
              <w:t>Initial Reprogram  Costs per Carrier</w:t>
            </w:r>
          </w:p>
        </w:tc>
        <w:tc>
          <w:tcPr>
            <w:tcW w:w="855" w:type="dxa"/>
            <w:tcBorders>
              <w:top w:val="single" w:color="auto" w:sz="12" w:space="0"/>
            </w:tcBorders>
            <w:vAlign w:val="center"/>
          </w:tcPr>
          <w:p w:rsidR="003B0815" w:rsidRDefault="003B0815" w14:paraId="352F897E" w14:textId="77777777">
            <w:pPr>
              <w:keepNext/>
              <w:jc w:val="center"/>
              <w:rPr>
                <w:rFonts w:ascii="Arial" w:hAnsi="Arial"/>
                <w:b/>
                <w:sz w:val="20"/>
                <w:szCs w:val="20"/>
              </w:rPr>
            </w:pPr>
            <w:r>
              <w:rPr>
                <w:rFonts w:ascii="Arial" w:hAnsi="Arial"/>
                <w:b/>
                <w:sz w:val="20"/>
                <w:szCs w:val="20"/>
              </w:rPr>
              <w:t># of Carriers</w:t>
            </w:r>
          </w:p>
        </w:tc>
        <w:tc>
          <w:tcPr>
            <w:tcW w:w="1548" w:type="dxa"/>
            <w:tcBorders>
              <w:top w:val="single" w:color="auto" w:sz="12" w:space="0"/>
              <w:bottom w:val="single" w:color="auto" w:sz="4" w:space="0"/>
            </w:tcBorders>
            <w:vAlign w:val="center"/>
          </w:tcPr>
          <w:p w:rsidR="003B0815" w:rsidRDefault="003B0815" w14:paraId="7BBA7A64" w14:textId="77777777">
            <w:pPr>
              <w:keepNext/>
              <w:jc w:val="center"/>
              <w:rPr>
                <w:rFonts w:ascii="Arial" w:hAnsi="Arial"/>
                <w:b/>
                <w:sz w:val="20"/>
                <w:szCs w:val="20"/>
              </w:rPr>
            </w:pPr>
            <w:r>
              <w:rPr>
                <w:rFonts w:ascii="Arial" w:hAnsi="Arial"/>
                <w:b/>
                <w:sz w:val="20"/>
                <w:szCs w:val="20"/>
              </w:rPr>
              <w:t>Implementation Costs per Carrier</w:t>
            </w:r>
          </w:p>
        </w:tc>
        <w:tc>
          <w:tcPr>
            <w:tcW w:w="1282" w:type="dxa"/>
            <w:tcBorders>
              <w:top w:val="single" w:color="auto" w:sz="12" w:space="0"/>
              <w:bottom w:val="single" w:color="auto" w:sz="4" w:space="0"/>
              <w:right w:val="double" w:color="auto" w:sz="4" w:space="0"/>
            </w:tcBorders>
            <w:vAlign w:val="center"/>
          </w:tcPr>
          <w:p w:rsidR="003B0815" w:rsidRDefault="003B0815" w14:paraId="3BF64371" w14:textId="77777777">
            <w:pPr>
              <w:keepNext/>
              <w:jc w:val="center"/>
              <w:rPr>
                <w:rFonts w:ascii="Arial" w:hAnsi="Arial"/>
                <w:b/>
                <w:sz w:val="20"/>
                <w:szCs w:val="20"/>
              </w:rPr>
            </w:pPr>
            <w:r>
              <w:rPr>
                <w:rFonts w:ascii="Arial" w:hAnsi="Arial"/>
                <w:b/>
                <w:sz w:val="20"/>
                <w:szCs w:val="20"/>
              </w:rPr>
              <w:t>Total Initial Costs</w:t>
            </w:r>
          </w:p>
        </w:tc>
        <w:tc>
          <w:tcPr>
            <w:tcW w:w="857" w:type="dxa"/>
            <w:tcBorders>
              <w:top w:val="single" w:color="auto" w:sz="12" w:space="0"/>
              <w:left w:val="double" w:color="auto" w:sz="4" w:space="0"/>
            </w:tcBorders>
            <w:vAlign w:val="center"/>
          </w:tcPr>
          <w:p w:rsidR="003B0815" w:rsidRDefault="003B0815" w14:paraId="71861C4A" w14:textId="77777777">
            <w:pPr>
              <w:keepNext/>
              <w:jc w:val="center"/>
              <w:rPr>
                <w:rFonts w:ascii="Arial" w:hAnsi="Arial"/>
                <w:b/>
                <w:sz w:val="20"/>
                <w:szCs w:val="20"/>
              </w:rPr>
            </w:pPr>
            <w:r>
              <w:rPr>
                <w:rFonts w:ascii="Arial" w:hAnsi="Arial"/>
                <w:b/>
                <w:sz w:val="20"/>
                <w:szCs w:val="20"/>
              </w:rPr>
              <w:t># of Carriers</w:t>
            </w:r>
          </w:p>
        </w:tc>
        <w:tc>
          <w:tcPr>
            <w:tcW w:w="1021" w:type="dxa"/>
            <w:tcBorders>
              <w:top w:val="single" w:color="auto" w:sz="12" w:space="0"/>
              <w:right w:val="double" w:color="auto" w:sz="4" w:space="0"/>
            </w:tcBorders>
            <w:vAlign w:val="center"/>
          </w:tcPr>
          <w:p w:rsidR="003B0815" w:rsidRDefault="003B0815" w14:paraId="40F845B5" w14:textId="77777777">
            <w:pPr>
              <w:keepNext/>
              <w:jc w:val="center"/>
              <w:rPr>
                <w:rFonts w:ascii="Arial" w:hAnsi="Arial"/>
                <w:b/>
                <w:sz w:val="20"/>
                <w:szCs w:val="20"/>
              </w:rPr>
            </w:pPr>
            <w:r>
              <w:rPr>
                <w:rFonts w:ascii="Arial" w:hAnsi="Arial"/>
                <w:b/>
                <w:sz w:val="20"/>
                <w:szCs w:val="20"/>
              </w:rPr>
              <w:t>Recurring Costs per Carrier</w:t>
            </w:r>
          </w:p>
        </w:tc>
        <w:tc>
          <w:tcPr>
            <w:tcW w:w="1060" w:type="dxa"/>
            <w:tcBorders>
              <w:top w:val="single" w:color="auto" w:sz="12" w:space="0"/>
              <w:left w:val="double" w:color="auto" w:sz="4" w:space="0"/>
              <w:bottom w:val="single" w:color="auto" w:sz="4" w:space="0"/>
              <w:right w:val="single" w:color="auto" w:sz="12" w:space="0"/>
            </w:tcBorders>
            <w:vAlign w:val="center"/>
          </w:tcPr>
          <w:p w:rsidR="003B0815" w:rsidRDefault="003B0815" w14:paraId="0F97104A" w14:textId="77777777">
            <w:pPr>
              <w:keepNext/>
              <w:jc w:val="center"/>
              <w:rPr>
                <w:rFonts w:ascii="Arial" w:hAnsi="Arial"/>
                <w:b/>
                <w:sz w:val="20"/>
                <w:szCs w:val="20"/>
              </w:rPr>
            </w:pPr>
            <w:r>
              <w:rPr>
                <w:rFonts w:ascii="Arial" w:hAnsi="Arial"/>
                <w:b/>
                <w:sz w:val="20"/>
                <w:szCs w:val="20"/>
              </w:rPr>
              <w:t>Total Recurring Cost per Year</w:t>
            </w:r>
          </w:p>
        </w:tc>
      </w:tr>
      <w:tr w:rsidR="003B0815" w14:paraId="02A4D18F" w14:textId="77777777">
        <w:trPr>
          <w:jc w:val="center"/>
        </w:trPr>
        <w:tc>
          <w:tcPr>
            <w:tcW w:w="807" w:type="dxa"/>
            <w:tcBorders>
              <w:left w:val="single" w:color="auto" w:sz="12" w:space="0"/>
            </w:tcBorders>
            <w:vAlign w:val="bottom"/>
          </w:tcPr>
          <w:p w:rsidR="003B0815" w:rsidRDefault="003B0815" w14:paraId="328D85E9" w14:textId="77777777">
            <w:pPr>
              <w:keepNext/>
              <w:rPr>
                <w:rFonts w:ascii="Arial" w:hAnsi="Arial"/>
                <w:sz w:val="20"/>
                <w:szCs w:val="20"/>
              </w:rPr>
            </w:pPr>
            <w:r>
              <w:rPr>
                <w:rFonts w:ascii="Arial" w:hAnsi="Arial"/>
                <w:sz w:val="20"/>
                <w:szCs w:val="20"/>
              </w:rPr>
              <w:t>Large Foreign</w:t>
            </w:r>
          </w:p>
        </w:tc>
        <w:tc>
          <w:tcPr>
            <w:tcW w:w="851" w:type="dxa"/>
            <w:vAlign w:val="bottom"/>
          </w:tcPr>
          <w:p w:rsidR="003B0815" w:rsidRDefault="003B0815" w14:paraId="7A56FFFA" w14:textId="77777777">
            <w:pPr>
              <w:keepNext/>
              <w:jc w:val="center"/>
              <w:rPr>
                <w:rFonts w:ascii="Arial" w:hAnsi="Arial"/>
                <w:sz w:val="20"/>
                <w:szCs w:val="20"/>
              </w:rPr>
            </w:pPr>
            <w:r>
              <w:rPr>
                <w:rFonts w:ascii="Arial" w:hAnsi="Arial" w:cs="Arial"/>
                <w:sz w:val="20"/>
                <w:szCs w:val="20"/>
              </w:rPr>
              <w:t>81</w:t>
            </w:r>
          </w:p>
        </w:tc>
        <w:tc>
          <w:tcPr>
            <w:tcW w:w="1137" w:type="dxa"/>
            <w:vAlign w:val="bottom"/>
          </w:tcPr>
          <w:p w:rsidR="003B0815" w:rsidRDefault="003B0815" w14:paraId="76A70CD5" w14:textId="77777777">
            <w:pPr>
              <w:keepNext/>
              <w:jc w:val="right"/>
              <w:rPr>
                <w:rFonts w:ascii="Arial" w:hAnsi="Arial"/>
                <w:sz w:val="20"/>
                <w:szCs w:val="20"/>
              </w:rPr>
            </w:pPr>
            <w:r>
              <w:rPr>
                <w:rFonts w:ascii="Arial" w:hAnsi="Arial" w:cs="Arial"/>
                <w:sz w:val="20"/>
                <w:szCs w:val="20"/>
              </w:rPr>
              <w:t>$2,000,000</w:t>
            </w:r>
          </w:p>
        </w:tc>
        <w:tc>
          <w:tcPr>
            <w:tcW w:w="855" w:type="dxa"/>
            <w:vAlign w:val="bottom"/>
          </w:tcPr>
          <w:p w:rsidR="003B0815" w:rsidRDefault="003B0815" w14:paraId="01A440B1" w14:textId="77777777">
            <w:pPr>
              <w:keepNext/>
              <w:jc w:val="right"/>
              <w:rPr>
                <w:rFonts w:ascii="Arial" w:hAnsi="Arial" w:cs="Arial"/>
                <w:sz w:val="20"/>
                <w:szCs w:val="20"/>
              </w:rPr>
            </w:pPr>
            <w:r>
              <w:rPr>
                <w:rFonts w:ascii="Arial" w:hAnsi="Arial" w:cs="Arial"/>
                <w:sz w:val="20"/>
                <w:szCs w:val="20"/>
              </w:rPr>
              <w:t>N/A</w:t>
            </w:r>
          </w:p>
        </w:tc>
        <w:tc>
          <w:tcPr>
            <w:tcW w:w="1548" w:type="dxa"/>
            <w:vAlign w:val="bottom"/>
          </w:tcPr>
          <w:p w:rsidR="003B0815" w:rsidRDefault="003B0815" w14:paraId="15527CC7" w14:textId="77777777">
            <w:pPr>
              <w:keepNext/>
              <w:jc w:val="right"/>
              <w:rPr>
                <w:rFonts w:ascii="Arial" w:hAnsi="Arial" w:cs="Arial"/>
                <w:b/>
                <w:sz w:val="20"/>
                <w:szCs w:val="20"/>
              </w:rPr>
            </w:pPr>
            <w:r>
              <w:rPr>
                <w:rFonts w:ascii="Arial" w:hAnsi="Arial" w:cs="Arial"/>
                <w:sz w:val="20"/>
                <w:szCs w:val="20"/>
              </w:rPr>
              <w:t>N/A</w:t>
            </w:r>
          </w:p>
        </w:tc>
        <w:tc>
          <w:tcPr>
            <w:tcW w:w="1282" w:type="dxa"/>
            <w:tcBorders>
              <w:right w:val="double" w:color="auto" w:sz="4" w:space="0"/>
            </w:tcBorders>
            <w:shd w:val="clear" w:color="auto" w:fill="CCCCCC"/>
            <w:vAlign w:val="bottom"/>
          </w:tcPr>
          <w:p w:rsidR="003B0815" w:rsidRDefault="003B0815" w14:paraId="188993CC" w14:textId="77777777">
            <w:pPr>
              <w:keepNext/>
              <w:jc w:val="right"/>
              <w:rPr>
                <w:rFonts w:ascii="Arial" w:hAnsi="Arial"/>
                <w:b/>
                <w:sz w:val="20"/>
                <w:szCs w:val="20"/>
              </w:rPr>
            </w:pPr>
            <w:r>
              <w:rPr>
                <w:rFonts w:ascii="Arial" w:hAnsi="Arial" w:cs="Arial"/>
                <w:sz w:val="20"/>
                <w:szCs w:val="20"/>
              </w:rPr>
              <w:t>$162,000,000</w:t>
            </w:r>
          </w:p>
        </w:tc>
        <w:tc>
          <w:tcPr>
            <w:tcW w:w="857" w:type="dxa"/>
            <w:tcBorders>
              <w:left w:val="double" w:color="auto" w:sz="4" w:space="0"/>
            </w:tcBorders>
            <w:vAlign w:val="bottom"/>
          </w:tcPr>
          <w:p w:rsidR="003B0815" w:rsidRDefault="003B0815" w14:paraId="70F7AC3F" w14:textId="77777777">
            <w:pPr>
              <w:keepNext/>
              <w:jc w:val="right"/>
              <w:rPr>
                <w:rFonts w:ascii="Arial" w:hAnsi="Arial" w:cs="Arial"/>
                <w:sz w:val="20"/>
                <w:szCs w:val="20"/>
              </w:rPr>
            </w:pPr>
            <w:r>
              <w:rPr>
                <w:rFonts w:ascii="Arial" w:hAnsi="Arial" w:cs="Arial"/>
                <w:sz w:val="20"/>
                <w:szCs w:val="20"/>
              </w:rPr>
              <w:t>81</w:t>
            </w:r>
          </w:p>
        </w:tc>
        <w:tc>
          <w:tcPr>
            <w:tcW w:w="1021" w:type="dxa"/>
            <w:tcBorders>
              <w:right w:val="double" w:color="auto" w:sz="4" w:space="0"/>
            </w:tcBorders>
            <w:vAlign w:val="bottom"/>
          </w:tcPr>
          <w:p w:rsidR="003B0815" w:rsidRDefault="003B0815" w14:paraId="6897D8BE" w14:textId="77777777">
            <w:pPr>
              <w:keepNext/>
              <w:jc w:val="right"/>
              <w:rPr>
                <w:rFonts w:ascii="Arial" w:hAnsi="Arial"/>
                <w:sz w:val="20"/>
                <w:szCs w:val="20"/>
              </w:rPr>
            </w:pPr>
            <w:r>
              <w:rPr>
                <w:rFonts w:ascii="Arial" w:hAnsi="Arial" w:cs="Arial"/>
                <w:sz w:val="20"/>
                <w:szCs w:val="20"/>
              </w:rPr>
              <w:t>$53,300</w:t>
            </w:r>
          </w:p>
        </w:tc>
        <w:tc>
          <w:tcPr>
            <w:tcW w:w="1060" w:type="dxa"/>
            <w:tcBorders>
              <w:left w:val="double" w:color="auto" w:sz="4" w:space="0"/>
              <w:right w:val="single" w:color="auto" w:sz="12" w:space="0"/>
            </w:tcBorders>
            <w:shd w:val="clear" w:color="auto" w:fill="CCCCCC"/>
            <w:vAlign w:val="bottom"/>
          </w:tcPr>
          <w:p w:rsidR="003B0815" w:rsidRDefault="003B0815" w14:paraId="2462F02E" w14:textId="77777777">
            <w:pPr>
              <w:keepNext/>
              <w:jc w:val="right"/>
              <w:rPr>
                <w:rFonts w:ascii="Arial" w:hAnsi="Arial"/>
                <w:b/>
                <w:sz w:val="20"/>
                <w:szCs w:val="20"/>
              </w:rPr>
            </w:pPr>
            <w:r>
              <w:rPr>
                <w:rFonts w:ascii="Arial" w:hAnsi="Arial" w:cs="Arial"/>
                <w:sz w:val="20"/>
                <w:szCs w:val="20"/>
              </w:rPr>
              <w:t>$4,317,000</w:t>
            </w:r>
          </w:p>
        </w:tc>
      </w:tr>
      <w:tr w:rsidR="003B0815" w14:paraId="317546C8" w14:textId="77777777">
        <w:trPr>
          <w:jc w:val="center"/>
        </w:trPr>
        <w:tc>
          <w:tcPr>
            <w:tcW w:w="807" w:type="dxa"/>
            <w:tcBorders>
              <w:left w:val="single" w:color="auto" w:sz="12" w:space="0"/>
            </w:tcBorders>
            <w:vAlign w:val="bottom"/>
          </w:tcPr>
          <w:p w:rsidR="003B0815" w:rsidRDefault="003B0815" w14:paraId="0807FAF3" w14:textId="77777777">
            <w:pPr>
              <w:keepNext/>
              <w:rPr>
                <w:rFonts w:ascii="Arial" w:hAnsi="Arial"/>
                <w:sz w:val="20"/>
                <w:szCs w:val="20"/>
              </w:rPr>
            </w:pPr>
            <w:r>
              <w:rPr>
                <w:rFonts w:ascii="Arial" w:hAnsi="Arial"/>
                <w:sz w:val="20"/>
                <w:szCs w:val="20"/>
              </w:rPr>
              <w:t>Small Foreign</w:t>
            </w:r>
          </w:p>
        </w:tc>
        <w:tc>
          <w:tcPr>
            <w:tcW w:w="851" w:type="dxa"/>
            <w:vAlign w:val="bottom"/>
          </w:tcPr>
          <w:p w:rsidR="003B0815" w:rsidRDefault="003B0815" w14:paraId="3532DEE6" w14:textId="77777777">
            <w:pPr>
              <w:keepNext/>
              <w:jc w:val="center"/>
              <w:rPr>
                <w:rFonts w:ascii="Arial" w:hAnsi="Arial"/>
                <w:sz w:val="20"/>
                <w:szCs w:val="20"/>
              </w:rPr>
            </w:pPr>
            <w:r>
              <w:rPr>
                <w:rFonts w:ascii="Arial" w:hAnsi="Arial" w:cs="Arial"/>
                <w:sz w:val="20"/>
                <w:szCs w:val="20"/>
              </w:rPr>
              <w:t>N/A</w:t>
            </w:r>
          </w:p>
        </w:tc>
        <w:tc>
          <w:tcPr>
            <w:tcW w:w="1137" w:type="dxa"/>
            <w:vAlign w:val="bottom"/>
          </w:tcPr>
          <w:p w:rsidR="003B0815" w:rsidRDefault="003B0815" w14:paraId="7B9DE4E0" w14:textId="77777777">
            <w:pPr>
              <w:keepNext/>
              <w:jc w:val="right"/>
              <w:rPr>
                <w:rFonts w:ascii="Arial" w:hAnsi="Arial"/>
                <w:sz w:val="20"/>
                <w:szCs w:val="20"/>
              </w:rPr>
            </w:pPr>
            <w:r>
              <w:rPr>
                <w:rFonts w:ascii="Arial" w:hAnsi="Arial" w:cs="Arial"/>
                <w:sz w:val="20"/>
                <w:szCs w:val="20"/>
              </w:rPr>
              <w:t>N/A</w:t>
            </w:r>
          </w:p>
        </w:tc>
        <w:tc>
          <w:tcPr>
            <w:tcW w:w="855" w:type="dxa"/>
            <w:vAlign w:val="bottom"/>
          </w:tcPr>
          <w:p w:rsidR="003B0815" w:rsidRDefault="003B0815" w14:paraId="73625354" w14:textId="77777777">
            <w:pPr>
              <w:keepNext/>
              <w:jc w:val="right"/>
              <w:rPr>
                <w:rFonts w:ascii="Arial" w:hAnsi="Arial" w:cs="Arial"/>
                <w:sz w:val="20"/>
                <w:szCs w:val="20"/>
              </w:rPr>
            </w:pPr>
            <w:r>
              <w:rPr>
                <w:rFonts w:ascii="Arial" w:hAnsi="Arial" w:cs="Arial"/>
                <w:sz w:val="20"/>
                <w:szCs w:val="20"/>
              </w:rPr>
              <w:t>65</w:t>
            </w:r>
          </w:p>
        </w:tc>
        <w:tc>
          <w:tcPr>
            <w:tcW w:w="1548" w:type="dxa"/>
            <w:vAlign w:val="bottom"/>
          </w:tcPr>
          <w:p w:rsidR="003B0815" w:rsidRDefault="003B0815" w14:paraId="1E23BFF8" w14:textId="77777777">
            <w:pPr>
              <w:keepNext/>
              <w:jc w:val="right"/>
              <w:rPr>
                <w:rFonts w:ascii="Arial" w:hAnsi="Arial" w:cs="Arial"/>
                <w:b/>
                <w:sz w:val="20"/>
                <w:szCs w:val="20"/>
              </w:rPr>
            </w:pPr>
            <w:r>
              <w:rPr>
                <w:rFonts w:ascii="Arial" w:hAnsi="Arial" w:cs="Arial"/>
                <w:sz w:val="20"/>
                <w:szCs w:val="20"/>
              </w:rPr>
              <w:t>$100,000</w:t>
            </w:r>
          </w:p>
        </w:tc>
        <w:tc>
          <w:tcPr>
            <w:tcW w:w="1282" w:type="dxa"/>
            <w:tcBorders>
              <w:right w:val="double" w:color="auto" w:sz="4" w:space="0"/>
            </w:tcBorders>
            <w:shd w:val="clear" w:color="auto" w:fill="CCCCCC"/>
            <w:vAlign w:val="bottom"/>
          </w:tcPr>
          <w:p w:rsidR="003B0815" w:rsidRDefault="003B0815" w14:paraId="5C8849B6" w14:textId="77777777">
            <w:pPr>
              <w:keepNext/>
              <w:jc w:val="right"/>
              <w:rPr>
                <w:rFonts w:ascii="Arial" w:hAnsi="Arial"/>
                <w:b/>
                <w:sz w:val="20"/>
                <w:szCs w:val="20"/>
              </w:rPr>
            </w:pPr>
            <w:r>
              <w:rPr>
                <w:rFonts w:ascii="Arial" w:hAnsi="Arial" w:cs="Arial"/>
                <w:sz w:val="20"/>
                <w:szCs w:val="20"/>
              </w:rPr>
              <w:t>$6,500,000</w:t>
            </w:r>
          </w:p>
        </w:tc>
        <w:tc>
          <w:tcPr>
            <w:tcW w:w="857" w:type="dxa"/>
            <w:tcBorders>
              <w:left w:val="double" w:color="auto" w:sz="4" w:space="0"/>
            </w:tcBorders>
            <w:vAlign w:val="bottom"/>
          </w:tcPr>
          <w:p w:rsidR="003B0815" w:rsidRDefault="003B0815" w14:paraId="7380A2EE" w14:textId="77777777">
            <w:pPr>
              <w:keepNext/>
              <w:jc w:val="right"/>
              <w:rPr>
                <w:rFonts w:ascii="Arial" w:hAnsi="Arial" w:cs="Arial"/>
                <w:sz w:val="20"/>
                <w:szCs w:val="20"/>
              </w:rPr>
            </w:pPr>
            <w:r>
              <w:rPr>
                <w:rFonts w:ascii="Arial" w:hAnsi="Arial" w:cs="Arial"/>
                <w:sz w:val="20"/>
                <w:szCs w:val="20"/>
              </w:rPr>
              <w:t>65</w:t>
            </w:r>
          </w:p>
        </w:tc>
        <w:tc>
          <w:tcPr>
            <w:tcW w:w="1021" w:type="dxa"/>
            <w:tcBorders>
              <w:right w:val="double" w:color="auto" w:sz="4" w:space="0"/>
            </w:tcBorders>
            <w:vAlign w:val="bottom"/>
          </w:tcPr>
          <w:p w:rsidR="003B0815" w:rsidRDefault="003B0815" w14:paraId="28F7802B" w14:textId="77777777">
            <w:pPr>
              <w:keepNext/>
              <w:jc w:val="right"/>
              <w:rPr>
                <w:rFonts w:ascii="Arial" w:hAnsi="Arial"/>
                <w:sz w:val="20"/>
                <w:szCs w:val="20"/>
              </w:rPr>
            </w:pPr>
            <w:r>
              <w:rPr>
                <w:rFonts w:ascii="Arial" w:hAnsi="Arial" w:cs="Arial"/>
                <w:sz w:val="20"/>
                <w:szCs w:val="20"/>
              </w:rPr>
              <w:t>$0</w:t>
            </w:r>
          </w:p>
        </w:tc>
        <w:tc>
          <w:tcPr>
            <w:tcW w:w="1060" w:type="dxa"/>
            <w:tcBorders>
              <w:left w:val="double" w:color="auto" w:sz="4" w:space="0"/>
              <w:right w:val="single" w:color="auto" w:sz="12" w:space="0"/>
            </w:tcBorders>
            <w:shd w:val="clear" w:color="auto" w:fill="CCCCCC"/>
            <w:vAlign w:val="bottom"/>
          </w:tcPr>
          <w:p w:rsidR="003B0815" w:rsidRDefault="003B0815" w14:paraId="39FCC744" w14:textId="77777777">
            <w:pPr>
              <w:keepNext/>
              <w:jc w:val="right"/>
              <w:rPr>
                <w:rFonts w:ascii="Arial" w:hAnsi="Arial"/>
                <w:b/>
                <w:sz w:val="20"/>
                <w:szCs w:val="20"/>
              </w:rPr>
            </w:pPr>
            <w:r>
              <w:rPr>
                <w:rFonts w:ascii="Arial" w:hAnsi="Arial" w:cs="Arial"/>
                <w:b/>
                <w:sz w:val="20"/>
                <w:szCs w:val="20"/>
              </w:rPr>
              <w:t>$0</w:t>
            </w:r>
          </w:p>
        </w:tc>
      </w:tr>
      <w:tr w:rsidR="003B0815" w14:paraId="4675D6B3" w14:textId="77777777">
        <w:trPr>
          <w:jc w:val="center"/>
        </w:trPr>
        <w:tc>
          <w:tcPr>
            <w:tcW w:w="807" w:type="dxa"/>
            <w:tcBorders>
              <w:left w:val="single" w:color="auto" w:sz="12" w:space="0"/>
              <w:bottom w:val="single" w:color="auto" w:sz="12" w:space="0"/>
            </w:tcBorders>
            <w:vAlign w:val="bottom"/>
          </w:tcPr>
          <w:p w:rsidR="003B0815" w:rsidRDefault="003B0815" w14:paraId="7B2940A4" w14:textId="77777777">
            <w:pPr>
              <w:rPr>
                <w:rFonts w:ascii="Arial" w:hAnsi="Arial"/>
                <w:b/>
                <w:sz w:val="20"/>
                <w:szCs w:val="20"/>
              </w:rPr>
            </w:pPr>
            <w:r>
              <w:rPr>
                <w:rFonts w:ascii="Arial" w:hAnsi="Arial"/>
                <w:b/>
                <w:sz w:val="20"/>
                <w:szCs w:val="20"/>
              </w:rPr>
              <w:t>Total</w:t>
            </w:r>
          </w:p>
        </w:tc>
        <w:tc>
          <w:tcPr>
            <w:tcW w:w="851" w:type="dxa"/>
            <w:tcBorders>
              <w:bottom w:val="single" w:color="auto" w:sz="12" w:space="0"/>
              <w:right w:val="nil"/>
            </w:tcBorders>
            <w:vAlign w:val="bottom"/>
          </w:tcPr>
          <w:p w:rsidR="003B0815" w:rsidRDefault="003B0815" w14:paraId="78A1D98C" w14:textId="77777777">
            <w:pPr>
              <w:jc w:val="center"/>
              <w:rPr>
                <w:rFonts w:ascii="Arial" w:hAnsi="Arial"/>
                <w:b/>
                <w:sz w:val="20"/>
                <w:szCs w:val="20"/>
              </w:rPr>
            </w:pPr>
            <w:r>
              <w:rPr>
                <w:rFonts w:ascii="Arial" w:hAnsi="Arial" w:cs="Arial"/>
                <w:b/>
                <w:sz w:val="20"/>
                <w:szCs w:val="20"/>
              </w:rPr>
              <w:t>81</w:t>
            </w:r>
          </w:p>
        </w:tc>
        <w:tc>
          <w:tcPr>
            <w:tcW w:w="1137" w:type="dxa"/>
            <w:tcBorders>
              <w:left w:val="nil"/>
              <w:bottom w:val="single" w:color="auto" w:sz="12" w:space="0"/>
              <w:right w:val="nil"/>
            </w:tcBorders>
            <w:vAlign w:val="bottom"/>
          </w:tcPr>
          <w:p w:rsidR="003B0815" w:rsidRDefault="003B0815" w14:paraId="7423C75E" w14:textId="77777777">
            <w:pPr>
              <w:jc w:val="right"/>
              <w:rPr>
                <w:rFonts w:ascii="Arial" w:hAnsi="Arial"/>
                <w:b/>
                <w:sz w:val="20"/>
                <w:szCs w:val="20"/>
              </w:rPr>
            </w:pPr>
            <w:r>
              <w:rPr>
                <w:rFonts w:ascii="Arial" w:hAnsi="Arial" w:cs="Arial"/>
                <w:b/>
                <w:sz w:val="20"/>
                <w:szCs w:val="20"/>
              </w:rPr>
              <w:t> </w:t>
            </w:r>
          </w:p>
        </w:tc>
        <w:tc>
          <w:tcPr>
            <w:tcW w:w="855" w:type="dxa"/>
            <w:tcBorders>
              <w:left w:val="nil"/>
              <w:bottom w:val="single" w:color="auto" w:sz="12" w:space="0"/>
              <w:right w:val="nil"/>
            </w:tcBorders>
            <w:vAlign w:val="bottom"/>
          </w:tcPr>
          <w:p w:rsidR="003B0815" w:rsidRDefault="003B0815" w14:paraId="1BA45690" w14:textId="77777777">
            <w:pPr>
              <w:jc w:val="right"/>
              <w:rPr>
                <w:rFonts w:ascii="Arial" w:hAnsi="Arial" w:cs="Arial"/>
                <w:b/>
                <w:sz w:val="20"/>
                <w:szCs w:val="20"/>
              </w:rPr>
            </w:pPr>
            <w:r>
              <w:rPr>
                <w:rFonts w:ascii="Arial" w:hAnsi="Arial" w:cs="Arial"/>
                <w:b/>
                <w:sz w:val="20"/>
                <w:szCs w:val="20"/>
              </w:rPr>
              <w:t>65</w:t>
            </w:r>
          </w:p>
        </w:tc>
        <w:tc>
          <w:tcPr>
            <w:tcW w:w="1548" w:type="dxa"/>
            <w:tcBorders>
              <w:left w:val="nil"/>
              <w:bottom w:val="single" w:color="auto" w:sz="12" w:space="0"/>
            </w:tcBorders>
            <w:vAlign w:val="bottom"/>
          </w:tcPr>
          <w:p w:rsidR="003B0815" w:rsidRDefault="003B0815" w14:paraId="0A999E12" w14:textId="77777777">
            <w:pPr>
              <w:jc w:val="right"/>
              <w:rPr>
                <w:rFonts w:ascii="Arial" w:hAnsi="Arial" w:cs="Arial"/>
                <w:b/>
                <w:sz w:val="20"/>
                <w:szCs w:val="20"/>
              </w:rPr>
            </w:pPr>
          </w:p>
        </w:tc>
        <w:tc>
          <w:tcPr>
            <w:tcW w:w="1282" w:type="dxa"/>
            <w:tcBorders>
              <w:bottom w:val="single" w:color="auto" w:sz="12" w:space="0"/>
              <w:right w:val="double" w:color="auto" w:sz="4" w:space="0"/>
            </w:tcBorders>
            <w:vAlign w:val="bottom"/>
          </w:tcPr>
          <w:p w:rsidR="003B0815" w:rsidRDefault="003B0815" w14:paraId="4251BE27" w14:textId="77777777">
            <w:pPr>
              <w:jc w:val="right"/>
              <w:rPr>
                <w:rFonts w:ascii="Arial" w:hAnsi="Arial"/>
                <w:b/>
                <w:sz w:val="20"/>
                <w:szCs w:val="20"/>
              </w:rPr>
            </w:pPr>
            <w:r>
              <w:rPr>
                <w:rFonts w:ascii="Arial" w:hAnsi="Arial" w:cs="Arial"/>
                <w:b/>
                <w:sz w:val="20"/>
                <w:szCs w:val="20"/>
              </w:rPr>
              <w:t>$168,500,000</w:t>
            </w:r>
          </w:p>
        </w:tc>
        <w:tc>
          <w:tcPr>
            <w:tcW w:w="857" w:type="dxa"/>
            <w:tcBorders>
              <w:left w:val="double" w:color="auto" w:sz="4" w:space="0"/>
              <w:bottom w:val="single" w:color="auto" w:sz="12" w:space="0"/>
            </w:tcBorders>
            <w:vAlign w:val="bottom"/>
          </w:tcPr>
          <w:p w:rsidR="003B0815" w:rsidRDefault="003B0815" w14:paraId="54F8BF0D" w14:textId="77777777">
            <w:pPr>
              <w:jc w:val="right"/>
              <w:rPr>
                <w:rFonts w:ascii="Arial" w:hAnsi="Arial" w:cs="Arial"/>
                <w:b/>
                <w:sz w:val="20"/>
                <w:szCs w:val="20"/>
              </w:rPr>
            </w:pPr>
            <w:r>
              <w:rPr>
                <w:rFonts w:ascii="Arial" w:hAnsi="Arial" w:cs="Arial"/>
                <w:b/>
                <w:sz w:val="20"/>
                <w:szCs w:val="20"/>
              </w:rPr>
              <w:t>146</w:t>
            </w:r>
          </w:p>
        </w:tc>
        <w:tc>
          <w:tcPr>
            <w:tcW w:w="1021" w:type="dxa"/>
            <w:tcBorders>
              <w:bottom w:val="single" w:color="auto" w:sz="12" w:space="0"/>
              <w:right w:val="double" w:color="auto" w:sz="4" w:space="0"/>
            </w:tcBorders>
            <w:vAlign w:val="bottom"/>
          </w:tcPr>
          <w:p w:rsidR="003B0815" w:rsidRDefault="003B0815" w14:paraId="65C62A3D" w14:textId="77777777">
            <w:pPr>
              <w:jc w:val="right"/>
              <w:rPr>
                <w:rFonts w:ascii="Arial" w:hAnsi="Arial"/>
                <w:b/>
                <w:sz w:val="20"/>
                <w:szCs w:val="20"/>
              </w:rPr>
            </w:pPr>
            <w:r>
              <w:rPr>
                <w:rFonts w:ascii="Arial" w:hAnsi="Arial" w:cs="Arial"/>
                <w:b/>
                <w:sz w:val="20"/>
                <w:szCs w:val="20"/>
              </w:rPr>
              <w:t> </w:t>
            </w:r>
          </w:p>
        </w:tc>
        <w:tc>
          <w:tcPr>
            <w:tcW w:w="1060" w:type="dxa"/>
            <w:tcBorders>
              <w:left w:val="double" w:color="auto" w:sz="4" w:space="0"/>
              <w:bottom w:val="single" w:color="auto" w:sz="12" w:space="0"/>
              <w:right w:val="single" w:color="auto" w:sz="12" w:space="0"/>
            </w:tcBorders>
            <w:vAlign w:val="bottom"/>
          </w:tcPr>
          <w:p w:rsidR="003B0815" w:rsidRDefault="003B0815" w14:paraId="7E4F622A" w14:textId="77777777">
            <w:pPr>
              <w:jc w:val="right"/>
              <w:rPr>
                <w:rFonts w:ascii="Arial" w:hAnsi="Arial"/>
                <w:b/>
                <w:sz w:val="20"/>
                <w:szCs w:val="20"/>
              </w:rPr>
            </w:pPr>
            <w:r>
              <w:rPr>
                <w:rFonts w:ascii="Arial" w:hAnsi="Arial" w:cs="Arial"/>
                <w:b/>
                <w:bCs/>
                <w:sz w:val="20"/>
                <w:szCs w:val="20"/>
              </w:rPr>
              <w:t>$0</w:t>
            </w:r>
          </w:p>
        </w:tc>
      </w:tr>
    </w:tbl>
    <w:p w:rsidR="003B0815" w:rsidRDefault="003B0815" w14:paraId="31BA6B2B" w14:textId="77777777">
      <w:pPr>
        <w:spacing w:line="360" w:lineRule="auto"/>
        <w:ind w:firstLine="720"/>
      </w:pPr>
    </w:p>
    <w:p w:rsidR="003B0815" w:rsidRDefault="003B0815" w14:paraId="57AE17CD" w14:textId="77777777">
      <w:pPr>
        <w:spacing w:line="360" w:lineRule="auto"/>
        <w:ind w:firstLine="720"/>
      </w:pPr>
      <w:r>
        <w:t>In the low scenario, TSA assumed that the 81 covered large foreign carriers chose to implement AQQ prior to Secure Flight and do not need to undertake any further substantial reprogramming to comply with Secure Flight.  Some retraining of staff and other minor modifications to systems may be necessary, however, to address differences between the APIS and Secure Flight rules.  Additionally, under the rule, these operators are required to develop an Aircraft Operator Implementation Plan (AOIP) detailing how the carrier intends to implement Secure Flight.  TSA subject matter experts estimated it should take a carrier already connected to AQQ no more than 200 man hours to complete the AOIP.  TSA thus assumed these carriers will expend initial implementation costs of $400,000, equivalent to domestic Group 1 carriers.  Similarly, TSA again assumed covered small foreign carriers will experience implementation costs of $100,000.  Table 1.6.2.f presents costs to covered foreign carriers under this low scenario.</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807"/>
        <w:gridCol w:w="851"/>
        <w:gridCol w:w="1137"/>
        <w:gridCol w:w="855"/>
        <w:gridCol w:w="1548"/>
        <w:gridCol w:w="1282"/>
        <w:gridCol w:w="857"/>
        <w:gridCol w:w="1021"/>
        <w:gridCol w:w="1060"/>
      </w:tblGrid>
      <w:tr w:rsidR="003B0815" w14:paraId="7C7A02BE" w14:textId="77777777">
        <w:trPr>
          <w:jc w:val="center"/>
        </w:trPr>
        <w:tc>
          <w:tcPr>
            <w:tcW w:w="9418" w:type="dxa"/>
            <w:gridSpan w:val="9"/>
            <w:tcBorders>
              <w:top w:val="nil"/>
              <w:left w:val="nil"/>
              <w:right w:val="nil"/>
            </w:tcBorders>
            <w:vAlign w:val="center"/>
          </w:tcPr>
          <w:p w:rsidR="003B0815" w:rsidRDefault="003B0815" w14:paraId="4CD402BE" w14:textId="77777777">
            <w:pPr>
              <w:pStyle w:val="RegEvalTableHeader"/>
              <w:keepNext/>
            </w:pPr>
            <w:bookmarkStart w:name="_Toc165278383" w:id="263"/>
            <w:bookmarkStart w:name="_Toc174438384" w:id="264"/>
            <w:bookmarkStart w:name="_Toc207109519" w:id="265"/>
            <w:r>
              <w:t>Table 1.6.2.f Total Initial and Recurring Carrier Costs, Foreign Low Scenario</w:t>
            </w:r>
            <w:bookmarkEnd w:id="263"/>
            <w:bookmarkEnd w:id="264"/>
            <w:bookmarkEnd w:id="265"/>
          </w:p>
        </w:tc>
      </w:tr>
      <w:tr w:rsidR="003B0815" w14:paraId="158DBB88" w14:textId="77777777">
        <w:trPr>
          <w:jc w:val="center"/>
        </w:trPr>
        <w:tc>
          <w:tcPr>
            <w:tcW w:w="807" w:type="dxa"/>
            <w:tcBorders>
              <w:top w:val="single" w:color="auto" w:sz="12" w:space="0"/>
              <w:left w:val="single" w:color="auto" w:sz="12" w:space="0"/>
            </w:tcBorders>
            <w:vAlign w:val="center"/>
          </w:tcPr>
          <w:p w:rsidR="003B0815" w:rsidRDefault="003B0815" w14:paraId="6FC83D6A" w14:textId="77777777">
            <w:pPr>
              <w:keepNext/>
              <w:jc w:val="center"/>
              <w:rPr>
                <w:rFonts w:ascii="Arial" w:hAnsi="Arial"/>
                <w:b/>
                <w:sz w:val="20"/>
                <w:szCs w:val="20"/>
              </w:rPr>
            </w:pPr>
            <w:r>
              <w:rPr>
                <w:rFonts w:ascii="Arial" w:hAnsi="Arial"/>
                <w:b/>
                <w:sz w:val="20"/>
                <w:szCs w:val="20"/>
              </w:rPr>
              <w:t>Carrier Type</w:t>
            </w:r>
          </w:p>
        </w:tc>
        <w:tc>
          <w:tcPr>
            <w:tcW w:w="851" w:type="dxa"/>
            <w:tcBorders>
              <w:top w:val="single" w:color="auto" w:sz="12" w:space="0"/>
            </w:tcBorders>
            <w:vAlign w:val="center"/>
          </w:tcPr>
          <w:p w:rsidR="003B0815" w:rsidRDefault="003B0815" w14:paraId="6FE8F83A" w14:textId="77777777">
            <w:pPr>
              <w:keepNext/>
              <w:jc w:val="center"/>
              <w:rPr>
                <w:rFonts w:ascii="Arial" w:hAnsi="Arial"/>
                <w:b/>
                <w:sz w:val="20"/>
                <w:szCs w:val="20"/>
              </w:rPr>
            </w:pPr>
            <w:r>
              <w:rPr>
                <w:rFonts w:ascii="Arial" w:hAnsi="Arial"/>
                <w:b/>
                <w:sz w:val="20"/>
                <w:szCs w:val="20"/>
              </w:rPr>
              <w:t># of Carriers</w:t>
            </w:r>
          </w:p>
        </w:tc>
        <w:tc>
          <w:tcPr>
            <w:tcW w:w="1137" w:type="dxa"/>
            <w:tcBorders>
              <w:top w:val="single" w:color="auto" w:sz="12" w:space="0"/>
            </w:tcBorders>
            <w:vAlign w:val="center"/>
          </w:tcPr>
          <w:p w:rsidR="003B0815" w:rsidRDefault="003B0815" w14:paraId="5787B87D" w14:textId="77777777">
            <w:pPr>
              <w:keepNext/>
              <w:jc w:val="center"/>
              <w:rPr>
                <w:rFonts w:ascii="Arial" w:hAnsi="Arial"/>
                <w:b/>
                <w:sz w:val="20"/>
                <w:szCs w:val="20"/>
              </w:rPr>
            </w:pPr>
            <w:r>
              <w:rPr>
                <w:rFonts w:ascii="Arial" w:hAnsi="Arial"/>
                <w:b/>
                <w:sz w:val="20"/>
                <w:szCs w:val="20"/>
              </w:rPr>
              <w:t>Initial Reprogram  Costs per Carrier</w:t>
            </w:r>
          </w:p>
        </w:tc>
        <w:tc>
          <w:tcPr>
            <w:tcW w:w="855" w:type="dxa"/>
            <w:tcBorders>
              <w:top w:val="single" w:color="auto" w:sz="12" w:space="0"/>
            </w:tcBorders>
            <w:vAlign w:val="center"/>
          </w:tcPr>
          <w:p w:rsidR="003B0815" w:rsidRDefault="003B0815" w14:paraId="0CBD7126" w14:textId="77777777">
            <w:pPr>
              <w:keepNext/>
              <w:jc w:val="center"/>
              <w:rPr>
                <w:rFonts w:ascii="Arial" w:hAnsi="Arial"/>
                <w:b/>
                <w:sz w:val="20"/>
                <w:szCs w:val="20"/>
              </w:rPr>
            </w:pPr>
            <w:r>
              <w:rPr>
                <w:rFonts w:ascii="Arial" w:hAnsi="Arial"/>
                <w:b/>
                <w:sz w:val="20"/>
                <w:szCs w:val="20"/>
              </w:rPr>
              <w:t># of Carriers</w:t>
            </w:r>
          </w:p>
        </w:tc>
        <w:tc>
          <w:tcPr>
            <w:tcW w:w="1548" w:type="dxa"/>
            <w:tcBorders>
              <w:top w:val="single" w:color="auto" w:sz="12" w:space="0"/>
              <w:bottom w:val="single" w:color="auto" w:sz="4" w:space="0"/>
            </w:tcBorders>
            <w:vAlign w:val="center"/>
          </w:tcPr>
          <w:p w:rsidR="003B0815" w:rsidRDefault="003B0815" w14:paraId="5AAA7B32" w14:textId="77777777">
            <w:pPr>
              <w:keepNext/>
              <w:jc w:val="center"/>
              <w:rPr>
                <w:rFonts w:ascii="Arial" w:hAnsi="Arial"/>
                <w:b/>
                <w:sz w:val="20"/>
                <w:szCs w:val="20"/>
              </w:rPr>
            </w:pPr>
            <w:r>
              <w:rPr>
                <w:rFonts w:ascii="Arial" w:hAnsi="Arial"/>
                <w:b/>
                <w:sz w:val="20"/>
                <w:szCs w:val="20"/>
              </w:rPr>
              <w:t>Implementation Costs per Carrier</w:t>
            </w:r>
          </w:p>
        </w:tc>
        <w:tc>
          <w:tcPr>
            <w:tcW w:w="1282" w:type="dxa"/>
            <w:tcBorders>
              <w:top w:val="single" w:color="auto" w:sz="12" w:space="0"/>
              <w:bottom w:val="single" w:color="auto" w:sz="4" w:space="0"/>
              <w:right w:val="double" w:color="auto" w:sz="4" w:space="0"/>
            </w:tcBorders>
            <w:vAlign w:val="center"/>
          </w:tcPr>
          <w:p w:rsidR="003B0815" w:rsidRDefault="003B0815" w14:paraId="59451670" w14:textId="77777777">
            <w:pPr>
              <w:keepNext/>
              <w:jc w:val="center"/>
              <w:rPr>
                <w:rFonts w:ascii="Arial" w:hAnsi="Arial"/>
                <w:b/>
                <w:sz w:val="20"/>
                <w:szCs w:val="20"/>
              </w:rPr>
            </w:pPr>
            <w:r>
              <w:rPr>
                <w:rFonts w:ascii="Arial" w:hAnsi="Arial"/>
                <w:b/>
                <w:sz w:val="20"/>
                <w:szCs w:val="20"/>
              </w:rPr>
              <w:t>Total Initial Costs</w:t>
            </w:r>
          </w:p>
        </w:tc>
        <w:tc>
          <w:tcPr>
            <w:tcW w:w="857" w:type="dxa"/>
            <w:tcBorders>
              <w:top w:val="single" w:color="auto" w:sz="12" w:space="0"/>
              <w:left w:val="double" w:color="auto" w:sz="4" w:space="0"/>
            </w:tcBorders>
            <w:vAlign w:val="center"/>
          </w:tcPr>
          <w:p w:rsidR="003B0815" w:rsidRDefault="003B0815" w14:paraId="4A7AA865" w14:textId="77777777">
            <w:pPr>
              <w:keepNext/>
              <w:jc w:val="center"/>
              <w:rPr>
                <w:rFonts w:ascii="Arial" w:hAnsi="Arial"/>
                <w:b/>
                <w:sz w:val="20"/>
                <w:szCs w:val="20"/>
              </w:rPr>
            </w:pPr>
            <w:r>
              <w:rPr>
                <w:rFonts w:ascii="Arial" w:hAnsi="Arial"/>
                <w:b/>
                <w:sz w:val="20"/>
                <w:szCs w:val="20"/>
              </w:rPr>
              <w:t># of Carriers</w:t>
            </w:r>
          </w:p>
        </w:tc>
        <w:tc>
          <w:tcPr>
            <w:tcW w:w="1021" w:type="dxa"/>
            <w:tcBorders>
              <w:top w:val="single" w:color="auto" w:sz="12" w:space="0"/>
              <w:right w:val="double" w:color="auto" w:sz="4" w:space="0"/>
            </w:tcBorders>
            <w:vAlign w:val="center"/>
          </w:tcPr>
          <w:p w:rsidR="003B0815" w:rsidRDefault="003B0815" w14:paraId="5E9AFF22" w14:textId="77777777">
            <w:pPr>
              <w:keepNext/>
              <w:jc w:val="center"/>
              <w:rPr>
                <w:rFonts w:ascii="Arial" w:hAnsi="Arial"/>
                <w:b/>
                <w:sz w:val="20"/>
                <w:szCs w:val="20"/>
              </w:rPr>
            </w:pPr>
            <w:r>
              <w:rPr>
                <w:rFonts w:ascii="Arial" w:hAnsi="Arial"/>
                <w:b/>
                <w:sz w:val="20"/>
                <w:szCs w:val="20"/>
              </w:rPr>
              <w:t>Recurring Costs per Carrier</w:t>
            </w:r>
          </w:p>
        </w:tc>
        <w:tc>
          <w:tcPr>
            <w:tcW w:w="1060" w:type="dxa"/>
            <w:tcBorders>
              <w:top w:val="single" w:color="auto" w:sz="12" w:space="0"/>
              <w:left w:val="double" w:color="auto" w:sz="4" w:space="0"/>
              <w:bottom w:val="single" w:color="auto" w:sz="4" w:space="0"/>
              <w:right w:val="single" w:color="auto" w:sz="12" w:space="0"/>
            </w:tcBorders>
            <w:vAlign w:val="center"/>
          </w:tcPr>
          <w:p w:rsidR="003B0815" w:rsidRDefault="003B0815" w14:paraId="7B3AB063" w14:textId="77777777">
            <w:pPr>
              <w:keepNext/>
              <w:jc w:val="center"/>
              <w:rPr>
                <w:rFonts w:ascii="Arial" w:hAnsi="Arial"/>
                <w:b/>
                <w:sz w:val="20"/>
                <w:szCs w:val="20"/>
              </w:rPr>
            </w:pPr>
            <w:r>
              <w:rPr>
                <w:rFonts w:ascii="Arial" w:hAnsi="Arial"/>
                <w:b/>
                <w:sz w:val="20"/>
                <w:szCs w:val="20"/>
              </w:rPr>
              <w:t>Total Recurring Cost per Year</w:t>
            </w:r>
          </w:p>
        </w:tc>
      </w:tr>
      <w:tr w:rsidR="003B0815" w14:paraId="5CE8AB81" w14:textId="77777777">
        <w:trPr>
          <w:jc w:val="center"/>
        </w:trPr>
        <w:tc>
          <w:tcPr>
            <w:tcW w:w="807" w:type="dxa"/>
            <w:tcBorders>
              <w:left w:val="single" w:color="auto" w:sz="12" w:space="0"/>
            </w:tcBorders>
            <w:vAlign w:val="bottom"/>
          </w:tcPr>
          <w:p w:rsidR="003B0815" w:rsidRDefault="003B0815" w14:paraId="796003BB" w14:textId="77777777">
            <w:pPr>
              <w:keepNext/>
              <w:rPr>
                <w:rFonts w:ascii="Arial" w:hAnsi="Arial"/>
                <w:sz w:val="20"/>
                <w:szCs w:val="20"/>
              </w:rPr>
            </w:pPr>
            <w:r>
              <w:rPr>
                <w:rFonts w:ascii="Arial" w:hAnsi="Arial"/>
                <w:sz w:val="20"/>
                <w:szCs w:val="20"/>
              </w:rPr>
              <w:t>Large Foreign</w:t>
            </w:r>
          </w:p>
        </w:tc>
        <w:tc>
          <w:tcPr>
            <w:tcW w:w="851" w:type="dxa"/>
            <w:vAlign w:val="bottom"/>
          </w:tcPr>
          <w:p w:rsidR="003B0815" w:rsidRDefault="003B0815" w14:paraId="737C0707" w14:textId="77777777">
            <w:pPr>
              <w:keepNext/>
              <w:jc w:val="center"/>
              <w:rPr>
                <w:rFonts w:ascii="Arial" w:hAnsi="Arial"/>
                <w:sz w:val="20"/>
                <w:szCs w:val="20"/>
              </w:rPr>
            </w:pPr>
            <w:r>
              <w:rPr>
                <w:rFonts w:ascii="Arial" w:hAnsi="Arial" w:cs="Arial"/>
                <w:sz w:val="20"/>
                <w:szCs w:val="20"/>
              </w:rPr>
              <w:t>0</w:t>
            </w:r>
          </w:p>
        </w:tc>
        <w:tc>
          <w:tcPr>
            <w:tcW w:w="1137" w:type="dxa"/>
            <w:vAlign w:val="bottom"/>
          </w:tcPr>
          <w:p w:rsidR="003B0815" w:rsidRDefault="003B0815" w14:paraId="78269F89" w14:textId="77777777">
            <w:pPr>
              <w:keepNext/>
              <w:jc w:val="right"/>
              <w:rPr>
                <w:rFonts w:ascii="Arial" w:hAnsi="Arial"/>
                <w:sz w:val="20"/>
                <w:szCs w:val="20"/>
              </w:rPr>
            </w:pPr>
            <w:r>
              <w:rPr>
                <w:rFonts w:ascii="Arial" w:hAnsi="Arial" w:cs="Arial"/>
                <w:sz w:val="20"/>
                <w:szCs w:val="20"/>
              </w:rPr>
              <w:t>$2,000,000</w:t>
            </w:r>
          </w:p>
        </w:tc>
        <w:tc>
          <w:tcPr>
            <w:tcW w:w="855" w:type="dxa"/>
            <w:vAlign w:val="bottom"/>
          </w:tcPr>
          <w:p w:rsidR="003B0815" w:rsidRDefault="003B0815" w14:paraId="7CC33EAE" w14:textId="77777777">
            <w:pPr>
              <w:keepNext/>
              <w:jc w:val="right"/>
              <w:rPr>
                <w:rFonts w:ascii="Arial" w:hAnsi="Arial" w:cs="Arial"/>
                <w:sz w:val="20"/>
                <w:szCs w:val="20"/>
              </w:rPr>
            </w:pPr>
            <w:r>
              <w:rPr>
                <w:rFonts w:ascii="Arial" w:hAnsi="Arial" w:cs="Arial"/>
                <w:sz w:val="20"/>
                <w:szCs w:val="20"/>
              </w:rPr>
              <w:t>81</w:t>
            </w:r>
          </w:p>
        </w:tc>
        <w:tc>
          <w:tcPr>
            <w:tcW w:w="1548" w:type="dxa"/>
            <w:vAlign w:val="bottom"/>
          </w:tcPr>
          <w:p w:rsidR="003B0815" w:rsidRDefault="003B0815" w14:paraId="69489969" w14:textId="77777777">
            <w:pPr>
              <w:keepNext/>
              <w:jc w:val="right"/>
              <w:rPr>
                <w:rFonts w:ascii="Arial" w:hAnsi="Arial" w:cs="Arial"/>
                <w:b/>
                <w:sz w:val="20"/>
                <w:szCs w:val="20"/>
              </w:rPr>
            </w:pPr>
            <w:r>
              <w:rPr>
                <w:rFonts w:ascii="Arial" w:hAnsi="Arial" w:cs="Arial"/>
                <w:sz w:val="20"/>
                <w:szCs w:val="20"/>
              </w:rPr>
              <w:t>$400,000</w:t>
            </w:r>
          </w:p>
        </w:tc>
        <w:tc>
          <w:tcPr>
            <w:tcW w:w="1282" w:type="dxa"/>
            <w:tcBorders>
              <w:right w:val="double" w:color="auto" w:sz="4" w:space="0"/>
            </w:tcBorders>
            <w:shd w:val="clear" w:color="auto" w:fill="CCCCCC"/>
            <w:vAlign w:val="bottom"/>
          </w:tcPr>
          <w:p w:rsidR="003B0815" w:rsidRDefault="003B0815" w14:paraId="21324942" w14:textId="77777777">
            <w:pPr>
              <w:keepNext/>
              <w:jc w:val="right"/>
              <w:rPr>
                <w:rFonts w:ascii="Arial" w:hAnsi="Arial"/>
                <w:b/>
                <w:sz w:val="20"/>
                <w:szCs w:val="20"/>
              </w:rPr>
            </w:pPr>
            <w:r>
              <w:rPr>
                <w:rFonts w:ascii="Arial" w:hAnsi="Arial" w:cs="Arial"/>
                <w:sz w:val="20"/>
                <w:szCs w:val="20"/>
              </w:rPr>
              <w:t>$32,400,000</w:t>
            </w:r>
          </w:p>
        </w:tc>
        <w:tc>
          <w:tcPr>
            <w:tcW w:w="857" w:type="dxa"/>
            <w:tcBorders>
              <w:left w:val="double" w:color="auto" w:sz="4" w:space="0"/>
            </w:tcBorders>
            <w:vAlign w:val="bottom"/>
          </w:tcPr>
          <w:p w:rsidR="003B0815" w:rsidRDefault="003B0815" w14:paraId="213122F9" w14:textId="77777777">
            <w:pPr>
              <w:keepNext/>
              <w:jc w:val="right"/>
              <w:rPr>
                <w:rFonts w:ascii="Arial" w:hAnsi="Arial" w:cs="Arial"/>
                <w:sz w:val="20"/>
                <w:szCs w:val="20"/>
              </w:rPr>
            </w:pPr>
            <w:r>
              <w:rPr>
                <w:rFonts w:ascii="Arial" w:hAnsi="Arial" w:cs="Arial"/>
                <w:sz w:val="20"/>
                <w:szCs w:val="20"/>
              </w:rPr>
              <w:t>81</w:t>
            </w:r>
          </w:p>
        </w:tc>
        <w:tc>
          <w:tcPr>
            <w:tcW w:w="1021" w:type="dxa"/>
            <w:tcBorders>
              <w:right w:val="double" w:color="auto" w:sz="4" w:space="0"/>
            </w:tcBorders>
            <w:vAlign w:val="bottom"/>
          </w:tcPr>
          <w:p w:rsidR="003B0815" w:rsidRDefault="003B0815" w14:paraId="7517748F" w14:textId="77777777">
            <w:pPr>
              <w:keepNext/>
              <w:jc w:val="right"/>
              <w:rPr>
                <w:rFonts w:ascii="Arial" w:hAnsi="Arial"/>
                <w:sz w:val="20"/>
                <w:szCs w:val="20"/>
              </w:rPr>
            </w:pPr>
            <w:r>
              <w:rPr>
                <w:rFonts w:ascii="Arial" w:hAnsi="Arial" w:cs="Arial"/>
                <w:sz w:val="20"/>
                <w:szCs w:val="20"/>
              </w:rPr>
              <w:t>$49,100</w:t>
            </w:r>
          </w:p>
        </w:tc>
        <w:tc>
          <w:tcPr>
            <w:tcW w:w="1060" w:type="dxa"/>
            <w:tcBorders>
              <w:left w:val="double" w:color="auto" w:sz="4" w:space="0"/>
              <w:right w:val="single" w:color="auto" w:sz="12" w:space="0"/>
            </w:tcBorders>
            <w:shd w:val="clear" w:color="auto" w:fill="CCCCCC"/>
            <w:vAlign w:val="bottom"/>
          </w:tcPr>
          <w:p w:rsidR="003B0815" w:rsidRDefault="003B0815" w14:paraId="1FDF8471" w14:textId="77777777">
            <w:pPr>
              <w:keepNext/>
              <w:jc w:val="right"/>
              <w:rPr>
                <w:rFonts w:ascii="Arial" w:hAnsi="Arial"/>
                <w:b/>
                <w:sz w:val="20"/>
                <w:szCs w:val="20"/>
              </w:rPr>
            </w:pPr>
            <w:r>
              <w:rPr>
                <w:rFonts w:ascii="Arial" w:hAnsi="Arial" w:cs="Arial"/>
                <w:sz w:val="20"/>
                <w:szCs w:val="20"/>
              </w:rPr>
              <w:t>$3,977,000</w:t>
            </w:r>
          </w:p>
        </w:tc>
      </w:tr>
      <w:tr w:rsidR="003B0815" w14:paraId="0388D736" w14:textId="77777777">
        <w:trPr>
          <w:jc w:val="center"/>
        </w:trPr>
        <w:tc>
          <w:tcPr>
            <w:tcW w:w="807" w:type="dxa"/>
            <w:tcBorders>
              <w:left w:val="single" w:color="auto" w:sz="12" w:space="0"/>
            </w:tcBorders>
            <w:vAlign w:val="bottom"/>
          </w:tcPr>
          <w:p w:rsidR="003B0815" w:rsidRDefault="003B0815" w14:paraId="65086680" w14:textId="77777777">
            <w:pPr>
              <w:keepNext/>
              <w:rPr>
                <w:rFonts w:ascii="Arial" w:hAnsi="Arial"/>
                <w:sz w:val="20"/>
                <w:szCs w:val="20"/>
              </w:rPr>
            </w:pPr>
            <w:r>
              <w:rPr>
                <w:rFonts w:ascii="Arial" w:hAnsi="Arial"/>
                <w:sz w:val="20"/>
                <w:szCs w:val="20"/>
              </w:rPr>
              <w:t>Small Foreign</w:t>
            </w:r>
          </w:p>
        </w:tc>
        <w:tc>
          <w:tcPr>
            <w:tcW w:w="851" w:type="dxa"/>
            <w:vAlign w:val="bottom"/>
          </w:tcPr>
          <w:p w:rsidR="003B0815" w:rsidRDefault="003B0815" w14:paraId="0E513942" w14:textId="77777777">
            <w:pPr>
              <w:keepNext/>
              <w:jc w:val="center"/>
              <w:rPr>
                <w:rFonts w:ascii="Arial" w:hAnsi="Arial"/>
                <w:sz w:val="20"/>
                <w:szCs w:val="20"/>
              </w:rPr>
            </w:pPr>
            <w:r>
              <w:rPr>
                <w:rFonts w:ascii="Arial" w:hAnsi="Arial" w:cs="Arial"/>
                <w:sz w:val="20"/>
                <w:szCs w:val="20"/>
              </w:rPr>
              <w:t>N/A</w:t>
            </w:r>
          </w:p>
        </w:tc>
        <w:tc>
          <w:tcPr>
            <w:tcW w:w="1137" w:type="dxa"/>
            <w:vAlign w:val="bottom"/>
          </w:tcPr>
          <w:p w:rsidR="003B0815" w:rsidRDefault="003B0815" w14:paraId="5D0E5D03" w14:textId="77777777">
            <w:pPr>
              <w:keepNext/>
              <w:jc w:val="right"/>
              <w:rPr>
                <w:rFonts w:ascii="Arial" w:hAnsi="Arial"/>
                <w:sz w:val="20"/>
                <w:szCs w:val="20"/>
              </w:rPr>
            </w:pPr>
            <w:r>
              <w:rPr>
                <w:rFonts w:ascii="Arial" w:hAnsi="Arial" w:cs="Arial"/>
                <w:sz w:val="20"/>
                <w:szCs w:val="20"/>
              </w:rPr>
              <w:t>N/A</w:t>
            </w:r>
          </w:p>
        </w:tc>
        <w:tc>
          <w:tcPr>
            <w:tcW w:w="855" w:type="dxa"/>
            <w:vAlign w:val="bottom"/>
          </w:tcPr>
          <w:p w:rsidR="003B0815" w:rsidRDefault="003B0815" w14:paraId="0B13133C" w14:textId="77777777">
            <w:pPr>
              <w:keepNext/>
              <w:jc w:val="right"/>
              <w:rPr>
                <w:rFonts w:ascii="Arial" w:hAnsi="Arial" w:cs="Arial"/>
                <w:sz w:val="20"/>
                <w:szCs w:val="20"/>
              </w:rPr>
            </w:pPr>
            <w:r>
              <w:rPr>
                <w:rFonts w:ascii="Arial" w:hAnsi="Arial" w:cs="Arial"/>
                <w:sz w:val="20"/>
                <w:szCs w:val="20"/>
              </w:rPr>
              <w:t>65</w:t>
            </w:r>
          </w:p>
        </w:tc>
        <w:tc>
          <w:tcPr>
            <w:tcW w:w="1548" w:type="dxa"/>
            <w:vAlign w:val="bottom"/>
          </w:tcPr>
          <w:p w:rsidR="003B0815" w:rsidRDefault="003B0815" w14:paraId="75D5A1C9" w14:textId="77777777">
            <w:pPr>
              <w:keepNext/>
              <w:jc w:val="right"/>
              <w:rPr>
                <w:rFonts w:ascii="Arial" w:hAnsi="Arial" w:cs="Arial"/>
                <w:b/>
                <w:sz w:val="20"/>
                <w:szCs w:val="20"/>
              </w:rPr>
            </w:pPr>
            <w:r>
              <w:rPr>
                <w:rFonts w:ascii="Arial" w:hAnsi="Arial" w:cs="Arial"/>
                <w:sz w:val="20"/>
                <w:szCs w:val="20"/>
              </w:rPr>
              <w:t>$100,000</w:t>
            </w:r>
          </w:p>
        </w:tc>
        <w:tc>
          <w:tcPr>
            <w:tcW w:w="1282" w:type="dxa"/>
            <w:tcBorders>
              <w:right w:val="double" w:color="auto" w:sz="4" w:space="0"/>
            </w:tcBorders>
            <w:shd w:val="clear" w:color="auto" w:fill="CCCCCC"/>
            <w:vAlign w:val="bottom"/>
          </w:tcPr>
          <w:p w:rsidR="003B0815" w:rsidRDefault="003B0815" w14:paraId="1FAC96AE" w14:textId="77777777">
            <w:pPr>
              <w:keepNext/>
              <w:jc w:val="right"/>
              <w:rPr>
                <w:rFonts w:ascii="Arial" w:hAnsi="Arial"/>
                <w:b/>
                <w:sz w:val="20"/>
                <w:szCs w:val="20"/>
              </w:rPr>
            </w:pPr>
            <w:r>
              <w:rPr>
                <w:rFonts w:ascii="Arial" w:hAnsi="Arial" w:cs="Arial"/>
                <w:sz w:val="20"/>
                <w:szCs w:val="20"/>
              </w:rPr>
              <w:t>$6,500,000</w:t>
            </w:r>
          </w:p>
        </w:tc>
        <w:tc>
          <w:tcPr>
            <w:tcW w:w="857" w:type="dxa"/>
            <w:tcBorders>
              <w:left w:val="double" w:color="auto" w:sz="4" w:space="0"/>
            </w:tcBorders>
            <w:vAlign w:val="bottom"/>
          </w:tcPr>
          <w:p w:rsidR="003B0815" w:rsidRDefault="003B0815" w14:paraId="3B1D5206" w14:textId="77777777">
            <w:pPr>
              <w:keepNext/>
              <w:jc w:val="right"/>
              <w:rPr>
                <w:rFonts w:ascii="Arial" w:hAnsi="Arial" w:cs="Arial"/>
                <w:sz w:val="20"/>
                <w:szCs w:val="20"/>
              </w:rPr>
            </w:pPr>
            <w:r>
              <w:rPr>
                <w:rFonts w:ascii="Arial" w:hAnsi="Arial" w:cs="Arial"/>
                <w:sz w:val="20"/>
                <w:szCs w:val="20"/>
              </w:rPr>
              <w:t>65</w:t>
            </w:r>
          </w:p>
        </w:tc>
        <w:tc>
          <w:tcPr>
            <w:tcW w:w="1021" w:type="dxa"/>
            <w:tcBorders>
              <w:right w:val="double" w:color="auto" w:sz="4" w:space="0"/>
            </w:tcBorders>
            <w:vAlign w:val="bottom"/>
          </w:tcPr>
          <w:p w:rsidR="003B0815" w:rsidRDefault="003B0815" w14:paraId="6EE08E96" w14:textId="77777777">
            <w:pPr>
              <w:keepNext/>
              <w:jc w:val="right"/>
              <w:rPr>
                <w:rFonts w:ascii="Arial" w:hAnsi="Arial"/>
                <w:sz w:val="20"/>
                <w:szCs w:val="20"/>
              </w:rPr>
            </w:pPr>
            <w:r>
              <w:rPr>
                <w:rFonts w:ascii="Arial" w:hAnsi="Arial" w:cs="Arial"/>
                <w:sz w:val="20"/>
                <w:szCs w:val="20"/>
              </w:rPr>
              <w:t>$0</w:t>
            </w:r>
          </w:p>
        </w:tc>
        <w:tc>
          <w:tcPr>
            <w:tcW w:w="1060" w:type="dxa"/>
            <w:tcBorders>
              <w:left w:val="double" w:color="auto" w:sz="4" w:space="0"/>
              <w:right w:val="single" w:color="auto" w:sz="12" w:space="0"/>
            </w:tcBorders>
            <w:shd w:val="clear" w:color="auto" w:fill="CCCCCC"/>
            <w:vAlign w:val="bottom"/>
          </w:tcPr>
          <w:p w:rsidR="003B0815" w:rsidRDefault="003B0815" w14:paraId="37CB0B9A" w14:textId="77777777">
            <w:pPr>
              <w:keepNext/>
              <w:jc w:val="right"/>
              <w:rPr>
                <w:rFonts w:ascii="Arial" w:hAnsi="Arial"/>
                <w:b/>
                <w:sz w:val="20"/>
                <w:szCs w:val="20"/>
              </w:rPr>
            </w:pPr>
            <w:r>
              <w:rPr>
                <w:rFonts w:ascii="Arial" w:hAnsi="Arial" w:cs="Arial"/>
                <w:b/>
                <w:sz w:val="20"/>
                <w:szCs w:val="20"/>
              </w:rPr>
              <w:t>$0</w:t>
            </w:r>
          </w:p>
        </w:tc>
      </w:tr>
      <w:tr w:rsidR="003B0815" w14:paraId="5EF19507" w14:textId="77777777">
        <w:trPr>
          <w:jc w:val="center"/>
        </w:trPr>
        <w:tc>
          <w:tcPr>
            <w:tcW w:w="807" w:type="dxa"/>
            <w:tcBorders>
              <w:left w:val="single" w:color="auto" w:sz="12" w:space="0"/>
              <w:bottom w:val="single" w:color="auto" w:sz="12" w:space="0"/>
            </w:tcBorders>
            <w:vAlign w:val="bottom"/>
          </w:tcPr>
          <w:p w:rsidR="003B0815" w:rsidRDefault="003B0815" w14:paraId="33B4D1F0" w14:textId="77777777">
            <w:pPr>
              <w:rPr>
                <w:rFonts w:ascii="Arial" w:hAnsi="Arial"/>
                <w:b/>
                <w:sz w:val="20"/>
                <w:szCs w:val="20"/>
              </w:rPr>
            </w:pPr>
            <w:r>
              <w:rPr>
                <w:rFonts w:ascii="Arial" w:hAnsi="Arial"/>
                <w:b/>
                <w:sz w:val="20"/>
                <w:szCs w:val="20"/>
              </w:rPr>
              <w:t>Total</w:t>
            </w:r>
          </w:p>
        </w:tc>
        <w:tc>
          <w:tcPr>
            <w:tcW w:w="851" w:type="dxa"/>
            <w:tcBorders>
              <w:bottom w:val="single" w:color="auto" w:sz="12" w:space="0"/>
              <w:right w:val="nil"/>
            </w:tcBorders>
            <w:vAlign w:val="bottom"/>
          </w:tcPr>
          <w:p w:rsidR="003B0815" w:rsidRDefault="003B0815" w14:paraId="3AE6BB2E" w14:textId="77777777">
            <w:pPr>
              <w:jc w:val="center"/>
              <w:rPr>
                <w:rFonts w:ascii="Arial" w:hAnsi="Arial"/>
                <w:b/>
                <w:sz w:val="20"/>
                <w:szCs w:val="20"/>
              </w:rPr>
            </w:pPr>
            <w:r>
              <w:rPr>
                <w:rFonts w:ascii="Arial" w:hAnsi="Arial" w:cs="Arial"/>
                <w:b/>
                <w:sz w:val="20"/>
                <w:szCs w:val="20"/>
              </w:rPr>
              <w:t>0</w:t>
            </w:r>
          </w:p>
        </w:tc>
        <w:tc>
          <w:tcPr>
            <w:tcW w:w="1137" w:type="dxa"/>
            <w:tcBorders>
              <w:left w:val="nil"/>
              <w:bottom w:val="single" w:color="auto" w:sz="12" w:space="0"/>
              <w:right w:val="nil"/>
            </w:tcBorders>
            <w:vAlign w:val="bottom"/>
          </w:tcPr>
          <w:p w:rsidR="003B0815" w:rsidRDefault="003B0815" w14:paraId="40A7A921" w14:textId="77777777">
            <w:pPr>
              <w:jc w:val="right"/>
              <w:rPr>
                <w:rFonts w:ascii="Arial" w:hAnsi="Arial"/>
                <w:b/>
                <w:sz w:val="20"/>
                <w:szCs w:val="20"/>
              </w:rPr>
            </w:pPr>
            <w:r>
              <w:rPr>
                <w:rFonts w:ascii="Arial" w:hAnsi="Arial" w:cs="Arial"/>
                <w:b/>
                <w:sz w:val="20"/>
                <w:szCs w:val="20"/>
              </w:rPr>
              <w:t> </w:t>
            </w:r>
          </w:p>
        </w:tc>
        <w:tc>
          <w:tcPr>
            <w:tcW w:w="855" w:type="dxa"/>
            <w:tcBorders>
              <w:left w:val="nil"/>
              <w:bottom w:val="single" w:color="auto" w:sz="12" w:space="0"/>
              <w:right w:val="nil"/>
            </w:tcBorders>
            <w:vAlign w:val="bottom"/>
          </w:tcPr>
          <w:p w:rsidR="003B0815" w:rsidRDefault="003B0815" w14:paraId="7B103385" w14:textId="77777777">
            <w:pPr>
              <w:jc w:val="right"/>
              <w:rPr>
                <w:rFonts w:ascii="Arial" w:hAnsi="Arial" w:cs="Arial"/>
                <w:b/>
                <w:sz w:val="20"/>
                <w:szCs w:val="20"/>
              </w:rPr>
            </w:pPr>
            <w:r>
              <w:rPr>
                <w:rFonts w:ascii="Arial" w:hAnsi="Arial" w:cs="Arial"/>
                <w:b/>
                <w:sz w:val="20"/>
                <w:szCs w:val="20"/>
              </w:rPr>
              <w:t>146</w:t>
            </w:r>
          </w:p>
        </w:tc>
        <w:tc>
          <w:tcPr>
            <w:tcW w:w="1548" w:type="dxa"/>
            <w:tcBorders>
              <w:left w:val="nil"/>
              <w:bottom w:val="single" w:color="auto" w:sz="12" w:space="0"/>
            </w:tcBorders>
            <w:vAlign w:val="bottom"/>
          </w:tcPr>
          <w:p w:rsidR="003B0815" w:rsidRDefault="003B0815" w14:paraId="37958208" w14:textId="77777777">
            <w:pPr>
              <w:jc w:val="right"/>
              <w:rPr>
                <w:rFonts w:ascii="Arial" w:hAnsi="Arial" w:cs="Arial"/>
                <w:b/>
                <w:sz w:val="20"/>
                <w:szCs w:val="20"/>
              </w:rPr>
            </w:pPr>
          </w:p>
        </w:tc>
        <w:tc>
          <w:tcPr>
            <w:tcW w:w="1282" w:type="dxa"/>
            <w:tcBorders>
              <w:bottom w:val="single" w:color="auto" w:sz="12" w:space="0"/>
              <w:right w:val="double" w:color="auto" w:sz="4" w:space="0"/>
            </w:tcBorders>
            <w:vAlign w:val="bottom"/>
          </w:tcPr>
          <w:p w:rsidR="003B0815" w:rsidRDefault="003B0815" w14:paraId="7DAA4B8A" w14:textId="77777777">
            <w:pPr>
              <w:jc w:val="right"/>
              <w:rPr>
                <w:rFonts w:ascii="Arial" w:hAnsi="Arial"/>
                <w:b/>
                <w:sz w:val="20"/>
                <w:szCs w:val="20"/>
              </w:rPr>
            </w:pPr>
            <w:r>
              <w:rPr>
                <w:rFonts w:ascii="Arial" w:hAnsi="Arial" w:cs="Arial"/>
                <w:b/>
                <w:sz w:val="20"/>
                <w:szCs w:val="20"/>
              </w:rPr>
              <w:t>$38,900,000</w:t>
            </w:r>
          </w:p>
        </w:tc>
        <w:tc>
          <w:tcPr>
            <w:tcW w:w="857" w:type="dxa"/>
            <w:tcBorders>
              <w:left w:val="double" w:color="auto" w:sz="4" w:space="0"/>
              <w:bottom w:val="single" w:color="auto" w:sz="12" w:space="0"/>
            </w:tcBorders>
            <w:vAlign w:val="bottom"/>
          </w:tcPr>
          <w:p w:rsidR="003B0815" w:rsidRDefault="003B0815" w14:paraId="0920D6C9" w14:textId="77777777">
            <w:pPr>
              <w:jc w:val="right"/>
              <w:rPr>
                <w:rFonts w:ascii="Arial" w:hAnsi="Arial" w:cs="Arial"/>
                <w:b/>
                <w:sz w:val="20"/>
                <w:szCs w:val="20"/>
              </w:rPr>
            </w:pPr>
            <w:r>
              <w:rPr>
                <w:rFonts w:ascii="Arial" w:hAnsi="Arial" w:cs="Arial"/>
                <w:b/>
                <w:sz w:val="20"/>
                <w:szCs w:val="20"/>
              </w:rPr>
              <w:t>146</w:t>
            </w:r>
          </w:p>
        </w:tc>
        <w:tc>
          <w:tcPr>
            <w:tcW w:w="1021" w:type="dxa"/>
            <w:tcBorders>
              <w:bottom w:val="single" w:color="auto" w:sz="12" w:space="0"/>
              <w:right w:val="double" w:color="auto" w:sz="4" w:space="0"/>
            </w:tcBorders>
            <w:vAlign w:val="bottom"/>
          </w:tcPr>
          <w:p w:rsidR="003B0815" w:rsidRDefault="003B0815" w14:paraId="4BDC94FE" w14:textId="77777777">
            <w:pPr>
              <w:jc w:val="right"/>
              <w:rPr>
                <w:rFonts w:ascii="Arial" w:hAnsi="Arial"/>
                <w:b/>
                <w:sz w:val="20"/>
                <w:szCs w:val="20"/>
              </w:rPr>
            </w:pPr>
            <w:r>
              <w:rPr>
                <w:rFonts w:ascii="Arial" w:hAnsi="Arial" w:cs="Arial"/>
                <w:b/>
                <w:sz w:val="20"/>
                <w:szCs w:val="20"/>
              </w:rPr>
              <w:t> </w:t>
            </w:r>
          </w:p>
        </w:tc>
        <w:tc>
          <w:tcPr>
            <w:tcW w:w="1060" w:type="dxa"/>
            <w:tcBorders>
              <w:left w:val="double" w:color="auto" w:sz="4" w:space="0"/>
              <w:bottom w:val="single" w:color="auto" w:sz="12" w:space="0"/>
              <w:right w:val="single" w:color="auto" w:sz="12" w:space="0"/>
            </w:tcBorders>
            <w:vAlign w:val="bottom"/>
          </w:tcPr>
          <w:p w:rsidR="003B0815" w:rsidRDefault="003B0815" w14:paraId="684CA20C" w14:textId="77777777">
            <w:pPr>
              <w:jc w:val="right"/>
              <w:rPr>
                <w:rFonts w:ascii="Arial" w:hAnsi="Arial"/>
                <w:b/>
                <w:sz w:val="20"/>
                <w:szCs w:val="20"/>
              </w:rPr>
            </w:pPr>
            <w:r>
              <w:rPr>
                <w:rFonts w:ascii="Arial" w:hAnsi="Arial" w:cs="Arial"/>
                <w:b/>
                <w:bCs/>
                <w:sz w:val="20"/>
                <w:szCs w:val="20"/>
              </w:rPr>
              <w:t>$0</w:t>
            </w:r>
          </w:p>
        </w:tc>
      </w:tr>
    </w:tbl>
    <w:p w:rsidR="003B0815" w:rsidRDefault="003B0815" w14:paraId="74EF123E" w14:textId="77777777">
      <w:pPr>
        <w:spacing w:line="360" w:lineRule="auto"/>
        <w:ind w:firstLine="720"/>
      </w:pPr>
    </w:p>
    <w:p w:rsidR="003B0815" w:rsidRDefault="003B0815" w14:paraId="129BD986" w14:textId="77777777">
      <w:pPr>
        <w:spacing w:line="360" w:lineRule="auto"/>
        <w:ind w:firstLine="720"/>
      </w:pPr>
      <w:r>
        <w:t>In its final APIS regulatory evaluation, CBP included in its estimates for carriers choosing to implement AQQ a cost of $0.20 per passenger to transmit each passenger’s information to DHS and receive back a message response.  TSA was unable to reliably determine prior to publication of the Secure Flight NPRM how this per passenger fee would be affected by the significantly larger passenger population covered by Secure Flight.  TSA did not receive any input addressing this estimate and therefore it is an unknown.  Corresponding to its other efforts to align TSA’s assumptions with CBP’s, TSA estimated costs for low, primary, and high scenarios.  In the low scenario, TSA assumed all airlines implemented AQQ in advance of Secure Flight; therefore, TSA calculated costs only for the difference between the international population covered by Secure Flight and the APIS population.  In the high scenario, TSA assumed that all carriers waited until Secure Flight is implemented to invest in interactive query technology.  As a result, TSA applied the $0.20 message fee to all international reservations covered by Secure Flight.  The primary scenario is the average of these two estimates.  As with the foreign airline reprogramming estimates, TSA assumed these costs are not incurred until the second year of the Secure Flight program.  Table 1.6.2.g presents the estimated message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
        <w:gridCol w:w="1458"/>
        <w:gridCol w:w="1440"/>
        <w:gridCol w:w="1441"/>
      </w:tblGrid>
      <w:tr w:rsidR="003B0815" w14:paraId="689F3DC9" w14:textId="77777777">
        <w:trPr>
          <w:jc w:val="center"/>
        </w:trPr>
        <w:tc>
          <w:tcPr>
            <w:tcW w:w="5402" w:type="dxa"/>
            <w:gridSpan w:val="4"/>
            <w:tcBorders>
              <w:top w:val="nil"/>
              <w:left w:val="nil"/>
              <w:bottom w:val="single" w:color="auto" w:sz="12" w:space="0"/>
              <w:right w:val="nil"/>
            </w:tcBorders>
          </w:tcPr>
          <w:p w:rsidR="003B0815" w:rsidRDefault="003B0815" w14:paraId="7FF4AD09" w14:textId="77777777">
            <w:pPr>
              <w:pStyle w:val="RegEvalTableHeader"/>
            </w:pPr>
            <w:bookmarkStart w:name="_Toc165278385" w:id="266"/>
            <w:bookmarkStart w:name="_Toc174438386" w:id="267"/>
            <w:bookmarkStart w:name="_Toc207109520" w:id="268"/>
            <w:r>
              <w:t>Table 1.6.2.g Potential Secure Flight Message Fees (millions of 2005 $)</w:t>
            </w:r>
            <w:bookmarkEnd w:id="266"/>
            <w:bookmarkEnd w:id="267"/>
            <w:bookmarkEnd w:id="268"/>
          </w:p>
        </w:tc>
      </w:tr>
      <w:tr w:rsidR="003B0815" w14:paraId="6A9FB0A2" w14:textId="77777777">
        <w:trPr>
          <w:jc w:val="center"/>
        </w:trPr>
        <w:tc>
          <w:tcPr>
            <w:tcW w:w="1063" w:type="dxa"/>
            <w:tcBorders>
              <w:top w:val="single" w:color="auto" w:sz="12" w:space="0"/>
              <w:left w:val="single" w:color="auto" w:sz="12" w:space="0"/>
            </w:tcBorders>
            <w:vAlign w:val="center"/>
          </w:tcPr>
          <w:p w:rsidR="003B0815" w:rsidRDefault="003B0815" w14:paraId="40122A40" w14:textId="77777777">
            <w:pPr>
              <w:keepNext/>
              <w:jc w:val="center"/>
              <w:rPr>
                <w:rFonts w:ascii="Arial" w:hAnsi="Arial"/>
                <w:b/>
                <w:sz w:val="20"/>
                <w:szCs w:val="20"/>
              </w:rPr>
            </w:pPr>
            <w:r>
              <w:rPr>
                <w:rFonts w:ascii="Arial" w:hAnsi="Arial"/>
                <w:b/>
                <w:sz w:val="20"/>
                <w:szCs w:val="20"/>
              </w:rPr>
              <w:t>Fiscal Year</w:t>
            </w:r>
          </w:p>
        </w:tc>
        <w:tc>
          <w:tcPr>
            <w:tcW w:w="1458" w:type="dxa"/>
            <w:tcBorders>
              <w:top w:val="single" w:color="auto" w:sz="12" w:space="0"/>
              <w:bottom w:val="single" w:color="auto" w:sz="4" w:space="0"/>
            </w:tcBorders>
          </w:tcPr>
          <w:p w:rsidR="003B0815" w:rsidRDefault="003B0815" w14:paraId="13EBB81D" w14:textId="77777777">
            <w:pPr>
              <w:keepNext/>
              <w:jc w:val="center"/>
              <w:rPr>
                <w:rFonts w:ascii="Arial" w:hAnsi="Arial"/>
                <w:b/>
                <w:sz w:val="20"/>
                <w:szCs w:val="20"/>
              </w:rPr>
            </w:pPr>
            <w:r>
              <w:rPr>
                <w:rFonts w:ascii="Arial" w:hAnsi="Arial"/>
                <w:b/>
                <w:sz w:val="20"/>
                <w:szCs w:val="20"/>
              </w:rPr>
              <w:t>Primary Scenario</w:t>
            </w:r>
          </w:p>
        </w:tc>
        <w:tc>
          <w:tcPr>
            <w:tcW w:w="1440" w:type="dxa"/>
            <w:tcBorders>
              <w:top w:val="single" w:color="auto" w:sz="12" w:space="0"/>
              <w:bottom w:val="single" w:color="auto" w:sz="4" w:space="0"/>
            </w:tcBorders>
          </w:tcPr>
          <w:p w:rsidR="003B0815" w:rsidRDefault="003B0815" w14:paraId="5502E25D" w14:textId="77777777">
            <w:pPr>
              <w:keepNext/>
              <w:jc w:val="center"/>
              <w:rPr>
                <w:rFonts w:ascii="Arial" w:hAnsi="Arial"/>
                <w:b/>
                <w:sz w:val="20"/>
                <w:szCs w:val="20"/>
              </w:rPr>
            </w:pPr>
            <w:r>
              <w:rPr>
                <w:rFonts w:ascii="Arial" w:hAnsi="Arial"/>
                <w:b/>
                <w:sz w:val="20"/>
                <w:szCs w:val="20"/>
              </w:rPr>
              <w:t>Low Scenario</w:t>
            </w:r>
          </w:p>
        </w:tc>
        <w:tc>
          <w:tcPr>
            <w:tcW w:w="1441" w:type="dxa"/>
            <w:tcBorders>
              <w:top w:val="single" w:color="auto" w:sz="12" w:space="0"/>
              <w:bottom w:val="single" w:color="auto" w:sz="4" w:space="0"/>
              <w:right w:val="single" w:color="auto" w:sz="12" w:space="0"/>
            </w:tcBorders>
            <w:vAlign w:val="center"/>
          </w:tcPr>
          <w:p w:rsidR="003B0815" w:rsidRDefault="003B0815" w14:paraId="6AB2DB9B" w14:textId="77777777">
            <w:pPr>
              <w:keepNext/>
              <w:jc w:val="center"/>
              <w:rPr>
                <w:rFonts w:ascii="Arial" w:hAnsi="Arial"/>
                <w:b/>
                <w:sz w:val="20"/>
                <w:szCs w:val="20"/>
              </w:rPr>
            </w:pPr>
            <w:r>
              <w:rPr>
                <w:rFonts w:ascii="Arial" w:hAnsi="Arial"/>
                <w:b/>
                <w:sz w:val="20"/>
                <w:szCs w:val="20"/>
              </w:rPr>
              <w:t>High Scenario</w:t>
            </w:r>
          </w:p>
        </w:tc>
      </w:tr>
      <w:tr w:rsidR="003B0815" w14:paraId="40B0F258" w14:textId="77777777">
        <w:trPr>
          <w:jc w:val="center"/>
        </w:trPr>
        <w:tc>
          <w:tcPr>
            <w:tcW w:w="1063" w:type="dxa"/>
            <w:tcBorders>
              <w:left w:val="single" w:color="auto" w:sz="12" w:space="0"/>
            </w:tcBorders>
          </w:tcPr>
          <w:p w:rsidR="003B0815" w:rsidRDefault="003B0815" w14:paraId="0B482334" w14:textId="77777777">
            <w:pPr>
              <w:keepNext/>
              <w:jc w:val="center"/>
              <w:rPr>
                <w:rFonts w:ascii="Arial" w:hAnsi="Arial"/>
                <w:sz w:val="20"/>
                <w:szCs w:val="20"/>
              </w:rPr>
            </w:pPr>
            <w:r>
              <w:t>2008</w:t>
            </w:r>
          </w:p>
        </w:tc>
        <w:tc>
          <w:tcPr>
            <w:tcW w:w="1458" w:type="dxa"/>
            <w:shd w:val="clear" w:color="auto" w:fill="CCCCCC"/>
            <w:vAlign w:val="bottom"/>
          </w:tcPr>
          <w:p w:rsidR="003B0815" w:rsidRDefault="003B0815" w14:paraId="697B2807" w14:textId="77777777">
            <w:pPr>
              <w:keepNext/>
              <w:jc w:val="center"/>
              <w:rPr>
                <w:rFonts w:ascii="Arial" w:hAnsi="Arial" w:cs="Arial"/>
                <w:b/>
                <w:bCs/>
                <w:sz w:val="20"/>
                <w:szCs w:val="20"/>
              </w:rPr>
            </w:pPr>
            <w:r>
              <w:rPr>
                <w:rFonts w:ascii="Arial" w:hAnsi="Arial" w:cs="Arial"/>
                <w:sz w:val="20"/>
                <w:szCs w:val="20"/>
              </w:rPr>
              <w:t>$0.0</w:t>
            </w:r>
          </w:p>
        </w:tc>
        <w:tc>
          <w:tcPr>
            <w:tcW w:w="1440" w:type="dxa"/>
            <w:shd w:val="clear" w:color="auto" w:fill="CCCCCC"/>
            <w:vAlign w:val="bottom"/>
          </w:tcPr>
          <w:p w:rsidR="003B0815" w:rsidRDefault="003B0815" w14:paraId="34BB7FD7" w14:textId="77777777">
            <w:pPr>
              <w:keepNext/>
              <w:jc w:val="center"/>
              <w:rPr>
                <w:rFonts w:ascii="Arial" w:hAnsi="Arial" w:cs="Arial"/>
                <w:b/>
                <w:bCs/>
                <w:sz w:val="20"/>
                <w:szCs w:val="20"/>
              </w:rPr>
            </w:pPr>
            <w:r>
              <w:rPr>
                <w:rFonts w:ascii="Arial" w:hAnsi="Arial" w:cs="Arial"/>
                <w:sz w:val="20"/>
                <w:szCs w:val="20"/>
              </w:rPr>
              <w:t>$0.0</w:t>
            </w:r>
          </w:p>
        </w:tc>
        <w:tc>
          <w:tcPr>
            <w:tcW w:w="1441" w:type="dxa"/>
            <w:tcBorders>
              <w:right w:val="single" w:color="auto" w:sz="12" w:space="0"/>
            </w:tcBorders>
            <w:shd w:val="clear" w:color="auto" w:fill="CCCCCC"/>
            <w:vAlign w:val="bottom"/>
          </w:tcPr>
          <w:p w:rsidR="003B0815" w:rsidRDefault="003B0815" w14:paraId="18243925" w14:textId="77777777">
            <w:pPr>
              <w:keepNext/>
              <w:jc w:val="center"/>
              <w:rPr>
                <w:rFonts w:ascii="Arial" w:hAnsi="Arial"/>
                <w:sz w:val="20"/>
                <w:szCs w:val="20"/>
              </w:rPr>
            </w:pPr>
            <w:r>
              <w:rPr>
                <w:rFonts w:ascii="Arial" w:hAnsi="Arial" w:cs="Arial"/>
                <w:sz w:val="20"/>
                <w:szCs w:val="20"/>
              </w:rPr>
              <w:t>$0.0</w:t>
            </w:r>
          </w:p>
        </w:tc>
      </w:tr>
      <w:tr w:rsidR="003B0815" w14:paraId="38A4DC87" w14:textId="77777777">
        <w:trPr>
          <w:jc w:val="center"/>
        </w:trPr>
        <w:tc>
          <w:tcPr>
            <w:tcW w:w="1063" w:type="dxa"/>
            <w:tcBorders>
              <w:left w:val="single" w:color="auto" w:sz="12" w:space="0"/>
            </w:tcBorders>
          </w:tcPr>
          <w:p w:rsidR="003B0815" w:rsidRDefault="003B0815" w14:paraId="5F4DF2C2" w14:textId="77777777">
            <w:pPr>
              <w:keepNext/>
              <w:jc w:val="center"/>
              <w:rPr>
                <w:rFonts w:ascii="Arial" w:hAnsi="Arial"/>
                <w:sz w:val="20"/>
                <w:szCs w:val="20"/>
              </w:rPr>
            </w:pPr>
            <w:r>
              <w:t>2009</w:t>
            </w:r>
          </w:p>
        </w:tc>
        <w:tc>
          <w:tcPr>
            <w:tcW w:w="1458" w:type="dxa"/>
            <w:shd w:val="clear" w:color="auto" w:fill="CCCCCC"/>
            <w:vAlign w:val="bottom"/>
          </w:tcPr>
          <w:p w:rsidR="003B0815" w:rsidRDefault="003B0815" w14:paraId="4C66DFAE" w14:textId="77777777">
            <w:pPr>
              <w:keepNext/>
              <w:jc w:val="center"/>
              <w:rPr>
                <w:rFonts w:ascii="Arial" w:hAnsi="Arial" w:cs="Arial"/>
                <w:b/>
                <w:bCs/>
                <w:sz w:val="20"/>
                <w:szCs w:val="20"/>
              </w:rPr>
            </w:pPr>
            <w:r>
              <w:rPr>
                <w:rFonts w:ascii="Arial" w:hAnsi="Arial" w:cs="Arial"/>
                <w:sz w:val="20"/>
                <w:szCs w:val="20"/>
              </w:rPr>
              <w:t>$15.9</w:t>
            </w:r>
          </w:p>
        </w:tc>
        <w:tc>
          <w:tcPr>
            <w:tcW w:w="1440" w:type="dxa"/>
            <w:shd w:val="clear" w:color="auto" w:fill="CCCCCC"/>
            <w:vAlign w:val="bottom"/>
          </w:tcPr>
          <w:p w:rsidR="003B0815" w:rsidRDefault="003B0815" w14:paraId="21A002EF" w14:textId="77777777">
            <w:pPr>
              <w:keepNext/>
              <w:jc w:val="center"/>
              <w:rPr>
                <w:rFonts w:ascii="Arial" w:hAnsi="Arial" w:cs="Arial"/>
                <w:b/>
                <w:bCs/>
                <w:sz w:val="20"/>
                <w:szCs w:val="20"/>
              </w:rPr>
            </w:pPr>
            <w:r>
              <w:rPr>
                <w:rFonts w:ascii="Arial" w:hAnsi="Arial" w:cs="Arial"/>
                <w:sz w:val="20"/>
                <w:szCs w:val="20"/>
              </w:rPr>
              <w:t>$7.2</w:t>
            </w:r>
          </w:p>
        </w:tc>
        <w:tc>
          <w:tcPr>
            <w:tcW w:w="1441" w:type="dxa"/>
            <w:tcBorders>
              <w:right w:val="single" w:color="auto" w:sz="12" w:space="0"/>
            </w:tcBorders>
            <w:shd w:val="clear" w:color="auto" w:fill="CCCCCC"/>
            <w:vAlign w:val="bottom"/>
          </w:tcPr>
          <w:p w:rsidR="003B0815" w:rsidRDefault="003B0815" w14:paraId="129D53CF" w14:textId="77777777">
            <w:pPr>
              <w:keepNext/>
              <w:jc w:val="center"/>
              <w:rPr>
                <w:rFonts w:ascii="Arial" w:hAnsi="Arial"/>
                <w:sz w:val="20"/>
                <w:szCs w:val="20"/>
              </w:rPr>
            </w:pPr>
            <w:r>
              <w:rPr>
                <w:rFonts w:ascii="Arial" w:hAnsi="Arial" w:cs="Arial"/>
                <w:sz w:val="20"/>
                <w:szCs w:val="20"/>
              </w:rPr>
              <w:t>$24.6</w:t>
            </w:r>
          </w:p>
        </w:tc>
      </w:tr>
      <w:tr w:rsidR="003B0815" w14:paraId="76111A17" w14:textId="77777777">
        <w:trPr>
          <w:jc w:val="center"/>
        </w:trPr>
        <w:tc>
          <w:tcPr>
            <w:tcW w:w="1063" w:type="dxa"/>
            <w:tcBorders>
              <w:left w:val="single" w:color="auto" w:sz="12" w:space="0"/>
            </w:tcBorders>
          </w:tcPr>
          <w:p w:rsidR="003B0815" w:rsidRDefault="003B0815" w14:paraId="27AD06F4" w14:textId="77777777">
            <w:pPr>
              <w:keepNext/>
              <w:jc w:val="center"/>
              <w:rPr>
                <w:rFonts w:ascii="Arial" w:hAnsi="Arial"/>
                <w:sz w:val="20"/>
                <w:szCs w:val="20"/>
              </w:rPr>
            </w:pPr>
            <w:r>
              <w:t>2010</w:t>
            </w:r>
          </w:p>
        </w:tc>
        <w:tc>
          <w:tcPr>
            <w:tcW w:w="1458" w:type="dxa"/>
            <w:shd w:val="clear" w:color="auto" w:fill="CCCCCC"/>
            <w:vAlign w:val="bottom"/>
          </w:tcPr>
          <w:p w:rsidR="003B0815" w:rsidRDefault="003B0815" w14:paraId="33F0854D" w14:textId="77777777">
            <w:pPr>
              <w:keepNext/>
              <w:jc w:val="center"/>
              <w:rPr>
                <w:rFonts w:ascii="Arial" w:hAnsi="Arial" w:cs="Arial"/>
                <w:b/>
                <w:bCs/>
                <w:sz w:val="20"/>
                <w:szCs w:val="20"/>
              </w:rPr>
            </w:pPr>
            <w:r>
              <w:rPr>
                <w:rFonts w:ascii="Arial" w:hAnsi="Arial" w:cs="Arial"/>
                <w:sz w:val="20"/>
                <w:szCs w:val="20"/>
              </w:rPr>
              <w:t>$16.7</w:t>
            </w:r>
          </w:p>
        </w:tc>
        <w:tc>
          <w:tcPr>
            <w:tcW w:w="1440" w:type="dxa"/>
            <w:shd w:val="clear" w:color="auto" w:fill="CCCCCC"/>
            <w:vAlign w:val="bottom"/>
          </w:tcPr>
          <w:p w:rsidR="003B0815" w:rsidRDefault="003B0815" w14:paraId="2D369977" w14:textId="77777777">
            <w:pPr>
              <w:keepNext/>
              <w:jc w:val="center"/>
              <w:rPr>
                <w:rFonts w:ascii="Arial" w:hAnsi="Arial" w:cs="Arial"/>
                <w:b/>
                <w:bCs/>
                <w:sz w:val="20"/>
                <w:szCs w:val="20"/>
              </w:rPr>
            </w:pPr>
            <w:r>
              <w:rPr>
                <w:rFonts w:ascii="Arial" w:hAnsi="Arial" w:cs="Arial"/>
                <w:sz w:val="20"/>
                <w:szCs w:val="20"/>
              </w:rPr>
              <w:t>$7.5</w:t>
            </w:r>
          </w:p>
        </w:tc>
        <w:tc>
          <w:tcPr>
            <w:tcW w:w="1441" w:type="dxa"/>
            <w:tcBorders>
              <w:right w:val="single" w:color="auto" w:sz="12" w:space="0"/>
            </w:tcBorders>
            <w:shd w:val="clear" w:color="auto" w:fill="CCCCCC"/>
            <w:vAlign w:val="bottom"/>
          </w:tcPr>
          <w:p w:rsidR="003B0815" w:rsidRDefault="003B0815" w14:paraId="22AA3071" w14:textId="77777777">
            <w:pPr>
              <w:keepNext/>
              <w:jc w:val="center"/>
              <w:rPr>
                <w:rFonts w:ascii="Arial" w:hAnsi="Arial"/>
                <w:sz w:val="20"/>
                <w:szCs w:val="20"/>
              </w:rPr>
            </w:pPr>
            <w:r>
              <w:rPr>
                <w:rFonts w:ascii="Arial" w:hAnsi="Arial" w:cs="Arial"/>
                <w:sz w:val="20"/>
                <w:szCs w:val="20"/>
              </w:rPr>
              <w:t>$25.8</w:t>
            </w:r>
          </w:p>
        </w:tc>
      </w:tr>
      <w:tr w:rsidR="003B0815" w14:paraId="272BF5BD" w14:textId="77777777">
        <w:trPr>
          <w:jc w:val="center"/>
        </w:trPr>
        <w:tc>
          <w:tcPr>
            <w:tcW w:w="1063" w:type="dxa"/>
            <w:tcBorders>
              <w:left w:val="single" w:color="auto" w:sz="12" w:space="0"/>
            </w:tcBorders>
          </w:tcPr>
          <w:p w:rsidR="003B0815" w:rsidRDefault="003B0815" w14:paraId="0922E9A8" w14:textId="77777777">
            <w:pPr>
              <w:keepNext/>
              <w:jc w:val="center"/>
              <w:rPr>
                <w:rFonts w:ascii="Arial" w:hAnsi="Arial"/>
                <w:sz w:val="20"/>
                <w:szCs w:val="20"/>
              </w:rPr>
            </w:pPr>
            <w:r>
              <w:t>2011</w:t>
            </w:r>
          </w:p>
        </w:tc>
        <w:tc>
          <w:tcPr>
            <w:tcW w:w="1458" w:type="dxa"/>
            <w:shd w:val="clear" w:color="auto" w:fill="CCCCCC"/>
            <w:vAlign w:val="bottom"/>
          </w:tcPr>
          <w:p w:rsidR="003B0815" w:rsidRDefault="003B0815" w14:paraId="1B6A8AE8" w14:textId="77777777">
            <w:pPr>
              <w:keepNext/>
              <w:jc w:val="center"/>
              <w:rPr>
                <w:rFonts w:ascii="Arial" w:hAnsi="Arial" w:cs="Arial"/>
                <w:b/>
                <w:bCs/>
                <w:sz w:val="20"/>
                <w:szCs w:val="20"/>
              </w:rPr>
            </w:pPr>
            <w:r>
              <w:rPr>
                <w:rFonts w:ascii="Arial" w:hAnsi="Arial" w:cs="Arial"/>
                <w:sz w:val="20"/>
                <w:szCs w:val="20"/>
              </w:rPr>
              <w:t>$17.5</w:t>
            </w:r>
          </w:p>
        </w:tc>
        <w:tc>
          <w:tcPr>
            <w:tcW w:w="1440" w:type="dxa"/>
            <w:shd w:val="clear" w:color="auto" w:fill="CCCCCC"/>
            <w:vAlign w:val="bottom"/>
          </w:tcPr>
          <w:p w:rsidR="003B0815" w:rsidRDefault="003B0815" w14:paraId="615F9496" w14:textId="77777777">
            <w:pPr>
              <w:keepNext/>
              <w:jc w:val="center"/>
              <w:rPr>
                <w:rFonts w:ascii="Arial" w:hAnsi="Arial" w:cs="Arial"/>
                <w:b/>
                <w:bCs/>
                <w:sz w:val="20"/>
                <w:szCs w:val="20"/>
              </w:rPr>
            </w:pPr>
            <w:r>
              <w:rPr>
                <w:rFonts w:ascii="Arial" w:hAnsi="Arial" w:cs="Arial"/>
                <w:sz w:val="20"/>
                <w:szCs w:val="20"/>
              </w:rPr>
              <w:t>$7.9</w:t>
            </w:r>
          </w:p>
        </w:tc>
        <w:tc>
          <w:tcPr>
            <w:tcW w:w="1441" w:type="dxa"/>
            <w:tcBorders>
              <w:right w:val="single" w:color="auto" w:sz="12" w:space="0"/>
            </w:tcBorders>
            <w:shd w:val="clear" w:color="auto" w:fill="CCCCCC"/>
            <w:vAlign w:val="bottom"/>
          </w:tcPr>
          <w:p w:rsidR="003B0815" w:rsidRDefault="003B0815" w14:paraId="2AD42213" w14:textId="77777777">
            <w:pPr>
              <w:keepNext/>
              <w:jc w:val="center"/>
              <w:rPr>
                <w:rFonts w:ascii="Arial" w:hAnsi="Arial"/>
                <w:sz w:val="20"/>
                <w:szCs w:val="20"/>
              </w:rPr>
            </w:pPr>
            <w:r>
              <w:rPr>
                <w:rFonts w:ascii="Arial" w:hAnsi="Arial" w:cs="Arial"/>
                <w:sz w:val="20"/>
                <w:szCs w:val="20"/>
              </w:rPr>
              <w:t>$27.1</w:t>
            </w:r>
          </w:p>
        </w:tc>
      </w:tr>
      <w:tr w:rsidR="003B0815" w14:paraId="0F010CA1" w14:textId="77777777">
        <w:trPr>
          <w:jc w:val="center"/>
        </w:trPr>
        <w:tc>
          <w:tcPr>
            <w:tcW w:w="1063" w:type="dxa"/>
            <w:tcBorders>
              <w:left w:val="single" w:color="auto" w:sz="12" w:space="0"/>
            </w:tcBorders>
          </w:tcPr>
          <w:p w:rsidR="003B0815" w:rsidRDefault="003B0815" w14:paraId="5C7F2E66" w14:textId="77777777">
            <w:pPr>
              <w:keepNext/>
              <w:jc w:val="center"/>
              <w:rPr>
                <w:rFonts w:ascii="Arial" w:hAnsi="Arial"/>
                <w:sz w:val="20"/>
                <w:szCs w:val="20"/>
              </w:rPr>
            </w:pPr>
            <w:r>
              <w:t>2012</w:t>
            </w:r>
          </w:p>
        </w:tc>
        <w:tc>
          <w:tcPr>
            <w:tcW w:w="1458" w:type="dxa"/>
            <w:shd w:val="clear" w:color="auto" w:fill="CCCCCC"/>
            <w:vAlign w:val="bottom"/>
          </w:tcPr>
          <w:p w:rsidR="003B0815" w:rsidRDefault="003B0815" w14:paraId="1623D79F" w14:textId="77777777">
            <w:pPr>
              <w:keepNext/>
              <w:jc w:val="center"/>
              <w:rPr>
                <w:rFonts w:ascii="Arial" w:hAnsi="Arial" w:cs="Arial"/>
                <w:b/>
                <w:bCs/>
                <w:sz w:val="20"/>
                <w:szCs w:val="20"/>
              </w:rPr>
            </w:pPr>
            <w:r>
              <w:rPr>
                <w:rFonts w:ascii="Arial" w:hAnsi="Arial" w:cs="Arial"/>
                <w:sz w:val="20"/>
                <w:szCs w:val="20"/>
              </w:rPr>
              <w:t>$18.4</w:t>
            </w:r>
          </w:p>
        </w:tc>
        <w:tc>
          <w:tcPr>
            <w:tcW w:w="1440" w:type="dxa"/>
            <w:shd w:val="clear" w:color="auto" w:fill="CCCCCC"/>
            <w:vAlign w:val="bottom"/>
          </w:tcPr>
          <w:p w:rsidR="003B0815" w:rsidRDefault="003B0815" w14:paraId="7813BD0F" w14:textId="77777777">
            <w:pPr>
              <w:keepNext/>
              <w:jc w:val="center"/>
              <w:rPr>
                <w:rFonts w:ascii="Arial" w:hAnsi="Arial" w:cs="Arial"/>
                <w:b/>
                <w:bCs/>
                <w:sz w:val="20"/>
                <w:szCs w:val="20"/>
              </w:rPr>
            </w:pPr>
            <w:r>
              <w:rPr>
                <w:rFonts w:ascii="Arial" w:hAnsi="Arial" w:cs="Arial"/>
                <w:sz w:val="20"/>
                <w:szCs w:val="20"/>
              </w:rPr>
              <w:t>$8.3</w:t>
            </w:r>
          </w:p>
        </w:tc>
        <w:tc>
          <w:tcPr>
            <w:tcW w:w="1441" w:type="dxa"/>
            <w:tcBorders>
              <w:right w:val="single" w:color="auto" w:sz="12" w:space="0"/>
            </w:tcBorders>
            <w:shd w:val="clear" w:color="auto" w:fill="CCCCCC"/>
            <w:vAlign w:val="bottom"/>
          </w:tcPr>
          <w:p w:rsidR="003B0815" w:rsidRDefault="003B0815" w14:paraId="2848E189" w14:textId="77777777">
            <w:pPr>
              <w:keepNext/>
              <w:jc w:val="center"/>
              <w:rPr>
                <w:rFonts w:ascii="Arial" w:hAnsi="Arial"/>
                <w:sz w:val="20"/>
                <w:szCs w:val="20"/>
              </w:rPr>
            </w:pPr>
            <w:r>
              <w:rPr>
                <w:rFonts w:ascii="Arial" w:hAnsi="Arial" w:cs="Arial"/>
                <w:sz w:val="20"/>
                <w:szCs w:val="20"/>
              </w:rPr>
              <w:t>$28.5</w:t>
            </w:r>
          </w:p>
        </w:tc>
      </w:tr>
      <w:tr w:rsidR="003B0815" w14:paraId="1E0921F5" w14:textId="77777777">
        <w:trPr>
          <w:jc w:val="center"/>
        </w:trPr>
        <w:tc>
          <w:tcPr>
            <w:tcW w:w="1063" w:type="dxa"/>
            <w:tcBorders>
              <w:left w:val="single" w:color="auto" w:sz="12" w:space="0"/>
            </w:tcBorders>
          </w:tcPr>
          <w:p w:rsidR="003B0815" w:rsidRDefault="003B0815" w14:paraId="364E3762" w14:textId="77777777">
            <w:pPr>
              <w:keepNext/>
              <w:jc w:val="center"/>
              <w:rPr>
                <w:rFonts w:ascii="Arial" w:hAnsi="Arial"/>
                <w:sz w:val="20"/>
                <w:szCs w:val="20"/>
              </w:rPr>
            </w:pPr>
            <w:r>
              <w:t>2013</w:t>
            </w:r>
          </w:p>
        </w:tc>
        <w:tc>
          <w:tcPr>
            <w:tcW w:w="1458" w:type="dxa"/>
            <w:shd w:val="clear" w:color="auto" w:fill="CCCCCC"/>
            <w:vAlign w:val="bottom"/>
          </w:tcPr>
          <w:p w:rsidR="003B0815" w:rsidRDefault="003B0815" w14:paraId="71AF7B99" w14:textId="77777777">
            <w:pPr>
              <w:keepNext/>
              <w:jc w:val="center"/>
              <w:rPr>
                <w:rFonts w:ascii="Arial" w:hAnsi="Arial" w:cs="Arial"/>
                <w:b/>
                <w:bCs/>
                <w:sz w:val="20"/>
                <w:szCs w:val="20"/>
              </w:rPr>
            </w:pPr>
            <w:r>
              <w:rPr>
                <w:rFonts w:ascii="Arial" w:hAnsi="Arial" w:cs="Arial"/>
                <w:sz w:val="20"/>
                <w:szCs w:val="20"/>
              </w:rPr>
              <w:t>$19.3</w:t>
            </w:r>
          </w:p>
        </w:tc>
        <w:tc>
          <w:tcPr>
            <w:tcW w:w="1440" w:type="dxa"/>
            <w:shd w:val="clear" w:color="auto" w:fill="CCCCCC"/>
            <w:vAlign w:val="bottom"/>
          </w:tcPr>
          <w:p w:rsidR="003B0815" w:rsidRDefault="003B0815" w14:paraId="742583FB" w14:textId="77777777">
            <w:pPr>
              <w:keepNext/>
              <w:jc w:val="center"/>
              <w:rPr>
                <w:rFonts w:ascii="Arial" w:hAnsi="Arial" w:cs="Arial"/>
                <w:b/>
                <w:bCs/>
                <w:sz w:val="20"/>
                <w:szCs w:val="20"/>
              </w:rPr>
            </w:pPr>
            <w:r>
              <w:rPr>
                <w:rFonts w:ascii="Arial" w:hAnsi="Arial" w:cs="Arial"/>
                <w:sz w:val="20"/>
                <w:szCs w:val="20"/>
              </w:rPr>
              <w:t>$8.7</w:t>
            </w:r>
          </w:p>
        </w:tc>
        <w:tc>
          <w:tcPr>
            <w:tcW w:w="1441" w:type="dxa"/>
            <w:tcBorders>
              <w:right w:val="single" w:color="auto" w:sz="12" w:space="0"/>
            </w:tcBorders>
            <w:shd w:val="clear" w:color="auto" w:fill="CCCCCC"/>
            <w:vAlign w:val="bottom"/>
          </w:tcPr>
          <w:p w:rsidR="003B0815" w:rsidRDefault="003B0815" w14:paraId="5E45277F" w14:textId="77777777">
            <w:pPr>
              <w:keepNext/>
              <w:jc w:val="center"/>
              <w:rPr>
                <w:rFonts w:ascii="Arial" w:hAnsi="Arial"/>
                <w:sz w:val="20"/>
                <w:szCs w:val="20"/>
              </w:rPr>
            </w:pPr>
            <w:r>
              <w:rPr>
                <w:rFonts w:ascii="Arial" w:hAnsi="Arial" w:cs="Arial"/>
                <w:sz w:val="20"/>
                <w:szCs w:val="20"/>
              </w:rPr>
              <w:t>$29.9</w:t>
            </w:r>
          </w:p>
        </w:tc>
      </w:tr>
      <w:tr w:rsidR="003B0815" w14:paraId="4D09BE41" w14:textId="77777777">
        <w:trPr>
          <w:jc w:val="center"/>
        </w:trPr>
        <w:tc>
          <w:tcPr>
            <w:tcW w:w="1063" w:type="dxa"/>
            <w:tcBorders>
              <w:left w:val="single" w:color="auto" w:sz="12" w:space="0"/>
            </w:tcBorders>
          </w:tcPr>
          <w:p w:rsidR="003B0815" w:rsidRDefault="003B0815" w14:paraId="5F688048" w14:textId="77777777">
            <w:pPr>
              <w:keepNext/>
              <w:jc w:val="center"/>
              <w:rPr>
                <w:rFonts w:ascii="Arial" w:hAnsi="Arial"/>
                <w:sz w:val="20"/>
                <w:szCs w:val="20"/>
              </w:rPr>
            </w:pPr>
            <w:r>
              <w:t>2014</w:t>
            </w:r>
          </w:p>
        </w:tc>
        <w:tc>
          <w:tcPr>
            <w:tcW w:w="1458" w:type="dxa"/>
            <w:shd w:val="clear" w:color="auto" w:fill="CCCCCC"/>
            <w:vAlign w:val="bottom"/>
          </w:tcPr>
          <w:p w:rsidR="003B0815" w:rsidRDefault="003B0815" w14:paraId="470E208C" w14:textId="77777777">
            <w:pPr>
              <w:keepNext/>
              <w:jc w:val="center"/>
              <w:rPr>
                <w:rFonts w:ascii="Arial" w:hAnsi="Arial" w:cs="Arial"/>
                <w:b/>
                <w:bCs/>
                <w:sz w:val="20"/>
                <w:szCs w:val="20"/>
              </w:rPr>
            </w:pPr>
            <w:r>
              <w:rPr>
                <w:rFonts w:ascii="Arial" w:hAnsi="Arial" w:cs="Arial"/>
                <w:sz w:val="20"/>
                <w:szCs w:val="20"/>
              </w:rPr>
              <w:t>$20.3</w:t>
            </w:r>
          </w:p>
        </w:tc>
        <w:tc>
          <w:tcPr>
            <w:tcW w:w="1440" w:type="dxa"/>
            <w:shd w:val="clear" w:color="auto" w:fill="CCCCCC"/>
            <w:vAlign w:val="bottom"/>
          </w:tcPr>
          <w:p w:rsidR="003B0815" w:rsidRDefault="003B0815" w14:paraId="04038543" w14:textId="77777777">
            <w:pPr>
              <w:keepNext/>
              <w:jc w:val="center"/>
              <w:rPr>
                <w:rFonts w:ascii="Arial" w:hAnsi="Arial" w:cs="Arial"/>
                <w:b/>
                <w:bCs/>
                <w:sz w:val="20"/>
                <w:szCs w:val="20"/>
              </w:rPr>
            </w:pPr>
            <w:r>
              <w:rPr>
                <w:rFonts w:ascii="Arial" w:hAnsi="Arial" w:cs="Arial"/>
                <w:sz w:val="20"/>
                <w:szCs w:val="20"/>
              </w:rPr>
              <w:t>$9.2</w:t>
            </w:r>
          </w:p>
        </w:tc>
        <w:tc>
          <w:tcPr>
            <w:tcW w:w="1441" w:type="dxa"/>
            <w:tcBorders>
              <w:right w:val="single" w:color="auto" w:sz="12" w:space="0"/>
            </w:tcBorders>
            <w:shd w:val="clear" w:color="auto" w:fill="CCCCCC"/>
            <w:vAlign w:val="bottom"/>
          </w:tcPr>
          <w:p w:rsidR="003B0815" w:rsidRDefault="003B0815" w14:paraId="161C0C1F" w14:textId="77777777">
            <w:pPr>
              <w:keepNext/>
              <w:jc w:val="center"/>
              <w:rPr>
                <w:rFonts w:ascii="Arial" w:hAnsi="Arial"/>
                <w:sz w:val="20"/>
                <w:szCs w:val="20"/>
              </w:rPr>
            </w:pPr>
            <w:r>
              <w:rPr>
                <w:rFonts w:ascii="Arial" w:hAnsi="Arial" w:cs="Arial"/>
                <w:sz w:val="20"/>
                <w:szCs w:val="20"/>
              </w:rPr>
              <w:t>$31.4</w:t>
            </w:r>
          </w:p>
        </w:tc>
      </w:tr>
      <w:tr w:rsidR="003B0815" w14:paraId="10444519" w14:textId="77777777">
        <w:trPr>
          <w:jc w:val="center"/>
        </w:trPr>
        <w:tc>
          <w:tcPr>
            <w:tcW w:w="1063" w:type="dxa"/>
            <w:tcBorders>
              <w:left w:val="single" w:color="auto" w:sz="12" w:space="0"/>
            </w:tcBorders>
          </w:tcPr>
          <w:p w:rsidR="003B0815" w:rsidRDefault="003B0815" w14:paraId="09D497E9" w14:textId="77777777">
            <w:pPr>
              <w:keepNext/>
              <w:jc w:val="center"/>
              <w:rPr>
                <w:rFonts w:ascii="Arial" w:hAnsi="Arial"/>
                <w:sz w:val="20"/>
                <w:szCs w:val="20"/>
              </w:rPr>
            </w:pPr>
            <w:r>
              <w:t>2015</w:t>
            </w:r>
          </w:p>
        </w:tc>
        <w:tc>
          <w:tcPr>
            <w:tcW w:w="1458" w:type="dxa"/>
            <w:shd w:val="clear" w:color="auto" w:fill="CCCCCC"/>
            <w:vAlign w:val="bottom"/>
          </w:tcPr>
          <w:p w:rsidR="003B0815" w:rsidRDefault="003B0815" w14:paraId="3BD48662" w14:textId="77777777">
            <w:pPr>
              <w:keepNext/>
              <w:jc w:val="center"/>
              <w:rPr>
                <w:rFonts w:ascii="Arial" w:hAnsi="Arial" w:cs="Arial"/>
                <w:b/>
                <w:bCs/>
                <w:sz w:val="20"/>
                <w:szCs w:val="20"/>
              </w:rPr>
            </w:pPr>
            <w:r>
              <w:rPr>
                <w:rFonts w:ascii="Arial" w:hAnsi="Arial" w:cs="Arial"/>
                <w:sz w:val="20"/>
                <w:szCs w:val="20"/>
              </w:rPr>
              <w:t>$21.3</w:t>
            </w:r>
          </w:p>
        </w:tc>
        <w:tc>
          <w:tcPr>
            <w:tcW w:w="1440" w:type="dxa"/>
            <w:shd w:val="clear" w:color="auto" w:fill="CCCCCC"/>
            <w:vAlign w:val="bottom"/>
          </w:tcPr>
          <w:p w:rsidR="003B0815" w:rsidRDefault="003B0815" w14:paraId="6334350B" w14:textId="77777777">
            <w:pPr>
              <w:keepNext/>
              <w:jc w:val="center"/>
              <w:rPr>
                <w:rFonts w:ascii="Arial" w:hAnsi="Arial" w:cs="Arial"/>
                <w:b/>
                <w:bCs/>
                <w:sz w:val="20"/>
                <w:szCs w:val="20"/>
              </w:rPr>
            </w:pPr>
            <w:r>
              <w:rPr>
                <w:rFonts w:ascii="Arial" w:hAnsi="Arial" w:cs="Arial"/>
                <w:sz w:val="20"/>
                <w:szCs w:val="20"/>
              </w:rPr>
              <w:t>$9.6</w:t>
            </w:r>
          </w:p>
        </w:tc>
        <w:tc>
          <w:tcPr>
            <w:tcW w:w="1441" w:type="dxa"/>
            <w:tcBorders>
              <w:right w:val="single" w:color="auto" w:sz="12" w:space="0"/>
            </w:tcBorders>
            <w:shd w:val="clear" w:color="auto" w:fill="CCCCCC"/>
            <w:vAlign w:val="bottom"/>
          </w:tcPr>
          <w:p w:rsidR="003B0815" w:rsidRDefault="003B0815" w14:paraId="64E3BFDC" w14:textId="77777777">
            <w:pPr>
              <w:keepNext/>
              <w:jc w:val="center"/>
              <w:rPr>
                <w:rFonts w:ascii="Arial" w:hAnsi="Arial"/>
                <w:sz w:val="20"/>
                <w:szCs w:val="20"/>
              </w:rPr>
            </w:pPr>
            <w:r>
              <w:rPr>
                <w:rFonts w:ascii="Arial" w:hAnsi="Arial" w:cs="Arial"/>
                <w:sz w:val="20"/>
                <w:szCs w:val="20"/>
              </w:rPr>
              <w:t>$33.0</w:t>
            </w:r>
          </w:p>
        </w:tc>
      </w:tr>
      <w:tr w:rsidR="003B0815" w14:paraId="09DEFB24" w14:textId="77777777">
        <w:trPr>
          <w:jc w:val="center"/>
        </w:trPr>
        <w:tc>
          <w:tcPr>
            <w:tcW w:w="1063" w:type="dxa"/>
            <w:tcBorders>
              <w:left w:val="single" w:color="auto" w:sz="12" w:space="0"/>
            </w:tcBorders>
          </w:tcPr>
          <w:p w:rsidR="003B0815" w:rsidRDefault="003B0815" w14:paraId="261B9252" w14:textId="77777777">
            <w:pPr>
              <w:keepNext/>
              <w:jc w:val="center"/>
              <w:rPr>
                <w:rFonts w:ascii="Arial" w:hAnsi="Arial"/>
                <w:sz w:val="20"/>
                <w:szCs w:val="20"/>
              </w:rPr>
            </w:pPr>
            <w:r>
              <w:t>2016</w:t>
            </w:r>
          </w:p>
        </w:tc>
        <w:tc>
          <w:tcPr>
            <w:tcW w:w="1458" w:type="dxa"/>
            <w:shd w:val="clear" w:color="auto" w:fill="CCCCCC"/>
            <w:vAlign w:val="bottom"/>
          </w:tcPr>
          <w:p w:rsidR="003B0815" w:rsidRDefault="003B0815" w14:paraId="0AC91D26" w14:textId="77777777">
            <w:pPr>
              <w:keepNext/>
              <w:jc w:val="center"/>
              <w:rPr>
                <w:rFonts w:ascii="Arial" w:hAnsi="Arial" w:cs="Arial"/>
                <w:b/>
                <w:bCs/>
                <w:sz w:val="20"/>
                <w:szCs w:val="20"/>
              </w:rPr>
            </w:pPr>
            <w:r>
              <w:rPr>
                <w:rFonts w:ascii="Arial" w:hAnsi="Arial" w:cs="Arial"/>
                <w:sz w:val="20"/>
                <w:szCs w:val="20"/>
              </w:rPr>
              <w:t>$22.4</w:t>
            </w:r>
          </w:p>
        </w:tc>
        <w:tc>
          <w:tcPr>
            <w:tcW w:w="1440" w:type="dxa"/>
            <w:shd w:val="clear" w:color="auto" w:fill="CCCCCC"/>
            <w:vAlign w:val="bottom"/>
          </w:tcPr>
          <w:p w:rsidR="003B0815" w:rsidRDefault="003B0815" w14:paraId="606FE79C" w14:textId="77777777">
            <w:pPr>
              <w:keepNext/>
              <w:jc w:val="center"/>
              <w:rPr>
                <w:rFonts w:ascii="Arial" w:hAnsi="Arial" w:cs="Arial"/>
                <w:b/>
                <w:bCs/>
                <w:sz w:val="20"/>
                <w:szCs w:val="20"/>
              </w:rPr>
            </w:pPr>
            <w:r>
              <w:rPr>
                <w:rFonts w:ascii="Arial" w:hAnsi="Arial" w:cs="Arial"/>
                <w:sz w:val="20"/>
                <w:szCs w:val="20"/>
              </w:rPr>
              <w:t>$10.1</w:t>
            </w:r>
          </w:p>
        </w:tc>
        <w:tc>
          <w:tcPr>
            <w:tcW w:w="1441" w:type="dxa"/>
            <w:tcBorders>
              <w:right w:val="single" w:color="auto" w:sz="12" w:space="0"/>
            </w:tcBorders>
            <w:shd w:val="clear" w:color="auto" w:fill="CCCCCC"/>
            <w:vAlign w:val="bottom"/>
          </w:tcPr>
          <w:p w:rsidR="003B0815" w:rsidRDefault="003B0815" w14:paraId="40153D57" w14:textId="77777777">
            <w:pPr>
              <w:keepNext/>
              <w:jc w:val="center"/>
              <w:rPr>
                <w:rFonts w:ascii="Arial" w:hAnsi="Arial"/>
                <w:sz w:val="20"/>
                <w:szCs w:val="20"/>
              </w:rPr>
            </w:pPr>
            <w:r>
              <w:rPr>
                <w:rFonts w:ascii="Arial" w:hAnsi="Arial" w:cs="Arial"/>
                <w:sz w:val="20"/>
                <w:szCs w:val="20"/>
              </w:rPr>
              <w:t>$34.6</w:t>
            </w:r>
          </w:p>
        </w:tc>
      </w:tr>
      <w:tr w:rsidR="003B0815" w14:paraId="6133D327" w14:textId="77777777">
        <w:trPr>
          <w:jc w:val="center"/>
        </w:trPr>
        <w:tc>
          <w:tcPr>
            <w:tcW w:w="1063" w:type="dxa"/>
            <w:tcBorders>
              <w:left w:val="single" w:color="auto" w:sz="12" w:space="0"/>
              <w:bottom w:val="single" w:color="auto" w:sz="4" w:space="0"/>
            </w:tcBorders>
          </w:tcPr>
          <w:p w:rsidR="003B0815" w:rsidRDefault="003B0815" w14:paraId="4A5540F6" w14:textId="77777777">
            <w:pPr>
              <w:keepNext/>
              <w:jc w:val="center"/>
              <w:rPr>
                <w:rFonts w:ascii="Arial" w:hAnsi="Arial"/>
                <w:sz w:val="20"/>
                <w:szCs w:val="20"/>
              </w:rPr>
            </w:pPr>
            <w:r>
              <w:t>2017</w:t>
            </w:r>
          </w:p>
        </w:tc>
        <w:tc>
          <w:tcPr>
            <w:tcW w:w="1458" w:type="dxa"/>
            <w:tcBorders>
              <w:bottom w:val="single" w:color="auto" w:sz="4" w:space="0"/>
            </w:tcBorders>
            <w:shd w:val="clear" w:color="auto" w:fill="CCCCCC"/>
            <w:vAlign w:val="bottom"/>
          </w:tcPr>
          <w:p w:rsidR="003B0815" w:rsidRDefault="003B0815" w14:paraId="43A9EFA3" w14:textId="77777777">
            <w:pPr>
              <w:keepNext/>
              <w:jc w:val="center"/>
              <w:rPr>
                <w:rFonts w:ascii="Arial" w:hAnsi="Arial" w:cs="Arial"/>
                <w:b/>
                <w:bCs/>
                <w:sz w:val="20"/>
                <w:szCs w:val="20"/>
              </w:rPr>
            </w:pPr>
            <w:r>
              <w:rPr>
                <w:rFonts w:ascii="Arial" w:hAnsi="Arial" w:cs="Arial"/>
                <w:sz w:val="20"/>
                <w:szCs w:val="20"/>
              </w:rPr>
              <w:t>$23.5</w:t>
            </w:r>
          </w:p>
        </w:tc>
        <w:tc>
          <w:tcPr>
            <w:tcW w:w="1440" w:type="dxa"/>
            <w:tcBorders>
              <w:bottom w:val="single" w:color="auto" w:sz="4" w:space="0"/>
            </w:tcBorders>
            <w:shd w:val="clear" w:color="auto" w:fill="CCCCCC"/>
            <w:vAlign w:val="bottom"/>
          </w:tcPr>
          <w:p w:rsidR="003B0815" w:rsidRDefault="003B0815" w14:paraId="695B2AFC" w14:textId="77777777">
            <w:pPr>
              <w:keepNext/>
              <w:jc w:val="center"/>
              <w:rPr>
                <w:rFonts w:ascii="Arial" w:hAnsi="Arial" w:cs="Arial"/>
                <w:b/>
                <w:bCs/>
                <w:sz w:val="20"/>
                <w:szCs w:val="20"/>
              </w:rPr>
            </w:pPr>
            <w:r>
              <w:rPr>
                <w:rFonts w:ascii="Arial" w:hAnsi="Arial" w:cs="Arial"/>
                <w:sz w:val="20"/>
                <w:szCs w:val="20"/>
              </w:rPr>
              <w:t>$10.6</w:t>
            </w:r>
          </w:p>
        </w:tc>
        <w:tc>
          <w:tcPr>
            <w:tcW w:w="1441" w:type="dxa"/>
            <w:tcBorders>
              <w:bottom w:val="single" w:color="auto" w:sz="4" w:space="0"/>
              <w:right w:val="single" w:color="auto" w:sz="12" w:space="0"/>
            </w:tcBorders>
            <w:shd w:val="clear" w:color="auto" w:fill="CCCCCC"/>
            <w:vAlign w:val="bottom"/>
          </w:tcPr>
          <w:p w:rsidR="003B0815" w:rsidRDefault="003B0815" w14:paraId="698CFF87" w14:textId="77777777">
            <w:pPr>
              <w:keepNext/>
              <w:jc w:val="center"/>
              <w:rPr>
                <w:rFonts w:ascii="Arial" w:hAnsi="Arial"/>
                <w:sz w:val="20"/>
                <w:szCs w:val="20"/>
              </w:rPr>
            </w:pPr>
            <w:r>
              <w:rPr>
                <w:rFonts w:ascii="Arial" w:hAnsi="Arial" w:cs="Arial"/>
                <w:sz w:val="20"/>
                <w:szCs w:val="20"/>
              </w:rPr>
              <w:t>$36.4</w:t>
            </w:r>
          </w:p>
        </w:tc>
      </w:tr>
      <w:tr w:rsidR="003B0815" w14:paraId="244A4B41" w14:textId="77777777">
        <w:trPr>
          <w:jc w:val="center"/>
        </w:trPr>
        <w:tc>
          <w:tcPr>
            <w:tcW w:w="1063" w:type="dxa"/>
            <w:tcBorders>
              <w:left w:val="single" w:color="auto" w:sz="12" w:space="0"/>
              <w:bottom w:val="single" w:color="auto" w:sz="12" w:space="0"/>
              <w:right w:val="nil"/>
            </w:tcBorders>
            <w:vAlign w:val="bottom"/>
          </w:tcPr>
          <w:p w:rsidR="003B0815" w:rsidRDefault="003B0815" w14:paraId="1C387BB4" w14:textId="77777777">
            <w:pPr>
              <w:jc w:val="center"/>
              <w:rPr>
                <w:rFonts w:ascii="Arial" w:hAnsi="Arial"/>
                <w:b/>
                <w:sz w:val="20"/>
                <w:szCs w:val="20"/>
              </w:rPr>
            </w:pPr>
            <w:r>
              <w:rPr>
                <w:rFonts w:ascii="Arial" w:hAnsi="Arial"/>
                <w:b/>
                <w:sz w:val="20"/>
                <w:szCs w:val="20"/>
              </w:rPr>
              <w:t>Total</w:t>
            </w:r>
          </w:p>
        </w:tc>
        <w:tc>
          <w:tcPr>
            <w:tcW w:w="1458" w:type="dxa"/>
            <w:tcBorders>
              <w:left w:val="nil"/>
              <w:bottom w:val="single" w:color="auto" w:sz="12" w:space="0"/>
              <w:right w:val="nil"/>
            </w:tcBorders>
            <w:vAlign w:val="bottom"/>
          </w:tcPr>
          <w:p w:rsidR="003B0815" w:rsidRDefault="003B0815" w14:paraId="3DEE5785" w14:textId="77777777">
            <w:pPr>
              <w:jc w:val="center"/>
              <w:rPr>
                <w:rFonts w:ascii="Arial" w:hAnsi="Arial" w:cs="Arial"/>
                <w:b/>
                <w:bCs/>
                <w:sz w:val="20"/>
                <w:szCs w:val="20"/>
              </w:rPr>
            </w:pPr>
            <w:r>
              <w:rPr>
                <w:rFonts w:ascii="Arial" w:hAnsi="Arial" w:cs="Arial"/>
                <w:b/>
                <w:bCs/>
                <w:sz w:val="20"/>
                <w:szCs w:val="20"/>
              </w:rPr>
              <w:t>$175.3</w:t>
            </w:r>
          </w:p>
        </w:tc>
        <w:tc>
          <w:tcPr>
            <w:tcW w:w="1440" w:type="dxa"/>
            <w:tcBorders>
              <w:left w:val="nil"/>
              <w:bottom w:val="single" w:color="auto" w:sz="12" w:space="0"/>
              <w:right w:val="nil"/>
            </w:tcBorders>
            <w:vAlign w:val="bottom"/>
          </w:tcPr>
          <w:p w:rsidR="003B0815" w:rsidRDefault="003B0815" w14:paraId="7BA06CD1" w14:textId="77777777">
            <w:pPr>
              <w:jc w:val="center"/>
              <w:rPr>
                <w:rFonts w:ascii="Arial" w:hAnsi="Arial" w:cs="Arial"/>
                <w:b/>
                <w:bCs/>
                <w:sz w:val="20"/>
                <w:szCs w:val="20"/>
              </w:rPr>
            </w:pPr>
            <w:r>
              <w:rPr>
                <w:rFonts w:ascii="Arial" w:hAnsi="Arial" w:cs="Arial"/>
                <w:b/>
                <w:bCs/>
                <w:sz w:val="20"/>
                <w:szCs w:val="20"/>
              </w:rPr>
              <w:t>$79.3</w:t>
            </w:r>
          </w:p>
        </w:tc>
        <w:tc>
          <w:tcPr>
            <w:tcW w:w="1441" w:type="dxa"/>
            <w:tcBorders>
              <w:left w:val="nil"/>
              <w:bottom w:val="single" w:color="auto" w:sz="12" w:space="0"/>
              <w:right w:val="single" w:color="auto" w:sz="12" w:space="0"/>
            </w:tcBorders>
            <w:vAlign w:val="bottom"/>
          </w:tcPr>
          <w:p w:rsidR="003B0815" w:rsidRDefault="003B0815" w14:paraId="547B9685" w14:textId="77777777">
            <w:pPr>
              <w:jc w:val="center"/>
              <w:rPr>
                <w:rFonts w:ascii="Arial" w:hAnsi="Arial"/>
                <w:b/>
                <w:sz w:val="20"/>
                <w:szCs w:val="20"/>
              </w:rPr>
            </w:pPr>
            <w:r>
              <w:rPr>
                <w:rFonts w:ascii="Arial" w:hAnsi="Arial" w:cs="Arial"/>
                <w:b/>
                <w:bCs/>
                <w:sz w:val="20"/>
                <w:szCs w:val="20"/>
              </w:rPr>
              <w:t>$271.4</w:t>
            </w:r>
          </w:p>
        </w:tc>
      </w:tr>
    </w:tbl>
    <w:p w:rsidR="003B0815" w:rsidRDefault="003B0815" w14:paraId="5135B569" w14:textId="77777777">
      <w:pPr>
        <w:spacing w:line="360" w:lineRule="auto"/>
        <w:ind w:firstLine="720"/>
      </w:pPr>
    </w:p>
    <w:p w:rsidR="003B0815" w:rsidRDefault="003B0815" w14:paraId="147D4AD9" w14:textId="77777777">
      <w:pPr>
        <w:spacing w:line="360" w:lineRule="auto"/>
        <w:ind w:firstLine="720"/>
      </w:pPr>
      <w:r>
        <w:t xml:space="preserve">TSA notes that the Secure Flight requirement that airlines submit available passenger information approximately 72 hours prior to departure may have a significant impact on covered airlines, particularly those that are unable to establish a direct connection to CBP.  This impact may be compounded by TSA’s decision in the rule to require covered airlines to bear the responsibility for </w:t>
      </w:r>
      <w:r>
        <w:rPr>
          <w:i/>
        </w:rPr>
        <w:t>all</w:t>
      </w:r>
      <w:r>
        <w:t xml:space="preserve"> implementation costs.  Thus, covered airlines bear any applicable transmission costs associated with both submission of SFPD information to DHS </w:t>
      </w:r>
      <w:r>
        <w:rPr>
          <w:i/>
        </w:rPr>
        <w:t>and</w:t>
      </w:r>
      <w:r>
        <w:t xml:space="preserve"> return transmissions containing watch list results.  </w:t>
      </w:r>
    </w:p>
    <w:p w:rsidR="003B0815" w:rsidRDefault="003B0815" w14:paraId="25AD282C" w14:textId="77777777">
      <w:pPr>
        <w:spacing w:line="360" w:lineRule="auto"/>
        <w:ind w:firstLine="720"/>
      </w:pPr>
      <w:r>
        <w:t>Table 1.6.2.h presents the total estimated costs for covered foreign airlines under the high and low scenarios.  Again, without more detailed information on how carriers have responded to the APIS final rule, TSA has adopted the midpoint of these estimates as its primary scenario.</w:t>
      </w:r>
    </w:p>
    <w:tbl>
      <w:tblPr>
        <w:tblW w:w="4143" w:type="dxa"/>
        <w:jc w:val="center"/>
        <w:tblLook w:val="0000" w:firstRow="0" w:lastRow="0" w:firstColumn="0" w:lastColumn="0" w:noHBand="0" w:noVBand="0"/>
      </w:tblPr>
      <w:tblGrid>
        <w:gridCol w:w="960"/>
        <w:gridCol w:w="1061"/>
        <w:gridCol w:w="1061"/>
        <w:gridCol w:w="1061"/>
      </w:tblGrid>
      <w:tr w:rsidR="003B0815" w14:paraId="13FE0DAD" w14:textId="77777777">
        <w:trPr>
          <w:trHeight w:val="810"/>
          <w:jc w:val="center"/>
        </w:trPr>
        <w:tc>
          <w:tcPr>
            <w:tcW w:w="4143" w:type="dxa"/>
            <w:gridSpan w:val="4"/>
            <w:tcBorders>
              <w:top w:val="nil"/>
              <w:left w:val="nil"/>
              <w:bottom w:val="nil"/>
              <w:right w:val="nil"/>
            </w:tcBorders>
            <w:shd w:val="clear" w:color="auto" w:fill="auto"/>
          </w:tcPr>
          <w:p w:rsidR="003B0815" w:rsidRDefault="003B0815" w14:paraId="7EEAE271" w14:textId="77777777">
            <w:pPr>
              <w:pStyle w:val="RegEvalTableHeader"/>
            </w:pPr>
            <w:bookmarkStart w:name="_Toc207109521" w:id="269"/>
            <w:r>
              <w:t>Table 1.6.2.h  Total Foreign Reprogramming and Implementation Costs (millions of 2005 $)</w:t>
            </w:r>
            <w:bookmarkEnd w:id="269"/>
          </w:p>
        </w:tc>
      </w:tr>
      <w:tr w:rsidR="003B0815" w14:paraId="76575C65" w14:textId="77777777">
        <w:trPr>
          <w:trHeight w:val="510"/>
          <w:jc w:val="center"/>
        </w:trPr>
        <w:tc>
          <w:tcPr>
            <w:tcW w:w="960" w:type="dxa"/>
            <w:tcBorders>
              <w:top w:val="single" w:color="auto" w:sz="8" w:space="0"/>
              <w:left w:val="single" w:color="auto" w:sz="8" w:space="0"/>
              <w:bottom w:val="single" w:color="auto" w:sz="4" w:space="0"/>
              <w:right w:val="single" w:color="auto" w:sz="4" w:space="0"/>
            </w:tcBorders>
            <w:shd w:val="clear" w:color="auto" w:fill="auto"/>
            <w:vAlign w:val="bottom"/>
          </w:tcPr>
          <w:p w:rsidR="003B0815" w:rsidRDefault="003B0815" w14:paraId="145F6CCF" w14:textId="77777777">
            <w:pPr>
              <w:rPr>
                <w:rFonts w:ascii="Arial" w:hAnsi="Arial" w:cs="Arial"/>
                <w:b/>
                <w:bCs/>
                <w:sz w:val="20"/>
                <w:szCs w:val="20"/>
              </w:rPr>
            </w:pPr>
            <w:r>
              <w:rPr>
                <w:rFonts w:ascii="Arial" w:hAnsi="Arial" w:cs="Arial"/>
                <w:b/>
                <w:bCs/>
                <w:sz w:val="20"/>
                <w:szCs w:val="20"/>
              </w:rPr>
              <w:t>Year</w:t>
            </w:r>
          </w:p>
        </w:tc>
        <w:tc>
          <w:tcPr>
            <w:tcW w:w="1061" w:type="dxa"/>
            <w:tcBorders>
              <w:top w:val="single" w:color="auto" w:sz="8" w:space="0"/>
              <w:left w:val="nil"/>
              <w:bottom w:val="single" w:color="auto" w:sz="4" w:space="0"/>
              <w:right w:val="single" w:color="auto" w:sz="4" w:space="0"/>
            </w:tcBorders>
            <w:shd w:val="clear" w:color="auto" w:fill="auto"/>
            <w:vAlign w:val="bottom"/>
          </w:tcPr>
          <w:p w:rsidR="003B0815" w:rsidRDefault="003B0815" w14:paraId="2BDDF533" w14:textId="77777777">
            <w:pPr>
              <w:rPr>
                <w:rFonts w:ascii="Arial" w:hAnsi="Arial" w:cs="Arial"/>
                <w:b/>
                <w:bCs/>
                <w:sz w:val="20"/>
                <w:szCs w:val="20"/>
              </w:rPr>
            </w:pPr>
            <w:r>
              <w:rPr>
                <w:rFonts w:ascii="Arial" w:hAnsi="Arial" w:cs="Arial"/>
                <w:b/>
                <w:bCs/>
                <w:sz w:val="20"/>
                <w:szCs w:val="20"/>
              </w:rPr>
              <w:t>Primary Scenario</w:t>
            </w:r>
          </w:p>
        </w:tc>
        <w:tc>
          <w:tcPr>
            <w:tcW w:w="1061" w:type="dxa"/>
            <w:tcBorders>
              <w:top w:val="single" w:color="auto" w:sz="8" w:space="0"/>
              <w:left w:val="nil"/>
              <w:bottom w:val="single" w:color="auto" w:sz="4" w:space="0"/>
              <w:right w:val="single" w:color="auto" w:sz="4" w:space="0"/>
            </w:tcBorders>
            <w:shd w:val="clear" w:color="auto" w:fill="auto"/>
            <w:vAlign w:val="bottom"/>
          </w:tcPr>
          <w:p w:rsidR="003B0815" w:rsidRDefault="003B0815" w14:paraId="7D14819C" w14:textId="77777777">
            <w:pPr>
              <w:rPr>
                <w:rFonts w:ascii="Arial" w:hAnsi="Arial" w:cs="Arial"/>
                <w:b/>
                <w:bCs/>
                <w:sz w:val="20"/>
                <w:szCs w:val="20"/>
              </w:rPr>
            </w:pPr>
            <w:r>
              <w:rPr>
                <w:rFonts w:ascii="Arial" w:hAnsi="Arial" w:cs="Arial"/>
                <w:b/>
                <w:bCs/>
                <w:sz w:val="20"/>
                <w:szCs w:val="20"/>
              </w:rPr>
              <w:t>Low Scenario</w:t>
            </w:r>
          </w:p>
        </w:tc>
        <w:tc>
          <w:tcPr>
            <w:tcW w:w="1061" w:type="dxa"/>
            <w:tcBorders>
              <w:top w:val="single" w:color="auto" w:sz="8" w:space="0"/>
              <w:left w:val="nil"/>
              <w:bottom w:val="single" w:color="auto" w:sz="4" w:space="0"/>
              <w:right w:val="single" w:color="auto" w:sz="8" w:space="0"/>
            </w:tcBorders>
            <w:shd w:val="clear" w:color="auto" w:fill="auto"/>
            <w:vAlign w:val="bottom"/>
          </w:tcPr>
          <w:p w:rsidR="003B0815" w:rsidRDefault="003B0815" w14:paraId="16BD46F1" w14:textId="77777777">
            <w:pPr>
              <w:rPr>
                <w:rFonts w:ascii="Arial" w:hAnsi="Arial" w:cs="Arial"/>
                <w:b/>
                <w:bCs/>
                <w:sz w:val="20"/>
                <w:szCs w:val="20"/>
              </w:rPr>
            </w:pPr>
            <w:r>
              <w:rPr>
                <w:rFonts w:ascii="Arial" w:hAnsi="Arial" w:cs="Arial"/>
                <w:b/>
                <w:bCs/>
                <w:sz w:val="20"/>
                <w:szCs w:val="20"/>
              </w:rPr>
              <w:t>High Scenario</w:t>
            </w:r>
          </w:p>
        </w:tc>
      </w:tr>
      <w:tr w:rsidR="003B0815" w14:paraId="7F5B8636"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10808E86" w14:textId="77777777">
            <w:pPr>
              <w:jc w:val="right"/>
              <w:rPr>
                <w:rFonts w:ascii="Arial" w:hAnsi="Arial" w:cs="Arial"/>
                <w:sz w:val="20"/>
                <w:szCs w:val="20"/>
              </w:rPr>
            </w:pPr>
            <w:r>
              <w:rPr>
                <w:rFonts w:ascii="Arial" w:hAnsi="Arial" w:cs="Arial"/>
                <w:sz w:val="20"/>
                <w:szCs w:val="20"/>
              </w:rPr>
              <w:t>2008</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EE859A9" w14:textId="77777777">
            <w:pPr>
              <w:jc w:val="right"/>
              <w:rPr>
                <w:rFonts w:ascii="Arial" w:hAnsi="Arial" w:cs="Arial"/>
                <w:sz w:val="20"/>
                <w:szCs w:val="20"/>
              </w:rPr>
            </w:pPr>
            <w:r>
              <w:rPr>
                <w:rFonts w:ascii="Arial" w:hAnsi="Arial" w:cs="Arial"/>
                <w:sz w:val="20"/>
                <w:szCs w:val="20"/>
              </w:rPr>
              <w:t>$0.0</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2C47DF7" w14:textId="77777777">
            <w:pPr>
              <w:jc w:val="right"/>
              <w:rPr>
                <w:rFonts w:ascii="Arial" w:hAnsi="Arial" w:cs="Arial"/>
                <w:sz w:val="20"/>
                <w:szCs w:val="20"/>
              </w:rPr>
            </w:pPr>
            <w:r>
              <w:rPr>
                <w:rFonts w:ascii="Arial" w:hAnsi="Arial" w:cs="Arial"/>
                <w:sz w:val="20"/>
                <w:szCs w:val="20"/>
              </w:rPr>
              <w:t>$0.0</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672130D7" w14:textId="77777777">
            <w:pPr>
              <w:jc w:val="right"/>
              <w:rPr>
                <w:rFonts w:ascii="Arial" w:hAnsi="Arial" w:cs="Arial"/>
                <w:sz w:val="20"/>
                <w:szCs w:val="20"/>
              </w:rPr>
            </w:pPr>
            <w:r>
              <w:rPr>
                <w:rFonts w:ascii="Arial" w:hAnsi="Arial" w:cs="Arial"/>
                <w:sz w:val="20"/>
                <w:szCs w:val="20"/>
              </w:rPr>
              <w:t>$0.0</w:t>
            </w:r>
          </w:p>
        </w:tc>
      </w:tr>
      <w:tr w:rsidR="003B0815" w14:paraId="4D5499F4"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7538CB36" w14:textId="77777777">
            <w:pPr>
              <w:jc w:val="right"/>
              <w:rPr>
                <w:rFonts w:ascii="Arial" w:hAnsi="Arial" w:cs="Arial"/>
                <w:sz w:val="20"/>
                <w:szCs w:val="20"/>
              </w:rPr>
            </w:pPr>
            <w:r>
              <w:rPr>
                <w:rFonts w:ascii="Arial" w:hAnsi="Arial" w:cs="Arial"/>
                <w:sz w:val="20"/>
                <w:szCs w:val="20"/>
              </w:rPr>
              <w:t>2009</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1ED8D1BA" w14:textId="77777777">
            <w:pPr>
              <w:jc w:val="right"/>
              <w:rPr>
                <w:rFonts w:ascii="Arial" w:hAnsi="Arial" w:cs="Arial"/>
                <w:sz w:val="20"/>
                <w:szCs w:val="20"/>
              </w:rPr>
            </w:pPr>
            <w:r>
              <w:rPr>
                <w:rFonts w:ascii="Arial" w:hAnsi="Arial" w:cs="Arial"/>
                <w:sz w:val="20"/>
                <w:szCs w:val="20"/>
              </w:rPr>
              <w:t>$181.2</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7EF290D4" w14:textId="77777777">
            <w:pPr>
              <w:jc w:val="right"/>
              <w:rPr>
                <w:rFonts w:ascii="Arial" w:hAnsi="Arial" w:cs="Arial"/>
                <w:sz w:val="20"/>
                <w:szCs w:val="20"/>
              </w:rPr>
            </w:pPr>
            <w:r>
              <w:rPr>
                <w:rFonts w:ascii="Arial" w:hAnsi="Arial" w:cs="Arial"/>
                <w:sz w:val="20"/>
                <w:szCs w:val="20"/>
              </w:rPr>
              <w:t>$175.7</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3AAB0110" w14:textId="77777777">
            <w:pPr>
              <w:jc w:val="right"/>
              <w:rPr>
                <w:rFonts w:ascii="Arial" w:hAnsi="Arial" w:cs="Arial"/>
                <w:sz w:val="20"/>
                <w:szCs w:val="20"/>
              </w:rPr>
            </w:pPr>
            <w:r>
              <w:rPr>
                <w:rFonts w:ascii="Arial" w:hAnsi="Arial" w:cs="Arial"/>
                <w:sz w:val="20"/>
                <w:szCs w:val="20"/>
              </w:rPr>
              <w:t>$186.6</w:t>
            </w:r>
          </w:p>
        </w:tc>
      </w:tr>
      <w:tr w:rsidR="003B0815" w14:paraId="49DC370E"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41A308FF" w14:textId="77777777">
            <w:pPr>
              <w:jc w:val="right"/>
              <w:rPr>
                <w:rFonts w:ascii="Arial" w:hAnsi="Arial" w:cs="Arial"/>
                <w:sz w:val="20"/>
                <w:szCs w:val="20"/>
              </w:rPr>
            </w:pPr>
            <w:r>
              <w:rPr>
                <w:rFonts w:ascii="Arial" w:hAnsi="Arial" w:cs="Arial"/>
                <w:sz w:val="20"/>
                <w:szCs w:val="20"/>
              </w:rPr>
              <w:t>2010</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69CF2EF" w14:textId="77777777">
            <w:pPr>
              <w:jc w:val="right"/>
              <w:rPr>
                <w:rFonts w:ascii="Arial" w:hAnsi="Arial" w:cs="Arial"/>
                <w:sz w:val="20"/>
                <w:szCs w:val="20"/>
              </w:rPr>
            </w:pPr>
            <w:r>
              <w:rPr>
                <w:rFonts w:ascii="Arial" w:hAnsi="Arial" w:cs="Arial"/>
                <w:sz w:val="20"/>
                <w:szCs w:val="20"/>
              </w:rPr>
              <w:t>$20.8</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6E207B8F" w14:textId="77777777">
            <w:pPr>
              <w:jc w:val="right"/>
              <w:rPr>
                <w:rFonts w:ascii="Arial" w:hAnsi="Arial" w:cs="Arial"/>
                <w:sz w:val="20"/>
                <w:szCs w:val="20"/>
              </w:rPr>
            </w:pPr>
            <w:r>
              <w:rPr>
                <w:rFonts w:ascii="Arial" w:hAnsi="Arial" w:cs="Arial"/>
                <w:sz w:val="20"/>
                <w:szCs w:val="20"/>
              </w:rPr>
              <w:t>$11.5</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6F311AC0" w14:textId="77777777">
            <w:pPr>
              <w:jc w:val="right"/>
              <w:rPr>
                <w:rFonts w:ascii="Arial" w:hAnsi="Arial" w:cs="Arial"/>
                <w:sz w:val="20"/>
                <w:szCs w:val="20"/>
              </w:rPr>
            </w:pPr>
            <w:r>
              <w:rPr>
                <w:rFonts w:ascii="Arial" w:hAnsi="Arial" w:cs="Arial"/>
                <w:sz w:val="20"/>
                <w:szCs w:val="20"/>
              </w:rPr>
              <w:t>$30.2</w:t>
            </w:r>
          </w:p>
        </w:tc>
      </w:tr>
      <w:tr w:rsidR="003B0815" w14:paraId="1500A664"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2038DEF1" w14:textId="77777777">
            <w:pPr>
              <w:jc w:val="right"/>
              <w:rPr>
                <w:rFonts w:ascii="Arial" w:hAnsi="Arial" w:cs="Arial"/>
                <w:sz w:val="20"/>
                <w:szCs w:val="20"/>
              </w:rPr>
            </w:pPr>
            <w:r>
              <w:rPr>
                <w:rFonts w:ascii="Arial" w:hAnsi="Arial" w:cs="Arial"/>
                <w:sz w:val="20"/>
                <w:szCs w:val="20"/>
              </w:rPr>
              <w:t>2011</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40CD88A3" w14:textId="77777777">
            <w:pPr>
              <w:jc w:val="right"/>
              <w:rPr>
                <w:rFonts w:ascii="Arial" w:hAnsi="Arial" w:cs="Arial"/>
                <w:sz w:val="20"/>
                <w:szCs w:val="20"/>
              </w:rPr>
            </w:pPr>
            <w:r>
              <w:rPr>
                <w:rFonts w:ascii="Arial" w:hAnsi="Arial" w:cs="Arial"/>
                <w:sz w:val="20"/>
                <w:szCs w:val="20"/>
              </w:rPr>
              <w:t>$21.7</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7FF9AD3" w14:textId="77777777">
            <w:pPr>
              <w:jc w:val="right"/>
              <w:rPr>
                <w:rFonts w:ascii="Arial" w:hAnsi="Arial" w:cs="Arial"/>
                <w:sz w:val="20"/>
                <w:szCs w:val="20"/>
              </w:rPr>
            </w:pPr>
            <w:r>
              <w:rPr>
                <w:rFonts w:ascii="Arial" w:hAnsi="Arial" w:cs="Arial"/>
                <w:sz w:val="20"/>
                <w:szCs w:val="20"/>
              </w:rPr>
              <w:t>$11.9</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13E360AE" w14:textId="77777777">
            <w:pPr>
              <w:jc w:val="right"/>
              <w:rPr>
                <w:rFonts w:ascii="Arial" w:hAnsi="Arial" w:cs="Arial"/>
                <w:sz w:val="20"/>
                <w:szCs w:val="20"/>
              </w:rPr>
            </w:pPr>
            <w:r>
              <w:rPr>
                <w:rFonts w:ascii="Arial" w:hAnsi="Arial" w:cs="Arial"/>
                <w:sz w:val="20"/>
                <w:szCs w:val="20"/>
              </w:rPr>
              <w:t>$31.5</w:t>
            </w:r>
          </w:p>
        </w:tc>
      </w:tr>
      <w:tr w:rsidR="003B0815" w14:paraId="23667A52"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54FC0020" w14:textId="77777777">
            <w:pPr>
              <w:jc w:val="right"/>
              <w:rPr>
                <w:rFonts w:ascii="Arial" w:hAnsi="Arial" w:cs="Arial"/>
                <w:sz w:val="20"/>
                <w:szCs w:val="20"/>
              </w:rPr>
            </w:pPr>
            <w:r>
              <w:rPr>
                <w:rFonts w:ascii="Arial" w:hAnsi="Arial" w:cs="Arial"/>
                <w:sz w:val="20"/>
                <w:szCs w:val="20"/>
              </w:rPr>
              <w:t>2012</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629DB57F" w14:textId="77777777">
            <w:pPr>
              <w:jc w:val="right"/>
              <w:rPr>
                <w:rFonts w:ascii="Arial" w:hAnsi="Arial" w:cs="Arial"/>
                <w:sz w:val="20"/>
                <w:szCs w:val="20"/>
              </w:rPr>
            </w:pPr>
            <w:r>
              <w:rPr>
                <w:rFonts w:ascii="Arial" w:hAnsi="Arial" w:cs="Arial"/>
                <w:sz w:val="20"/>
                <w:szCs w:val="20"/>
              </w:rPr>
              <w:t>$22.6</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5748BC3A" w14:textId="77777777">
            <w:pPr>
              <w:jc w:val="right"/>
              <w:rPr>
                <w:rFonts w:ascii="Arial" w:hAnsi="Arial" w:cs="Arial"/>
                <w:sz w:val="20"/>
                <w:szCs w:val="20"/>
              </w:rPr>
            </w:pPr>
            <w:r>
              <w:rPr>
                <w:rFonts w:ascii="Arial" w:hAnsi="Arial" w:cs="Arial"/>
                <w:sz w:val="20"/>
                <w:szCs w:val="20"/>
              </w:rPr>
              <w:t>$12.3</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1C69D6E9" w14:textId="77777777">
            <w:pPr>
              <w:jc w:val="right"/>
              <w:rPr>
                <w:rFonts w:ascii="Arial" w:hAnsi="Arial" w:cs="Arial"/>
                <w:sz w:val="20"/>
                <w:szCs w:val="20"/>
              </w:rPr>
            </w:pPr>
            <w:r>
              <w:rPr>
                <w:rFonts w:ascii="Arial" w:hAnsi="Arial" w:cs="Arial"/>
                <w:sz w:val="20"/>
                <w:szCs w:val="20"/>
              </w:rPr>
              <w:t>$32.8</w:t>
            </w:r>
          </w:p>
        </w:tc>
      </w:tr>
      <w:tr w:rsidR="003B0815" w14:paraId="43D35500"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2D6F4ED1" w14:textId="77777777">
            <w:pPr>
              <w:jc w:val="right"/>
              <w:rPr>
                <w:rFonts w:ascii="Arial" w:hAnsi="Arial" w:cs="Arial"/>
                <w:sz w:val="20"/>
                <w:szCs w:val="20"/>
              </w:rPr>
            </w:pPr>
            <w:r>
              <w:rPr>
                <w:rFonts w:ascii="Arial" w:hAnsi="Arial" w:cs="Arial"/>
                <w:sz w:val="20"/>
                <w:szCs w:val="20"/>
              </w:rPr>
              <w:t>2013</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22F7627" w14:textId="77777777">
            <w:pPr>
              <w:jc w:val="right"/>
              <w:rPr>
                <w:rFonts w:ascii="Arial" w:hAnsi="Arial" w:cs="Arial"/>
                <w:sz w:val="20"/>
                <w:szCs w:val="20"/>
              </w:rPr>
            </w:pPr>
            <w:r>
              <w:rPr>
                <w:rFonts w:ascii="Arial" w:hAnsi="Arial" w:cs="Arial"/>
                <w:sz w:val="20"/>
                <w:szCs w:val="20"/>
              </w:rPr>
              <w:t>$23.5</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11D481EC" w14:textId="77777777">
            <w:pPr>
              <w:jc w:val="right"/>
              <w:rPr>
                <w:rFonts w:ascii="Arial" w:hAnsi="Arial" w:cs="Arial"/>
                <w:sz w:val="20"/>
                <w:szCs w:val="20"/>
              </w:rPr>
            </w:pPr>
            <w:r>
              <w:rPr>
                <w:rFonts w:ascii="Arial" w:hAnsi="Arial" w:cs="Arial"/>
                <w:sz w:val="20"/>
                <w:szCs w:val="20"/>
              </w:rPr>
              <w:t>$12.7</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08906B7" w14:textId="77777777">
            <w:pPr>
              <w:jc w:val="right"/>
              <w:rPr>
                <w:rFonts w:ascii="Arial" w:hAnsi="Arial" w:cs="Arial"/>
                <w:sz w:val="20"/>
                <w:szCs w:val="20"/>
              </w:rPr>
            </w:pPr>
            <w:r>
              <w:rPr>
                <w:rFonts w:ascii="Arial" w:hAnsi="Arial" w:cs="Arial"/>
                <w:sz w:val="20"/>
                <w:szCs w:val="20"/>
              </w:rPr>
              <w:t>$34.2</w:t>
            </w:r>
          </w:p>
        </w:tc>
      </w:tr>
      <w:tr w:rsidR="003B0815" w14:paraId="1C4D9E07"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1D70B586" w14:textId="77777777">
            <w:pPr>
              <w:jc w:val="right"/>
              <w:rPr>
                <w:rFonts w:ascii="Arial" w:hAnsi="Arial" w:cs="Arial"/>
                <w:sz w:val="20"/>
                <w:szCs w:val="20"/>
              </w:rPr>
            </w:pPr>
            <w:r>
              <w:rPr>
                <w:rFonts w:ascii="Arial" w:hAnsi="Arial" w:cs="Arial"/>
                <w:sz w:val="20"/>
                <w:szCs w:val="20"/>
              </w:rPr>
              <w:t>2014</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07F084F7" w14:textId="77777777">
            <w:pPr>
              <w:jc w:val="right"/>
              <w:rPr>
                <w:rFonts w:ascii="Arial" w:hAnsi="Arial" w:cs="Arial"/>
                <w:sz w:val="20"/>
                <w:szCs w:val="20"/>
              </w:rPr>
            </w:pPr>
            <w:r>
              <w:rPr>
                <w:rFonts w:ascii="Arial" w:hAnsi="Arial" w:cs="Arial"/>
                <w:sz w:val="20"/>
                <w:szCs w:val="20"/>
              </w:rPr>
              <w:t>$24.4</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31299C72" w14:textId="77777777">
            <w:pPr>
              <w:jc w:val="right"/>
              <w:rPr>
                <w:rFonts w:ascii="Arial" w:hAnsi="Arial" w:cs="Arial"/>
                <w:sz w:val="20"/>
                <w:szCs w:val="20"/>
              </w:rPr>
            </w:pPr>
            <w:r>
              <w:rPr>
                <w:rFonts w:ascii="Arial" w:hAnsi="Arial" w:cs="Arial"/>
                <w:sz w:val="20"/>
                <w:szCs w:val="20"/>
              </w:rPr>
              <w:t>$13.2</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4639B68" w14:textId="77777777">
            <w:pPr>
              <w:jc w:val="right"/>
              <w:rPr>
                <w:rFonts w:ascii="Arial" w:hAnsi="Arial" w:cs="Arial"/>
                <w:sz w:val="20"/>
                <w:szCs w:val="20"/>
              </w:rPr>
            </w:pPr>
            <w:r>
              <w:rPr>
                <w:rFonts w:ascii="Arial" w:hAnsi="Arial" w:cs="Arial"/>
                <w:sz w:val="20"/>
                <w:szCs w:val="20"/>
              </w:rPr>
              <w:t>$35.7</w:t>
            </w:r>
          </w:p>
        </w:tc>
      </w:tr>
      <w:tr w:rsidR="003B0815" w14:paraId="12A081E8"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68B443B0" w14:textId="77777777">
            <w:pPr>
              <w:jc w:val="right"/>
              <w:rPr>
                <w:rFonts w:ascii="Arial" w:hAnsi="Arial" w:cs="Arial"/>
                <w:sz w:val="20"/>
                <w:szCs w:val="20"/>
              </w:rPr>
            </w:pPr>
            <w:r>
              <w:rPr>
                <w:rFonts w:ascii="Arial" w:hAnsi="Arial" w:cs="Arial"/>
                <w:sz w:val="20"/>
                <w:szCs w:val="20"/>
              </w:rPr>
              <w:t>2015</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6695AC46" w14:textId="77777777">
            <w:pPr>
              <w:jc w:val="right"/>
              <w:rPr>
                <w:rFonts w:ascii="Arial" w:hAnsi="Arial" w:cs="Arial"/>
                <w:sz w:val="20"/>
                <w:szCs w:val="20"/>
              </w:rPr>
            </w:pPr>
            <w:r>
              <w:rPr>
                <w:rFonts w:ascii="Arial" w:hAnsi="Arial" w:cs="Arial"/>
                <w:sz w:val="20"/>
                <w:szCs w:val="20"/>
              </w:rPr>
              <w:t>$25.5</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16FEE481" w14:textId="77777777">
            <w:pPr>
              <w:jc w:val="right"/>
              <w:rPr>
                <w:rFonts w:ascii="Arial" w:hAnsi="Arial" w:cs="Arial"/>
                <w:sz w:val="20"/>
                <w:szCs w:val="20"/>
              </w:rPr>
            </w:pPr>
            <w:r>
              <w:rPr>
                <w:rFonts w:ascii="Arial" w:hAnsi="Arial" w:cs="Arial"/>
                <w:sz w:val="20"/>
                <w:szCs w:val="20"/>
              </w:rPr>
              <w:t>$13.6</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4B90F1FE" w14:textId="77777777">
            <w:pPr>
              <w:jc w:val="right"/>
              <w:rPr>
                <w:rFonts w:ascii="Arial" w:hAnsi="Arial" w:cs="Arial"/>
                <w:sz w:val="20"/>
                <w:szCs w:val="20"/>
              </w:rPr>
            </w:pPr>
            <w:r>
              <w:rPr>
                <w:rFonts w:ascii="Arial" w:hAnsi="Arial" w:cs="Arial"/>
                <w:sz w:val="20"/>
                <w:szCs w:val="20"/>
              </w:rPr>
              <w:t>$37.3</w:t>
            </w:r>
          </w:p>
        </w:tc>
      </w:tr>
      <w:tr w:rsidR="003B0815" w14:paraId="7F9F2973"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32A45296" w14:textId="77777777">
            <w:pPr>
              <w:jc w:val="right"/>
              <w:rPr>
                <w:rFonts w:ascii="Arial" w:hAnsi="Arial" w:cs="Arial"/>
                <w:sz w:val="20"/>
                <w:szCs w:val="20"/>
              </w:rPr>
            </w:pPr>
            <w:r>
              <w:rPr>
                <w:rFonts w:ascii="Arial" w:hAnsi="Arial" w:cs="Arial"/>
                <w:sz w:val="20"/>
                <w:szCs w:val="20"/>
              </w:rPr>
              <w:t>2016</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65010BE6" w14:textId="77777777">
            <w:pPr>
              <w:jc w:val="right"/>
              <w:rPr>
                <w:rFonts w:ascii="Arial" w:hAnsi="Arial" w:cs="Arial"/>
                <w:sz w:val="20"/>
                <w:szCs w:val="20"/>
              </w:rPr>
            </w:pPr>
            <w:r>
              <w:rPr>
                <w:rFonts w:ascii="Arial" w:hAnsi="Arial" w:cs="Arial"/>
                <w:sz w:val="20"/>
                <w:szCs w:val="20"/>
              </w:rPr>
              <w:t>$26.5</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7432545D" w14:textId="77777777">
            <w:pPr>
              <w:jc w:val="right"/>
              <w:rPr>
                <w:rFonts w:ascii="Arial" w:hAnsi="Arial" w:cs="Arial"/>
                <w:sz w:val="20"/>
                <w:szCs w:val="20"/>
              </w:rPr>
            </w:pPr>
            <w:r>
              <w:rPr>
                <w:rFonts w:ascii="Arial" w:hAnsi="Arial" w:cs="Arial"/>
                <w:sz w:val="20"/>
                <w:szCs w:val="20"/>
              </w:rPr>
              <w:t>$14.1</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49DB5D82" w14:textId="77777777">
            <w:pPr>
              <w:jc w:val="right"/>
              <w:rPr>
                <w:rFonts w:ascii="Arial" w:hAnsi="Arial" w:cs="Arial"/>
                <w:sz w:val="20"/>
                <w:szCs w:val="20"/>
              </w:rPr>
            </w:pPr>
            <w:r>
              <w:rPr>
                <w:rFonts w:ascii="Arial" w:hAnsi="Arial" w:cs="Arial"/>
                <w:sz w:val="20"/>
                <w:szCs w:val="20"/>
              </w:rPr>
              <w:t>$39.0</w:t>
            </w:r>
          </w:p>
        </w:tc>
      </w:tr>
      <w:tr w:rsidR="003B0815" w14:paraId="219DA0EE" w14:textId="77777777">
        <w:trPr>
          <w:trHeight w:val="255"/>
          <w:jc w:val="center"/>
        </w:trPr>
        <w:tc>
          <w:tcPr>
            <w:tcW w:w="960" w:type="dxa"/>
            <w:tcBorders>
              <w:top w:val="nil"/>
              <w:left w:val="single" w:color="auto" w:sz="8" w:space="0"/>
              <w:bottom w:val="single" w:color="auto" w:sz="4" w:space="0"/>
              <w:right w:val="single" w:color="auto" w:sz="4" w:space="0"/>
            </w:tcBorders>
            <w:shd w:val="clear" w:color="auto" w:fill="auto"/>
            <w:noWrap/>
            <w:vAlign w:val="bottom"/>
          </w:tcPr>
          <w:p w:rsidR="003B0815" w:rsidRDefault="003B0815" w14:paraId="18063031" w14:textId="77777777">
            <w:pPr>
              <w:jc w:val="right"/>
              <w:rPr>
                <w:rFonts w:ascii="Arial" w:hAnsi="Arial" w:cs="Arial"/>
                <w:sz w:val="20"/>
                <w:szCs w:val="20"/>
              </w:rPr>
            </w:pPr>
            <w:r>
              <w:rPr>
                <w:rFonts w:ascii="Arial" w:hAnsi="Arial" w:cs="Arial"/>
                <w:sz w:val="20"/>
                <w:szCs w:val="20"/>
              </w:rPr>
              <w:t>2017</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407394C1" w14:textId="77777777">
            <w:pPr>
              <w:jc w:val="right"/>
              <w:rPr>
                <w:rFonts w:ascii="Arial" w:hAnsi="Arial" w:cs="Arial"/>
                <w:sz w:val="20"/>
                <w:szCs w:val="20"/>
              </w:rPr>
            </w:pPr>
            <w:r>
              <w:rPr>
                <w:rFonts w:ascii="Arial" w:hAnsi="Arial" w:cs="Arial"/>
                <w:sz w:val="20"/>
                <w:szCs w:val="20"/>
              </w:rPr>
              <w:t>$27.6</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2D1E787F" w14:textId="77777777">
            <w:pPr>
              <w:jc w:val="right"/>
              <w:rPr>
                <w:rFonts w:ascii="Arial" w:hAnsi="Arial" w:cs="Arial"/>
                <w:sz w:val="20"/>
                <w:szCs w:val="20"/>
              </w:rPr>
            </w:pPr>
            <w:r>
              <w:rPr>
                <w:rFonts w:ascii="Arial" w:hAnsi="Arial" w:cs="Arial"/>
                <w:sz w:val="20"/>
                <w:szCs w:val="20"/>
              </w:rPr>
              <w:t>$14.6</w:t>
            </w:r>
          </w:p>
        </w:tc>
        <w:tc>
          <w:tcPr>
            <w:tcW w:w="1061" w:type="dxa"/>
            <w:tcBorders>
              <w:top w:val="nil"/>
              <w:left w:val="nil"/>
              <w:bottom w:val="single" w:color="auto" w:sz="4" w:space="0"/>
              <w:right w:val="single" w:color="auto" w:sz="4" w:space="0"/>
            </w:tcBorders>
            <w:shd w:val="clear" w:color="auto" w:fill="C0C0C0"/>
            <w:noWrap/>
            <w:vAlign w:val="bottom"/>
          </w:tcPr>
          <w:p w:rsidR="003B0815" w:rsidRDefault="003B0815" w14:paraId="05016573" w14:textId="77777777">
            <w:pPr>
              <w:jc w:val="right"/>
              <w:rPr>
                <w:rFonts w:ascii="Arial" w:hAnsi="Arial" w:cs="Arial"/>
                <w:sz w:val="20"/>
                <w:szCs w:val="20"/>
              </w:rPr>
            </w:pPr>
            <w:r>
              <w:rPr>
                <w:rFonts w:ascii="Arial" w:hAnsi="Arial" w:cs="Arial"/>
                <w:sz w:val="20"/>
                <w:szCs w:val="20"/>
              </w:rPr>
              <w:t>$40.7</w:t>
            </w:r>
          </w:p>
        </w:tc>
      </w:tr>
      <w:tr w:rsidR="003B0815" w14:paraId="36BF6757" w14:textId="77777777">
        <w:trPr>
          <w:trHeight w:val="270"/>
          <w:jc w:val="center"/>
        </w:trPr>
        <w:tc>
          <w:tcPr>
            <w:tcW w:w="960" w:type="dxa"/>
            <w:tcBorders>
              <w:top w:val="nil"/>
              <w:left w:val="single" w:color="auto" w:sz="8" w:space="0"/>
              <w:bottom w:val="single" w:color="auto" w:sz="8" w:space="0"/>
              <w:right w:val="single" w:color="auto" w:sz="4" w:space="0"/>
            </w:tcBorders>
            <w:shd w:val="clear" w:color="auto" w:fill="auto"/>
            <w:noWrap/>
            <w:vAlign w:val="bottom"/>
          </w:tcPr>
          <w:p w:rsidR="003B0815" w:rsidRDefault="003B0815" w14:paraId="37338E1F" w14:textId="77777777">
            <w:pPr>
              <w:rPr>
                <w:rFonts w:ascii="Arial" w:hAnsi="Arial" w:cs="Arial"/>
                <w:b/>
                <w:bCs/>
                <w:sz w:val="20"/>
                <w:szCs w:val="20"/>
              </w:rPr>
            </w:pPr>
            <w:r>
              <w:rPr>
                <w:rFonts w:ascii="Arial" w:hAnsi="Arial" w:cs="Arial"/>
                <w:b/>
                <w:bCs/>
                <w:sz w:val="20"/>
                <w:szCs w:val="20"/>
              </w:rPr>
              <w:t>Total</w:t>
            </w:r>
          </w:p>
        </w:tc>
        <w:tc>
          <w:tcPr>
            <w:tcW w:w="1061" w:type="dxa"/>
            <w:tcBorders>
              <w:top w:val="nil"/>
              <w:left w:val="nil"/>
              <w:bottom w:val="single" w:color="auto" w:sz="8" w:space="0"/>
              <w:right w:val="single" w:color="auto" w:sz="4" w:space="0"/>
            </w:tcBorders>
            <w:shd w:val="clear" w:color="auto" w:fill="auto"/>
            <w:noWrap/>
            <w:vAlign w:val="bottom"/>
          </w:tcPr>
          <w:p w:rsidR="003B0815" w:rsidRDefault="003B0815" w14:paraId="4FE015ED" w14:textId="77777777">
            <w:pPr>
              <w:jc w:val="right"/>
              <w:rPr>
                <w:rFonts w:ascii="Arial" w:hAnsi="Arial" w:cs="Arial"/>
                <w:b/>
                <w:bCs/>
                <w:sz w:val="20"/>
                <w:szCs w:val="20"/>
              </w:rPr>
            </w:pPr>
            <w:r>
              <w:rPr>
                <w:rFonts w:ascii="Arial" w:hAnsi="Arial" w:cs="Arial"/>
                <w:b/>
                <w:bCs/>
                <w:sz w:val="20"/>
                <w:szCs w:val="20"/>
              </w:rPr>
              <w:t>$373.8</w:t>
            </w:r>
          </w:p>
        </w:tc>
        <w:tc>
          <w:tcPr>
            <w:tcW w:w="1061" w:type="dxa"/>
            <w:tcBorders>
              <w:top w:val="nil"/>
              <w:left w:val="nil"/>
              <w:bottom w:val="single" w:color="auto" w:sz="8" w:space="0"/>
              <w:right w:val="single" w:color="auto" w:sz="4" w:space="0"/>
            </w:tcBorders>
            <w:shd w:val="clear" w:color="auto" w:fill="auto"/>
            <w:noWrap/>
            <w:vAlign w:val="bottom"/>
          </w:tcPr>
          <w:p w:rsidR="003B0815" w:rsidRDefault="003B0815" w14:paraId="62B5F6B1" w14:textId="77777777">
            <w:pPr>
              <w:jc w:val="right"/>
              <w:rPr>
                <w:rFonts w:ascii="Arial" w:hAnsi="Arial" w:cs="Arial"/>
                <w:b/>
                <w:bCs/>
                <w:sz w:val="20"/>
                <w:szCs w:val="20"/>
              </w:rPr>
            </w:pPr>
            <w:r>
              <w:rPr>
                <w:rFonts w:ascii="Arial" w:hAnsi="Arial" w:cs="Arial"/>
                <w:b/>
                <w:bCs/>
                <w:sz w:val="20"/>
                <w:szCs w:val="20"/>
              </w:rPr>
              <w:t>$279.6</w:t>
            </w:r>
          </w:p>
        </w:tc>
        <w:tc>
          <w:tcPr>
            <w:tcW w:w="1061" w:type="dxa"/>
            <w:tcBorders>
              <w:top w:val="nil"/>
              <w:left w:val="nil"/>
              <w:bottom w:val="single" w:color="auto" w:sz="8" w:space="0"/>
              <w:right w:val="single" w:color="auto" w:sz="4" w:space="0"/>
            </w:tcBorders>
            <w:shd w:val="clear" w:color="auto" w:fill="auto"/>
            <w:noWrap/>
            <w:vAlign w:val="bottom"/>
          </w:tcPr>
          <w:p w:rsidR="003B0815" w:rsidRDefault="003B0815" w14:paraId="79C5DD15" w14:textId="77777777">
            <w:pPr>
              <w:jc w:val="right"/>
              <w:rPr>
                <w:rFonts w:ascii="Arial" w:hAnsi="Arial" w:cs="Arial"/>
                <w:b/>
                <w:bCs/>
                <w:sz w:val="20"/>
                <w:szCs w:val="20"/>
              </w:rPr>
            </w:pPr>
            <w:r>
              <w:rPr>
                <w:rFonts w:ascii="Arial" w:hAnsi="Arial" w:cs="Arial"/>
                <w:b/>
                <w:bCs/>
                <w:sz w:val="20"/>
                <w:szCs w:val="20"/>
              </w:rPr>
              <w:t>$467.9</w:t>
            </w:r>
          </w:p>
        </w:tc>
      </w:tr>
    </w:tbl>
    <w:p w:rsidR="003B0815" w:rsidRDefault="003B0815" w14:paraId="67EC400E" w14:textId="77777777">
      <w:pPr>
        <w:spacing w:line="360" w:lineRule="auto"/>
        <w:ind w:firstLine="720"/>
      </w:pPr>
    </w:p>
    <w:p w:rsidR="003B0815" w:rsidRDefault="003B0815" w14:paraId="6D6255EA" w14:textId="77777777">
      <w:pPr>
        <w:spacing w:line="360" w:lineRule="auto"/>
        <w:ind w:firstLine="720"/>
      </w:pPr>
      <w:r>
        <w:t>Table 1.6.2.i presents the initial, recurring and total costs for both covered domestic and foreign carriers over the next ten years.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
        <w:gridCol w:w="1458"/>
        <w:gridCol w:w="1440"/>
        <w:gridCol w:w="1441"/>
      </w:tblGrid>
      <w:tr w:rsidR="003B0815" w14:paraId="01CDACF9" w14:textId="77777777">
        <w:trPr>
          <w:jc w:val="center"/>
        </w:trPr>
        <w:tc>
          <w:tcPr>
            <w:tcW w:w="5402" w:type="dxa"/>
            <w:gridSpan w:val="4"/>
            <w:tcBorders>
              <w:top w:val="nil"/>
              <w:left w:val="nil"/>
              <w:bottom w:val="single" w:color="auto" w:sz="12" w:space="0"/>
              <w:right w:val="nil"/>
            </w:tcBorders>
          </w:tcPr>
          <w:p w:rsidR="003B0815" w:rsidRDefault="003B0815" w14:paraId="7086E35F" w14:textId="77777777">
            <w:pPr>
              <w:pStyle w:val="RegEvalTableHeader"/>
              <w:keepNext/>
            </w:pPr>
            <w:bookmarkStart w:name="_Toc111627384" w:id="270"/>
            <w:bookmarkStart w:name="_Toc114566435" w:id="271"/>
            <w:bookmarkStart w:name="_Toc139943614" w:id="272"/>
            <w:bookmarkStart w:name="_Toc141001124" w:id="273"/>
            <w:bookmarkStart w:name="_Toc141000955" w:id="274"/>
            <w:bookmarkStart w:name="_Toc174438387" w:id="275"/>
            <w:bookmarkStart w:name="_Toc207109522" w:id="276"/>
            <w:r>
              <w:t>Table 1.6.2.i Total Annual Reprogramming and Implementation Costs</w:t>
            </w:r>
            <w:bookmarkEnd w:id="270"/>
            <w:bookmarkEnd w:id="271"/>
            <w:bookmarkEnd w:id="272"/>
            <w:bookmarkEnd w:id="273"/>
            <w:bookmarkEnd w:id="274"/>
            <w:r>
              <w:t>, All Carriers (millions of 2005 $)</w:t>
            </w:r>
            <w:bookmarkEnd w:id="275"/>
            <w:bookmarkEnd w:id="276"/>
          </w:p>
        </w:tc>
      </w:tr>
      <w:tr w:rsidR="003B0815" w14:paraId="07461EA5" w14:textId="77777777">
        <w:trPr>
          <w:jc w:val="center"/>
        </w:trPr>
        <w:tc>
          <w:tcPr>
            <w:tcW w:w="1063" w:type="dxa"/>
            <w:tcBorders>
              <w:top w:val="single" w:color="auto" w:sz="12" w:space="0"/>
              <w:left w:val="single" w:color="auto" w:sz="12" w:space="0"/>
            </w:tcBorders>
            <w:vAlign w:val="center"/>
          </w:tcPr>
          <w:p w:rsidR="003B0815" w:rsidRDefault="003B0815" w14:paraId="4A7190DE" w14:textId="77777777">
            <w:pPr>
              <w:keepNext/>
              <w:jc w:val="center"/>
              <w:rPr>
                <w:rFonts w:ascii="Arial" w:hAnsi="Arial"/>
                <w:b/>
                <w:sz w:val="20"/>
                <w:szCs w:val="20"/>
              </w:rPr>
            </w:pPr>
            <w:r>
              <w:rPr>
                <w:rFonts w:ascii="Arial" w:hAnsi="Arial"/>
                <w:b/>
                <w:sz w:val="20"/>
                <w:szCs w:val="20"/>
              </w:rPr>
              <w:t>Fiscal Year</w:t>
            </w:r>
          </w:p>
        </w:tc>
        <w:tc>
          <w:tcPr>
            <w:tcW w:w="1458" w:type="dxa"/>
            <w:tcBorders>
              <w:top w:val="single" w:color="auto" w:sz="12" w:space="0"/>
              <w:bottom w:val="single" w:color="auto" w:sz="4" w:space="0"/>
            </w:tcBorders>
          </w:tcPr>
          <w:p w:rsidR="003B0815" w:rsidRDefault="003B0815" w14:paraId="01CF6846" w14:textId="77777777">
            <w:pPr>
              <w:keepNext/>
              <w:jc w:val="center"/>
              <w:rPr>
                <w:rFonts w:ascii="Arial" w:hAnsi="Arial"/>
                <w:b/>
                <w:sz w:val="20"/>
                <w:szCs w:val="20"/>
              </w:rPr>
            </w:pPr>
            <w:r>
              <w:rPr>
                <w:rFonts w:ascii="Arial" w:hAnsi="Arial"/>
                <w:b/>
                <w:sz w:val="20"/>
                <w:szCs w:val="20"/>
              </w:rPr>
              <w:t>Primary Scenario</w:t>
            </w:r>
          </w:p>
        </w:tc>
        <w:tc>
          <w:tcPr>
            <w:tcW w:w="1440" w:type="dxa"/>
            <w:tcBorders>
              <w:top w:val="single" w:color="auto" w:sz="12" w:space="0"/>
              <w:bottom w:val="single" w:color="auto" w:sz="4" w:space="0"/>
            </w:tcBorders>
          </w:tcPr>
          <w:p w:rsidR="003B0815" w:rsidRDefault="003B0815" w14:paraId="0CE004D3" w14:textId="77777777">
            <w:pPr>
              <w:keepNext/>
              <w:jc w:val="center"/>
              <w:rPr>
                <w:rFonts w:ascii="Arial" w:hAnsi="Arial"/>
                <w:b/>
                <w:sz w:val="20"/>
                <w:szCs w:val="20"/>
              </w:rPr>
            </w:pPr>
            <w:r>
              <w:rPr>
                <w:rFonts w:ascii="Arial" w:hAnsi="Arial"/>
                <w:b/>
                <w:sz w:val="20"/>
                <w:szCs w:val="20"/>
              </w:rPr>
              <w:t>Low Scenario</w:t>
            </w:r>
          </w:p>
        </w:tc>
        <w:tc>
          <w:tcPr>
            <w:tcW w:w="1441" w:type="dxa"/>
            <w:tcBorders>
              <w:top w:val="single" w:color="auto" w:sz="12" w:space="0"/>
              <w:bottom w:val="single" w:color="auto" w:sz="4" w:space="0"/>
              <w:right w:val="single" w:color="auto" w:sz="12" w:space="0"/>
            </w:tcBorders>
            <w:vAlign w:val="center"/>
          </w:tcPr>
          <w:p w:rsidR="003B0815" w:rsidRDefault="003B0815" w14:paraId="0925B965" w14:textId="77777777">
            <w:pPr>
              <w:keepNext/>
              <w:jc w:val="center"/>
              <w:rPr>
                <w:rFonts w:ascii="Arial" w:hAnsi="Arial"/>
                <w:b/>
                <w:sz w:val="20"/>
                <w:szCs w:val="20"/>
              </w:rPr>
            </w:pPr>
            <w:r>
              <w:rPr>
                <w:rFonts w:ascii="Arial" w:hAnsi="Arial"/>
                <w:b/>
                <w:sz w:val="20"/>
                <w:szCs w:val="20"/>
              </w:rPr>
              <w:t>High Scenario</w:t>
            </w:r>
          </w:p>
        </w:tc>
      </w:tr>
      <w:tr w:rsidR="003B0815" w14:paraId="7838686C" w14:textId="77777777">
        <w:trPr>
          <w:jc w:val="center"/>
        </w:trPr>
        <w:tc>
          <w:tcPr>
            <w:tcW w:w="1063" w:type="dxa"/>
            <w:tcBorders>
              <w:left w:val="single" w:color="auto" w:sz="12" w:space="0"/>
            </w:tcBorders>
          </w:tcPr>
          <w:p w:rsidR="003B0815" w:rsidRDefault="003B0815" w14:paraId="281244B0" w14:textId="77777777">
            <w:pPr>
              <w:keepNext/>
              <w:jc w:val="center"/>
              <w:rPr>
                <w:rFonts w:ascii="Arial" w:hAnsi="Arial"/>
                <w:sz w:val="20"/>
                <w:szCs w:val="20"/>
              </w:rPr>
            </w:pPr>
            <w:r>
              <w:t>2008</w:t>
            </w:r>
          </w:p>
        </w:tc>
        <w:tc>
          <w:tcPr>
            <w:tcW w:w="1458" w:type="dxa"/>
            <w:shd w:val="clear" w:color="auto" w:fill="CCCCCC"/>
            <w:vAlign w:val="bottom"/>
          </w:tcPr>
          <w:p w:rsidR="003B0815" w:rsidRDefault="003B0815" w14:paraId="5FE1CEF8" w14:textId="77777777">
            <w:pPr>
              <w:keepNext/>
              <w:jc w:val="center"/>
              <w:rPr>
                <w:rFonts w:ascii="Arial" w:hAnsi="Arial" w:cs="Arial"/>
                <w:b/>
                <w:bCs/>
                <w:sz w:val="20"/>
                <w:szCs w:val="20"/>
              </w:rPr>
            </w:pPr>
            <w:r>
              <w:rPr>
                <w:rFonts w:ascii="Arial" w:hAnsi="Arial" w:cs="Arial"/>
                <w:sz w:val="20"/>
                <w:szCs w:val="20"/>
              </w:rPr>
              <w:t>$101.6</w:t>
            </w:r>
          </w:p>
        </w:tc>
        <w:tc>
          <w:tcPr>
            <w:tcW w:w="1440" w:type="dxa"/>
            <w:shd w:val="clear" w:color="auto" w:fill="CCCCCC"/>
            <w:vAlign w:val="bottom"/>
          </w:tcPr>
          <w:p w:rsidR="003B0815" w:rsidRDefault="003B0815" w14:paraId="74CDF624" w14:textId="77777777">
            <w:pPr>
              <w:keepNext/>
              <w:jc w:val="center"/>
              <w:rPr>
                <w:rFonts w:ascii="Arial" w:hAnsi="Arial" w:cs="Arial"/>
                <w:b/>
                <w:bCs/>
                <w:sz w:val="20"/>
                <w:szCs w:val="20"/>
              </w:rPr>
            </w:pPr>
            <w:r>
              <w:rPr>
                <w:rFonts w:ascii="Arial" w:hAnsi="Arial" w:cs="Arial"/>
                <w:sz w:val="20"/>
                <w:szCs w:val="20"/>
              </w:rPr>
              <w:t>$67.5</w:t>
            </w:r>
          </w:p>
        </w:tc>
        <w:tc>
          <w:tcPr>
            <w:tcW w:w="1441" w:type="dxa"/>
            <w:tcBorders>
              <w:right w:val="single" w:color="auto" w:sz="12" w:space="0"/>
            </w:tcBorders>
            <w:shd w:val="clear" w:color="auto" w:fill="CCCCCC"/>
            <w:vAlign w:val="bottom"/>
          </w:tcPr>
          <w:p w:rsidR="003B0815" w:rsidRDefault="003B0815" w14:paraId="1C68B6C5" w14:textId="77777777">
            <w:pPr>
              <w:keepNext/>
              <w:jc w:val="center"/>
              <w:rPr>
                <w:rFonts w:ascii="Arial" w:hAnsi="Arial"/>
                <w:sz w:val="20"/>
                <w:szCs w:val="20"/>
              </w:rPr>
            </w:pPr>
            <w:r>
              <w:rPr>
                <w:rFonts w:ascii="Arial" w:hAnsi="Arial" w:cs="Arial"/>
                <w:sz w:val="20"/>
                <w:szCs w:val="20"/>
              </w:rPr>
              <w:t>$135.7</w:t>
            </w:r>
          </w:p>
        </w:tc>
      </w:tr>
      <w:tr w:rsidR="003B0815" w14:paraId="212FE0F7" w14:textId="77777777">
        <w:trPr>
          <w:jc w:val="center"/>
        </w:trPr>
        <w:tc>
          <w:tcPr>
            <w:tcW w:w="1063" w:type="dxa"/>
            <w:tcBorders>
              <w:left w:val="single" w:color="auto" w:sz="12" w:space="0"/>
            </w:tcBorders>
          </w:tcPr>
          <w:p w:rsidR="003B0815" w:rsidRDefault="003B0815" w14:paraId="270AF4AB" w14:textId="77777777">
            <w:pPr>
              <w:keepNext/>
              <w:jc w:val="center"/>
              <w:rPr>
                <w:rFonts w:ascii="Arial" w:hAnsi="Arial"/>
                <w:sz w:val="20"/>
                <w:szCs w:val="20"/>
              </w:rPr>
            </w:pPr>
            <w:r>
              <w:t>2009</w:t>
            </w:r>
          </w:p>
        </w:tc>
        <w:tc>
          <w:tcPr>
            <w:tcW w:w="1458" w:type="dxa"/>
            <w:shd w:val="clear" w:color="auto" w:fill="CCCCCC"/>
            <w:vAlign w:val="bottom"/>
          </w:tcPr>
          <w:p w:rsidR="003B0815" w:rsidRDefault="003B0815" w14:paraId="6A58FA4B" w14:textId="77777777">
            <w:pPr>
              <w:keepNext/>
              <w:jc w:val="center"/>
              <w:rPr>
                <w:rFonts w:ascii="Arial" w:hAnsi="Arial" w:cs="Arial"/>
                <w:b/>
                <w:bCs/>
                <w:sz w:val="20"/>
                <w:szCs w:val="20"/>
              </w:rPr>
            </w:pPr>
            <w:r>
              <w:rPr>
                <w:rFonts w:ascii="Arial" w:hAnsi="Arial" w:cs="Arial"/>
                <w:sz w:val="20"/>
                <w:szCs w:val="20"/>
              </w:rPr>
              <w:t>183.8</w:t>
            </w:r>
          </w:p>
        </w:tc>
        <w:tc>
          <w:tcPr>
            <w:tcW w:w="1440" w:type="dxa"/>
            <w:shd w:val="clear" w:color="auto" w:fill="CCCCCC"/>
            <w:vAlign w:val="bottom"/>
          </w:tcPr>
          <w:p w:rsidR="003B0815" w:rsidRDefault="003B0815" w14:paraId="7286F598" w14:textId="77777777">
            <w:pPr>
              <w:keepNext/>
              <w:jc w:val="center"/>
              <w:rPr>
                <w:rFonts w:ascii="Arial" w:hAnsi="Arial" w:cs="Arial"/>
                <w:b/>
                <w:bCs/>
                <w:sz w:val="20"/>
                <w:szCs w:val="20"/>
              </w:rPr>
            </w:pPr>
            <w:r>
              <w:rPr>
                <w:rFonts w:ascii="Arial" w:hAnsi="Arial" w:cs="Arial"/>
                <w:sz w:val="20"/>
                <w:szCs w:val="20"/>
              </w:rPr>
              <w:t>177.4</w:t>
            </w:r>
          </w:p>
        </w:tc>
        <w:tc>
          <w:tcPr>
            <w:tcW w:w="1441" w:type="dxa"/>
            <w:tcBorders>
              <w:right w:val="single" w:color="auto" w:sz="12" w:space="0"/>
            </w:tcBorders>
            <w:shd w:val="clear" w:color="auto" w:fill="CCCCCC"/>
            <w:vAlign w:val="bottom"/>
          </w:tcPr>
          <w:p w:rsidR="003B0815" w:rsidRDefault="003B0815" w14:paraId="3E88CD11" w14:textId="77777777">
            <w:pPr>
              <w:keepNext/>
              <w:jc w:val="center"/>
              <w:rPr>
                <w:rFonts w:ascii="Arial" w:hAnsi="Arial"/>
                <w:sz w:val="20"/>
                <w:szCs w:val="20"/>
              </w:rPr>
            </w:pPr>
            <w:r>
              <w:rPr>
                <w:rFonts w:ascii="Arial" w:hAnsi="Arial" w:cs="Arial"/>
                <w:sz w:val="20"/>
                <w:szCs w:val="20"/>
              </w:rPr>
              <w:t>190.1</w:t>
            </w:r>
          </w:p>
        </w:tc>
      </w:tr>
      <w:tr w:rsidR="003B0815" w14:paraId="318F2747" w14:textId="77777777">
        <w:trPr>
          <w:jc w:val="center"/>
        </w:trPr>
        <w:tc>
          <w:tcPr>
            <w:tcW w:w="1063" w:type="dxa"/>
            <w:tcBorders>
              <w:left w:val="single" w:color="auto" w:sz="12" w:space="0"/>
            </w:tcBorders>
          </w:tcPr>
          <w:p w:rsidR="003B0815" w:rsidRDefault="003B0815" w14:paraId="44D62AC3" w14:textId="77777777">
            <w:pPr>
              <w:keepNext/>
              <w:jc w:val="center"/>
              <w:rPr>
                <w:rFonts w:ascii="Arial" w:hAnsi="Arial"/>
                <w:sz w:val="20"/>
                <w:szCs w:val="20"/>
              </w:rPr>
            </w:pPr>
            <w:r>
              <w:t>2010</w:t>
            </w:r>
          </w:p>
        </w:tc>
        <w:tc>
          <w:tcPr>
            <w:tcW w:w="1458" w:type="dxa"/>
            <w:shd w:val="clear" w:color="auto" w:fill="CCCCCC"/>
            <w:vAlign w:val="bottom"/>
          </w:tcPr>
          <w:p w:rsidR="003B0815" w:rsidRDefault="003B0815" w14:paraId="67335C2B" w14:textId="77777777">
            <w:pPr>
              <w:keepNext/>
              <w:jc w:val="center"/>
              <w:rPr>
                <w:rFonts w:ascii="Arial" w:hAnsi="Arial" w:cs="Arial"/>
                <w:b/>
                <w:bCs/>
                <w:sz w:val="20"/>
                <w:szCs w:val="20"/>
              </w:rPr>
            </w:pPr>
            <w:r>
              <w:rPr>
                <w:rFonts w:ascii="Arial" w:hAnsi="Arial" w:cs="Arial"/>
                <w:sz w:val="20"/>
                <w:szCs w:val="20"/>
              </w:rPr>
              <w:t>23.4</w:t>
            </w:r>
          </w:p>
        </w:tc>
        <w:tc>
          <w:tcPr>
            <w:tcW w:w="1440" w:type="dxa"/>
            <w:shd w:val="clear" w:color="auto" w:fill="CCCCCC"/>
            <w:vAlign w:val="bottom"/>
          </w:tcPr>
          <w:p w:rsidR="003B0815" w:rsidRDefault="003B0815" w14:paraId="3863DBF3" w14:textId="77777777">
            <w:pPr>
              <w:keepNext/>
              <w:jc w:val="center"/>
              <w:rPr>
                <w:rFonts w:ascii="Arial" w:hAnsi="Arial" w:cs="Arial"/>
                <w:b/>
                <w:bCs/>
                <w:sz w:val="20"/>
                <w:szCs w:val="20"/>
              </w:rPr>
            </w:pPr>
            <w:r>
              <w:rPr>
                <w:rFonts w:ascii="Arial" w:hAnsi="Arial" w:cs="Arial"/>
                <w:sz w:val="20"/>
                <w:szCs w:val="20"/>
              </w:rPr>
              <w:t>13.2</w:t>
            </w:r>
          </w:p>
        </w:tc>
        <w:tc>
          <w:tcPr>
            <w:tcW w:w="1441" w:type="dxa"/>
            <w:tcBorders>
              <w:right w:val="single" w:color="auto" w:sz="12" w:space="0"/>
            </w:tcBorders>
            <w:shd w:val="clear" w:color="auto" w:fill="CCCCCC"/>
            <w:vAlign w:val="bottom"/>
          </w:tcPr>
          <w:p w:rsidR="003B0815" w:rsidRDefault="003B0815" w14:paraId="69F9DC8E" w14:textId="77777777">
            <w:pPr>
              <w:keepNext/>
              <w:jc w:val="center"/>
              <w:rPr>
                <w:rFonts w:ascii="Arial" w:hAnsi="Arial"/>
                <w:sz w:val="20"/>
                <w:szCs w:val="20"/>
              </w:rPr>
            </w:pPr>
            <w:r>
              <w:rPr>
                <w:rFonts w:ascii="Arial" w:hAnsi="Arial" w:cs="Arial"/>
                <w:sz w:val="20"/>
                <w:szCs w:val="20"/>
              </w:rPr>
              <w:t>33.7</w:t>
            </w:r>
          </w:p>
        </w:tc>
      </w:tr>
      <w:tr w:rsidR="003B0815" w14:paraId="2B8D99A3" w14:textId="77777777">
        <w:trPr>
          <w:jc w:val="center"/>
        </w:trPr>
        <w:tc>
          <w:tcPr>
            <w:tcW w:w="1063" w:type="dxa"/>
            <w:tcBorders>
              <w:left w:val="single" w:color="auto" w:sz="12" w:space="0"/>
            </w:tcBorders>
          </w:tcPr>
          <w:p w:rsidR="003B0815" w:rsidRDefault="003B0815" w14:paraId="5BE293A7" w14:textId="77777777">
            <w:pPr>
              <w:keepNext/>
              <w:jc w:val="center"/>
              <w:rPr>
                <w:rFonts w:ascii="Arial" w:hAnsi="Arial"/>
                <w:sz w:val="20"/>
                <w:szCs w:val="20"/>
              </w:rPr>
            </w:pPr>
            <w:r>
              <w:t>2011</w:t>
            </w:r>
          </w:p>
        </w:tc>
        <w:tc>
          <w:tcPr>
            <w:tcW w:w="1458" w:type="dxa"/>
            <w:shd w:val="clear" w:color="auto" w:fill="CCCCCC"/>
            <w:vAlign w:val="bottom"/>
          </w:tcPr>
          <w:p w:rsidR="003B0815" w:rsidRDefault="003B0815" w14:paraId="1E4744BD" w14:textId="77777777">
            <w:pPr>
              <w:keepNext/>
              <w:jc w:val="center"/>
              <w:rPr>
                <w:rFonts w:ascii="Arial" w:hAnsi="Arial" w:cs="Arial"/>
                <w:b/>
                <w:bCs/>
                <w:sz w:val="20"/>
                <w:szCs w:val="20"/>
              </w:rPr>
            </w:pPr>
            <w:r>
              <w:rPr>
                <w:rFonts w:ascii="Arial" w:hAnsi="Arial" w:cs="Arial"/>
                <w:sz w:val="20"/>
                <w:szCs w:val="20"/>
              </w:rPr>
              <w:t>24.3</w:t>
            </w:r>
          </w:p>
        </w:tc>
        <w:tc>
          <w:tcPr>
            <w:tcW w:w="1440" w:type="dxa"/>
            <w:shd w:val="clear" w:color="auto" w:fill="CCCCCC"/>
            <w:vAlign w:val="bottom"/>
          </w:tcPr>
          <w:p w:rsidR="003B0815" w:rsidRDefault="003B0815" w14:paraId="2F24BCAF" w14:textId="77777777">
            <w:pPr>
              <w:keepNext/>
              <w:jc w:val="center"/>
              <w:rPr>
                <w:rFonts w:ascii="Arial" w:hAnsi="Arial" w:cs="Arial"/>
                <w:b/>
                <w:bCs/>
                <w:sz w:val="20"/>
                <w:szCs w:val="20"/>
              </w:rPr>
            </w:pPr>
            <w:r>
              <w:rPr>
                <w:rFonts w:ascii="Arial" w:hAnsi="Arial" w:cs="Arial"/>
                <w:sz w:val="20"/>
                <w:szCs w:val="20"/>
              </w:rPr>
              <w:t>13.6</w:t>
            </w:r>
          </w:p>
        </w:tc>
        <w:tc>
          <w:tcPr>
            <w:tcW w:w="1441" w:type="dxa"/>
            <w:tcBorders>
              <w:right w:val="single" w:color="auto" w:sz="12" w:space="0"/>
            </w:tcBorders>
            <w:shd w:val="clear" w:color="auto" w:fill="CCCCCC"/>
            <w:vAlign w:val="bottom"/>
          </w:tcPr>
          <w:p w:rsidR="003B0815" w:rsidRDefault="003B0815" w14:paraId="2F675DFE" w14:textId="77777777">
            <w:pPr>
              <w:keepNext/>
              <w:jc w:val="center"/>
              <w:rPr>
                <w:rFonts w:ascii="Arial" w:hAnsi="Arial"/>
                <w:sz w:val="20"/>
                <w:szCs w:val="20"/>
              </w:rPr>
            </w:pPr>
            <w:r>
              <w:rPr>
                <w:rFonts w:ascii="Arial" w:hAnsi="Arial" w:cs="Arial"/>
                <w:sz w:val="20"/>
                <w:szCs w:val="20"/>
              </w:rPr>
              <w:t>35.0</w:t>
            </w:r>
          </w:p>
        </w:tc>
      </w:tr>
      <w:tr w:rsidR="003B0815" w14:paraId="203FA08E" w14:textId="77777777">
        <w:trPr>
          <w:jc w:val="center"/>
        </w:trPr>
        <w:tc>
          <w:tcPr>
            <w:tcW w:w="1063" w:type="dxa"/>
            <w:tcBorders>
              <w:left w:val="single" w:color="auto" w:sz="12" w:space="0"/>
            </w:tcBorders>
          </w:tcPr>
          <w:p w:rsidR="003B0815" w:rsidRDefault="003B0815" w14:paraId="724BDD2D" w14:textId="77777777">
            <w:pPr>
              <w:keepNext/>
              <w:jc w:val="center"/>
              <w:rPr>
                <w:rFonts w:ascii="Arial" w:hAnsi="Arial"/>
                <w:sz w:val="20"/>
                <w:szCs w:val="20"/>
              </w:rPr>
            </w:pPr>
            <w:r>
              <w:t>2012</w:t>
            </w:r>
          </w:p>
        </w:tc>
        <w:tc>
          <w:tcPr>
            <w:tcW w:w="1458" w:type="dxa"/>
            <w:shd w:val="clear" w:color="auto" w:fill="CCCCCC"/>
            <w:vAlign w:val="bottom"/>
          </w:tcPr>
          <w:p w:rsidR="003B0815" w:rsidRDefault="003B0815" w14:paraId="6370F4D1" w14:textId="77777777">
            <w:pPr>
              <w:keepNext/>
              <w:jc w:val="center"/>
              <w:rPr>
                <w:rFonts w:ascii="Arial" w:hAnsi="Arial" w:cs="Arial"/>
                <w:b/>
                <w:bCs/>
                <w:sz w:val="20"/>
                <w:szCs w:val="20"/>
              </w:rPr>
            </w:pPr>
            <w:r>
              <w:rPr>
                <w:rFonts w:ascii="Arial" w:hAnsi="Arial" w:cs="Arial"/>
                <w:sz w:val="20"/>
                <w:szCs w:val="20"/>
              </w:rPr>
              <w:t>25.2</w:t>
            </w:r>
          </w:p>
        </w:tc>
        <w:tc>
          <w:tcPr>
            <w:tcW w:w="1440" w:type="dxa"/>
            <w:shd w:val="clear" w:color="auto" w:fill="CCCCCC"/>
            <w:vAlign w:val="bottom"/>
          </w:tcPr>
          <w:p w:rsidR="003B0815" w:rsidRDefault="003B0815" w14:paraId="7F6CDE4C" w14:textId="77777777">
            <w:pPr>
              <w:keepNext/>
              <w:jc w:val="center"/>
              <w:rPr>
                <w:rFonts w:ascii="Arial" w:hAnsi="Arial" w:cs="Arial"/>
                <w:b/>
                <w:bCs/>
                <w:sz w:val="20"/>
                <w:szCs w:val="20"/>
              </w:rPr>
            </w:pPr>
            <w:r>
              <w:rPr>
                <w:rFonts w:ascii="Arial" w:hAnsi="Arial" w:cs="Arial"/>
                <w:sz w:val="20"/>
                <w:szCs w:val="20"/>
              </w:rPr>
              <w:t>14.0</w:t>
            </w:r>
          </w:p>
        </w:tc>
        <w:tc>
          <w:tcPr>
            <w:tcW w:w="1441" w:type="dxa"/>
            <w:tcBorders>
              <w:right w:val="single" w:color="auto" w:sz="12" w:space="0"/>
            </w:tcBorders>
            <w:shd w:val="clear" w:color="auto" w:fill="CCCCCC"/>
            <w:vAlign w:val="bottom"/>
          </w:tcPr>
          <w:p w:rsidR="003B0815" w:rsidRDefault="003B0815" w14:paraId="0E990ACA" w14:textId="77777777">
            <w:pPr>
              <w:keepNext/>
              <w:jc w:val="center"/>
              <w:rPr>
                <w:rFonts w:ascii="Arial" w:hAnsi="Arial"/>
                <w:sz w:val="20"/>
                <w:szCs w:val="20"/>
              </w:rPr>
            </w:pPr>
            <w:r>
              <w:rPr>
                <w:rFonts w:ascii="Arial" w:hAnsi="Arial" w:cs="Arial"/>
                <w:sz w:val="20"/>
                <w:szCs w:val="20"/>
              </w:rPr>
              <w:t>36.3</w:t>
            </w:r>
          </w:p>
        </w:tc>
      </w:tr>
      <w:tr w:rsidR="003B0815" w14:paraId="09DBBF92" w14:textId="77777777">
        <w:trPr>
          <w:jc w:val="center"/>
        </w:trPr>
        <w:tc>
          <w:tcPr>
            <w:tcW w:w="1063" w:type="dxa"/>
            <w:tcBorders>
              <w:left w:val="single" w:color="auto" w:sz="12" w:space="0"/>
            </w:tcBorders>
          </w:tcPr>
          <w:p w:rsidR="003B0815" w:rsidRDefault="003B0815" w14:paraId="43FF31C4" w14:textId="77777777">
            <w:pPr>
              <w:keepNext/>
              <w:jc w:val="center"/>
              <w:rPr>
                <w:rFonts w:ascii="Arial" w:hAnsi="Arial"/>
                <w:sz w:val="20"/>
                <w:szCs w:val="20"/>
              </w:rPr>
            </w:pPr>
            <w:r>
              <w:t>2013</w:t>
            </w:r>
          </w:p>
        </w:tc>
        <w:tc>
          <w:tcPr>
            <w:tcW w:w="1458" w:type="dxa"/>
            <w:shd w:val="clear" w:color="auto" w:fill="CCCCCC"/>
            <w:vAlign w:val="bottom"/>
          </w:tcPr>
          <w:p w:rsidR="003B0815" w:rsidRDefault="003B0815" w14:paraId="3024FF4D" w14:textId="77777777">
            <w:pPr>
              <w:keepNext/>
              <w:jc w:val="center"/>
              <w:rPr>
                <w:rFonts w:ascii="Arial" w:hAnsi="Arial" w:cs="Arial"/>
                <w:b/>
                <w:bCs/>
                <w:sz w:val="20"/>
                <w:szCs w:val="20"/>
              </w:rPr>
            </w:pPr>
            <w:r>
              <w:rPr>
                <w:rFonts w:ascii="Arial" w:hAnsi="Arial" w:cs="Arial"/>
                <w:sz w:val="20"/>
                <w:szCs w:val="20"/>
              </w:rPr>
              <w:t>26.1</w:t>
            </w:r>
          </w:p>
        </w:tc>
        <w:tc>
          <w:tcPr>
            <w:tcW w:w="1440" w:type="dxa"/>
            <w:shd w:val="clear" w:color="auto" w:fill="CCCCCC"/>
            <w:vAlign w:val="bottom"/>
          </w:tcPr>
          <w:p w:rsidR="003B0815" w:rsidRDefault="003B0815" w14:paraId="1662F14F" w14:textId="77777777">
            <w:pPr>
              <w:keepNext/>
              <w:jc w:val="center"/>
              <w:rPr>
                <w:rFonts w:ascii="Arial" w:hAnsi="Arial" w:cs="Arial"/>
                <w:b/>
                <w:bCs/>
                <w:sz w:val="20"/>
                <w:szCs w:val="20"/>
              </w:rPr>
            </w:pPr>
            <w:r>
              <w:rPr>
                <w:rFonts w:ascii="Arial" w:hAnsi="Arial" w:cs="Arial"/>
                <w:sz w:val="20"/>
                <w:szCs w:val="20"/>
              </w:rPr>
              <w:t>14.4</w:t>
            </w:r>
          </w:p>
        </w:tc>
        <w:tc>
          <w:tcPr>
            <w:tcW w:w="1441" w:type="dxa"/>
            <w:tcBorders>
              <w:right w:val="single" w:color="auto" w:sz="12" w:space="0"/>
            </w:tcBorders>
            <w:shd w:val="clear" w:color="auto" w:fill="CCCCCC"/>
            <w:vAlign w:val="bottom"/>
          </w:tcPr>
          <w:p w:rsidR="003B0815" w:rsidRDefault="003B0815" w14:paraId="6CD03059" w14:textId="77777777">
            <w:pPr>
              <w:keepNext/>
              <w:jc w:val="center"/>
              <w:rPr>
                <w:rFonts w:ascii="Arial" w:hAnsi="Arial"/>
                <w:sz w:val="20"/>
                <w:szCs w:val="20"/>
              </w:rPr>
            </w:pPr>
            <w:r>
              <w:rPr>
                <w:rFonts w:ascii="Arial" w:hAnsi="Arial" w:cs="Arial"/>
                <w:sz w:val="20"/>
                <w:szCs w:val="20"/>
              </w:rPr>
              <w:t>37.7</w:t>
            </w:r>
          </w:p>
        </w:tc>
      </w:tr>
      <w:tr w:rsidR="003B0815" w14:paraId="5DD8BE46" w14:textId="77777777">
        <w:trPr>
          <w:jc w:val="center"/>
        </w:trPr>
        <w:tc>
          <w:tcPr>
            <w:tcW w:w="1063" w:type="dxa"/>
            <w:tcBorders>
              <w:left w:val="single" w:color="auto" w:sz="12" w:space="0"/>
            </w:tcBorders>
          </w:tcPr>
          <w:p w:rsidR="003B0815" w:rsidRDefault="003B0815" w14:paraId="4E50F39E" w14:textId="77777777">
            <w:pPr>
              <w:keepNext/>
              <w:jc w:val="center"/>
              <w:rPr>
                <w:rFonts w:ascii="Arial" w:hAnsi="Arial"/>
                <w:sz w:val="20"/>
                <w:szCs w:val="20"/>
              </w:rPr>
            </w:pPr>
            <w:r>
              <w:t>2014</w:t>
            </w:r>
          </w:p>
        </w:tc>
        <w:tc>
          <w:tcPr>
            <w:tcW w:w="1458" w:type="dxa"/>
            <w:shd w:val="clear" w:color="auto" w:fill="CCCCCC"/>
            <w:vAlign w:val="bottom"/>
          </w:tcPr>
          <w:p w:rsidR="003B0815" w:rsidRDefault="003B0815" w14:paraId="129EDB5A" w14:textId="77777777">
            <w:pPr>
              <w:keepNext/>
              <w:jc w:val="center"/>
              <w:rPr>
                <w:rFonts w:ascii="Arial" w:hAnsi="Arial" w:cs="Arial"/>
                <w:b/>
                <w:bCs/>
                <w:sz w:val="20"/>
                <w:szCs w:val="20"/>
              </w:rPr>
            </w:pPr>
            <w:r>
              <w:rPr>
                <w:rFonts w:ascii="Arial" w:hAnsi="Arial" w:cs="Arial"/>
                <w:sz w:val="20"/>
                <w:szCs w:val="20"/>
              </w:rPr>
              <w:t>27.0</w:t>
            </w:r>
          </w:p>
        </w:tc>
        <w:tc>
          <w:tcPr>
            <w:tcW w:w="1440" w:type="dxa"/>
            <w:shd w:val="clear" w:color="auto" w:fill="CCCCCC"/>
            <w:vAlign w:val="bottom"/>
          </w:tcPr>
          <w:p w:rsidR="003B0815" w:rsidRDefault="003B0815" w14:paraId="7351D532" w14:textId="77777777">
            <w:pPr>
              <w:keepNext/>
              <w:jc w:val="center"/>
              <w:rPr>
                <w:rFonts w:ascii="Arial" w:hAnsi="Arial" w:cs="Arial"/>
                <w:b/>
                <w:bCs/>
                <w:sz w:val="20"/>
                <w:szCs w:val="20"/>
              </w:rPr>
            </w:pPr>
            <w:r>
              <w:rPr>
                <w:rFonts w:ascii="Arial" w:hAnsi="Arial" w:cs="Arial"/>
                <w:sz w:val="20"/>
                <w:szCs w:val="20"/>
              </w:rPr>
              <w:t>14.9</w:t>
            </w:r>
          </w:p>
        </w:tc>
        <w:tc>
          <w:tcPr>
            <w:tcW w:w="1441" w:type="dxa"/>
            <w:tcBorders>
              <w:right w:val="single" w:color="auto" w:sz="12" w:space="0"/>
            </w:tcBorders>
            <w:shd w:val="clear" w:color="auto" w:fill="CCCCCC"/>
            <w:vAlign w:val="bottom"/>
          </w:tcPr>
          <w:p w:rsidR="003B0815" w:rsidRDefault="003B0815" w14:paraId="256CE6A3" w14:textId="77777777">
            <w:pPr>
              <w:keepNext/>
              <w:jc w:val="center"/>
              <w:rPr>
                <w:rFonts w:ascii="Arial" w:hAnsi="Arial"/>
                <w:sz w:val="20"/>
                <w:szCs w:val="20"/>
              </w:rPr>
            </w:pPr>
            <w:r>
              <w:rPr>
                <w:rFonts w:ascii="Arial" w:hAnsi="Arial" w:cs="Arial"/>
                <w:sz w:val="20"/>
                <w:szCs w:val="20"/>
              </w:rPr>
              <w:t>39.2</w:t>
            </w:r>
          </w:p>
        </w:tc>
      </w:tr>
      <w:tr w:rsidR="003B0815" w14:paraId="5FA40768" w14:textId="77777777">
        <w:trPr>
          <w:jc w:val="center"/>
        </w:trPr>
        <w:tc>
          <w:tcPr>
            <w:tcW w:w="1063" w:type="dxa"/>
            <w:tcBorders>
              <w:left w:val="single" w:color="auto" w:sz="12" w:space="0"/>
            </w:tcBorders>
          </w:tcPr>
          <w:p w:rsidR="003B0815" w:rsidRDefault="003B0815" w14:paraId="5F087312" w14:textId="77777777">
            <w:pPr>
              <w:keepNext/>
              <w:jc w:val="center"/>
              <w:rPr>
                <w:rFonts w:ascii="Arial" w:hAnsi="Arial"/>
                <w:sz w:val="20"/>
                <w:szCs w:val="20"/>
              </w:rPr>
            </w:pPr>
            <w:r>
              <w:t>2015</w:t>
            </w:r>
          </w:p>
        </w:tc>
        <w:tc>
          <w:tcPr>
            <w:tcW w:w="1458" w:type="dxa"/>
            <w:shd w:val="clear" w:color="auto" w:fill="CCCCCC"/>
            <w:vAlign w:val="bottom"/>
          </w:tcPr>
          <w:p w:rsidR="003B0815" w:rsidRDefault="003B0815" w14:paraId="62336C1A" w14:textId="77777777">
            <w:pPr>
              <w:keepNext/>
              <w:jc w:val="center"/>
              <w:rPr>
                <w:rFonts w:ascii="Arial" w:hAnsi="Arial" w:cs="Arial"/>
                <w:b/>
                <w:bCs/>
                <w:sz w:val="20"/>
                <w:szCs w:val="20"/>
              </w:rPr>
            </w:pPr>
            <w:r>
              <w:rPr>
                <w:rFonts w:ascii="Arial" w:hAnsi="Arial" w:cs="Arial"/>
                <w:sz w:val="20"/>
                <w:szCs w:val="20"/>
              </w:rPr>
              <w:t>28.1</w:t>
            </w:r>
          </w:p>
        </w:tc>
        <w:tc>
          <w:tcPr>
            <w:tcW w:w="1440" w:type="dxa"/>
            <w:shd w:val="clear" w:color="auto" w:fill="CCCCCC"/>
            <w:vAlign w:val="bottom"/>
          </w:tcPr>
          <w:p w:rsidR="003B0815" w:rsidRDefault="003B0815" w14:paraId="69C7173B" w14:textId="77777777">
            <w:pPr>
              <w:keepNext/>
              <w:jc w:val="center"/>
              <w:rPr>
                <w:rFonts w:ascii="Arial" w:hAnsi="Arial" w:cs="Arial"/>
                <w:b/>
                <w:bCs/>
                <w:sz w:val="20"/>
                <w:szCs w:val="20"/>
              </w:rPr>
            </w:pPr>
            <w:r>
              <w:rPr>
                <w:rFonts w:ascii="Arial" w:hAnsi="Arial" w:cs="Arial"/>
                <w:sz w:val="20"/>
                <w:szCs w:val="20"/>
              </w:rPr>
              <w:t>15.3</w:t>
            </w:r>
          </w:p>
        </w:tc>
        <w:tc>
          <w:tcPr>
            <w:tcW w:w="1441" w:type="dxa"/>
            <w:tcBorders>
              <w:right w:val="single" w:color="auto" w:sz="12" w:space="0"/>
            </w:tcBorders>
            <w:shd w:val="clear" w:color="auto" w:fill="CCCCCC"/>
            <w:vAlign w:val="bottom"/>
          </w:tcPr>
          <w:p w:rsidR="003B0815" w:rsidRDefault="003B0815" w14:paraId="15D320F5" w14:textId="77777777">
            <w:pPr>
              <w:keepNext/>
              <w:jc w:val="center"/>
              <w:rPr>
                <w:rFonts w:ascii="Arial" w:hAnsi="Arial"/>
                <w:sz w:val="20"/>
                <w:szCs w:val="20"/>
              </w:rPr>
            </w:pPr>
            <w:r>
              <w:rPr>
                <w:rFonts w:ascii="Arial" w:hAnsi="Arial" w:cs="Arial"/>
                <w:sz w:val="20"/>
                <w:szCs w:val="20"/>
              </w:rPr>
              <w:t>40.8</w:t>
            </w:r>
          </w:p>
        </w:tc>
      </w:tr>
      <w:tr w:rsidR="003B0815" w14:paraId="222545B7" w14:textId="77777777">
        <w:trPr>
          <w:jc w:val="center"/>
        </w:trPr>
        <w:tc>
          <w:tcPr>
            <w:tcW w:w="1063" w:type="dxa"/>
            <w:tcBorders>
              <w:left w:val="single" w:color="auto" w:sz="12" w:space="0"/>
            </w:tcBorders>
          </w:tcPr>
          <w:p w:rsidR="003B0815" w:rsidRDefault="003B0815" w14:paraId="32BD07A9" w14:textId="77777777">
            <w:pPr>
              <w:keepNext/>
              <w:jc w:val="center"/>
              <w:rPr>
                <w:rFonts w:ascii="Arial" w:hAnsi="Arial"/>
                <w:sz w:val="20"/>
                <w:szCs w:val="20"/>
              </w:rPr>
            </w:pPr>
            <w:r>
              <w:t>2016</w:t>
            </w:r>
          </w:p>
        </w:tc>
        <w:tc>
          <w:tcPr>
            <w:tcW w:w="1458" w:type="dxa"/>
            <w:shd w:val="clear" w:color="auto" w:fill="CCCCCC"/>
            <w:vAlign w:val="bottom"/>
          </w:tcPr>
          <w:p w:rsidR="003B0815" w:rsidRDefault="003B0815" w14:paraId="18DBA0EF" w14:textId="77777777">
            <w:pPr>
              <w:keepNext/>
              <w:jc w:val="center"/>
              <w:rPr>
                <w:rFonts w:ascii="Arial" w:hAnsi="Arial" w:cs="Arial"/>
                <w:b/>
                <w:bCs/>
                <w:sz w:val="20"/>
                <w:szCs w:val="20"/>
              </w:rPr>
            </w:pPr>
            <w:r>
              <w:rPr>
                <w:rFonts w:ascii="Arial" w:hAnsi="Arial" w:cs="Arial"/>
                <w:sz w:val="20"/>
                <w:szCs w:val="20"/>
              </w:rPr>
              <w:t>29.1</w:t>
            </w:r>
          </w:p>
        </w:tc>
        <w:tc>
          <w:tcPr>
            <w:tcW w:w="1440" w:type="dxa"/>
            <w:shd w:val="clear" w:color="auto" w:fill="CCCCCC"/>
            <w:vAlign w:val="bottom"/>
          </w:tcPr>
          <w:p w:rsidR="003B0815" w:rsidRDefault="003B0815" w14:paraId="3CB9AFB1" w14:textId="77777777">
            <w:pPr>
              <w:keepNext/>
              <w:jc w:val="center"/>
              <w:rPr>
                <w:rFonts w:ascii="Arial" w:hAnsi="Arial" w:cs="Arial"/>
                <w:b/>
                <w:bCs/>
                <w:sz w:val="20"/>
                <w:szCs w:val="20"/>
              </w:rPr>
            </w:pPr>
            <w:r>
              <w:rPr>
                <w:rFonts w:ascii="Arial" w:hAnsi="Arial" w:cs="Arial"/>
                <w:sz w:val="20"/>
                <w:szCs w:val="20"/>
              </w:rPr>
              <w:t>15.8</w:t>
            </w:r>
          </w:p>
        </w:tc>
        <w:tc>
          <w:tcPr>
            <w:tcW w:w="1441" w:type="dxa"/>
            <w:tcBorders>
              <w:right w:val="single" w:color="auto" w:sz="12" w:space="0"/>
            </w:tcBorders>
            <w:shd w:val="clear" w:color="auto" w:fill="CCCCCC"/>
            <w:vAlign w:val="bottom"/>
          </w:tcPr>
          <w:p w:rsidR="003B0815" w:rsidRDefault="003B0815" w14:paraId="3A95DBFD" w14:textId="77777777">
            <w:pPr>
              <w:keepNext/>
              <w:jc w:val="center"/>
              <w:rPr>
                <w:rFonts w:ascii="Arial" w:hAnsi="Arial"/>
                <w:sz w:val="20"/>
                <w:szCs w:val="20"/>
              </w:rPr>
            </w:pPr>
            <w:r>
              <w:rPr>
                <w:rFonts w:ascii="Arial" w:hAnsi="Arial" w:cs="Arial"/>
                <w:sz w:val="20"/>
                <w:szCs w:val="20"/>
              </w:rPr>
              <w:t>42.5</w:t>
            </w:r>
          </w:p>
        </w:tc>
      </w:tr>
      <w:tr w:rsidR="003B0815" w14:paraId="2BAD1709" w14:textId="77777777">
        <w:trPr>
          <w:jc w:val="center"/>
        </w:trPr>
        <w:tc>
          <w:tcPr>
            <w:tcW w:w="1063" w:type="dxa"/>
            <w:tcBorders>
              <w:left w:val="single" w:color="auto" w:sz="12" w:space="0"/>
              <w:bottom w:val="single" w:color="auto" w:sz="4" w:space="0"/>
            </w:tcBorders>
          </w:tcPr>
          <w:p w:rsidR="003B0815" w:rsidRDefault="003B0815" w14:paraId="0AF037EE" w14:textId="77777777">
            <w:pPr>
              <w:keepNext/>
              <w:jc w:val="center"/>
              <w:rPr>
                <w:rFonts w:ascii="Arial" w:hAnsi="Arial"/>
                <w:sz w:val="20"/>
                <w:szCs w:val="20"/>
              </w:rPr>
            </w:pPr>
            <w:r>
              <w:t>2017</w:t>
            </w:r>
          </w:p>
        </w:tc>
        <w:tc>
          <w:tcPr>
            <w:tcW w:w="1458" w:type="dxa"/>
            <w:tcBorders>
              <w:bottom w:val="single" w:color="auto" w:sz="4" w:space="0"/>
            </w:tcBorders>
            <w:shd w:val="clear" w:color="auto" w:fill="CCCCCC"/>
            <w:vAlign w:val="bottom"/>
          </w:tcPr>
          <w:p w:rsidR="003B0815" w:rsidRDefault="003B0815" w14:paraId="3C9E4CA6" w14:textId="77777777">
            <w:pPr>
              <w:keepNext/>
              <w:jc w:val="center"/>
              <w:rPr>
                <w:rFonts w:ascii="Arial" w:hAnsi="Arial" w:cs="Arial"/>
                <w:b/>
                <w:bCs/>
                <w:sz w:val="20"/>
                <w:szCs w:val="20"/>
              </w:rPr>
            </w:pPr>
            <w:r>
              <w:rPr>
                <w:rFonts w:ascii="Arial" w:hAnsi="Arial" w:cs="Arial"/>
                <w:sz w:val="20"/>
                <w:szCs w:val="20"/>
              </w:rPr>
              <w:t>$30.2</w:t>
            </w:r>
          </w:p>
        </w:tc>
        <w:tc>
          <w:tcPr>
            <w:tcW w:w="1440" w:type="dxa"/>
            <w:tcBorders>
              <w:bottom w:val="single" w:color="auto" w:sz="4" w:space="0"/>
            </w:tcBorders>
            <w:shd w:val="clear" w:color="auto" w:fill="CCCCCC"/>
            <w:vAlign w:val="bottom"/>
          </w:tcPr>
          <w:p w:rsidR="003B0815" w:rsidRDefault="003B0815" w14:paraId="1FEF5612" w14:textId="77777777">
            <w:pPr>
              <w:keepNext/>
              <w:jc w:val="center"/>
              <w:rPr>
                <w:rFonts w:ascii="Arial" w:hAnsi="Arial" w:cs="Arial"/>
                <w:b/>
                <w:bCs/>
                <w:sz w:val="20"/>
                <w:szCs w:val="20"/>
              </w:rPr>
            </w:pPr>
            <w:r>
              <w:rPr>
                <w:rFonts w:ascii="Arial" w:hAnsi="Arial" w:cs="Arial"/>
                <w:sz w:val="20"/>
                <w:szCs w:val="20"/>
              </w:rPr>
              <w:t>$16.3</w:t>
            </w:r>
          </w:p>
        </w:tc>
        <w:tc>
          <w:tcPr>
            <w:tcW w:w="1441" w:type="dxa"/>
            <w:tcBorders>
              <w:bottom w:val="single" w:color="auto" w:sz="4" w:space="0"/>
              <w:right w:val="single" w:color="auto" w:sz="12" w:space="0"/>
            </w:tcBorders>
            <w:shd w:val="clear" w:color="auto" w:fill="CCCCCC"/>
            <w:vAlign w:val="bottom"/>
          </w:tcPr>
          <w:p w:rsidR="003B0815" w:rsidRDefault="003B0815" w14:paraId="3BC5BB3E" w14:textId="77777777">
            <w:pPr>
              <w:keepNext/>
              <w:jc w:val="center"/>
              <w:rPr>
                <w:rFonts w:ascii="Arial" w:hAnsi="Arial"/>
                <w:sz w:val="20"/>
                <w:szCs w:val="20"/>
              </w:rPr>
            </w:pPr>
            <w:r>
              <w:rPr>
                <w:rFonts w:ascii="Arial" w:hAnsi="Arial" w:cs="Arial"/>
                <w:sz w:val="20"/>
                <w:szCs w:val="20"/>
              </w:rPr>
              <w:t>$44.2</w:t>
            </w:r>
          </w:p>
        </w:tc>
      </w:tr>
      <w:tr w:rsidR="003B0815" w14:paraId="0897FC86" w14:textId="77777777">
        <w:trPr>
          <w:jc w:val="center"/>
        </w:trPr>
        <w:tc>
          <w:tcPr>
            <w:tcW w:w="1063" w:type="dxa"/>
            <w:tcBorders>
              <w:left w:val="single" w:color="auto" w:sz="12" w:space="0"/>
              <w:bottom w:val="single" w:color="auto" w:sz="12" w:space="0"/>
              <w:right w:val="nil"/>
            </w:tcBorders>
            <w:vAlign w:val="bottom"/>
          </w:tcPr>
          <w:p w:rsidR="003B0815" w:rsidRDefault="003B0815" w14:paraId="2A59821F" w14:textId="77777777">
            <w:pPr>
              <w:jc w:val="center"/>
              <w:rPr>
                <w:rFonts w:ascii="Arial" w:hAnsi="Arial"/>
                <w:b/>
                <w:sz w:val="20"/>
                <w:szCs w:val="20"/>
              </w:rPr>
            </w:pPr>
            <w:r>
              <w:rPr>
                <w:rFonts w:ascii="Arial" w:hAnsi="Arial"/>
                <w:b/>
                <w:sz w:val="20"/>
                <w:szCs w:val="20"/>
              </w:rPr>
              <w:t>Total</w:t>
            </w:r>
          </w:p>
        </w:tc>
        <w:tc>
          <w:tcPr>
            <w:tcW w:w="1458" w:type="dxa"/>
            <w:tcBorders>
              <w:left w:val="nil"/>
              <w:bottom w:val="single" w:color="auto" w:sz="12" w:space="0"/>
              <w:right w:val="nil"/>
            </w:tcBorders>
            <w:vAlign w:val="bottom"/>
          </w:tcPr>
          <w:p w:rsidR="003B0815" w:rsidRDefault="003B0815" w14:paraId="46E1AE89" w14:textId="77777777">
            <w:pPr>
              <w:jc w:val="center"/>
              <w:rPr>
                <w:rFonts w:ascii="Arial" w:hAnsi="Arial" w:cs="Arial"/>
                <w:b/>
                <w:bCs/>
                <w:sz w:val="20"/>
                <w:szCs w:val="20"/>
              </w:rPr>
            </w:pPr>
            <w:r>
              <w:rPr>
                <w:rFonts w:ascii="Arial" w:hAnsi="Arial" w:cs="Arial"/>
                <w:b/>
                <w:bCs/>
                <w:sz w:val="20"/>
                <w:szCs w:val="20"/>
              </w:rPr>
              <w:t>$498.8</w:t>
            </w:r>
          </w:p>
        </w:tc>
        <w:tc>
          <w:tcPr>
            <w:tcW w:w="1440" w:type="dxa"/>
            <w:tcBorders>
              <w:left w:val="nil"/>
              <w:bottom w:val="single" w:color="auto" w:sz="12" w:space="0"/>
              <w:right w:val="nil"/>
            </w:tcBorders>
            <w:vAlign w:val="bottom"/>
          </w:tcPr>
          <w:p w:rsidR="003B0815" w:rsidRDefault="003B0815" w14:paraId="5AF19E5A" w14:textId="77777777">
            <w:pPr>
              <w:jc w:val="center"/>
              <w:rPr>
                <w:rFonts w:ascii="Arial" w:hAnsi="Arial" w:cs="Arial"/>
                <w:b/>
                <w:bCs/>
                <w:sz w:val="20"/>
                <w:szCs w:val="20"/>
              </w:rPr>
            </w:pPr>
            <w:r>
              <w:rPr>
                <w:rFonts w:ascii="Arial" w:hAnsi="Arial" w:cs="Arial"/>
                <w:b/>
                <w:bCs/>
                <w:sz w:val="20"/>
                <w:szCs w:val="20"/>
              </w:rPr>
              <w:t>$362.4</w:t>
            </w:r>
          </w:p>
        </w:tc>
        <w:tc>
          <w:tcPr>
            <w:tcW w:w="1441" w:type="dxa"/>
            <w:tcBorders>
              <w:left w:val="nil"/>
              <w:bottom w:val="single" w:color="auto" w:sz="12" w:space="0"/>
              <w:right w:val="single" w:color="auto" w:sz="12" w:space="0"/>
            </w:tcBorders>
            <w:vAlign w:val="bottom"/>
          </w:tcPr>
          <w:p w:rsidR="003B0815" w:rsidRDefault="003B0815" w14:paraId="0254C1B5" w14:textId="77777777">
            <w:pPr>
              <w:jc w:val="center"/>
              <w:rPr>
                <w:rFonts w:ascii="Arial" w:hAnsi="Arial"/>
                <w:b/>
                <w:sz w:val="20"/>
                <w:szCs w:val="20"/>
              </w:rPr>
            </w:pPr>
            <w:r>
              <w:rPr>
                <w:rFonts w:ascii="Arial" w:hAnsi="Arial" w:cs="Arial"/>
                <w:b/>
                <w:bCs/>
                <w:sz w:val="20"/>
                <w:szCs w:val="20"/>
              </w:rPr>
              <w:t>$635.1</w:t>
            </w:r>
          </w:p>
        </w:tc>
      </w:tr>
    </w:tbl>
    <w:p w:rsidR="003B0815" w:rsidRDefault="003B0815" w14:paraId="49BF43E6" w14:textId="77777777">
      <w:pPr>
        <w:spacing w:line="360" w:lineRule="auto"/>
        <w:ind w:firstLine="720"/>
      </w:pPr>
    </w:p>
    <w:p w:rsidR="003B0815" w:rsidRDefault="003B0815" w14:paraId="499CA743" w14:textId="77777777">
      <w:pPr>
        <w:spacing w:line="360" w:lineRule="auto"/>
        <w:ind w:firstLine="720"/>
      </w:pPr>
      <w:r>
        <w:t xml:space="preserve">TSA requires airlines to print a separate code on boarding passes for the purpose of enabling security personnel to authenticate boarding passes at the checkpoint.  TSA provides this code to covered aircraft operators when returning the gate or boarding pass printing instruction for a passenger.  As proposed in the NPRM, this code will be printed separately from any other code on the boarding pass.  TSA was unable to find data on the cost this requirement might impose upon covered airlines.  </w:t>
      </w:r>
    </w:p>
    <w:p w:rsidR="003B0815" w:rsidRDefault="003B0815" w14:paraId="19C9824B" w14:textId="77777777">
      <w:pPr>
        <w:pStyle w:val="RegEvalSectionSubheader"/>
        <w:keepNext/>
        <w:spacing w:line="360" w:lineRule="auto"/>
      </w:pPr>
      <w:bookmarkStart w:name="_Toc111627385" w:id="277"/>
      <w:bookmarkStart w:name="_Toc114566436" w:id="278"/>
      <w:bookmarkStart w:name="_Toc141001090" w:id="279"/>
      <w:bookmarkStart w:name="_Toc141000919" w:id="280"/>
      <w:bookmarkStart w:name="_Toc165278445" w:id="281"/>
      <w:bookmarkStart w:name="_Toc202683395" w:id="282"/>
      <w:r>
        <w:t>1.6.3 Airline Data Collection Costs</w:t>
      </w:r>
      <w:bookmarkEnd w:id="277"/>
      <w:bookmarkEnd w:id="278"/>
      <w:bookmarkEnd w:id="279"/>
      <w:bookmarkEnd w:id="280"/>
      <w:bookmarkEnd w:id="281"/>
      <w:bookmarkEnd w:id="282"/>
    </w:p>
    <w:p w:rsidR="003B0815" w:rsidRDefault="003B0815" w14:paraId="62983FA0" w14:textId="77777777">
      <w:pPr>
        <w:spacing w:line="360" w:lineRule="auto"/>
        <w:ind w:firstLine="720"/>
      </w:pPr>
      <w:r>
        <w:t xml:space="preserve">Under the rule, airline passenger reservation agents are required to collect additional passenger information at the time of reservation. Due to differences in population, TSA has broken the estimate into two larger categories, domestic passengers and international passengers. </w:t>
      </w:r>
    </w:p>
    <w:p w:rsidR="003B0815" w:rsidRDefault="003B0815" w14:paraId="05CDC8CD" w14:textId="77777777">
      <w:pPr>
        <w:spacing w:line="360" w:lineRule="auto"/>
        <w:ind w:firstLine="720"/>
      </w:pPr>
      <w:r>
        <w:t xml:space="preserve">Additionally, airline ticket counter agents are required to request additional information for those passengers who will be initially inhibited from receiving a boarding pass.  TSA has estimated the costs for collecting information at the time of reservation for both domestic and international flights, as discussed below.  TSA did not have information on the use of profiles within the air travel industry and thus applied the incremental time cost to all reservations.  </w:t>
      </w:r>
    </w:p>
    <w:p w:rsidR="003B0815" w:rsidRDefault="003B0815" w14:paraId="429D149F" w14:textId="77777777">
      <w:pPr>
        <w:keepNext/>
        <w:spacing w:line="360" w:lineRule="auto"/>
        <w:rPr>
          <w:b/>
        </w:rPr>
      </w:pPr>
      <w:r>
        <w:rPr>
          <w:b/>
        </w:rPr>
        <w:t>Domestic passengers</w:t>
      </w:r>
    </w:p>
    <w:p w:rsidR="003B0815" w:rsidRDefault="003B0815" w14:paraId="1F2D01CA" w14:textId="77777777">
      <w:pPr>
        <w:spacing w:line="360" w:lineRule="auto"/>
        <w:ind w:firstLine="720"/>
      </w:pPr>
      <w:r>
        <w:t>The primary impact on covered carriers resulting from collection of additional passenger information is the additional time requirements for their reservation agents.  Airlines accept reservations by telephone via their reservation call centers.  As discussed in Section 1.4.2, TSA estimated in its primary scenario that reservation agents need an average of an additional 25 seconds to collect full name, date of birth, gender, and Redress Number.  The costs associated with collecting this information are incurred for all reservations.</w:t>
      </w:r>
    </w:p>
    <w:p w:rsidR="003B0815" w:rsidRDefault="003B0815" w14:paraId="1CAA56AF" w14:textId="77777777">
      <w:pPr>
        <w:spacing w:line="360" w:lineRule="auto"/>
        <w:ind w:firstLine="720"/>
      </w:pPr>
      <w:r>
        <w:t>Twenty seconds of incremental time represents an additional 323,000 hours in the first year of implementation for airline call centers.  This estimate was calculated by multiplying the share of reservations attributable to airline call centers from Table 1.4.2.b by the 25 seconds of incremental time (58,100,000 reservations x 25 seconds = 1,452,500,000 seconds, or, 403,000 hours).  Using the Bureau of Labor Statistics fully loaded wage rate of $20.89 for ticket reservation agents, TSA estimated the cost of data collection at $8.4 million in the first year of implementation of Secure Flight (403,000 x $20.89).  Table 1.6.3.a shows the 10-year cost of collection for ticket reservation agents at airline reservation call centers, for the primary, low and high scenarios.</w:t>
      </w:r>
      <w:bookmarkStart w:name="_Toc111627386" w:id="283"/>
      <w:r>
        <w:t xml:space="preserve"> </w:t>
      </w:r>
      <w:bookmarkStart w:name="_Toc139943615" w:id="284"/>
      <w:bookmarkStart w:name="_Toc141001125" w:id="285"/>
      <w:bookmarkEnd w:id="283"/>
    </w:p>
    <w:tbl>
      <w:tblP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20"/>
        <w:gridCol w:w="1440"/>
        <w:gridCol w:w="1142"/>
        <w:gridCol w:w="1080"/>
        <w:gridCol w:w="1080"/>
        <w:gridCol w:w="900"/>
        <w:gridCol w:w="1049"/>
        <w:gridCol w:w="1080"/>
        <w:gridCol w:w="1065"/>
      </w:tblGrid>
      <w:tr w:rsidR="003B0815" w14:paraId="311FEF68" w14:textId="77777777">
        <w:trPr>
          <w:jc w:val="center"/>
        </w:trPr>
        <w:tc>
          <w:tcPr>
            <w:tcW w:w="9556" w:type="dxa"/>
            <w:gridSpan w:val="9"/>
            <w:tcBorders>
              <w:top w:val="nil"/>
              <w:left w:val="nil"/>
              <w:bottom w:val="single" w:color="auto" w:sz="12" w:space="0"/>
              <w:right w:val="nil"/>
            </w:tcBorders>
            <w:vAlign w:val="center"/>
          </w:tcPr>
          <w:p w:rsidR="003B0815" w:rsidRDefault="003B0815" w14:paraId="4DCC492C" w14:textId="77777777">
            <w:pPr>
              <w:pStyle w:val="RegEvalTableHeader"/>
              <w:keepNext/>
            </w:pPr>
            <w:bookmarkStart w:name="_Toc141000956" w:id="286"/>
            <w:bookmarkStart w:name="_Toc165278386" w:id="287"/>
            <w:bookmarkStart w:name="_Toc174438388" w:id="288"/>
            <w:bookmarkStart w:name="_Toc207109523" w:id="289"/>
            <w:r>
              <w:t>Table 1.6.3.a Cost of Data Collection for Airline Reservation Call Centers</w:t>
            </w:r>
            <w:bookmarkEnd w:id="284"/>
            <w:bookmarkEnd w:id="285"/>
            <w:bookmarkEnd w:id="286"/>
            <w:r>
              <w:t>, Domestic Passengers</w:t>
            </w:r>
            <w:bookmarkEnd w:id="287"/>
            <w:bookmarkEnd w:id="288"/>
            <w:bookmarkEnd w:id="289"/>
          </w:p>
        </w:tc>
      </w:tr>
      <w:tr w:rsidR="003B0815" w14:paraId="4A30FD11" w14:textId="77777777">
        <w:trPr>
          <w:jc w:val="center"/>
        </w:trPr>
        <w:tc>
          <w:tcPr>
            <w:tcW w:w="720" w:type="dxa"/>
            <w:tcBorders>
              <w:top w:val="single" w:color="auto" w:sz="12" w:space="0"/>
              <w:left w:val="single" w:color="auto" w:sz="12" w:space="0"/>
            </w:tcBorders>
            <w:vAlign w:val="center"/>
          </w:tcPr>
          <w:p w:rsidR="003B0815" w:rsidRDefault="003B0815" w14:paraId="31303B21" w14:textId="77777777">
            <w:pPr>
              <w:keepNext/>
              <w:jc w:val="center"/>
              <w:rPr>
                <w:rFonts w:ascii="Arial" w:hAnsi="Arial"/>
                <w:b/>
                <w:sz w:val="20"/>
                <w:szCs w:val="20"/>
              </w:rPr>
            </w:pPr>
            <w:r>
              <w:rPr>
                <w:rFonts w:ascii="Arial" w:hAnsi="Arial" w:cs="Arial"/>
                <w:b/>
                <w:bCs/>
                <w:sz w:val="20"/>
                <w:szCs w:val="20"/>
              </w:rPr>
              <w:t>Fiscal Year</w:t>
            </w:r>
          </w:p>
        </w:tc>
        <w:tc>
          <w:tcPr>
            <w:tcW w:w="1440" w:type="dxa"/>
            <w:tcBorders>
              <w:top w:val="single" w:color="auto" w:sz="12" w:space="0"/>
            </w:tcBorders>
            <w:vAlign w:val="center"/>
          </w:tcPr>
          <w:p w:rsidR="003B0815" w:rsidRDefault="003B0815" w14:paraId="22592C5E" w14:textId="77777777">
            <w:pPr>
              <w:keepNext/>
              <w:jc w:val="center"/>
              <w:rPr>
                <w:rFonts w:ascii="Arial" w:hAnsi="Arial" w:cs="Arial"/>
                <w:b/>
                <w:bCs/>
                <w:sz w:val="20"/>
                <w:szCs w:val="20"/>
              </w:rPr>
            </w:pPr>
            <w:smartTag w:uri="urn:schemas-microsoft-com:office:smarttags" w:element="place">
              <w:smartTag w:uri="urn:schemas-microsoft-com:office:smarttags" w:element="PlaceName">
                <w:r>
                  <w:rPr>
                    <w:rFonts w:ascii="Arial" w:hAnsi="Arial" w:cs="Arial"/>
                    <w:b/>
                    <w:bCs/>
                    <w:sz w:val="20"/>
                    <w:szCs w:val="20"/>
                  </w:rPr>
                  <w:t>Airline</w:t>
                </w:r>
              </w:smartTag>
              <w:r>
                <w:rPr>
                  <w:rFonts w:ascii="Arial" w:hAnsi="Arial" w:cs="Arial"/>
                  <w:b/>
                  <w:bCs/>
                  <w:sz w:val="20"/>
                  <w:szCs w:val="20"/>
                </w:rPr>
                <w:t xml:space="preserve"> </w:t>
              </w:r>
              <w:smartTag w:uri="urn:schemas-microsoft-com:office:smarttags" w:element="PlaceName">
                <w:r>
                  <w:rPr>
                    <w:rFonts w:ascii="Arial" w:hAnsi="Arial" w:cs="Arial"/>
                    <w:b/>
                    <w:bCs/>
                    <w:sz w:val="20"/>
                    <w:szCs w:val="20"/>
                  </w:rPr>
                  <w:t>Call</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Center</w:t>
                </w:r>
              </w:smartTag>
            </w:smartTag>
            <w:r>
              <w:rPr>
                <w:rFonts w:ascii="Arial" w:hAnsi="Arial" w:cs="Arial"/>
                <w:b/>
                <w:bCs/>
                <w:sz w:val="20"/>
                <w:szCs w:val="20"/>
              </w:rPr>
              <w:t xml:space="preserve"> Reservations</w:t>
            </w:r>
          </w:p>
          <w:p w:rsidR="003B0815" w:rsidRDefault="003B0815" w14:paraId="5207E1A6" w14:textId="77777777">
            <w:pPr>
              <w:keepNext/>
              <w:jc w:val="center"/>
              <w:rPr>
                <w:rFonts w:ascii="Arial" w:hAnsi="Arial"/>
                <w:b/>
                <w:sz w:val="20"/>
                <w:szCs w:val="20"/>
              </w:rPr>
            </w:pPr>
            <w:r>
              <w:rPr>
                <w:rFonts w:ascii="Arial" w:hAnsi="Arial" w:cs="Arial"/>
                <w:b/>
                <w:bCs/>
                <w:sz w:val="20"/>
                <w:szCs w:val="20"/>
              </w:rPr>
              <w:t>(millions)</w:t>
            </w:r>
          </w:p>
        </w:tc>
        <w:tc>
          <w:tcPr>
            <w:tcW w:w="1142" w:type="dxa"/>
            <w:tcBorders>
              <w:top w:val="single" w:color="auto" w:sz="12" w:space="0"/>
            </w:tcBorders>
            <w:vAlign w:val="center"/>
          </w:tcPr>
          <w:p w:rsidR="003B0815" w:rsidRDefault="003B0815" w14:paraId="13686C6F" w14:textId="77777777">
            <w:pPr>
              <w:keepNext/>
              <w:jc w:val="center"/>
              <w:rPr>
                <w:rFonts w:ascii="Arial" w:hAnsi="Arial"/>
                <w:b/>
                <w:sz w:val="20"/>
                <w:szCs w:val="20"/>
              </w:rPr>
            </w:pPr>
            <w:r>
              <w:rPr>
                <w:rFonts w:ascii="Arial" w:hAnsi="Arial" w:cs="Arial"/>
                <w:b/>
                <w:bCs/>
                <w:sz w:val="20"/>
                <w:szCs w:val="20"/>
              </w:rPr>
              <w:t>Total Additional Hours, Primary Scenario</w:t>
            </w:r>
          </w:p>
        </w:tc>
        <w:tc>
          <w:tcPr>
            <w:tcW w:w="1080" w:type="dxa"/>
            <w:tcBorders>
              <w:top w:val="single" w:color="auto" w:sz="12" w:space="0"/>
            </w:tcBorders>
            <w:vAlign w:val="center"/>
          </w:tcPr>
          <w:p w:rsidR="003B0815" w:rsidRDefault="003B0815" w14:paraId="28148A9C" w14:textId="77777777">
            <w:pPr>
              <w:keepNext/>
              <w:jc w:val="center"/>
              <w:rPr>
                <w:rFonts w:ascii="Arial" w:hAnsi="Arial"/>
                <w:b/>
                <w:sz w:val="20"/>
                <w:szCs w:val="20"/>
              </w:rPr>
            </w:pPr>
            <w:r>
              <w:rPr>
                <w:rFonts w:ascii="Arial" w:hAnsi="Arial" w:cs="Arial"/>
                <w:b/>
                <w:bCs/>
                <w:sz w:val="20"/>
                <w:szCs w:val="20"/>
              </w:rPr>
              <w:t>Total Additional Hours, Low Scenario</w:t>
            </w:r>
          </w:p>
        </w:tc>
        <w:tc>
          <w:tcPr>
            <w:tcW w:w="1080" w:type="dxa"/>
            <w:tcBorders>
              <w:top w:val="single" w:color="auto" w:sz="12" w:space="0"/>
            </w:tcBorders>
            <w:vAlign w:val="center"/>
          </w:tcPr>
          <w:p w:rsidR="003B0815" w:rsidRDefault="003B0815" w14:paraId="37164390" w14:textId="77777777">
            <w:pPr>
              <w:keepNext/>
              <w:jc w:val="center"/>
              <w:rPr>
                <w:rFonts w:ascii="Arial" w:hAnsi="Arial"/>
                <w:b/>
                <w:sz w:val="20"/>
                <w:szCs w:val="20"/>
              </w:rPr>
            </w:pPr>
            <w:r>
              <w:rPr>
                <w:rFonts w:ascii="Arial" w:hAnsi="Arial" w:cs="Arial"/>
                <w:b/>
                <w:bCs/>
                <w:sz w:val="20"/>
                <w:szCs w:val="20"/>
              </w:rPr>
              <w:t>Total Additional Hours, High Scenario</w:t>
            </w:r>
          </w:p>
        </w:tc>
        <w:tc>
          <w:tcPr>
            <w:tcW w:w="900" w:type="dxa"/>
            <w:tcBorders>
              <w:top w:val="single" w:color="auto" w:sz="12" w:space="0"/>
            </w:tcBorders>
            <w:vAlign w:val="center"/>
          </w:tcPr>
          <w:p w:rsidR="003B0815" w:rsidRDefault="003B0815" w14:paraId="6C2AAA53" w14:textId="77777777">
            <w:pPr>
              <w:keepNext/>
              <w:jc w:val="center"/>
              <w:rPr>
                <w:rFonts w:ascii="Arial" w:hAnsi="Arial"/>
                <w:b/>
                <w:sz w:val="20"/>
                <w:szCs w:val="20"/>
              </w:rPr>
            </w:pPr>
            <w:smartTag w:uri="urn:schemas-microsoft-com:office:smarttags" w:element="place">
              <w:smartTag w:uri="urn:schemas-microsoft-com:office:smarttags" w:element="PlaceName">
                <w:r>
                  <w:rPr>
                    <w:rFonts w:ascii="Arial" w:hAnsi="Arial" w:cs="Arial"/>
                    <w:b/>
                    <w:bCs/>
                    <w:sz w:val="20"/>
                    <w:szCs w:val="20"/>
                  </w:rPr>
                  <w:t>Call</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Center</w:t>
                </w:r>
              </w:smartTag>
            </w:smartTag>
            <w:r>
              <w:rPr>
                <w:rFonts w:ascii="Arial" w:hAnsi="Arial" w:cs="Arial"/>
                <w:b/>
                <w:bCs/>
                <w:sz w:val="20"/>
                <w:szCs w:val="20"/>
              </w:rPr>
              <w:t xml:space="preserve"> Agent Hourly Wage</w:t>
            </w:r>
          </w:p>
        </w:tc>
        <w:tc>
          <w:tcPr>
            <w:tcW w:w="1049" w:type="dxa"/>
            <w:tcBorders>
              <w:top w:val="single" w:color="auto" w:sz="12" w:space="0"/>
            </w:tcBorders>
            <w:vAlign w:val="center"/>
          </w:tcPr>
          <w:p w:rsidR="003B0815" w:rsidRDefault="003B0815" w14:paraId="3BD52924" w14:textId="77777777">
            <w:pPr>
              <w:keepNext/>
              <w:jc w:val="center"/>
              <w:rPr>
                <w:rFonts w:ascii="Arial" w:hAnsi="Arial" w:cs="Arial"/>
                <w:b/>
                <w:bCs/>
                <w:sz w:val="20"/>
                <w:szCs w:val="20"/>
              </w:rPr>
            </w:pPr>
            <w:r>
              <w:rPr>
                <w:rFonts w:ascii="Arial" w:hAnsi="Arial" w:cs="Arial"/>
                <w:b/>
                <w:bCs/>
                <w:sz w:val="20"/>
                <w:szCs w:val="20"/>
              </w:rPr>
              <w:t>Total Cost, Primary Scenario</w:t>
            </w:r>
          </w:p>
          <w:p w:rsidR="003B0815" w:rsidRDefault="003B0815" w14:paraId="7B980EA2" w14:textId="77777777">
            <w:pPr>
              <w:keepNext/>
              <w:jc w:val="center"/>
              <w:rPr>
                <w:rFonts w:ascii="Arial" w:hAnsi="Arial"/>
                <w:b/>
                <w:sz w:val="20"/>
                <w:szCs w:val="20"/>
              </w:rPr>
            </w:pPr>
            <w:r>
              <w:rPr>
                <w:rFonts w:ascii="Arial" w:hAnsi="Arial" w:cs="Arial"/>
                <w:b/>
                <w:bCs/>
                <w:sz w:val="20"/>
                <w:szCs w:val="20"/>
              </w:rPr>
              <w:t>(millions)</w:t>
            </w:r>
          </w:p>
        </w:tc>
        <w:tc>
          <w:tcPr>
            <w:tcW w:w="1080" w:type="dxa"/>
            <w:tcBorders>
              <w:top w:val="single" w:color="auto" w:sz="12" w:space="0"/>
            </w:tcBorders>
            <w:vAlign w:val="center"/>
          </w:tcPr>
          <w:p w:rsidR="003B0815" w:rsidRDefault="003B0815" w14:paraId="137664C6" w14:textId="77777777">
            <w:pPr>
              <w:keepNext/>
              <w:jc w:val="center"/>
              <w:rPr>
                <w:rFonts w:ascii="Arial" w:hAnsi="Arial" w:cs="Arial"/>
                <w:b/>
                <w:bCs/>
                <w:sz w:val="20"/>
                <w:szCs w:val="20"/>
              </w:rPr>
            </w:pPr>
            <w:r>
              <w:rPr>
                <w:rFonts w:ascii="Arial" w:hAnsi="Arial" w:cs="Arial"/>
                <w:b/>
                <w:bCs/>
                <w:sz w:val="20"/>
                <w:szCs w:val="20"/>
              </w:rPr>
              <w:t>Total Cost, Low Scenario</w:t>
            </w:r>
          </w:p>
          <w:p w:rsidR="003B0815" w:rsidRDefault="003B0815" w14:paraId="4004C696" w14:textId="77777777">
            <w:pPr>
              <w:keepNext/>
              <w:jc w:val="center"/>
              <w:rPr>
                <w:rFonts w:ascii="Arial" w:hAnsi="Arial"/>
                <w:b/>
                <w:sz w:val="20"/>
                <w:szCs w:val="20"/>
              </w:rPr>
            </w:pPr>
            <w:r>
              <w:rPr>
                <w:rFonts w:ascii="Arial" w:hAnsi="Arial" w:cs="Arial"/>
                <w:b/>
                <w:bCs/>
                <w:sz w:val="20"/>
                <w:szCs w:val="20"/>
              </w:rPr>
              <w:t>(millions)</w:t>
            </w:r>
          </w:p>
        </w:tc>
        <w:tc>
          <w:tcPr>
            <w:tcW w:w="1065" w:type="dxa"/>
            <w:tcBorders>
              <w:top w:val="single" w:color="auto" w:sz="12" w:space="0"/>
              <w:bottom w:val="single" w:color="auto" w:sz="4" w:space="0"/>
              <w:right w:val="single" w:color="auto" w:sz="12" w:space="0"/>
            </w:tcBorders>
            <w:vAlign w:val="center"/>
          </w:tcPr>
          <w:p w:rsidR="003B0815" w:rsidRDefault="003B0815" w14:paraId="12434D59" w14:textId="77777777">
            <w:pPr>
              <w:keepNext/>
              <w:jc w:val="center"/>
              <w:rPr>
                <w:rFonts w:ascii="Arial" w:hAnsi="Arial" w:cs="Arial"/>
                <w:b/>
                <w:bCs/>
                <w:sz w:val="20"/>
                <w:szCs w:val="20"/>
              </w:rPr>
            </w:pPr>
            <w:r>
              <w:rPr>
                <w:rFonts w:ascii="Arial" w:hAnsi="Arial" w:cs="Arial"/>
                <w:b/>
                <w:bCs/>
                <w:sz w:val="20"/>
                <w:szCs w:val="20"/>
              </w:rPr>
              <w:t xml:space="preserve">Total Cost, High </w:t>
            </w:r>
          </w:p>
          <w:p w:rsidR="003B0815" w:rsidRDefault="003B0815" w14:paraId="3AFB158A" w14:textId="77777777">
            <w:pPr>
              <w:keepNext/>
              <w:jc w:val="center"/>
              <w:rPr>
                <w:rFonts w:ascii="Arial" w:hAnsi="Arial" w:cs="Arial"/>
                <w:b/>
                <w:bCs/>
                <w:sz w:val="20"/>
                <w:szCs w:val="20"/>
              </w:rPr>
            </w:pPr>
            <w:r>
              <w:rPr>
                <w:rFonts w:ascii="Arial" w:hAnsi="Arial" w:cs="Arial"/>
                <w:b/>
                <w:bCs/>
                <w:sz w:val="20"/>
                <w:szCs w:val="20"/>
              </w:rPr>
              <w:t>Scenario</w:t>
            </w:r>
          </w:p>
          <w:p w:rsidR="003B0815" w:rsidRDefault="003B0815" w14:paraId="4D76308A" w14:textId="77777777">
            <w:pPr>
              <w:keepNext/>
              <w:jc w:val="center"/>
              <w:rPr>
                <w:rFonts w:ascii="Arial" w:hAnsi="Arial" w:cs="Arial"/>
                <w:b/>
                <w:sz w:val="20"/>
                <w:szCs w:val="20"/>
              </w:rPr>
            </w:pPr>
            <w:r>
              <w:rPr>
                <w:rFonts w:ascii="Arial" w:hAnsi="Arial" w:cs="Arial"/>
                <w:b/>
                <w:bCs/>
                <w:sz w:val="20"/>
                <w:szCs w:val="20"/>
              </w:rPr>
              <w:t>(millions)</w:t>
            </w:r>
          </w:p>
        </w:tc>
      </w:tr>
      <w:tr w:rsidR="003B0815" w14:paraId="780E1617" w14:textId="77777777">
        <w:trPr>
          <w:jc w:val="center"/>
        </w:trPr>
        <w:tc>
          <w:tcPr>
            <w:tcW w:w="720" w:type="dxa"/>
            <w:tcBorders>
              <w:left w:val="single" w:color="auto" w:sz="12" w:space="0"/>
            </w:tcBorders>
            <w:vAlign w:val="center"/>
          </w:tcPr>
          <w:p w:rsidR="003B0815" w:rsidRDefault="003B0815" w14:paraId="54695455" w14:textId="77777777">
            <w:pPr>
              <w:keepNext/>
              <w:jc w:val="center"/>
              <w:rPr>
                <w:rFonts w:ascii="Arial" w:hAnsi="Arial"/>
                <w:sz w:val="20"/>
                <w:szCs w:val="20"/>
              </w:rPr>
            </w:pPr>
            <w:r>
              <w:rPr>
                <w:rFonts w:ascii="Arial" w:hAnsi="Arial" w:cs="Arial"/>
                <w:b/>
                <w:bCs/>
                <w:sz w:val="20"/>
                <w:szCs w:val="20"/>
              </w:rPr>
              <w:t> </w:t>
            </w:r>
          </w:p>
        </w:tc>
        <w:tc>
          <w:tcPr>
            <w:tcW w:w="1440" w:type="dxa"/>
            <w:vAlign w:val="center"/>
          </w:tcPr>
          <w:p w:rsidR="003B0815" w:rsidRDefault="003B0815" w14:paraId="67D534F1" w14:textId="77777777">
            <w:pPr>
              <w:keepNext/>
              <w:jc w:val="center"/>
              <w:rPr>
                <w:rFonts w:ascii="Arial" w:hAnsi="Arial"/>
                <w:sz w:val="20"/>
                <w:szCs w:val="20"/>
              </w:rPr>
            </w:pPr>
            <w:r>
              <w:rPr>
                <w:rFonts w:ascii="Arial" w:hAnsi="Arial" w:cs="Arial"/>
                <w:b/>
                <w:bCs/>
                <w:sz w:val="20"/>
                <w:szCs w:val="20"/>
              </w:rPr>
              <w:t>(A)</w:t>
            </w:r>
          </w:p>
        </w:tc>
        <w:tc>
          <w:tcPr>
            <w:tcW w:w="1142" w:type="dxa"/>
            <w:vAlign w:val="center"/>
          </w:tcPr>
          <w:p w:rsidR="003B0815" w:rsidRDefault="003B0815" w14:paraId="795CE940"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7C6D2512" w14:textId="77777777">
            <w:pPr>
              <w:keepNext/>
              <w:jc w:val="center"/>
              <w:rPr>
                <w:rFonts w:ascii="Arial" w:hAnsi="Arial"/>
                <w:sz w:val="20"/>
                <w:szCs w:val="20"/>
              </w:rPr>
            </w:pPr>
            <w:r>
              <w:rPr>
                <w:rFonts w:ascii="Arial" w:hAnsi="Arial" w:cs="Arial"/>
                <w:b/>
                <w:bCs/>
                <w:sz w:val="20"/>
                <w:szCs w:val="20"/>
              </w:rPr>
              <w:t>(C)</w:t>
            </w:r>
          </w:p>
        </w:tc>
        <w:tc>
          <w:tcPr>
            <w:tcW w:w="1080" w:type="dxa"/>
            <w:vAlign w:val="center"/>
          </w:tcPr>
          <w:p w:rsidR="003B0815" w:rsidRDefault="003B0815" w14:paraId="0234283E" w14:textId="77777777">
            <w:pPr>
              <w:keepNext/>
              <w:jc w:val="center"/>
              <w:rPr>
                <w:rFonts w:ascii="Arial" w:hAnsi="Arial"/>
                <w:sz w:val="20"/>
                <w:szCs w:val="20"/>
              </w:rPr>
            </w:pPr>
            <w:r>
              <w:rPr>
                <w:rFonts w:ascii="Arial" w:hAnsi="Arial" w:cs="Arial"/>
                <w:b/>
                <w:bCs/>
                <w:sz w:val="20"/>
                <w:szCs w:val="20"/>
              </w:rPr>
              <w:t>(D)</w:t>
            </w:r>
          </w:p>
        </w:tc>
        <w:tc>
          <w:tcPr>
            <w:tcW w:w="900" w:type="dxa"/>
            <w:vAlign w:val="center"/>
          </w:tcPr>
          <w:p w:rsidR="003B0815" w:rsidRDefault="003B0815" w14:paraId="25F87A03" w14:textId="77777777">
            <w:pPr>
              <w:keepNext/>
              <w:jc w:val="center"/>
              <w:rPr>
                <w:rFonts w:ascii="Arial" w:hAnsi="Arial"/>
                <w:sz w:val="20"/>
                <w:szCs w:val="20"/>
              </w:rPr>
            </w:pPr>
            <w:r>
              <w:rPr>
                <w:rFonts w:ascii="Arial" w:hAnsi="Arial" w:cs="Arial"/>
                <w:b/>
                <w:bCs/>
                <w:sz w:val="20"/>
                <w:szCs w:val="20"/>
              </w:rPr>
              <w:t>(E)</w:t>
            </w:r>
          </w:p>
        </w:tc>
        <w:tc>
          <w:tcPr>
            <w:tcW w:w="1049" w:type="dxa"/>
            <w:shd w:val="clear" w:color="auto" w:fill="CCCCCC"/>
            <w:vAlign w:val="center"/>
          </w:tcPr>
          <w:p w:rsidR="003B0815" w:rsidRDefault="003B0815" w14:paraId="486D945E" w14:textId="77777777">
            <w:pPr>
              <w:keepNext/>
              <w:jc w:val="center"/>
              <w:rPr>
                <w:rFonts w:ascii="Arial" w:hAnsi="Arial"/>
                <w:b/>
                <w:sz w:val="20"/>
                <w:szCs w:val="20"/>
              </w:rPr>
            </w:pPr>
            <w:r>
              <w:rPr>
                <w:rFonts w:ascii="Arial" w:hAnsi="Arial" w:cs="Arial"/>
                <w:b/>
                <w:bCs/>
                <w:sz w:val="20"/>
                <w:szCs w:val="20"/>
              </w:rPr>
              <w:t>(B x E)</w:t>
            </w:r>
          </w:p>
        </w:tc>
        <w:tc>
          <w:tcPr>
            <w:tcW w:w="1080" w:type="dxa"/>
            <w:shd w:val="clear" w:color="auto" w:fill="CCCCCC"/>
            <w:vAlign w:val="center"/>
          </w:tcPr>
          <w:p w:rsidR="003B0815" w:rsidRDefault="003B0815" w14:paraId="2EE1AB5F" w14:textId="77777777">
            <w:pPr>
              <w:keepNext/>
              <w:jc w:val="center"/>
              <w:rPr>
                <w:rFonts w:ascii="Arial" w:hAnsi="Arial"/>
                <w:b/>
                <w:sz w:val="20"/>
                <w:szCs w:val="20"/>
              </w:rPr>
            </w:pPr>
            <w:r>
              <w:rPr>
                <w:rFonts w:ascii="Arial" w:hAnsi="Arial" w:cs="Arial"/>
                <w:b/>
                <w:bCs/>
                <w:sz w:val="20"/>
                <w:szCs w:val="20"/>
              </w:rPr>
              <w:t>(C x E)</w:t>
            </w:r>
          </w:p>
        </w:tc>
        <w:tc>
          <w:tcPr>
            <w:tcW w:w="1065" w:type="dxa"/>
            <w:tcBorders>
              <w:right w:val="single" w:color="auto" w:sz="12" w:space="0"/>
            </w:tcBorders>
            <w:shd w:val="clear" w:color="auto" w:fill="CCCCCC"/>
            <w:vAlign w:val="center"/>
          </w:tcPr>
          <w:p w:rsidR="003B0815" w:rsidRDefault="003B0815" w14:paraId="22783175" w14:textId="77777777">
            <w:pPr>
              <w:keepNext/>
              <w:jc w:val="center"/>
              <w:rPr>
                <w:rFonts w:ascii="Arial" w:hAnsi="Arial"/>
                <w:b/>
                <w:sz w:val="20"/>
                <w:szCs w:val="20"/>
              </w:rPr>
            </w:pPr>
            <w:r>
              <w:rPr>
                <w:rFonts w:ascii="Arial" w:hAnsi="Arial" w:cs="Arial"/>
                <w:b/>
                <w:bCs/>
                <w:sz w:val="20"/>
                <w:szCs w:val="20"/>
              </w:rPr>
              <w:t>(D x E)</w:t>
            </w:r>
          </w:p>
        </w:tc>
      </w:tr>
      <w:tr w:rsidR="003B0815" w14:paraId="1369F8D0" w14:textId="77777777">
        <w:trPr>
          <w:jc w:val="center"/>
        </w:trPr>
        <w:tc>
          <w:tcPr>
            <w:tcW w:w="720" w:type="dxa"/>
            <w:tcBorders>
              <w:left w:val="single" w:color="auto" w:sz="12" w:space="0"/>
            </w:tcBorders>
          </w:tcPr>
          <w:p w:rsidR="003B0815" w:rsidRDefault="003B0815" w14:paraId="4F726039" w14:textId="77777777">
            <w:pPr>
              <w:keepNext/>
              <w:jc w:val="center"/>
              <w:rPr>
                <w:rFonts w:ascii="Arial" w:hAnsi="Arial"/>
                <w:sz w:val="20"/>
                <w:szCs w:val="20"/>
              </w:rPr>
            </w:pPr>
            <w:r>
              <w:t>2008</w:t>
            </w:r>
          </w:p>
        </w:tc>
        <w:tc>
          <w:tcPr>
            <w:tcW w:w="1440" w:type="dxa"/>
            <w:vAlign w:val="bottom"/>
          </w:tcPr>
          <w:p w:rsidR="003B0815" w:rsidRDefault="003B0815" w14:paraId="71E24BE3" w14:textId="77777777">
            <w:pPr>
              <w:keepNext/>
              <w:jc w:val="center"/>
              <w:rPr>
                <w:rFonts w:ascii="Arial" w:hAnsi="Arial"/>
                <w:sz w:val="20"/>
                <w:szCs w:val="20"/>
              </w:rPr>
            </w:pPr>
            <w:r>
              <w:rPr>
                <w:rFonts w:ascii="Arial" w:hAnsi="Arial" w:cs="Arial"/>
                <w:sz w:val="20"/>
                <w:szCs w:val="20"/>
              </w:rPr>
              <w:t>58.1</w:t>
            </w:r>
          </w:p>
        </w:tc>
        <w:tc>
          <w:tcPr>
            <w:tcW w:w="1142" w:type="dxa"/>
            <w:vAlign w:val="bottom"/>
          </w:tcPr>
          <w:p w:rsidR="003B0815" w:rsidRDefault="003B0815" w14:paraId="118633DC" w14:textId="77777777">
            <w:pPr>
              <w:keepNext/>
              <w:jc w:val="center"/>
              <w:rPr>
                <w:rFonts w:ascii="Arial" w:hAnsi="Arial"/>
                <w:sz w:val="20"/>
                <w:szCs w:val="20"/>
              </w:rPr>
            </w:pPr>
            <w:r>
              <w:rPr>
                <w:rFonts w:ascii="Arial" w:hAnsi="Arial" w:cs="Arial"/>
                <w:sz w:val="20"/>
                <w:szCs w:val="20"/>
              </w:rPr>
              <w:t>403,000</w:t>
            </w:r>
          </w:p>
        </w:tc>
        <w:tc>
          <w:tcPr>
            <w:tcW w:w="1080" w:type="dxa"/>
            <w:vAlign w:val="bottom"/>
          </w:tcPr>
          <w:p w:rsidR="003B0815" w:rsidRDefault="003B0815" w14:paraId="64804414" w14:textId="77777777">
            <w:pPr>
              <w:keepNext/>
              <w:jc w:val="center"/>
              <w:rPr>
                <w:rFonts w:ascii="Arial" w:hAnsi="Arial"/>
                <w:sz w:val="20"/>
                <w:szCs w:val="20"/>
              </w:rPr>
            </w:pPr>
            <w:r>
              <w:rPr>
                <w:rFonts w:ascii="Arial" w:hAnsi="Arial" w:cs="Arial"/>
                <w:sz w:val="20"/>
                <w:szCs w:val="20"/>
              </w:rPr>
              <w:t>323,000</w:t>
            </w:r>
          </w:p>
        </w:tc>
        <w:tc>
          <w:tcPr>
            <w:tcW w:w="1080" w:type="dxa"/>
            <w:vAlign w:val="bottom"/>
          </w:tcPr>
          <w:p w:rsidR="003B0815" w:rsidRDefault="003B0815" w14:paraId="27C0A635" w14:textId="77777777">
            <w:pPr>
              <w:keepNext/>
              <w:jc w:val="center"/>
              <w:rPr>
                <w:rFonts w:ascii="Arial" w:hAnsi="Arial"/>
                <w:sz w:val="20"/>
                <w:szCs w:val="20"/>
              </w:rPr>
            </w:pPr>
            <w:r>
              <w:rPr>
                <w:rFonts w:ascii="Arial" w:hAnsi="Arial" w:cs="Arial"/>
                <w:sz w:val="20"/>
                <w:szCs w:val="20"/>
              </w:rPr>
              <w:t>484,000</w:t>
            </w:r>
          </w:p>
        </w:tc>
        <w:tc>
          <w:tcPr>
            <w:tcW w:w="900" w:type="dxa"/>
            <w:vAlign w:val="bottom"/>
          </w:tcPr>
          <w:p w:rsidR="003B0815" w:rsidRDefault="003B0815" w14:paraId="24B50B29"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5079D772" w14:textId="77777777">
            <w:pPr>
              <w:keepNext/>
              <w:jc w:val="right"/>
              <w:rPr>
                <w:rFonts w:ascii="Arial" w:hAnsi="Arial"/>
                <w:b/>
                <w:sz w:val="20"/>
                <w:szCs w:val="20"/>
              </w:rPr>
            </w:pPr>
            <w:r>
              <w:rPr>
                <w:rFonts w:ascii="Arial" w:hAnsi="Arial" w:cs="Arial"/>
                <w:b/>
                <w:bCs/>
                <w:sz w:val="20"/>
                <w:szCs w:val="20"/>
              </w:rPr>
              <w:t xml:space="preserve">$8.4 </w:t>
            </w:r>
          </w:p>
        </w:tc>
        <w:tc>
          <w:tcPr>
            <w:tcW w:w="1080" w:type="dxa"/>
            <w:shd w:val="clear" w:color="auto" w:fill="CCCCCC"/>
            <w:vAlign w:val="bottom"/>
          </w:tcPr>
          <w:p w:rsidR="003B0815" w:rsidRDefault="003B0815" w14:paraId="6D4B090D" w14:textId="77777777">
            <w:pPr>
              <w:keepNext/>
              <w:jc w:val="right"/>
              <w:rPr>
                <w:rFonts w:ascii="Arial" w:hAnsi="Arial"/>
                <w:b/>
                <w:sz w:val="20"/>
                <w:szCs w:val="20"/>
              </w:rPr>
            </w:pPr>
            <w:r>
              <w:rPr>
                <w:rFonts w:ascii="Arial" w:hAnsi="Arial" w:cs="Arial"/>
                <w:b/>
                <w:bCs/>
                <w:sz w:val="20"/>
                <w:szCs w:val="20"/>
              </w:rPr>
              <w:t xml:space="preserve">$6.7 </w:t>
            </w:r>
          </w:p>
        </w:tc>
        <w:tc>
          <w:tcPr>
            <w:tcW w:w="1065" w:type="dxa"/>
            <w:tcBorders>
              <w:right w:val="single" w:color="auto" w:sz="12" w:space="0"/>
            </w:tcBorders>
            <w:shd w:val="clear" w:color="auto" w:fill="CCCCCC"/>
            <w:vAlign w:val="bottom"/>
          </w:tcPr>
          <w:p w:rsidR="003B0815" w:rsidRDefault="003B0815" w14:paraId="72A7335A" w14:textId="77777777">
            <w:pPr>
              <w:keepNext/>
              <w:jc w:val="right"/>
              <w:rPr>
                <w:rFonts w:ascii="Arial" w:hAnsi="Arial"/>
                <w:b/>
                <w:sz w:val="20"/>
                <w:szCs w:val="20"/>
              </w:rPr>
            </w:pPr>
            <w:r>
              <w:rPr>
                <w:rFonts w:ascii="Arial" w:hAnsi="Arial" w:cs="Arial"/>
                <w:b/>
                <w:bCs/>
                <w:sz w:val="20"/>
                <w:szCs w:val="20"/>
              </w:rPr>
              <w:t xml:space="preserve">$10.1 </w:t>
            </w:r>
          </w:p>
        </w:tc>
      </w:tr>
      <w:tr w:rsidR="003B0815" w14:paraId="24A34DE5" w14:textId="77777777">
        <w:trPr>
          <w:jc w:val="center"/>
        </w:trPr>
        <w:tc>
          <w:tcPr>
            <w:tcW w:w="720" w:type="dxa"/>
            <w:tcBorders>
              <w:left w:val="single" w:color="auto" w:sz="12" w:space="0"/>
            </w:tcBorders>
          </w:tcPr>
          <w:p w:rsidR="003B0815" w:rsidRDefault="003B0815" w14:paraId="637AF371" w14:textId="77777777">
            <w:pPr>
              <w:keepNext/>
              <w:jc w:val="center"/>
              <w:rPr>
                <w:rFonts w:ascii="Arial" w:hAnsi="Arial"/>
                <w:sz w:val="20"/>
                <w:szCs w:val="20"/>
              </w:rPr>
            </w:pPr>
            <w:r>
              <w:t>2009</w:t>
            </w:r>
          </w:p>
        </w:tc>
        <w:tc>
          <w:tcPr>
            <w:tcW w:w="1440" w:type="dxa"/>
            <w:vAlign w:val="bottom"/>
          </w:tcPr>
          <w:p w:rsidR="003B0815" w:rsidRDefault="003B0815" w14:paraId="7EDA1282" w14:textId="77777777">
            <w:pPr>
              <w:keepNext/>
              <w:jc w:val="center"/>
              <w:rPr>
                <w:rFonts w:ascii="Arial" w:hAnsi="Arial"/>
                <w:sz w:val="20"/>
                <w:szCs w:val="20"/>
              </w:rPr>
            </w:pPr>
            <w:r>
              <w:rPr>
                <w:rFonts w:ascii="Arial" w:hAnsi="Arial" w:cs="Arial"/>
                <w:sz w:val="20"/>
                <w:szCs w:val="20"/>
              </w:rPr>
              <w:t>59.9</w:t>
            </w:r>
          </w:p>
        </w:tc>
        <w:tc>
          <w:tcPr>
            <w:tcW w:w="1142" w:type="dxa"/>
            <w:vAlign w:val="bottom"/>
          </w:tcPr>
          <w:p w:rsidR="003B0815" w:rsidRDefault="003B0815" w14:paraId="0F050AFA" w14:textId="77777777">
            <w:pPr>
              <w:keepNext/>
              <w:jc w:val="center"/>
              <w:rPr>
                <w:rFonts w:ascii="Arial" w:hAnsi="Arial"/>
                <w:sz w:val="20"/>
                <w:szCs w:val="20"/>
              </w:rPr>
            </w:pPr>
            <w:r>
              <w:rPr>
                <w:rFonts w:ascii="Arial" w:hAnsi="Arial" w:cs="Arial"/>
                <w:sz w:val="20"/>
                <w:szCs w:val="20"/>
              </w:rPr>
              <w:t>416,000</w:t>
            </w:r>
          </w:p>
        </w:tc>
        <w:tc>
          <w:tcPr>
            <w:tcW w:w="1080" w:type="dxa"/>
            <w:vAlign w:val="bottom"/>
          </w:tcPr>
          <w:p w:rsidR="003B0815" w:rsidRDefault="003B0815" w14:paraId="4F82D523" w14:textId="77777777">
            <w:pPr>
              <w:keepNext/>
              <w:jc w:val="center"/>
              <w:rPr>
                <w:rFonts w:ascii="Arial" w:hAnsi="Arial"/>
                <w:sz w:val="20"/>
                <w:szCs w:val="20"/>
              </w:rPr>
            </w:pPr>
            <w:r>
              <w:rPr>
                <w:rFonts w:ascii="Arial" w:hAnsi="Arial" w:cs="Arial"/>
                <w:sz w:val="20"/>
                <w:szCs w:val="20"/>
              </w:rPr>
              <w:t>333,000</w:t>
            </w:r>
          </w:p>
        </w:tc>
        <w:tc>
          <w:tcPr>
            <w:tcW w:w="1080" w:type="dxa"/>
            <w:vAlign w:val="bottom"/>
          </w:tcPr>
          <w:p w:rsidR="003B0815" w:rsidRDefault="003B0815" w14:paraId="69378205" w14:textId="77777777">
            <w:pPr>
              <w:keepNext/>
              <w:jc w:val="center"/>
              <w:rPr>
                <w:rFonts w:ascii="Arial" w:hAnsi="Arial"/>
                <w:sz w:val="20"/>
                <w:szCs w:val="20"/>
              </w:rPr>
            </w:pPr>
            <w:r>
              <w:rPr>
                <w:rFonts w:ascii="Arial" w:hAnsi="Arial" w:cs="Arial"/>
                <w:sz w:val="20"/>
                <w:szCs w:val="20"/>
              </w:rPr>
              <w:t>499,000</w:t>
            </w:r>
          </w:p>
        </w:tc>
        <w:tc>
          <w:tcPr>
            <w:tcW w:w="900" w:type="dxa"/>
            <w:vAlign w:val="bottom"/>
          </w:tcPr>
          <w:p w:rsidR="003B0815" w:rsidRDefault="003B0815" w14:paraId="1183DFA6"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B279104" w14:textId="77777777">
            <w:pPr>
              <w:keepNext/>
              <w:jc w:val="right"/>
              <w:rPr>
                <w:rFonts w:ascii="Arial" w:hAnsi="Arial"/>
                <w:b/>
                <w:sz w:val="20"/>
                <w:szCs w:val="20"/>
              </w:rPr>
            </w:pPr>
            <w:r>
              <w:rPr>
                <w:rFonts w:ascii="Arial" w:hAnsi="Arial" w:cs="Arial"/>
                <w:b/>
                <w:bCs/>
                <w:sz w:val="20"/>
                <w:szCs w:val="20"/>
              </w:rPr>
              <w:t xml:space="preserve">8.7 </w:t>
            </w:r>
          </w:p>
        </w:tc>
        <w:tc>
          <w:tcPr>
            <w:tcW w:w="1080" w:type="dxa"/>
            <w:shd w:val="clear" w:color="auto" w:fill="CCCCCC"/>
            <w:vAlign w:val="bottom"/>
          </w:tcPr>
          <w:p w:rsidR="003B0815" w:rsidRDefault="003B0815" w14:paraId="07F2F24A" w14:textId="77777777">
            <w:pPr>
              <w:keepNext/>
              <w:jc w:val="right"/>
              <w:rPr>
                <w:rFonts w:ascii="Arial" w:hAnsi="Arial"/>
                <w:b/>
                <w:sz w:val="20"/>
                <w:szCs w:val="20"/>
              </w:rPr>
            </w:pPr>
            <w:r>
              <w:rPr>
                <w:rFonts w:ascii="Arial" w:hAnsi="Arial" w:cs="Arial"/>
                <w:b/>
                <w:bCs/>
                <w:sz w:val="20"/>
                <w:szCs w:val="20"/>
              </w:rPr>
              <w:t xml:space="preserve">7.0 </w:t>
            </w:r>
          </w:p>
        </w:tc>
        <w:tc>
          <w:tcPr>
            <w:tcW w:w="1065" w:type="dxa"/>
            <w:tcBorders>
              <w:right w:val="single" w:color="auto" w:sz="12" w:space="0"/>
            </w:tcBorders>
            <w:shd w:val="clear" w:color="auto" w:fill="CCCCCC"/>
            <w:vAlign w:val="bottom"/>
          </w:tcPr>
          <w:p w:rsidR="003B0815" w:rsidRDefault="003B0815" w14:paraId="0E45BE54" w14:textId="77777777">
            <w:pPr>
              <w:keepNext/>
              <w:jc w:val="right"/>
              <w:rPr>
                <w:rFonts w:ascii="Arial" w:hAnsi="Arial"/>
                <w:b/>
                <w:sz w:val="20"/>
                <w:szCs w:val="20"/>
              </w:rPr>
            </w:pPr>
            <w:r>
              <w:rPr>
                <w:rFonts w:ascii="Arial" w:hAnsi="Arial" w:cs="Arial"/>
                <w:b/>
                <w:bCs/>
                <w:sz w:val="20"/>
                <w:szCs w:val="20"/>
              </w:rPr>
              <w:t xml:space="preserve">10.4 </w:t>
            </w:r>
          </w:p>
        </w:tc>
      </w:tr>
      <w:tr w:rsidR="003B0815" w14:paraId="2FBF77D8" w14:textId="77777777">
        <w:trPr>
          <w:jc w:val="center"/>
        </w:trPr>
        <w:tc>
          <w:tcPr>
            <w:tcW w:w="720" w:type="dxa"/>
            <w:tcBorders>
              <w:left w:val="single" w:color="auto" w:sz="12" w:space="0"/>
            </w:tcBorders>
          </w:tcPr>
          <w:p w:rsidR="003B0815" w:rsidRDefault="003B0815" w14:paraId="27F01891" w14:textId="77777777">
            <w:pPr>
              <w:keepNext/>
              <w:jc w:val="center"/>
              <w:rPr>
                <w:rFonts w:ascii="Arial" w:hAnsi="Arial"/>
                <w:sz w:val="20"/>
                <w:szCs w:val="20"/>
              </w:rPr>
            </w:pPr>
            <w:r>
              <w:t>2010</w:t>
            </w:r>
          </w:p>
        </w:tc>
        <w:tc>
          <w:tcPr>
            <w:tcW w:w="1440" w:type="dxa"/>
            <w:vAlign w:val="bottom"/>
          </w:tcPr>
          <w:p w:rsidR="003B0815" w:rsidRDefault="003B0815" w14:paraId="40EB4C5D" w14:textId="77777777">
            <w:pPr>
              <w:keepNext/>
              <w:jc w:val="center"/>
              <w:rPr>
                <w:rFonts w:ascii="Arial" w:hAnsi="Arial"/>
                <w:sz w:val="20"/>
                <w:szCs w:val="20"/>
              </w:rPr>
            </w:pPr>
            <w:r>
              <w:rPr>
                <w:rFonts w:ascii="Arial" w:hAnsi="Arial" w:cs="Arial"/>
                <w:sz w:val="20"/>
                <w:szCs w:val="20"/>
              </w:rPr>
              <w:t>61.8</w:t>
            </w:r>
          </w:p>
        </w:tc>
        <w:tc>
          <w:tcPr>
            <w:tcW w:w="1142" w:type="dxa"/>
            <w:vAlign w:val="bottom"/>
          </w:tcPr>
          <w:p w:rsidR="003B0815" w:rsidRDefault="003B0815" w14:paraId="1DDD75E3" w14:textId="77777777">
            <w:pPr>
              <w:keepNext/>
              <w:jc w:val="center"/>
              <w:rPr>
                <w:rFonts w:ascii="Arial" w:hAnsi="Arial"/>
                <w:sz w:val="20"/>
                <w:szCs w:val="20"/>
              </w:rPr>
            </w:pPr>
            <w:r>
              <w:rPr>
                <w:rFonts w:ascii="Arial" w:hAnsi="Arial" w:cs="Arial"/>
                <w:sz w:val="20"/>
                <w:szCs w:val="20"/>
              </w:rPr>
              <w:t>429,000</w:t>
            </w:r>
          </w:p>
        </w:tc>
        <w:tc>
          <w:tcPr>
            <w:tcW w:w="1080" w:type="dxa"/>
            <w:vAlign w:val="bottom"/>
          </w:tcPr>
          <w:p w:rsidR="003B0815" w:rsidRDefault="003B0815" w14:paraId="540040BB" w14:textId="77777777">
            <w:pPr>
              <w:keepNext/>
              <w:jc w:val="center"/>
              <w:rPr>
                <w:rFonts w:ascii="Arial" w:hAnsi="Arial"/>
                <w:sz w:val="20"/>
                <w:szCs w:val="20"/>
              </w:rPr>
            </w:pPr>
            <w:r>
              <w:rPr>
                <w:rFonts w:ascii="Arial" w:hAnsi="Arial" w:cs="Arial"/>
                <w:sz w:val="20"/>
                <w:szCs w:val="20"/>
              </w:rPr>
              <w:t>343,000</w:t>
            </w:r>
          </w:p>
        </w:tc>
        <w:tc>
          <w:tcPr>
            <w:tcW w:w="1080" w:type="dxa"/>
            <w:vAlign w:val="bottom"/>
          </w:tcPr>
          <w:p w:rsidR="003B0815" w:rsidRDefault="003B0815" w14:paraId="28C039C6" w14:textId="77777777">
            <w:pPr>
              <w:keepNext/>
              <w:jc w:val="center"/>
              <w:rPr>
                <w:rFonts w:ascii="Arial" w:hAnsi="Arial"/>
                <w:sz w:val="20"/>
                <w:szCs w:val="20"/>
              </w:rPr>
            </w:pPr>
            <w:r>
              <w:rPr>
                <w:rFonts w:ascii="Arial" w:hAnsi="Arial" w:cs="Arial"/>
                <w:sz w:val="20"/>
                <w:szCs w:val="20"/>
              </w:rPr>
              <w:t>515,000</w:t>
            </w:r>
          </w:p>
        </w:tc>
        <w:tc>
          <w:tcPr>
            <w:tcW w:w="900" w:type="dxa"/>
            <w:vAlign w:val="bottom"/>
          </w:tcPr>
          <w:p w:rsidR="003B0815" w:rsidRDefault="003B0815" w14:paraId="717533B9"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384E3565" w14:textId="77777777">
            <w:pPr>
              <w:keepNext/>
              <w:jc w:val="right"/>
              <w:rPr>
                <w:rFonts w:ascii="Arial" w:hAnsi="Arial"/>
                <w:b/>
                <w:sz w:val="20"/>
                <w:szCs w:val="20"/>
              </w:rPr>
            </w:pPr>
            <w:r>
              <w:rPr>
                <w:rFonts w:ascii="Arial" w:hAnsi="Arial" w:cs="Arial"/>
                <w:b/>
                <w:bCs/>
                <w:sz w:val="20"/>
                <w:szCs w:val="20"/>
              </w:rPr>
              <w:t xml:space="preserve">9.0 </w:t>
            </w:r>
          </w:p>
        </w:tc>
        <w:tc>
          <w:tcPr>
            <w:tcW w:w="1080" w:type="dxa"/>
            <w:shd w:val="clear" w:color="auto" w:fill="CCCCCC"/>
            <w:vAlign w:val="bottom"/>
          </w:tcPr>
          <w:p w:rsidR="003B0815" w:rsidRDefault="003B0815" w14:paraId="2B6340D4" w14:textId="77777777">
            <w:pPr>
              <w:keepNext/>
              <w:jc w:val="right"/>
              <w:rPr>
                <w:rFonts w:ascii="Arial" w:hAnsi="Arial"/>
                <w:b/>
                <w:sz w:val="20"/>
                <w:szCs w:val="20"/>
              </w:rPr>
            </w:pPr>
            <w:r>
              <w:rPr>
                <w:rFonts w:ascii="Arial" w:hAnsi="Arial" w:cs="Arial"/>
                <w:b/>
                <w:bCs/>
                <w:sz w:val="20"/>
                <w:szCs w:val="20"/>
              </w:rPr>
              <w:t xml:space="preserve">7.2 </w:t>
            </w:r>
          </w:p>
        </w:tc>
        <w:tc>
          <w:tcPr>
            <w:tcW w:w="1065" w:type="dxa"/>
            <w:tcBorders>
              <w:right w:val="single" w:color="auto" w:sz="12" w:space="0"/>
            </w:tcBorders>
            <w:shd w:val="clear" w:color="auto" w:fill="CCCCCC"/>
            <w:vAlign w:val="bottom"/>
          </w:tcPr>
          <w:p w:rsidR="003B0815" w:rsidRDefault="003B0815" w14:paraId="19BAD664" w14:textId="77777777">
            <w:pPr>
              <w:keepNext/>
              <w:jc w:val="right"/>
              <w:rPr>
                <w:rFonts w:ascii="Arial" w:hAnsi="Arial"/>
                <w:b/>
                <w:sz w:val="20"/>
                <w:szCs w:val="20"/>
              </w:rPr>
            </w:pPr>
            <w:r>
              <w:rPr>
                <w:rFonts w:ascii="Arial" w:hAnsi="Arial" w:cs="Arial"/>
                <w:b/>
                <w:bCs/>
                <w:sz w:val="20"/>
                <w:szCs w:val="20"/>
              </w:rPr>
              <w:t xml:space="preserve">10.8 </w:t>
            </w:r>
          </w:p>
        </w:tc>
      </w:tr>
      <w:tr w:rsidR="003B0815" w14:paraId="12252F40" w14:textId="77777777">
        <w:trPr>
          <w:jc w:val="center"/>
        </w:trPr>
        <w:tc>
          <w:tcPr>
            <w:tcW w:w="720" w:type="dxa"/>
            <w:tcBorders>
              <w:left w:val="single" w:color="auto" w:sz="12" w:space="0"/>
            </w:tcBorders>
          </w:tcPr>
          <w:p w:rsidR="003B0815" w:rsidRDefault="003B0815" w14:paraId="5F65782D" w14:textId="77777777">
            <w:pPr>
              <w:keepNext/>
              <w:jc w:val="center"/>
              <w:rPr>
                <w:rFonts w:ascii="Arial" w:hAnsi="Arial"/>
                <w:sz w:val="20"/>
                <w:szCs w:val="20"/>
              </w:rPr>
            </w:pPr>
            <w:r>
              <w:t>2011</w:t>
            </w:r>
          </w:p>
        </w:tc>
        <w:tc>
          <w:tcPr>
            <w:tcW w:w="1440" w:type="dxa"/>
            <w:vAlign w:val="bottom"/>
          </w:tcPr>
          <w:p w:rsidR="003B0815" w:rsidRDefault="003B0815" w14:paraId="52C046F7" w14:textId="77777777">
            <w:pPr>
              <w:keepNext/>
              <w:jc w:val="center"/>
              <w:rPr>
                <w:rFonts w:ascii="Arial" w:hAnsi="Arial"/>
                <w:sz w:val="20"/>
                <w:szCs w:val="20"/>
              </w:rPr>
            </w:pPr>
            <w:r>
              <w:rPr>
                <w:rFonts w:ascii="Arial" w:hAnsi="Arial" w:cs="Arial"/>
                <w:sz w:val="20"/>
                <w:szCs w:val="20"/>
              </w:rPr>
              <w:t>63.7</w:t>
            </w:r>
          </w:p>
        </w:tc>
        <w:tc>
          <w:tcPr>
            <w:tcW w:w="1142" w:type="dxa"/>
            <w:vAlign w:val="bottom"/>
          </w:tcPr>
          <w:p w:rsidR="003B0815" w:rsidRDefault="003B0815" w14:paraId="356F4BCC" w14:textId="77777777">
            <w:pPr>
              <w:keepNext/>
              <w:jc w:val="center"/>
              <w:rPr>
                <w:rFonts w:ascii="Arial" w:hAnsi="Arial"/>
                <w:sz w:val="20"/>
                <w:szCs w:val="20"/>
              </w:rPr>
            </w:pPr>
            <w:r>
              <w:rPr>
                <w:rFonts w:ascii="Arial" w:hAnsi="Arial" w:cs="Arial"/>
                <w:sz w:val="20"/>
                <w:szCs w:val="20"/>
              </w:rPr>
              <w:t>442,000</w:t>
            </w:r>
          </w:p>
        </w:tc>
        <w:tc>
          <w:tcPr>
            <w:tcW w:w="1080" w:type="dxa"/>
            <w:vAlign w:val="bottom"/>
          </w:tcPr>
          <w:p w:rsidR="003B0815" w:rsidRDefault="003B0815" w14:paraId="09BB9154" w14:textId="77777777">
            <w:pPr>
              <w:keepNext/>
              <w:jc w:val="center"/>
              <w:rPr>
                <w:rFonts w:ascii="Arial" w:hAnsi="Arial"/>
                <w:sz w:val="20"/>
                <w:szCs w:val="20"/>
              </w:rPr>
            </w:pPr>
            <w:r>
              <w:rPr>
                <w:rFonts w:ascii="Arial" w:hAnsi="Arial" w:cs="Arial"/>
                <w:sz w:val="20"/>
                <w:szCs w:val="20"/>
              </w:rPr>
              <w:t>354,000</w:t>
            </w:r>
          </w:p>
        </w:tc>
        <w:tc>
          <w:tcPr>
            <w:tcW w:w="1080" w:type="dxa"/>
            <w:vAlign w:val="bottom"/>
          </w:tcPr>
          <w:p w:rsidR="003B0815" w:rsidRDefault="003B0815" w14:paraId="7BC2EA2D" w14:textId="77777777">
            <w:pPr>
              <w:keepNext/>
              <w:jc w:val="center"/>
              <w:rPr>
                <w:rFonts w:ascii="Arial" w:hAnsi="Arial"/>
                <w:sz w:val="20"/>
                <w:szCs w:val="20"/>
              </w:rPr>
            </w:pPr>
            <w:r>
              <w:rPr>
                <w:rFonts w:ascii="Arial" w:hAnsi="Arial" w:cs="Arial"/>
                <w:sz w:val="20"/>
                <w:szCs w:val="20"/>
              </w:rPr>
              <w:t>531,000</w:t>
            </w:r>
          </w:p>
        </w:tc>
        <w:tc>
          <w:tcPr>
            <w:tcW w:w="900" w:type="dxa"/>
            <w:vAlign w:val="bottom"/>
          </w:tcPr>
          <w:p w:rsidR="003B0815" w:rsidRDefault="003B0815" w14:paraId="7F9EB60E"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6BB4514" w14:textId="77777777">
            <w:pPr>
              <w:keepNext/>
              <w:jc w:val="right"/>
              <w:rPr>
                <w:rFonts w:ascii="Arial" w:hAnsi="Arial"/>
                <w:b/>
                <w:sz w:val="20"/>
                <w:szCs w:val="20"/>
              </w:rPr>
            </w:pPr>
            <w:r>
              <w:rPr>
                <w:rFonts w:ascii="Arial" w:hAnsi="Arial" w:cs="Arial"/>
                <w:b/>
                <w:bCs/>
                <w:sz w:val="20"/>
                <w:szCs w:val="20"/>
              </w:rPr>
              <w:t xml:space="preserve">9.2 </w:t>
            </w:r>
          </w:p>
        </w:tc>
        <w:tc>
          <w:tcPr>
            <w:tcW w:w="1080" w:type="dxa"/>
            <w:shd w:val="clear" w:color="auto" w:fill="CCCCCC"/>
            <w:vAlign w:val="bottom"/>
          </w:tcPr>
          <w:p w:rsidR="003B0815" w:rsidRDefault="003B0815" w14:paraId="5955CBD5" w14:textId="77777777">
            <w:pPr>
              <w:keepNext/>
              <w:jc w:val="right"/>
              <w:rPr>
                <w:rFonts w:ascii="Arial" w:hAnsi="Arial"/>
                <w:b/>
                <w:sz w:val="20"/>
                <w:szCs w:val="20"/>
              </w:rPr>
            </w:pPr>
            <w:r>
              <w:rPr>
                <w:rFonts w:ascii="Arial" w:hAnsi="Arial" w:cs="Arial"/>
                <w:b/>
                <w:bCs/>
                <w:sz w:val="20"/>
                <w:szCs w:val="20"/>
              </w:rPr>
              <w:t xml:space="preserve">7.4 </w:t>
            </w:r>
          </w:p>
        </w:tc>
        <w:tc>
          <w:tcPr>
            <w:tcW w:w="1065" w:type="dxa"/>
            <w:tcBorders>
              <w:right w:val="single" w:color="auto" w:sz="12" w:space="0"/>
            </w:tcBorders>
            <w:shd w:val="clear" w:color="auto" w:fill="CCCCCC"/>
            <w:vAlign w:val="bottom"/>
          </w:tcPr>
          <w:p w:rsidR="003B0815" w:rsidRDefault="003B0815" w14:paraId="4B7993BA" w14:textId="77777777">
            <w:pPr>
              <w:keepNext/>
              <w:jc w:val="right"/>
              <w:rPr>
                <w:rFonts w:ascii="Arial" w:hAnsi="Arial"/>
                <w:b/>
                <w:sz w:val="20"/>
                <w:szCs w:val="20"/>
              </w:rPr>
            </w:pPr>
            <w:r>
              <w:rPr>
                <w:rFonts w:ascii="Arial" w:hAnsi="Arial" w:cs="Arial"/>
                <w:b/>
                <w:bCs/>
                <w:sz w:val="20"/>
                <w:szCs w:val="20"/>
              </w:rPr>
              <w:t xml:space="preserve">11.1 </w:t>
            </w:r>
          </w:p>
        </w:tc>
      </w:tr>
      <w:tr w:rsidR="003B0815" w14:paraId="2AB0181F" w14:textId="77777777">
        <w:trPr>
          <w:jc w:val="center"/>
        </w:trPr>
        <w:tc>
          <w:tcPr>
            <w:tcW w:w="720" w:type="dxa"/>
            <w:tcBorders>
              <w:left w:val="single" w:color="auto" w:sz="12" w:space="0"/>
            </w:tcBorders>
          </w:tcPr>
          <w:p w:rsidR="003B0815" w:rsidRDefault="003B0815" w14:paraId="37925436" w14:textId="77777777">
            <w:pPr>
              <w:keepNext/>
              <w:jc w:val="center"/>
              <w:rPr>
                <w:rFonts w:ascii="Arial" w:hAnsi="Arial"/>
                <w:sz w:val="20"/>
                <w:szCs w:val="20"/>
              </w:rPr>
            </w:pPr>
            <w:r>
              <w:t>2012</w:t>
            </w:r>
          </w:p>
        </w:tc>
        <w:tc>
          <w:tcPr>
            <w:tcW w:w="1440" w:type="dxa"/>
            <w:vAlign w:val="bottom"/>
          </w:tcPr>
          <w:p w:rsidR="003B0815" w:rsidRDefault="003B0815" w14:paraId="03B56AAC" w14:textId="77777777">
            <w:pPr>
              <w:keepNext/>
              <w:jc w:val="center"/>
              <w:rPr>
                <w:rFonts w:ascii="Arial" w:hAnsi="Arial"/>
                <w:sz w:val="20"/>
                <w:szCs w:val="20"/>
              </w:rPr>
            </w:pPr>
            <w:r>
              <w:rPr>
                <w:rFonts w:ascii="Arial" w:hAnsi="Arial" w:cs="Arial"/>
                <w:sz w:val="20"/>
                <w:szCs w:val="20"/>
              </w:rPr>
              <w:t>65.8</w:t>
            </w:r>
          </w:p>
        </w:tc>
        <w:tc>
          <w:tcPr>
            <w:tcW w:w="1142" w:type="dxa"/>
            <w:vAlign w:val="bottom"/>
          </w:tcPr>
          <w:p w:rsidR="003B0815" w:rsidRDefault="003B0815" w14:paraId="61C9EDCC" w14:textId="77777777">
            <w:pPr>
              <w:keepNext/>
              <w:jc w:val="center"/>
              <w:rPr>
                <w:rFonts w:ascii="Arial" w:hAnsi="Arial"/>
                <w:sz w:val="20"/>
                <w:szCs w:val="20"/>
              </w:rPr>
            </w:pPr>
            <w:r>
              <w:rPr>
                <w:rFonts w:ascii="Arial" w:hAnsi="Arial" w:cs="Arial"/>
                <w:sz w:val="20"/>
                <w:szCs w:val="20"/>
              </w:rPr>
              <w:t>457,000</w:t>
            </w:r>
          </w:p>
        </w:tc>
        <w:tc>
          <w:tcPr>
            <w:tcW w:w="1080" w:type="dxa"/>
            <w:vAlign w:val="bottom"/>
          </w:tcPr>
          <w:p w:rsidR="003B0815" w:rsidRDefault="003B0815" w14:paraId="1AB4967C" w14:textId="77777777">
            <w:pPr>
              <w:keepNext/>
              <w:jc w:val="center"/>
              <w:rPr>
                <w:rFonts w:ascii="Arial" w:hAnsi="Arial"/>
                <w:sz w:val="20"/>
                <w:szCs w:val="20"/>
              </w:rPr>
            </w:pPr>
            <w:r>
              <w:rPr>
                <w:rFonts w:ascii="Arial" w:hAnsi="Arial" w:cs="Arial"/>
                <w:sz w:val="20"/>
                <w:szCs w:val="20"/>
              </w:rPr>
              <w:t>366,000</w:t>
            </w:r>
          </w:p>
        </w:tc>
        <w:tc>
          <w:tcPr>
            <w:tcW w:w="1080" w:type="dxa"/>
            <w:vAlign w:val="bottom"/>
          </w:tcPr>
          <w:p w:rsidR="003B0815" w:rsidRDefault="003B0815" w14:paraId="1CFDD1B0" w14:textId="77777777">
            <w:pPr>
              <w:keepNext/>
              <w:jc w:val="center"/>
              <w:rPr>
                <w:rFonts w:ascii="Arial" w:hAnsi="Arial"/>
                <w:sz w:val="20"/>
                <w:szCs w:val="20"/>
              </w:rPr>
            </w:pPr>
            <w:r>
              <w:rPr>
                <w:rFonts w:ascii="Arial" w:hAnsi="Arial" w:cs="Arial"/>
                <w:sz w:val="20"/>
                <w:szCs w:val="20"/>
              </w:rPr>
              <w:t>548,000</w:t>
            </w:r>
          </w:p>
        </w:tc>
        <w:tc>
          <w:tcPr>
            <w:tcW w:w="900" w:type="dxa"/>
            <w:vAlign w:val="bottom"/>
          </w:tcPr>
          <w:p w:rsidR="003B0815" w:rsidRDefault="003B0815" w14:paraId="50622115"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5F9BFBCB" w14:textId="77777777">
            <w:pPr>
              <w:keepNext/>
              <w:jc w:val="right"/>
              <w:rPr>
                <w:rFonts w:ascii="Arial" w:hAnsi="Arial"/>
                <w:b/>
                <w:sz w:val="20"/>
                <w:szCs w:val="20"/>
              </w:rPr>
            </w:pPr>
            <w:r>
              <w:rPr>
                <w:rFonts w:ascii="Arial" w:hAnsi="Arial" w:cs="Arial"/>
                <w:b/>
                <w:bCs/>
                <w:sz w:val="20"/>
                <w:szCs w:val="20"/>
              </w:rPr>
              <w:t xml:space="preserve">9.5 </w:t>
            </w:r>
          </w:p>
        </w:tc>
        <w:tc>
          <w:tcPr>
            <w:tcW w:w="1080" w:type="dxa"/>
            <w:shd w:val="clear" w:color="auto" w:fill="CCCCCC"/>
            <w:vAlign w:val="bottom"/>
          </w:tcPr>
          <w:p w:rsidR="003B0815" w:rsidRDefault="003B0815" w14:paraId="7E177A6D" w14:textId="77777777">
            <w:pPr>
              <w:keepNext/>
              <w:jc w:val="right"/>
              <w:rPr>
                <w:rFonts w:ascii="Arial" w:hAnsi="Arial"/>
                <w:b/>
                <w:sz w:val="20"/>
                <w:szCs w:val="20"/>
              </w:rPr>
            </w:pPr>
            <w:r>
              <w:rPr>
                <w:rFonts w:ascii="Arial" w:hAnsi="Arial" w:cs="Arial"/>
                <w:b/>
                <w:bCs/>
                <w:sz w:val="20"/>
                <w:szCs w:val="20"/>
              </w:rPr>
              <w:t xml:space="preserve">7.6 </w:t>
            </w:r>
          </w:p>
        </w:tc>
        <w:tc>
          <w:tcPr>
            <w:tcW w:w="1065" w:type="dxa"/>
            <w:tcBorders>
              <w:right w:val="single" w:color="auto" w:sz="12" w:space="0"/>
            </w:tcBorders>
            <w:shd w:val="clear" w:color="auto" w:fill="CCCCCC"/>
            <w:vAlign w:val="bottom"/>
          </w:tcPr>
          <w:p w:rsidR="003B0815" w:rsidRDefault="003B0815" w14:paraId="65C0A613" w14:textId="77777777">
            <w:pPr>
              <w:keepNext/>
              <w:jc w:val="right"/>
              <w:rPr>
                <w:rFonts w:ascii="Arial" w:hAnsi="Arial"/>
                <w:b/>
                <w:sz w:val="20"/>
                <w:szCs w:val="20"/>
              </w:rPr>
            </w:pPr>
            <w:r>
              <w:rPr>
                <w:rFonts w:ascii="Arial" w:hAnsi="Arial" w:cs="Arial"/>
                <w:b/>
                <w:bCs/>
                <w:sz w:val="20"/>
                <w:szCs w:val="20"/>
              </w:rPr>
              <w:t xml:space="preserve">11.4 </w:t>
            </w:r>
          </w:p>
        </w:tc>
      </w:tr>
      <w:tr w:rsidR="003B0815" w14:paraId="78EF4C8D" w14:textId="77777777">
        <w:trPr>
          <w:jc w:val="center"/>
        </w:trPr>
        <w:tc>
          <w:tcPr>
            <w:tcW w:w="720" w:type="dxa"/>
            <w:tcBorders>
              <w:left w:val="single" w:color="auto" w:sz="12" w:space="0"/>
            </w:tcBorders>
          </w:tcPr>
          <w:p w:rsidR="003B0815" w:rsidRDefault="003B0815" w14:paraId="409A2259" w14:textId="77777777">
            <w:pPr>
              <w:keepNext/>
              <w:jc w:val="center"/>
              <w:rPr>
                <w:rFonts w:ascii="Arial" w:hAnsi="Arial"/>
                <w:sz w:val="20"/>
                <w:szCs w:val="20"/>
              </w:rPr>
            </w:pPr>
            <w:r>
              <w:t>2013</w:t>
            </w:r>
          </w:p>
        </w:tc>
        <w:tc>
          <w:tcPr>
            <w:tcW w:w="1440" w:type="dxa"/>
            <w:vAlign w:val="bottom"/>
          </w:tcPr>
          <w:p w:rsidR="003B0815" w:rsidRDefault="003B0815" w14:paraId="742475F0" w14:textId="77777777">
            <w:pPr>
              <w:keepNext/>
              <w:jc w:val="center"/>
              <w:rPr>
                <w:rFonts w:ascii="Arial" w:hAnsi="Arial"/>
                <w:sz w:val="20"/>
                <w:szCs w:val="20"/>
              </w:rPr>
            </w:pPr>
            <w:r>
              <w:rPr>
                <w:rFonts w:ascii="Arial" w:hAnsi="Arial" w:cs="Arial"/>
                <w:sz w:val="20"/>
                <w:szCs w:val="20"/>
              </w:rPr>
              <w:t>67.9</w:t>
            </w:r>
          </w:p>
        </w:tc>
        <w:tc>
          <w:tcPr>
            <w:tcW w:w="1142" w:type="dxa"/>
            <w:vAlign w:val="bottom"/>
          </w:tcPr>
          <w:p w:rsidR="003B0815" w:rsidRDefault="003B0815" w14:paraId="35CD6E93" w14:textId="77777777">
            <w:pPr>
              <w:keepNext/>
              <w:jc w:val="center"/>
              <w:rPr>
                <w:rFonts w:ascii="Arial" w:hAnsi="Arial"/>
                <w:sz w:val="20"/>
                <w:szCs w:val="20"/>
              </w:rPr>
            </w:pPr>
            <w:r>
              <w:rPr>
                <w:rFonts w:ascii="Arial" w:hAnsi="Arial" w:cs="Arial"/>
                <w:sz w:val="20"/>
                <w:szCs w:val="20"/>
              </w:rPr>
              <w:t>472,000</w:t>
            </w:r>
          </w:p>
        </w:tc>
        <w:tc>
          <w:tcPr>
            <w:tcW w:w="1080" w:type="dxa"/>
            <w:vAlign w:val="bottom"/>
          </w:tcPr>
          <w:p w:rsidR="003B0815" w:rsidRDefault="003B0815" w14:paraId="2517D6F2" w14:textId="77777777">
            <w:pPr>
              <w:keepNext/>
              <w:jc w:val="center"/>
              <w:rPr>
                <w:rFonts w:ascii="Arial" w:hAnsi="Arial"/>
                <w:sz w:val="20"/>
                <w:szCs w:val="20"/>
              </w:rPr>
            </w:pPr>
            <w:r>
              <w:rPr>
                <w:rFonts w:ascii="Arial" w:hAnsi="Arial" w:cs="Arial"/>
                <w:sz w:val="20"/>
                <w:szCs w:val="20"/>
              </w:rPr>
              <w:t>377,000</w:t>
            </w:r>
          </w:p>
        </w:tc>
        <w:tc>
          <w:tcPr>
            <w:tcW w:w="1080" w:type="dxa"/>
            <w:vAlign w:val="bottom"/>
          </w:tcPr>
          <w:p w:rsidR="003B0815" w:rsidRDefault="003B0815" w14:paraId="1E9DB7B7" w14:textId="77777777">
            <w:pPr>
              <w:keepNext/>
              <w:jc w:val="center"/>
              <w:rPr>
                <w:rFonts w:ascii="Arial" w:hAnsi="Arial"/>
                <w:sz w:val="20"/>
                <w:szCs w:val="20"/>
              </w:rPr>
            </w:pPr>
            <w:r>
              <w:rPr>
                <w:rFonts w:ascii="Arial" w:hAnsi="Arial" w:cs="Arial"/>
                <w:sz w:val="20"/>
                <w:szCs w:val="20"/>
              </w:rPr>
              <w:t>566,000</w:t>
            </w:r>
          </w:p>
        </w:tc>
        <w:tc>
          <w:tcPr>
            <w:tcW w:w="900" w:type="dxa"/>
            <w:vAlign w:val="bottom"/>
          </w:tcPr>
          <w:p w:rsidR="003B0815" w:rsidRDefault="003B0815" w14:paraId="239DAAFE"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72B59EFF" w14:textId="77777777">
            <w:pPr>
              <w:keepNext/>
              <w:jc w:val="right"/>
              <w:rPr>
                <w:rFonts w:ascii="Arial" w:hAnsi="Arial"/>
                <w:b/>
                <w:sz w:val="20"/>
                <w:szCs w:val="20"/>
              </w:rPr>
            </w:pPr>
            <w:r>
              <w:rPr>
                <w:rFonts w:ascii="Arial" w:hAnsi="Arial" w:cs="Arial"/>
                <w:b/>
                <w:bCs/>
                <w:sz w:val="20"/>
                <w:szCs w:val="20"/>
              </w:rPr>
              <w:t xml:space="preserve">9.9 </w:t>
            </w:r>
          </w:p>
        </w:tc>
        <w:tc>
          <w:tcPr>
            <w:tcW w:w="1080" w:type="dxa"/>
            <w:shd w:val="clear" w:color="auto" w:fill="CCCCCC"/>
            <w:vAlign w:val="bottom"/>
          </w:tcPr>
          <w:p w:rsidR="003B0815" w:rsidRDefault="003B0815" w14:paraId="3CA19CD7" w14:textId="77777777">
            <w:pPr>
              <w:keepNext/>
              <w:jc w:val="right"/>
              <w:rPr>
                <w:rFonts w:ascii="Arial" w:hAnsi="Arial"/>
                <w:b/>
                <w:sz w:val="20"/>
                <w:szCs w:val="20"/>
              </w:rPr>
            </w:pPr>
            <w:r>
              <w:rPr>
                <w:rFonts w:ascii="Arial" w:hAnsi="Arial" w:cs="Arial"/>
                <w:b/>
                <w:bCs/>
                <w:sz w:val="20"/>
                <w:szCs w:val="20"/>
              </w:rPr>
              <w:t xml:space="preserve">7.9 </w:t>
            </w:r>
          </w:p>
        </w:tc>
        <w:tc>
          <w:tcPr>
            <w:tcW w:w="1065" w:type="dxa"/>
            <w:tcBorders>
              <w:right w:val="single" w:color="auto" w:sz="12" w:space="0"/>
            </w:tcBorders>
            <w:shd w:val="clear" w:color="auto" w:fill="CCCCCC"/>
            <w:vAlign w:val="bottom"/>
          </w:tcPr>
          <w:p w:rsidR="003B0815" w:rsidRDefault="003B0815" w14:paraId="1F0AB5DB" w14:textId="77777777">
            <w:pPr>
              <w:keepNext/>
              <w:jc w:val="right"/>
              <w:rPr>
                <w:rFonts w:ascii="Arial" w:hAnsi="Arial"/>
                <w:b/>
                <w:sz w:val="20"/>
                <w:szCs w:val="20"/>
              </w:rPr>
            </w:pPr>
            <w:r>
              <w:rPr>
                <w:rFonts w:ascii="Arial" w:hAnsi="Arial" w:cs="Arial"/>
                <w:b/>
                <w:bCs/>
                <w:sz w:val="20"/>
                <w:szCs w:val="20"/>
              </w:rPr>
              <w:t xml:space="preserve">11.8 </w:t>
            </w:r>
          </w:p>
        </w:tc>
      </w:tr>
      <w:tr w:rsidR="003B0815" w14:paraId="12AB639A" w14:textId="77777777">
        <w:trPr>
          <w:jc w:val="center"/>
        </w:trPr>
        <w:tc>
          <w:tcPr>
            <w:tcW w:w="720" w:type="dxa"/>
            <w:tcBorders>
              <w:left w:val="single" w:color="auto" w:sz="12" w:space="0"/>
            </w:tcBorders>
          </w:tcPr>
          <w:p w:rsidR="003B0815" w:rsidRDefault="003B0815" w14:paraId="0F58ADB1" w14:textId="77777777">
            <w:pPr>
              <w:keepNext/>
              <w:jc w:val="center"/>
              <w:rPr>
                <w:rFonts w:ascii="Arial" w:hAnsi="Arial"/>
                <w:sz w:val="20"/>
                <w:szCs w:val="20"/>
              </w:rPr>
            </w:pPr>
            <w:r>
              <w:t>2014</w:t>
            </w:r>
          </w:p>
        </w:tc>
        <w:tc>
          <w:tcPr>
            <w:tcW w:w="1440" w:type="dxa"/>
            <w:vAlign w:val="bottom"/>
          </w:tcPr>
          <w:p w:rsidR="003B0815" w:rsidRDefault="003B0815" w14:paraId="580C2B80" w14:textId="77777777">
            <w:pPr>
              <w:keepNext/>
              <w:jc w:val="center"/>
              <w:rPr>
                <w:rFonts w:ascii="Arial" w:hAnsi="Arial"/>
                <w:sz w:val="20"/>
                <w:szCs w:val="20"/>
              </w:rPr>
            </w:pPr>
            <w:r>
              <w:rPr>
                <w:rFonts w:ascii="Arial" w:hAnsi="Arial" w:cs="Arial"/>
                <w:sz w:val="20"/>
                <w:szCs w:val="20"/>
              </w:rPr>
              <w:t>70.1</w:t>
            </w:r>
          </w:p>
        </w:tc>
        <w:tc>
          <w:tcPr>
            <w:tcW w:w="1142" w:type="dxa"/>
            <w:vAlign w:val="bottom"/>
          </w:tcPr>
          <w:p w:rsidR="003B0815" w:rsidRDefault="003B0815" w14:paraId="65EDC349" w14:textId="77777777">
            <w:pPr>
              <w:keepNext/>
              <w:jc w:val="center"/>
              <w:rPr>
                <w:rFonts w:ascii="Arial" w:hAnsi="Arial"/>
                <w:sz w:val="20"/>
                <w:szCs w:val="20"/>
              </w:rPr>
            </w:pPr>
            <w:r>
              <w:rPr>
                <w:rFonts w:ascii="Arial" w:hAnsi="Arial" w:cs="Arial"/>
                <w:sz w:val="20"/>
                <w:szCs w:val="20"/>
              </w:rPr>
              <w:t>487,000</w:t>
            </w:r>
          </w:p>
        </w:tc>
        <w:tc>
          <w:tcPr>
            <w:tcW w:w="1080" w:type="dxa"/>
            <w:vAlign w:val="bottom"/>
          </w:tcPr>
          <w:p w:rsidR="003B0815" w:rsidRDefault="003B0815" w14:paraId="6D69B609" w14:textId="77777777">
            <w:pPr>
              <w:keepNext/>
              <w:jc w:val="center"/>
              <w:rPr>
                <w:rFonts w:ascii="Arial" w:hAnsi="Arial"/>
                <w:sz w:val="20"/>
                <w:szCs w:val="20"/>
              </w:rPr>
            </w:pPr>
            <w:r>
              <w:rPr>
                <w:rFonts w:ascii="Arial" w:hAnsi="Arial" w:cs="Arial"/>
                <w:sz w:val="20"/>
                <w:szCs w:val="20"/>
              </w:rPr>
              <w:t>389,000</w:t>
            </w:r>
          </w:p>
        </w:tc>
        <w:tc>
          <w:tcPr>
            <w:tcW w:w="1080" w:type="dxa"/>
            <w:vAlign w:val="bottom"/>
          </w:tcPr>
          <w:p w:rsidR="003B0815" w:rsidRDefault="003B0815" w14:paraId="0B797467" w14:textId="77777777">
            <w:pPr>
              <w:keepNext/>
              <w:jc w:val="center"/>
              <w:rPr>
                <w:rFonts w:ascii="Arial" w:hAnsi="Arial"/>
                <w:sz w:val="20"/>
                <w:szCs w:val="20"/>
              </w:rPr>
            </w:pPr>
            <w:r>
              <w:rPr>
                <w:rFonts w:ascii="Arial" w:hAnsi="Arial" w:cs="Arial"/>
                <w:sz w:val="20"/>
                <w:szCs w:val="20"/>
              </w:rPr>
              <w:t>584,000</w:t>
            </w:r>
          </w:p>
        </w:tc>
        <w:tc>
          <w:tcPr>
            <w:tcW w:w="900" w:type="dxa"/>
            <w:vAlign w:val="bottom"/>
          </w:tcPr>
          <w:p w:rsidR="003B0815" w:rsidRDefault="003B0815" w14:paraId="4D735415"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5C6D7A1A" w14:textId="77777777">
            <w:pPr>
              <w:keepNext/>
              <w:jc w:val="right"/>
              <w:rPr>
                <w:rFonts w:ascii="Arial" w:hAnsi="Arial"/>
                <w:b/>
                <w:sz w:val="20"/>
                <w:szCs w:val="20"/>
              </w:rPr>
            </w:pPr>
            <w:r>
              <w:rPr>
                <w:rFonts w:ascii="Arial" w:hAnsi="Arial" w:cs="Arial"/>
                <w:b/>
                <w:bCs/>
                <w:sz w:val="20"/>
                <w:szCs w:val="20"/>
              </w:rPr>
              <w:t xml:space="preserve">10.2 </w:t>
            </w:r>
          </w:p>
        </w:tc>
        <w:tc>
          <w:tcPr>
            <w:tcW w:w="1080" w:type="dxa"/>
            <w:shd w:val="clear" w:color="auto" w:fill="CCCCCC"/>
            <w:vAlign w:val="bottom"/>
          </w:tcPr>
          <w:p w:rsidR="003B0815" w:rsidRDefault="003B0815" w14:paraId="6EF2146E" w14:textId="77777777">
            <w:pPr>
              <w:keepNext/>
              <w:jc w:val="right"/>
              <w:rPr>
                <w:rFonts w:ascii="Arial" w:hAnsi="Arial"/>
                <w:b/>
                <w:sz w:val="20"/>
                <w:szCs w:val="20"/>
              </w:rPr>
            </w:pPr>
            <w:r>
              <w:rPr>
                <w:rFonts w:ascii="Arial" w:hAnsi="Arial" w:cs="Arial"/>
                <w:b/>
                <w:bCs/>
                <w:sz w:val="20"/>
                <w:szCs w:val="20"/>
              </w:rPr>
              <w:t xml:space="preserve">8.1 </w:t>
            </w:r>
          </w:p>
        </w:tc>
        <w:tc>
          <w:tcPr>
            <w:tcW w:w="1065" w:type="dxa"/>
            <w:tcBorders>
              <w:right w:val="single" w:color="auto" w:sz="12" w:space="0"/>
            </w:tcBorders>
            <w:shd w:val="clear" w:color="auto" w:fill="CCCCCC"/>
            <w:vAlign w:val="bottom"/>
          </w:tcPr>
          <w:p w:rsidR="003B0815" w:rsidRDefault="003B0815" w14:paraId="5806A9C2" w14:textId="77777777">
            <w:pPr>
              <w:keepNext/>
              <w:jc w:val="right"/>
              <w:rPr>
                <w:rFonts w:ascii="Arial" w:hAnsi="Arial"/>
                <w:b/>
                <w:sz w:val="20"/>
                <w:szCs w:val="20"/>
              </w:rPr>
            </w:pPr>
            <w:r>
              <w:rPr>
                <w:rFonts w:ascii="Arial" w:hAnsi="Arial" w:cs="Arial"/>
                <w:b/>
                <w:bCs/>
                <w:sz w:val="20"/>
                <w:szCs w:val="20"/>
              </w:rPr>
              <w:t xml:space="preserve">12.2 </w:t>
            </w:r>
          </w:p>
        </w:tc>
      </w:tr>
      <w:tr w:rsidR="003B0815" w14:paraId="6A3A88AB" w14:textId="77777777">
        <w:trPr>
          <w:jc w:val="center"/>
        </w:trPr>
        <w:tc>
          <w:tcPr>
            <w:tcW w:w="720" w:type="dxa"/>
            <w:tcBorders>
              <w:left w:val="single" w:color="auto" w:sz="12" w:space="0"/>
            </w:tcBorders>
          </w:tcPr>
          <w:p w:rsidR="003B0815" w:rsidRDefault="003B0815" w14:paraId="5418C28B" w14:textId="77777777">
            <w:pPr>
              <w:keepNext/>
              <w:jc w:val="center"/>
              <w:rPr>
                <w:rFonts w:ascii="Arial" w:hAnsi="Arial"/>
                <w:sz w:val="20"/>
                <w:szCs w:val="20"/>
              </w:rPr>
            </w:pPr>
            <w:r>
              <w:t>2015</w:t>
            </w:r>
          </w:p>
        </w:tc>
        <w:tc>
          <w:tcPr>
            <w:tcW w:w="1440" w:type="dxa"/>
            <w:vAlign w:val="bottom"/>
          </w:tcPr>
          <w:p w:rsidR="003B0815" w:rsidRDefault="003B0815" w14:paraId="54EC1FCB" w14:textId="77777777">
            <w:pPr>
              <w:keepNext/>
              <w:jc w:val="center"/>
              <w:rPr>
                <w:rFonts w:ascii="Arial" w:hAnsi="Arial"/>
                <w:sz w:val="20"/>
                <w:szCs w:val="20"/>
              </w:rPr>
            </w:pPr>
            <w:r>
              <w:rPr>
                <w:rFonts w:ascii="Arial" w:hAnsi="Arial" w:cs="Arial"/>
                <w:sz w:val="20"/>
                <w:szCs w:val="20"/>
              </w:rPr>
              <w:t>72.3</w:t>
            </w:r>
          </w:p>
        </w:tc>
        <w:tc>
          <w:tcPr>
            <w:tcW w:w="1142" w:type="dxa"/>
            <w:vAlign w:val="bottom"/>
          </w:tcPr>
          <w:p w:rsidR="003B0815" w:rsidRDefault="003B0815" w14:paraId="018C8BA9" w14:textId="77777777">
            <w:pPr>
              <w:keepNext/>
              <w:jc w:val="center"/>
              <w:rPr>
                <w:rFonts w:ascii="Arial" w:hAnsi="Arial"/>
                <w:sz w:val="20"/>
                <w:szCs w:val="20"/>
              </w:rPr>
            </w:pPr>
            <w:r>
              <w:rPr>
                <w:rFonts w:ascii="Arial" w:hAnsi="Arial" w:cs="Arial"/>
                <w:sz w:val="20"/>
                <w:szCs w:val="20"/>
              </w:rPr>
              <w:t>502,000</w:t>
            </w:r>
          </w:p>
        </w:tc>
        <w:tc>
          <w:tcPr>
            <w:tcW w:w="1080" w:type="dxa"/>
            <w:vAlign w:val="bottom"/>
          </w:tcPr>
          <w:p w:rsidR="003B0815" w:rsidRDefault="003B0815" w14:paraId="07D68EDE" w14:textId="77777777">
            <w:pPr>
              <w:keepNext/>
              <w:jc w:val="center"/>
              <w:rPr>
                <w:rFonts w:ascii="Arial" w:hAnsi="Arial"/>
                <w:sz w:val="20"/>
                <w:szCs w:val="20"/>
              </w:rPr>
            </w:pPr>
            <w:r>
              <w:rPr>
                <w:rFonts w:ascii="Arial" w:hAnsi="Arial" w:cs="Arial"/>
                <w:sz w:val="20"/>
                <w:szCs w:val="20"/>
              </w:rPr>
              <w:t>402,000</w:t>
            </w:r>
          </w:p>
        </w:tc>
        <w:tc>
          <w:tcPr>
            <w:tcW w:w="1080" w:type="dxa"/>
            <w:vAlign w:val="bottom"/>
          </w:tcPr>
          <w:p w:rsidR="003B0815" w:rsidRDefault="003B0815" w14:paraId="4D337E2A" w14:textId="77777777">
            <w:pPr>
              <w:keepNext/>
              <w:jc w:val="center"/>
              <w:rPr>
                <w:rFonts w:ascii="Arial" w:hAnsi="Arial"/>
                <w:sz w:val="20"/>
                <w:szCs w:val="20"/>
              </w:rPr>
            </w:pPr>
            <w:r>
              <w:rPr>
                <w:rFonts w:ascii="Arial" w:hAnsi="Arial" w:cs="Arial"/>
                <w:sz w:val="20"/>
                <w:szCs w:val="20"/>
              </w:rPr>
              <w:t>603,000</w:t>
            </w:r>
          </w:p>
        </w:tc>
        <w:tc>
          <w:tcPr>
            <w:tcW w:w="900" w:type="dxa"/>
            <w:vAlign w:val="bottom"/>
          </w:tcPr>
          <w:p w:rsidR="003B0815" w:rsidRDefault="003B0815" w14:paraId="4B7BFA58"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6E3FE579" w14:textId="77777777">
            <w:pPr>
              <w:keepNext/>
              <w:jc w:val="right"/>
              <w:rPr>
                <w:rFonts w:ascii="Arial" w:hAnsi="Arial"/>
                <w:b/>
                <w:sz w:val="20"/>
                <w:szCs w:val="20"/>
              </w:rPr>
            </w:pPr>
            <w:r>
              <w:rPr>
                <w:rFonts w:ascii="Arial" w:hAnsi="Arial" w:cs="Arial"/>
                <w:b/>
                <w:bCs/>
                <w:sz w:val="20"/>
                <w:szCs w:val="20"/>
              </w:rPr>
              <w:t xml:space="preserve">10.5 </w:t>
            </w:r>
          </w:p>
        </w:tc>
        <w:tc>
          <w:tcPr>
            <w:tcW w:w="1080" w:type="dxa"/>
            <w:shd w:val="clear" w:color="auto" w:fill="CCCCCC"/>
            <w:vAlign w:val="bottom"/>
          </w:tcPr>
          <w:p w:rsidR="003B0815" w:rsidRDefault="003B0815" w14:paraId="24533531" w14:textId="77777777">
            <w:pPr>
              <w:keepNext/>
              <w:jc w:val="right"/>
              <w:rPr>
                <w:rFonts w:ascii="Arial" w:hAnsi="Arial"/>
                <w:b/>
                <w:sz w:val="20"/>
                <w:szCs w:val="20"/>
              </w:rPr>
            </w:pPr>
            <w:r>
              <w:rPr>
                <w:rFonts w:ascii="Arial" w:hAnsi="Arial" w:cs="Arial"/>
                <w:b/>
                <w:bCs/>
                <w:sz w:val="20"/>
                <w:szCs w:val="20"/>
              </w:rPr>
              <w:t xml:space="preserve">8.4 </w:t>
            </w:r>
          </w:p>
        </w:tc>
        <w:tc>
          <w:tcPr>
            <w:tcW w:w="1065" w:type="dxa"/>
            <w:tcBorders>
              <w:right w:val="single" w:color="auto" w:sz="12" w:space="0"/>
            </w:tcBorders>
            <w:shd w:val="clear" w:color="auto" w:fill="CCCCCC"/>
            <w:vAlign w:val="bottom"/>
          </w:tcPr>
          <w:p w:rsidR="003B0815" w:rsidRDefault="003B0815" w14:paraId="272C5160" w14:textId="77777777">
            <w:pPr>
              <w:keepNext/>
              <w:jc w:val="right"/>
              <w:rPr>
                <w:rFonts w:ascii="Arial" w:hAnsi="Arial"/>
                <w:b/>
                <w:sz w:val="20"/>
                <w:szCs w:val="20"/>
              </w:rPr>
            </w:pPr>
            <w:r>
              <w:rPr>
                <w:rFonts w:ascii="Arial" w:hAnsi="Arial" w:cs="Arial"/>
                <w:b/>
                <w:bCs/>
                <w:sz w:val="20"/>
                <w:szCs w:val="20"/>
              </w:rPr>
              <w:t xml:space="preserve">12.6 </w:t>
            </w:r>
          </w:p>
        </w:tc>
      </w:tr>
      <w:tr w:rsidR="003B0815" w14:paraId="2BFF4843" w14:textId="77777777">
        <w:trPr>
          <w:jc w:val="center"/>
        </w:trPr>
        <w:tc>
          <w:tcPr>
            <w:tcW w:w="720" w:type="dxa"/>
            <w:tcBorders>
              <w:left w:val="single" w:color="auto" w:sz="12" w:space="0"/>
            </w:tcBorders>
          </w:tcPr>
          <w:p w:rsidR="003B0815" w:rsidRDefault="003B0815" w14:paraId="6299FC2F" w14:textId="77777777">
            <w:pPr>
              <w:keepNext/>
              <w:jc w:val="center"/>
              <w:rPr>
                <w:rFonts w:ascii="Arial" w:hAnsi="Arial"/>
                <w:sz w:val="20"/>
                <w:szCs w:val="20"/>
              </w:rPr>
            </w:pPr>
            <w:r>
              <w:t>2016</w:t>
            </w:r>
          </w:p>
        </w:tc>
        <w:tc>
          <w:tcPr>
            <w:tcW w:w="1440" w:type="dxa"/>
            <w:vAlign w:val="bottom"/>
          </w:tcPr>
          <w:p w:rsidR="003B0815" w:rsidRDefault="003B0815" w14:paraId="486C7EC6" w14:textId="77777777">
            <w:pPr>
              <w:keepNext/>
              <w:jc w:val="center"/>
              <w:rPr>
                <w:rFonts w:ascii="Arial" w:hAnsi="Arial"/>
                <w:sz w:val="20"/>
                <w:szCs w:val="20"/>
              </w:rPr>
            </w:pPr>
            <w:r>
              <w:rPr>
                <w:rFonts w:ascii="Arial" w:hAnsi="Arial" w:cs="Arial"/>
                <w:sz w:val="20"/>
                <w:szCs w:val="20"/>
              </w:rPr>
              <w:t>74.7</w:t>
            </w:r>
          </w:p>
        </w:tc>
        <w:tc>
          <w:tcPr>
            <w:tcW w:w="1142" w:type="dxa"/>
            <w:vAlign w:val="bottom"/>
          </w:tcPr>
          <w:p w:rsidR="003B0815" w:rsidRDefault="003B0815" w14:paraId="05485AC2" w14:textId="77777777">
            <w:pPr>
              <w:keepNext/>
              <w:jc w:val="center"/>
              <w:rPr>
                <w:rFonts w:ascii="Arial" w:hAnsi="Arial"/>
                <w:sz w:val="20"/>
                <w:szCs w:val="20"/>
              </w:rPr>
            </w:pPr>
            <w:r>
              <w:rPr>
                <w:rFonts w:ascii="Arial" w:hAnsi="Arial" w:cs="Arial"/>
                <w:sz w:val="20"/>
                <w:szCs w:val="20"/>
              </w:rPr>
              <w:t>519,000</w:t>
            </w:r>
          </w:p>
        </w:tc>
        <w:tc>
          <w:tcPr>
            <w:tcW w:w="1080" w:type="dxa"/>
            <w:vAlign w:val="bottom"/>
          </w:tcPr>
          <w:p w:rsidR="003B0815" w:rsidRDefault="003B0815" w14:paraId="43CE7C60" w14:textId="77777777">
            <w:pPr>
              <w:keepNext/>
              <w:jc w:val="center"/>
              <w:rPr>
                <w:rFonts w:ascii="Arial" w:hAnsi="Arial"/>
                <w:sz w:val="20"/>
                <w:szCs w:val="20"/>
              </w:rPr>
            </w:pPr>
            <w:r>
              <w:rPr>
                <w:rFonts w:ascii="Arial" w:hAnsi="Arial" w:cs="Arial"/>
                <w:sz w:val="20"/>
                <w:szCs w:val="20"/>
              </w:rPr>
              <w:t>415,000</w:t>
            </w:r>
          </w:p>
        </w:tc>
        <w:tc>
          <w:tcPr>
            <w:tcW w:w="1080" w:type="dxa"/>
            <w:vAlign w:val="bottom"/>
          </w:tcPr>
          <w:p w:rsidR="003B0815" w:rsidRDefault="003B0815" w14:paraId="638635AE" w14:textId="77777777">
            <w:pPr>
              <w:keepNext/>
              <w:jc w:val="center"/>
              <w:rPr>
                <w:rFonts w:ascii="Arial" w:hAnsi="Arial"/>
                <w:sz w:val="20"/>
                <w:szCs w:val="20"/>
              </w:rPr>
            </w:pPr>
            <w:r>
              <w:rPr>
                <w:rFonts w:ascii="Arial" w:hAnsi="Arial" w:cs="Arial"/>
                <w:sz w:val="20"/>
                <w:szCs w:val="20"/>
              </w:rPr>
              <w:t>623,000</w:t>
            </w:r>
          </w:p>
        </w:tc>
        <w:tc>
          <w:tcPr>
            <w:tcW w:w="900" w:type="dxa"/>
            <w:vAlign w:val="bottom"/>
          </w:tcPr>
          <w:p w:rsidR="003B0815" w:rsidRDefault="003B0815" w14:paraId="2EC64701"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79EAF55" w14:textId="77777777">
            <w:pPr>
              <w:keepNext/>
              <w:jc w:val="right"/>
              <w:rPr>
                <w:rFonts w:ascii="Arial" w:hAnsi="Arial"/>
                <w:b/>
                <w:sz w:val="20"/>
                <w:szCs w:val="20"/>
              </w:rPr>
            </w:pPr>
            <w:r>
              <w:rPr>
                <w:rFonts w:ascii="Arial" w:hAnsi="Arial" w:cs="Arial"/>
                <w:b/>
                <w:bCs/>
                <w:sz w:val="20"/>
                <w:szCs w:val="20"/>
              </w:rPr>
              <w:t xml:space="preserve">10.8 </w:t>
            </w:r>
          </w:p>
        </w:tc>
        <w:tc>
          <w:tcPr>
            <w:tcW w:w="1080" w:type="dxa"/>
            <w:shd w:val="clear" w:color="auto" w:fill="CCCCCC"/>
            <w:vAlign w:val="bottom"/>
          </w:tcPr>
          <w:p w:rsidR="003B0815" w:rsidRDefault="003B0815" w14:paraId="6DB90BAB" w14:textId="77777777">
            <w:pPr>
              <w:keepNext/>
              <w:jc w:val="right"/>
              <w:rPr>
                <w:rFonts w:ascii="Arial" w:hAnsi="Arial"/>
                <w:b/>
                <w:sz w:val="20"/>
                <w:szCs w:val="20"/>
              </w:rPr>
            </w:pPr>
            <w:r>
              <w:rPr>
                <w:rFonts w:ascii="Arial" w:hAnsi="Arial" w:cs="Arial"/>
                <w:b/>
                <w:bCs/>
                <w:sz w:val="20"/>
                <w:szCs w:val="20"/>
              </w:rPr>
              <w:t xml:space="preserve">8.7 </w:t>
            </w:r>
          </w:p>
        </w:tc>
        <w:tc>
          <w:tcPr>
            <w:tcW w:w="1065" w:type="dxa"/>
            <w:tcBorders>
              <w:right w:val="single" w:color="auto" w:sz="12" w:space="0"/>
            </w:tcBorders>
            <w:shd w:val="clear" w:color="auto" w:fill="CCCCCC"/>
            <w:vAlign w:val="bottom"/>
          </w:tcPr>
          <w:p w:rsidR="003B0815" w:rsidRDefault="003B0815" w14:paraId="6F019D5F" w14:textId="77777777">
            <w:pPr>
              <w:keepNext/>
              <w:jc w:val="right"/>
              <w:rPr>
                <w:rFonts w:ascii="Arial" w:hAnsi="Arial"/>
                <w:b/>
                <w:sz w:val="20"/>
                <w:szCs w:val="20"/>
              </w:rPr>
            </w:pPr>
            <w:r>
              <w:rPr>
                <w:rFonts w:ascii="Arial" w:hAnsi="Arial" w:cs="Arial"/>
                <w:b/>
                <w:bCs/>
                <w:sz w:val="20"/>
                <w:szCs w:val="20"/>
              </w:rPr>
              <w:t xml:space="preserve">13.0 </w:t>
            </w:r>
          </w:p>
        </w:tc>
      </w:tr>
      <w:tr w:rsidR="003B0815" w14:paraId="45D93694" w14:textId="77777777">
        <w:trPr>
          <w:jc w:val="center"/>
        </w:trPr>
        <w:tc>
          <w:tcPr>
            <w:tcW w:w="720" w:type="dxa"/>
            <w:tcBorders>
              <w:left w:val="single" w:color="auto" w:sz="12" w:space="0"/>
              <w:bottom w:val="single" w:color="auto" w:sz="4" w:space="0"/>
            </w:tcBorders>
          </w:tcPr>
          <w:p w:rsidR="003B0815" w:rsidRDefault="003B0815" w14:paraId="7B840AD4" w14:textId="77777777">
            <w:pPr>
              <w:keepNext/>
              <w:jc w:val="center"/>
              <w:rPr>
                <w:rFonts w:ascii="Arial" w:hAnsi="Arial"/>
                <w:sz w:val="20"/>
                <w:szCs w:val="20"/>
              </w:rPr>
            </w:pPr>
            <w:r>
              <w:t>2017</w:t>
            </w:r>
          </w:p>
        </w:tc>
        <w:tc>
          <w:tcPr>
            <w:tcW w:w="1440" w:type="dxa"/>
            <w:tcBorders>
              <w:bottom w:val="single" w:color="auto" w:sz="4" w:space="0"/>
            </w:tcBorders>
            <w:vAlign w:val="bottom"/>
          </w:tcPr>
          <w:p w:rsidR="003B0815" w:rsidRDefault="003B0815" w14:paraId="13A054B7" w14:textId="77777777">
            <w:pPr>
              <w:keepNext/>
              <w:jc w:val="center"/>
              <w:rPr>
                <w:rFonts w:ascii="Arial" w:hAnsi="Arial"/>
                <w:sz w:val="20"/>
                <w:szCs w:val="20"/>
              </w:rPr>
            </w:pPr>
            <w:r>
              <w:rPr>
                <w:rFonts w:ascii="Arial" w:hAnsi="Arial" w:cs="Arial"/>
                <w:sz w:val="20"/>
                <w:szCs w:val="20"/>
              </w:rPr>
              <w:t>77.3</w:t>
            </w:r>
          </w:p>
        </w:tc>
        <w:tc>
          <w:tcPr>
            <w:tcW w:w="1142" w:type="dxa"/>
            <w:tcBorders>
              <w:bottom w:val="single" w:color="auto" w:sz="4" w:space="0"/>
            </w:tcBorders>
            <w:vAlign w:val="bottom"/>
          </w:tcPr>
          <w:p w:rsidR="003B0815" w:rsidRDefault="003B0815" w14:paraId="08DEA0F6" w14:textId="77777777">
            <w:pPr>
              <w:keepNext/>
              <w:jc w:val="center"/>
              <w:rPr>
                <w:rFonts w:ascii="Arial" w:hAnsi="Arial"/>
                <w:sz w:val="20"/>
                <w:szCs w:val="20"/>
              </w:rPr>
            </w:pPr>
            <w:r>
              <w:rPr>
                <w:rFonts w:ascii="Arial" w:hAnsi="Arial" w:cs="Arial"/>
                <w:sz w:val="20"/>
                <w:szCs w:val="20"/>
              </w:rPr>
              <w:t>537,000</w:t>
            </w:r>
          </w:p>
        </w:tc>
        <w:tc>
          <w:tcPr>
            <w:tcW w:w="1080" w:type="dxa"/>
            <w:tcBorders>
              <w:bottom w:val="single" w:color="auto" w:sz="4" w:space="0"/>
            </w:tcBorders>
            <w:vAlign w:val="bottom"/>
          </w:tcPr>
          <w:p w:rsidR="003B0815" w:rsidRDefault="003B0815" w14:paraId="5FD1C4D9" w14:textId="77777777">
            <w:pPr>
              <w:keepNext/>
              <w:jc w:val="center"/>
              <w:rPr>
                <w:rFonts w:ascii="Arial" w:hAnsi="Arial"/>
                <w:sz w:val="20"/>
                <w:szCs w:val="20"/>
              </w:rPr>
            </w:pPr>
            <w:r>
              <w:rPr>
                <w:rFonts w:ascii="Arial" w:hAnsi="Arial" w:cs="Arial"/>
                <w:sz w:val="20"/>
                <w:szCs w:val="20"/>
              </w:rPr>
              <w:t>429,000</w:t>
            </w:r>
          </w:p>
        </w:tc>
        <w:tc>
          <w:tcPr>
            <w:tcW w:w="1080" w:type="dxa"/>
            <w:tcBorders>
              <w:bottom w:val="single" w:color="auto" w:sz="4" w:space="0"/>
            </w:tcBorders>
            <w:vAlign w:val="bottom"/>
          </w:tcPr>
          <w:p w:rsidR="003B0815" w:rsidRDefault="003B0815" w14:paraId="0D799D9D" w14:textId="77777777">
            <w:pPr>
              <w:keepNext/>
              <w:jc w:val="center"/>
              <w:rPr>
                <w:rFonts w:ascii="Arial" w:hAnsi="Arial"/>
                <w:sz w:val="20"/>
                <w:szCs w:val="20"/>
              </w:rPr>
            </w:pPr>
            <w:r>
              <w:rPr>
                <w:rFonts w:ascii="Arial" w:hAnsi="Arial" w:cs="Arial"/>
                <w:sz w:val="20"/>
                <w:szCs w:val="20"/>
              </w:rPr>
              <w:t>644,000</w:t>
            </w:r>
          </w:p>
        </w:tc>
        <w:tc>
          <w:tcPr>
            <w:tcW w:w="900" w:type="dxa"/>
            <w:tcBorders>
              <w:bottom w:val="single" w:color="auto" w:sz="4" w:space="0"/>
            </w:tcBorders>
            <w:vAlign w:val="bottom"/>
          </w:tcPr>
          <w:p w:rsidR="003B0815" w:rsidRDefault="003B0815" w14:paraId="0DA04F47" w14:textId="77777777">
            <w:pPr>
              <w:keepNext/>
              <w:jc w:val="center"/>
              <w:rPr>
                <w:rFonts w:ascii="Arial" w:hAnsi="Arial"/>
                <w:sz w:val="20"/>
                <w:szCs w:val="20"/>
              </w:rPr>
            </w:pPr>
            <w:r>
              <w:rPr>
                <w:rFonts w:ascii="Arial" w:hAnsi="Arial" w:cs="Arial"/>
                <w:sz w:val="20"/>
                <w:szCs w:val="20"/>
              </w:rPr>
              <w:t>$20.89</w:t>
            </w:r>
          </w:p>
        </w:tc>
        <w:tc>
          <w:tcPr>
            <w:tcW w:w="1049" w:type="dxa"/>
            <w:tcBorders>
              <w:bottom w:val="single" w:color="auto" w:sz="4" w:space="0"/>
            </w:tcBorders>
            <w:shd w:val="clear" w:color="auto" w:fill="CCCCCC"/>
            <w:vAlign w:val="bottom"/>
          </w:tcPr>
          <w:p w:rsidR="003B0815" w:rsidRDefault="003B0815" w14:paraId="5A0E15F5" w14:textId="77777777">
            <w:pPr>
              <w:keepNext/>
              <w:jc w:val="right"/>
              <w:rPr>
                <w:rFonts w:ascii="Arial" w:hAnsi="Arial"/>
                <w:b/>
                <w:sz w:val="20"/>
                <w:szCs w:val="20"/>
              </w:rPr>
            </w:pPr>
            <w:r>
              <w:rPr>
                <w:rFonts w:ascii="Arial" w:hAnsi="Arial" w:cs="Arial"/>
                <w:b/>
                <w:bCs/>
                <w:sz w:val="20"/>
                <w:szCs w:val="20"/>
              </w:rPr>
              <w:t xml:space="preserve">$11.2 </w:t>
            </w:r>
          </w:p>
        </w:tc>
        <w:tc>
          <w:tcPr>
            <w:tcW w:w="1080" w:type="dxa"/>
            <w:tcBorders>
              <w:bottom w:val="single" w:color="auto" w:sz="4" w:space="0"/>
            </w:tcBorders>
            <w:shd w:val="clear" w:color="auto" w:fill="CCCCCC"/>
            <w:vAlign w:val="bottom"/>
          </w:tcPr>
          <w:p w:rsidR="003B0815" w:rsidRDefault="003B0815" w14:paraId="696D3690" w14:textId="77777777">
            <w:pPr>
              <w:keepNext/>
              <w:jc w:val="right"/>
              <w:rPr>
                <w:rFonts w:ascii="Arial" w:hAnsi="Arial"/>
                <w:b/>
                <w:sz w:val="20"/>
                <w:szCs w:val="20"/>
              </w:rPr>
            </w:pPr>
            <w:r>
              <w:rPr>
                <w:rFonts w:ascii="Arial" w:hAnsi="Arial" w:cs="Arial"/>
                <w:b/>
                <w:bCs/>
                <w:sz w:val="20"/>
                <w:szCs w:val="20"/>
              </w:rPr>
              <w:t xml:space="preserve">$9.0 </w:t>
            </w:r>
          </w:p>
        </w:tc>
        <w:tc>
          <w:tcPr>
            <w:tcW w:w="1065" w:type="dxa"/>
            <w:tcBorders>
              <w:bottom w:val="single" w:color="auto" w:sz="4" w:space="0"/>
              <w:right w:val="single" w:color="auto" w:sz="12" w:space="0"/>
            </w:tcBorders>
            <w:shd w:val="clear" w:color="auto" w:fill="CCCCCC"/>
            <w:vAlign w:val="bottom"/>
          </w:tcPr>
          <w:p w:rsidR="003B0815" w:rsidRDefault="003B0815" w14:paraId="1DD314FF" w14:textId="77777777">
            <w:pPr>
              <w:keepNext/>
              <w:jc w:val="right"/>
              <w:rPr>
                <w:rFonts w:ascii="Arial" w:hAnsi="Arial"/>
                <w:b/>
                <w:sz w:val="20"/>
                <w:szCs w:val="20"/>
              </w:rPr>
            </w:pPr>
            <w:r>
              <w:rPr>
                <w:rFonts w:ascii="Arial" w:hAnsi="Arial" w:cs="Arial"/>
                <w:b/>
                <w:bCs/>
                <w:sz w:val="20"/>
                <w:szCs w:val="20"/>
              </w:rPr>
              <w:t xml:space="preserve">$13.5 </w:t>
            </w:r>
          </w:p>
        </w:tc>
      </w:tr>
      <w:tr w:rsidR="003B0815" w14:paraId="1A02BCAB" w14:textId="77777777">
        <w:trPr>
          <w:jc w:val="center"/>
        </w:trPr>
        <w:tc>
          <w:tcPr>
            <w:tcW w:w="720" w:type="dxa"/>
            <w:tcBorders>
              <w:left w:val="single" w:color="auto" w:sz="12" w:space="0"/>
              <w:bottom w:val="single" w:color="auto" w:sz="12" w:space="0"/>
              <w:right w:val="nil"/>
            </w:tcBorders>
            <w:vAlign w:val="bottom"/>
          </w:tcPr>
          <w:p w:rsidR="003B0815" w:rsidRDefault="003B0815" w14:paraId="390FB198" w14:textId="77777777">
            <w:pPr>
              <w:keepNext/>
              <w:jc w:val="center"/>
              <w:rPr>
                <w:rFonts w:ascii="Arial" w:hAnsi="Arial"/>
                <w:b/>
                <w:sz w:val="20"/>
                <w:szCs w:val="20"/>
              </w:rPr>
            </w:pPr>
            <w:r>
              <w:rPr>
                <w:rFonts w:ascii="Arial" w:hAnsi="Arial" w:cs="Arial"/>
                <w:b/>
                <w:bCs/>
                <w:sz w:val="20"/>
                <w:szCs w:val="20"/>
              </w:rPr>
              <w:t>Total</w:t>
            </w:r>
          </w:p>
        </w:tc>
        <w:tc>
          <w:tcPr>
            <w:tcW w:w="1440" w:type="dxa"/>
            <w:tcBorders>
              <w:left w:val="nil"/>
              <w:bottom w:val="single" w:color="auto" w:sz="12" w:space="0"/>
              <w:right w:val="nil"/>
            </w:tcBorders>
            <w:vAlign w:val="bottom"/>
          </w:tcPr>
          <w:p w:rsidR="003B0815" w:rsidRDefault="003B0815" w14:paraId="2A1CE84A" w14:textId="77777777">
            <w:pPr>
              <w:keepNext/>
              <w:jc w:val="center"/>
              <w:rPr>
                <w:rFonts w:ascii="Arial" w:hAnsi="Arial"/>
                <w:b/>
                <w:sz w:val="20"/>
                <w:szCs w:val="20"/>
              </w:rPr>
            </w:pPr>
            <w:r>
              <w:rPr>
                <w:rFonts w:ascii="Arial" w:hAnsi="Arial" w:cs="Arial"/>
                <w:b/>
                <w:bCs/>
                <w:sz w:val="20"/>
                <w:szCs w:val="20"/>
              </w:rPr>
              <w:t> </w:t>
            </w:r>
          </w:p>
        </w:tc>
        <w:tc>
          <w:tcPr>
            <w:tcW w:w="1142" w:type="dxa"/>
            <w:tcBorders>
              <w:left w:val="nil"/>
              <w:bottom w:val="single" w:color="auto" w:sz="12" w:space="0"/>
              <w:right w:val="nil"/>
            </w:tcBorders>
            <w:vAlign w:val="bottom"/>
          </w:tcPr>
          <w:p w:rsidR="003B0815" w:rsidRDefault="003B0815" w14:paraId="32083115" w14:textId="77777777">
            <w:pPr>
              <w:keepNext/>
              <w:jc w:val="center"/>
              <w:rPr>
                <w:rFonts w:ascii="Arial" w:hAnsi="Arial"/>
                <w:b/>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7F4FB011" w14:textId="77777777">
            <w:pPr>
              <w:keepNext/>
              <w:jc w:val="center"/>
              <w:rPr>
                <w:rFonts w:ascii="Arial" w:hAnsi="Arial"/>
                <w:b/>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2F227A48" w14:textId="77777777">
            <w:pPr>
              <w:keepNext/>
              <w:jc w:val="center"/>
              <w:rPr>
                <w:rFonts w:ascii="Arial" w:hAnsi="Arial"/>
                <w:b/>
                <w:sz w:val="20"/>
                <w:szCs w:val="20"/>
              </w:rPr>
            </w:pPr>
            <w:r>
              <w:rPr>
                <w:rFonts w:ascii="Arial" w:hAnsi="Arial" w:cs="Arial"/>
                <w:b/>
                <w:bCs/>
                <w:sz w:val="20"/>
                <w:szCs w:val="20"/>
              </w:rPr>
              <w:t> </w:t>
            </w:r>
          </w:p>
        </w:tc>
        <w:tc>
          <w:tcPr>
            <w:tcW w:w="900" w:type="dxa"/>
            <w:tcBorders>
              <w:left w:val="nil"/>
              <w:bottom w:val="single" w:color="auto" w:sz="12" w:space="0"/>
              <w:right w:val="nil"/>
            </w:tcBorders>
            <w:vAlign w:val="bottom"/>
          </w:tcPr>
          <w:p w:rsidR="003B0815" w:rsidRDefault="003B0815" w14:paraId="58B9EA9B" w14:textId="77777777">
            <w:pPr>
              <w:keepNext/>
              <w:jc w:val="center"/>
              <w:rPr>
                <w:rFonts w:ascii="Arial" w:hAnsi="Arial"/>
                <w:b/>
                <w:sz w:val="20"/>
                <w:szCs w:val="20"/>
              </w:rPr>
            </w:pPr>
            <w:r>
              <w:rPr>
                <w:rFonts w:ascii="Arial" w:hAnsi="Arial" w:cs="Arial"/>
                <w:b/>
                <w:bCs/>
                <w:sz w:val="20"/>
                <w:szCs w:val="20"/>
              </w:rPr>
              <w:t> </w:t>
            </w:r>
          </w:p>
        </w:tc>
        <w:tc>
          <w:tcPr>
            <w:tcW w:w="1049" w:type="dxa"/>
            <w:tcBorders>
              <w:left w:val="nil"/>
              <w:bottom w:val="single" w:color="auto" w:sz="12" w:space="0"/>
              <w:right w:val="nil"/>
            </w:tcBorders>
            <w:vAlign w:val="bottom"/>
          </w:tcPr>
          <w:p w:rsidR="003B0815" w:rsidRDefault="003B0815" w14:paraId="6F6A1CF7" w14:textId="77777777">
            <w:pPr>
              <w:keepNext/>
              <w:jc w:val="right"/>
              <w:rPr>
                <w:rFonts w:ascii="Arial" w:hAnsi="Arial"/>
                <w:b/>
                <w:sz w:val="20"/>
                <w:szCs w:val="20"/>
              </w:rPr>
            </w:pPr>
            <w:r>
              <w:rPr>
                <w:rFonts w:ascii="Arial" w:hAnsi="Arial" w:cs="Arial"/>
                <w:b/>
                <w:bCs/>
                <w:sz w:val="20"/>
                <w:szCs w:val="20"/>
              </w:rPr>
              <w:t xml:space="preserve">$97.4 </w:t>
            </w:r>
          </w:p>
        </w:tc>
        <w:tc>
          <w:tcPr>
            <w:tcW w:w="1080" w:type="dxa"/>
            <w:tcBorders>
              <w:left w:val="nil"/>
              <w:bottom w:val="single" w:color="auto" w:sz="12" w:space="0"/>
              <w:right w:val="nil"/>
            </w:tcBorders>
            <w:vAlign w:val="bottom"/>
          </w:tcPr>
          <w:p w:rsidR="003B0815" w:rsidRDefault="003B0815" w14:paraId="54E615B5" w14:textId="77777777">
            <w:pPr>
              <w:keepNext/>
              <w:jc w:val="right"/>
              <w:rPr>
                <w:rFonts w:ascii="Arial" w:hAnsi="Arial"/>
                <w:b/>
                <w:sz w:val="20"/>
                <w:szCs w:val="20"/>
              </w:rPr>
            </w:pPr>
            <w:r>
              <w:rPr>
                <w:rFonts w:ascii="Arial" w:hAnsi="Arial" w:cs="Arial"/>
                <w:b/>
                <w:bCs/>
                <w:sz w:val="20"/>
                <w:szCs w:val="20"/>
              </w:rPr>
              <w:t xml:space="preserve">$78.0 </w:t>
            </w:r>
          </w:p>
        </w:tc>
        <w:tc>
          <w:tcPr>
            <w:tcW w:w="1065" w:type="dxa"/>
            <w:tcBorders>
              <w:left w:val="nil"/>
              <w:bottom w:val="single" w:color="auto" w:sz="12" w:space="0"/>
              <w:right w:val="single" w:color="auto" w:sz="12" w:space="0"/>
            </w:tcBorders>
            <w:vAlign w:val="bottom"/>
          </w:tcPr>
          <w:p w:rsidR="003B0815" w:rsidRDefault="003B0815" w14:paraId="19DBA2D6" w14:textId="77777777">
            <w:pPr>
              <w:keepNext/>
              <w:jc w:val="right"/>
              <w:rPr>
                <w:rFonts w:ascii="Arial" w:hAnsi="Arial"/>
                <w:b/>
                <w:sz w:val="20"/>
                <w:szCs w:val="20"/>
              </w:rPr>
            </w:pPr>
            <w:r>
              <w:rPr>
                <w:rFonts w:ascii="Arial" w:hAnsi="Arial" w:cs="Arial"/>
                <w:b/>
                <w:bCs/>
                <w:sz w:val="20"/>
                <w:szCs w:val="20"/>
              </w:rPr>
              <w:t xml:space="preserve">$116.9 </w:t>
            </w:r>
          </w:p>
        </w:tc>
      </w:tr>
    </w:tbl>
    <w:p w:rsidR="003B0815" w:rsidRDefault="003B0815" w14:paraId="760CA630" w14:textId="77777777">
      <w:pPr>
        <w:spacing w:line="360" w:lineRule="auto"/>
        <w:ind w:firstLine="720"/>
      </w:pPr>
    </w:p>
    <w:p w:rsidR="003B0815" w:rsidRDefault="003B0815" w14:paraId="5E5076DF" w14:textId="77777777">
      <w:pPr>
        <w:spacing w:line="360" w:lineRule="auto"/>
        <w:ind w:firstLine="720"/>
      </w:pPr>
      <w:r>
        <w:t>Airline reservation agents need to be retrained on the updated software and reservation procedures.  These costs are included in the reprogramming and implementation costs presented in the preceding section.</w:t>
      </w:r>
    </w:p>
    <w:p w:rsidR="003B0815" w:rsidRDefault="003B0815" w14:paraId="4FED3788" w14:textId="77777777">
      <w:pPr>
        <w:spacing w:line="360" w:lineRule="auto"/>
        <w:ind w:firstLine="720"/>
      </w:pPr>
      <w:r>
        <w:t xml:space="preserve">This rule also affects airlines’ ticket counter agents.  Based on its understanding of the Secure Flight program in 2004, one major airline believed the requirements of Secure Flight could require passengers to spend more time at the ticket counter for identification verification and other security purposes during check-in.  In order to maintain current passenger flow levels and avoid delays, the airline believed additional ticket counter agents would need to be hired.  Until operational testing reveals the actual rate of possible No Fly matches requiring further adjudication at the counter, TSA could not determine whether this impact will come to pass.  Secure Flight should reduce the number of passengers stopped at the ticket counter; thus, any increase in counter adjudication times may be offset by a reduction in the number of affected passengers.  </w:t>
      </w:r>
    </w:p>
    <w:p w:rsidR="003B0815" w:rsidRDefault="003B0815" w14:paraId="5A78332C" w14:textId="77777777">
      <w:pPr>
        <w:spacing w:line="360" w:lineRule="auto"/>
        <w:ind w:firstLine="720"/>
      </w:pPr>
      <w:r>
        <w:t>As discussed in Section 1.4.1, Group 4 carriers are required to transmit passenger information to Secure Flight through a secure web interface.  At the time of writing, this interface was still in the development phase.  As envisioned, the web interface allows aircraft operators to enter passenger information directly into the system or upload and submit a specifically formatted file.</w:t>
      </w:r>
    </w:p>
    <w:p w:rsidR="003B0815" w:rsidRDefault="003B0815" w14:paraId="505005DC" w14:textId="77777777">
      <w:pPr>
        <w:spacing w:line="360" w:lineRule="auto"/>
        <w:ind w:firstLine="720"/>
      </w:pPr>
      <w:r>
        <w:t>If the airline should choose to enter passenger information manually (as may be the case for certain small scheduled service carriers accepting reservations over the phone or when an operator needs to enter updated information for a specific passenger during the clearance process), the operator is required to enter information about the flight and then information about each passenger.  Flight information may include such data elements as the carrier code, flight number, departure date and time, arrival date and time, and the departure and arrival airport codes.  TSA estimated it should take no longer than 15 seconds to enter this information.  Passenger information is identical to the passenger data elements required of all aircraft operators under this regulation.  TSA estimated it may take 30 seconds to enter this information for each passenger.  Reservations accepted over the telephone may require an additional 30 seconds for each reservation.</w:t>
      </w:r>
    </w:p>
    <w:p w:rsidR="003B0815" w:rsidRDefault="003B0815" w14:paraId="28FDB1D3" w14:textId="77777777">
      <w:pPr>
        <w:spacing w:line="360" w:lineRule="auto"/>
        <w:ind w:firstLine="720"/>
      </w:pPr>
      <w:r>
        <w:t>Since these requirements would impose a disproportionate burden on this group of carriers relative to Groups 1-3, DHS intends to design the web interface such that Group 4 operators can upload a specifically formatted file.  TSA assumed that carriers with web reservation systems will be able to make modifications that will enable the reservation system to export reservations into the specified file format for upload to Secure Flight.  TSA further assumed that carriers accepting charter reservations will develop a template file containing the information required for transmission to Secure Flight and require that manifests be submitted to them in this format.  One charter carrier has already implemented such a procedure in response to similar passenger information requirements imposed by CBP for international flights.</w:t>
      </w:r>
    </w:p>
    <w:p w:rsidR="003B0815" w:rsidRDefault="003B0815" w14:paraId="279BAA85" w14:textId="77777777">
      <w:pPr>
        <w:spacing w:line="360" w:lineRule="auto"/>
        <w:ind w:firstLine="720"/>
      </w:pPr>
      <w:r>
        <w:t xml:space="preserve">Table 1.4.2.c presents projected reservations for Group 4 carriers.  In light of the fact that the Secure Flight web interface is being finalized at the time of writing and TSA has no data on the number or distribution of reservations accepted by each carrier, TSA did not base any estimates on the assumptions presented above.  The carriers using this web interface will not be required to transmit data to Secure Flight until after the interface is operational.  </w:t>
      </w:r>
    </w:p>
    <w:p w:rsidR="003B0815" w:rsidRDefault="003B0815" w14:paraId="19E97301" w14:textId="77777777">
      <w:pPr>
        <w:spacing w:line="360" w:lineRule="auto"/>
        <w:rPr>
          <w:b/>
        </w:rPr>
      </w:pPr>
      <w:r>
        <w:rPr>
          <w:b/>
        </w:rPr>
        <w:t>International Travelers</w:t>
      </w:r>
    </w:p>
    <w:p w:rsidR="003B0815" w:rsidRDefault="003B0815" w14:paraId="2BEDBA2B" w14:textId="77777777">
      <w:pPr>
        <w:spacing w:line="360" w:lineRule="auto"/>
        <w:ind w:firstLine="720"/>
      </w:pPr>
      <w:r>
        <w:t>TSA used the same method to estimate the costs associated with international travelers as presented for domestic passengers above.  As is the case for domestic carriers, international carriers also need to collect SFPD at the time of reservation.</w:t>
      </w:r>
      <w:r>
        <w:rPr>
          <w:rStyle w:val="FootnoteReference"/>
        </w:rPr>
        <w:footnoteReference w:id="33"/>
      </w:r>
      <w:r>
        <w:t xml:space="preserve">  TSA recognizes that international carriers operating a flight subject to CBP’s APIS requirements will likely collect the SFPD a second time through a passport swipe at a ticket counter when they collect the more extensive APIS information at check in.  TSA views the collection of the Secure Flight passenger data during the reservation process and subsequent transmission to TSA 72 hours prior to departure as necessary in order to allow TSA sufficient time to prioritize and process the incoming data in advance of passenger check in.  TSA views the information collected through the passport swipe to be a vital follow-up, which helps to further clear passengers who may initially match the watch lists by providing TSA with additional or corrected information, such as passport number, date of birth, and gender, if these elements were not previously provided.</w:t>
      </w:r>
    </w:p>
    <w:p w:rsidR="003B0815" w:rsidRDefault="003B0815" w14:paraId="5A0BBE10" w14:textId="77777777">
      <w:pPr>
        <w:spacing w:line="360" w:lineRule="auto"/>
        <w:ind w:firstLine="720"/>
      </w:pPr>
      <w:r>
        <w:t xml:space="preserve">TSA did not have information on the distribution of international reservations between online, airline call center, and travel agent booking methods.  Without this information, TSA chose to use its domestic estimates as a proxy, although the agency recognizes that travel agencies may represent a larger share of international reservations.  </w:t>
      </w:r>
    </w:p>
    <w:p w:rsidR="003B0815" w:rsidRDefault="003B0815" w14:paraId="0F875FBB" w14:textId="77777777">
      <w:pPr>
        <w:spacing w:line="360" w:lineRule="auto"/>
        <w:ind w:firstLine="720"/>
      </w:pPr>
      <w:r>
        <w:t xml:space="preserve">TSA has separated its international estimates between covered passengers flying to and from the </w:t>
      </w:r>
      <w:smartTag w:uri="urn:schemas-microsoft-com:office:smarttags" w:element="country-region">
        <w:r>
          <w:t>United States</w:t>
        </w:r>
      </w:smartTag>
      <w:r>
        <w:t xml:space="preserve"> (also subject to APIS) and covered passengers overflying the </w:t>
      </w:r>
      <w:smartTag w:uri="urn:schemas-microsoft-com:office:smarttags" w:element="country-region">
        <w:smartTag w:uri="urn:schemas-microsoft-com:office:smarttags" w:element="place">
          <w:r>
            <w:t>United States</w:t>
          </w:r>
        </w:smartTag>
      </w:smartTag>
      <w:r>
        <w:t xml:space="preserve"> (not subject to APIS).  First, TSA has estimated the impact for all international passengers traveling to or from the </w:t>
      </w:r>
      <w:smartTag w:uri="urn:schemas-microsoft-com:office:smarttags" w:element="country-region">
        <w:smartTag w:uri="urn:schemas-microsoft-com:office:smarttags" w:element="place">
          <w:r>
            <w:t>U.S.</w:t>
          </w:r>
        </w:smartTag>
      </w:smartTag>
      <w:r>
        <w:t xml:space="preserve">  This population has been segregated from domestic travelers because they will be implemented at a later date than passengers flying domestic routes.  Further, not all of these costs occur within the </w:t>
      </w:r>
      <w:smartTag w:uri="urn:schemas-microsoft-com:office:smarttags" w:element="country-region">
        <w:smartTag w:uri="urn:schemas-microsoft-com:office:smarttags" w:element="place">
          <w:r>
            <w:t>U.S.</w:t>
          </w:r>
        </w:smartTag>
      </w:smartTag>
      <w:r>
        <w:t xml:space="preserve"> economy.  For instance, some </w:t>
      </w:r>
      <w:smartTag w:uri="urn:schemas-microsoft-com:office:smarttags" w:element="country-region">
        <w:smartTag w:uri="urn:schemas-microsoft-com:office:smarttags" w:element="place">
          <w:r>
            <w:t>U.S.</w:t>
          </w:r>
        </w:smartTag>
      </w:smartTag>
      <w:r>
        <w:t xml:space="preserve"> flagged carriers code-share flights with foreign airlines.  As a result, a passenger may call a </w:t>
      </w:r>
      <w:smartTag w:uri="urn:schemas-microsoft-com:office:smarttags" w:element="country-region">
        <w:smartTag w:uri="urn:schemas-microsoft-com:office:smarttags" w:element="place">
          <w:r>
            <w:t>U.S.</w:t>
          </w:r>
        </w:smartTag>
      </w:smartTag>
      <w:r>
        <w:t xml:space="preserve"> airline’s reservation center and be booked on a foreign airline.  Thus, though the incremental cost for that reservation attributable to Secure Flight is borne by a domestic airline’s reservation agent, the traveler appears among a foreign operator’s passenger totals.  Conversely, a passenger may call a foreign airline’s reservation center and be booked on a flight operated by a domestic airline.  TSA was unable to find information on the frequency with which this occurs and thus was unable to determine what proportion of the incremental costs presented below occurs within the </w:t>
      </w:r>
      <w:smartTag w:uri="urn:schemas-microsoft-com:office:smarttags" w:element="country-region">
        <w:smartTag w:uri="urn:schemas-microsoft-com:office:smarttags" w:element="place">
          <w:r>
            <w:t>U.S.</w:t>
          </w:r>
        </w:smartTag>
      </w:smartTag>
      <w:r>
        <w:t xml:space="preserve"> economy.  TSA has therefore included all related costs in this analysis, regardless of national economic divisions.</w:t>
      </w:r>
    </w:p>
    <w:p w:rsidR="003B0815" w:rsidRDefault="003B0815" w14:paraId="57703C55" w14:textId="77777777">
      <w:pPr>
        <w:spacing w:line="360" w:lineRule="auto"/>
        <w:ind w:firstLine="720"/>
      </w:pPr>
      <w:r>
        <w:t xml:space="preserve">The marginal cost to airlines for collecting additional information at the time of reservation for international passengers traveling to and from the </w:t>
      </w:r>
      <w:smartTag w:uri="urn:schemas-microsoft-com:office:smarttags" w:element="country-region">
        <w:smartTag w:uri="urn:schemas-microsoft-com:office:smarttags" w:element="place">
          <w:r>
            <w:t>U.S.</w:t>
          </w:r>
        </w:smartTag>
      </w:smartTag>
      <w:r>
        <w:t xml:space="preserve"> is $23.9 million. This estimate was developed in the same manner as the costs for collecting information for domestic passengers. Detailed year-by-year estimates are in Table 1.6.3.b.</w:t>
      </w:r>
    </w:p>
    <w:tbl>
      <w:tblP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20"/>
        <w:gridCol w:w="1440"/>
        <w:gridCol w:w="1142"/>
        <w:gridCol w:w="1080"/>
        <w:gridCol w:w="1080"/>
        <w:gridCol w:w="900"/>
        <w:gridCol w:w="1049"/>
        <w:gridCol w:w="1080"/>
        <w:gridCol w:w="1065"/>
      </w:tblGrid>
      <w:tr w:rsidR="003B0815" w14:paraId="0A9E166E" w14:textId="77777777">
        <w:trPr>
          <w:jc w:val="center"/>
        </w:trPr>
        <w:tc>
          <w:tcPr>
            <w:tcW w:w="9556" w:type="dxa"/>
            <w:gridSpan w:val="9"/>
            <w:tcBorders>
              <w:top w:val="nil"/>
              <w:left w:val="nil"/>
              <w:bottom w:val="single" w:color="auto" w:sz="12" w:space="0"/>
              <w:right w:val="nil"/>
            </w:tcBorders>
            <w:vAlign w:val="center"/>
          </w:tcPr>
          <w:p w:rsidR="003B0815" w:rsidRDefault="003B0815" w14:paraId="07C779F3" w14:textId="77777777">
            <w:pPr>
              <w:pStyle w:val="RegEvalTableHeader"/>
              <w:keepNext/>
            </w:pPr>
            <w:bookmarkStart w:name="_Toc165278387" w:id="290"/>
            <w:bookmarkStart w:name="_Toc174438389" w:id="291"/>
            <w:bookmarkStart w:name="_Toc207109524" w:id="292"/>
            <w:r>
              <w:t>Table 1.6.3.b Cost of Data Collection for Airline Reservation Call Centers, International Passengers</w:t>
            </w:r>
            <w:bookmarkEnd w:id="290"/>
            <w:bookmarkEnd w:id="291"/>
            <w:bookmarkEnd w:id="292"/>
          </w:p>
        </w:tc>
      </w:tr>
      <w:tr w:rsidR="003B0815" w14:paraId="4C638702" w14:textId="77777777">
        <w:trPr>
          <w:jc w:val="center"/>
        </w:trPr>
        <w:tc>
          <w:tcPr>
            <w:tcW w:w="720" w:type="dxa"/>
            <w:tcBorders>
              <w:top w:val="single" w:color="auto" w:sz="12" w:space="0"/>
              <w:left w:val="single" w:color="auto" w:sz="12" w:space="0"/>
            </w:tcBorders>
            <w:vAlign w:val="center"/>
          </w:tcPr>
          <w:p w:rsidR="003B0815" w:rsidRDefault="003B0815" w14:paraId="6DCF2172" w14:textId="77777777">
            <w:pPr>
              <w:keepNext/>
              <w:jc w:val="center"/>
              <w:rPr>
                <w:rFonts w:ascii="Arial" w:hAnsi="Arial"/>
                <w:b/>
                <w:sz w:val="20"/>
                <w:szCs w:val="20"/>
              </w:rPr>
            </w:pPr>
            <w:r>
              <w:rPr>
                <w:rFonts w:ascii="Arial" w:hAnsi="Arial" w:cs="Arial"/>
                <w:b/>
                <w:bCs/>
                <w:sz w:val="20"/>
                <w:szCs w:val="20"/>
              </w:rPr>
              <w:t>Fiscal Year</w:t>
            </w:r>
          </w:p>
        </w:tc>
        <w:tc>
          <w:tcPr>
            <w:tcW w:w="1440" w:type="dxa"/>
            <w:tcBorders>
              <w:top w:val="single" w:color="auto" w:sz="12" w:space="0"/>
            </w:tcBorders>
            <w:vAlign w:val="center"/>
          </w:tcPr>
          <w:p w:rsidR="003B0815" w:rsidRDefault="003B0815" w14:paraId="3E43080D" w14:textId="77777777">
            <w:pPr>
              <w:keepNext/>
              <w:jc w:val="center"/>
              <w:rPr>
                <w:rFonts w:ascii="Arial" w:hAnsi="Arial" w:cs="Arial"/>
                <w:b/>
                <w:bCs/>
                <w:sz w:val="20"/>
                <w:szCs w:val="20"/>
              </w:rPr>
            </w:pPr>
            <w:smartTag w:uri="urn:schemas-microsoft-com:office:smarttags" w:element="place">
              <w:smartTag w:uri="urn:schemas-microsoft-com:office:smarttags" w:element="PlaceName">
                <w:r>
                  <w:rPr>
                    <w:rFonts w:ascii="Arial" w:hAnsi="Arial" w:cs="Arial"/>
                    <w:b/>
                    <w:bCs/>
                    <w:sz w:val="20"/>
                    <w:szCs w:val="20"/>
                  </w:rPr>
                  <w:t>Airline</w:t>
                </w:r>
              </w:smartTag>
              <w:r>
                <w:rPr>
                  <w:rFonts w:ascii="Arial" w:hAnsi="Arial" w:cs="Arial"/>
                  <w:b/>
                  <w:bCs/>
                  <w:sz w:val="20"/>
                  <w:szCs w:val="20"/>
                </w:rPr>
                <w:t xml:space="preserve"> </w:t>
              </w:r>
              <w:smartTag w:uri="urn:schemas-microsoft-com:office:smarttags" w:element="PlaceName">
                <w:r>
                  <w:rPr>
                    <w:rFonts w:ascii="Arial" w:hAnsi="Arial" w:cs="Arial"/>
                    <w:b/>
                    <w:bCs/>
                    <w:sz w:val="20"/>
                    <w:szCs w:val="20"/>
                  </w:rPr>
                  <w:t>Call</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Center</w:t>
                </w:r>
              </w:smartTag>
            </w:smartTag>
            <w:r>
              <w:rPr>
                <w:rFonts w:ascii="Arial" w:hAnsi="Arial" w:cs="Arial"/>
                <w:b/>
                <w:bCs/>
                <w:sz w:val="20"/>
                <w:szCs w:val="20"/>
              </w:rPr>
              <w:t xml:space="preserve"> Reservations</w:t>
            </w:r>
          </w:p>
          <w:p w:rsidR="003B0815" w:rsidRDefault="003B0815" w14:paraId="2C98BB75" w14:textId="77777777">
            <w:pPr>
              <w:keepNext/>
              <w:jc w:val="center"/>
              <w:rPr>
                <w:rFonts w:ascii="Arial" w:hAnsi="Arial"/>
                <w:b/>
                <w:sz w:val="20"/>
                <w:szCs w:val="20"/>
              </w:rPr>
            </w:pPr>
            <w:r>
              <w:rPr>
                <w:rFonts w:ascii="Arial" w:hAnsi="Arial" w:cs="Arial"/>
                <w:b/>
                <w:bCs/>
                <w:sz w:val="20"/>
                <w:szCs w:val="20"/>
              </w:rPr>
              <w:t>(millions)</w:t>
            </w:r>
          </w:p>
        </w:tc>
        <w:tc>
          <w:tcPr>
            <w:tcW w:w="1142" w:type="dxa"/>
            <w:tcBorders>
              <w:top w:val="single" w:color="auto" w:sz="12" w:space="0"/>
            </w:tcBorders>
            <w:vAlign w:val="center"/>
          </w:tcPr>
          <w:p w:rsidR="003B0815" w:rsidRDefault="003B0815" w14:paraId="7A5C3E15" w14:textId="77777777">
            <w:pPr>
              <w:keepNext/>
              <w:jc w:val="center"/>
              <w:rPr>
                <w:rFonts w:ascii="Arial" w:hAnsi="Arial"/>
                <w:b/>
                <w:sz w:val="20"/>
                <w:szCs w:val="20"/>
              </w:rPr>
            </w:pPr>
            <w:r>
              <w:rPr>
                <w:rFonts w:ascii="Arial" w:hAnsi="Arial" w:cs="Arial"/>
                <w:b/>
                <w:bCs/>
                <w:sz w:val="20"/>
                <w:szCs w:val="20"/>
              </w:rPr>
              <w:t>Total Additional Hours, Primary Scenario</w:t>
            </w:r>
          </w:p>
        </w:tc>
        <w:tc>
          <w:tcPr>
            <w:tcW w:w="1080" w:type="dxa"/>
            <w:tcBorders>
              <w:top w:val="single" w:color="auto" w:sz="12" w:space="0"/>
            </w:tcBorders>
            <w:vAlign w:val="center"/>
          </w:tcPr>
          <w:p w:rsidR="003B0815" w:rsidRDefault="003B0815" w14:paraId="3FC6AFE1" w14:textId="77777777">
            <w:pPr>
              <w:keepNext/>
              <w:jc w:val="center"/>
              <w:rPr>
                <w:rFonts w:ascii="Arial" w:hAnsi="Arial"/>
                <w:b/>
                <w:sz w:val="20"/>
                <w:szCs w:val="20"/>
              </w:rPr>
            </w:pPr>
            <w:r>
              <w:rPr>
                <w:rFonts w:ascii="Arial" w:hAnsi="Arial" w:cs="Arial"/>
                <w:b/>
                <w:bCs/>
                <w:sz w:val="20"/>
                <w:szCs w:val="20"/>
              </w:rPr>
              <w:t>Total Additional Hours, Low Scenario</w:t>
            </w:r>
          </w:p>
        </w:tc>
        <w:tc>
          <w:tcPr>
            <w:tcW w:w="1080" w:type="dxa"/>
            <w:tcBorders>
              <w:top w:val="single" w:color="auto" w:sz="12" w:space="0"/>
            </w:tcBorders>
            <w:vAlign w:val="center"/>
          </w:tcPr>
          <w:p w:rsidR="003B0815" w:rsidRDefault="003B0815" w14:paraId="44561524" w14:textId="77777777">
            <w:pPr>
              <w:keepNext/>
              <w:jc w:val="center"/>
              <w:rPr>
                <w:rFonts w:ascii="Arial" w:hAnsi="Arial"/>
                <w:b/>
                <w:sz w:val="20"/>
                <w:szCs w:val="20"/>
              </w:rPr>
            </w:pPr>
            <w:r>
              <w:rPr>
                <w:rFonts w:ascii="Arial" w:hAnsi="Arial" w:cs="Arial"/>
                <w:b/>
                <w:bCs/>
                <w:sz w:val="20"/>
                <w:szCs w:val="20"/>
              </w:rPr>
              <w:t>Total Additional Hours, High Scenario</w:t>
            </w:r>
          </w:p>
        </w:tc>
        <w:tc>
          <w:tcPr>
            <w:tcW w:w="900" w:type="dxa"/>
            <w:tcBorders>
              <w:top w:val="single" w:color="auto" w:sz="12" w:space="0"/>
            </w:tcBorders>
            <w:vAlign w:val="center"/>
          </w:tcPr>
          <w:p w:rsidR="003B0815" w:rsidRDefault="003B0815" w14:paraId="3575EE14" w14:textId="77777777">
            <w:pPr>
              <w:keepNext/>
              <w:jc w:val="center"/>
              <w:rPr>
                <w:rFonts w:ascii="Arial" w:hAnsi="Arial"/>
                <w:b/>
                <w:sz w:val="20"/>
                <w:szCs w:val="20"/>
              </w:rPr>
            </w:pPr>
            <w:smartTag w:uri="urn:schemas-microsoft-com:office:smarttags" w:element="place">
              <w:smartTag w:uri="urn:schemas-microsoft-com:office:smarttags" w:element="PlaceName">
                <w:r>
                  <w:rPr>
                    <w:rFonts w:ascii="Arial" w:hAnsi="Arial" w:cs="Arial"/>
                    <w:b/>
                    <w:bCs/>
                    <w:sz w:val="20"/>
                    <w:szCs w:val="20"/>
                  </w:rPr>
                  <w:t>Call</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Center</w:t>
                </w:r>
              </w:smartTag>
            </w:smartTag>
            <w:r>
              <w:rPr>
                <w:rFonts w:ascii="Arial" w:hAnsi="Arial" w:cs="Arial"/>
                <w:b/>
                <w:bCs/>
                <w:sz w:val="20"/>
                <w:szCs w:val="20"/>
              </w:rPr>
              <w:t xml:space="preserve"> Agent Hourly Wage</w:t>
            </w:r>
          </w:p>
        </w:tc>
        <w:tc>
          <w:tcPr>
            <w:tcW w:w="1049" w:type="dxa"/>
            <w:tcBorders>
              <w:top w:val="single" w:color="auto" w:sz="12" w:space="0"/>
            </w:tcBorders>
            <w:vAlign w:val="center"/>
          </w:tcPr>
          <w:p w:rsidR="003B0815" w:rsidRDefault="003B0815" w14:paraId="083B539B" w14:textId="77777777">
            <w:pPr>
              <w:keepNext/>
              <w:jc w:val="center"/>
              <w:rPr>
                <w:rFonts w:ascii="Arial" w:hAnsi="Arial" w:cs="Arial"/>
                <w:b/>
                <w:bCs/>
                <w:sz w:val="20"/>
                <w:szCs w:val="20"/>
              </w:rPr>
            </w:pPr>
            <w:r>
              <w:rPr>
                <w:rFonts w:ascii="Arial" w:hAnsi="Arial" w:cs="Arial"/>
                <w:b/>
                <w:bCs/>
                <w:sz w:val="20"/>
                <w:szCs w:val="20"/>
              </w:rPr>
              <w:t>Total Cost, Primary Scenario</w:t>
            </w:r>
          </w:p>
          <w:p w:rsidR="003B0815" w:rsidRDefault="003B0815" w14:paraId="670308B8" w14:textId="77777777">
            <w:pPr>
              <w:keepNext/>
              <w:jc w:val="center"/>
              <w:rPr>
                <w:rFonts w:ascii="Arial" w:hAnsi="Arial"/>
                <w:b/>
                <w:sz w:val="20"/>
                <w:szCs w:val="20"/>
              </w:rPr>
            </w:pPr>
            <w:r>
              <w:rPr>
                <w:rFonts w:ascii="Arial" w:hAnsi="Arial" w:cs="Arial"/>
                <w:b/>
                <w:bCs/>
                <w:sz w:val="20"/>
                <w:szCs w:val="20"/>
              </w:rPr>
              <w:t>(millions)</w:t>
            </w:r>
          </w:p>
        </w:tc>
        <w:tc>
          <w:tcPr>
            <w:tcW w:w="1080" w:type="dxa"/>
            <w:tcBorders>
              <w:top w:val="single" w:color="auto" w:sz="12" w:space="0"/>
            </w:tcBorders>
            <w:vAlign w:val="center"/>
          </w:tcPr>
          <w:p w:rsidR="003B0815" w:rsidRDefault="003B0815" w14:paraId="7A726982" w14:textId="77777777">
            <w:pPr>
              <w:keepNext/>
              <w:jc w:val="center"/>
              <w:rPr>
                <w:rFonts w:ascii="Arial" w:hAnsi="Arial" w:cs="Arial"/>
                <w:b/>
                <w:bCs/>
                <w:sz w:val="20"/>
                <w:szCs w:val="20"/>
              </w:rPr>
            </w:pPr>
            <w:r>
              <w:rPr>
                <w:rFonts w:ascii="Arial" w:hAnsi="Arial" w:cs="Arial"/>
                <w:b/>
                <w:bCs/>
                <w:sz w:val="20"/>
                <w:szCs w:val="20"/>
              </w:rPr>
              <w:t>Total Cost, Low Scenario</w:t>
            </w:r>
          </w:p>
          <w:p w:rsidR="003B0815" w:rsidRDefault="003B0815" w14:paraId="1246AB4C" w14:textId="77777777">
            <w:pPr>
              <w:keepNext/>
              <w:jc w:val="center"/>
              <w:rPr>
                <w:rFonts w:ascii="Arial" w:hAnsi="Arial"/>
                <w:b/>
                <w:sz w:val="20"/>
                <w:szCs w:val="20"/>
              </w:rPr>
            </w:pPr>
            <w:r>
              <w:rPr>
                <w:rFonts w:ascii="Arial" w:hAnsi="Arial" w:cs="Arial"/>
                <w:b/>
                <w:bCs/>
                <w:sz w:val="20"/>
                <w:szCs w:val="20"/>
              </w:rPr>
              <w:t>(millions)</w:t>
            </w:r>
          </w:p>
        </w:tc>
        <w:tc>
          <w:tcPr>
            <w:tcW w:w="1065" w:type="dxa"/>
            <w:tcBorders>
              <w:top w:val="single" w:color="auto" w:sz="12" w:space="0"/>
              <w:bottom w:val="single" w:color="auto" w:sz="4" w:space="0"/>
              <w:right w:val="single" w:color="auto" w:sz="12" w:space="0"/>
            </w:tcBorders>
            <w:vAlign w:val="center"/>
          </w:tcPr>
          <w:p w:rsidR="003B0815" w:rsidRDefault="003B0815" w14:paraId="3C263AE2" w14:textId="77777777">
            <w:pPr>
              <w:keepNext/>
              <w:jc w:val="center"/>
              <w:rPr>
                <w:rFonts w:ascii="Arial" w:hAnsi="Arial" w:cs="Arial"/>
                <w:b/>
                <w:bCs/>
                <w:sz w:val="20"/>
                <w:szCs w:val="20"/>
              </w:rPr>
            </w:pPr>
            <w:r>
              <w:rPr>
                <w:rFonts w:ascii="Arial" w:hAnsi="Arial" w:cs="Arial"/>
                <w:b/>
                <w:bCs/>
                <w:sz w:val="20"/>
                <w:szCs w:val="20"/>
              </w:rPr>
              <w:t xml:space="preserve">Total Cost, High </w:t>
            </w:r>
          </w:p>
          <w:p w:rsidR="003B0815" w:rsidRDefault="003B0815" w14:paraId="21ADB364" w14:textId="77777777">
            <w:pPr>
              <w:keepNext/>
              <w:jc w:val="center"/>
              <w:rPr>
                <w:rFonts w:ascii="Arial" w:hAnsi="Arial" w:cs="Arial"/>
                <w:b/>
                <w:bCs/>
                <w:sz w:val="20"/>
                <w:szCs w:val="20"/>
              </w:rPr>
            </w:pPr>
            <w:r>
              <w:rPr>
                <w:rFonts w:ascii="Arial" w:hAnsi="Arial" w:cs="Arial"/>
                <w:b/>
                <w:bCs/>
                <w:sz w:val="20"/>
                <w:szCs w:val="20"/>
              </w:rPr>
              <w:t>Scenario</w:t>
            </w:r>
          </w:p>
          <w:p w:rsidR="003B0815" w:rsidRDefault="003B0815" w14:paraId="1FC7BB27" w14:textId="77777777">
            <w:pPr>
              <w:keepNext/>
              <w:jc w:val="center"/>
              <w:rPr>
                <w:rFonts w:ascii="Arial" w:hAnsi="Arial" w:cs="Arial"/>
                <w:b/>
                <w:sz w:val="20"/>
                <w:szCs w:val="20"/>
              </w:rPr>
            </w:pPr>
            <w:r>
              <w:rPr>
                <w:rFonts w:ascii="Arial" w:hAnsi="Arial" w:cs="Arial"/>
                <w:b/>
                <w:bCs/>
                <w:sz w:val="20"/>
                <w:szCs w:val="20"/>
              </w:rPr>
              <w:t>(millions)</w:t>
            </w:r>
          </w:p>
        </w:tc>
      </w:tr>
      <w:tr w:rsidR="003B0815" w14:paraId="1634DF4A" w14:textId="77777777">
        <w:trPr>
          <w:jc w:val="center"/>
        </w:trPr>
        <w:tc>
          <w:tcPr>
            <w:tcW w:w="720" w:type="dxa"/>
            <w:tcBorders>
              <w:left w:val="single" w:color="auto" w:sz="12" w:space="0"/>
            </w:tcBorders>
            <w:vAlign w:val="center"/>
          </w:tcPr>
          <w:p w:rsidR="003B0815" w:rsidRDefault="003B0815" w14:paraId="213F2847" w14:textId="77777777">
            <w:pPr>
              <w:keepNext/>
              <w:jc w:val="center"/>
              <w:rPr>
                <w:rFonts w:ascii="Arial" w:hAnsi="Arial"/>
                <w:sz w:val="20"/>
                <w:szCs w:val="20"/>
              </w:rPr>
            </w:pPr>
            <w:r>
              <w:rPr>
                <w:rFonts w:ascii="Arial" w:hAnsi="Arial" w:cs="Arial"/>
                <w:b/>
                <w:bCs/>
                <w:sz w:val="20"/>
                <w:szCs w:val="20"/>
              </w:rPr>
              <w:t> </w:t>
            </w:r>
          </w:p>
        </w:tc>
        <w:tc>
          <w:tcPr>
            <w:tcW w:w="1440" w:type="dxa"/>
            <w:vAlign w:val="center"/>
          </w:tcPr>
          <w:p w:rsidR="003B0815" w:rsidRDefault="003B0815" w14:paraId="0EF8E963" w14:textId="77777777">
            <w:pPr>
              <w:keepNext/>
              <w:jc w:val="center"/>
              <w:rPr>
                <w:rFonts w:ascii="Arial" w:hAnsi="Arial"/>
                <w:sz w:val="20"/>
                <w:szCs w:val="20"/>
              </w:rPr>
            </w:pPr>
            <w:r>
              <w:rPr>
                <w:rFonts w:ascii="Arial" w:hAnsi="Arial" w:cs="Arial"/>
                <w:b/>
                <w:bCs/>
                <w:sz w:val="20"/>
                <w:szCs w:val="20"/>
              </w:rPr>
              <w:t>(A)</w:t>
            </w:r>
          </w:p>
        </w:tc>
        <w:tc>
          <w:tcPr>
            <w:tcW w:w="1142" w:type="dxa"/>
            <w:vAlign w:val="center"/>
          </w:tcPr>
          <w:p w:rsidR="003B0815" w:rsidRDefault="003B0815" w14:paraId="7E1E3A47"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68AEA249" w14:textId="77777777">
            <w:pPr>
              <w:keepNext/>
              <w:jc w:val="center"/>
              <w:rPr>
                <w:rFonts w:ascii="Arial" w:hAnsi="Arial"/>
                <w:sz w:val="20"/>
                <w:szCs w:val="20"/>
              </w:rPr>
            </w:pPr>
            <w:r>
              <w:rPr>
                <w:rFonts w:ascii="Arial" w:hAnsi="Arial" w:cs="Arial"/>
                <w:b/>
                <w:bCs/>
                <w:sz w:val="20"/>
                <w:szCs w:val="20"/>
              </w:rPr>
              <w:t>(C)</w:t>
            </w:r>
          </w:p>
        </w:tc>
        <w:tc>
          <w:tcPr>
            <w:tcW w:w="1080" w:type="dxa"/>
            <w:vAlign w:val="center"/>
          </w:tcPr>
          <w:p w:rsidR="003B0815" w:rsidRDefault="003B0815" w14:paraId="0E94CB53" w14:textId="77777777">
            <w:pPr>
              <w:keepNext/>
              <w:jc w:val="center"/>
              <w:rPr>
                <w:rFonts w:ascii="Arial" w:hAnsi="Arial"/>
                <w:sz w:val="20"/>
                <w:szCs w:val="20"/>
              </w:rPr>
            </w:pPr>
            <w:r>
              <w:rPr>
                <w:rFonts w:ascii="Arial" w:hAnsi="Arial" w:cs="Arial"/>
                <w:b/>
                <w:bCs/>
                <w:sz w:val="20"/>
                <w:szCs w:val="20"/>
              </w:rPr>
              <w:t>(D)</w:t>
            </w:r>
          </w:p>
        </w:tc>
        <w:tc>
          <w:tcPr>
            <w:tcW w:w="900" w:type="dxa"/>
            <w:vAlign w:val="center"/>
          </w:tcPr>
          <w:p w:rsidR="003B0815" w:rsidRDefault="003B0815" w14:paraId="7D48EBD7" w14:textId="77777777">
            <w:pPr>
              <w:keepNext/>
              <w:jc w:val="center"/>
              <w:rPr>
                <w:rFonts w:ascii="Arial" w:hAnsi="Arial"/>
                <w:sz w:val="20"/>
                <w:szCs w:val="20"/>
              </w:rPr>
            </w:pPr>
            <w:r>
              <w:rPr>
                <w:rFonts w:ascii="Arial" w:hAnsi="Arial" w:cs="Arial"/>
                <w:b/>
                <w:bCs/>
                <w:sz w:val="20"/>
                <w:szCs w:val="20"/>
              </w:rPr>
              <w:t>(E)</w:t>
            </w:r>
          </w:p>
        </w:tc>
        <w:tc>
          <w:tcPr>
            <w:tcW w:w="1049" w:type="dxa"/>
            <w:shd w:val="clear" w:color="auto" w:fill="CCCCCC"/>
            <w:vAlign w:val="center"/>
          </w:tcPr>
          <w:p w:rsidR="003B0815" w:rsidRDefault="003B0815" w14:paraId="718C9C40" w14:textId="77777777">
            <w:pPr>
              <w:keepNext/>
              <w:jc w:val="center"/>
              <w:rPr>
                <w:rFonts w:ascii="Arial" w:hAnsi="Arial"/>
                <w:b/>
                <w:sz w:val="20"/>
                <w:szCs w:val="20"/>
              </w:rPr>
            </w:pPr>
            <w:r>
              <w:rPr>
                <w:rFonts w:ascii="Arial" w:hAnsi="Arial" w:cs="Arial"/>
                <w:b/>
                <w:bCs/>
                <w:sz w:val="20"/>
                <w:szCs w:val="20"/>
              </w:rPr>
              <w:t>(B x E)</w:t>
            </w:r>
          </w:p>
        </w:tc>
        <w:tc>
          <w:tcPr>
            <w:tcW w:w="1080" w:type="dxa"/>
            <w:shd w:val="clear" w:color="auto" w:fill="CCCCCC"/>
            <w:vAlign w:val="center"/>
          </w:tcPr>
          <w:p w:rsidR="003B0815" w:rsidRDefault="003B0815" w14:paraId="3A533AE9" w14:textId="77777777">
            <w:pPr>
              <w:keepNext/>
              <w:jc w:val="center"/>
              <w:rPr>
                <w:rFonts w:ascii="Arial" w:hAnsi="Arial"/>
                <w:b/>
                <w:sz w:val="20"/>
                <w:szCs w:val="20"/>
              </w:rPr>
            </w:pPr>
            <w:r>
              <w:rPr>
                <w:rFonts w:ascii="Arial" w:hAnsi="Arial" w:cs="Arial"/>
                <w:b/>
                <w:bCs/>
                <w:sz w:val="20"/>
                <w:szCs w:val="20"/>
              </w:rPr>
              <w:t>(C x E)</w:t>
            </w:r>
          </w:p>
        </w:tc>
        <w:tc>
          <w:tcPr>
            <w:tcW w:w="1065" w:type="dxa"/>
            <w:tcBorders>
              <w:right w:val="single" w:color="auto" w:sz="12" w:space="0"/>
            </w:tcBorders>
            <w:shd w:val="clear" w:color="auto" w:fill="CCCCCC"/>
            <w:vAlign w:val="center"/>
          </w:tcPr>
          <w:p w:rsidR="003B0815" w:rsidRDefault="003B0815" w14:paraId="2607D9A2" w14:textId="77777777">
            <w:pPr>
              <w:keepNext/>
              <w:jc w:val="center"/>
              <w:rPr>
                <w:rFonts w:ascii="Arial" w:hAnsi="Arial"/>
                <w:b/>
                <w:sz w:val="20"/>
                <w:szCs w:val="20"/>
              </w:rPr>
            </w:pPr>
            <w:r>
              <w:rPr>
                <w:rFonts w:ascii="Arial" w:hAnsi="Arial" w:cs="Arial"/>
                <w:b/>
                <w:bCs/>
                <w:sz w:val="20"/>
                <w:szCs w:val="20"/>
              </w:rPr>
              <w:t>(D x E)</w:t>
            </w:r>
          </w:p>
        </w:tc>
      </w:tr>
      <w:tr w:rsidR="003B0815" w14:paraId="6352F5F7" w14:textId="77777777">
        <w:trPr>
          <w:jc w:val="center"/>
        </w:trPr>
        <w:tc>
          <w:tcPr>
            <w:tcW w:w="720" w:type="dxa"/>
            <w:tcBorders>
              <w:left w:val="single" w:color="auto" w:sz="12" w:space="0"/>
            </w:tcBorders>
          </w:tcPr>
          <w:p w:rsidR="003B0815" w:rsidRDefault="003B0815" w14:paraId="0566DFA5" w14:textId="77777777">
            <w:pPr>
              <w:keepNext/>
              <w:jc w:val="center"/>
              <w:rPr>
                <w:rFonts w:ascii="Arial" w:hAnsi="Arial"/>
                <w:sz w:val="20"/>
                <w:szCs w:val="20"/>
              </w:rPr>
            </w:pPr>
            <w:r>
              <w:t>2008</w:t>
            </w:r>
          </w:p>
        </w:tc>
        <w:tc>
          <w:tcPr>
            <w:tcW w:w="1440" w:type="dxa"/>
            <w:vAlign w:val="bottom"/>
          </w:tcPr>
          <w:p w:rsidR="003B0815" w:rsidRDefault="003B0815" w14:paraId="569E748A" w14:textId="77777777">
            <w:pPr>
              <w:keepNext/>
              <w:jc w:val="center"/>
              <w:rPr>
                <w:rFonts w:ascii="Arial" w:hAnsi="Arial"/>
                <w:sz w:val="20"/>
                <w:szCs w:val="20"/>
              </w:rPr>
            </w:pPr>
            <w:r>
              <w:rPr>
                <w:rFonts w:ascii="Arial" w:hAnsi="Arial" w:cs="Arial"/>
                <w:sz w:val="20"/>
                <w:szCs w:val="20"/>
              </w:rPr>
              <w:t xml:space="preserve">13.0 </w:t>
            </w:r>
          </w:p>
        </w:tc>
        <w:tc>
          <w:tcPr>
            <w:tcW w:w="1142" w:type="dxa"/>
            <w:vAlign w:val="bottom"/>
          </w:tcPr>
          <w:p w:rsidR="003B0815" w:rsidRDefault="003B0815" w14:paraId="17E9A36F" w14:textId="77777777">
            <w:pPr>
              <w:keepNext/>
              <w:jc w:val="center"/>
              <w:rPr>
                <w:rFonts w:ascii="Arial" w:hAnsi="Arial"/>
                <w:sz w:val="20"/>
                <w:szCs w:val="20"/>
              </w:rPr>
            </w:pPr>
            <w:r>
              <w:rPr>
                <w:rFonts w:ascii="Arial" w:hAnsi="Arial" w:cs="Arial"/>
                <w:sz w:val="20"/>
                <w:szCs w:val="20"/>
              </w:rPr>
              <w:t>90,000</w:t>
            </w:r>
          </w:p>
        </w:tc>
        <w:tc>
          <w:tcPr>
            <w:tcW w:w="1080" w:type="dxa"/>
            <w:vAlign w:val="bottom"/>
          </w:tcPr>
          <w:p w:rsidR="003B0815" w:rsidRDefault="003B0815" w14:paraId="792F8FDE" w14:textId="77777777">
            <w:pPr>
              <w:keepNext/>
              <w:jc w:val="center"/>
              <w:rPr>
                <w:rFonts w:ascii="Arial" w:hAnsi="Arial"/>
                <w:sz w:val="20"/>
                <w:szCs w:val="20"/>
              </w:rPr>
            </w:pPr>
            <w:r>
              <w:rPr>
                <w:rFonts w:ascii="Arial" w:hAnsi="Arial" w:cs="Arial"/>
                <w:sz w:val="20"/>
                <w:szCs w:val="20"/>
              </w:rPr>
              <w:t>73,000</w:t>
            </w:r>
          </w:p>
        </w:tc>
        <w:tc>
          <w:tcPr>
            <w:tcW w:w="1080" w:type="dxa"/>
            <w:vAlign w:val="bottom"/>
          </w:tcPr>
          <w:p w:rsidR="003B0815" w:rsidRDefault="003B0815" w14:paraId="30AF40D8" w14:textId="77777777">
            <w:pPr>
              <w:keepNext/>
              <w:jc w:val="center"/>
              <w:rPr>
                <w:rFonts w:ascii="Arial" w:hAnsi="Arial"/>
                <w:sz w:val="20"/>
                <w:szCs w:val="20"/>
              </w:rPr>
            </w:pPr>
            <w:r>
              <w:rPr>
                <w:rFonts w:ascii="Arial" w:hAnsi="Arial" w:cs="Arial"/>
                <w:sz w:val="20"/>
                <w:szCs w:val="20"/>
              </w:rPr>
              <w:t>108,000</w:t>
            </w:r>
          </w:p>
        </w:tc>
        <w:tc>
          <w:tcPr>
            <w:tcW w:w="900" w:type="dxa"/>
            <w:vAlign w:val="bottom"/>
          </w:tcPr>
          <w:p w:rsidR="003B0815" w:rsidRDefault="003B0815" w14:paraId="4E57686C"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A4DDBCB" w14:textId="77777777">
            <w:pPr>
              <w:keepNext/>
              <w:jc w:val="right"/>
              <w:rPr>
                <w:rFonts w:ascii="Arial" w:hAnsi="Arial"/>
                <w:b/>
                <w:sz w:val="20"/>
                <w:szCs w:val="20"/>
              </w:rPr>
            </w:pPr>
            <w:r>
              <w:rPr>
                <w:rFonts w:ascii="Arial" w:hAnsi="Arial" w:cs="Arial"/>
                <w:b/>
                <w:bCs/>
                <w:sz w:val="20"/>
                <w:szCs w:val="20"/>
              </w:rPr>
              <w:t>$1.9</w:t>
            </w:r>
          </w:p>
        </w:tc>
        <w:tc>
          <w:tcPr>
            <w:tcW w:w="1080" w:type="dxa"/>
            <w:shd w:val="clear" w:color="auto" w:fill="CCCCCC"/>
            <w:vAlign w:val="bottom"/>
          </w:tcPr>
          <w:p w:rsidR="003B0815" w:rsidRDefault="003B0815" w14:paraId="67F5A514" w14:textId="77777777">
            <w:pPr>
              <w:keepNext/>
              <w:jc w:val="right"/>
              <w:rPr>
                <w:rFonts w:ascii="Arial" w:hAnsi="Arial"/>
                <w:b/>
                <w:sz w:val="20"/>
                <w:szCs w:val="20"/>
              </w:rPr>
            </w:pPr>
            <w:r>
              <w:rPr>
                <w:rFonts w:ascii="Arial" w:hAnsi="Arial" w:cs="Arial"/>
                <w:b/>
                <w:bCs/>
                <w:sz w:val="20"/>
                <w:szCs w:val="20"/>
              </w:rPr>
              <w:t>$1.6</w:t>
            </w:r>
          </w:p>
        </w:tc>
        <w:tc>
          <w:tcPr>
            <w:tcW w:w="1065" w:type="dxa"/>
            <w:tcBorders>
              <w:right w:val="single" w:color="auto" w:sz="12" w:space="0"/>
            </w:tcBorders>
            <w:shd w:val="clear" w:color="auto" w:fill="CCCCCC"/>
            <w:vAlign w:val="bottom"/>
          </w:tcPr>
          <w:p w:rsidR="003B0815" w:rsidRDefault="003B0815" w14:paraId="55CAE228" w14:textId="77777777">
            <w:pPr>
              <w:keepNext/>
              <w:jc w:val="right"/>
              <w:rPr>
                <w:rFonts w:ascii="Arial" w:hAnsi="Arial"/>
                <w:b/>
                <w:sz w:val="20"/>
                <w:szCs w:val="20"/>
              </w:rPr>
            </w:pPr>
            <w:r>
              <w:rPr>
                <w:rFonts w:ascii="Arial" w:hAnsi="Arial" w:cs="Arial"/>
                <w:b/>
                <w:bCs/>
                <w:sz w:val="20"/>
                <w:szCs w:val="20"/>
              </w:rPr>
              <w:t>$2.2</w:t>
            </w:r>
          </w:p>
        </w:tc>
      </w:tr>
      <w:tr w:rsidR="003B0815" w14:paraId="0B3D28E3" w14:textId="77777777">
        <w:trPr>
          <w:jc w:val="center"/>
        </w:trPr>
        <w:tc>
          <w:tcPr>
            <w:tcW w:w="720" w:type="dxa"/>
            <w:tcBorders>
              <w:left w:val="single" w:color="auto" w:sz="12" w:space="0"/>
            </w:tcBorders>
          </w:tcPr>
          <w:p w:rsidR="003B0815" w:rsidRDefault="003B0815" w14:paraId="00B2F1FB" w14:textId="77777777">
            <w:pPr>
              <w:keepNext/>
              <w:jc w:val="center"/>
              <w:rPr>
                <w:rFonts w:ascii="Arial" w:hAnsi="Arial"/>
                <w:sz w:val="20"/>
                <w:szCs w:val="20"/>
              </w:rPr>
            </w:pPr>
            <w:r>
              <w:t>2009</w:t>
            </w:r>
          </w:p>
        </w:tc>
        <w:tc>
          <w:tcPr>
            <w:tcW w:w="1440" w:type="dxa"/>
            <w:vAlign w:val="bottom"/>
          </w:tcPr>
          <w:p w:rsidR="003B0815" w:rsidRDefault="003B0815" w14:paraId="6BF9D737" w14:textId="77777777">
            <w:pPr>
              <w:keepNext/>
              <w:jc w:val="center"/>
              <w:rPr>
                <w:rFonts w:ascii="Arial" w:hAnsi="Arial"/>
                <w:sz w:val="20"/>
                <w:szCs w:val="20"/>
              </w:rPr>
            </w:pPr>
            <w:r>
              <w:rPr>
                <w:rFonts w:ascii="Arial" w:hAnsi="Arial" w:cs="Arial"/>
                <w:sz w:val="20"/>
                <w:szCs w:val="20"/>
              </w:rPr>
              <w:t xml:space="preserve">13.7 </w:t>
            </w:r>
          </w:p>
        </w:tc>
        <w:tc>
          <w:tcPr>
            <w:tcW w:w="1142" w:type="dxa"/>
            <w:vAlign w:val="bottom"/>
          </w:tcPr>
          <w:p w:rsidR="003B0815" w:rsidRDefault="003B0815" w14:paraId="6AC23930" w14:textId="77777777">
            <w:pPr>
              <w:keepNext/>
              <w:jc w:val="center"/>
              <w:rPr>
                <w:rFonts w:ascii="Arial" w:hAnsi="Arial"/>
                <w:sz w:val="20"/>
                <w:szCs w:val="20"/>
              </w:rPr>
            </w:pPr>
            <w:r>
              <w:rPr>
                <w:rFonts w:ascii="Arial" w:hAnsi="Arial" w:cs="Arial"/>
                <w:sz w:val="20"/>
                <w:szCs w:val="20"/>
              </w:rPr>
              <w:t>95,000</w:t>
            </w:r>
          </w:p>
        </w:tc>
        <w:tc>
          <w:tcPr>
            <w:tcW w:w="1080" w:type="dxa"/>
            <w:vAlign w:val="bottom"/>
          </w:tcPr>
          <w:p w:rsidR="003B0815" w:rsidRDefault="003B0815" w14:paraId="3818D482" w14:textId="77777777">
            <w:pPr>
              <w:keepNext/>
              <w:jc w:val="center"/>
              <w:rPr>
                <w:rFonts w:ascii="Arial" w:hAnsi="Arial"/>
                <w:sz w:val="20"/>
                <w:szCs w:val="20"/>
              </w:rPr>
            </w:pPr>
            <w:r>
              <w:rPr>
                <w:rFonts w:ascii="Arial" w:hAnsi="Arial" w:cs="Arial"/>
                <w:sz w:val="20"/>
                <w:szCs w:val="20"/>
              </w:rPr>
              <w:t>76,000</w:t>
            </w:r>
          </w:p>
        </w:tc>
        <w:tc>
          <w:tcPr>
            <w:tcW w:w="1080" w:type="dxa"/>
            <w:vAlign w:val="bottom"/>
          </w:tcPr>
          <w:p w:rsidR="003B0815" w:rsidRDefault="003B0815" w14:paraId="2B9D528C" w14:textId="77777777">
            <w:pPr>
              <w:keepNext/>
              <w:jc w:val="center"/>
              <w:rPr>
                <w:rFonts w:ascii="Arial" w:hAnsi="Arial"/>
                <w:sz w:val="20"/>
                <w:szCs w:val="20"/>
              </w:rPr>
            </w:pPr>
            <w:r>
              <w:rPr>
                <w:rFonts w:ascii="Arial" w:hAnsi="Arial" w:cs="Arial"/>
                <w:sz w:val="20"/>
                <w:szCs w:val="20"/>
              </w:rPr>
              <w:t>115,000</w:t>
            </w:r>
          </w:p>
        </w:tc>
        <w:tc>
          <w:tcPr>
            <w:tcW w:w="900" w:type="dxa"/>
            <w:vAlign w:val="bottom"/>
          </w:tcPr>
          <w:p w:rsidR="003B0815" w:rsidRDefault="003B0815" w14:paraId="4D749E19"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DE20BBD" w14:textId="77777777">
            <w:pPr>
              <w:keepNext/>
              <w:jc w:val="right"/>
              <w:rPr>
                <w:rFonts w:ascii="Arial" w:hAnsi="Arial"/>
                <w:b/>
                <w:sz w:val="20"/>
                <w:szCs w:val="20"/>
              </w:rPr>
            </w:pPr>
            <w:r>
              <w:rPr>
                <w:rFonts w:ascii="Arial" w:hAnsi="Arial" w:cs="Arial"/>
                <w:b/>
                <w:bCs/>
                <w:sz w:val="20"/>
                <w:szCs w:val="20"/>
              </w:rPr>
              <w:t>2.0</w:t>
            </w:r>
          </w:p>
        </w:tc>
        <w:tc>
          <w:tcPr>
            <w:tcW w:w="1080" w:type="dxa"/>
            <w:shd w:val="clear" w:color="auto" w:fill="CCCCCC"/>
            <w:vAlign w:val="bottom"/>
          </w:tcPr>
          <w:p w:rsidR="003B0815" w:rsidRDefault="003B0815" w14:paraId="33E8FF4B" w14:textId="77777777">
            <w:pPr>
              <w:keepNext/>
              <w:jc w:val="right"/>
              <w:rPr>
                <w:rFonts w:ascii="Arial" w:hAnsi="Arial"/>
                <w:b/>
                <w:sz w:val="20"/>
                <w:szCs w:val="20"/>
              </w:rPr>
            </w:pPr>
            <w:r>
              <w:rPr>
                <w:rFonts w:ascii="Arial" w:hAnsi="Arial" w:cs="Arial"/>
                <w:b/>
                <w:bCs/>
                <w:sz w:val="20"/>
                <w:szCs w:val="20"/>
              </w:rPr>
              <w:t>1.6</w:t>
            </w:r>
          </w:p>
        </w:tc>
        <w:tc>
          <w:tcPr>
            <w:tcW w:w="1065" w:type="dxa"/>
            <w:tcBorders>
              <w:right w:val="single" w:color="auto" w:sz="12" w:space="0"/>
            </w:tcBorders>
            <w:shd w:val="clear" w:color="auto" w:fill="CCCCCC"/>
            <w:vAlign w:val="bottom"/>
          </w:tcPr>
          <w:p w:rsidR="003B0815" w:rsidRDefault="003B0815" w14:paraId="0C96AB7A" w14:textId="77777777">
            <w:pPr>
              <w:keepNext/>
              <w:jc w:val="right"/>
              <w:rPr>
                <w:rFonts w:ascii="Arial" w:hAnsi="Arial"/>
                <w:b/>
                <w:sz w:val="20"/>
                <w:szCs w:val="20"/>
              </w:rPr>
            </w:pPr>
            <w:r>
              <w:rPr>
                <w:rFonts w:ascii="Arial" w:hAnsi="Arial" w:cs="Arial"/>
                <w:b/>
                <w:bCs/>
                <w:sz w:val="20"/>
                <w:szCs w:val="20"/>
              </w:rPr>
              <w:t>2.4</w:t>
            </w:r>
          </w:p>
        </w:tc>
      </w:tr>
      <w:tr w:rsidR="003B0815" w14:paraId="7FF849CF" w14:textId="77777777">
        <w:trPr>
          <w:jc w:val="center"/>
        </w:trPr>
        <w:tc>
          <w:tcPr>
            <w:tcW w:w="720" w:type="dxa"/>
            <w:tcBorders>
              <w:left w:val="single" w:color="auto" w:sz="12" w:space="0"/>
            </w:tcBorders>
          </w:tcPr>
          <w:p w:rsidR="003B0815" w:rsidRDefault="003B0815" w14:paraId="44563D78" w14:textId="77777777">
            <w:pPr>
              <w:keepNext/>
              <w:jc w:val="center"/>
              <w:rPr>
                <w:rFonts w:ascii="Arial" w:hAnsi="Arial"/>
                <w:sz w:val="20"/>
                <w:szCs w:val="20"/>
              </w:rPr>
            </w:pPr>
            <w:r>
              <w:t>2010</w:t>
            </w:r>
          </w:p>
        </w:tc>
        <w:tc>
          <w:tcPr>
            <w:tcW w:w="1440" w:type="dxa"/>
            <w:vAlign w:val="bottom"/>
          </w:tcPr>
          <w:p w:rsidR="003B0815" w:rsidRDefault="003B0815" w14:paraId="3B80F67E" w14:textId="77777777">
            <w:pPr>
              <w:keepNext/>
              <w:jc w:val="center"/>
              <w:rPr>
                <w:rFonts w:ascii="Arial" w:hAnsi="Arial"/>
                <w:sz w:val="20"/>
                <w:szCs w:val="20"/>
              </w:rPr>
            </w:pPr>
            <w:r>
              <w:rPr>
                <w:rFonts w:ascii="Arial" w:hAnsi="Arial" w:cs="Arial"/>
                <w:sz w:val="20"/>
                <w:szCs w:val="20"/>
              </w:rPr>
              <w:t xml:space="preserve">14.4 </w:t>
            </w:r>
          </w:p>
        </w:tc>
        <w:tc>
          <w:tcPr>
            <w:tcW w:w="1142" w:type="dxa"/>
            <w:vAlign w:val="bottom"/>
          </w:tcPr>
          <w:p w:rsidR="003B0815" w:rsidRDefault="003B0815" w14:paraId="5D7D07B4" w14:textId="77777777">
            <w:pPr>
              <w:keepNext/>
              <w:jc w:val="center"/>
              <w:rPr>
                <w:rFonts w:ascii="Arial" w:hAnsi="Arial"/>
                <w:sz w:val="20"/>
                <w:szCs w:val="20"/>
              </w:rPr>
            </w:pPr>
            <w:r>
              <w:rPr>
                <w:rFonts w:ascii="Arial" w:hAnsi="Arial" w:cs="Arial"/>
                <w:sz w:val="20"/>
                <w:szCs w:val="20"/>
              </w:rPr>
              <w:t>100,000</w:t>
            </w:r>
          </w:p>
        </w:tc>
        <w:tc>
          <w:tcPr>
            <w:tcW w:w="1080" w:type="dxa"/>
            <w:vAlign w:val="bottom"/>
          </w:tcPr>
          <w:p w:rsidR="003B0815" w:rsidRDefault="003B0815" w14:paraId="209D6C9E" w14:textId="77777777">
            <w:pPr>
              <w:keepNext/>
              <w:jc w:val="center"/>
              <w:rPr>
                <w:rFonts w:ascii="Arial" w:hAnsi="Arial"/>
                <w:sz w:val="20"/>
                <w:szCs w:val="20"/>
              </w:rPr>
            </w:pPr>
            <w:r>
              <w:rPr>
                <w:rFonts w:ascii="Arial" w:hAnsi="Arial" w:cs="Arial"/>
                <w:sz w:val="20"/>
                <w:szCs w:val="20"/>
              </w:rPr>
              <w:t>80,000</w:t>
            </w:r>
          </w:p>
        </w:tc>
        <w:tc>
          <w:tcPr>
            <w:tcW w:w="1080" w:type="dxa"/>
            <w:vAlign w:val="bottom"/>
          </w:tcPr>
          <w:p w:rsidR="003B0815" w:rsidRDefault="003B0815" w14:paraId="525CB646" w14:textId="77777777">
            <w:pPr>
              <w:keepNext/>
              <w:jc w:val="center"/>
              <w:rPr>
                <w:rFonts w:ascii="Arial" w:hAnsi="Arial"/>
                <w:sz w:val="20"/>
                <w:szCs w:val="20"/>
              </w:rPr>
            </w:pPr>
            <w:r>
              <w:rPr>
                <w:rFonts w:ascii="Arial" w:hAnsi="Arial" w:cs="Arial"/>
                <w:sz w:val="20"/>
                <w:szCs w:val="20"/>
              </w:rPr>
              <w:t>120,000</w:t>
            </w:r>
          </w:p>
        </w:tc>
        <w:tc>
          <w:tcPr>
            <w:tcW w:w="900" w:type="dxa"/>
            <w:vAlign w:val="bottom"/>
          </w:tcPr>
          <w:p w:rsidR="003B0815" w:rsidRDefault="003B0815" w14:paraId="49C98335"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52BB51AF" w14:textId="77777777">
            <w:pPr>
              <w:keepNext/>
              <w:jc w:val="right"/>
              <w:rPr>
                <w:rFonts w:ascii="Arial" w:hAnsi="Arial"/>
                <w:b/>
                <w:sz w:val="20"/>
                <w:szCs w:val="20"/>
              </w:rPr>
            </w:pPr>
            <w:r>
              <w:rPr>
                <w:rFonts w:ascii="Arial" w:hAnsi="Arial" w:cs="Arial"/>
                <w:b/>
                <w:bCs/>
                <w:sz w:val="20"/>
                <w:szCs w:val="20"/>
              </w:rPr>
              <w:t>2.1</w:t>
            </w:r>
          </w:p>
        </w:tc>
        <w:tc>
          <w:tcPr>
            <w:tcW w:w="1080" w:type="dxa"/>
            <w:shd w:val="clear" w:color="auto" w:fill="CCCCCC"/>
            <w:vAlign w:val="bottom"/>
          </w:tcPr>
          <w:p w:rsidR="003B0815" w:rsidRDefault="003B0815" w14:paraId="773980B6" w14:textId="77777777">
            <w:pPr>
              <w:keepNext/>
              <w:jc w:val="right"/>
              <w:rPr>
                <w:rFonts w:ascii="Arial" w:hAnsi="Arial"/>
                <w:b/>
                <w:sz w:val="20"/>
                <w:szCs w:val="20"/>
              </w:rPr>
            </w:pPr>
            <w:r>
              <w:rPr>
                <w:rFonts w:ascii="Arial" w:hAnsi="Arial" w:cs="Arial"/>
                <w:b/>
                <w:bCs/>
                <w:sz w:val="20"/>
                <w:szCs w:val="20"/>
              </w:rPr>
              <w:t>1.7</w:t>
            </w:r>
          </w:p>
        </w:tc>
        <w:tc>
          <w:tcPr>
            <w:tcW w:w="1065" w:type="dxa"/>
            <w:tcBorders>
              <w:right w:val="single" w:color="auto" w:sz="12" w:space="0"/>
            </w:tcBorders>
            <w:shd w:val="clear" w:color="auto" w:fill="CCCCCC"/>
            <w:vAlign w:val="bottom"/>
          </w:tcPr>
          <w:p w:rsidR="003B0815" w:rsidRDefault="003B0815" w14:paraId="740BB3A9" w14:textId="77777777">
            <w:pPr>
              <w:keepNext/>
              <w:jc w:val="right"/>
              <w:rPr>
                <w:rFonts w:ascii="Arial" w:hAnsi="Arial"/>
                <w:b/>
                <w:sz w:val="20"/>
                <w:szCs w:val="20"/>
              </w:rPr>
            </w:pPr>
            <w:r>
              <w:rPr>
                <w:rFonts w:ascii="Arial" w:hAnsi="Arial" w:cs="Arial"/>
                <w:b/>
                <w:bCs/>
                <w:sz w:val="20"/>
                <w:szCs w:val="20"/>
              </w:rPr>
              <w:t>2.5</w:t>
            </w:r>
          </w:p>
        </w:tc>
      </w:tr>
      <w:tr w:rsidR="003B0815" w14:paraId="7BB22C68" w14:textId="77777777">
        <w:trPr>
          <w:jc w:val="center"/>
        </w:trPr>
        <w:tc>
          <w:tcPr>
            <w:tcW w:w="720" w:type="dxa"/>
            <w:tcBorders>
              <w:left w:val="single" w:color="auto" w:sz="12" w:space="0"/>
            </w:tcBorders>
          </w:tcPr>
          <w:p w:rsidR="003B0815" w:rsidRDefault="003B0815" w14:paraId="73348E4C" w14:textId="77777777">
            <w:pPr>
              <w:keepNext/>
              <w:jc w:val="center"/>
              <w:rPr>
                <w:rFonts w:ascii="Arial" w:hAnsi="Arial"/>
                <w:sz w:val="20"/>
                <w:szCs w:val="20"/>
              </w:rPr>
            </w:pPr>
            <w:r>
              <w:t>2011</w:t>
            </w:r>
          </w:p>
        </w:tc>
        <w:tc>
          <w:tcPr>
            <w:tcW w:w="1440" w:type="dxa"/>
            <w:vAlign w:val="bottom"/>
          </w:tcPr>
          <w:p w:rsidR="003B0815" w:rsidRDefault="003B0815" w14:paraId="4243DC71" w14:textId="77777777">
            <w:pPr>
              <w:keepNext/>
              <w:jc w:val="center"/>
              <w:rPr>
                <w:rFonts w:ascii="Arial" w:hAnsi="Arial"/>
                <w:sz w:val="20"/>
                <w:szCs w:val="20"/>
              </w:rPr>
            </w:pPr>
            <w:r>
              <w:rPr>
                <w:rFonts w:ascii="Arial" w:hAnsi="Arial" w:cs="Arial"/>
                <w:sz w:val="20"/>
                <w:szCs w:val="20"/>
              </w:rPr>
              <w:t xml:space="preserve">15.1 </w:t>
            </w:r>
          </w:p>
        </w:tc>
        <w:tc>
          <w:tcPr>
            <w:tcW w:w="1142" w:type="dxa"/>
            <w:vAlign w:val="bottom"/>
          </w:tcPr>
          <w:p w:rsidR="003B0815" w:rsidRDefault="003B0815" w14:paraId="406CA501" w14:textId="77777777">
            <w:pPr>
              <w:keepNext/>
              <w:jc w:val="center"/>
              <w:rPr>
                <w:rFonts w:ascii="Arial" w:hAnsi="Arial"/>
                <w:sz w:val="20"/>
                <w:szCs w:val="20"/>
              </w:rPr>
            </w:pPr>
            <w:r>
              <w:rPr>
                <w:rFonts w:ascii="Arial" w:hAnsi="Arial" w:cs="Arial"/>
                <w:sz w:val="20"/>
                <w:szCs w:val="20"/>
              </w:rPr>
              <w:t>105,000</w:t>
            </w:r>
          </w:p>
        </w:tc>
        <w:tc>
          <w:tcPr>
            <w:tcW w:w="1080" w:type="dxa"/>
            <w:vAlign w:val="bottom"/>
          </w:tcPr>
          <w:p w:rsidR="003B0815" w:rsidRDefault="003B0815" w14:paraId="2302FBEB" w14:textId="77777777">
            <w:pPr>
              <w:keepNext/>
              <w:jc w:val="center"/>
              <w:rPr>
                <w:rFonts w:ascii="Arial" w:hAnsi="Arial"/>
                <w:sz w:val="20"/>
                <w:szCs w:val="20"/>
              </w:rPr>
            </w:pPr>
            <w:r>
              <w:rPr>
                <w:rFonts w:ascii="Arial" w:hAnsi="Arial" w:cs="Arial"/>
                <w:sz w:val="20"/>
                <w:szCs w:val="20"/>
              </w:rPr>
              <w:t>84,000</w:t>
            </w:r>
          </w:p>
        </w:tc>
        <w:tc>
          <w:tcPr>
            <w:tcW w:w="1080" w:type="dxa"/>
            <w:vAlign w:val="bottom"/>
          </w:tcPr>
          <w:p w:rsidR="003B0815" w:rsidRDefault="003B0815" w14:paraId="44873712" w14:textId="77777777">
            <w:pPr>
              <w:keepNext/>
              <w:jc w:val="center"/>
              <w:rPr>
                <w:rFonts w:ascii="Arial" w:hAnsi="Arial"/>
                <w:sz w:val="20"/>
                <w:szCs w:val="20"/>
              </w:rPr>
            </w:pPr>
            <w:r>
              <w:rPr>
                <w:rFonts w:ascii="Arial" w:hAnsi="Arial" w:cs="Arial"/>
                <w:sz w:val="20"/>
                <w:szCs w:val="20"/>
              </w:rPr>
              <w:t>126,000</w:t>
            </w:r>
          </w:p>
        </w:tc>
        <w:tc>
          <w:tcPr>
            <w:tcW w:w="900" w:type="dxa"/>
            <w:vAlign w:val="bottom"/>
          </w:tcPr>
          <w:p w:rsidR="003B0815" w:rsidRDefault="003B0815" w14:paraId="12587912"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67295E9C" w14:textId="77777777">
            <w:pPr>
              <w:keepNext/>
              <w:jc w:val="right"/>
              <w:rPr>
                <w:rFonts w:ascii="Arial" w:hAnsi="Arial"/>
                <w:b/>
                <w:sz w:val="20"/>
                <w:szCs w:val="20"/>
              </w:rPr>
            </w:pPr>
            <w:r>
              <w:rPr>
                <w:rFonts w:ascii="Arial" w:hAnsi="Arial" w:cs="Arial"/>
                <w:b/>
                <w:bCs/>
                <w:sz w:val="20"/>
                <w:szCs w:val="20"/>
              </w:rPr>
              <w:t>2.2</w:t>
            </w:r>
          </w:p>
        </w:tc>
        <w:tc>
          <w:tcPr>
            <w:tcW w:w="1080" w:type="dxa"/>
            <w:shd w:val="clear" w:color="auto" w:fill="CCCCCC"/>
            <w:vAlign w:val="bottom"/>
          </w:tcPr>
          <w:p w:rsidR="003B0815" w:rsidRDefault="003B0815" w14:paraId="391F73EB" w14:textId="77777777">
            <w:pPr>
              <w:keepNext/>
              <w:jc w:val="right"/>
              <w:rPr>
                <w:rFonts w:ascii="Arial" w:hAnsi="Arial"/>
                <w:b/>
                <w:sz w:val="20"/>
                <w:szCs w:val="20"/>
              </w:rPr>
            </w:pPr>
            <w:r>
              <w:rPr>
                <w:rFonts w:ascii="Arial" w:hAnsi="Arial" w:cs="Arial"/>
                <w:b/>
                <w:bCs/>
                <w:sz w:val="20"/>
                <w:szCs w:val="20"/>
              </w:rPr>
              <w:t>1.8</w:t>
            </w:r>
          </w:p>
        </w:tc>
        <w:tc>
          <w:tcPr>
            <w:tcW w:w="1065" w:type="dxa"/>
            <w:tcBorders>
              <w:right w:val="single" w:color="auto" w:sz="12" w:space="0"/>
            </w:tcBorders>
            <w:shd w:val="clear" w:color="auto" w:fill="CCCCCC"/>
            <w:vAlign w:val="bottom"/>
          </w:tcPr>
          <w:p w:rsidR="003B0815" w:rsidRDefault="003B0815" w14:paraId="06AED1C5" w14:textId="77777777">
            <w:pPr>
              <w:keepNext/>
              <w:jc w:val="right"/>
              <w:rPr>
                <w:rFonts w:ascii="Arial" w:hAnsi="Arial"/>
                <w:b/>
                <w:sz w:val="20"/>
                <w:szCs w:val="20"/>
              </w:rPr>
            </w:pPr>
            <w:r>
              <w:rPr>
                <w:rFonts w:ascii="Arial" w:hAnsi="Arial" w:cs="Arial"/>
                <w:b/>
                <w:bCs/>
                <w:sz w:val="20"/>
                <w:szCs w:val="20"/>
              </w:rPr>
              <w:t>2.6</w:t>
            </w:r>
          </w:p>
        </w:tc>
      </w:tr>
      <w:tr w:rsidR="003B0815" w14:paraId="7C1BC06D" w14:textId="77777777">
        <w:trPr>
          <w:jc w:val="center"/>
        </w:trPr>
        <w:tc>
          <w:tcPr>
            <w:tcW w:w="720" w:type="dxa"/>
            <w:tcBorders>
              <w:left w:val="single" w:color="auto" w:sz="12" w:space="0"/>
            </w:tcBorders>
          </w:tcPr>
          <w:p w:rsidR="003B0815" w:rsidRDefault="003B0815" w14:paraId="7D5E9AAC" w14:textId="77777777">
            <w:pPr>
              <w:keepNext/>
              <w:jc w:val="center"/>
              <w:rPr>
                <w:rFonts w:ascii="Arial" w:hAnsi="Arial"/>
                <w:sz w:val="20"/>
                <w:szCs w:val="20"/>
              </w:rPr>
            </w:pPr>
            <w:r>
              <w:t>2012</w:t>
            </w:r>
          </w:p>
        </w:tc>
        <w:tc>
          <w:tcPr>
            <w:tcW w:w="1440" w:type="dxa"/>
            <w:vAlign w:val="bottom"/>
          </w:tcPr>
          <w:p w:rsidR="003B0815" w:rsidRDefault="003B0815" w14:paraId="3160B34B" w14:textId="77777777">
            <w:pPr>
              <w:keepNext/>
              <w:jc w:val="center"/>
              <w:rPr>
                <w:rFonts w:ascii="Arial" w:hAnsi="Arial"/>
                <w:sz w:val="20"/>
                <w:szCs w:val="20"/>
              </w:rPr>
            </w:pPr>
            <w:r>
              <w:rPr>
                <w:rFonts w:ascii="Arial" w:hAnsi="Arial" w:cs="Arial"/>
                <w:sz w:val="20"/>
                <w:szCs w:val="20"/>
              </w:rPr>
              <w:t xml:space="preserve">15.8 </w:t>
            </w:r>
          </w:p>
        </w:tc>
        <w:tc>
          <w:tcPr>
            <w:tcW w:w="1142" w:type="dxa"/>
            <w:vAlign w:val="bottom"/>
          </w:tcPr>
          <w:p w:rsidR="003B0815" w:rsidRDefault="003B0815" w14:paraId="65CB12FE" w14:textId="77777777">
            <w:pPr>
              <w:keepNext/>
              <w:jc w:val="center"/>
              <w:rPr>
                <w:rFonts w:ascii="Arial" w:hAnsi="Arial"/>
                <w:sz w:val="20"/>
                <w:szCs w:val="20"/>
              </w:rPr>
            </w:pPr>
            <w:r>
              <w:rPr>
                <w:rFonts w:ascii="Arial" w:hAnsi="Arial" w:cs="Arial"/>
                <w:sz w:val="20"/>
                <w:szCs w:val="20"/>
              </w:rPr>
              <w:t>110,000</w:t>
            </w:r>
          </w:p>
        </w:tc>
        <w:tc>
          <w:tcPr>
            <w:tcW w:w="1080" w:type="dxa"/>
            <w:vAlign w:val="bottom"/>
          </w:tcPr>
          <w:p w:rsidR="003B0815" w:rsidRDefault="003B0815" w14:paraId="3AA496CE" w14:textId="77777777">
            <w:pPr>
              <w:keepNext/>
              <w:jc w:val="center"/>
              <w:rPr>
                <w:rFonts w:ascii="Arial" w:hAnsi="Arial"/>
                <w:sz w:val="20"/>
                <w:szCs w:val="20"/>
              </w:rPr>
            </w:pPr>
            <w:r>
              <w:rPr>
                <w:rFonts w:ascii="Arial" w:hAnsi="Arial" w:cs="Arial"/>
                <w:sz w:val="20"/>
                <w:szCs w:val="20"/>
              </w:rPr>
              <w:t>87,000</w:t>
            </w:r>
          </w:p>
        </w:tc>
        <w:tc>
          <w:tcPr>
            <w:tcW w:w="1080" w:type="dxa"/>
            <w:vAlign w:val="bottom"/>
          </w:tcPr>
          <w:p w:rsidR="003B0815" w:rsidRDefault="003B0815" w14:paraId="573A3254" w14:textId="77777777">
            <w:pPr>
              <w:keepNext/>
              <w:jc w:val="center"/>
              <w:rPr>
                <w:rFonts w:ascii="Arial" w:hAnsi="Arial"/>
                <w:sz w:val="20"/>
                <w:szCs w:val="20"/>
              </w:rPr>
            </w:pPr>
            <w:r>
              <w:rPr>
                <w:rFonts w:ascii="Arial" w:hAnsi="Arial" w:cs="Arial"/>
                <w:sz w:val="20"/>
                <w:szCs w:val="20"/>
              </w:rPr>
              <w:t>132,000</w:t>
            </w:r>
          </w:p>
        </w:tc>
        <w:tc>
          <w:tcPr>
            <w:tcW w:w="900" w:type="dxa"/>
            <w:vAlign w:val="bottom"/>
          </w:tcPr>
          <w:p w:rsidR="003B0815" w:rsidRDefault="003B0815" w14:paraId="6EA9A405"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7D06360B" w14:textId="77777777">
            <w:pPr>
              <w:keepNext/>
              <w:jc w:val="right"/>
              <w:rPr>
                <w:rFonts w:ascii="Arial" w:hAnsi="Arial"/>
                <w:b/>
                <w:sz w:val="20"/>
                <w:szCs w:val="20"/>
              </w:rPr>
            </w:pPr>
            <w:r>
              <w:rPr>
                <w:rFonts w:ascii="Arial" w:hAnsi="Arial" w:cs="Arial"/>
                <w:b/>
                <w:bCs/>
                <w:sz w:val="20"/>
                <w:szCs w:val="20"/>
              </w:rPr>
              <w:t>2.3</w:t>
            </w:r>
          </w:p>
        </w:tc>
        <w:tc>
          <w:tcPr>
            <w:tcW w:w="1080" w:type="dxa"/>
            <w:shd w:val="clear" w:color="auto" w:fill="CCCCCC"/>
            <w:vAlign w:val="bottom"/>
          </w:tcPr>
          <w:p w:rsidR="003B0815" w:rsidRDefault="003B0815" w14:paraId="7254494A" w14:textId="77777777">
            <w:pPr>
              <w:keepNext/>
              <w:jc w:val="right"/>
              <w:rPr>
                <w:rFonts w:ascii="Arial" w:hAnsi="Arial"/>
                <w:b/>
                <w:sz w:val="20"/>
                <w:szCs w:val="20"/>
              </w:rPr>
            </w:pPr>
            <w:r>
              <w:rPr>
                <w:rFonts w:ascii="Arial" w:hAnsi="Arial" w:cs="Arial"/>
                <w:b/>
                <w:bCs/>
                <w:sz w:val="20"/>
                <w:szCs w:val="20"/>
              </w:rPr>
              <w:t>1.8</w:t>
            </w:r>
          </w:p>
        </w:tc>
        <w:tc>
          <w:tcPr>
            <w:tcW w:w="1065" w:type="dxa"/>
            <w:tcBorders>
              <w:right w:val="single" w:color="auto" w:sz="12" w:space="0"/>
            </w:tcBorders>
            <w:shd w:val="clear" w:color="auto" w:fill="CCCCCC"/>
            <w:vAlign w:val="bottom"/>
          </w:tcPr>
          <w:p w:rsidR="003B0815" w:rsidRDefault="003B0815" w14:paraId="268CA17B" w14:textId="77777777">
            <w:pPr>
              <w:keepNext/>
              <w:jc w:val="right"/>
              <w:rPr>
                <w:rFonts w:ascii="Arial" w:hAnsi="Arial"/>
                <w:b/>
                <w:sz w:val="20"/>
                <w:szCs w:val="20"/>
              </w:rPr>
            </w:pPr>
            <w:r>
              <w:rPr>
                <w:rFonts w:ascii="Arial" w:hAnsi="Arial" w:cs="Arial"/>
                <w:b/>
                <w:bCs/>
                <w:sz w:val="20"/>
                <w:szCs w:val="20"/>
              </w:rPr>
              <w:t>2.8</w:t>
            </w:r>
          </w:p>
        </w:tc>
      </w:tr>
      <w:tr w:rsidR="003B0815" w14:paraId="6F580827" w14:textId="77777777">
        <w:trPr>
          <w:jc w:val="center"/>
        </w:trPr>
        <w:tc>
          <w:tcPr>
            <w:tcW w:w="720" w:type="dxa"/>
            <w:tcBorders>
              <w:left w:val="single" w:color="auto" w:sz="12" w:space="0"/>
            </w:tcBorders>
          </w:tcPr>
          <w:p w:rsidR="003B0815" w:rsidRDefault="003B0815" w14:paraId="4FB20025" w14:textId="77777777">
            <w:pPr>
              <w:keepNext/>
              <w:jc w:val="center"/>
              <w:rPr>
                <w:rFonts w:ascii="Arial" w:hAnsi="Arial"/>
                <w:sz w:val="20"/>
                <w:szCs w:val="20"/>
              </w:rPr>
            </w:pPr>
            <w:r>
              <w:t>2013</w:t>
            </w:r>
          </w:p>
        </w:tc>
        <w:tc>
          <w:tcPr>
            <w:tcW w:w="1440" w:type="dxa"/>
            <w:vAlign w:val="bottom"/>
          </w:tcPr>
          <w:p w:rsidR="003B0815" w:rsidRDefault="003B0815" w14:paraId="7ABC70AB" w14:textId="77777777">
            <w:pPr>
              <w:keepNext/>
              <w:jc w:val="center"/>
              <w:rPr>
                <w:rFonts w:ascii="Arial" w:hAnsi="Arial"/>
                <w:sz w:val="20"/>
                <w:szCs w:val="20"/>
              </w:rPr>
            </w:pPr>
            <w:r>
              <w:rPr>
                <w:rFonts w:ascii="Arial" w:hAnsi="Arial" w:cs="Arial"/>
                <w:sz w:val="20"/>
                <w:szCs w:val="20"/>
              </w:rPr>
              <w:t xml:space="preserve">16.6 </w:t>
            </w:r>
          </w:p>
        </w:tc>
        <w:tc>
          <w:tcPr>
            <w:tcW w:w="1142" w:type="dxa"/>
            <w:vAlign w:val="bottom"/>
          </w:tcPr>
          <w:p w:rsidR="003B0815" w:rsidRDefault="003B0815" w14:paraId="2A3B392C" w14:textId="77777777">
            <w:pPr>
              <w:keepNext/>
              <w:jc w:val="center"/>
              <w:rPr>
                <w:rFonts w:ascii="Arial" w:hAnsi="Arial"/>
                <w:sz w:val="20"/>
                <w:szCs w:val="20"/>
              </w:rPr>
            </w:pPr>
            <w:r>
              <w:rPr>
                <w:rFonts w:ascii="Arial" w:hAnsi="Arial" w:cs="Arial"/>
                <w:sz w:val="20"/>
                <w:szCs w:val="20"/>
              </w:rPr>
              <w:t>115,000</w:t>
            </w:r>
          </w:p>
        </w:tc>
        <w:tc>
          <w:tcPr>
            <w:tcW w:w="1080" w:type="dxa"/>
            <w:vAlign w:val="bottom"/>
          </w:tcPr>
          <w:p w:rsidR="003B0815" w:rsidRDefault="003B0815" w14:paraId="3D0D19F0" w14:textId="77777777">
            <w:pPr>
              <w:keepNext/>
              <w:jc w:val="center"/>
              <w:rPr>
                <w:rFonts w:ascii="Arial" w:hAnsi="Arial"/>
                <w:sz w:val="20"/>
                <w:szCs w:val="20"/>
              </w:rPr>
            </w:pPr>
            <w:r>
              <w:rPr>
                <w:rFonts w:ascii="Arial" w:hAnsi="Arial" w:cs="Arial"/>
                <w:sz w:val="20"/>
                <w:szCs w:val="20"/>
              </w:rPr>
              <w:t>93,000</w:t>
            </w:r>
          </w:p>
        </w:tc>
        <w:tc>
          <w:tcPr>
            <w:tcW w:w="1080" w:type="dxa"/>
            <w:vAlign w:val="bottom"/>
          </w:tcPr>
          <w:p w:rsidR="003B0815" w:rsidRDefault="003B0815" w14:paraId="3AA8D492" w14:textId="77777777">
            <w:pPr>
              <w:keepNext/>
              <w:jc w:val="center"/>
              <w:rPr>
                <w:rFonts w:ascii="Arial" w:hAnsi="Arial"/>
                <w:sz w:val="20"/>
                <w:szCs w:val="20"/>
              </w:rPr>
            </w:pPr>
            <w:r>
              <w:rPr>
                <w:rFonts w:ascii="Arial" w:hAnsi="Arial" w:cs="Arial"/>
                <w:sz w:val="20"/>
                <w:szCs w:val="20"/>
              </w:rPr>
              <w:t>138,000</w:t>
            </w:r>
          </w:p>
        </w:tc>
        <w:tc>
          <w:tcPr>
            <w:tcW w:w="900" w:type="dxa"/>
            <w:vAlign w:val="bottom"/>
          </w:tcPr>
          <w:p w:rsidR="003B0815" w:rsidRDefault="003B0815" w14:paraId="79EFAA58"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7A66F2D8" w14:textId="77777777">
            <w:pPr>
              <w:keepNext/>
              <w:jc w:val="right"/>
              <w:rPr>
                <w:rFonts w:ascii="Arial" w:hAnsi="Arial"/>
                <w:b/>
                <w:sz w:val="20"/>
                <w:szCs w:val="20"/>
              </w:rPr>
            </w:pPr>
            <w:r>
              <w:rPr>
                <w:rFonts w:ascii="Arial" w:hAnsi="Arial" w:cs="Arial"/>
                <w:b/>
                <w:bCs/>
                <w:sz w:val="20"/>
                <w:szCs w:val="20"/>
              </w:rPr>
              <w:t>2.4</w:t>
            </w:r>
          </w:p>
        </w:tc>
        <w:tc>
          <w:tcPr>
            <w:tcW w:w="1080" w:type="dxa"/>
            <w:shd w:val="clear" w:color="auto" w:fill="CCCCCC"/>
            <w:vAlign w:val="bottom"/>
          </w:tcPr>
          <w:p w:rsidR="003B0815" w:rsidRDefault="003B0815" w14:paraId="5A7F327E" w14:textId="77777777">
            <w:pPr>
              <w:keepNext/>
              <w:jc w:val="right"/>
              <w:rPr>
                <w:rFonts w:ascii="Arial" w:hAnsi="Arial"/>
                <w:b/>
                <w:sz w:val="20"/>
                <w:szCs w:val="20"/>
              </w:rPr>
            </w:pPr>
            <w:r>
              <w:rPr>
                <w:rFonts w:ascii="Arial" w:hAnsi="Arial" w:cs="Arial"/>
                <w:b/>
                <w:bCs/>
                <w:sz w:val="20"/>
                <w:szCs w:val="20"/>
              </w:rPr>
              <w:t>2.0</w:t>
            </w:r>
          </w:p>
        </w:tc>
        <w:tc>
          <w:tcPr>
            <w:tcW w:w="1065" w:type="dxa"/>
            <w:tcBorders>
              <w:right w:val="single" w:color="auto" w:sz="12" w:space="0"/>
            </w:tcBorders>
            <w:shd w:val="clear" w:color="auto" w:fill="CCCCCC"/>
            <w:vAlign w:val="bottom"/>
          </w:tcPr>
          <w:p w:rsidR="003B0815" w:rsidRDefault="003B0815" w14:paraId="5CC0E683" w14:textId="77777777">
            <w:pPr>
              <w:keepNext/>
              <w:jc w:val="right"/>
              <w:rPr>
                <w:rFonts w:ascii="Arial" w:hAnsi="Arial"/>
                <w:b/>
                <w:sz w:val="20"/>
                <w:szCs w:val="20"/>
              </w:rPr>
            </w:pPr>
            <w:r>
              <w:rPr>
                <w:rFonts w:ascii="Arial" w:hAnsi="Arial" w:cs="Arial"/>
                <w:b/>
                <w:bCs/>
                <w:sz w:val="20"/>
                <w:szCs w:val="20"/>
              </w:rPr>
              <w:t>2.9</w:t>
            </w:r>
          </w:p>
        </w:tc>
      </w:tr>
      <w:tr w:rsidR="003B0815" w14:paraId="08A33C73" w14:textId="77777777">
        <w:trPr>
          <w:jc w:val="center"/>
        </w:trPr>
        <w:tc>
          <w:tcPr>
            <w:tcW w:w="720" w:type="dxa"/>
            <w:tcBorders>
              <w:left w:val="single" w:color="auto" w:sz="12" w:space="0"/>
            </w:tcBorders>
          </w:tcPr>
          <w:p w:rsidR="003B0815" w:rsidRDefault="003B0815" w14:paraId="1F3DB4D5" w14:textId="77777777">
            <w:pPr>
              <w:keepNext/>
              <w:jc w:val="center"/>
              <w:rPr>
                <w:rFonts w:ascii="Arial" w:hAnsi="Arial"/>
                <w:sz w:val="20"/>
                <w:szCs w:val="20"/>
              </w:rPr>
            </w:pPr>
            <w:r>
              <w:t>2014</w:t>
            </w:r>
          </w:p>
        </w:tc>
        <w:tc>
          <w:tcPr>
            <w:tcW w:w="1440" w:type="dxa"/>
            <w:vAlign w:val="bottom"/>
          </w:tcPr>
          <w:p w:rsidR="003B0815" w:rsidRDefault="003B0815" w14:paraId="1D4F222D" w14:textId="77777777">
            <w:pPr>
              <w:keepNext/>
              <w:jc w:val="center"/>
              <w:rPr>
                <w:rFonts w:ascii="Arial" w:hAnsi="Arial"/>
                <w:sz w:val="20"/>
                <w:szCs w:val="20"/>
              </w:rPr>
            </w:pPr>
            <w:r>
              <w:rPr>
                <w:rFonts w:ascii="Arial" w:hAnsi="Arial" w:cs="Arial"/>
                <w:sz w:val="20"/>
                <w:szCs w:val="20"/>
              </w:rPr>
              <w:t xml:space="preserve">17.4 </w:t>
            </w:r>
          </w:p>
        </w:tc>
        <w:tc>
          <w:tcPr>
            <w:tcW w:w="1142" w:type="dxa"/>
            <w:vAlign w:val="bottom"/>
          </w:tcPr>
          <w:p w:rsidR="003B0815" w:rsidRDefault="003B0815" w14:paraId="7FDEE72B" w14:textId="77777777">
            <w:pPr>
              <w:keepNext/>
              <w:jc w:val="center"/>
              <w:rPr>
                <w:rFonts w:ascii="Arial" w:hAnsi="Arial"/>
                <w:sz w:val="20"/>
                <w:szCs w:val="20"/>
              </w:rPr>
            </w:pPr>
            <w:r>
              <w:rPr>
                <w:rFonts w:ascii="Arial" w:hAnsi="Arial" w:cs="Arial"/>
                <w:sz w:val="20"/>
                <w:szCs w:val="20"/>
              </w:rPr>
              <w:t>121,000</w:t>
            </w:r>
          </w:p>
        </w:tc>
        <w:tc>
          <w:tcPr>
            <w:tcW w:w="1080" w:type="dxa"/>
            <w:vAlign w:val="bottom"/>
          </w:tcPr>
          <w:p w:rsidR="003B0815" w:rsidRDefault="003B0815" w14:paraId="2557601F" w14:textId="77777777">
            <w:pPr>
              <w:keepNext/>
              <w:jc w:val="center"/>
              <w:rPr>
                <w:rFonts w:ascii="Arial" w:hAnsi="Arial"/>
                <w:sz w:val="20"/>
                <w:szCs w:val="20"/>
              </w:rPr>
            </w:pPr>
            <w:r>
              <w:rPr>
                <w:rFonts w:ascii="Arial" w:hAnsi="Arial" w:cs="Arial"/>
                <w:sz w:val="20"/>
                <w:szCs w:val="20"/>
              </w:rPr>
              <w:t>97,000</w:t>
            </w:r>
          </w:p>
        </w:tc>
        <w:tc>
          <w:tcPr>
            <w:tcW w:w="1080" w:type="dxa"/>
            <w:vAlign w:val="bottom"/>
          </w:tcPr>
          <w:p w:rsidR="003B0815" w:rsidRDefault="003B0815" w14:paraId="240F56B6" w14:textId="77777777">
            <w:pPr>
              <w:keepNext/>
              <w:jc w:val="center"/>
              <w:rPr>
                <w:rFonts w:ascii="Arial" w:hAnsi="Arial"/>
                <w:sz w:val="20"/>
                <w:szCs w:val="20"/>
              </w:rPr>
            </w:pPr>
            <w:r>
              <w:rPr>
                <w:rFonts w:ascii="Arial" w:hAnsi="Arial" w:cs="Arial"/>
                <w:sz w:val="20"/>
                <w:szCs w:val="20"/>
              </w:rPr>
              <w:t>145,000</w:t>
            </w:r>
          </w:p>
        </w:tc>
        <w:tc>
          <w:tcPr>
            <w:tcW w:w="900" w:type="dxa"/>
            <w:vAlign w:val="bottom"/>
          </w:tcPr>
          <w:p w:rsidR="003B0815" w:rsidRDefault="003B0815" w14:paraId="7B7E4899"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36B41689" w14:textId="77777777">
            <w:pPr>
              <w:keepNext/>
              <w:jc w:val="right"/>
              <w:rPr>
                <w:rFonts w:ascii="Arial" w:hAnsi="Arial"/>
                <w:b/>
                <w:sz w:val="20"/>
                <w:szCs w:val="20"/>
              </w:rPr>
            </w:pPr>
            <w:r>
              <w:rPr>
                <w:rFonts w:ascii="Arial" w:hAnsi="Arial" w:cs="Arial"/>
                <w:b/>
                <w:bCs/>
                <w:sz w:val="20"/>
                <w:szCs w:val="20"/>
              </w:rPr>
              <w:t>2.6</w:t>
            </w:r>
          </w:p>
        </w:tc>
        <w:tc>
          <w:tcPr>
            <w:tcW w:w="1080" w:type="dxa"/>
            <w:shd w:val="clear" w:color="auto" w:fill="CCCCCC"/>
            <w:vAlign w:val="bottom"/>
          </w:tcPr>
          <w:p w:rsidR="003B0815" w:rsidRDefault="003B0815" w14:paraId="35D15079" w14:textId="77777777">
            <w:pPr>
              <w:keepNext/>
              <w:jc w:val="right"/>
              <w:rPr>
                <w:rFonts w:ascii="Arial" w:hAnsi="Arial"/>
                <w:b/>
                <w:sz w:val="20"/>
                <w:szCs w:val="20"/>
              </w:rPr>
            </w:pPr>
            <w:r>
              <w:rPr>
                <w:rFonts w:ascii="Arial" w:hAnsi="Arial" w:cs="Arial"/>
                <w:b/>
                <w:bCs/>
                <w:sz w:val="20"/>
                <w:szCs w:val="20"/>
              </w:rPr>
              <w:t>2.0</w:t>
            </w:r>
          </w:p>
        </w:tc>
        <w:tc>
          <w:tcPr>
            <w:tcW w:w="1065" w:type="dxa"/>
            <w:tcBorders>
              <w:right w:val="single" w:color="auto" w:sz="12" w:space="0"/>
            </w:tcBorders>
            <w:shd w:val="clear" w:color="auto" w:fill="CCCCCC"/>
            <w:vAlign w:val="bottom"/>
          </w:tcPr>
          <w:p w:rsidR="003B0815" w:rsidRDefault="003B0815" w14:paraId="3A090F78" w14:textId="77777777">
            <w:pPr>
              <w:keepNext/>
              <w:jc w:val="right"/>
              <w:rPr>
                <w:rFonts w:ascii="Arial" w:hAnsi="Arial"/>
                <w:b/>
                <w:sz w:val="20"/>
                <w:szCs w:val="20"/>
              </w:rPr>
            </w:pPr>
            <w:r>
              <w:rPr>
                <w:rFonts w:ascii="Arial" w:hAnsi="Arial" w:cs="Arial"/>
                <w:b/>
                <w:bCs/>
                <w:sz w:val="20"/>
                <w:szCs w:val="20"/>
              </w:rPr>
              <w:t>3.0</w:t>
            </w:r>
          </w:p>
        </w:tc>
      </w:tr>
      <w:tr w:rsidR="003B0815" w14:paraId="06522976" w14:textId="77777777">
        <w:trPr>
          <w:jc w:val="center"/>
        </w:trPr>
        <w:tc>
          <w:tcPr>
            <w:tcW w:w="720" w:type="dxa"/>
            <w:tcBorders>
              <w:left w:val="single" w:color="auto" w:sz="12" w:space="0"/>
            </w:tcBorders>
          </w:tcPr>
          <w:p w:rsidR="003B0815" w:rsidRDefault="003B0815" w14:paraId="7952B0AF" w14:textId="77777777">
            <w:pPr>
              <w:keepNext/>
              <w:jc w:val="center"/>
              <w:rPr>
                <w:rFonts w:ascii="Arial" w:hAnsi="Arial"/>
                <w:sz w:val="20"/>
                <w:szCs w:val="20"/>
              </w:rPr>
            </w:pPr>
            <w:r>
              <w:t>2015</w:t>
            </w:r>
          </w:p>
        </w:tc>
        <w:tc>
          <w:tcPr>
            <w:tcW w:w="1440" w:type="dxa"/>
            <w:vAlign w:val="bottom"/>
          </w:tcPr>
          <w:p w:rsidR="003B0815" w:rsidRDefault="003B0815" w14:paraId="74513084" w14:textId="77777777">
            <w:pPr>
              <w:keepNext/>
              <w:jc w:val="center"/>
              <w:rPr>
                <w:rFonts w:ascii="Arial" w:hAnsi="Arial"/>
                <w:sz w:val="20"/>
                <w:szCs w:val="20"/>
              </w:rPr>
            </w:pPr>
            <w:r>
              <w:rPr>
                <w:rFonts w:ascii="Arial" w:hAnsi="Arial" w:cs="Arial"/>
                <w:sz w:val="20"/>
                <w:szCs w:val="20"/>
              </w:rPr>
              <w:t xml:space="preserve">18.4 </w:t>
            </w:r>
          </w:p>
        </w:tc>
        <w:tc>
          <w:tcPr>
            <w:tcW w:w="1142" w:type="dxa"/>
            <w:vAlign w:val="bottom"/>
          </w:tcPr>
          <w:p w:rsidR="003B0815" w:rsidRDefault="003B0815" w14:paraId="69BF3D66" w14:textId="77777777">
            <w:pPr>
              <w:keepNext/>
              <w:jc w:val="center"/>
              <w:rPr>
                <w:rFonts w:ascii="Arial" w:hAnsi="Arial"/>
                <w:sz w:val="20"/>
                <w:szCs w:val="20"/>
              </w:rPr>
            </w:pPr>
            <w:r>
              <w:rPr>
                <w:rFonts w:ascii="Arial" w:hAnsi="Arial" w:cs="Arial"/>
                <w:sz w:val="20"/>
                <w:szCs w:val="20"/>
              </w:rPr>
              <w:t>128,000</w:t>
            </w:r>
          </w:p>
        </w:tc>
        <w:tc>
          <w:tcPr>
            <w:tcW w:w="1080" w:type="dxa"/>
            <w:vAlign w:val="bottom"/>
          </w:tcPr>
          <w:p w:rsidR="003B0815" w:rsidRDefault="003B0815" w14:paraId="68A35F39" w14:textId="77777777">
            <w:pPr>
              <w:keepNext/>
              <w:jc w:val="center"/>
              <w:rPr>
                <w:rFonts w:ascii="Arial" w:hAnsi="Arial"/>
                <w:sz w:val="20"/>
                <w:szCs w:val="20"/>
              </w:rPr>
            </w:pPr>
            <w:r>
              <w:rPr>
                <w:rFonts w:ascii="Arial" w:hAnsi="Arial" w:cs="Arial"/>
                <w:sz w:val="20"/>
                <w:szCs w:val="20"/>
              </w:rPr>
              <w:t>103,000</w:t>
            </w:r>
          </w:p>
        </w:tc>
        <w:tc>
          <w:tcPr>
            <w:tcW w:w="1080" w:type="dxa"/>
            <w:vAlign w:val="bottom"/>
          </w:tcPr>
          <w:p w:rsidR="003B0815" w:rsidRDefault="003B0815" w14:paraId="5E89007F" w14:textId="77777777">
            <w:pPr>
              <w:keepNext/>
              <w:jc w:val="center"/>
              <w:rPr>
                <w:rFonts w:ascii="Arial" w:hAnsi="Arial"/>
                <w:sz w:val="20"/>
                <w:szCs w:val="20"/>
              </w:rPr>
            </w:pPr>
            <w:r>
              <w:rPr>
                <w:rFonts w:ascii="Arial" w:hAnsi="Arial" w:cs="Arial"/>
                <w:sz w:val="20"/>
                <w:szCs w:val="20"/>
              </w:rPr>
              <w:t>154,000</w:t>
            </w:r>
          </w:p>
        </w:tc>
        <w:tc>
          <w:tcPr>
            <w:tcW w:w="900" w:type="dxa"/>
            <w:vAlign w:val="bottom"/>
          </w:tcPr>
          <w:p w:rsidR="003B0815" w:rsidRDefault="003B0815" w14:paraId="48E4EC77"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11507364" w14:textId="77777777">
            <w:pPr>
              <w:keepNext/>
              <w:jc w:val="right"/>
              <w:rPr>
                <w:rFonts w:ascii="Arial" w:hAnsi="Arial"/>
                <w:b/>
                <w:sz w:val="20"/>
                <w:szCs w:val="20"/>
              </w:rPr>
            </w:pPr>
            <w:r>
              <w:rPr>
                <w:rFonts w:ascii="Arial" w:hAnsi="Arial" w:cs="Arial"/>
                <w:b/>
                <w:bCs/>
                <w:sz w:val="20"/>
                <w:szCs w:val="20"/>
              </w:rPr>
              <w:t>2.7</w:t>
            </w:r>
          </w:p>
        </w:tc>
        <w:tc>
          <w:tcPr>
            <w:tcW w:w="1080" w:type="dxa"/>
            <w:shd w:val="clear" w:color="auto" w:fill="CCCCCC"/>
            <w:vAlign w:val="bottom"/>
          </w:tcPr>
          <w:p w:rsidR="003B0815" w:rsidRDefault="003B0815" w14:paraId="566774DB" w14:textId="77777777">
            <w:pPr>
              <w:keepNext/>
              <w:jc w:val="right"/>
              <w:rPr>
                <w:rFonts w:ascii="Arial" w:hAnsi="Arial"/>
                <w:b/>
                <w:sz w:val="20"/>
                <w:szCs w:val="20"/>
              </w:rPr>
            </w:pPr>
            <w:r>
              <w:rPr>
                <w:rFonts w:ascii="Arial" w:hAnsi="Arial" w:cs="Arial"/>
                <w:b/>
                <w:bCs/>
                <w:sz w:val="20"/>
                <w:szCs w:val="20"/>
              </w:rPr>
              <w:t>2.2</w:t>
            </w:r>
          </w:p>
        </w:tc>
        <w:tc>
          <w:tcPr>
            <w:tcW w:w="1065" w:type="dxa"/>
            <w:tcBorders>
              <w:right w:val="single" w:color="auto" w:sz="12" w:space="0"/>
            </w:tcBorders>
            <w:shd w:val="clear" w:color="auto" w:fill="CCCCCC"/>
            <w:vAlign w:val="bottom"/>
          </w:tcPr>
          <w:p w:rsidR="003B0815" w:rsidRDefault="003B0815" w14:paraId="59FAD1DE" w14:textId="77777777">
            <w:pPr>
              <w:keepNext/>
              <w:jc w:val="right"/>
              <w:rPr>
                <w:rFonts w:ascii="Arial" w:hAnsi="Arial"/>
                <w:b/>
                <w:sz w:val="20"/>
                <w:szCs w:val="20"/>
              </w:rPr>
            </w:pPr>
            <w:r>
              <w:rPr>
                <w:rFonts w:ascii="Arial" w:hAnsi="Arial" w:cs="Arial"/>
                <w:b/>
                <w:bCs/>
                <w:sz w:val="20"/>
                <w:szCs w:val="20"/>
              </w:rPr>
              <w:t>3.2</w:t>
            </w:r>
          </w:p>
        </w:tc>
      </w:tr>
      <w:tr w:rsidR="003B0815" w14:paraId="42A4BA90" w14:textId="77777777">
        <w:trPr>
          <w:jc w:val="center"/>
        </w:trPr>
        <w:tc>
          <w:tcPr>
            <w:tcW w:w="720" w:type="dxa"/>
            <w:tcBorders>
              <w:left w:val="single" w:color="auto" w:sz="12" w:space="0"/>
            </w:tcBorders>
          </w:tcPr>
          <w:p w:rsidR="003B0815" w:rsidRDefault="003B0815" w14:paraId="190D585B" w14:textId="77777777">
            <w:pPr>
              <w:keepNext/>
              <w:jc w:val="center"/>
              <w:rPr>
                <w:rFonts w:ascii="Arial" w:hAnsi="Arial"/>
                <w:sz w:val="20"/>
                <w:szCs w:val="20"/>
              </w:rPr>
            </w:pPr>
            <w:r>
              <w:t>2016</w:t>
            </w:r>
          </w:p>
        </w:tc>
        <w:tc>
          <w:tcPr>
            <w:tcW w:w="1440" w:type="dxa"/>
            <w:vAlign w:val="bottom"/>
          </w:tcPr>
          <w:p w:rsidR="003B0815" w:rsidRDefault="003B0815" w14:paraId="30034F49" w14:textId="77777777">
            <w:pPr>
              <w:keepNext/>
              <w:jc w:val="center"/>
              <w:rPr>
                <w:rFonts w:ascii="Arial" w:hAnsi="Arial"/>
                <w:sz w:val="20"/>
                <w:szCs w:val="20"/>
              </w:rPr>
            </w:pPr>
            <w:r>
              <w:rPr>
                <w:rFonts w:ascii="Arial" w:hAnsi="Arial" w:cs="Arial"/>
                <w:sz w:val="20"/>
                <w:szCs w:val="20"/>
              </w:rPr>
              <w:t xml:space="preserve">19.2 </w:t>
            </w:r>
          </w:p>
        </w:tc>
        <w:tc>
          <w:tcPr>
            <w:tcW w:w="1142" w:type="dxa"/>
            <w:vAlign w:val="bottom"/>
          </w:tcPr>
          <w:p w:rsidR="003B0815" w:rsidRDefault="003B0815" w14:paraId="0A056E27" w14:textId="77777777">
            <w:pPr>
              <w:keepNext/>
              <w:jc w:val="center"/>
              <w:rPr>
                <w:rFonts w:ascii="Arial" w:hAnsi="Arial"/>
                <w:sz w:val="20"/>
                <w:szCs w:val="20"/>
              </w:rPr>
            </w:pPr>
            <w:r>
              <w:rPr>
                <w:rFonts w:ascii="Arial" w:hAnsi="Arial" w:cs="Arial"/>
                <w:sz w:val="20"/>
                <w:szCs w:val="20"/>
              </w:rPr>
              <w:t>133,000</w:t>
            </w:r>
          </w:p>
        </w:tc>
        <w:tc>
          <w:tcPr>
            <w:tcW w:w="1080" w:type="dxa"/>
            <w:vAlign w:val="bottom"/>
          </w:tcPr>
          <w:p w:rsidR="003B0815" w:rsidRDefault="003B0815" w14:paraId="0D5F7E5A" w14:textId="77777777">
            <w:pPr>
              <w:keepNext/>
              <w:jc w:val="center"/>
              <w:rPr>
                <w:rFonts w:ascii="Arial" w:hAnsi="Arial"/>
                <w:sz w:val="20"/>
                <w:szCs w:val="20"/>
              </w:rPr>
            </w:pPr>
            <w:r>
              <w:rPr>
                <w:rFonts w:ascii="Arial" w:hAnsi="Arial" w:cs="Arial"/>
                <w:sz w:val="20"/>
                <w:szCs w:val="20"/>
              </w:rPr>
              <w:t>107,000</w:t>
            </w:r>
          </w:p>
        </w:tc>
        <w:tc>
          <w:tcPr>
            <w:tcW w:w="1080" w:type="dxa"/>
            <w:vAlign w:val="bottom"/>
          </w:tcPr>
          <w:p w:rsidR="003B0815" w:rsidRDefault="003B0815" w14:paraId="237EEE4E" w14:textId="77777777">
            <w:pPr>
              <w:keepNext/>
              <w:jc w:val="center"/>
              <w:rPr>
                <w:rFonts w:ascii="Arial" w:hAnsi="Arial"/>
                <w:sz w:val="20"/>
                <w:szCs w:val="20"/>
              </w:rPr>
            </w:pPr>
            <w:r>
              <w:rPr>
                <w:rFonts w:ascii="Arial" w:hAnsi="Arial" w:cs="Arial"/>
                <w:sz w:val="20"/>
                <w:szCs w:val="20"/>
              </w:rPr>
              <w:t>160,000</w:t>
            </w:r>
          </w:p>
        </w:tc>
        <w:tc>
          <w:tcPr>
            <w:tcW w:w="900" w:type="dxa"/>
            <w:vAlign w:val="bottom"/>
          </w:tcPr>
          <w:p w:rsidR="003B0815" w:rsidRDefault="003B0815" w14:paraId="5788F53C"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3C34E2E7" w14:textId="77777777">
            <w:pPr>
              <w:keepNext/>
              <w:jc w:val="right"/>
              <w:rPr>
                <w:rFonts w:ascii="Arial" w:hAnsi="Arial"/>
                <w:b/>
                <w:sz w:val="20"/>
                <w:szCs w:val="20"/>
              </w:rPr>
            </w:pPr>
            <w:r>
              <w:rPr>
                <w:rFonts w:ascii="Arial" w:hAnsi="Arial" w:cs="Arial"/>
                <w:b/>
                <w:bCs/>
                <w:sz w:val="20"/>
                <w:szCs w:val="20"/>
              </w:rPr>
              <w:t>2.8</w:t>
            </w:r>
          </w:p>
        </w:tc>
        <w:tc>
          <w:tcPr>
            <w:tcW w:w="1080" w:type="dxa"/>
            <w:shd w:val="clear" w:color="auto" w:fill="CCCCCC"/>
            <w:vAlign w:val="bottom"/>
          </w:tcPr>
          <w:p w:rsidR="003B0815" w:rsidRDefault="003B0815" w14:paraId="53F1852B" w14:textId="77777777">
            <w:pPr>
              <w:keepNext/>
              <w:jc w:val="right"/>
              <w:rPr>
                <w:rFonts w:ascii="Arial" w:hAnsi="Arial"/>
                <w:b/>
                <w:sz w:val="20"/>
                <w:szCs w:val="20"/>
              </w:rPr>
            </w:pPr>
            <w:r>
              <w:rPr>
                <w:rFonts w:ascii="Arial" w:hAnsi="Arial" w:cs="Arial"/>
                <w:b/>
                <w:bCs/>
                <w:sz w:val="20"/>
                <w:szCs w:val="20"/>
              </w:rPr>
              <w:t>2.2</w:t>
            </w:r>
          </w:p>
        </w:tc>
        <w:tc>
          <w:tcPr>
            <w:tcW w:w="1065" w:type="dxa"/>
            <w:tcBorders>
              <w:right w:val="single" w:color="auto" w:sz="12" w:space="0"/>
            </w:tcBorders>
            <w:shd w:val="clear" w:color="auto" w:fill="CCCCCC"/>
            <w:vAlign w:val="bottom"/>
          </w:tcPr>
          <w:p w:rsidR="003B0815" w:rsidRDefault="003B0815" w14:paraId="738EA6DF" w14:textId="77777777">
            <w:pPr>
              <w:keepNext/>
              <w:jc w:val="right"/>
              <w:rPr>
                <w:rFonts w:ascii="Arial" w:hAnsi="Arial"/>
                <w:b/>
                <w:sz w:val="20"/>
                <w:szCs w:val="20"/>
              </w:rPr>
            </w:pPr>
            <w:r>
              <w:rPr>
                <w:rFonts w:ascii="Arial" w:hAnsi="Arial" w:cs="Arial"/>
                <w:b/>
                <w:bCs/>
                <w:sz w:val="20"/>
                <w:szCs w:val="20"/>
              </w:rPr>
              <w:t>3.4</w:t>
            </w:r>
          </w:p>
        </w:tc>
      </w:tr>
      <w:tr w:rsidR="003B0815" w14:paraId="3EC2B096" w14:textId="77777777">
        <w:trPr>
          <w:jc w:val="center"/>
        </w:trPr>
        <w:tc>
          <w:tcPr>
            <w:tcW w:w="720" w:type="dxa"/>
            <w:tcBorders>
              <w:left w:val="single" w:color="auto" w:sz="12" w:space="0"/>
              <w:bottom w:val="single" w:color="auto" w:sz="4" w:space="0"/>
            </w:tcBorders>
          </w:tcPr>
          <w:p w:rsidR="003B0815" w:rsidRDefault="003B0815" w14:paraId="44960266" w14:textId="77777777">
            <w:pPr>
              <w:keepNext/>
              <w:jc w:val="center"/>
              <w:rPr>
                <w:rFonts w:ascii="Arial" w:hAnsi="Arial"/>
                <w:sz w:val="20"/>
                <w:szCs w:val="20"/>
              </w:rPr>
            </w:pPr>
            <w:r>
              <w:t>2017</w:t>
            </w:r>
          </w:p>
        </w:tc>
        <w:tc>
          <w:tcPr>
            <w:tcW w:w="1440" w:type="dxa"/>
            <w:tcBorders>
              <w:bottom w:val="single" w:color="auto" w:sz="4" w:space="0"/>
            </w:tcBorders>
            <w:vAlign w:val="bottom"/>
          </w:tcPr>
          <w:p w:rsidR="003B0815" w:rsidRDefault="003B0815" w14:paraId="49E6E5F6" w14:textId="77777777">
            <w:pPr>
              <w:keepNext/>
              <w:jc w:val="center"/>
              <w:rPr>
                <w:rFonts w:ascii="Arial" w:hAnsi="Arial"/>
                <w:sz w:val="20"/>
                <w:szCs w:val="20"/>
              </w:rPr>
            </w:pPr>
            <w:r>
              <w:rPr>
                <w:rFonts w:ascii="Arial" w:hAnsi="Arial" w:cs="Arial"/>
                <w:sz w:val="20"/>
                <w:szCs w:val="20"/>
              </w:rPr>
              <w:t xml:space="preserve">20.2 </w:t>
            </w:r>
          </w:p>
        </w:tc>
        <w:tc>
          <w:tcPr>
            <w:tcW w:w="1142" w:type="dxa"/>
            <w:tcBorders>
              <w:bottom w:val="single" w:color="auto" w:sz="4" w:space="0"/>
            </w:tcBorders>
            <w:vAlign w:val="bottom"/>
          </w:tcPr>
          <w:p w:rsidR="003B0815" w:rsidRDefault="003B0815" w14:paraId="3A10DF37" w14:textId="77777777">
            <w:pPr>
              <w:keepNext/>
              <w:jc w:val="center"/>
              <w:rPr>
                <w:rFonts w:ascii="Arial" w:hAnsi="Arial"/>
                <w:sz w:val="20"/>
                <w:szCs w:val="20"/>
              </w:rPr>
            </w:pPr>
            <w:r>
              <w:rPr>
                <w:rFonts w:ascii="Arial" w:hAnsi="Arial" w:cs="Arial"/>
                <w:sz w:val="20"/>
                <w:szCs w:val="20"/>
              </w:rPr>
              <w:t>140,000</w:t>
            </w:r>
          </w:p>
        </w:tc>
        <w:tc>
          <w:tcPr>
            <w:tcW w:w="1080" w:type="dxa"/>
            <w:tcBorders>
              <w:bottom w:val="single" w:color="auto" w:sz="4" w:space="0"/>
            </w:tcBorders>
            <w:vAlign w:val="bottom"/>
          </w:tcPr>
          <w:p w:rsidR="003B0815" w:rsidRDefault="003B0815" w14:paraId="34501A72" w14:textId="77777777">
            <w:pPr>
              <w:keepNext/>
              <w:jc w:val="center"/>
              <w:rPr>
                <w:rFonts w:ascii="Arial" w:hAnsi="Arial"/>
                <w:sz w:val="20"/>
                <w:szCs w:val="20"/>
              </w:rPr>
            </w:pPr>
            <w:r>
              <w:rPr>
                <w:rFonts w:ascii="Arial" w:hAnsi="Arial" w:cs="Arial"/>
                <w:sz w:val="20"/>
                <w:szCs w:val="20"/>
              </w:rPr>
              <w:t>113,000</w:t>
            </w:r>
          </w:p>
        </w:tc>
        <w:tc>
          <w:tcPr>
            <w:tcW w:w="1080" w:type="dxa"/>
            <w:tcBorders>
              <w:bottom w:val="single" w:color="auto" w:sz="4" w:space="0"/>
            </w:tcBorders>
            <w:vAlign w:val="bottom"/>
          </w:tcPr>
          <w:p w:rsidR="003B0815" w:rsidRDefault="003B0815" w14:paraId="00135C9D" w14:textId="77777777">
            <w:pPr>
              <w:keepNext/>
              <w:jc w:val="center"/>
              <w:rPr>
                <w:rFonts w:ascii="Arial" w:hAnsi="Arial"/>
                <w:sz w:val="20"/>
                <w:szCs w:val="20"/>
              </w:rPr>
            </w:pPr>
            <w:r>
              <w:rPr>
                <w:rFonts w:ascii="Arial" w:hAnsi="Arial" w:cs="Arial"/>
                <w:sz w:val="20"/>
                <w:szCs w:val="20"/>
              </w:rPr>
              <w:t>168,000</w:t>
            </w:r>
          </w:p>
        </w:tc>
        <w:tc>
          <w:tcPr>
            <w:tcW w:w="900" w:type="dxa"/>
            <w:tcBorders>
              <w:bottom w:val="single" w:color="auto" w:sz="4" w:space="0"/>
            </w:tcBorders>
            <w:vAlign w:val="bottom"/>
          </w:tcPr>
          <w:p w:rsidR="003B0815" w:rsidRDefault="003B0815" w14:paraId="01D4944F" w14:textId="77777777">
            <w:pPr>
              <w:keepNext/>
              <w:jc w:val="center"/>
              <w:rPr>
                <w:rFonts w:ascii="Arial" w:hAnsi="Arial"/>
                <w:sz w:val="20"/>
                <w:szCs w:val="20"/>
              </w:rPr>
            </w:pPr>
            <w:r>
              <w:rPr>
                <w:rFonts w:ascii="Arial" w:hAnsi="Arial" w:cs="Arial"/>
                <w:sz w:val="20"/>
                <w:szCs w:val="20"/>
              </w:rPr>
              <w:t>$20.89</w:t>
            </w:r>
          </w:p>
        </w:tc>
        <w:tc>
          <w:tcPr>
            <w:tcW w:w="1049" w:type="dxa"/>
            <w:tcBorders>
              <w:bottom w:val="single" w:color="auto" w:sz="4" w:space="0"/>
            </w:tcBorders>
            <w:shd w:val="clear" w:color="auto" w:fill="CCCCCC"/>
            <w:vAlign w:val="bottom"/>
          </w:tcPr>
          <w:p w:rsidR="003B0815" w:rsidRDefault="003B0815" w14:paraId="534A40B0" w14:textId="77777777">
            <w:pPr>
              <w:keepNext/>
              <w:jc w:val="right"/>
              <w:rPr>
                <w:rFonts w:ascii="Arial" w:hAnsi="Arial"/>
                <w:b/>
                <w:sz w:val="20"/>
                <w:szCs w:val="20"/>
              </w:rPr>
            </w:pPr>
            <w:r>
              <w:rPr>
                <w:rFonts w:ascii="Arial" w:hAnsi="Arial" w:cs="Arial"/>
                <w:b/>
                <w:bCs/>
                <w:sz w:val="20"/>
                <w:szCs w:val="20"/>
              </w:rPr>
              <w:t>$2.9</w:t>
            </w:r>
          </w:p>
        </w:tc>
        <w:tc>
          <w:tcPr>
            <w:tcW w:w="1080" w:type="dxa"/>
            <w:tcBorders>
              <w:bottom w:val="single" w:color="auto" w:sz="4" w:space="0"/>
            </w:tcBorders>
            <w:shd w:val="clear" w:color="auto" w:fill="CCCCCC"/>
            <w:vAlign w:val="bottom"/>
          </w:tcPr>
          <w:p w:rsidR="003B0815" w:rsidRDefault="003B0815" w14:paraId="62A08AF4" w14:textId="77777777">
            <w:pPr>
              <w:keepNext/>
              <w:jc w:val="right"/>
              <w:rPr>
                <w:rFonts w:ascii="Arial" w:hAnsi="Arial"/>
                <w:b/>
                <w:sz w:val="20"/>
                <w:szCs w:val="20"/>
              </w:rPr>
            </w:pPr>
            <w:r>
              <w:rPr>
                <w:rFonts w:ascii="Arial" w:hAnsi="Arial" w:cs="Arial"/>
                <w:b/>
                <w:bCs/>
                <w:sz w:val="20"/>
                <w:szCs w:val="20"/>
              </w:rPr>
              <w:t>$2.4</w:t>
            </w:r>
          </w:p>
        </w:tc>
        <w:tc>
          <w:tcPr>
            <w:tcW w:w="1065" w:type="dxa"/>
            <w:tcBorders>
              <w:bottom w:val="single" w:color="auto" w:sz="4" w:space="0"/>
              <w:right w:val="single" w:color="auto" w:sz="12" w:space="0"/>
            </w:tcBorders>
            <w:shd w:val="clear" w:color="auto" w:fill="CCCCCC"/>
            <w:vAlign w:val="bottom"/>
          </w:tcPr>
          <w:p w:rsidR="003B0815" w:rsidRDefault="003B0815" w14:paraId="43FF934C" w14:textId="77777777">
            <w:pPr>
              <w:keepNext/>
              <w:jc w:val="right"/>
              <w:rPr>
                <w:rFonts w:ascii="Arial" w:hAnsi="Arial"/>
                <w:b/>
                <w:sz w:val="20"/>
                <w:szCs w:val="20"/>
              </w:rPr>
            </w:pPr>
            <w:r>
              <w:rPr>
                <w:rFonts w:ascii="Arial" w:hAnsi="Arial" w:cs="Arial"/>
                <w:b/>
                <w:bCs/>
                <w:sz w:val="20"/>
                <w:szCs w:val="20"/>
              </w:rPr>
              <w:t>$3.5</w:t>
            </w:r>
          </w:p>
        </w:tc>
      </w:tr>
      <w:tr w:rsidR="003B0815" w14:paraId="04583A01" w14:textId="77777777">
        <w:trPr>
          <w:jc w:val="center"/>
        </w:trPr>
        <w:tc>
          <w:tcPr>
            <w:tcW w:w="720" w:type="dxa"/>
            <w:tcBorders>
              <w:left w:val="single" w:color="auto" w:sz="12" w:space="0"/>
              <w:bottom w:val="single" w:color="auto" w:sz="12" w:space="0"/>
              <w:right w:val="nil"/>
            </w:tcBorders>
            <w:vAlign w:val="bottom"/>
          </w:tcPr>
          <w:p w:rsidR="003B0815" w:rsidRDefault="003B0815" w14:paraId="4DFD4C7F" w14:textId="77777777">
            <w:pPr>
              <w:keepNext/>
              <w:jc w:val="center"/>
              <w:rPr>
                <w:rFonts w:ascii="Arial" w:hAnsi="Arial"/>
                <w:b/>
                <w:sz w:val="20"/>
                <w:szCs w:val="20"/>
              </w:rPr>
            </w:pPr>
            <w:r>
              <w:rPr>
                <w:rFonts w:ascii="Arial" w:hAnsi="Arial" w:cs="Arial"/>
                <w:b/>
                <w:bCs/>
                <w:sz w:val="20"/>
                <w:szCs w:val="20"/>
              </w:rPr>
              <w:t>Total</w:t>
            </w:r>
          </w:p>
        </w:tc>
        <w:tc>
          <w:tcPr>
            <w:tcW w:w="1440" w:type="dxa"/>
            <w:tcBorders>
              <w:left w:val="nil"/>
              <w:bottom w:val="single" w:color="auto" w:sz="12" w:space="0"/>
              <w:right w:val="nil"/>
            </w:tcBorders>
            <w:vAlign w:val="bottom"/>
          </w:tcPr>
          <w:p w:rsidR="003B0815" w:rsidRDefault="003B0815" w14:paraId="096C9475" w14:textId="77777777">
            <w:pPr>
              <w:keepNext/>
              <w:jc w:val="center"/>
              <w:rPr>
                <w:rFonts w:ascii="Arial" w:hAnsi="Arial"/>
                <w:b/>
                <w:sz w:val="20"/>
                <w:szCs w:val="20"/>
              </w:rPr>
            </w:pPr>
            <w:r>
              <w:rPr>
                <w:rFonts w:ascii="Arial" w:hAnsi="Arial" w:cs="Arial"/>
                <w:b/>
                <w:bCs/>
                <w:sz w:val="20"/>
                <w:szCs w:val="20"/>
              </w:rPr>
              <w:t> </w:t>
            </w:r>
          </w:p>
        </w:tc>
        <w:tc>
          <w:tcPr>
            <w:tcW w:w="1142" w:type="dxa"/>
            <w:tcBorders>
              <w:left w:val="nil"/>
              <w:bottom w:val="single" w:color="auto" w:sz="12" w:space="0"/>
              <w:right w:val="nil"/>
            </w:tcBorders>
            <w:vAlign w:val="bottom"/>
          </w:tcPr>
          <w:p w:rsidR="003B0815" w:rsidRDefault="003B0815" w14:paraId="25880AB2" w14:textId="77777777">
            <w:pPr>
              <w:keepNext/>
              <w:jc w:val="center"/>
              <w:rPr>
                <w:rFonts w:ascii="Arial" w:hAnsi="Arial"/>
                <w:b/>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6F0F1F5C" w14:textId="77777777">
            <w:pPr>
              <w:keepNext/>
              <w:jc w:val="center"/>
              <w:rPr>
                <w:rFonts w:ascii="Arial" w:hAnsi="Arial"/>
                <w:b/>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3232FE50" w14:textId="77777777">
            <w:pPr>
              <w:keepNext/>
              <w:jc w:val="center"/>
              <w:rPr>
                <w:rFonts w:ascii="Arial" w:hAnsi="Arial"/>
                <w:b/>
                <w:sz w:val="20"/>
                <w:szCs w:val="20"/>
              </w:rPr>
            </w:pPr>
            <w:r>
              <w:rPr>
                <w:rFonts w:ascii="Arial" w:hAnsi="Arial" w:cs="Arial"/>
                <w:b/>
                <w:bCs/>
                <w:sz w:val="20"/>
                <w:szCs w:val="20"/>
              </w:rPr>
              <w:t> </w:t>
            </w:r>
          </w:p>
        </w:tc>
        <w:tc>
          <w:tcPr>
            <w:tcW w:w="900" w:type="dxa"/>
            <w:tcBorders>
              <w:left w:val="nil"/>
              <w:bottom w:val="single" w:color="auto" w:sz="12" w:space="0"/>
              <w:right w:val="nil"/>
            </w:tcBorders>
            <w:vAlign w:val="bottom"/>
          </w:tcPr>
          <w:p w:rsidR="003B0815" w:rsidRDefault="003B0815" w14:paraId="6953207F" w14:textId="77777777">
            <w:pPr>
              <w:keepNext/>
              <w:jc w:val="center"/>
              <w:rPr>
                <w:rFonts w:ascii="Arial" w:hAnsi="Arial"/>
                <w:b/>
                <w:sz w:val="20"/>
                <w:szCs w:val="20"/>
              </w:rPr>
            </w:pPr>
            <w:r>
              <w:rPr>
                <w:rFonts w:ascii="Arial" w:hAnsi="Arial" w:cs="Arial"/>
                <w:b/>
                <w:bCs/>
                <w:sz w:val="20"/>
                <w:szCs w:val="20"/>
              </w:rPr>
              <w:t> </w:t>
            </w:r>
          </w:p>
        </w:tc>
        <w:tc>
          <w:tcPr>
            <w:tcW w:w="1049" w:type="dxa"/>
            <w:tcBorders>
              <w:left w:val="nil"/>
              <w:bottom w:val="single" w:color="auto" w:sz="12" w:space="0"/>
              <w:right w:val="nil"/>
            </w:tcBorders>
            <w:vAlign w:val="bottom"/>
          </w:tcPr>
          <w:p w:rsidR="003B0815" w:rsidRDefault="003B0815" w14:paraId="35129562" w14:textId="77777777">
            <w:pPr>
              <w:keepNext/>
              <w:jc w:val="right"/>
              <w:rPr>
                <w:rFonts w:ascii="Arial" w:hAnsi="Arial"/>
                <w:b/>
                <w:sz w:val="20"/>
                <w:szCs w:val="20"/>
              </w:rPr>
            </w:pPr>
            <w:r>
              <w:rPr>
                <w:rFonts w:ascii="Arial" w:hAnsi="Arial" w:cs="Arial"/>
                <w:b/>
                <w:bCs/>
                <w:sz w:val="20"/>
                <w:szCs w:val="20"/>
              </w:rPr>
              <w:t>$23.9</w:t>
            </w:r>
          </w:p>
        </w:tc>
        <w:tc>
          <w:tcPr>
            <w:tcW w:w="1080" w:type="dxa"/>
            <w:tcBorders>
              <w:left w:val="nil"/>
              <w:bottom w:val="single" w:color="auto" w:sz="12" w:space="0"/>
              <w:right w:val="nil"/>
            </w:tcBorders>
            <w:vAlign w:val="bottom"/>
          </w:tcPr>
          <w:p w:rsidR="003B0815" w:rsidRDefault="003B0815" w14:paraId="24F9A400" w14:textId="77777777">
            <w:pPr>
              <w:keepNext/>
              <w:jc w:val="right"/>
              <w:rPr>
                <w:rFonts w:ascii="Arial" w:hAnsi="Arial"/>
                <w:b/>
                <w:sz w:val="20"/>
                <w:szCs w:val="20"/>
              </w:rPr>
            </w:pPr>
            <w:r>
              <w:rPr>
                <w:rFonts w:ascii="Arial" w:hAnsi="Arial" w:cs="Arial"/>
                <w:b/>
                <w:bCs/>
                <w:sz w:val="20"/>
                <w:szCs w:val="20"/>
              </w:rPr>
              <w:t>$19.3</w:t>
            </w:r>
          </w:p>
        </w:tc>
        <w:tc>
          <w:tcPr>
            <w:tcW w:w="1065" w:type="dxa"/>
            <w:tcBorders>
              <w:left w:val="nil"/>
              <w:bottom w:val="single" w:color="auto" w:sz="12" w:space="0"/>
              <w:right w:val="single" w:color="auto" w:sz="12" w:space="0"/>
            </w:tcBorders>
            <w:vAlign w:val="bottom"/>
          </w:tcPr>
          <w:p w:rsidR="003B0815" w:rsidRDefault="003B0815" w14:paraId="18154DD9" w14:textId="77777777">
            <w:pPr>
              <w:keepNext/>
              <w:jc w:val="right"/>
              <w:rPr>
                <w:rFonts w:ascii="Arial" w:hAnsi="Arial"/>
                <w:b/>
                <w:sz w:val="20"/>
                <w:szCs w:val="20"/>
              </w:rPr>
            </w:pPr>
            <w:r>
              <w:rPr>
                <w:rFonts w:ascii="Arial" w:hAnsi="Arial" w:cs="Arial"/>
                <w:b/>
                <w:bCs/>
                <w:sz w:val="20"/>
                <w:szCs w:val="20"/>
              </w:rPr>
              <w:t>$28.5</w:t>
            </w:r>
          </w:p>
        </w:tc>
      </w:tr>
    </w:tbl>
    <w:p w:rsidR="003B0815" w:rsidRDefault="003B0815" w14:paraId="47B5E65E" w14:textId="77777777">
      <w:pPr>
        <w:spacing w:line="360" w:lineRule="auto"/>
        <w:ind w:firstLine="720"/>
      </w:pPr>
    </w:p>
    <w:p w:rsidR="003B0815" w:rsidRDefault="003B0815" w14:paraId="28539238" w14:textId="77777777">
      <w:pPr>
        <w:spacing w:line="360" w:lineRule="auto"/>
        <w:ind w:firstLine="720"/>
      </w:pPr>
      <w:r>
        <w:t xml:space="preserve">The rule requires covered foreign air carriers to also request full names, dates of birth, gender, and Redress Numbers from passengers flying over the </w:t>
      </w:r>
      <w:smartTag w:uri="urn:schemas-microsoft-com:office:smarttags" w:element="country-region">
        <w:smartTag w:uri="urn:schemas-microsoft-com:office:smarttags" w:element="place">
          <w:r>
            <w:t>U.S.</w:t>
          </w:r>
        </w:smartTag>
      </w:smartTag>
      <w:r>
        <w:t xml:space="preserve">  While </w:t>
      </w:r>
      <w:smartTag w:uri="urn:schemas-microsoft-com:office:smarttags" w:element="country-region">
        <w:smartTag w:uri="urn:schemas-microsoft-com:office:smarttags" w:element="place">
          <w:r>
            <w:t>U.S.</w:t>
          </w:r>
        </w:smartTag>
      </w:smartTag>
      <w:r>
        <w:t xml:space="preserve"> regulations do not currently require these carriers to submit information to DHS for such passengers, the additional data elements airlines need to request during the reservation process is identical to those identified for the above populations.  For this reason, the marginal burden estimates used for flights to and/or from the </w:t>
      </w:r>
      <w:smartTag w:uri="urn:schemas-microsoft-com:office:smarttags" w:element="country-region">
        <w:smartTag w:uri="urn:schemas-microsoft-com:office:smarttags" w:element="place">
          <w:r>
            <w:t>U.S.</w:t>
          </w:r>
        </w:smartTag>
      </w:smartTag>
      <w:r>
        <w:t xml:space="preserve"> are also a reasonable approximation of the marginal burden for overflights.  Using the same method as for domestic and international flights, TSA estimated the marginal cost of collecting additional information from over-flight passengers at the time of reservation at $9.4 million.  Detailed estimates by year are in Table 1.6.3.c.</w:t>
      </w:r>
    </w:p>
    <w:tbl>
      <w:tblP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20"/>
        <w:gridCol w:w="1440"/>
        <w:gridCol w:w="1142"/>
        <w:gridCol w:w="1080"/>
        <w:gridCol w:w="1080"/>
        <w:gridCol w:w="900"/>
        <w:gridCol w:w="1049"/>
        <w:gridCol w:w="1080"/>
        <w:gridCol w:w="1065"/>
      </w:tblGrid>
      <w:tr w:rsidR="003B0815" w14:paraId="626CEFFF" w14:textId="77777777">
        <w:trPr>
          <w:jc w:val="center"/>
        </w:trPr>
        <w:tc>
          <w:tcPr>
            <w:tcW w:w="9556" w:type="dxa"/>
            <w:gridSpan w:val="9"/>
            <w:tcBorders>
              <w:top w:val="nil"/>
              <w:left w:val="nil"/>
              <w:bottom w:val="single" w:color="auto" w:sz="12" w:space="0"/>
              <w:right w:val="nil"/>
            </w:tcBorders>
            <w:vAlign w:val="center"/>
          </w:tcPr>
          <w:p w:rsidR="003B0815" w:rsidRDefault="003B0815" w14:paraId="291D41AA" w14:textId="77777777">
            <w:pPr>
              <w:pStyle w:val="RegEvalTableHeader"/>
              <w:keepNext/>
            </w:pPr>
            <w:bookmarkStart w:name="_Toc165278388" w:id="293"/>
            <w:bookmarkStart w:name="_Toc174438390" w:id="294"/>
            <w:bookmarkStart w:name="_Toc207109525" w:id="295"/>
            <w:r>
              <w:t>Table 1.6.3.c Cost of Data Collection for Airline Reservation Call Centers, Overflights</w:t>
            </w:r>
            <w:bookmarkEnd w:id="293"/>
            <w:bookmarkEnd w:id="294"/>
            <w:bookmarkEnd w:id="295"/>
          </w:p>
        </w:tc>
      </w:tr>
      <w:tr w:rsidR="003B0815" w14:paraId="37BBE8F4" w14:textId="77777777">
        <w:trPr>
          <w:jc w:val="center"/>
        </w:trPr>
        <w:tc>
          <w:tcPr>
            <w:tcW w:w="720" w:type="dxa"/>
            <w:tcBorders>
              <w:top w:val="single" w:color="auto" w:sz="12" w:space="0"/>
              <w:left w:val="single" w:color="auto" w:sz="12" w:space="0"/>
            </w:tcBorders>
            <w:vAlign w:val="center"/>
          </w:tcPr>
          <w:p w:rsidR="003B0815" w:rsidRDefault="003B0815" w14:paraId="083FF04B" w14:textId="77777777">
            <w:pPr>
              <w:keepNext/>
              <w:jc w:val="center"/>
              <w:rPr>
                <w:rFonts w:ascii="Arial" w:hAnsi="Arial"/>
                <w:b/>
                <w:sz w:val="20"/>
                <w:szCs w:val="20"/>
              </w:rPr>
            </w:pPr>
            <w:r>
              <w:rPr>
                <w:rFonts w:ascii="Arial" w:hAnsi="Arial" w:cs="Arial"/>
                <w:b/>
                <w:bCs/>
                <w:sz w:val="20"/>
                <w:szCs w:val="20"/>
              </w:rPr>
              <w:t>Fiscal Year</w:t>
            </w:r>
          </w:p>
        </w:tc>
        <w:tc>
          <w:tcPr>
            <w:tcW w:w="1440" w:type="dxa"/>
            <w:tcBorders>
              <w:top w:val="single" w:color="auto" w:sz="12" w:space="0"/>
            </w:tcBorders>
            <w:vAlign w:val="center"/>
          </w:tcPr>
          <w:p w:rsidR="003B0815" w:rsidRDefault="003B0815" w14:paraId="17F21AE1" w14:textId="77777777">
            <w:pPr>
              <w:keepNext/>
              <w:jc w:val="center"/>
              <w:rPr>
                <w:rFonts w:ascii="Arial" w:hAnsi="Arial" w:cs="Arial"/>
                <w:b/>
                <w:bCs/>
                <w:sz w:val="20"/>
                <w:szCs w:val="20"/>
              </w:rPr>
            </w:pPr>
            <w:smartTag w:uri="urn:schemas-microsoft-com:office:smarttags" w:element="place">
              <w:smartTag w:uri="urn:schemas-microsoft-com:office:smarttags" w:element="PlaceName">
                <w:r>
                  <w:rPr>
                    <w:rFonts w:ascii="Arial" w:hAnsi="Arial" w:cs="Arial"/>
                    <w:b/>
                    <w:bCs/>
                    <w:sz w:val="20"/>
                    <w:szCs w:val="20"/>
                  </w:rPr>
                  <w:t>Airline</w:t>
                </w:r>
              </w:smartTag>
              <w:r>
                <w:rPr>
                  <w:rFonts w:ascii="Arial" w:hAnsi="Arial" w:cs="Arial"/>
                  <w:b/>
                  <w:bCs/>
                  <w:sz w:val="20"/>
                  <w:szCs w:val="20"/>
                </w:rPr>
                <w:t xml:space="preserve"> </w:t>
              </w:r>
              <w:smartTag w:uri="urn:schemas-microsoft-com:office:smarttags" w:element="PlaceName">
                <w:r>
                  <w:rPr>
                    <w:rFonts w:ascii="Arial" w:hAnsi="Arial" w:cs="Arial"/>
                    <w:b/>
                    <w:bCs/>
                    <w:sz w:val="20"/>
                    <w:szCs w:val="20"/>
                  </w:rPr>
                  <w:t>Call</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Center</w:t>
                </w:r>
              </w:smartTag>
            </w:smartTag>
            <w:r>
              <w:rPr>
                <w:rFonts w:ascii="Arial" w:hAnsi="Arial" w:cs="Arial"/>
                <w:b/>
                <w:bCs/>
                <w:sz w:val="20"/>
                <w:szCs w:val="20"/>
              </w:rPr>
              <w:t xml:space="preserve"> Reservations</w:t>
            </w:r>
          </w:p>
          <w:p w:rsidR="003B0815" w:rsidRDefault="003B0815" w14:paraId="3DFDF4F7" w14:textId="77777777">
            <w:pPr>
              <w:keepNext/>
              <w:jc w:val="center"/>
              <w:rPr>
                <w:rFonts w:ascii="Arial" w:hAnsi="Arial"/>
                <w:b/>
                <w:sz w:val="20"/>
                <w:szCs w:val="20"/>
              </w:rPr>
            </w:pPr>
            <w:r>
              <w:rPr>
                <w:rFonts w:ascii="Arial" w:hAnsi="Arial" w:cs="Arial"/>
                <w:b/>
                <w:bCs/>
                <w:sz w:val="20"/>
                <w:szCs w:val="20"/>
              </w:rPr>
              <w:t>(millions)</w:t>
            </w:r>
          </w:p>
        </w:tc>
        <w:tc>
          <w:tcPr>
            <w:tcW w:w="1142" w:type="dxa"/>
            <w:tcBorders>
              <w:top w:val="single" w:color="auto" w:sz="12" w:space="0"/>
            </w:tcBorders>
            <w:vAlign w:val="center"/>
          </w:tcPr>
          <w:p w:rsidR="003B0815" w:rsidRDefault="003B0815" w14:paraId="52AB8FA8" w14:textId="77777777">
            <w:pPr>
              <w:keepNext/>
              <w:jc w:val="center"/>
              <w:rPr>
                <w:rFonts w:ascii="Arial" w:hAnsi="Arial"/>
                <w:b/>
                <w:sz w:val="20"/>
                <w:szCs w:val="20"/>
              </w:rPr>
            </w:pPr>
            <w:r>
              <w:rPr>
                <w:rFonts w:ascii="Arial" w:hAnsi="Arial" w:cs="Arial"/>
                <w:b/>
                <w:bCs/>
                <w:sz w:val="20"/>
                <w:szCs w:val="20"/>
              </w:rPr>
              <w:t>Total Additional Hours, Primary Scenario</w:t>
            </w:r>
          </w:p>
        </w:tc>
        <w:tc>
          <w:tcPr>
            <w:tcW w:w="1080" w:type="dxa"/>
            <w:tcBorders>
              <w:top w:val="single" w:color="auto" w:sz="12" w:space="0"/>
            </w:tcBorders>
            <w:vAlign w:val="center"/>
          </w:tcPr>
          <w:p w:rsidR="003B0815" w:rsidRDefault="003B0815" w14:paraId="1AB2F766" w14:textId="77777777">
            <w:pPr>
              <w:keepNext/>
              <w:jc w:val="center"/>
              <w:rPr>
                <w:rFonts w:ascii="Arial" w:hAnsi="Arial"/>
                <w:b/>
                <w:sz w:val="20"/>
                <w:szCs w:val="20"/>
              </w:rPr>
            </w:pPr>
            <w:r>
              <w:rPr>
                <w:rFonts w:ascii="Arial" w:hAnsi="Arial" w:cs="Arial"/>
                <w:b/>
                <w:bCs/>
                <w:sz w:val="20"/>
                <w:szCs w:val="20"/>
              </w:rPr>
              <w:t>Total Additional Hours, Low Scenario</w:t>
            </w:r>
          </w:p>
        </w:tc>
        <w:tc>
          <w:tcPr>
            <w:tcW w:w="1080" w:type="dxa"/>
            <w:tcBorders>
              <w:top w:val="single" w:color="auto" w:sz="12" w:space="0"/>
            </w:tcBorders>
            <w:vAlign w:val="center"/>
          </w:tcPr>
          <w:p w:rsidR="003B0815" w:rsidRDefault="003B0815" w14:paraId="5EC9D5F3" w14:textId="77777777">
            <w:pPr>
              <w:keepNext/>
              <w:jc w:val="center"/>
              <w:rPr>
                <w:rFonts w:ascii="Arial" w:hAnsi="Arial"/>
                <w:b/>
                <w:sz w:val="20"/>
                <w:szCs w:val="20"/>
              </w:rPr>
            </w:pPr>
            <w:r>
              <w:rPr>
                <w:rFonts w:ascii="Arial" w:hAnsi="Arial" w:cs="Arial"/>
                <w:b/>
                <w:bCs/>
                <w:sz w:val="20"/>
                <w:szCs w:val="20"/>
              </w:rPr>
              <w:t>Total Additional Hours, High Scenario</w:t>
            </w:r>
          </w:p>
        </w:tc>
        <w:tc>
          <w:tcPr>
            <w:tcW w:w="900" w:type="dxa"/>
            <w:tcBorders>
              <w:top w:val="single" w:color="auto" w:sz="12" w:space="0"/>
            </w:tcBorders>
            <w:vAlign w:val="center"/>
          </w:tcPr>
          <w:p w:rsidR="003B0815" w:rsidRDefault="003B0815" w14:paraId="0021B993" w14:textId="77777777">
            <w:pPr>
              <w:keepNext/>
              <w:jc w:val="center"/>
              <w:rPr>
                <w:rFonts w:ascii="Arial" w:hAnsi="Arial"/>
                <w:b/>
                <w:sz w:val="20"/>
                <w:szCs w:val="20"/>
              </w:rPr>
            </w:pPr>
            <w:smartTag w:uri="urn:schemas-microsoft-com:office:smarttags" w:element="place">
              <w:smartTag w:uri="urn:schemas-microsoft-com:office:smarttags" w:element="PlaceName">
                <w:r>
                  <w:rPr>
                    <w:rFonts w:ascii="Arial" w:hAnsi="Arial" w:cs="Arial"/>
                    <w:b/>
                    <w:bCs/>
                    <w:sz w:val="20"/>
                    <w:szCs w:val="20"/>
                  </w:rPr>
                  <w:t>Call</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Center</w:t>
                </w:r>
              </w:smartTag>
            </w:smartTag>
            <w:r>
              <w:rPr>
                <w:rFonts w:ascii="Arial" w:hAnsi="Arial" w:cs="Arial"/>
                <w:b/>
                <w:bCs/>
                <w:sz w:val="20"/>
                <w:szCs w:val="20"/>
              </w:rPr>
              <w:t xml:space="preserve"> Agent Hourly Wage</w:t>
            </w:r>
          </w:p>
        </w:tc>
        <w:tc>
          <w:tcPr>
            <w:tcW w:w="1049" w:type="dxa"/>
            <w:tcBorders>
              <w:top w:val="single" w:color="auto" w:sz="12" w:space="0"/>
            </w:tcBorders>
            <w:vAlign w:val="center"/>
          </w:tcPr>
          <w:p w:rsidR="003B0815" w:rsidRDefault="003B0815" w14:paraId="28D8FE44" w14:textId="77777777">
            <w:pPr>
              <w:keepNext/>
              <w:jc w:val="center"/>
              <w:rPr>
                <w:rFonts w:ascii="Arial" w:hAnsi="Arial" w:cs="Arial"/>
                <w:b/>
                <w:bCs/>
                <w:sz w:val="20"/>
                <w:szCs w:val="20"/>
              </w:rPr>
            </w:pPr>
            <w:r>
              <w:rPr>
                <w:rFonts w:ascii="Arial" w:hAnsi="Arial" w:cs="Arial"/>
                <w:b/>
                <w:bCs/>
                <w:sz w:val="20"/>
                <w:szCs w:val="20"/>
              </w:rPr>
              <w:t>Total Cost, Primary Scenario</w:t>
            </w:r>
          </w:p>
          <w:p w:rsidR="003B0815" w:rsidRDefault="003B0815" w14:paraId="279F4395" w14:textId="77777777">
            <w:pPr>
              <w:keepNext/>
              <w:jc w:val="center"/>
              <w:rPr>
                <w:rFonts w:ascii="Arial" w:hAnsi="Arial"/>
                <w:b/>
                <w:sz w:val="20"/>
                <w:szCs w:val="20"/>
              </w:rPr>
            </w:pPr>
            <w:r>
              <w:rPr>
                <w:rFonts w:ascii="Arial" w:hAnsi="Arial" w:cs="Arial"/>
                <w:b/>
                <w:bCs/>
                <w:sz w:val="20"/>
                <w:szCs w:val="20"/>
              </w:rPr>
              <w:t>(millions)</w:t>
            </w:r>
          </w:p>
        </w:tc>
        <w:tc>
          <w:tcPr>
            <w:tcW w:w="1080" w:type="dxa"/>
            <w:tcBorders>
              <w:top w:val="single" w:color="auto" w:sz="12" w:space="0"/>
            </w:tcBorders>
            <w:vAlign w:val="center"/>
          </w:tcPr>
          <w:p w:rsidR="003B0815" w:rsidRDefault="003B0815" w14:paraId="23F07AEE" w14:textId="77777777">
            <w:pPr>
              <w:keepNext/>
              <w:jc w:val="center"/>
              <w:rPr>
                <w:rFonts w:ascii="Arial" w:hAnsi="Arial" w:cs="Arial"/>
                <w:b/>
                <w:bCs/>
                <w:sz w:val="20"/>
                <w:szCs w:val="20"/>
              </w:rPr>
            </w:pPr>
            <w:r>
              <w:rPr>
                <w:rFonts w:ascii="Arial" w:hAnsi="Arial" w:cs="Arial"/>
                <w:b/>
                <w:bCs/>
                <w:sz w:val="20"/>
                <w:szCs w:val="20"/>
              </w:rPr>
              <w:t>Total Cost, Low Scenario</w:t>
            </w:r>
          </w:p>
          <w:p w:rsidR="003B0815" w:rsidRDefault="003B0815" w14:paraId="5BA8C118" w14:textId="77777777">
            <w:pPr>
              <w:keepNext/>
              <w:jc w:val="center"/>
              <w:rPr>
                <w:rFonts w:ascii="Arial" w:hAnsi="Arial"/>
                <w:b/>
                <w:sz w:val="20"/>
                <w:szCs w:val="20"/>
              </w:rPr>
            </w:pPr>
            <w:r>
              <w:rPr>
                <w:rFonts w:ascii="Arial" w:hAnsi="Arial" w:cs="Arial"/>
                <w:b/>
                <w:bCs/>
                <w:sz w:val="20"/>
                <w:szCs w:val="20"/>
              </w:rPr>
              <w:t>(millions)</w:t>
            </w:r>
          </w:p>
        </w:tc>
        <w:tc>
          <w:tcPr>
            <w:tcW w:w="1065" w:type="dxa"/>
            <w:tcBorders>
              <w:top w:val="single" w:color="auto" w:sz="12" w:space="0"/>
              <w:bottom w:val="single" w:color="auto" w:sz="4" w:space="0"/>
              <w:right w:val="single" w:color="auto" w:sz="12" w:space="0"/>
            </w:tcBorders>
            <w:vAlign w:val="center"/>
          </w:tcPr>
          <w:p w:rsidR="003B0815" w:rsidRDefault="003B0815" w14:paraId="74049E3E" w14:textId="77777777">
            <w:pPr>
              <w:keepNext/>
              <w:jc w:val="center"/>
              <w:rPr>
                <w:rFonts w:ascii="Arial" w:hAnsi="Arial" w:cs="Arial"/>
                <w:b/>
                <w:bCs/>
                <w:sz w:val="20"/>
                <w:szCs w:val="20"/>
              </w:rPr>
            </w:pPr>
            <w:r>
              <w:rPr>
                <w:rFonts w:ascii="Arial" w:hAnsi="Arial" w:cs="Arial"/>
                <w:b/>
                <w:bCs/>
                <w:sz w:val="20"/>
                <w:szCs w:val="20"/>
              </w:rPr>
              <w:t xml:space="preserve">Total Cost, High </w:t>
            </w:r>
          </w:p>
          <w:p w:rsidR="003B0815" w:rsidRDefault="003B0815" w14:paraId="70379945" w14:textId="77777777">
            <w:pPr>
              <w:keepNext/>
              <w:jc w:val="center"/>
              <w:rPr>
                <w:rFonts w:ascii="Arial" w:hAnsi="Arial" w:cs="Arial"/>
                <w:b/>
                <w:bCs/>
                <w:sz w:val="20"/>
                <w:szCs w:val="20"/>
              </w:rPr>
            </w:pPr>
            <w:r>
              <w:rPr>
                <w:rFonts w:ascii="Arial" w:hAnsi="Arial" w:cs="Arial"/>
                <w:b/>
                <w:bCs/>
                <w:sz w:val="20"/>
                <w:szCs w:val="20"/>
              </w:rPr>
              <w:t>Scenario</w:t>
            </w:r>
          </w:p>
          <w:p w:rsidR="003B0815" w:rsidRDefault="003B0815" w14:paraId="1FFFE9E0" w14:textId="77777777">
            <w:pPr>
              <w:keepNext/>
              <w:jc w:val="center"/>
              <w:rPr>
                <w:rFonts w:ascii="Arial" w:hAnsi="Arial" w:cs="Arial"/>
                <w:b/>
                <w:sz w:val="20"/>
                <w:szCs w:val="20"/>
              </w:rPr>
            </w:pPr>
            <w:r>
              <w:rPr>
                <w:rFonts w:ascii="Arial" w:hAnsi="Arial" w:cs="Arial"/>
                <w:b/>
                <w:bCs/>
                <w:sz w:val="20"/>
                <w:szCs w:val="20"/>
              </w:rPr>
              <w:t>(millions)</w:t>
            </w:r>
          </w:p>
        </w:tc>
      </w:tr>
      <w:tr w:rsidR="003B0815" w14:paraId="70B7F72D" w14:textId="77777777">
        <w:trPr>
          <w:jc w:val="center"/>
        </w:trPr>
        <w:tc>
          <w:tcPr>
            <w:tcW w:w="720" w:type="dxa"/>
            <w:tcBorders>
              <w:left w:val="single" w:color="auto" w:sz="12" w:space="0"/>
            </w:tcBorders>
            <w:vAlign w:val="center"/>
          </w:tcPr>
          <w:p w:rsidR="003B0815" w:rsidRDefault="003B0815" w14:paraId="3EE4A36B" w14:textId="77777777">
            <w:pPr>
              <w:keepNext/>
              <w:jc w:val="center"/>
              <w:rPr>
                <w:rFonts w:ascii="Arial" w:hAnsi="Arial"/>
                <w:sz w:val="20"/>
                <w:szCs w:val="20"/>
              </w:rPr>
            </w:pPr>
            <w:r>
              <w:rPr>
                <w:rFonts w:ascii="Arial" w:hAnsi="Arial" w:cs="Arial"/>
                <w:b/>
                <w:bCs/>
                <w:sz w:val="20"/>
                <w:szCs w:val="20"/>
              </w:rPr>
              <w:t> </w:t>
            </w:r>
          </w:p>
        </w:tc>
        <w:tc>
          <w:tcPr>
            <w:tcW w:w="1440" w:type="dxa"/>
            <w:vAlign w:val="center"/>
          </w:tcPr>
          <w:p w:rsidR="003B0815" w:rsidRDefault="003B0815" w14:paraId="645E2459" w14:textId="77777777">
            <w:pPr>
              <w:keepNext/>
              <w:jc w:val="center"/>
              <w:rPr>
                <w:rFonts w:ascii="Arial" w:hAnsi="Arial"/>
                <w:sz w:val="20"/>
                <w:szCs w:val="20"/>
              </w:rPr>
            </w:pPr>
            <w:r>
              <w:rPr>
                <w:rFonts w:ascii="Arial" w:hAnsi="Arial" w:cs="Arial"/>
                <w:b/>
                <w:bCs/>
                <w:sz w:val="20"/>
                <w:szCs w:val="20"/>
              </w:rPr>
              <w:t>(A)</w:t>
            </w:r>
          </w:p>
        </w:tc>
        <w:tc>
          <w:tcPr>
            <w:tcW w:w="1142" w:type="dxa"/>
            <w:vAlign w:val="center"/>
          </w:tcPr>
          <w:p w:rsidR="003B0815" w:rsidRDefault="003B0815" w14:paraId="0AA55A6E"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048AD740" w14:textId="77777777">
            <w:pPr>
              <w:keepNext/>
              <w:jc w:val="center"/>
              <w:rPr>
                <w:rFonts w:ascii="Arial" w:hAnsi="Arial"/>
                <w:sz w:val="20"/>
                <w:szCs w:val="20"/>
              </w:rPr>
            </w:pPr>
            <w:r>
              <w:rPr>
                <w:rFonts w:ascii="Arial" w:hAnsi="Arial" w:cs="Arial"/>
                <w:b/>
                <w:bCs/>
                <w:sz w:val="20"/>
                <w:szCs w:val="20"/>
              </w:rPr>
              <w:t>(C)</w:t>
            </w:r>
          </w:p>
        </w:tc>
        <w:tc>
          <w:tcPr>
            <w:tcW w:w="1080" w:type="dxa"/>
            <w:vAlign w:val="center"/>
          </w:tcPr>
          <w:p w:rsidR="003B0815" w:rsidRDefault="003B0815" w14:paraId="5D7068F2" w14:textId="77777777">
            <w:pPr>
              <w:keepNext/>
              <w:jc w:val="center"/>
              <w:rPr>
                <w:rFonts w:ascii="Arial" w:hAnsi="Arial"/>
                <w:sz w:val="20"/>
                <w:szCs w:val="20"/>
              </w:rPr>
            </w:pPr>
            <w:r>
              <w:rPr>
                <w:rFonts w:ascii="Arial" w:hAnsi="Arial" w:cs="Arial"/>
                <w:b/>
                <w:bCs/>
                <w:sz w:val="20"/>
                <w:szCs w:val="20"/>
              </w:rPr>
              <w:t>(D)</w:t>
            </w:r>
          </w:p>
        </w:tc>
        <w:tc>
          <w:tcPr>
            <w:tcW w:w="900" w:type="dxa"/>
            <w:vAlign w:val="center"/>
          </w:tcPr>
          <w:p w:rsidR="003B0815" w:rsidRDefault="003B0815" w14:paraId="3C76FCAF" w14:textId="77777777">
            <w:pPr>
              <w:keepNext/>
              <w:jc w:val="center"/>
              <w:rPr>
                <w:rFonts w:ascii="Arial" w:hAnsi="Arial"/>
                <w:sz w:val="20"/>
                <w:szCs w:val="20"/>
              </w:rPr>
            </w:pPr>
            <w:r>
              <w:rPr>
                <w:rFonts w:ascii="Arial" w:hAnsi="Arial" w:cs="Arial"/>
                <w:b/>
                <w:bCs/>
                <w:sz w:val="20"/>
                <w:szCs w:val="20"/>
              </w:rPr>
              <w:t>(E)</w:t>
            </w:r>
          </w:p>
        </w:tc>
        <w:tc>
          <w:tcPr>
            <w:tcW w:w="1049" w:type="dxa"/>
            <w:shd w:val="clear" w:color="auto" w:fill="CCCCCC"/>
            <w:vAlign w:val="center"/>
          </w:tcPr>
          <w:p w:rsidR="003B0815" w:rsidRDefault="003B0815" w14:paraId="3BC88736" w14:textId="77777777">
            <w:pPr>
              <w:keepNext/>
              <w:jc w:val="center"/>
              <w:rPr>
                <w:rFonts w:ascii="Arial" w:hAnsi="Arial"/>
                <w:b/>
                <w:sz w:val="20"/>
                <w:szCs w:val="20"/>
              </w:rPr>
            </w:pPr>
            <w:r>
              <w:rPr>
                <w:rFonts w:ascii="Arial" w:hAnsi="Arial" w:cs="Arial"/>
                <w:b/>
                <w:bCs/>
                <w:sz w:val="20"/>
                <w:szCs w:val="20"/>
              </w:rPr>
              <w:t>(B x E)</w:t>
            </w:r>
          </w:p>
        </w:tc>
        <w:tc>
          <w:tcPr>
            <w:tcW w:w="1080" w:type="dxa"/>
            <w:shd w:val="clear" w:color="auto" w:fill="CCCCCC"/>
            <w:vAlign w:val="center"/>
          </w:tcPr>
          <w:p w:rsidR="003B0815" w:rsidRDefault="003B0815" w14:paraId="16F800F4" w14:textId="77777777">
            <w:pPr>
              <w:keepNext/>
              <w:jc w:val="center"/>
              <w:rPr>
                <w:rFonts w:ascii="Arial" w:hAnsi="Arial"/>
                <w:b/>
                <w:sz w:val="20"/>
                <w:szCs w:val="20"/>
              </w:rPr>
            </w:pPr>
            <w:r>
              <w:rPr>
                <w:rFonts w:ascii="Arial" w:hAnsi="Arial" w:cs="Arial"/>
                <w:b/>
                <w:bCs/>
                <w:sz w:val="20"/>
                <w:szCs w:val="20"/>
              </w:rPr>
              <w:t>(C x E)</w:t>
            </w:r>
          </w:p>
        </w:tc>
        <w:tc>
          <w:tcPr>
            <w:tcW w:w="1065" w:type="dxa"/>
            <w:tcBorders>
              <w:right w:val="single" w:color="auto" w:sz="12" w:space="0"/>
            </w:tcBorders>
            <w:shd w:val="clear" w:color="auto" w:fill="CCCCCC"/>
            <w:vAlign w:val="center"/>
          </w:tcPr>
          <w:p w:rsidR="003B0815" w:rsidRDefault="003B0815" w14:paraId="43495E6B" w14:textId="77777777">
            <w:pPr>
              <w:keepNext/>
              <w:jc w:val="center"/>
              <w:rPr>
                <w:rFonts w:ascii="Arial" w:hAnsi="Arial"/>
                <w:b/>
                <w:sz w:val="20"/>
                <w:szCs w:val="20"/>
              </w:rPr>
            </w:pPr>
            <w:r>
              <w:rPr>
                <w:rFonts w:ascii="Arial" w:hAnsi="Arial" w:cs="Arial"/>
                <w:b/>
                <w:bCs/>
                <w:sz w:val="20"/>
                <w:szCs w:val="20"/>
              </w:rPr>
              <w:t>(D x E)</w:t>
            </w:r>
          </w:p>
        </w:tc>
      </w:tr>
      <w:tr w:rsidR="003B0815" w14:paraId="22900AA4" w14:textId="77777777">
        <w:trPr>
          <w:jc w:val="center"/>
        </w:trPr>
        <w:tc>
          <w:tcPr>
            <w:tcW w:w="720" w:type="dxa"/>
            <w:tcBorders>
              <w:left w:val="single" w:color="auto" w:sz="12" w:space="0"/>
            </w:tcBorders>
          </w:tcPr>
          <w:p w:rsidR="003B0815" w:rsidRDefault="003B0815" w14:paraId="5C925E0D" w14:textId="77777777">
            <w:pPr>
              <w:keepNext/>
              <w:jc w:val="center"/>
              <w:rPr>
                <w:rFonts w:ascii="Arial" w:hAnsi="Arial"/>
                <w:sz w:val="20"/>
                <w:szCs w:val="20"/>
              </w:rPr>
            </w:pPr>
            <w:r>
              <w:t>2008</w:t>
            </w:r>
          </w:p>
        </w:tc>
        <w:tc>
          <w:tcPr>
            <w:tcW w:w="1440" w:type="dxa"/>
            <w:vAlign w:val="bottom"/>
          </w:tcPr>
          <w:p w:rsidR="003B0815" w:rsidRDefault="003B0815" w14:paraId="762EF75B" w14:textId="77777777">
            <w:pPr>
              <w:keepNext/>
              <w:jc w:val="center"/>
              <w:rPr>
                <w:rFonts w:ascii="Arial" w:hAnsi="Arial"/>
                <w:sz w:val="20"/>
                <w:szCs w:val="20"/>
              </w:rPr>
            </w:pPr>
            <w:r>
              <w:rPr>
                <w:rFonts w:ascii="Arial" w:hAnsi="Arial" w:cs="Arial"/>
                <w:sz w:val="20"/>
                <w:szCs w:val="20"/>
              </w:rPr>
              <w:t xml:space="preserve">5.1 </w:t>
            </w:r>
          </w:p>
        </w:tc>
        <w:tc>
          <w:tcPr>
            <w:tcW w:w="1142" w:type="dxa"/>
            <w:vAlign w:val="bottom"/>
          </w:tcPr>
          <w:p w:rsidR="003B0815" w:rsidRDefault="003B0815" w14:paraId="02D447B6" w14:textId="77777777">
            <w:pPr>
              <w:keepNext/>
              <w:jc w:val="center"/>
              <w:rPr>
                <w:rFonts w:ascii="Arial" w:hAnsi="Arial"/>
                <w:sz w:val="20"/>
                <w:szCs w:val="20"/>
              </w:rPr>
            </w:pPr>
            <w:r>
              <w:rPr>
                <w:rFonts w:ascii="Arial" w:hAnsi="Arial" w:cs="Arial"/>
                <w:sz w:val="20"/>
                <w:szCs w:val="20"/>
              </w:rPr>
              <w:t>35,000</w:t>
            </w:r>
          </w:p>
        </w:tc>
        <w:tc>
          <w:tcPr>
            <w:tcW w:w="1080" w:type="dxa"/>
            <w:vAlign w:val="bottom"/>
          </w:tcPr>
          <w:p w:rsidR="003B0815" w:rsidRDefault="003B0815" w14:paraId="24CFC917" w14:textId="77777777">
            <w:pPr>
              <w:keepNext/>
              <w:jc w:val="center"/>
              <w:rPr>
                <w:rFonts w:ascii="Arial" w:hAnsi="Arial"/>
                <w:sz w:val="20"/>
                <w:szCs w:val="20"/>
              </w:rPr>
            </w:pPr>
            <w:r>
              <w:rPr>
                <w:rFonts w:ascii="Arial" w:hAnsi="Arial" w:cs="Arial"/>
                <w:sz w:val="20"/>
                <w:szCs w:val="20"/>
              </w:rPr>
              <w:t>28,000</w:t>
            </w:r>
          </w:p>
        </w:tc>
        <w:tc>
          <w:tcPr>
            <w:tcW w:w="1080" w:type="dxa"/>
            <w:vAlign w:val="bottom"/>
          </w:tcPr>
          <w:p w:rsidR="003B0815" w:rsidRDefault="003B0815" w14:paraId="52624522" w14:textId="77777777">
            <w:pPr>
              <w:keepNext/>
              <w:jc w:val="center"/>
              <w:rPr>
                <w:rFonts w:ascii="Arial" w:hAnsi="Arial"/>
                <w:sz w:val="20"/>
                <w:szCs w:val="20"/>
              </w:rPr>
            </w:pPr>
            <w:r>
              <w:rPr>
                <w:rFonts w:ascii="Arial" w:hAnsi="Arial" w:cs="Arial"/>
                <w:sz w:val="20"/>
                <w:szCs w:val="20"/>
              </w:rPr>
              <w:t>43,000</w:t>
            </w:r>
          </w:p>
        </w:tc>
        <w:tc>
          <w:tcPr>
            <w:tcW w:w="900" w:type="dxa"/>
            <w:vAlign w:val="bottom"/>
          </w:tcPr>
          <w:p w:rsidR="003B0815" w:rsidRDefault="003B0815" w14:paraId="1F0308AA"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52701708" w14:textId="77777777">
            <w:pPr>
              <w:keepNext/>
              <w:jc w:val="right"/>
              <w:rPr>
                <w:rFonts w:ascii="Arial" w:hAnsi="Arial"/>
                <w:b/>
                <w:sz w:val="20"/>
                <w:szCs w:val="20"/>
              </w:rPr>
            </w:pPr>
            <w:r>
              <w:rPr>
                <w:rFonts w:ascii="Arial" w:hAnsi="Arial" w:cs="Arial"/>
                <w:b/>
                <w:bCs/>
                <w:sz w:val="20"/>
                <w:szCs w:val="20"/>
              </w:rPr>
              <w:t>$0.7</w:t>
            </w:r>
          </w:p>
        </w:tc>
        <w:tc>
          <w:tcPr>
            <w:tcW w:w="1080" w:type="dxa"/>
            <w:shd w:val="clear" w:color="auto" w:fill="CCCCCC"/>
            <w:vAlign w:val="bottom"/>
          </w:tcPr>
          <w:p w:rsidR="003B0815" w:rsidRDefault="003B0815" w14:paraId="31306D5E" w14:textId="77777777">
            <w:pPr>
              <w:keepNext/>
              <w:jc w:val="right"/>
              <w:rPr>
                <w:rFonts w:ascii="Arial" w:hAnsi="Arial"/>
                <w:b/>
                <w:sz w:val="20"/>
                <w:szCs w:val="20"/>
              </w:rPr>
            </w:pPr>
            <w:r>
              <w:rPr>
                <w:rFonts w:ascii="Arial" w:hAnsi="Arial" w:cs="Arial"/>
                <w:b/>
                <w:bCs/>
                <w:sz w:val="20"/>
                <w:szCs w:val="20"/>
              </w:rPr>
              <w:t>$0.6</w:t>
            </w:r>
          </w:p>
        </w:tc>
        <w:tc>
          <w:tcPr>
            <w:tcW w:w="1065" w:type="dxa"/>
            <w:tcBorders>
              <w:right w:val="single" w:color="auto" w:sz="12" w:space="0"/>
            </w:tcBorders>
            <w:shd w:val="clear" w:color="auto" w:fill="CCCCCC"/>
            <w:vAlign w:val="bottom"/>
          </w:tcPr>
          <w:p w:rsidR="003B0815" w:rsidRDefault="003B0815" w14:paraId="29E0725C" w14:textId="77777777">
            <w:pPr>
              <w:keepNext/>
              <w:jc w:val="right"/>
              <w:rPr>
                <w:rFonts w:ascii="Arial" w:hAnsi="Arial"/>
                <w:b/>
                <w:sz w:val="20"/>
                <w:szCs w:val="20"/>
              </w:rPr>
            </w:pPr>
            <w:r>
              <w:rPr>
                <w:rFonts w:ascii="Arial" w:hAnsi="Arial" w:cs="Arial"/>
                <w:b/>
                <w:bCs/>
                <w:sz w:val="20"/>
                <w:szCs w:val="20"/>
              </w:rPr>
              <w:t>$0.9</w:t>
            </w:r>
          </w:p>
        </w:tc>
      </w:tr>
      <w:tr w:rsidR="003B0815" w14:paraId="06B3BD0B" w14:textId="77777777">
        <w:trPr>
          <w:jc w:val="center"/>
        </w:trPr>
        <w:tc>
          <w:tcPr>
            <w:tcW w:w="720" w:type="dxa"/>
            <w:tcBorders>
              <w:left w:val="single" w:color="auto" w:sz="12" w:space="0"/>
            </w:tcBorders>
          </w:tcPr>
          <w:p w:rsidR="003B0815" w:rsidRDefault="003B0815" w14:paraId="0AF4F98B" w14:textId="77777777">
            <w:pPr>
              <w:keepNext/>
              <w:jc w:val="center"/>
              <w:rPr>
                <w:rFonts w:ascii="Arial" w:hAnsi="Arial"/>
                <w:sz w:val="20"/>
                <w:szCs w:val="20"/>
              </w:rPr>
            </w:pPr>
            <w:r>
              <w:t>2009</w:t>
            </w:r>
          </w:p>
        </w:tc>
        <w:tc>
          <w:tcPr>
            <w:tcW w:w="1440" w:type="dxa"/>
            <w:vAlign w:val="bottom"/>
          </w:tcPr>
          <w:p w:rsidR="003B0815" w:rsidRDefault="003B0815" w14:paraId="7315F34E" w14:textId="77777777">
            <w:pPr>
              <w:keepNext/>
              <w:jc w:val="center"/>
              <w:rPr>
                <w:rFonts w:ascii="Arial" w:hAnsi="Arial"/>
                <w:sz w:val="20"/>
                <w:szCs w:val="20"/>
              </w:rPr>
            </w:pPr>
            <w:r>
              <w:rPr>
                <w:rFonts w:ascii="Arial" w:hAnsi="Arial" w:cs="Arial"/>
                <w:sz w:val="20"/>
                <w:szCs w:val="20"/>
              </w:rPr>
              <w:t xml:space="preserve">5.4 </w:t>
            </w:r>
          </w:p>
        </w:tc>
        <w:tc>
          <w:tcPr>
            <w:tcW w:w="1142" w:type="dxa"/>
            <w:vAlign w:val="bottom"/>
          </w:tcPr>
          <w:p w:rsidR="003B0815" w:rsidRDefault="003B0815" w14:paraId="2C23DED0" w14:textId="77777777">
            <w:pPr>
              <w:keepNext/>
              <w:jc w:val="center"/>
              <w:rPr>
                <w:rFonts w:ascii="Arial" w:hAnsi="Arial"/>
                <w:sz w:val="20"/>
                <w:szCs w:val="20"/>
              </w:rPr>
            </w:pPr>
            <w:r>
              <w:rPr>
                <w:rFonts w:ascii="Arial" w:hAnsi="Arial" w:cs="Arial"/>
                <w:sz w:val="20"/>
                <w:szCs w:val="20"/>
              </w:rPr>
              <w:t>38,000</w:t>
            </w:r>
          </w:p>
        </w:tc>
        <w:tc>
          <w:tcPr>
            <w:tcW w:w="1080" w:type="dxa"/>
            <w:vAlign w:val="bottom"/>
          </w:tcPr>
          <w:p w:rsidR="003B0815" w:rsidRDefault="003B0815" w14:paraId="7727A58E" w14:textId="77777777">
            <w:pPr>
              <w:keepNext/>
              <w:jc w:val="center"/>
              <w:rPr>
                <w:rFonts w:ascii="Arial" w:hAnsi="Arial"/>
                <w:sz w:val="20"/>
                <w:szCs w:val="20"/>
              </w:rPr>
            </w:pPr>
            <w:r>
              <w:rPr>
                <w:rFonts w:ascii="Arial" w:hAnsi="Arial" w:cs="Arial"/>
                <w:sz w:val="20"/>
                <w:szCs w:val="20"/>
              </w:rPr>
              <w:t>30,000</w:t>
            </w:r>
          </w:p>
        </w:tc>
        <w:tc>
          <w:tcPr>
            <w:tcW w:w="1080" w:type="dxa"/>
            <w:vAlign w:val="bottom"/>
          </w:tcPr>
          <w:p w:rsidR="003B0815" w:rsidRDefault="003B0815" w14:paraId="47072A2D" w14:textId="77777777">
            <w:pPr>
              <w:keepNext/>
              <w:jc w:val="center"/>
              <w:rPr>
                <w:rFonts w:ascii="Arial" w:hAnsi="Arial"/>
                <w:sz w:val="20"/>
                <w:szCs w:val="20"/>
              </w:rPr>
            </w:pPr>
            <w:r>
              <w:rPr>
                <w:rFonts w:ascii="Arial" w:hAnsi="Arial" w:cs="Arial"/>
                <w:sz w:val="20"/>
                <w:szCs w:val="20"/>
              </w:rPr>
              <w:t>45,000</w:t>
            </w:r>
          </w:p>
        </w:tc>
        <w:tc>
          <w:tcPr>
            <w:tcW w:w="900" w:type="dxa"/>
            <w:vAlign w:val="bottom"/>
          </w:tcPr>
          <w:p w:rsidR="003B0815" w:rsidRDefault="003B0815" w14:paraId="78E9E845"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40809CCC" w14:textId="77777777">
            <w:pPr>
              <w:keepNext/>
              <w:jc w:val="right"/>
              <w:rPr>
                <w:rFonts w:ascii="Arial" w:hAnsi="Arial"/>
                <w:b/>
                <w:sz w:val="20"/>
                <w:szCs w:val="20"/>
              </w:rPr>
            </w:pPr>
            <w:r>
              <w:rPr>
                <w:rFonts w:ascii="Arial" w:hAnsi="Arial" w:cs="Arial"/>
                <w:b/>
                <w:bCs/>
                <w:sz w:val="20"/>
                <w:szCs w:val="20"/>
              </w:rPr>
              <w:t>0.8</w:t>
            </w:r>
          </w:p>
        </w:tc>
        <w:tc>
          <w:tcPr>
            <w:tcW w:w="1080" w:type="dxa"/>
            <w:shd w:val="clear" w:color="auto" w:fill="CCCCCC"/>
            <w:vAlign w:val="bottom"/>
          </w:tcPr>
          <w:p w:rsidR="003B0815" w:rsidRDefault="003B0815" w14:paraId="210C1028" w14:textId="77777777">
            <w:pPr>
              <w:keepNext/>
              <w:jc w:val="right"/>
              <w:rPr>
                <w:rFonts w:ascii="Arial" w:hAnsi="Arial"/>
                <w:b/>
                <w:sz w:val="20"/>
                <w:szCs w:val="20"/>
              </w:rPr>
            </w:pPr>
            <w:r>
              <w:rPr>
                <w:rFonts w:ascii="Arial" w:hAnsi="Arial" w:cs="Arial"/>
                <w:b/>
                <w:bCs/>
                <w:sz w:val="20"/>
                <w:szCs w:val="20"/>
              </w:rPr>
              <w:t>0.6</w:t>
            </w:r>
          </w:p>
        </w:tc>
        <w:tc>
          <w:tcPr>
            <w:tcW w:w="1065" w:type="dxa"/>
            <w:tcBorders>
              <w:right w:val="single" w:color="auto" w:sz="12" w:space="0"/>
            </w:tcBorders>
            <w:shd w:val="clear" w:color="auto" w:fill="CCCCCC"/>
            <w:vAlign w:val="bottom"/>
          </w:tcPr>
          <w:p w:rsidR="003B0815" w:rsidRDefault="003B0815" w14:paraId="66D4A466" w14:textId="77777777">
            <w:pPr>
              <w:keepNext/>
              <w:jc w:val="right"/>
              <w:rPr>
                <w:rFonts w:ascii="Arial" w:hAnsi="Arial"/>
                <w:b/>
                <w:sz w:val="20"/>
                <w:szCs w:val="20"/>
              </w:rPr>
            </w:pPr>
            <w:r>
              <w:rPr>
                <w:rFonts w:ascii="Arial" w:hAnsi="Arial" w:cs="Arial"/>
                <w:b/>
                <w:bCs/>
                <w:sz w:val="20"/>
                <w:szCs w:val="20"/>
              </w:rPr>
              <w:t>0.9</w:t>
            </w:r>
          </w:p>
        </w:tc>
      </w:tr>
      <w:tr w:rsidR="003B0815" w14:paraId="0C5F3045" w14:textId="77777777">
        <w:trPr>
          <w:jc w:val="center"/>
        </w:trPr>
        <w:tc>
          <w:tcPr>
            <w:tcW w:w="720" w:type="dxa"/>
            <w:tcBorders>
              <w:left w:val="single" w:color="auto" w:sz="12" w:space="0"/>
            </w:tcBorders>
          </w:tcPr>
          <w:p w:rsidR="003B0815" w:rsidRDefault="003B0815" w14:paraId="3867F642" w14:textId="77777777">
            <w:pPr>
              <w:keepNext/>
              <w:jc w:val="center"/>
              <w:rPr>
                <w:rFonts w:ascii="Arial" w:hAnsi="Arial"/>
                <w:sz w:val="20"/>
                <w:szCs w:val="20"/>
              </w:rPr>
            </w:pPr>
            <w:r>
              <w:t>2010</w:t>
            </w:r>
          </w:p>
        </w:tc>
        <w:tc>
          <w:tcPr>
            <w:tcW w:w="1440" w:type="dxa"/>
            <w:vAlign w:val="bottom"/>
          </w:tcPr>
          <w:p w:rsidR="003B0815" w:rsidRDefault="003B0815" w14:paraId="075F22B6" w14:textId="77777777">
            <w:pPr>
              <w:keepNext/>
              <w:jc w:val="center"/>
              <w:rPr>
                <w:rFonts w:ascii="Arial" w:hAnsi="Arial"/>
                <w:sz w:val="20"/>
                <w:szCs w:val="20"/>
              </w:rPr>
            </w:pPr>
            <w:r>
              <w:rPr>
                <w:rFonts w:ascii="Arial" w:hAnsi="Arial" w:cs="Arial"/>
                <w:sz w:val="20"/>
                <w:szCs w:val="20"/>
              </w:rPr>
              <w:t xml:space="preserve">5.7 </w:t>
            </w:r>
          </w:p>
        </w:tc>
        <w:tc>
          <w:tcPr>
            <w:tcW w:w="1142" w:type="dxa"/>
            <w:vAlign w:val="bottom"/>
          </w:tcPr>
          <w:p w:rsidR="003B0815" w:rsidRDefault="003B0815" w14:paraId="67C366B3" w14:textId="77777777">
            <w:pPr>
              <w:keepNext/>
              <w:jc w:val="center"/>
              <w:rPr>
                <w:rFonts w:ascii="Arial" w:hAnsi="Arial"/>
                <w:sz w:val="20"/>
                <w:szCs w:val="20"/>
              </w:rPr>
            </w:pPr>
            <w:r>
              <w:rPr>
                <w:rFonts w:ascii="Arial" w:hAnsi="Arial" w:cs="Arial"/>
                <w:sz w:val="20"/>
                <w:szCs w:val="20"/>
              </w:rPr>
              <w:t>40,000</w:t>
            </w:r>
          </w:p>
        </w:tc>
        <w:tc>
          <w:tcPr>
            <w:tcW w:w="1080" w:type="dxa"/>
            <w:vAlign w:val="bottom"/>
          </w:tcPr>
          <w:p w:rsidR="003B0815" w:rsidRDefault="003B0815" w14:paraId="4E47BEE9" w14:textId="77777777">
            <w:pPr>
              <w:keepNext/>
              <w:jc w:val="center"/>
              <w:rPr>
                <w:rFonts w:ascii="Arial" w:hAnsi="Arial"/>
                <w:sz w:val="20"/>
                <w:szCs w:val="20"/>
              </w:rPr>
            </w:pPr>
            <w:r>
              <w:rPr>
                <w:rFonts w:ascii="Arial" w:hAnsi="Arial" w:cs="Arial"/>
                <w:sz w:val="20"/>
                <w:szCs w:val="20"/>
              </w:rPr>
              <w:t>32,000</w:t>
            </w:r>
          </w:p>
        </w:tc>
        <w:tc>
          <w:tcPr>
            <w:tcW w:w="1080" w:type="dxa"/>
            <w:vAlign w:val="bottom"/>
          </w:tcPr>
          <w:p w:rsidR="003B0815" w:rsidRDefault="003B0815" w14:paraId="3173E157" w14:textId="77777777">
            <w:pPr>
              <w:keepNext/>
              <w:jc w:val="center"/>
              <w:rPr>
                <w:rFonts w:ascii="Arial" w:hAnsi="Arial"/>
                <w:sz w:val="20"/>
                <w:szCs w:val="20"/>
              </w:rPr>
            </w:pPr>
            <w:r>
              <w:rPr>
                <w:rFonts w:ascii="Arial" w:hAnsi="Arial" w:cs="Arial"/>
                <w:sz w:val="20"/>
                <w:szCs w:val="20"/>
              </w:rPr>
              <w:t>48,000</w:t>
            </w:r>
          </w:p>
        </w:tc>
        <w:tc>
          <w:tcPr>
            <w:tcW w:w="900" w:type="dxa"/>
            <w:vAlign w:val="bottom"/>
          </w:tcPr>
          <w:p w:rsidR="003B0815" w:rsidRDefault="003B0815" w14:paraId="45988146"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6A43CE4" w14:textId="77777777">
            <w:pPr>
              <w:keepNext/>
              <w:jc w:val="right"/>
              <w:rPr>
                <w:rFonts w:ascii="Arial" w:hAnsi="Arial"/>
                <w:b/>
                <w:sz w:val="20"/>
                <w:szCs w:val="20"/>
              </w:rPr>
            </w:pPr>
            <w:r>
              <w:rPr>
                <w:rFonts w:ascii="Arial" w:hAnsi="Arial" w:cs="Arial"/>
                <w:b/>
                <w:bCs/>
                <w:sz w:val="20"/>
                <w:szCs w:val="20"/>
              </w:rPr>
              <w:t>0.8</w:t>
            </w:r>
          </w:p>
        </w:tc>
        <w:tc>
          <w:tcPr>
            <w:tcW w:w="1080" w:type="dxa"/>
            <w:shd w:val="clear" w:color="auto" w:fill="CCCCCC"/>
            <w:vAlign w:val="bottom"/>
          </w:tcPr>
          <w:p w:rsidR="003B0815" w:rsidRDefault="003B0815" w14:paraId="65C09DDD" w14:textId="77777777">
            <w:pPr>
              <w:keepNext/>
              <w:jc w:val="right"/>
              <w:rPr>
                <w:rFonts w:ascii="Arial" w:hAnsi="Arial"/>
                <w:b/>
                <w:sz w:val="20"/>
                <w:szCs w:val="20"/>
              </w:rPr>
            </w:pPr>
            <w:r>
              <w:rPr>
                <w:rFonts w:ascii="Arial" w:hAnsi="Arial" w:cs="Arial"/>
                <w:b/>
                <w:bCs/>
                <w:sz w:val="20"/>
                <w:szCs w:val="20"/>
              </w:rPr>
              <w:t>0.7</w:t>
            </w:r>
          </w:p>
        </w:tc>
        <w:tc>
          <w:tcPr>
            <w:tcW w:w="1065" w:type="dxa"/>
            <w:tcBorders>
              <w:right w:val="single" w:color="auto" w:sz="12" w:space="0"/>
            </w:tcBorders>
            <w:shd w:val="clear" w:color="auto" w:fill="CCCCCC"/>
            <w:vAlign w:val="bottom"/>
          </w:tcPr>
          <w:p w:rsidR="003B0815" w:rsidRDefault="003B0815" w14:paraId="2975197A" w14:textId="77777777">
            <w:pPr>
              <w:keepNext/>
              <w:jc w:val="right"/>
              <w:rPr>
                <w:rFonts w:ascii="Arial" w:hAnsi="Arial"/>
                <w:b/>
                <w:sz w:val="20"/>
                <w:szCs w:val="20"/>
              </w:rPr>
            </w:pPr>
            <w:r>
              <w:rPr>
                <w:rFonts w:ascii="Arial" w:hAnsi="Arial" w:cs="Arial"/>
                <w:b/>
                <w:bCs/>
                <w:sz w:val="20"/>
                <w:szCs w:val="20"/>
              </w:rPr>
              <w:t>1.0</w:t>
            </w:r>
          </w:p>
        </w:tc>
      </w:tr>
      <w:tr w:rsidR="003B0815" w14:paraId="573567B2" w14:textId="77777777">
        <w:trPr>
          <w:jc w:val="center"/>
        </w:trPr>
        <w:tc>
          <w:tcPr>
            <w:tcW w:w="720" w:type="dxa"/>
            <w:tcBorders>
              <w:left w:val="single" w:color="auto" w:sz="12" w:space="0"/>
            </w:tcBorders>
          </w:tcPr>
          <w:p w:rsidR="003B0815" w:rsidRDefault="003B0815" w14:paraId="3ACB7D77" w14:textId="77777777">
            <w:pPr>
              <w:keepNext/>
              <w:jc w:val="center"/>
              <w:rPr>
                <w:rFonts w:ascii="Arial" w:hAnsi="Arial"/>
                <w:sz w:val="20"/>
                <w:szCs w:val="20"/>
              </w:rPr>
            </w:pPr>
            <w:r>
              <w:t>2011</w:t>
            </w:r>
          </w:p>
        </w:tc>
        <w:tc>
          <w:tcPr>
            <w:tcW w:w="1440" w:type="dxa"/>
            <w:vAlign w:val="bottom"/>
          </w:tcPr>
          <w:p w:rsidR="003B0815" w:rsidRDefault="003B0815" w14:paraId="2B991320" w14:textId="77777777">
            <w:pPr>
              <w:keepNext/>
              <w:jc w:val="center"/>
              <w:rPr>
                <w:rFonts w:ascii="Arial" w:hAnsi="Arial"/>
                <w:sz w:val="20"/>
                <w:szCs w:val="20"/>
              </w:rPr>
            </w:pPr>
            <w:r>
              <w:rPr>
                <w:rFonts w:ascii="Arial" w:hAnsi="Arial" w:cs="Arial"/>
                <w:sz w:val="20"/>
                <w:szCs w:val="20"/>
              </w:rPr>
              <w:t xml:space="preserve">5.9 </w:t>
            </w:r>
          </w:p>
        </w:tc>
        <w:tc>
          <w:tcPr>
            <w:tcW w:w="1142" w:type="dxa"/>
            <w:vAlign w:val="bottom"/>
          </w:tcPr>
          <w:p w:rsidR="003B0815" w:rsidRDefault="003B0815" w14:paraId="2A7F84C0" w14:textId="77777777">
            <w:pPr>
              <w:keepNext/>
              <w:jc w:val="center"/>
              <w:rPr>
                <w:rFonts w:ascii="Arial" w:hAnsi="Arial"/>
                <w:sz w:val="20"/>
                <w:szCs w:val="20"/>
              </w:rPr>
            </w:pPr>
            <w:r>
              <w:rPr>
                <w:rFonts w:ascii="Arial" w:hAnsi="Arial" w:cs="Arial"/>
                <w:sz w:val="20"/>
                <w:szCs w:val="20"/>
              </w:rPr>
              <w:t>41,000</w:t>
            </w:r>
          </w:p>
        </w:tc>
        <w:tc>
          <w:tcPr>
            <w:tcW w:w="1080" w:type="dxa"/>
            <w:vAlign w:val="bottom"/>
          </w:tcPr>
          <w:p w:rsidR="003B0815" w:rsidRDefault="003B0815" w14:paraId="79147038" w14:textId="77777777">
            <w:pPr>
              <w:keepNext/>
              <w:jc w:val="center"/>
              <w:rPr>
                <w:rFonts w:ascii="Arial" w:hAnsi="Arial"/>
                <w:sz w:val="20"/>
                <w:szCs w:val="20"/>
              </w:rPr>
            </w:pPr>
            <w:r>
              <w:rPr>
                <w:rFonts w:ascii="Arial" w:hAnsi="Arial" w:cs="Arial"/>
                <w:sz w:val="20"/>
                <w:szCs w:val="20"/>
              </w:rPr>
              <w:t>33,000</w:t>
            </w:r>
          </w:p>
        </w:tc>
        <w:tc>
          <w:tcPr>
            <w:tcW w:w="1080" w:type="dxa"/>
            <w:vAlign w:val="bottom"/>
          </w:tcPr>
          <w:p w:rsidR="003B0815" w:rsidRDefault="003B0815" w14:paraId="20221692" w14:textId="77777777">
            <w:pPr>
              <w:keepNext/>
              <w:jc w:val="center"/>
              <w:rPr>
                <w:rFonts w:ascii="Arial" w:hAnsi="Arial"/>
                <w:sz w:val="20"/>
                <w:szCs w:val="20"/>
              </w:rPr>
            </w:pPr>
            <w:r>
              <w:rPr>
                <w:rFonts w:ascii="Arial" w:hAnsi="Arial" w:cs="Arial"/>
                <w:sz w:val="20"/>
                <w:szCs w:val="20"/>
              </w:rPr>
              <w:t>49,000</w:t>
            </w:r>
          </w:p>
        </w:tc>
        <w:tc>
          <w:tcPr>
            <w:tcW w:w="900" w:type="dxa"/>
            <w:vAlign w:val="bottom"/>
          </w:tcPr>
          <w:p w:rsidR="003B0815" w:rsidRDefault="003B0815" w14:paraId="56C8AD30"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6BA8F595" w14:textId="77777777">
            <w:pPr>
              <w:keepNext/>
              <w:jc w:val="right"/>
              <w:rPr>
                <w:rFonts w:ascii="Arial" w:hAnsi="Arial"/>
                <w:b/>
                <w:sz w:val="20"/>
                <w:szCs w:val="20"/>
              </w:rPr>
            </w:pPr>
            <w:r>
              <w:rPr>
                <w:rFonts w:ascii="Arial" w:hAnsi="Arial" w:cs="Arial"/>
                <w:b/>
                <w:bCs/>
                <w:sz w:val="20"/>
                <w:szCs w:val="20"/>
              </w:rPr>
              <w:t>0.9</w:t>
            </w:r>
          </w:p>
        </w:tc>
        <w:tc>
          <w:tcPr>
            <w:tcW w:w="1080" w:type="dxa"/>
            <w:shd w:val="clear" w:color="auto" w:fill="CCCCCC"/>
            <w:vAlign w:val="bottom"/>
          </w:tcPr>
          <w:p w:rsidR="003B0815" w:rsidRDefault="003B0815" w14:paraId="4BE24B97" w14:textId="77777777">
            <w:pPr>
              <w:keepNext/>
              <w:jc w:val="right"/>
              <w:rPr>
                <w:rFonts w:ascii="Arial" w:hAnsi="Arial"/>
                <w:b/>
                <w:sz w:val="20"/>
                <w:szCs w:val="20"/>
              </w:rPr>
            </w:pPr>
            <w:r>
              <w:rPr>
                <w:rFonts w:ascii="Arial" w:hAnsi="Arial" w:cs="Arial"/>
                <w:b/>
                <w:bCs/>
                <w:sz w:val="20"/>
                <w:szCs w:val="20"/>
              </w:rPr>
              <w:t>0.7</w:t>
            </w:r>
          </w:p>
        </w:tc>
        <w:tc>
          <w:tcPr>
            <w:tcW w:w="1065" w:type="dxa"/>
            <w:tcBorders>
              <w:right w:val="single" w:color="auto" w:sz="12" w:space="0"/>
            </w:tcBorders>
            <w:shd w:val="clear" w:color="auto" w:fill="CCCCCC"/>
            <w:vAlign w:val="bottom"/>
          </w:tcPr>
          <w:p w:rsidR="003B0815" w:rsidRDefault="003B0815" w14:paraId="437AC070" w14:textId="77777777">
            <w:pPr>
              <w:keepNext/>
              <w:jc w:val="right"/>
              <w:rPr>
                <w:rFonts w:ascii="Arial" w:hAnsi="Arial"/>
                <w:b/>
                <w:sz w:val="20"/>
                <w:szCs w:val="20"/>
              </w:rPr>
            </w:pPr>
            <w:r>
              <w:rPr>
                <w:rFonts w:ascii="Arial" w:hAnsi="Arial" w:cs="Arial"/>
                <w:b/>
                <w:bCs/>
                <w:sz w:val="20"/>
                <w:szCs w:val="20"/>
              </w:rPr>
              <w:t>1.0</w:t>
            </w:r>
          </w:p>
        </w:tc>
      </w:tr>
      <w:tr w:rsidR="003B0815" w14:paraId="61C712E4" w14:textId="77777777">
        <w:trPr>
          <w:jc w:val="center"/>
        </w:trPr>
        <w:tc>
          <w:tcPr>
            <w:tcW w:w="720" w:type="dxa"/>
            <w:tcBorders>
              <w:left w:val="single" w:color="auto" w:sz="12" w:space="0"/>
            </w:tcBorders>
          </w:tcPr>
          <w:p w:rsidR="003B0815" w:rsidRDefault="003B0815" w14:paraId="36D7FDCB" w14:textId="77777777">
            <w:pPr>
              <w:keepNext/>
              <w:jc w:val="center"/>
              <w:rPr>
                <w:rFonts w:ascii="Arial" w:hAnsi="Arial"/>
                <w:sz w:val="20"/>
                <w:szCs w:val="20"/>
              </w:rPr>
            </w:pPr>
            <w:r>
              <w:t>2012</w:t>
            </w:r>
          </w:p>
        </w:tc>
        <w:tc>
          <w:tcPr>
            <w:tcW w:w="1440" w:type="dxa"/>
            <w:vAlign w:val="bottom"/>
          </w:tcPr>
          <w:p w:rsidR="003B0815" w:rsidRDefault="003B0815" w14:paraId="17301E54" w14:textId="77777777">
            <w:pPr>
              <w:keepNext/>
              <w:jc w:val="center"/>
              <w:rPr>
                <w:rFonts w:ascii="Arial" w:hAnsi="Arial"/>
                <w:sz w:val="20"/>
                <w:szCs w:val="20"/>
              </w:rPr>
            </w:pPr>
            <w:r>
              <w:rPr>
                <w:rFonts w:ascii="Arial" w:hAnsi="Arial" w:cs="Arial"/>
                <w:sz w:val="20"/>
                <w:szCs w:val="20"/>
              </w:rPr>
              <w:t xml:space="preserve">6.2 </w:t>
            </w:r>
          </w:p>
        </w:tc>
        <w:tc>
          <w:tcPr>
            <w:tcW w:w="1142" w:type="dxa"/>
            <w:vAlign w:val="bottom"/>
          </w:tcPr>
          <w:p w:rsidR="003B0815" w:rsidRDefault="003B0815" w14:paraId="2C083E3B" w14:textId="77777777">
            <w:pPr>
              <w:keepNext/>
              <w:jc w:val="center"/>
              <w:rPr>
                <w:rFonts w:ascii="Arial" w:hAnsi="Arial"/>
                <w:sz w:val="20"/>
                <w:szCs w:val="20"/>
              </w:rPr>
            </w:pPr>
            <w:r>
              <w:rPr>
                <w:rFonts w:ascii="Arial" w:hAnsi="Arial" w:cs="Arial"/>
                <w:sz w:val="20"/>
                <w:szCs w:val="20"/>
              </w:rPr>
              <w:t>43,000</w:t>
            </w:r>
          </w:p>
        </w:tc>
        <w:tc>
          <w:tcPr>
            <w:tcW w:w="1080" w:type="dxa"/>
            <w:vAlign w:val="bottom"/>
          </w:tcPr>
          <w:p w:rsidR="003B0815" w:rsidRDefault="003B0815" w14:paraId="53481C5F" w14:textId="77777777">
            <w:pPr>
              <w:keepNext/>
              <w:jc w:val="center"/>
              <w:rPr>
                <w:rFonts w:ascii="Arial" w:hAnsi="Arial"/>
                <w:sz w:val="20"/>
                <w:szCs w:val="20"/>
              </w:rPr>
            </w:pPr>
            <w:r>
              <w:rPr>
                <w:rFonts w:ascii="Arial" w:hAnsi="Arial" w:cs="Arial"/>
                <w:sz w:val="20"/>
                <w:szCs w:val="20"/>
              </w:rPr>
              <w:t>34,000</w:t>
            </w:r>
          </w:p>
        </w:tc>
        <w:tc>
          <w:tcPr>
            <w:tcW w:w="1080" w:type="dxa"/>
            <w:vAlign w:val="bottom"/>
          </w:tcPr>
          <w:p w:rsidR="003B0815" w:rsidRDefault="003B0815" w14:paraId="10755888" w14:textId="77777777">
            <w:pPr>
              <w:keepNext/>
              <w:jc w:val="center"/>
              <w:rPr>
                <w:rFonts w:ascii="Arial" w:hAnsi="Arial"/>
                <w:sz w:val="20"/>
                <w:szCs w:val="20"/>
              </w:rPr>
            </w:pPr>
            <w:r>
              <w:rPr>
                <w:rFonts w:ascii="Arial" w:hAnsi="Arial" w:cs="Arial"/>
                <w:sz w:val="20"/>
                <w:szCs w:val="20"/>
              </w:rPr>
              <w:t>52,000</w:t>
            </w:r>
          </w:p>
        </w:tc>
        <w:tc>
          <w:tcPr>
            <w:tcW w:w="900" w:type="dxa"/>
            <w:vAlign w:val="bottom"/>
          </w:tcPr>
          <w:p w:rsidR="003B0815" w:rsidRDefault="003B0815" w14:paraId="00D22217"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1872872D" w14:textId="77777777">
            <w:pPr>
              <w:keepNext/>
              <w:jc w:val="right"/>
              <w:rPr>
                <w:rFonts w:ascii="Arial" w:hAnsi="Arial"/>
                <w:b/>
                <w:sz w:val="20"/>
                <w:szCs w:val="20"/>
              </w:rPr>
            </w:pPr>
            <w:r>
              <w:rPr>
                <w:rFonts w:ascii="Arial" w:hAnsi="Arial" w:cs="Arial"/>
                <w:b/>
                <w:bCs/>
                <w:sz w:val="20"/>
                <w:szCs w:val="20"/>
              </w:rPr>
              <w:t>0.9</w:t>
            </w:r>
          </w:p>
        </w:tc>
        <w:tc>
          <w:tcPr>
            <w:tcW w:w="1080" w:type="dxa"/>
            <w:shd w:val="clear" w:color="auto" w:fill="CCCCCC"/>
            <w:vAlign w:val="bottom"/>
          </w:tcPr>
          <w:p w:rsidR="003B0815" w:rsidRDefault="003B0815" w14:paraId="7CB89360" w14:textId="77777777">
            <w:pPr>
              <w:keepNext/>
              <w:jc w:val="right"/>
              <w:rPr>
                <w:rFonts w:ascii="Arial" w:hAnsi="Arial"/>
                <w:b/>
                <w:sz w:val="20"/>
                <w:szCs w:val="20"/>
              </w:rPr>
            </w:pPr>
            <w:r>
              <w:rPr>
                <w:rFonts w:ascii="Arial" w:hAnsi="Arial" w:cs="Arial"/>
                <w:b/>
                <w:bCs/>
                <w:sz w:val="20"/>
                <w:szCs w:val="20"/>
              </w:rPr>
              <w:t>0.7</w:t>
            </w:r>
          </w:p>
        </w:tc>
        <w:tc>
          <w:tcPr>
            <w:tcW w:w="1065" w:type="dxa"/>
            <w:tcBorders>
              <w:right w:val="single" w:color="auto" w:sz="12" w:space="0"/>
            </w:tcBorders>
            <w:shd w:val="clear" w:color="auto" w:fill="CCCCCC"/>
            <w:vAlign w:val="bottom"/>
          </w:tcPr>
          <w:p w:rsidR="003B0815" w:rsidRDefault="003B0815" w14:paraId="4FFAC0E6" w14:textId="77777777">
            <w:pPr>
              <w:keepNext/>
              <w:jc w:val="right"/>
              <w:rPr>
                <w:rFonts w:ascii="Arial" w:hAnsi="Arial"/>
                <w:b/>
                <w:sz w:val="20"/>
                <w:szCs w:val="20"/>
              </w:rPr>
            </w:pPr>
            <w:r>
              <w:rPr>
                <w:rFonts w:ascii="Arial" w:hAnsi="Arial" w:cs="Arial"/>
                <w:b/>
                <w:bCs/>
                <w:sz w:val="20"/>
                <w:szCs w:val="20"/>
              </w:rPr>
              <w:t>1.1</w:t>
            </w:r>
          </w:p>
        </w:tc>
      </w:tr>
      <w:tr w:rsidR="003B0815" w14:paraId="03C74064" w14:textId="77777777">
        <w:trPr>
          <w:jc w:val="center"/>
        </w:trPr>
        <w:tc>
          <w:tcPr>
            <w:tcW w:w="720" w:type="dxa"/>
            <w:tcBorders>
              <w:left w:val="single" w:color="auto" w:sz="12" w:space="0"/>
            </w:tcBorders>
          </w:tcPr>
          <w:p w:rsidR="003B0815" w:rsidRDefault="003B0815" w14:paraId="2D2C9EC7" w14:textId="77777777">
            <w:pPr>
              <w:keepNext/>
              <w:jc w:val="center"/>
              <w:rPr>
                <w:rFonts w:ascii="Arial" w:hAnsi="Arial"/>
                <w:sz w:val="20"/>
                <w:szCs w:val="20"/>
              </w:rPr>
            </w:pPr>
            <w:r>
              <w:t>2013</w:t>
            </w:r>
          </w:p>
        </w:tc>
        <w:tc>
          <w:tcPr>
            <w:tcW w:w="1440" w:type="dxa"/>
            <w:vAlign w:val="bottom"/>
          </w:tcPr>
          <w:p w:rsidR="003B0815" w:rsidRDefault="003B0815" w14:paraId="23D40BFD" w14:textId="77777777">
            <w:pPr>
              <w:keepNext/>
              <w:jc w:val="center"/>
              <w:rPr>
                <w:rFonts w:ascii="Arial" w:hAnsi="Arial"/>
                <w:sz w:val="20"/>
                <w:szCs w:val="20"/>
              </w:rPr>
            </w:pPr>
            <w:r>
              <w:rPr>
                <w:rFonts w:ascii="Arial" w:hAnsi="Arial" w:cs="Arial"/>
                <w:sz w:val="20"/>
                <w:szCs w:val="20"/>
              </w:rPr>
              <w:t xml:space="preserve">6.6 </w:t>
            </w:r>
          </w:p>
        </w:tc>
        <w:tc>
          <w:tcPr>
            <w:tcW w:w="1142" w:type="dxa"/>
            <w:vAlign w:val="bottom"/>
          </w:tcPr>
          <w:p w:rsidR="003B0815" w:rsidRDefault="003B0815" w14:paraId="18DCBEA1" w14:textId="77777777">
            <w:pPr>
              <w:keepNext/>
              <w:jc w:val="center"/>
              <w:rPr>
                <w:rFonts w:ascii="Arial" w:hAnsi="Arial"/>
                <w:sz w:val="20"/>
                <w:szCs w:val="20"/>
              </w:rPr>
            </w:pPr>
            <w:r>
              <w:rPr>
                <w:rFonts w:ascii="Arial" w:hAnsi="Arial" w:cs="Arial"/>
                <w:sz w:val="20"/>
                <w:szCs w:val="20"/>
              </w:rPr>
              <w:t>46,000</w:t>
            </w:r>
          </w:p>
        </w:tc>
        <w:tc>
          <w:tcPr>
            <w:tcW w:w="1080" w:type="dxa"/>
            <w:vAlign w:val="bottom"/>
          </w:tcPr>
          <w:p w:rsidR="003B0815" w:rsidRDefault="003B0815" w14:paraId="6789F888" w14:textId="77777777">
            <w:pPr>
              <w:keepNext/>
              <w:jc w:val="center"/>
              <w:rPr>
                <w:rFonts w:ascii="Arial" w:hAnsi="Arial"/>
                <w:sz w:val="20"/>
                <w:szCs w:val="20"/>
              </w:rPr>
            </w:pPr>
            <w:r>
              <w:rPr>
                <w:rFonts w:ascii="Arial" w:hAnsi="Arial" w:cs="Arial"/>
                <w:sz w:val="20"/>
                <w:szCs w:val="20"/>
              </w:rPr>
              <w:t>37,000</w:t>
            </w:r>
          </w:p>
        </w:tc>
        <w:tc>
          <w:tcPr>
            <w:tcW w:w="1080" w:type="dxa"/>
            <w:vAlign w:val="bottom"/>
          </w:tcPr>
          <w:p w:rsidR="003B0815" w:rsidRDefault="003B0815" w14:paraId="331075A3" w14:textId="77777777">
            <w:pPr>
              <w:keepNext/>
              <w:jc w:val="center"/>
              <w:rPr>
                <w:rFonts w:ascii="Arial" w:hAnsi="Arial"/>
                <w:sz w:val="20"/>
                <w:szCs w:val="20"/>
              </w:rPr>
            </w:pPr>
            <w:r>
              <w:rPr>
                <w:rFonts w:ascii="Arial" w:hAnsi="Arial" w:cs="Arial"/>
                <w:sz w:val="20"/>
                <w:szCs w:val="20"/>
              </w:rPr>
              <w:t>55,000</w:t>
            </w:r>
          </w:p>
        </w:tc>
        <w:tc>
          <w:tcPr>
            <w:tcW w:w="900" w:type="dxa"/>
            <w:vAlign w:val="bottom"/>
          </w:tcPr>
          <w:p w:rsidR="003B0815" w:rsidRDefault="003B0815" w14:paraId="197DCE33"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A5C4828" w14:textId="77777777">
            <w:pPr>
              <w:keepNext/>
              <w:jc w:val="right"/>
              <w:rPr>
                <w:rFonts w:ascii="Arial" w:hAnsi="Arial"/>
                <w:b/>
                <w:sz w:val="20"/>
                <w:szCs w:val="20"/>
              </w:rPr>
            </w:pPr>
            <w:r>
              <w:rPr>
                <w:rFonts w:ascii="Arial" w:hAnsi="Arial" w:cs="Arial"/>
                <w:b/>
                <w:bCs/>
                <w:sz w:val="20"/>
                <w:szCs w:val="20"/>
              </w:rPr>
              <w:t>1.0</w:t>
            </w:r>
          </w:p>
        </w:tc>
        <w:tc>
          <w:tcPr>
            <w:tcW w:w="1080" w:type="dxa"/>
            <w:shd w:val="clear" w:color="auto" w:fill="CCCCCC"/>
            <w:vAlign w:val="bottom"/>
          </w:tcPr>
          <w:p w:rsidR="003B0815" w:rsidRDefault="003B0815" w14:paraId="1148E0E7" w14:textId="77777777">
            <w:pPr>
              <w:keepNext/>
              <w:jc w:val="right"/>
              <w:rPr>
                <w:rFonts w:ascii="Arial" w:hAnsi="Arial"/>
                <w:b/>
                <w:sz w:val="20"/>
                <w:szCs w:val="20"/>
              </w:rPr>
            </w:pPr>
            <w:r>
              <w:rPr>
                <w:rFonts w:ascii="Arial" w:hAnsi="Arial" w:cs="Arial"/>
                <w:b/>
                <w:bCs/>
                <w:sz w:val="20"/>
                <w:szCs w:val="20"/>
              </w:rPr>
              <w:t>0.8</w:t>
            </w:r>
          </w:p>
        </w:tc>
        <w:tc>
          <w:tcPr>
            <w:tcW w:w="1065" w:type="dxa"/>
            <w:tcBorders>
              <w:right w:val="single" w:color="auto" w:sz="12" w:space="0"/>
            </w:tcBorders>
            <w:shd w:val="clear" w:color="auto" w:fill="CCCCCC"/>
            <w:vAlign w:val="bottom"/>
          </w:tcPr>
          <w:p w:rsidR="003B0815" w:rsidRDefault="003B0815" w14:paraId="33E8C480" w14:textId="77777777">
            <w:pPr>
              <w:keepNext/>
              <w:jc w:val="right"/>
              <w:rPr>
                <w:rFonts w:ascii="Arial" w:hAnsi="Arial"/>
                <w:b/>
                <w:sz w:val="20"/>
                <w:szCs w:val="20"/>
              </w:rPr>
            </w:pPr>
            <w:r>
              <w:rPr>
                <w:rFonts w:ascii="Arial" w:hAnsi="Arial" w:cs="Arial"/>
                <w:b/>
                <w:bCs/>
                <w:sz w:val="20"/>
                <w:szCs w:val="20"/>
              </w:rPr>
              <w:t>1.1</w:t>
            </w:r>
          </w:p>
        </w:tc>
      </w:tr>
      <w:tr w:rsidR="003B0815" w14:paraId="511E65DA" w14:textId="77777777">
        <w:trPr>
          <w:jc w:val="center"/>
        </w:trPr>
        <w:tc>
          <w:tcPr>
            <w:tcW w:w="720" w:type="dxa"/>
            <w:tcBorders>
              <w:left w:val="single" w:color="auto" w:sz="12" w:space="0"/>
            </w:tcBorders>
          </w:tcPr>
          <w:p w:rsidR="003B0815" w:rsidRDefault="003B0815" w14:paraId="0DFDE04C" w14:textId="77777777">
            <w:pPr>
              <w:keepNext/>
              <w:jc w:val="center"/>
              <w:rPr>
                <w:rFonts w:ascii="Arial" w:hAnsi="Arial"/>
                <w:sz w:val="20"/>
                <w:szCs w:val="20"/>
              </w:rPr>
            </w:pPr>
            <w:r>
              <w:t>2014</w:t>
            </w:r>
          </w:p>
        </w:tc>
        <w:tc>
          <w:tcPr>
            <w:tcW w:w="1440" w:type="dxa"/>
            <w:vAlign w:val="bottom"/>
          </w:tcPr>
          <w:p w:rsidR="003B0815" w:rsidRDefault="003B0815" w14:paraId="5F927E47" w14:textId="77777777">
            <w:pPr>
              <w:keepNext/>
              <w:jc w:val="center"/>
              <w:rPr>
                <w:rFonts w:ascii="Arial" w:hAnsi="Arial"/>
                <w:sz w:val="20"/>
                <w:szCs w:val="20"/>
              </w:rPr>
            </w:pPr>
            <w:r>
              <w:rPr>
                <w:rFonts w:ascii="Arial" w:hAnsi="Arial" w:cs="Arial"/>
                <w:sz w:val="20"/>
                <w:szCs w:val="20"/>
              </w:rPr>
              <w:t xml:space="preserve">6.9 </w:t>
            </w:r>
          </w:p>
        </w:tc>
        <w:tc>
          <w:tcPr>
            <w:tcW w:w="1142" w:type="dxa"/>
            <w:vAlign w:val="bottom"/>
          </w:tcPr>
          <w:p w:rsidR="003B0815" w:rsidRDefault="003B0815" w14:paraId="12034C40" w14:textId="77777777">
            <w:pPr>
              <w:keepNext/>
              <w:jc w:val="center"/>
              <w:rPr>
                <w:rFonts w:ascii="Arial" w:hAnsi="Arial"/>
                <w:sz w:val="20"/>
                <w:szCs w:val="20"/>
              </w:rPr>
            </w:pPr>
            <w:r>
              <w:rPr>
                <w:rFonts w:ascii="Arial" w:hAnsi="Arial" w:cs="Arial"/>
                <w:sz w:val="20"/>
                <w:szCs w:val="20"/>
              </w:rPr>
              <w:t>48,000</w:t>
            </w:r>
          </w:p>
        </w:tc>
        <w:tc>
          <w:tcPr>
            <w:tcW w:w="1080" w:type="dxa"/>
            <w:vAlign w:val="bottom"/>
          </w:tcPr>
          <w:p w:rsidR="003B0815" w:rsidRDefault="003B0815" w14:paraId="239100A7" w14:textId="77777777">
            <w:pPr>
              <w:keepNext/>
              <w:jc w:val="center"/>
              <w:rPr>
                <w:rFonts w:ascii="Arial" w:hAnsi="Arial"/>
                <w:sz w:val="20"/>
                <w:szCs w:val="20"/>
              </w:rPr>
            </w:pPr>
            <w:r>
              <w:rPr>
                <w:rFonts w:ascii="Arial" w:hAnsi="Arial" w:cs="Arial"/>
                <w:sz w:val="20"/>
                <w:szCs w:val="20"/>
              </w:rPr>
              <w:t>38,000</w:t>
            </w:r>
          </w:p>
        </w:tc>
        <w:tc>
          <w:tcPr>
            <w:tcW w:w="1080" w:type="dxa"/>
            <w:vAlign w:val="bottom"/>
          </w:tcPr>
          <w:p w:rsidR="003B0815" w:rsidRDefault="003B0815" w14:paraId="0CD2D280" w14:textId="77777777">
            <w:pPr>
              <w:keepNext/>
              <w:jc w:val="center"/>
              <w:rPr>
                <w:rFonts w:ascii="Arial" w:hAnsi="Arial"/>
                <w:sz w:val="20"/>
                <w:szCs w:val="20"/>
              </w:rPr>
            </w:pPr>
            <w:r>
              <w:rPr>
                <w:rFonts w:ascii="Arial" w:hAnsi="Arial" w:cs="Arial"/>
                <w:sz w:val="20"/>
                <w:szCs w:val="20"/>
              </w:rPr>
              <w:t>58,000</w:t>
            </w:r>
          </w:p>
        </w:tc>
        <w:tc>
          <w:tcPr>
            <w:tcW w:w="900" w:type="dxa"/>
            <w:vAlign w:val="bottom"/>
          </w:tcPr>
          <w:p w:rsidR="003B0815" w:rsidRDefault="003B0815" w14:paraId="0EE22516"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14B57365" w14:textId="77777777">
            <w:pPr>
              <w:keepNext/>
              <w:jc w:val="right"/>
              <w:rPr>
                <w:rFonts w:ascii="Arial" w:hAnsi="Arial"/>
                <w:b/>
                <w:sz w:val="20"/>
                <w:szCs w:val="20"/>
              </w:rPr>
            </w:pPr>
            <w:r>
              <w:rPr>
                <w:rFonts w:ascii="Arial" w:hAnsi="Arial" w:cs="Arial"/>
                <w:b/>
                <w:bCs/>
                <w:sz w:val="20"/>
                <w:szCs w:val="20"/>
              </w:rPr>
              <w:t>1.0</w:t>
            </w:r>
          </w:p>
        </w:tc>
        <w:tc>
          <w:tcPr>
            <w:tcW w:w="1080" w:type="dxa"/>
            <w:shd w:val="clear" w:color="auto" w:fill="CCCCCC"/>
            <w:vAlign w:val="bottom"/>
          </w:tcPr>
          <w:p w:rsidR="003B0815" w:rsidRDefault="003B0815" w14:paraId="1018983A" w14:textId="77777777">
            <w:pPr>
              <w:keepNext/>
              <w:jc w:val="right"/>
              <w:rPr>
                <w:rFonts w:ascii="Arial" w:hAnsi="Arial"/>
                <w:b/>
                <w:sz w:val="20"/>
                <w:szCs w:val="20"/>
              </w:rPr>
            </w:pPr>
            <w:r>
              <w:rPr>
                <w:rFonts w:ascii="Arial" w:hAnsi="Arial" w:cs="Arial"/>
                <w:b/>
                <w:bCs/>
                <w:sz w:val="20"/>
                <w:szCs w:val="20"/>
              </w:rPr>
              <w:t>0.8</w:t>
            </w:r>
          </w:p>
        </w:tc>
        <w:tc>
          <w:tcPr>
            <w:tcW w:w="1065" w:type="dxa"/>
            <w:tcBorders>
              <w:right w:val="single" w:color="auto" w:sz="12" w:space="0"/>
            </w:tcBorders>
            <w:shd w:val="clear" w:color="auto" w:fill="CCCCCC"/>
            <w:vAlign w:val="bottom"/>
          </w:tcPr>
          <w:p w:rsidR="003B0815" w:rsidRDefault="003B0815" w14:paraId="1A9494D5" w14:textId="77777777">
            <w:pPr>
              <w:keepNext/>
              <w:jc w:val="right"/>
              <w:rPr>
                <w:rFonts w:ascii="Arial" w:hAnsi="Arial"/>
                <w:b/>
                <w:sz w:val="20"/>
                <w:szCs w:val="20"/>
              </w:rPr>
            </w:pPr>
            <w:r>
              <w:rPr>
                <w:rFonts w:ascii="Arial" w:hAnsi="Arial" w:cs="Arial"/>
                <w:b/>
                <w:bCs/>
                <w:sz w:val="20"/>
                <w:szCs w:val="20"/>
              </w:rPr>
              <w:t>1.2</w:t>
            </w:r>
          </w:p>
        </w:tc>
      </w:tr>
      <w:tr w:rsidR="003B0815" w14:paraId="2804BA2F" w14:textId="77777777">
        <w:trPr>
          <w:jc w:val="center"/>
        </w:trPr>
        <w:tc>
          <w:tcPr>
            <w:tcW w:w="720" w:type="dxa"/>
            <w:tcBorders>
              <w:left w:val="single" w:color="auto" w:sz="12" w:space="0"/>
            </w:tcBorders>
          </w:tcPr>
          <w:p w:rsidR="003B0815" w:rsidRDefault="003B0815" w14:paraId="1636380F" w14:textId="77777777">
            <w:pPr>
              <w:keepNext/>
              <w:jc w:val="center"/>
              <w:rPr>
                <w:rFonts w:ascii="Arial" w:hAnsi="Arial"/>
                <w:sz w:val="20"/>
                <w:szCs w:val="20"/>
              </w:rPr>
            </w:pPr>
            <w:r>
              <w:t>2015</w:t>
            </w:r>
          </w:p>
        </w:tc>
        <w:tc>
          <w:tcPr>
            <w:tcW w:w="1440" w:type="dxa"/>
            <w:vAlign w:val="bottom"/>
          </w:tcPr>
          <w:p w:rsidR="003B0815" w:rsidRDefault="003B0815" w14:paraId="39116573" w14:textId="77777777">
            <w:pPr>
              <w:keepNext/>
              <w:jc w:val="center"/>
              <w:rPr>
                <w:rFonts w:ascii="Arial" w:hAnsi="Arial"/>
                <w:sz w:val="20"/>
                <w:szCs w:val="20"/>
              </w:rPr>
            </w:pPr>
            <w:r>
              <w:rPr>
                <w:rFonts w:ascii="Arial" w:hAnsi="Arial" w:cs="Arial"/>
                <w:sz w:val="20"/>
                <w:szCs w:val="20"/>
              </w:rPr>
              <w:t xml:space="preserve">7.2 </w:t>
            </w:r>
          </w:p>
        </w:tc>
        <w:tc>
          <w:tcPr>
            <w:tcW w:w="1142" w:type="dxa"/>
            <w:vAlign w:val="bottom"/>
          </w:tcPr>
          <w:p w:rsidR="003B0815" w:rsidRDefault="003B0815" w14:paraId="6B6DC9FC" w14:textId="77777777">
            <w:pPr>
              <w:keepNext/>
              <w:jc w:val="center"/>
              <w:rPr>
                <w:rFonts w:ascii="Arial" w:hAnsi="Arial"/>
                <w:sz w:val="20"/>
                <w:szCs w:val="20"/>
              </w:rPr>
            </w:pPr>
            <w:r>
              <w:rPr>
                <w:rFonts w:ascii="Arial" w:hAnsi="Arial" w:cs="Arial"/>
                <w:sz w:val="20"/>
                <w:szCs w:val="20"/>
              </w:rPr>
              <w:t>50,000</w:t>
            </w:r>
          </w:p>
        </w:tc>
        <w:tc>
          <w:tcPr>
            <w:tcW w:w="1080" w:type="dxa"/>
            <w:vAlign w:val="bottom"/>
          </w:tcPr>
          <w:p w:rsidR="003B0815" w:rsidRDefault="003B0815" w14:paraId="6DEAC740" w14:textId="77777777">
            <w:pPr>
              <w:keepNext/>
              <w:jc w:val="center"/>
              <w:rPr>
                <w:rFonts w:ascii="Arial" w:hAnsi="Arial"/>
                <w:sz w:val="20"/>
                <w:szCs w:val="20"/>
              </w:rPr>
            </w:pPr>
            <w:r>
              <w:rPr>
                <w:rFonts w:ascii="Arial" w:hAnsi="Arial" w:cs="Arial"/>
                <w:sz w:val="20"/>
                <w:szCs w:val="20"/>
              </w:rPr>
              <w:t>40,000</w:t>
            </w:r>
          </w:p>
        </w:tc>
        <w:tc>
          <w:tcPr>
            <w:tcW w:w="1080" w:type="dxa"/>
            <w:vAlign w:val="bottom"/>
          </w:tcPr>
          <w:p w:rsidR="003B0815" w:rsidRDefault="003B0815" w14:paraId="62EAC215" w14:textId="77777777">
            <w:pPr>
              <w:keepNext/>
              <w:jc w:val="center"/>
              <w:rPr>
                <w:rFonts w:ascii="Arial" w:hAnsi="Arial"/>
                <w:sz w:val="20"/>
                <w:szCs w:val="20"/>
              </w:rPr>
            </w:pPr>
            <w:r>
              <w:rPr>
                <w:rFonts w:ascii="Arial" w:hAnsi="Arial" w:cs="Arial"/>
                <w:sz w:val="20"/>
                <w:szCs w:val="20"/>
              </w:rPr>
              <w:t>60,000</w:t>
            </w:r>
          </w:p>
        </w:tc>
        <w:tc>
          <w:tcPr>
            <w:tcW w:w="900" w:type="dxa"/>
            <w:vAlign w:val="bottom"/>
          </w:tcPr>
          <w:p w:rsidR="003B0815" w:rsidRDefault="003B0815" w14:paraId="632485C1"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B2C2D0F" w14:textId="77777777">
            <w:pPr>
              <w:keepNext/>
              <w:jc w:val="right"/>
              <w:rPr>
                <w:rFonts w:ascii="Arial" w:hAnsi="Arial"/>
                <w:b/>
                <w:sz w:val="20"/>
                <w:szCs w:val="20"/>
              </w:rPr>
            </w:pPr>
            <w:r>
              <w:rPr>
                <w:rFonts w:ascii="Arial" w:hAnsi="Arial" w:cs="Arial"/>
                <w:b/>
                <w:bCs/>
                <w:sz w:val="20"/>
                <w:szCs w:val="20"/>
              </w:rPr>
              <w:t>1.0</w:t>
            </w:r>
          </w:p>
        </w:tc>
        <w:tc>
          <w:tcPr>
            <w:tcW w:w="1080" w:type="dxa"/>
            <w:shd w:val="clear" w:color="auto" w:fill="CCCCCC"/>
            <w:vAlign w:val="bottom"/>
          </w:tcPr>
          <w:p w:rsidR="003B0815" w:rsidRDefault="003B0815" w14:paraId="38C95A29" w14:textId="77777777">
            <w:pPr>
              <w:keepNext/>
              <w:jc w:val="right"/>
              <w:rPr>
                <w:rFonts w:ascii="Arial" w:hAnsi="Arial"/>
                <w:b/>
                <w:sz w:val="20"/>
                <w:szCs w:val="20"/>
              </w:rPr>
            </w:pPr>
            <w:r>
              <w:rPr>
                <w:rFonts w:ascii="Arial" w:hAnsi="Arial" w:cs="Arial"/>
                <w:b/>
                <w:bCs/>
                <w:sz w:val="20"/>
                <w:szCs w:val="20"/>
              </w:rPr>
              <w:t>0.8</w:t>
            </w:r>
          </w:p>
        </w:tc>
        <w:tc>
          <w:tcPr>
            <w:tcW w:w="1065" w:type="dxa"/>
            <w:tcBorders>
              <w:right w:val="single" w:color="auto" w:sz="12" w:space="0"/>
            </w:tcBorders>
            <w:shd w:val="clear" w:color="auto" w:fill="CCCCCC"/>
            <w:vAlign w:val="bottom"/>
          </w:tcPr>
          <w:p w:rsidR="003B0815" w:rsidRDefault="003B0815" w14:paraId="1F94BC33" w14:textId="77777777">
            <w:pPr>
              <w:keepNext/>
              <w:jc w:val="right"/>
              <w:rPr>
                <w:rFonts w:ascii="Arial" w:hAnsi="Arial"/>
                <w:b/>
                <w:sz w:val="20"/>
                <w:szCs w:val="20"/>
              </w:rPr>
            </w:pPr>
            <w:r>
              <w:rPr>
                <w:rFonts w:ascii="Arial" w:hAnsi="Arial" w:cs="Arial"/>
                <w:b/>
                <w:bCs/>
                <w:sz w:val="20"/>
                <w:szCs w:val="20"/>
              </w:rPr>
              <w:t>1.3</w:t>
            </w:r>
          </w:p>
        </w:tc>
      </w:tr>
      <w:tr w:rsidR="003B0815" w14:paraId="26701ACE" w14:textId="77777777">
        <w:trPr>
          <w:jc w:val="center"/>
        </w:trPr>
        <w:tc>
          <w:tcPr>
            <w:tcW w:w="720" w:type="dxa"/>
            <w:tcBorders>
              <w:left w:val="single" w:color="auto" w:sz="12" w:space="0"/>
            </w:tcBorders>
          </w:tcPr>
          <w:p w:rsidR="003B0815" w:rsidRDefault="003B0815" w14:paraId="586765C1" w14:textId="77777777">
            <w:pPr>
              <w:keepNext/>
              <w:jc w:val="center"/>
              <w:rPr>
                <w:rFonts w:ascii="Arial" w:hAnsi="Arial"/>
                <w:sz w:val="20"/>
                <w:szCs w:val="20"/>
              </w:rPr>
            </w:pPr>
            <w:r>
              <w:t>2016</w:t>
            </w:r>
          </w:p>
        </w:tc>
        <w:tc>
          <w:tcPr>
            <w:tcW w:w="1440" w:type="dxa"/>
            <w:vAlign w:val="bottom"/>
          </w:tcPr>
          <w:p w:rsidR="003B0815" w:rsidRDefault="003B0815" w14:paraId="11B77E4C" w14:textId="77777777">
            <w:pPr>
              <w:keepNext/>
              <w:jc w:val="center"/>
              <w:rPr>
                <w:rFonts w:ascii="Arial" w:hAnsi="Arial"/>
                <w:sz w:val="20"/>
                <w:szCs w:val="20"/>
              </w:rPr>
            </w:pPr>
            <w:r>
              <w:rPr>
                <w:rFonts w:ascii="Arial" w:hAnsi="Arial" w:cs="Arial"/>
                <w:sz w:val="20"/>
                <w:szCs w:val="20"/>
              </w:rPr>
              <w:t xml:space="preserve">7.6 </w:t>
            </w:r>
          </w:p>
        </w:tc>
        <w:tc>
          <w:tcPr>
            <w:tcW w:w="1142" w:type="dxa"/>
            <w:vAlign w:val="bottom"/>
          </w:tcPr>
          <w:p w:rsidR="003B0815" w:rsidRDefault="003B0815" w14:paraId="4774F3A3" w14:textId="77777777">
            <w:pPr>
              <w:keepNext/>
              <w:jc w:val="center"/>
              <w:rPr>
                <w:rFonts w:ascii="Arial" w:hAnsi="Arial"/>
                <w:sz w:val="20"/>
                <w:szCs w:val="20"/>
              </w:rPr>
            </w:pPr>
            <w:r>
              <w:rPr>
                <w:rFonts w:ascii="Arial" w:hAnsi="Arial" w:cs="Arial"/>
                <w:sz w:val="20"/>
                <w:szCs w:val="20"/>
              </w:rPr>
              <w:t>53,000</w:t>
            </w:r>
          </w:p>
        </w:tc>
        <w:tc>
          <w:tcPr>
            <w:tcW w:w="1080" w:type="dxa"/>
            <w:vAlign w:val="bottom"/>
          </w:tcPr>
          <w:p w:rsidR="003B0815" w:rsidRDefault="003B0815" w14:paraId="6CB39FBC" w14:textId="77777777">
            <w:pPr>
              <w:keepNext/>
              <w:jc w:val="center"/>
              <w:rPr>
                <w:rFonts w:ascii="Arial" w:hAnsi="Arial"/>
                <w:sz w:val="20"/>
                <w:szCs w:val="20"/>
              </w:rPr>
            </w:pPr>
            <w:r>
              <w:rPr>
                <w:rFonts w:ascii="Arial" w:hAnsi="Arial" w:cs="Arial"/>
                <w:sz w:val="20"/>
                <w:szCs w:val="20"/>
              </w:rPr>
              <w:t>42,000</w:t>
            </w:r>
          </w:p>
        </w:tc>
        <w:tc>
          <w:tcPr>
            <w:tcW w:w="1080" w:type="dxa"/>
            <w:vAlign w:val="bottom"/>
          </w:tcPr>
          <w:p w:rsidR="003B0815" w:rsidRDefault="003B0815" w14:paraId="4203E23D" w14:textId="77777777">
            <w:pPr>
              <w:keepNext/>
              <w:jc w:val="center"/>
              <w:rPr>
                <w:rFonts w:ascii="Arial" w:hAnsi="Arial"/>
                <w:sz w:val="20"/>
                <w:szCs w:val="20"/>
              </w:rPr>
            </w:pPr>
            <w:r>
              <w:rPr>
                <w:rFonts w:ascii="Arial" w:hAnsi="Arial" w:cs="Arial"/>
                <w:sz w:val="20"/>
                <w:szCs w:val="20"/>
              </w:rPr>
              <w:t>63,000</w:t>
            </w:r>
          </w:p>
        </w:tc>
        <w:tc>
          <w:tcPr>
            <w:tcW w:w="900" w:type="dxa"/>
            <w:vAlign w:val="bottom"/>
          </w:tcPr>
          <w:p w:rsidR="003B0815" w:rsidRDefault="003B0815" w14:paraId="2A0B0A37" w14:textId="77777777">
            <w:pPr>
              <w:keepNext/>
              <w:jc w:val="center"/>
              <w:rPr>
                <w:rFonts w:ascii="Arial" w:hAnsi="Arial"/>
                <w:sz w:val="20"/>
                <w:szCs w:val="20"/>
              </w:rPr>
            </w:pPr>
            <w:r>
              <w:rPr>
                <w:rFonts w:ascii="Arial" w:hAnsi="Arial" w:cs="Arial"/>
                <w:sz w:val="20"/>
                <w:szCs w:val="20"/>
              </w:rPr>
              <w:t>20.89</w:t>
            </w:r>
          </w:p>
        </w:tc>
        <w:tc>
          <w:tcPr>
            <w:tcW w:w="1049" w:type="dxa"/>
            <w:shd w:val="clear" w:color="auto" w:fill="CCCCCC"/>
            <w:vAlign w:val="bottom"/>
          </w:tcPr>
          <w:p w:rsidR="003B0815" w:rsidRDefault="003B0815" w14:paraId="0493A179" w14:textId="77777777">
            <w:pPr>
              <w:keepNext/>
              <w:jc w:val="right"/>
              <w:rPr>
                <w:rFonts w:ascii="Arial" w:hAnsi="Arial"/>
                <w:b/>
                <w:sz w:val="20"/>
                <w:szCs w:val="20"/>
              </w:rPr>
            </w:pPr>
            <w:r>
              <w:rPr>
                <w:rFonts w:ascii="Arial" w:hAnsi="Arial" w:cs="Arial"/>
                <w:b/>
                <w:bCs/>
                <w:sz w:val="20"/>
                <w:szCs w:val="20"/>
              </w:rPr>
              <w:t>1.1</w:t>
            </w:r>
          </w:p>
        </w:tc>
        <w:tc>
          <w:tcPr>
            <w:tcW w:w="1080" w:type="dxa"/>
            <w:shd w:val="clear" w:color="auto" w:fill="CCCCCC"/>
            <w:vAlign w:val="bottom"/>
          </w:tcPr>
          <w:p w:rsidR="003B0815" w:rsidRDefault="003B0815" w14:paraId="2EA648FE" w14:textId="77777777">
            <w:pPr>
              <w:keepNext/>
              <w:jc w:val="right"/>
              <w:rPr>
                <w:rFonts w:ascii="Arial" w:hAnsi="Arial"/>
                <w:b/>
                <w:sz w:val="20"/>
                <w:szCs w:val="20"/>
              </w:rPr>
            </w:pPr>
            <w:r>
              <w:rPr>
                <w:rFonts w:ascii="Arial" w:hAnsi="Arial" w:cs="Arial"/>
                <w:b/>
                <w:bCs/>
                <w:sz w:val="20"/>
                <w:szCs w:val="20"/>
              </w:rPr>
              <w:t>0.9</w:t>
            </w:r>
          </w:p>
        </w:tc>
        <w:tc>
          <w:tcPr>
            <w:tcW w:w="1065" w:type="dxa"/>
            <w:tcBorders>
              <w:right w:val="single" w:color="auto" w:sz="12" w:space="0"/>
            </w:tcBorders>
            <w:shd w:val="clear" w:color="auto" w:fill="CCCCCC"/>
            <w:vAlign w:val="bottom"/>
          </w:tcPr>
          <w:p w:rsidR="003B0815" w:rsidRDefault="003B0815" w14:paraId="3C4B0E4B" w14:textId="77777777">
            <w:pPr>
              <w:keepNext/>
              <w:jc w:val="right"/>
              <w:rPr>
                <w:rFonts w:ascii="Arial" w:hAnsi="Arial"/>
                <w:b/>
                <w:sz w:val="20"/>
                <w:szCs w:val="20"/>
              </w:rPr>
            </w:pPr>
            <w:r>
              <w:rPr>
                <w:rFonts w:ascii="Arial" w:hAnsi="Arial" w:cs="Arial"/>
                <w:b/>
                <w:bCs/>
                <w:sz w:val="20"/>
                <w:szCs w:val="20"/>
              </w:rPr>
              <w:t>1.3</w:t>
            </w:r>
          </w:p>
        </w:tc>
      </w:tr>
      <w:tr w:rsidR="003B0815" w14:paraId="3D90D55D" w14:textId="77777777">
        <w:trPr>
          <w:jc w:val="center"/>
        </w:trPr>
        <w:tc>
          <w:tcPr>
            <w:tcW w:w="720" w:type="dxa"/>
            <w:tcBorders>
              <w:left w:val="single" w:color="auto" w:sz="12" w:space="0"/>
              <w:bottom w:val="single" w:color="auto" w:sz="4" w:space="0"/>
            </w:tcBorders>
          </w:tcPr>
          <w:p w:rsidR="003B0815" w:rsidRDefault="003B0815" w14:paraId="35C11638" w14:textId="77777777">
            <w:pPr>
              <w:keepNext/>
              <w:jc w:val="center"/>
              <w:rPr>
                <w:rFonts w:ascii="Arial" w:hAnsi="Arial"/>
                <w:sz w:val="20"/>
                <w:szCs w:val="20"/>
              </w:rPr>
            </w:pPr>
            <w:r>
              <w:t>2017</w:t>
            </w:r>
          </w:p>
        </w:tc>
        <w:tc>
          <w:tcPr>
            <w:tcW w:w="1440" w:type="dxa"/>
            <w:tcBorders>
              <w:bottom w:val="single" w:color="auto" w:sz="4" w:space="0"/>
            </w:tcBorders>
            <w:vAlign w:val="bottom"/>
          </w:tcPr>
          <w:p w:rsidR="003B0815" w:rsidRDefault="003B0815" w14:paraId="4B7E43D3" w14:textId="77777777">
            <w:pPr>
              <w:keepNext/>
              <w:jc w:val="center"/>
              <w:rPr>
                <w:rFonts w:ascii="Arial" w:hAnsi="Arial"/>
                <w:sz w:val="20"/>
                <w:szCs w:val="20"/>
              </w:rPr>
            </w:pPr>
            <w:r>
              <w:rPr>
                <w:rFonts w:ascii="Arial" w:hAnsi="Arial" w:cs="Arial"/>
                <w:sz w:val="20"/>
                <w:szCs w:val="20"/>
              </w:rPr>
              <w:t xml:space="preserve">8.0 </w:t>
            </w:r>
          </w:p>
        </w:tc>
        <w:tc>
          <w:tcPr>
            <w:tcW w:w="1142" w:type="dxa"/>
            <w:tcBorders>
              <w:bottom w:val="single" w:color="auto" w:sz="4" w:space="0"/>
            </w:tcBorders>
            <w:vAlign w:val="bottom"/>
          </w:tcPr>
          <w:p w:rsidR="003B0815" w:rsidRDefault="003B0815" w14:paraId="45FCDB8E" w14:textId="77777777">
            <w:pPr>
              <w:keepNext/>
              <w:jc w:val="center"/>
              <w:rPr>
                <w:rFonts w:ascii="Arial" w:hAnsi="Arial"/>
                <w:sz w:val="20"/>
                <w:szCs w:val="20"/>
              </w:rPr>
            </w:pPr>
            <w:r>
              <w:rPr>
                <w:rFonts w:ascii="Arial" w:hAnsi="Arial" w:cs="Arial"/>
                <w:sz w:val="20"/>
                <w:szCs w:val="20"/>
              </w:rPr>
              <w:t>56,000</w:t>
            </w:r>
          </w:p>
        </w:tc>
        <w:tc>
          <w:tcPr>
            <w:tcW w:w="1080" w:type="dxa"/>
            <w:tcBorders>
              <w:bottom w:val="single" w:color="auto" w:sz="4" w:space="0"/>
            </w:tcBorders>
            <w:vAlign w:val="bottom"/>
          </w:tcPr>
          <w:p w:rsidR="003B0815" w:rsidRDefault="003B0815" w14:paraId="107FB1A1" w14:textId="77777777">
            <w:pPr>
              <w:keepNext/>
              <w:jc w:val="center"/>
              <w:rPr>
                <w:rFonts w:ascii="Arial" w:hAnsi="Arial"/>
                <w:sz w:val="20"/>
                <w:szCs w:val="20"/>
              </w:rPr>
            </w:pPr>
            <w:r>
              <w:rPr>
                <w:rFonts w:ascii="Arial" w:hAnsi="Arial" w:cs="Arial"/>
                <w:sz w:val="20"/>
                <w:szCs w:val="20"/>
              </w:rPr>
              <w:t>44,000</w:t>
            </w:r>
          </w:p>
        </w:tc>
        <w:tc>
          <w:tcPr>
            <w:tcW w:w="1080" w:type="dxa"/>
            <w:tcBorders>
              <w:bottom w:val="single" w:color="auto" w:sz="4" w:space="0"/>
            </w:tcBorders>
            <w:vAlign w:val="bottom"/>
          </w:tcPr>
          <w:p w:rsidR="003B0815" w:rsidRDefault="003B0815" w14:paraId="0DCE1534" w14:textId="77777777">
            <w:pPr>
              <w:keepNext/>
              <w:jc w:val="center"/>
              <w:rPr>
                <w:rFonts w:ascii="Arial" w:hAnsi="Arial"/>
                <w:sz w:val="20"/>
                <w:szCs w:val="20"/>
              </w:rPr>
            </w:pPr>
            <w:r>
              <w:rPr>
                <w:rFonts w:ascii="Arial" w:hAnsi="Arial" w:cs="Arial"/>
                <w:sz w:val="20"/>
                <w:szCs w:val="20"/>
              </w:rPr>
              <w:t>67,000</w:t>
            </w:r>
          </w:p>
        </w:tc>
        <w:tc>
          <w:tcPr>
            <w:tcW w:w="900" w:type="dxa"/>
            <w:tcBorders>
              <w:bottom w:val="single" w:color="auto" w:sz="4" w:space="0"/>
            </w:tcBorders>
            <w:vAlign w:val="bottom"/>
          </w:tcPr>
          <w:p w:rsidR="003B0815" w:rsidRDefault="003B0815" w14:paraId="361029B5" w14:textId="77777777">
            <w:pPr>
              <w:keepNext/>
              <w:jc w:val="center"/>
              <w:rPr>
                <w:rFonts w:ascii="Arial" w:hAnsi="Arial"/>
                <w:sz w:val="20"/>
                <w:szCs w:val="20"/>
              </w:rPr>
            </w:pPr>
            <w:r>
              <w:rPr>
                <w:rFonts w:ascii="Arial" w:hAnsi="Arial" w:cs="Arial"/>
                <w:sz w:val="20"/>
                <w:szCs w:val="20"/>
              </w:rPr>
              <w:t>$20.89</w:t>
            </w:r>
          </w:p>
        </w:tc>
        <w:tc>
          <w:tcPr>
            <w:tcW w:w="1049" w:type="dxa"/>
            <w:tcBorders>
              <w:bottom w:val="single" w:color="auto" w:sz="4" w:space="0"/>
            </w:tcBorders>
            <w:shd w:val="clear" w:color="auto" w:fill="CCCCCC"/>
            <w:vAlign w:val="bottom"/>
          </w:tcPr>
          <w:p w:rsidR="003B0815" w:rsidRDefault="003B0815" w14:paraId="251CD8FA" w14:textId="77777777">
            <w:pPr>
              <w:keepNext/>
              <w:jc w:val="right"/>
              <w:rPr>
                <w:rFonts w:ascii="Arial" w:hAnsi="Arial"/>
                <w:b/>
                <w:sz w:val="20"/>
                <w:szCs w:val="20"/>
              </w:rPr>
            </w:pPr>
            <w:r>
              <w:rPr>
                <w:rFonts w:ascii="Arial" w:hAnsi="Arial" w:cs="Arial"/>
                <w:b/>
                <w:bCs/>
                <w:sz w:val="20"/>
                <w:szCs w:val="20"/>
              </w:rPr>
              <w:t>$1.2</w:t>
            </w:r>
          </w:p>
        </w:tc>
        <w:tc>
          <w:tcPr>
            <w:tcW w:w="1080" w:type="dxa"/>
            <w:tcBorders>
              <w:bottom w:val="single" w:color="auto" w:sz="4" w:space="0"/>
            </w:tcBorders>
            <w:shd w:val="clear" w:color="auto" w:fill="CCCCCC"/>
            <w:vAlign w:val="bottom"/>
          </w:tcPr>
          <w:p w:rsidR="003B0815" w:rsidRDefault="003B0815" w14:paraId="5EBCA897" w14:textId="77777777">
            <w:pPr>
              <w:keepNext/>
              <w:jc w:val="right"/>
              <w:rPr>
                <w:rFonts w:ascii="Arial" w:hAnsi="Arial"/>
                <w:b/>
                <w:sz w:val="20"/>
                <w:szCs w:val="20"/>
              </w:rPr>
            </w:pPr>
            <w:r>
              <w:rPr>
                <w:rFonts w:ascii="Arial" w:hAnsi="Arial" w:cs="Arial"/>
                <w:b/>
                <w:bCs/>
                <w:sz w:val="20"/>
                <w:szCs w:val="20"/>
              </w:rPr>
              <w:t>$0.9</w:t>
            </w:r>
          </w:p>
        </w:tc>
        <w:tc>
          <w:tcPr>
            <w:tcW w:w="1065" w:type="dxa"/>
            <w:tcBorders>
              <w:bottom w:val="single" w:color="auto" w:sz="4" w:space="0"/>
              <w:right w:val="single" w:color="auto" w:sz="12" w:space="0"/>
            </w:tcBorders>
            <w:shd w:val="clear" w:color="auto" w:fill="CCCCCC"/>
            <w:vAlign w:val="bottom"/>
          </w:tcPr>
          <w:p w:rsidR="003B0815" w:rsidRDefault="003B0815" w14:paraId="069C846C" w14:textId="77777777">
            <w:pPr>
              <w:keepNext/>
              <w:jc w:val="right"/>
              <w:rPr>
                <w:rFonts w:ascii="Arial" w:hAnsi="Arial"/>
                <w:b/>
                <w:sz w:val="20"/>
                <w:szCs w:val="20"/>
              </w:rPr>
            </w:pPr>
            <w:r>
              <w:rPr>
                <w:rFonts w:ascii="Arial" w:hAnsi="Arial" w:cs="Arial"/>
                <w:b/>
                <w:bCs/>
                <w:sz w:val="20"/>
                <w:szCs w:val="20"/>
              </w:rPr>
              <w:t>$1.4</w:t>
            </w:r>
          </w:p>
        </w:tc>
      </w:tr>
      <w:tr w:rsidR="003B0815" w14:paraId="4FCAE57B" w14:textId="77777777">
        <w:trPr>
          <w:jc w:val="center"/>
        </w:trPr>
        <w:tc>
          <w:tcPr>
            <w:tcW w:w="720" w:type="dxa"/>
            <w:tcBorders>
              <w:left w:val="single" w:color="auto" w:sz="12" w:space="0"/>
              <w:bottom w:val="single" w:color="auto" w:sz="12" w:space="0"/>
              <w:right w:val="nil"/>
            </w:tcBorders>
            <w:vAlign w:val="bottom"/>
          </w:tcPr>
          <w:p w:rsidR="003B0815" w:rsidRDefault="003B0815" w14:paraId="7856181D" w14:textId="77777777">
            <w:pPr>
              <w:keepNext/>
              <w:jc w:val="center"/>
              <w:rPr>
                <w:rFonts w:ascii="Arial" w:hAnsi="Arial"/>
                <w:b/>
                <w:sz w:val="20"/>
                <w:szCs w:val="20"/>
              </w:rPr>
            </w:pPr>
            <w:r>
              <w:rPr>
                <w:rFonts w:ascii="Arial" w:hAnsi="Arial" w:cs="Arial"/>
                <w:b/>
                <w:bCs/>
                <w:sz w:val="20"/>
                <w:szCs w:val="20"/>
              </w:rPr>
              <w:t>Total</w:t>
            </w:r>
          </w:p>
        </w:tc>
        <w:tc>
          <w:tcPr>
            <w:tcW w:w="1440" w:type="dxa"/>
            <w:tcBorders>
              <w:left w:val="nil"/>
              <w:bottom w:val="single" w:color="auto" w:sz="12" w:space="0"/>
              <w:right w:val="nil"/>
            </w:tcBorders>
            <w:vAlign w:val="bottom"/>
          </w:tcPr>
          <w:p w:rsidR="003B0815" w:rsidRDefault="003B0815" w14:paraId="19E80DBE" w14:textId="77777777">
            <w:pPr>
              <w:keepNext/>
              <w:jc w:val="center"/>
              <w:rPr>
                <w:rFonts w:ascii="Arial" w:hAnsi="Arial"/>
                <w:b/>
                <w:sz w:val="20"/>
                <w:szCs w:val="20"/>
              </w:rPr>
            </w:pPr>
            <w:r>
              <w:rPr>
                <w:rFonts w:ascii="Arial" w:hAnsi="Arial" w:cs="Arial"/>
                <w:b/>
                <w:bCs/>
                <w:sz w:val="20"/>
                <w:szCs w:val="20"/>
              </w:rPr>
              <w:t> </w:t>
            </w:r>
          </w:p>
        </w:tc>
        <w:tc>
          <w:tcPr>
            <w:tcW w:w="1142" w:type="dxa"/>
            <w:tcBorders>
              <w:left w:val="nil"/>
              <w:bottom w:val="single" w:color="auto" w:sz="12" w:space="0"/>
              <w:right w:val="nil"/>
            </w:tcBorders>
            <w:vAlign w:val="bottom"/>
          </w:tcPr>
          <w:p w:rsidR="003B0815" w:rsidRDefault="003B0815" w14:paraId="7663F994" w14:textId="77777777">
            <w:pPr>
              <w:keepNext/>
              <w:jc w:val="center"/>
              <w:rPr>
                <w:rFonts w:ascii="Arial" w:hAnsi="Arial"/>
                <w:b/>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746A8E82" w14:textId="77777777">
            <w:pPr>
              <w:keepNext/>
              <w:jc w:val="center"/>
              <w:rPr>
                <w:rFonts w:ascii="Arial" w:hAnsi="Arial"/>
                <w:b/>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36EA1939" w14:textId="77777777">
            <w:pPr>
              <w:keepNext/>
              <w:jc w:val="center"/>
              <w:rPr>
                <w:rFonts w:ascii="Arial" w:hAnsi="Arial"/>
                <w:b/>
                <w:sz w:val="20"/>
                <w:szCs w:val="20"/>
              </w:rPr>
            </w:pPr>
            <w:r>
              <w:rPr>
                <w:rFonts w:ascii="Arial" w:hAnsi="Arial" w:cs="Arial"/>
                <w:b/>
                <w:bCs/>
                <w:sz w:val="20"/>
                <w:szCs w:val="20"/>
              </w:rPr>
              <w:t> </w:t>
            </w:r>
          </w:p>
        </w:tc>
        <w:tc>
          <w:tcPr>
            <w:tcW w:w="900" w:type="dxa"/>
            <w:tcBorders>
              <w:left w:val="nil"/>
              <w:bottom w:val="single" w:color="auto" w:sz="12" w:space="0"/>
              <w:right w:val="nil"/>
            </w:tcBorders>
            <w:vAlign w:val="bottom"/>
          </w:tcPr>
          <w:p w:rsidR="003B0815" w:rsidRDefault="003B0815" w14:paraId="4DD66D42" w14:textId="77777777">
            <w:pPr>
              <w:keepNext/>
              <w:jc w:val="center"/>
              <w:rPr>
                <w:rFonts w:ascii="Arial" w:hAnsi="Arial"/>
                <w:b/>
                <w:sz w:val="20"/>
                <w:szCs w:val="20"/>
              </w:rPr>
            </w:pPr>
            <w:r>
              <w:rPr>
                <w:rFonts w:ascii="Arial" w:hAnsi="Arial" w:cs="Arial"/>
                <w:b/>
                <w:bCs/>
                <w:sz w:val="20"/>
                <w:szCs w:val="20"/>
              </w:rPr>
              <w:t> </w:t>
            </w:r>
          </w:p>
        </w:tc>
        <w:tc>
          <w:tcPr>
            <w:tcW w:w="1049" w:type="dxa"/>
            <w:tcBorders>
              <w:left w:val="nil"/>
              <w:bottom w:val="single" w:color="auto" w:sz="12" w:space="0"/>
              <w:right w:val="nil"/>
            </w:tcBorders>
            <w:vAlign w:val="bottom"/>
          </w:tcPr>
          <w:p w:rsidR="003B0815" w:rsidRDefault="003B0815" w14:paraId="362A56BE" w14:textId="77777777">
            <w:pPr>
              <w:keepNext/>
              <w:jc w:val="right"/>
              <w:rPr>
                <w:rFonts w:ascii="Arial" w:hAnsi="Arial"/>
                <w:b/>
                <w:sz w:val="20"/>
                <w:szCs w:val="20"/>
              </w:rPr>
            </w:pPr>
            <w:r>
              <w:rPr>
                <w:rFonts w:ascii="Arial" w:hAnsi="Arial" w:cs="Arial"/>
                <w:b/>
                <w:bCs/>
                <w:sz w:val="20"/>
                <w:szCs w:val="20"/>
              </w:rPr>
              <w:t>$9.4</w:t>
            </w:r>
          </w:p>
        </w:tc>
        <w:tc>
          <w:tcPr>
            <w:tcW w:w="1080" w:type="dxa"/>
            <w:tcBorders>
              <w:left w:val="nil"/>
              <w:bottom w:val="single" w:color="auto" w:sz="12" w:space="0"/>
              <w:right w:val="nil"/>
            </w:tcBorders>
            <w:vAlign w:val="bottom"/>
          </w:tcPr>
          <w:p w:rsidR="003B0815" w:rsidRDefault="003B0815" w14:paraId="114E81BB" w14:textId="77777777">
            <w:pPr>
              <w:keepNext/>
              <w:jc w:val="right"/>
              <w:rPr>
                <w:rFonts w:ascii="Arial" w:hAnsi="Arial"/>
                <w:b/>
                <w:sz w:val="20"/>
                <w:szCs w:val="20"/>
              </w:rPr>
            </w:pPr>
            <w:r>
              <w:rPr>
                <w:rFonts w:ascii="Arial" w:hAnsi="Arial" w:cs="Arial"/>
                <w:b/>
                <w:bCs/>
                <w:sz w:val="20"/>
                <w:szCs w:val="20"/>
              </w:rPr>
              <w:t>$7.5</w:t>
            </w:r>
          </w:p>
        </w:tc>
        <w:tc>
          <w:tcPr>
            <w:tcW w:w="1065" w:type="dxa"/>
            <w:tcBorders>
              <w:left w:val="nil"/>
              <w:bottom w:val="single" w:color="auto" w:sz="12" w:space="0"/>
              <w:right w:val="single" w:color="auto" w:sz="12" w:space="0"/>
            </w:tcBorders>
            <w:vAlign w:val="bottom"/>
          </w:tcPr>
          <w:p w:rsidR="003B0815" w:rsidRDefault="003B0815" w14:paraId="0BD39A16" w14:textId="77777777">
            <w:pPr>
              <w:keepNext/>
              <w:jc w:val="right"/>
              <w:rPr>
                <w:rFonts w:ascii="Arial" w:hAnsi="Arial"/>
                <w:b/>
                <w:sz w:val="20"/>
                <w:szCs w:val="20"/>
              </w:rPr>
            </w:pPr>
            <w:r>
              <w:rPr>
                <w:rFonts w:ascii="Arial" w:hAnsi="Arial" w:cs="Arial"/>
                <w:b/>
                <w:bCs/>
                <w:sz w:val="20"/>
                <w:szCs w:val="20"/>
              </w:rPr>
              <w:t>$11.2</w:t>
            </w:r>
          </w:p>
        </w:tc>
      </w:tr>
    </w:tbl>
    <w:p w:rsidR="003B0815" w:rsidRDefault="003B0815" w14:paraId="35D26EF5" w14:textId="77777777">
      <w:pPr>
        <w:spacing w:line="360" w:lineRule="auto"/>
        <w:ind w:firstLine="720"/>
      </w:pPr>
    </w:p>
    <w:p w:rsidR="003B0815" w:rsidRDefault="003B0815" w14:paraId="64F78D96" w14:textId="77777777">
      <w:pPr>
        <w:spacing w:line="360" w:lineRule="auto"/>
        <w:ind w:firstLine="720"/>
      </w:pPr>
      <w:r>
        <w:t>As is the case with domestic passengers, TSA is unable to determine the burden on airline ticket counter agents due to changes in the proportion of and time to resolve inhibited passengers.  However, because international travel generally requires the presentation of a passport and more extensive baseline data, the marginal impact of collecting more data at the ticket counter is likely to be less of an impact than for domestic operations</w:t>
      </w:r>
    </w:p>
    <w:p w:rsidR="003B0815" w:rsidRDefault="003B0815" w14:paraId="07FF9281" w14:textId="77777777">
      <w:pPr>
        <w:keepNext/>
        <w:spacing w:line="360" w:lineRule="auto"/>
        <w:rPr>
          <w:b/>
        </w:rPr>
      </w:pPr>
      <w:r>
        <w:rPr>
          <w:b/>
        </w:rPr>
        <w:t>Airline Data Collection Cost Summary</w:t>
      </w:r>
    </w:p>
    <w:p w:rsidR="003B0815" w:rsidRDefault="003B0815" w14:paraId="72A41EA0" w14:textId="77777777">
      <w:pPr>
        <w:spacing w:line="360" w:lineRule="auto"/>
        <w:ind w:firstLine="720"/>
      </w:pPr>
      <w:r>
        <w:t>Combined, airlines incur $130.7 million over ten years to collect the additional information at the time of reservation in the primary scenario.  Table 1.6.3.d shows year-by-year estimates.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2"/>
        <w:gridCol w:w="1440"/>
        <w:gridCol w:w="1440"/>
        <w:gridCol w:w="1440"/>
        <w:gridCol w:w="1671"/>
      </w:tblGrid>
      <w:tr w:rsidR="003B0815" w14:paraId="1053B04C" w14:textId="77777777">
        <w:trPr>
          <w:cantSplit/>
          <w:jc w:val="center"/>
        </w:trPr>
        <w:tc>
          <w:tcPr>
            <w:tcW w:w="7663" w:type="dxa"/>
            <w:gridSpan w:val="5"/>
            <w:tcBorders>
              <w:top w:val="nil"/>
              <w:left w:val="nil"/>
              <w:bottom w:val="single" w:color="auto" w:sz="12" w:space="0"/>
              <w:right w:val="nil"/>
            </w:tcBorders>
          </w:tcPr>
          <w:p w:rsidR="003B0815" w:rsidRDefault="003B0815" w14:paraId="1D37D012" w14:textId="77777777">
            <w:pPr>
              <w:keepNext/>
              <w:jc w:val="center"/>
              <w:rPr>
                <w:rFonts w:ascii="Arial" w:hAnsi="Arial" w:cs="Arial"/>
                <w:b/>
                <w:sz w:val="20"/>
                <w:szCs w:val="20"/>
              </w:rPr>
            </w:pPr>
            <w:r>
              <w:rPr>
                <w:rFonts w:ascii="Arial" w:hAnsi="Arial" w:cs="Arial"/>
                <w:b/>
                <w:sz w:val="20"/>
                <w:szCs w:val="20"/>
              </w:rPr>
              <w:t>Table 1.6.3.d Total Marginal Cost for Airline Reservation Call Centers</w:t>
            </w:r>
          </w:p>
          <w:p w:rsidR="003B0815" w:rsidRDefault="003B0815" w14:paraId="01360468" w14:textId="77777777">
            <w:pPr>
              <w:keepNext/>
              <w:jc w:val="center"/>
              <w:rPr>
                <w:rFonts w:ascii="Arial" w:hAnsi="Arial" w:cs="Arial"/>
                <w:b/>
                <w:sz w:val="20"/>
                <w:szCs w:val="20"/>
              </w:rPr>
            </w:pPr>
            <w:r>
              <w:rPr>
                <w:rFonts w:ascii="Arial" w:hAnsi="Arial" w:cs="Arial"/>
                <w:b/>
                <w:sz w:val="20"/>
                <w:szCs w:val="20"/>
              </w:rPr>
              <w:t>(millions of constant 2005 $)</w:t>
            </w:r>
          </w:p>
        </w:tc>
      </w:tr>
      <w:tr w:rsidR="003B0815" w14:paraId="356ADDF9" w14:textId="77777777">
        <w:trPr>
          <w:cantSplit/>
          <w:jc w:val="center"/>
        </w:trPr>
        <w:tc>
          <w:tcPr>
            <w:tcW w:w="1672" w:type="dxa"/>
            <w:tcBorders>
              <w:top w:val="single" w:color="auto" w:sz="12" w:space="0"/>
              <w:left w:val="single" w:color="auto" w:sz="12" w:space="0"/>
            </w:tcBorders>
            <w:vAlign w:val="center"/>
          </w:tcPr>
          <w:p w:rsidR="003B0815" w:rsidRDefault="003B0815" w14:paraId="759F1505" w14:textId="77777777">
            <w:pPr>
              <w:keepNext/>
              <w:jc w:val="center"/>
              <w:rPr>
                <w:rFonts w:ascii="Arial" w:hAnsi="Arial" w:cs="Arial"/>
                <w:b/>
                <w:sz w:val="20"/>
                <w:szCs w:val="20"/>
              </w:rPr>
            </w:pPr>
            <w:r>
              <w:rPr>
                <w:rFonts w:ascii="Arial" w:hAnsi="Arial" w:cs="Arial"/>
                <w:b/>
                <w:sz w:val="20"/>
                <w:szCs w:val="20"/>
              </w:rPr>
              <w:t>Fiscal Year</w:t>
            </w:r>
          </w:p>
        </w:tc>
        <w:tc>
          <w:tcPr>
            <w:tcW w:w="1440" w:type="dxa"/>
            <w:tcBorders>
              <w:top w:val="single" w:color="auto" w:sz="12" w:space="0"/>
            </w:tcBorders>
            <w:vAlign w:val="center"/>
          </w:tcPr>
          <w:p w:rsidR="003B0815" w:rsidRDefault="003B0815" w14:paraId="72F65C1C" w14:textId="77777777">
            <w:pPr>
              <w:keepNext/>
              <w:jc w:val="center"/>
              <w:rPr>
                <w:rFonts w:ascii="Arial" w:hAnsi="Arial" w:cs="Arial"/>
                <w:b/>
                <w:sz w:val="20"/>
                <w:szCs w:val="20"/>
              </w:rPr>
            </w:pPr>
            <w:r>
              <w:rPr>
                <w:rFonts w:ascii="Arial" w:hAnsi="Arial" w:cs="Arial"/>
                <w:b/>
                <w:sz w:val="20"/>
                <w:szCs w:val="20"/>
              </w:rPr>
              <w:t>Domestic</w:t>
            </w:r>
          </w:p>
        </w:tc>
        <w:tc>
          <w:tcPr>
            <w:tcW w:w="1440" w:type="dxa"/>
            <w:tcBorders>
              <w:top w:val="single" w:color="auto" w:sz="12" w:space="0"/>
            </w:tcBorders>
            <w:vAlign w:val="center"/>
          </w:tcPr>
          <w:p w:rsidR="003B0815" w:rsidRDefault="003B0815" w14:paraId="703886FE" w14:textId="77777777">
            <w:pPr>
              <w:keepNext/>
              <w:jc w:val="center"/>
              <w:rPr>
                <w:rFonts w:ascii="Arial" w:hAnsi="Arial" w:cs="Arial"/>
                <w:b/>
                <w:sz w:val="20"/>
                <w:szCs w:val="20"/>
              </w:rPr>
            </w:pPr>
            <w:r>
              <w:rPr>
                <w:rFonts w:ascii="Arial" w:hAnsi="Arial" w:cs="Arial"/>
                <w:b/>
                <w:sz w:val="20"/>
                <w:szCs w:val="20"/>
              </w:rPr>
              <w:t>International</w:t>
            </w:r>
          </w:p>
        </w:tc>
        <w:tc>
          <w:tcPr>
            <w:tcW w:w="1440" w:type="dxa"/>
            <w:tcBorders>
              <w:top w:val="single" w:color="auto" w:sz="12" w:space="0"/>
            </w:tcBorders>
            <w:vAlign w:val="center"/>
          </w:tcPr>
          <w:p w:rsidR="003B0815" w:rsidRDefault="003B0815" w14:paraId="439FC2F9" w14:textId="77777777">
            <w:pPr>
              <w:keepNext/>
              <w:jc w:val="center"/>
              <w:rPr>
                <w:rFonts w:ascii="Arial" w:hAnsi="Arial" w:cs="Arial"/>
                <w:b/>
                <w:sz w:val="20"/>
                <w:szCs w:val="20"/>
              </w:rPr>
            </w:pPr>
            <w:r>
              <w:rPr>
                <w:rFonts w:ascii="Arial" w:hAnsi="Arial" w:cs="Arial"/>
                <w:b/>
                <w:sz w:val="20"/>
                <w:szCs w:val="20"/>
              </w:rPr>
              <w:t>Overflight</w:t>
            </w:r>
          </w:p>
        </w:tc>
        <w:tc>
          <w:tcPr>
            <w:tcW w:w="1671" w:type="dxa"/>
            <w:tcBorders>
              <w:top w:val="single" w:color="auto" w:sz="12" w:space="0"/>
              <w:bottom w:val="single" w:color="auto" w:sz="4" w:space="0"/>
              <w:right w:val="single" w:color="auto" w:sz="12" w:space="0"/>
            </w:tcBorders>
            <w:vAlign w:val="center"/>
          </w:tcPr>
          <w:p w:rsidR="003B0815" w:rsidRDefault="003B0815" w14:paraId="6307984E" w14:textId="77777777">
            <w:pPr>
              <w:keepNext/>
              <w:jc w:val="center"/>
              <w:rPr>
                <w:rFonts w:ascii="Arial" w:hAnsi="Arial" w:cs="Arial"/>
                <w:b/>
                <w:sz w:val="20"/>
                <w:szCs w:val="20"/>
              </w:rPr>
            </w:pPr>
            <w:r>
              <w:rPr>
                <w:rFonts w:ascii="Arial" w:hAnsi="Arial" w:cs="Arial"/>
                <w:b/>
                <w:sz w:val="20"/>
                <w:szCs w:val="20"/>
              </w:rPr>
              <w:t>Total</w:t>
            </w:r>
          </w:p>
        </w:tc>
      </w:tr>
      <w:tr w:rsidR="003B0815" w14:paraId="3D7807F2" w14:textId="77777777">
        <w:trPr>
          <w:cantSplit/>
          <w:jc w:val="center"/>
        </w:trPr>
        <w:tc>
          <w:tcPr>
            <w:tcW w:w="1672" w:type="dxa"/>
            <w:tcBorders>
              <w:left w:val="single" w:color="auto" w:sz="12" w:space="0"/>
            </w:tcBorders>
          </w:tcPr>
          <w:p w:rsidR="003B0815" w:rsidRDefault="003B0815" w14:paraId="5FD27A0A" w14:textId="77777777">
            <w:pPr>
              <w:keepNext/>
              <w:jc w:val="center"/>
              <w:rPr>
                <w:rFonts w:ascii="Arial" w:hAnsi="Arial" w:cs="Arial"/>
                <w:sz w:val="20"/>
                <w:szCs w:val="20"/>
              </w:rPr>
            </w:pPr>
            <w:r>
              <w:t>2008</w:t>
            </w:r>
          </w:p>
        </w:tc>
        <w:tc>
          <w:tcPr>
            <w:tcW w:w="1440" w:type="dxa"/>
          </w:tcPr>
          <w:p w:rsidR="003B0815" w:rsidRDefault="003B0815" w14:paraId="28A0B0A5" w14:textId="77777777">
            <w:pPr>
              <w:keepNext/>
              <w:jc w:val="center"/>
              <w:rPr>
                <w:rFonts w:ascii="Arial" w:hAnsi="Arial" w:cs="Arial"/>
                <w:sz w:val="20"/>
                <w:szCs w:val="20"/>
              </w:rPr>
            </w:pPr>
            <w:r>
              <w:rPr>
                <w:rFonts w:ascii="Arial" w:hAnsi="Arial" w:cs="Arial"/>
                <w:sz w:val="20"/>
                <w:szCs w:val="20"/>
              </w:rPr>
              <w:t xml:space="preserve">$8.4 </w:t>
            </w:r>
          </w:p>
        </w:tc>
        <w:tc>
          <w:tcPr>
            <w:tcW w:w="1440" w:type="dxa"/>
          </w:tcPr>
          <w:p w:rsidR="003B0815" w:rsidRDefault="003B0815" w14:paraId="37A569B5" w14:textId="77777777">
            <w:pPr>
              <w:keepNext/>
              <w:jc w:val="center"/>
              <w:rPr>
                <w:rFonts w:ascii="Arial" w:hAnsi="Arial" w:cs="Arial"/>
                <w:sz w:val="20"/>
                <w:szCs w:val="20"/>
              </w:rPr>
            </w:pPr>
            <w:r>
              <w:rPr>
                <w:rFonts w:ascii="Arial" w:hAnsi="Arial" w:cs="Arial"/>
                <w:sz w:val="20"/>
                <w:szCs w:val="20"/>
              </w:rPr>
              <w:t xml:space="preserve">$1.9 </w:t>
            </w:r>
          </w:p>
        </w:tc>
        <w:tc>
          <w:tcPr>
            <w:tcW w:w="1440" w:type="dxa"/>
          </w:tcPr>
          <w:p w:rsidR="003B0815" w:rsidRDefault="003B0815" w14:paraId="5FD50E55" w14:textId="77777777">
            <w:pPr>
              <w:keepNext/>
              <w:jc w:val="center"/>
              <w:rPr>
                <w:rFonts w:ascii="Arial" w:hAnsi="Arial" w:cs="Arial"/>
                <w:sz w:val="20"/>
                <w:szCs w:val="20"/>
              </w:rPr>
            </w:pPr>
            <w:r>
              <w:rPr>
                <w:rFonts w:ascii="Arial" w:hAnsi="Arial" w:cs="Arial"/>
                <w:sz w:val="20"/>
                <w:szCs w:val="20"/>
              </w:rPr>
              <w:t xml:space="preserve">$0.7 </w:t>
            </w:r>
          </w:p>
        </w:tc>
        <w:tc>
          <w:tcPr>
            <w:tcW w:w="1671" w:type="dxa"/>
            <w:tcBorders>
              <w:right w:val="single" w:color="auto" w:sz="12" w:space="0"/>
            </w:tcBorders>
            <w:shd w:val="clear" w:color="auto" w:fill="CCCCCC"/>
          </w:tcPr>
          <w:p w:rsidR="003B0815" w:rsidRDefault="003B0815" w14:paraId="0B93BAF5" w14:textId="77777777">
            <w:pPr>
              <w:keepNext/>
              <w:jc w:val="center"/>
              <w:rPr>
                <w:rFonts w:ascii="Arial" w:hAnsi="Arial" w:cs="Arial"/>
                <w:b/>
                <w:sz w:val="20"/>
                <w:szCs w:val="20"/>
              </w:rPr>
            </w:pPr>
            <w:r>
              <w:rPr>
                <w:rFonts w:ascii="Arial" w:hAnsi="Arial" w:cs="Arial"/>
                <w:b/>
                <w:bCs/>
                <w:sz w:val="20"/>
                <w:szCs w:val="20"/>
              </w:rPr>
              <w:t xml:space="preserve">$11.0 </w:t>
            </w:r>
          </w:p>
        </w:tc>
      </w:tr>
      <w:tr w:rsidR="003B0815" w14:paraId="68FC77E3" w14:textId="77777777">
        <w:trPr>
          <w:cantSplit/>
          <w:jc w:val="center"/>
        </w:trPr>
        <w:tc>
          <w:tcPr>
            <w:tcW w:w="1672" w:type="dxa"/>
            <w:tcBorders>
              <w:left w:val="single" w:color="auto" w:sz="12" w:space="0"/>
            </w:tcBorders>
          </w:tcPr>
          <w:p w:rsidR="003B0815" w:rsidRDefault="003B0815" w14:paraId="40D59892" w14:textId="77777777">
            <w:pPr>
              <w:keepNext/>
              <w:jc w:val="center"/>
              <w:rPr>
                <w:rFonts w:ascii="Arial" w:hAnsi="Arial" w:cs="Arial"/>
                <w:sz w:val="20"/>
                <w:szCs w:val="20"/>
              </w:rPr>
            </w:pPr>
            <w:r>
              <w:t>2009</w:t>
            </w:r>
          </w:p>
        </w:tc>
        <w:tc>
          <w:tcPr>
            <w:tcW w:w="1440" w:type="dxa"/>
          </w:tcPr>
          <w:p w:rsidR="003B0815" w:rsidRDefault="003B0815" w14:paraId="5D4AE1B8" w14:textId="77777777">
            <w:pPr>
              <w:keepNext/>
              <w:jc w:val="center"/>
              <w:rPr>
                <w:rFonts w:ascii="Arial" w:hAnsi="Arial" w:cs="Arial"/>
                <w:sz w:val="20"/>
                <w:szCs w:val="20"/>
              </w:rPr>
            </w:pPr>
            <w:r>
              <w:rPr>
                <w:rFonts w:ascii="Arial" w:hAnsi="Arial" w:cs="Arial"/>
                <w:sz w:val="20"/>
                <w:szCs w:val="20"/>
              </w:rPr>
              <w:t xml:space="preserve">8.7 </w:t>
            </w:r>
          </w:p>
        </w:tc>
        <w:tc>
          <w:tcPr>
            <w:tcW w:w="1440" w:type="dxa"/>
          </w:tcPr>
          <w:p w:rsidR="003B0815" w:rsidRDefault="003B0815" w14:paraId="1CC23107" w14:textId="77777777">
            <w:pPr>
              <w:keepNext/>
              <w:jc w:val="center"/>
              <w:rPr>
                <w:rFonts w:ascii="Arial" w:hAnsi="Arial" w:cs="Arial"/>
                <w:sz w:val="20"/>
                <w:szCs w:val="20"/>
              </w:rPr>
            </w:pPr>
            <w:r>
              <w:rPr>
                <w:rFonts w:ascii="Arial" w:hAnsi="Arial" w:cs="Arial"/>
                <w:sz w:val="20"/>
                <w:szCs w:val="20"/>
              </w:rPr>
              <w:t xml:space="preserve">2.0 </w:t>
            </w:r>
          </w:p>
        </w:tc>
        <w:tc>
          <w:tcPr>
            <w:tcW w:w="1440" w:type="dxa"/>
          </w:tcPr>
          <w:p w:rsidR="003B0815" w:rsidRDefault="003B0815" w14:paraId="60DFA392" w14:textId="77777777">
            <w:pPr>
              <w:keepNext/>
              <w:jc w:val="center"/>
              <w:rPr>
                <w:rFonts w:ascii="Arial" w:hAnsi="Arial" w:cs="Arial"/>
                <w:sz w:val="20"/>
                <w:szCs w:val="20"/>
              </w:rPr>
            </w:pPr>
            <w:r>
              <w:rPr>
                <w:rFonts w:ascii="Arial" w:hAnsi="Arial" w:cs="Arial"/>
                <w:sz w:val="20"/>
                <w:szCs w:val="20"/>
              </w:rPr>
              <w:t xml:space="preserve">0.8 </w:t>
            </w:r>
          </w:p>
        </w:tc>
        <w:tc>
          <w:tcPr>
            <w:tcW w:w="1671" w:type="dxa"/>
            <w:tcBorders>
              <w:right w:val="single" w:color="auto" w:sz="12" w:space="0"/>
            </w:tcBorders>
            <w:shd w:val="clear" w:color="auto" w:fill="CCCCCC"/>
          </w:tcPr>
          <w:p w:rsidR="003B0815" w:rsidRDefault="003B0815" w14:paraId="7E93038F" w14:textId="77777777">
            <w:pPr>
              <w:keepNext/>
              <w:jc w:val="center"/>
              <w:rPr>
                <w:rFonts w:ascii="Arial" w:hAnsi="Arial" w:cs="Arial"/>
                <w:b/>
                <w:sz w:val="20"/>
                <w:szCs w:val="20"/>
              </w:rPr>
            </w:pPr>
            <w:r>
              <w:rPr>
                <w:rFonts w:ascii="Arial" w:hAnsi="Arial" w:cs="Arial"/>
                <w:b/>
                <w:bCs/>
                <w:sz w:val="20"/>
                <w:szCs w:val="20"/>
              </w:rPr>
              <w:t xml:space="preserve">11.5 </w:t>
            </w:r>
          </w:p>
        </w:tc>
      </w:tr>
      <w:tr w:rsidR="003B0815" w14:paraId="51626387" w14:textId="77777777">
        <w:trPr>
          <w:cantSplit/>
          <w:jc w:val="center"/>
        </w:trPr>
        <w:tc>
          <w:tcPr>
            <w:tcW w:w="1672" w:type="dxa"/>
            <w:tcBorders>
              <w:left w:val="single" w:color="auto" w:sz="12" w:space="0"/>
            </w:tcBorders>
          </w:tcPr>
          <w:p w:rsidR="003B0815" w:rsidRDefault="003B0815" w14:paraId="389031E2" w14:textId="77777777">
            <w:pPr>
              <w:keepNext/>
              <w:jc w:val="center"/>
              <w:rPr>
                <w:rFonts w:ascii="Arial" w:hAnsi="Arial" w:cs="Arial"/>
                <w:sz w:val="20"/>
                <w:szCs w:val="20"/>
              </w:rPr>
            </w:pPr>
            <w:r>
              <w:t>2010</w:t>
            </w:r>
          </w:p>
        </w:tc>
        <w:tc>
          <w:tcPr>
            <w:tcW w:w="1440" w:type="dxa"/>
          </w:tcPr>
          <w:p w:rsidR="003B0815" w:rsidRDefault="003B0815" w14:paraId="0ED66C98" w14:textId="77777777">
            <w:pPr>
              <w:keepNext/>
              <w:jc w:val="center"/>
              <w:rPr>
                <w:rFonts w:ascii="Arial" w:hAnsi="Arial" w:cs="Arial"/>
                <w:sz w:val="20"/>
                <w:szCs w:val="20"/>
              </w:rPr>
            </w:pPr>
            <w:r>
              <w:rPr>
                <w:rFonts w:ascii="Arial" w:hAnsi="Arial" w:cs="Arial"/>
                <w:sz w:val="20"/>
                <w:szCs w:val="20"/>
              </w:rPr>
              <w:t xml:space="preserve">9.0 </w:t>
            </w:r>
          </w:p>
        </w:tc>
        <w:tc>
          <w:tcPr>
            <w:tcW w:w="1440" w:type="dxa"/>
          </w:tcPr>
          <w:p w:rsidR="003B0815" w:rsidRDefault="003B0815" w14:paraId="5310AD41" w14:textId="77777777">
            <w:pPr>
              <w:keepNext/>
              <w:jc w:val="center"/>
              <w:rPr>
                <w:rFonts w:ascii="Arial" w:hAnsi="Arial" w:cs="Arial"/>
                <w:sz w:val="20"/>
                <w:szCs w:val="20"/>
              </w:rPr>
            </w:pPr>
            <w:r>
              <w:rPr>
                <w:rFonts w:ascii="Arial" w:hAnsi="Arial" w:cs="Arial"/>
                <w:sz w:val="20"/>
                <w:szCs w:val="20"/>
              </w:rPr>
              <w:t xml:space="preserve">2.1 </w:t>
            </w:r>
          </w:p>
        </w:tc>
        <w:tc>
          <w:tcPr>
            <w:tcW w:w="1440" w:type="dxa"/>
          </w:tcPr>
          <w:p w:rsidR="003B0815" w:rsidRDefault="003B0815" w14:paraId="41D36CA2" w14:textId="77777777">
            <w:pPr>
              <w:keepNext/>
              <w:jc w:val="center"/>
              <w:rPr>
                <w:rFonts w:ascii="Arial" w:hAnsi="Arial" w:cs="Arial"/>
                <w:sz w:val="20"/>
                <w:szCs w:val="20"/>
              </w:rPr>
            </w:pPr>
            <w:r>
              <w:rPr>
                <w:rFonts w:ascii="Arial" w:hAnsi="Arial" w:cs="Arial"/>
                <w:sz w:val="20"/>
                <w:szCs w:val="20"/>
              </w:rPr>
              <w:t xml:space="preserve">0.8 </w:t>
            </w:r>
          </w:p>
        </w:tc>
        <w:tc>
          <w:tcPr>
            <w:tcW w:w="1671" w:type="dxa"/>
            <w:tcBorders>
              <w:right w:val="single" w:color="auto" w:sz="12" w:space="0"/>
            </w:tcBorders>
            <w:shd w:val="clear" w:color="auto" w:fill="CCCCCC"/>
          </w:tcPr>
          <w:p w:rsidR="003B0815" w:rsidRDefault="003B0815" w14:paraId="66FB4A68" w14:textId="77777777">
            <w:pPr>
              <w:keepNext/>
              <w:jc w:val="center"/>
              <w:rPr>
                <w:rFonts w:ascii="Arial" w:hAnsi="Arial" w:cs="Arial"/>
                <w:b/>
                <w:sz w:val="20"/>
                <w:szCs w:val="20"/>
              </w:rPr>
            </w:pPr>
            <w:r>
              <w:rPr>
                <w:rFonts w:ascii="Arial" w:hAnsi="Arial" w:cs="Arial"/>
                <w:b/>
                <w:bCs/>
                <w:sz w:val="20"/>
                <w:szCs w:val="20"/>
              </w:rPr>
              <w:t xml:space="preserve">11.9 </w:t>
            </w:r>
          </w:p>
        </w:tc>
      </w:tr>
      <w:tr w:rsidR="003B0815" w14:paraId="04B895B1" w14:textId="77777777">
        <w:trPr>
          <w:cantSplit/>
          <w:jc w:val="center"/>
        </w:trPr>
        <w:tc>
          <w:tcPr>
            <w:tcW w:w="1672" w:type="dxa"/>
            <w:tcBorders>
              <w:left w:val="single" w:color="auto" w:sz="12" w:space="0"/>
            </w:tcBorders>
          </w:tcPr>
          <w:p w:rsidR="003B0815" w:rsidRDefault="003B0815" w14:paraId="46911386" w14:textId="77777777">
            <w:pPr>
              <w:keepNext/>
              <w:jc w:val="center"/>
              <w:rPr>
                <w:rFonts w:ascii="Arial" w:hAnsi="Arial" w:cs="Arial"/>
                <w:sz w:val="20"/>
                <w:szCs w:val="20"/>
              </w:rPr>
            </w:pPr>
            <w:r>
              <w:t>2011</w:t>
            </w:r>
          </w:p>
        </w:tc>
        <w:tc>
          <w:tcPr>
            <w:tcW w:w="1440" w:type="dxa"/>
          </w:tcPr>
          <w:p w:rsidR="003B0815" w:rsidRDefault="003B0815" w14:paraId="46A6E195" w14:textId="77777777">
            <w:pPr>
              <w:keepNext/>
              <w:jc w:val="center"/>
              <w:rPr>
                <w:rFonts w:ascii="Arial" w:hAnsi="Arial" w:cs="Arial"/>
                <w:sz w:val="20"/>
                <w:szCs w:val="20"/>
              </w:rPr>
            </w:pPr>
            <w:r>
              <w:rPr>
                <w:rFonts w:ascii="Arial" w:hAnsi="Arial" w:cs="Arial"/>
                <w:sz w:val="20"/>
                <w:szCs w:val="20"/>
              </w:rPr>
              <w:t xml:space="preserve">9.2 </w:t>
            </w:r>
          </w:p>
        </w:tc>
        <w:tc>
          <w:tcPr>
            <w:tcW w:w="1440" w:type="dxa"/>
          </w:tcPr>
          <w:p w:rsidR="003B0815" w:rsidRDefault="003B0815" w14:paraId="0B28EC2C" w14:textId="77777777">
            <w:pPr>
              <w:keepNext/>
              <w:jc w:val="center"/>
              <w:rPr>
                <w:rFonts w:ascii="Arial" w:hAnsi="Arial" w:cs="Arial"/>
                <w:sz w:val="20"/>
                <w:szCs w:val="20"/>
              </w:rPr>
            </w:pPr>
            <w:r>
              <w:rPr>
                <w:rFonts w:ascii="Arial" w:hAnsi="Arial" w:cs="Arial"/>
                <w:sz w:val="20"/>
                <w:szCs w:val="20"/>
              </w:rPr>
              <w:t xml:space="preserve">2.2 </w:t>
            </w:r>
          </w:p>
        </w:tc>
        <w:tc>
          <w:tcPr>
            <w:tcW w:w="1440" w:type="dxa"/>
          </w:tcPr>
          <w:p w:rsidR="003B0815" w:rsidRDefault="003B0815" w14:paraId="3BF8FBB2" w14:textId="77777777">
            <w:pPr>
              <w:keepNext/>
              <w:jc w:val="center"/>
              <w:rPr>
                <w:rFonts w:ascii="Arial" w:hAnsi="Arial" w:cs="Arial"/>
                <w:sz w:val="20"/>
                <w:szCs w:val="20"/>
              </w:rPr>
            </w:pPr>
            <w:r>
              <w:rPr>
                <w:rFonts w:ascii="Arial" w:hAnsi="Arial" w:cs="Arial"/>
                <w:sz w:val="20"/>
                <w:szCs w:val="20"/>
              </w:rPr>
              <w:t xml:space="preserve">0.9 </w:t>
            </w:r>
          </w:p>
        </w:tc>
        <w:tc>
          <w:tcPr>
            <w:tcW w:w="1671" w:type="dxa"/>
            <w:tcBorders>
              <w:right w:val="single" w:color="auto" w:sz="12" w:space="0"/>
            </w:tcBorders>
            <w:shd w:val="clear" w:color="auto" w:fill="CCCCCC"/>
          </w:tcPr>
          <w:p w:rsidR="003B0815" w:rsidRDefault="003B0815" w14:paraId="59DCBFD8" w14:textId="77777777">
            <w:pPr>
              <w:keepNext/>
              <w:jc w:val="center"/>
              <w:rPr>
                <w:rFonts w:ascii="Arial" w:hAnsi="Arial" w:cs="Arial"/>
                <w:b/>
                <w:sz w:val="20"/>
                <w:szCs w:val="20"/>
              </w:rPr>
            </w:pPr>
            <w:r>
              <w:rPr>
                <w:rFonts w:ascii="Arial" w:hAnsi="Arial" w:cs="Arial"/>
                <w:b/>
                <w:bCs/>
                <w:sz w:val="20"/>
                <w:szCs w:val="20"/>
              </w:rPr>
              <w:t xml:space="preserve">12.3 </w:t>
            </w:r>
          </w:p>
        </w:tc>
      </w:tr>
      <w:tr w:rsidR="003B0815" w14:paraId="23478145" w14:textId="77777777">
        <w:trPr>
          <w:cantSplit/>
          <w:jc w:val="center"/>
        </w:trPr>
        <w:tc>
          <w:tcPr>
            <w:tcW w:w="1672" w:type="dxa"/>
            <w:tcBorders>
              <w:left w:val="single" w:color="auto" w:sz="12" w:space="0"/>
            </w:tcBorders>
          </w:tcPr>
          <w:p w:rsidR="003B0815" w:rsidRDefault="003B0815" w14:paraId="38536112" w14:textId="77777777">
            <w:pPr>
              <w:keepNext/>
              <w:jc w:val="center"/>
              <w:rPr>
                <w:rFonts w:ascii="Arial" w:hAnsi="Arial" w:cs="Arial"/>
                <w:sz w:val="20"/>
                <w:szCs w:val="20"/>
              </w:rPr>
            </w:pPr>
            <w:r>
              <w:t>2012</w:t>
            </w:r>
          </w:p>
        </w:tc>
        <w:tc>
          <w:tcPr>
            <w:tcW w:w="1440" w:type="dxa"/>
          </w:tcPr>
          <w:p w:rsidR="003B0815" w:rsidRDefault="003B0815" w14:paraId="71BFCB19" w14:textId="77777777">
            <w:pPr>
              <w:keepNext/>
              <w:jc w:val="center"/>
              <w:rPr>
                <w:rFonts w:ascii="Arial" w:hAnsi="Arial" w:cs="Arial"/>
                <w:sz w:val="20"/>
                <w:szCs w:val="20"/>
              </w:rPr>
            </w:pPr>
            <w:r>
              <w:rPr>
                <w:rFonts w:ascii="Arial" w:hAnsi="Arial" w:cs="Arial"/>
                <w:sz w:val="20"/>
                <w:szCs w:val="20"/>
              </w:rPr>
              <w:t xml:space="preserve">9.5 </w:t>
            </w:r>
          </w:p>
        </w:tc>
        <w:tc>
          <w:tcPr>
            <w:tcW w:w="1440" w:type="dxa"/>
          </w:tcPr>
          <w:p w:rsidR="003B0815" w:rsidRDefault="003B0815" w14:paraId="65DF7CEF" w14:textId="77777777">
            <w:pPr>
              <w:keepNext/>
              <w:jc w:val="center"/>
              <w:rPr>
                <w:rFonts w:ascii="Arial" w:hAnsi="Arial" w:cs="Arial"/>
                <w:sz w:val="20"/>
                <w:szCs w:val="20"/>
              </w:rPr>
            </w:pPr>
            <w:r>
              <w:rPr>
                <w:rFonts w:ascii="Arial" w:hAnsi="Arial" w:cs="Arial"/>
                <w:sz w:val="20"/>
                <w:szCs w:val="20"/>
              </w:rPr>
              <w:t xml:space="preserve">2.3 </w:t>
            </w:r>
          </w:p>
        </w:tc>
        <w:tc>
          <w:tcPr>
            <w:tcW w:w="1440" w:type="dxa"/>
          </w:tcPr>
          <w:p w:rsidR="003B0815" w:rsidRDefault="003B0815" w14:paraId="49C8CA98" w14:textId="77777777">
            <w:pPr>
              <w:keepNext/>
              <w:jc w:val="center"/>
              <w:rPr>
                <w:rFonts w:ascii="Arial" w:hAnsi="Arial" w:cs="Arial"/>
                <w:sz w:val="20"/>
                <w:szCs w:val="20"/>
              </w:rPr>
            </w:pPr>
            <w:r>
              <w:rPr>
                <w:rFonts w:ascii="Arial" w:hAnsi="Arial" w:cs="Arial"/>
                <w:sz w:val="20"/>
                <w:szCs w:val="20"/>
              </w:rPr>
              <w:t xml:space="preserve">0.9 </w:t>
            </w:r>
          </w:p>
        </w:tc>
        <w:tc>
          <w:tcPr>
            <w:tcW w:w="1671" w:type="dxa"/>
            <w:tcBorders>
              <w:right w:val="single" w:color="auto" w:sz="12" w:space="0"/>
            </w:tcBorders>
            <w:shd w:val="clear" w:color="auto" w:fill="CCCCCC"/>
          </w:tcPr>
          <w:p w:rsidR="003B0815" w:rsidRDefault="003B0815" w14:paraId="37110708" w14:textId="77777777">
            <w:pPr>
              <w:keepNext/>
              <w:jc w:val="center"/>
              <w:rPr>
                <w:rFonts w:ascii="Arial" w:hAnsi="Arial" w:cs="Arial"/>
                <w:b/>
                <w:sz w:val="20"/>
                <w:szCs w:val="20"/>
              </w:rPr>
            </w:pPr>
            <w:r>
              <w:rPr>
                <w:rFonts w:ascii="Arial" w:hAnsi="Arial" w:cs="Arial"/>
                <w:b/>
                <w:bCs/>
                <w:sz w:val="20"/>
                <w:szCs w:val="20"/>
              </w:rPr>
              <w:t xml:space="preserve">12.7 </w:t>
            </w:r>
          </w:p>
        </w:tc>
      </w:tr>
      <w:tr w:rsidR="003B0815" w14:paraId="1705DB90" w14:textId="77777777">
        <w:trPr>
          <w:cantSplit/>
          <w:jc w:val="center"/>
        </w:trPr>
        <w:tc>
          <w:tcPr>
            <w:tcW w:w="1672" w:type="dxa"/>
            <w:tcBorders>
              <w:left w:val="single" w:color="auto" w:sz="12" w:space="0"/>
            </w:tcBorders>
          </w:tcPr>
          <w:p w:rsidR="003B0815" w:rsidRDefault="003B0815" w14:paraId="0936F2DC" w14:textId="77777777">
            <w:pPr>
              <w:keepNext/>
              <w:jc w:val="center"/>
              <w:rPr>
                <w:rFonts w:ascii="Arial" w:hAnsi="Arial" w:cs="Arial"/>
                <w:sz w:val="20"/>
                <w:szCs w:val="20"/>
              </w:rPr>
            </w:pPr>
            <w:r>
              <w:t>2013</w:t>
            </w:r>
          </w:p>
        </w:tc>
        <w:tc>
          <w:tcPr>
            <w:tcW w:w="1440" w:type="dxa"/>
          </w:tcPr>
          <w:p w:rsidR="003B0815" w:rsidRDefault="003B0815" w14:paraId="1C0F9DA4" w14:textId="77777777">
            <w:pPr>
              <w:keepNext/>
              <w:jc w:val="center"/>
              <w:rPr>
                <w:rFonts w:ascii="Arial" w:hAnsi="Arial" w:cs="Arial"/>
                <w:sz w:val="20"/>
                <w:szCs w:val="20"/>
              </w:rPr>
            </w:pPr>
            <w:r>
              <w:rPr>
                <w:rFonts w:ascii="Arial" w:hAnsi="Arial" w:cs="Arial"/>
                <w:sz w:val="20"/>
                <w:szCs w:val="20"/>
              </w:rPr>
              <w:t xml:space="preserve">9.9 </w:t>
            </w:r>
          </w:p>
        </w:tc>
        <w:tc>
          <w:tcPr>
            <w:tcW w:w="1440" w:type="dxa"/>
          </w:tcPr>
          <w:p w:rsidR="003B0815" w:rsidRDefault="003B0815" w14:paraId="1E1F6D81" w14:textId="77777777">
            <w:pPr>
              <w:keepNext/>
              <w:jc w:val="center"/>
              <w:rPr>
                <w:rFonts w:ascii="Arial" w:hAnsi="Arial" w:cs="Arial"/>
                <w:sz w:val="20"/>
                <w:szCs w:val="20"/>
              </w:rPr>
            </w:pPr>
            <w:r>
              <w:rPr>
                <w:rFonts w:ascii="Arial" w:hAnsi="Arial" w:cs="Arial"/>
                <w:sz w:val="20"/>
                <w:szCs w:val="20"/>
              </w:rPr>
              <w:t xml:space="preserve">2.4 </w:t>
            </w:r>
          </w:p>
        </w:tc>
        <w:tc>
          <w:tcPr>
            <w:tcW w:w="1440" w:type="dxa"/>
          </w:tcPr>
          <w:p w:rsidR="003B0815" w:rsidRDefault="003B0815" w14:paraId="36B8A7EF" w14:textId="77777777">
            <w:pPr>
              <w:keepNext/>
              <w:jc w:val="center"/>
              <w:rPr>
                <w:rFonts w:ascii="Arial" w:hAnsi="Arial" w:cs="Arial"/>
                <w:sz w:val="20"/>
                <w:szCs w:val="20"/>
              </w:rPr>
            </w:pPr>
            <w:r>
              <w:rPr>
                <w:rFonts w:ascii="Arial" w:hAnsi="Arial" w:cs="Arial"/>
                <w:sz w:val="20"/>
                <w:szCs w:val="20"/>
              </w:rPr>
              <w:t xml:space="preserve">1.0 </w:t>
            </w:r>
          </w:p>
        </w:tc>
        <w:tc>
          <w:tcPr>
            <w:tcW w:w="1671" w:type="dxa"/>
            <w:tcBorders>
              <w:right w:val="single" w:color="auto" w:sz="12" w:space="0"/>
            </w:tcBorders>
            <w:shd w:val="clear" w:color="auto" w:fill="CCCCCC"/>
          </w:tcPr>
          <w:p w:rsidR="003B0815" w:rsidRDefault="003B0815" w14:paraId="650F4CE5" w14:textId="77777777">
            <w:pPr>
              <w:keepNext/>
              <w:jc w:val="center"/>
              <w:rPr>
                <w:rFonts w:ascii="Arial" w:hAnsi="Arial" w:cs="Arial"/>
                <w:b/>
                <w:sz w:val="20"/>
                <w:szCs w:val="20"/>
              </w:rPr>
            </w:pPr>
            <w:r>
              <w:rPr>
                <w:rFonts w:ascii="Arial" w:hAnsi="Arial" w:cs="Arial"/>
                <w:b/>
                <w:bCs/>
                <w:sz w:val="20"/>
                <w:szCs w:val="20"/>
              </w:rPr>
              <w:t xml:space="preserve">13.3 </w:t>
            </w:r>
          </w:p>
        </w:tc>
      </w:tr>
      <w:tr w:rsidR="003B0815" w14:paraId="2077A25A" w14:textId="77777777">
        <w:trPr>
          <w:cantSplit/>
          <w:jc w:val="center"/>
        </w:trPr>
        <w:tc>
          <w:tcPr>
            <w:tcW w:w="1672" w:type="dxa"/>
            <w:tcBorders>
              <w:left w:val="single" w:color="auto" w:sz="12" w:space="0"/>
            </w:tcBorders>
          </w:tcPr>
          <w:p w:rsidR="003B0815" w:rsidRDefault="003B0815" w14:paraId="56C4EC24" w14:textId="77777777">
            <w:pPr>
              <w:keepNext/>
              <w:jc w:val="center"/>
              <w:rPr>
                <w:rFonts w:ascii="Arial" w:hAnsi="Arial" w:cs="Arial"/>
                <w:sz w:val="20"/>
                <w:szCs w:val="20"/>
              </w:rPr>
            </w:pPr>
            <w:r>
              <w:t>2014</w:t>
            </w:r>
          </w:p>
        </w:tc>
        <w:tc>
          <w:tcPr>
            <w:tcW w:w="1440" w:type="dxa"/>
          </w:tcPr>
          <w:p w:rsidR="003B0815" w:rsidRDefault="003B0815" w14:paraId="5BA41032" w14:textId="77777777">
            <w:pPr>
              <w:keepNext/>
              <w:jc w:val="center"/>
              <w:rPr>
                <w:rFonts w:ascii="Arial" w:hAnsi="Arial" w:cs="Arial"/>
                <w:sz w:val="20"/>
                <w:szCs w:val="20"/>
              </w:rPr>
            </w:pPr>
            <w:r>
              <w:rPr>
                <w:rFonts w:ascii="Arial" w:hAnsi="Arial" w:cs="Arial"/>
                <w:sz w:val="20"/>
                <w:szCs w:val="20"/>
              </w:rPr>
              <w:t xml:space="preserve">10.2 </w:t>
            </w:r>
          </w:p>
        </w:tc>
        <w:tc>
          <w:tcPr>
            <w:tcW w:w="1440" w:type="dxa"/>
          </w:tcPr>
          <w:p w:rsidR="003B0815" w:rsidRDefault="003B0815" w14:paraId="400E3651" w14:textId="77777777">
            <w:pPr>
              <w:keepNext/>
              <w:jc w:val="center"/>
              <w:rPr>
                <w:rFonts w:ascii="Arial" w:hAnsi="Arial" w:cs="Arial"/>
                <w:sz w:val="20"/>
                <w:szCs w:val="20"/>
              </w:rPr>
            </w:pPr>
            <w:r>
              <w:rPr>
                <w:rFonts w:ascii="Arial" w:hAnsi="Arial" w:cs="Arial"/>
                <w:sz w:val="20"/>
                <w:szCs w:val="20"/>
              </w:rPr>
              <w:t xml:space="preserve">2.6 </w:t>
            </w:r>
          </w:p>
        </w:tc>
        <w:tc>
          <w:tcPr>
            <w:tcW w:w="1440" w:type="dxa"/>
          </w:tcPr>
          <w:p w:rsidR="003B0815" w:rsidRDefault="003B0815" w14:paraId="7C468755" w14:textId="77777777">
            <w:pPr>
              <w:keepNext/>
              <w:jc w:val="center"/>
              <w:rPr>
                <w:rFonts w:ascii="Arial" w:hAnsi="Arial" w:cs="Arial"/>
                <w:sz w:val="20"/>
                <w:szCs w:val="20"/>
              </w:rPr>
            </w:pPr>
            <w:r>
              <w:rPr>
                <w:rFonts w:ascii="Arial" w:hAnsi="Arial" w:cs="Arial"/>
                <w:sz w:val="20"/>
                <w:szCs w:val="20"/>
              </w:rPr>
              <w:t xml:space="preserve">1.0 </w:t>
            </w:r>
          </w:p>
        </w:tc>
        <w:tc>
          <w:tcPr>
            <w:tcW w:w="1671" w:type="dxa"/>
            <w:tcBorders>
              <w:right w:val="single" w:color="auto" w:sz="12" w:space="0"/>
            </w:tcBorders>
            <w:shd w:val="clear" w:color="auto" w:fill="CCCCCC"/>
          </w:tcPr>
          <w:p w:rsidR="003B0815" w:rsidRDefault="003B0815" w14:paraId="38C2B3C7" w14:textId="77777777">
            <w:pPr>
              <w:keepNext/>
              <w:jc w:val="center"/>
              <w:rPr>
                <w:rFonts w:ascii="Arial" w:hAnsi="Arial" w:cs="Arial"/>
                <w:b/>
                <w:sz w:val="20"/>
                <w:szCs w:val="20"/>
              </w:rPr>
            </w:pPr>
            <w:r>
              <w:rPr>
                <w:rFonts w:ascii="Arial" w:hAnsi="Arial" w:cs="Arial"/>
                <w:b/>
                <w:bCs/>
                <w:sz w:val="20"/>
                <w:szCs w:val="20"/>
              </w:rPr>
              <w:t xml:space="preserve">13.8 </w:t>
            </w:r>
          </w:p>
        </w:tc>
      </w:tr>
      <w:tr w:rsidR="003B0815" w14:paraId="0F9103F9" w14:textId="77777777">
        <w:trPr>
          <w:cantSplit/>
          <w:jc w:val="center"/>
        </w:trPr>
        <w:tc>
          <w:tcPr>
            <w:tcW w:w="1672" w:type="dxa"/>
            <w:tcBorders>
              <w:left w:val="single" w:color="auto" w:sz="12" w:space="0"/>
            </w:tcBorders>
          </w:tcPr>
          <w:p w:rsidR="003B0815" w:rsidRDefault="003B0815" w14:paraId="289C0DFF" w14:textId="77777777">
            <w:pPr>
              <w:keepNext/>
              <w:jc w:val="center"/>
              <w:rPr>
                <w:rFonts w:ascii="Arial" w:hAnsi="Arial" w:cs="Arial"/>
                <w:sz w:val="20"/>
                <w:szCs w:val="20"/>
              </w:rPr>
            </w:pPr>
            <w:r>
              <w:t>2015</w:t>
            </w:r>
          </w:p>
        </w:tc>
        <w:tc>
          <w:tcPr>
            <w:tcW w:w="1440" w:type="dxa"/>
          </w:tcPr>
          <w:p w:rsidR="003B0815" w:rsidRDefault="003B0815" w14:paraId="05D1A511" w14:textId="77777777">
            <w:pPr>
              <w:keepNext/>
              <w:jc w:val="center"/>
              <w:rPr>
                <w:rFonts w:ascii="Arial" w:hAnsi="Arial" w:cs="Arial"/>
                <w:sz w:val="20"/>
                <w:szCs w:val="20"/>
              </w:rPr>
            </w:pPr>
            <w:r>
              <w:rPr>
                <w:rFonts w:ascii="Arial" w:hAnsi="Arial" w:cs="Arial"/>
                <w:sz w:val="20"/>
                <w:szCs w:val="20"/>
              </w:rPr>
              <w:t xml:space="preserve">10.5 </w:t>
            </w:r>
          </w:p>
        </w:tc>
        <w:tc>
          <w:tcPr>
            <w:tcW w:w="1440" w:type="dxa"/>
          </w:tcPr>
          <w:p w:rsidR="003B0815" w:rsidRDefault="003B0815" w14:paraId="56B61DD8" w14:textId="77777777">
            <w:pPr>
              <w:keepNext/>
              <w:jc w:val="center"/>
              <w:rPr>
                <w:rFonts w:ascii="Arial" w:hAnsi="Arial" w:cs="Arial"/>
                <w:sz w:val="20"/>
                <w:szCs w:val="20"/>
              </w:rPr>
            </w:pPr>
            <w:r>
              <w:rPr>
                <w:rFonts w:ascii="Arial" w:hAnsi="Arial" w:cs="Arial"/>
                <w:sz w:val="20"/>
                <w:szCs w:val="20"/>
              </w:rPr>
              <w:t xml:space="preserve">2.7 </w:t>
            </w:r>
          </w:p>
        </w:tc>
        <w:tc>
          <w:tcPr>
            <w:tcW w:w="1440" w:type="dxa"/>
          </w:tcPr>
          <w:p w:rsidR="003B0815" w:rsidRDefault="003B0815" w14:paraId="23A3C8CD" w14:textId="77777777">
            <w:pPr>
              <w:keepNext/>
              <w:jc w:val="center"/>
              <w:rPr>
                <w:rFonts w:ascii="Arial" w:hAnsi="Arial" w:cs="Arial"/>
                <w:sz w:val="20"/>
                <w:szCs w:val="20"/>
              </w:rPr>
            </w:pPr>
            <w:r>
              <w:rPr>
                <w:rFonts w:ascii="Arial" w:hAnsi="Arial" w:cs="Arial"/>
                <w:sz w:val="20"/>
                <w:szCs w:val="20"/>
              </w:rPr>
              <w:t xml:space="preserve">1.0 </w:t>
            </w:r>
          </w:p>
        </w:tc>
        <w:tc>
          <w:tcPr>
            <w:tcW w:w="1671" w:type="dxa"/>
            <w:tcBorders>
              <w:right w:val="single" w:color="auto" w:sz="12" w:space="0"/>
            </w:tcBorders>
            <w:shd w:val="clear" w:color="auto" w:fill="CCCCCC"/>
          </w:tcPr>
          <w:p w:rsidR="003B0815" w:rsidRDefault="003B0815" w14:paraId="5D5B3870" w14:textId="77777777">
            <w:pPr>
              <w:keepNext/>
              <w:jc w:val="center"/>
              <w:rPr>
                <w:rFonts w:ascii="Arial" w:hAnsi="Arial" w:cs="Arial"/>
                <w:b/>
                <w:sz w:val="20"/>
                <w:szCs w:val="20"/>
              </w:rPr>
            </w:pPr>
            <w:r>
              <w:rPr>
                <w:rFonts w:ascii="Arial" w:hAnsi="Arial" w:cs="Arial"/>
                <w:b/>
                <w:bCs/>
                <w:sz w:val="20"/>
                <w:szCs w:val="20"/>
              </w:rPr>
              <w:t xml:space="preserve">14.2 </w:t>
            </w:r>
          </w:p>
        </w:tc>
      </w:tr>
      <w:tr w:rsidR="003B0815" w14:paraId="296F96AC" w14:textId="77777777">
        <w:trPr>
          <w:cantSplit/>
          <w:jc w:val="center"/>
        </w:trPr>
        <w:tc>
          <w:tcPr>
            <w:tcW w:w="1672" w:type="dxa"/>
            <w:tcBorders>
              <w:left w:val="single" w:color="auto" w:sz="12" w:space="0"/>
            </w:tcBorders>
          </w:tcPr>
          <w:p w:rsidR="003B0815" w:rsidRDefault="003B0815" w14:paraId="49520E6B" w14:textId="77777777">
            <w:pPr>
              <w:keepNext/>
              <w:jc w:val="center"/>
              <w:rPr>
                <w:rFonts w:ascii="Arial" w:hAnsi="Arial" w:cs="Arial"/>
                <w:sz w:val="20"/>
                <w:szCs w:val="20"/>
              </w:rPr>
            </w:pPr>
            <w:r>
              <w:t>2016</w:t>
            </w:r>
          </w:p>
        </w:tc>
        <w:tc>
          <w:tcPr>
            <w:tcW w:w="1440" w:type="dxa"/>
          </w:tcPr>
          <w:p w:rsidR="003B0815" w:rsidRDefault="003B0815" w14:paraId="6C000A17" w14:textId="77777777">
            <w:pPr>
              <w:keepNext/>
              <w:jc w:val="center"/>
              <w:rPr>
                <w:rFonts w:ascii="Arial" w:hAnsi="Arial" w:cs="Arial"/>
                <w:sz w:val="20"/>
                <w:szCs w:val="20"/>
              </w:rPr>
            </w:pPr>
            <w:r>
              <w:rPr>
                <w:rFonts w:ascii="Arial" w:hAnsi="Arial" w:cs="Arial"/>
                <w:sz w:val="20"/>
                <w:szCs w:val="20"/>
              </w:rPr>
              <w:t xml:space="preserve">10.8 </w:t>
            </w:r>
          </w:p>
        </w:tc>
        <w:tc>
          <w:tcPr>
            <w:tcW w:w="1440" w:type="dxa"/>
          </w:tcPr>
          <w:p w:rsidR="003B0815" w:rsidRDefault="003B0815" w14:paraId="589011C9" w14:textId="77777777">
            <w:pPr>
              <w:keepNext/>
              <w:jc w:val="center"/>
              <w:rPr>
                <w:rFonts w:ascii="Arial" w:hAnsi="Arial" w:cs="Arial"/>
                <w:sz w:val="20"/>
                <w:szCs w:val="20"/>
              </w:rPr>
            </w:pPr>
            <w:r>
              <w:rPr>
                <w:rFonts w:ascii="Arial" w:hAnsi="Arial" w:cs="Arial"/>
                <w:sz w:val="20"/>
                <w:szCs w:val="20"/>
              </w:rPr>
              <w:t xml:space="preserve">2.8 </w:t>
            </w:r>
          </w:p>
        </w:tc>
        <w:tc>
          <w:tcPr>
            <w:tcW w:w="1440" w:type="dxa"/>
          </w:tcPr>
          <w:p w:rsidR="003B0815" w:rsidRDefault="003B0815" w14:paraId="2A07288F" w14:textId="77777777">
            <w:pPr>
              <w:keepNext/>
              <w:jc w:val="center"/>
              <w:rPr>
                <w:rFonts w:ascii="Arial" w:hAnsi="Arial" w:cs="Arial"/>
                <w:sz w:val="20"/>
                <w:szCs w:val="20"/>
              </w:rPr>
            </w:pPr>
            <w:r>
              <w:rPr>
                <w:rFonts w:ascii="Arial" w:hAnsi="Arial" w:cs="Arial"/>
                <w:sz w:val="20"/>
                <w:szCs w:val="20"/>
              </w:rPr>
              <w:t xml:space="preserve">1.1 </w:t>
            </w:r>
          </w:p>
        </w:tc>
        <w:tc>
          <w:tcPr>
            <w:tcW w:w="1671" w:type="dxa"/>
            <w:tcBorders>
              <w:right w:val="single" w:color="auto" w:sz="12" w:space="0"/>
            </w:tcBorders>
            <w:shd w:val="clear" w:color="auto" w:fill="CCCCCC"/>
          </w:tcPr>
          <w:p w:rsidR="003B0815" w:rsidRDefault="003B0815" w14:paraId="6FABB5EF" w14:textId="77777777">
            <w:pPr>
              <w:keepNext/>
              <w:jc w:val="center"/>
              <w:rPr>
                <w:rFonts w:ascii="Arial" w:hAnsi="Arial" w:cs="Arial"/>
                <w:b/>
                <w:sz w:val="20"/>
                <w:szCs w:val="20"/>
              </w:rPr>
            </w:pPr>
            <w:r>
              <w:rPr>
                <w:rFonts w:ascii="Arial" w:hAnsi="Arial" w:cs="Arial"/>
                <w:b/>
                <w:bCs/>
                <w:sz w:val="20"/>
                <w:szCs w:val="20"/>
              </w:rPr>
              <w:t xml:space="preserve">14.7 </w:t>
            </w:r>
          </w:p>
        </w:tc>
      </w:tr>
      <w:tr w:rsidR="003B0815" w14:paraId="676DC769" w14:textId="77777777">
        <w:trPr>
          <w:cantSplit/>
          <w:jc w:val="center"/>
        </w:trPr>
        <w:tc>
          <w:tcPr>
            <w:tcW w:w="1672" w:type="dxa"/>
            <w:tcBorders>
              <w:left w:val="single" w:color="auto" w:sz="12" w:space="0"/>
              <w:bottom w:val="single" w:color="auto" w:sz="4" w:space="0"/>
            </w:tcBorders>
          </w:tcPr>
          <w:p w:rsidR="003B0815" w:rsidRDefault="003B0815" w14:paraId="38F42046" w14:textId="77777777">
            <w:pPr>
              <w:keepNext/>
              <w:jc w:val="center"/>
              <w:rPr>
                <w:rFonts w:ascii="Arial" w:hAnsi="Arial" w:cs="Arial"/>
                <w:sz w:val="20"/>
                <w:szCs w:val="20"/>
              </w:rPr>
            </w:pPr>
            <w:r>
              <w:t>2017</w:t>
            </w:r>
          </w:p>
        </w:tc>
        <w:tc>
          <w:tcPr>
            <w:tcW w:w="1440" w:type="dxa"/>
            <w:tcBorders>
              <w:bottom w:val="single" w:color="auto" w:sz="4" w:space="0"/>
            </w:tcBorders>
          </w:tcPr>
          <w:p w:rsidR="003B0815" w:rsidRDefault="003B0815" w14:paraId="0886E477" w14:textId="77777777">
            <w:pPr>
              <w:keepNext/>
              <w:jc w:val="center"/>
              <w:rPr>
                <w:rFonts w:ascii="Arial" w:hAnsi="Arial" w:cs="Arial"/>
                <w:sz w:val="20"/>
                <w:szCs w:val="20"/>
              </w:rPr>
            </w:pPr>
            <w:r>
              <w:rPr>
                <w:rFonts w:ascii="Arial" w:hAnsi="Arial" w:cs="Arial"/>
                <w:sz w:val="20"/>
                <w:szCs w:val="20"/>
              </w:rPr>
              <w:t xml:space="preserve">$11.2 </w:t>
            </w:r>
          </w:p>
        </w:tc>
        <w:tc>
          <w:tcPr>
            <w:tcW w:w="1440" w:type="dxa"/>
            <w:tcBorders>
              <w:bottom w:val="single" w:color="auto" w:sz="4" w:space="0"/>
            </w:tcBorders>
          </w:tcPr>
          <w:p w:rsidR="003B0815" w:rsidRDefault="003B0815" w14:paraId="39F76433" w14:textId="77777777">
            <w:pPr>
              <w:keepNext/>
              <w:jc w:val="center"/>
              <w:rPr>
                <w:rFonts w:ascii="Arial" w:hAnsi="Arial" w:cs="Arial"/>
                <w:sz w:val="20"/>
                <w:szCs w:val="20"/>
              </w:rPr>
            </w:pPr>
            <w:r>
              <w:rPr>
                <w:rFonts w:ascii="Arial" w:hAnsi="Arial" w:cs="Arial"/>
                <w:sz w:val="20"/>
                <w:szCs w:val="20"/>
              </w:rPr>
              <w:t xml:space="preserve">$2.9 </w:t>
            </w:r>
          </w:p>
        </w:tc>
        <w:tc>
          <w:tcPr>
            <w:tcW w:w="1440" w:type="dxa"/>
            <w:tcBorders>
              <w:bottom w:val="single" w:color="auto" w:sz="4" w:space="0"/>
            </w:tcBorders>
          </w:tcPr>
          <w:p w:rsidR="003B0815" w:rsidRDefault="003B0815" w14:paraId="62CBD07E" w14:textId="77777777">
            <w:pPr>
              <w:keepNext/>
              <w:jc w:val="center"/>
              <w:rPr>
                <w:rFonts w:ascii="Arial" w:hAnsi="Arial" w:cs="Arial"/>
                <w:sz w:val="20"/>
                <w:szCs w:val="20"/>
              </w:rPr>
            </w:pPr>
            <w:r>
              <w:rPr>
                <w:rFonts w:ascii="Arial" w:hAnsi="Arial" w:cs="Arial"/>
                <w:sz w:val="20"/>
                <w:szCs w:val="20"/>
              </w:rPr>
              <w:t xml:space="preserve">$1.2 </w:t>
            </w:r>
          </w:p>
        </w:tc>
        <w:tc>
          <w:tcPr>
            <w:tcW w:w="1671" w:type="dxa"/>
            <w:tcBorders>
              <w:bottom w:val="single" w:color="auto" w:sz="4" w:space="0"/>
              <w:right w:val="single" w:color="auto" w:sz="12" w:space="0"/>
            </w:tcBorders>
            <w:shd w:val="clear" w:color="auto" w:fill="CCCCCC"/>
          </w:tcPr>
          <w:p w:rsidR="003B0815" w:rsidRDefault="003B0815" w14:paraId="400A550E" w14:textId="77777777">
            <w:pPr>
              <w:keepNext/>
              <w:jc w:val="center"/>
              <w:rPr>
                <w:rFonts w:ascii="Arial" w:hAnsi="Arial" w:cs="Arial"/>
                <w:b/>
                <w:sz w:val="20"/>
                <w:szCs w:val="20"/>
              </w:rPr>
            </w:pPr>
            <w:r>
              <w:rPr>
                <w:rFonts w:ascii="Arial" w:hAnsi="Arial" w:cs="Arial"/>
                <w:b/>
                <w:bCs/>
                <w:sz w:val="20"/>
                <w:szCs w:val="20"/>
              </w:rPr>
              <w:t xml:space="preserve">$15.3 </w:t>
            </w:r>
          </w:p>
        </w:tc>
      </w:tr>
      <w:tr w:rsidR="003B0815" w14:paraId="2233FAE5" w14:textId="77777777">
        <w:trPr>
          <w:cantSplit/>
          <w:jc w:val="center"/>
        </w:trPr>
        <w:tc>
          <w:tcPr>
            <w:tcW w:w="1672" w:type="dxa"/>
            <w:tcBorders>
              <w:top w:val="single" w:color="auto" w:sz="4" w:space="0"/>
              <w:left w:val="single" w:color="auto" w:sz="12" w:space="0"/>
              <w:bottom w:val="single" w:color="auto" w:sz="4" w:space="0"/>
              <w:right w:val="nil"/>
            </w:tcBorders>
            <w:vAlign w:val="center"/>
          </w:tcPr>
          <w:p w:rsidR="003B0815" w:rsidRDefault="003B0815" w14:paraId="7987F25D" w14:textId="77777777">
            <w:pPr>
              <w:keepNext/>
              <w:jc w:val="center"/>
              <w:rPr>
                <w:rFonts w:ascii="Arial" w:hAnsi="Arial" w:cs="Arial"/>
                <w:b/>
                <w:sz w:val="20"/>
                <w:szCs w:val="20"/>
              </w:rPr>
            </w:pPr>
            <w:r>
              <w:rPr>
                <w:rFonts w:ascii="Arial" w:hAnsi="Arial" w:cs="Arial"/>
                <w:b/>
                <w:sz w:val="20"/>
                <w:szCs w:val="20"/>
              </w:rPr>
              <w:t>Primary Total</w:t>
            </w:r>
          </w:p>
        </w:tc>
        <w:tc>
          <w:tcPr>
            <w:tcW w:w="1440" w:type="dxa"/>
            <w:tcBorders>
              <w:top w:val="single" w:color="auto" w:sz="4" w:space="0"/>
              <w:left w:val="nil"/>
              <w:bottom w:val="single" w:color="auto" w:sz="4" w:space="0"/>
              <w:right w:val="nil"/>
            </w:tcBorders>
          </w:tcPr>
          <w:p w:rsidR="003B0815" w:rsidRDefault="003B0815" w14:paraId="6F69D736" w14:textId="77777777">
            <w:pPr>
              <w:keepNext/>
              <w:jc w:val="center"/>
              <w:rPr>
                <w:rFonts w:ascii="Arial" w:hAnsi="Arial" w:cs="Arial"/>
                <w:b/>
                <w:sz w:val="20"/>
                <w:szCs w:val="20"/>
              </w:rPr>
            </w:pPr>
            <w:r>
              <w:rPr>
                <w:rFonts w:ascii="Arial" w:hAnsi="Arial" w:cs="Arial"/>
                <w:b/>
                <w:bCs/>
                <w:sz w:val="20"/>
                <w:szCs w:val="20"/>
              </w:rPr>
              <w:t xml:space="preserve">$97.4 </w:t>
            </w:r>
          </w:p>
        </w:tc>
        <w:tc>
          <w:tcPr>
            <w:tcW w:w="1440" w:type="dxa"/>
            <w:tcBorders>
              <w:top w:val="single" w:color="auto" w:sz="4" w:space="0"/>
              <w:left w:val="nil"/>
              <w:bottom w:val="single" w:color="auto" w:sz="4" w:space="0"/>
              <w:right w:val="nil"/>
            </w:tcBorders>
          </w:tcPr>
          <w:p w:rsidR="003B0815" w:rsidRDefault="003B0815" w14:paraId="4A723584" w14:textId="77777777">
            <w:pPr>
              <w:keepNext/>
              <w:jc w:val="center"/>
              <w:rPr>
                <w:rFonts w:ascii="Arial" w:hAnsi="Arial" w:cs="Arial"/>
                <w:b/>
                <w:sz w:val="20"/>
                <w:szCs w:val="20"/>
              </w:rPr>
            </w:pPr>
            <w:r>
              <w:rPr>
                <w:rFonts w:ascii="Arial" w:hAnsi="Arial" w:cs="Arial"/>
                <w:b/>
                <w:bCs/>
                <w:sz w:val="20"/>
                <w:szCs w:val="20"/>
              </w:rPr>
              <w:t xml:space="preserve">$23.9 </w:t>
            </w:r>
          </w:p>
        </w:tc>
        <w:tc>
          <w:tcPr>
            <w:tcW w:w="1440" w:type="dxa"/>
            <w:tcBorders>
              <w:top w:val="single" w:color="auto" w:sz="4" w:space="0"/>
              <w:left w:val="nil"/>
              <w:bottom w:val="single" w:color="auto" w:sz="4" w:space="0"/>
              <w:right w:val="nil"/>
            </w:tcBorders>
          </w:tcPr>
          <w:p w:rsidR="003B0815" w:rsidRDefault="003B0815" w14:paraId="1A7BEF62" w14:textId="77777777">
            <w:pPr>
              <w:keepNext/>
              <w:jc w:val="center"/>
              <w:rPr>
                <w:rFonts w:ascii="Arial" w:hAnsi="Arial" w:cs="Arial"/>
                <w:b/>
                <w:sz w:val="20"/>
                <w:szCs w:val="20"/>
              </w:rPr>
            </w:pPr>
            <w:r>
              <w:rPr>
                <w:rFonts w:ascii="Arial" w:hAnsi="Arial" w:cs="Arial"/>
                <w:b/>
                <w:bCs/>
                <w:sz w:val="20"/>
                <w:szCs w:val="20"/>
              </w:rPr>
              <w:t xml:space="preserve">$9.4 </w:t>
            </w:r>
          </w:p>
        </w:tc>
        <w:tc>
          <w:tcPr>
            <w:tcW w:w="1671" w:type="dxa"/>
            <w:tcBorders>
              <w:top w:val="single" w:color="auto" w:sz="4" w:space="0"/>
              <w:left w:val="nil"/>
              <w:bottom w:val="single" w:color="auto" w:sz="4" w:space="0"/>
              <w:right w:val="single" w:color="auto" w:sz="12" w:space="0"/>
            </w:tcBorders>
          </w:tcPr>
          <w:p w:rsidR="003B0815" w:rsidRDefault="003B0815" w14:paraId="1F9B41B2" w14:textId="77777777">
            <w:pPr>
              <w:keepNext/>
              <w:jc w:val="center"/>
              <w:rPr>
                <w:rFonts w:ascii="Arial" w:hAnsi="Arial" w:cs="Arial"/>
                <w:b/>
                <w:sz w:val="20"/>
                <w:szCs w:val="20"/>
              </w:rPr>
            </w:pPr>
            <w:r>
              <w:rPr>
                <w:rFonts w:ascii="Arial" w:hAnsi="Arial" w:cs="Arial"/>
                <w:b/>
                <w:bCs/>
                <w:sz w:val="20"/>
                <w:szCs w:val="20"/>
              </w:rPr>
              <w:t xml:space="preserve">$130.7 </w:t>
            </w:r>
          </w:p>
        </w:tc>
      </w:tr>
      <w:tr w:rsidR="003B0815" w14:paraId="07D97C22" w14:textId="77777777">
        <w:trPr>
          <w:cantSplit/>
          <w:jc w:val="center"/>
        </w:trPr>
        <w:tc>
          <w:tcPr>
            <w:tcW w:w="1672" w:type="dxa"/>
            <w:tcBorders>
              <w:top w:val="single" w:color="auto" w:sz="4" w:space="0"/>
              <w:left w:val="single" w:color="auto" w:sz="12" w:space="0"/>
              <w:bottom w:val="single" w:color="auto" w:sz="4" w:space="0"/>
              <w:right w:val="nil"/>
            </w:tcBorders>
            <w:vAlign w:val="center"/>
          </w:tcPr>
          <w:p w:rsidR="003B0815" w:rsidRDefault="003B0815" w14:paraId="3F2CE3A1" w14:textId="77777777">
            <w:pPr>
              <w:keepNext/>
              <w:jc w:val="center"/>
              <w:rPr>
                <w:rFonts w:ascii="Arial" w:hAnsi="Arial" w:cs="Arial"/>
                <w:b/>
                <w:sz w:val="20"/>
                <w:szCs w:val="20"/>
              </w:rPr>
            </w:pPr>
            <w:r>
              <w:rPr>
                <w:rFonts w:ascii="Arial" w:hAnsi="Arial" w:cs="Arial"/>
                <w:b/>
                <w:sz w:val="20"/>
                <w:szCs w:val="20"/>
              </w:rPr>
              <w:t>Low Total</w:t>
            </w:r>
          </w:p>
        </w:tc>
        <w:tc>
          <w:tcPr>
            <w:tcW w:w="1440" w:type="dxa"/>
            <w:tcBorders>
              <w:top w:val="single" w:color="auto" w:sz="4" w:space="0"/>
              <w:left w:val="nil"/>
              <w:bottom w:val="single" w:color="auto" w:sz="4" w:space="0"/>
              <w:right w:val="nil"/>
            </w:tcBorders>
          </w:tcPr>
          <w:p w:rsidR="003B0815" w:rsidRDefault="003B0815" w14:paraId="3825796C" w14:textId="77777777">
            <w:pPr>
              <w:keepNext/>
              <w:jc w:val="center"/>
              <w:rPr>
                <w:rFonts w:ascii="Arial" w:hAnsi="Arial" w:cs="Arial"/>
                <w:b/>
                <w:sz w:val="20"/>
                <w:szCs w:val="20"/>
              </w:rPr>
            </w:pPr>
            <w:r>
              <w:rPr>
                <w:rFonts w:ascii="Arial" w:hAnsi="Arial" w:cs="Arial"/>
                <w:b/>
                <w:bCs/>
                <w:sz w:val="20"/>
                <w:szCs w:val="20"/>
              </w:rPr>
              <w:t xml:space="preserve">$78.0 </w:t>
            </w:r>
          </w:p>
        </w:tc>
        <w:tc>
          <w:tcPr>
            <w:tcW w:w="1440" w:type="dxa"/>
            <w:tcBorders>
              <w:top w:val="single" w:color="auto" w:sz="4" w:space="0"/>
              <w:left w:val="nil"/>
              <w:bottom w:val="single" w:color="auto" w:sz="4" w:space="0"/>
              <w:right w:val="nil"/>
            </w:tcBorders>
          </w:tcPr>
          <w:p w:rsidR="003B0815" w:rsidRDefault="003B0815" w14:paraId="10AFE739" w14:textId="77777777">
            <w:pPr>
              <w:keepNext/>
              <w:jc w:val="center"/>
              <w:rPr>
                <w:rFonts w:ascii="Arial" w:hAnsi="Arial" w:cs="Arial"/>
                <w:b/>
                <w:sz w:val="20"/>
                <w:szCs w:val="20"/>
              </w:rPr>
            </w:pPr>
            <w:r>
              <w:rPr>
                <w:rFonts w:ascii="Arial" w:hAnsi="Arial" w:cs="Arial"/>
                <w:b/>
                <w:bCs/>
                <w:sz w:val="20"/>
                <w:szCs w:val="20"/>
              </w:rPr>
              <w:t xml:space="preserve">$19.3 </w:t>
            </w:r>
          </w:p>
        </w:tc>
        <w:tc>
          <w:tcPr>
            <w:tcW w:w="1440" w:type="dxa"/>
            <w:tcBorders>
              <w:top w:val="single" w:color="auto" w:sz="4" w:space="0"/>
              <w:left w:val="nil"/>
              <w:bottom w:val="single" w:color="auto" w:sz="4" w:space="0"/>
              <w:right w:val="nil"/>
            </w:tcBorders>
          </w:tcPr>
          <w:p w:rsidR="003B0815" w:rsidRDefault="003B0815" w14:paraId="47463805" w14:textId="77777777">
            <w:pPr>
              <w:keepNext/>
              <w:jc w:val="center"/>
              <w:rPr>
                <w:rFonts w:ascii="Arial" w:hAnsi="Arial" w:cs="Arial"/>
                <w:b/>
                <w:sz w:val="20"/>
                <w:szCs w:val="20"/>
              </w:rPr>
            </w:pPr>
            <w:r>
              <w:rPr>
                <w:rFonts w:ascii="Arial" w:hAnsi="Arial" w:cs="Arial"/>
                <w:b/>
                <w:bCs/>
                <w:sz w:val="20"/>
                <w:szCs w:val="20"/>
              </w:rPr>
              <w:t xml:space="preserve">$7.5 </w:t>
            </w:r>
          </w:p>
        </w:tc>
        <w:tc>
          <w:tcPr>
            <w:tcW w:w="1671" w:type="dxa"/>
            <w:tcBorders>
              <w:top w:val="single" w:color="auto" w:sz="4" w:space="0"/>
              <w:left w:val="nil"/>
              <w:bottom w:val="single" w:color="auto" w:sz="4" w:space="0"/>
              <w:right w:val="single" w:color="auto" w:sz="12" w:space="0"/>
            </w:tcBorders>
          </w:tcPr>
          <w:p w:rsidR="003B0815" w:rsidRDefault="003B0815" w14:paraId="6BDFE823" w14:textId="77777777">
            <w:pPr>
              <w:keepNext/>
              <w:jc w:val="center"/>
              <w:rPr>
                <w:rFonts w:ascii="Arial" w:hAnsi="Arial" w:cs="Arial"/>
                <w:b/>
                <w:sz w:val="20"/>
                <w:szCs w:val="20"/>
              </w:rPr>
            </w:pPr>
            <w:r>
              <w:rPr>
                <w:rFonts w:ascii="Arial" w:hAnsi="Arial" w:cs="Arial"/>
                <w:b/>
                <w:bCs/>
                <w:sz w:val="20"/>
                <w:szCs w:val="20"/>
              </w:rPr>
              <w:t xml:space="preserve">$104.8 </w:t>
            </w:r>
          </w:p>
        </w:tc>
      </w:tr>
      <w:tr w:rsidR="003B0815" w14:paraId="168151DD" w14:textId="77777777">
        <w:trPr>
          <w:cantSplit/>
          <w:jc w:val="center"/>
        </w:trPr>
        <w:tc>
          <w:tcPr>
            <w:tcW w:w="1672" w:type="dxa"/>
            <w:tcBorders>
              <w:top w:val="single" w:color="auto" w:sz="4" w:space="0"/>
              <w:left w:val="single" w:color="auto" w:sz="12" w:space="0"/>
              <w:bottom w:val="single" w:color="auto" w:sz="12" w:space="0"/>
              <w:right w:val="nil"/>
            </w:tcBorders>
            <w:vAlign w:val="center"/>
          </w:tcPr>
          <w:p w:rsidR="003B0815" w:rsidRDefault="003B0815" w14:paraId="3D7BC9BE" w14:textId="77777777">
            <w:pPr>
              <w:keepNext/>
              <w:jc w:val="center"/>
              <w:rPr>
                <w:rFonts w:ascii="Arial" w:hAnsi="Arial" w:cs="Arial"/>
                <w:b/>
                <w:sz w:val="20"/>
                <w:szCs w:val="20"/>
              </w:rPr>
            </w:pPr>
            <w:r>
              <w:rPr>
                <w:rFonts w:ascii="Arial" w:hAnsi="Arial" w:cs="Arial"/>
                <w:b/>
                <w:sz w:val="20"/>
                <w:szCs w:val="20"/>
              </w:rPr>
              <w:t>High Total</w:t>
            </w:r>
          </w:p>
        </w:tc>
        <w:tc>
          <w:tcPr>
            <w:tcW w:w="1440" w:type="dxa"/>
            <w:tcBorders>
              <w:top w:val="single" w:color="auto" w:sz="4" w:space="0"/>
              <w:left w:val="nil"/>
              <w:bottom w:val="single" w:color="auto" w:sz="12" w:space="0"/>
              <w:right w:val="nil"/>
            </w:tcBorders>
          </w:tcPr>
          <w:p w:rsidR="003B0815" w:rsidRDefault="003B0815" w14:paraId="50F74A00" w14:textId="77777777">
            <w:pPr>
              <w:keepNext/>
              <w:jc w:val="center"/>
              <w:rPr>
                <w:rFonts w:ascii="Arial" w:hAnsi="Arial" w:cs="Arial"/>
                <w:b/>
                <w:sz w:val="20"/>
                <w:szCs w:val="20"/>
              </w:rPr>
            </w:pPr>
            <w:r>
              <w:rPr>
                <w:rFonts w:ascii="Arial" w:hAnsi="Arial" w:cs="Arial"/>
                <w:b/>
                <w:bCs/>
                <w:sz w:val="20"/>
                <w:szCs w:val="20"/>
              </w:rPr>
              <w:t xml:space="preserve">$116.9 </w:t>
            </w:r>
          </w:p>
        </w:tc>
        <w:tc>
          <w:tcPr>
            <w:tcW w:w="1440" w:type="dxa"/>
            <w:tcBorders>
              <w:top w:val="single" w:color="auto" w:sz="4" w:space="0"/>
              <w:left w:val="nil"/>
              <w:bottom w:val="single" w:color="auto" w:sz="12" w:space="0"/>
              <w:right w:val="nil"/>
            </w:tcBorders>
          </w:tcPr>
          <w:p w:rsidR="003B0815" w:rsidRDefault="003B0815" w14:paraId="39DEC2E2" w14:textId="77777777">
            <w:pPr>
              <w:keepNext/>
              <w:jc w:val="center"/>
              <w:rPr>
                <w:rFonts w:ascii="Arial" w:hAnsi="Arial" w:cs="Arial"/>
                <w:b/>
                <w:sz w:val="20"/>
                <w:szCs w:val="20"/>
              </w:rPr>
            </w:pPr>
            <w:r>
              <w:rPr>
                <w:rFonts w:ascii="Arial" w:hAnsi="Arial" w:cs="Arial"/>
                <w:b/>
                <w:bCs/>
                <w:sz w:val="20"/>
                <w:szCs w:val="20"/>
              </w:rPr>
              <w:t xml:space="preserve">$28.5 </w:t>
            </w:r>
          </w:p>
        </w:tc>
        <w:tc>
          <w:tcPr>
            <w:tcW w:w="1440" w:type="dxa"/>
            <w:tcBorders>
              <w:top w:val="single" w:color="auto" w:sz="4" w:space="0"/>
              <w:left w:val="nil"/>
              <w:bottom w:val="single" w:color="auto" w:sz="12" w:space="0"/>
              <w:right w:val="nil"/>
            </w:tcBorders>
          </w:tcPr>
          <w:p w:rsidR="003B0815" w:rsidRDefault="003B0815" w14:paraId="31E72C9F" w14:textId="77777777">
            <w:pPr>
              <w:keepNext/>
              <w:jc w:val="center"/>
              <w:rPr>
                <w:rFonts w:ascii="Arial" w:hAnsi="Arial" w:cs="Arial"/>
                <w:b/>
                <w:sz w:val="20"/>
                <w:szCs w:val="20"/>
              </w:rPr>
            </w:pPr>
            <w:r>
              <w:rPr>
                <w:rFonts w:ascii="Arial" w:hAnsi="Arial" w:cs="Arial"/>
                <w:b/>
                <w:bCs/>
                <w:sz w:val="20"/>
                <w:szCs w:val="20"/>
              </w:rPr>
              <w:t xml:space="preserve">$11.2 </w:t>
            </w:r>
          </w:p>
        </w:tc>
        <w:tc>
          <w:tcPr>
            <w:tcW w:w="1671" w:type="dxa"/>
            <w:tcBorders>
              <w:top w:val="single" w:color="auto" w:sz="4" w:space="0"/>
              <w:left w:val="nil"/>
              <w:bottom w:val="single" w:color="auto" w:sz="12" w:space="0"/>
              <w:right w:val="single" w:color="auto" w:sz="12" w:space="0"/>
            </w:tcBorders>
          </w:tcPr>
          <w:p w:rsidR="003B0815" w:rsidRDefault="003B0815" w14:paraId="0CA7A569" w14:textId="77777777">
            <w:pPr>
              <w:keepNext/>
              <w:jc w:val="center"/>
              <w:rPr>
                <w:rFonts w:ascii="Arial" w:hAnsi="Arial" w:cs="Arial"/>
                <w:b/>
                <w:sz w:val="20"/>
                <w:szCs w:val="20"/>
              </w:rPr>
            </w:pPr>
            <w:r>
              <w:rPr>
                <w:rFonts w:ascii="Arial" w:hAnsi="Arial" w:cs="Arial"/>
                <w:b/>
                <w:bCs/>
                <w:sz w:val="20"/>
                <w:szCs w:val="20"/>
              </w:rPr>
              <w:t xml:space="preserve">$156.6 </w:t>
            </w:r>
          </w:p>
        </w:tc>
      </w:tr>
    </w:tbl>
    <w:p w:rsidR="003B0815" w:rsidRDefault="003B0815" w14:paraId="7A2E3EE8" w14:textId="77777777">
      <w:pPr>
        <w:spacing w:line="360" w:lineRule="auto"/>
      </w:pPr>
    </w:p>
    <w:p w:rsidR="003B0815" w:rsidRDefault="003B0815" w14:paraId="5B305040" w14:textId="77777777">
      <w:pPr>
        <w:pStyle w:val="RegEvalSectionSubheader"/>
        <w:keepNext/>
        <w:spacing w:line="360" w:lineRule="auto"/>
      </w:pPr>
      <w:bookmarkStart w:name="_Toc111627387" w:id="296"/>
      <w:bookmarkStart w:name="_Toc114566440" w:id="297"/>
      <w:bookmarkStart w:name="_Toc141001091" w:id="298"/>
      <w:bookmarkStart w:name="_Toc141000920" w:id="299"/>
      <w:bookmarkStart w:name="_Toc165278446" w:id="300"/>
      <w:bookmarkStart w:name="_Toc202683396" w:id="301"/>
      <w:r>
        <w:t>1.6.4 Travel Agencies</w:t>
      </w:r>
      <w:bookmarkEnd w:id="296"/>
      <w:bookmarkEnd w:id="297"/>
      <w:bookmarkEnd w:id="298"/>
      <w:bookmarkEnd w:id="299"/>
      <w:bookmarkEnd w:id="300"/>
      <w:bookmarkEnd w:id="301"/>
    </w:p>
    <w:p w:rsidR="003B0815" w:rsidRDefault="003B0815" w14:paraId="67839EC2" w14:textId="77777777">
      <w:pPr>
        <w:spacing w:line="360" w:lineRule="auto"/>
        <w:ind w:firstLine="720"/>
      </w:pPr>
      <w:r>
        <w:t>Although not directly regulated and impacted by the rule, travel agencies will be required to request additional information at the time of reservation as a cost of doing business with air carriers.  Due to differences in the population, TSA has broken the estimate into two areas: domestic and international passengers.</w:t>
      </w:r>
    </w:p>
    <w:p w:rsidR="003B0815" w:rsidRDefault="003B0815" w14:paraId="3F6E6DD1" w14:textId="77777777">
      <w:pPr>
        <w:spacing w:line="360" w:lineRule="auto"/>
        <w:rPr>
          <w:b/>
        </w:rPr>
      </w:pPr>
      <w:r>
        <w:rPr>
          <w:b/>
        </w:rPr>
        <w:t>Domestic Passengers</w:t>
      </w:r>
    </w:p>
    <w:p w:rsidR="003B0815" w:rsidRDefault="003B0815" w14:paraId="0A77AFA3" w14:textId="77777777">
      <w:pPr>
        <w:spacing w:line="360" w:lineRule="auto"/>
        <w:ind w:firstLine="720"/>
      </w:pPr>
      <w:r>
        <w:t>TSA assumed the time impact for travel agencies to collect full name, date of birth, gender, and, if available, Redress Number are equal to airline reservation call centers: 25 additional seconds per reservation (for discussion, see Sections 1.4.2 and 1.6.3).  Furthermore, some online travel agencies will likely need to modify their websites in order to collect additional information.</w:t>
      </w:r>
    </w:p>
    <w:p w:rsidR="003B0815" w:rsidRDefault="003B0815" w14:paraId="2C99C959" w14:textId="77777777">
      <w:pPr>
        <w:spacing w:line="360" w:lineRule="auto"/>
        <w:ind w:firstLine="720"/>
      </w:pPr>
      <w:r>
        <w:t>To calculate compliance costs for traditional agencies, TSA used the same technique discussed in 1.6.3 above to calculate the additional collection time for travel agents.  Using the Bureau of Labor Statistics fully loaded wage rate of $20.69 for travel agents, TSA estimated in its primary scenario the cost of data collection at $20.0 million in the first year of implementation of Secure Flight.  Table 1.6.4.a shows this impact on travel agents.</w:t>
      </w:r>
      <w:bookmarkStart w:name="_Toc139943616" w:id="302"/>
      <w:bookmarkStart w:name="_Toc141001126" w:id="303"/>
    </w:p>
    <w:tbl>
      <w:tblPr>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679"/>
        <w:gridCol w:w="1353"/>
        <w:gridCol w:w="1080"/>
        <w:gridCol w:w="1080"/>
        <w:gridCol w:w="1080"/>
        <w:gridCol w:w="720"/>
        <w:gridCol w:w="1080"/>
        <w:gridCol w:w="1080"/>
        <w:gridCol w:w="1080"/>
      </w:tblGrid>
      <w:tr w:rsidR="003B0815" w14:paraId="57B8DA3F" w14:textId="77777777">
        <w:trPr>
          <w:jc w:val="center"/>
        </w:trPr>
        <w:tc>
          <w:tcPr>
            <w:tcW w:w="9232" w:type="dxa"/>
            <w:gridSpan w:val="9"/>
            <w:tcBorders>
              <w:top w:val="nil"/>
              <w:left w:val="nil"/>
              <w:bottom w:val="single" w:color="auto" w:sz="12" w:space="0"/>
              <w:right w:val="nil"/>
            </w:tcBorders>
            <w:vAlign w:val="center"/>
          </w:tcPr>
          <w:p w:rsidR="003B0815" w:rsidRDefault="003B0815" w14:paraId="22CE1999" w14:textId="77777777">
            <w:pPr>
              <w:pStyle w:val="RegEvalTableHeader"/>
              <w:keepNext/>
            </w:pPr>
            <w:bookmarkStart w:name="_Toc141000957" w:id="304"/>
            <w:bookmarkStart w:name="_Toc165278389" w:id="305"/>
            <w:bookmarkStart w:name="_Toc174438391" w:id="306"/>
            <w:bookmarkStart w:name="_Toc207109526" w:id="307"/>
            <w:r>
              <w:t>Table 1.6.4.a Travel Agency Data Collection Costs</w:t>
            </w:r>
            <w:bookmarkEnd w:id="302"/>
            <w:bookmarkEnd w:id="303"/>
            <w:bookmarkEnd w:id="304"/>
            <w:r>
              <w:t>, Domestic Passengers</w:t>
            </w:r>
            <w:bookmarkEnd w:id="305"/>
            <w:bookmarkEnd w:id="306"/>
            <w:bookmarkEnd w:id="307"/>
          </w:p>
        </w:tc>
      </w:tr>
      <w:tr w:rsidR="003B0815" w14:paraId="22E6F445" w14:textId="77777777">
        <w:trPr>
          <w:jc w:val="center"/>
        </w:trPr>
        <w:tc>
          <w:tcPr>
            <w:tcW w:w="679" w:type="dxa"/>
            <w:tcBorders>
              <w:top w:val="single" w:color="auto" w:sz="12" w:space="0"/>
              <w:left w:val="single" w:color="auto" w:sz="12" w:space="0"/>
            </w:tcBorders>
            <w:vAlign w:val="center"/>
          </w:tcPr>
          <w:p w:rsidR="003B0815" w:rsidRDefault="003B0815" w14:paraId="699990A8" w14:textId="77777777">
            <w:pPr>
              <w:keepNext/>
              <w:jc w:val="center"/>
              <w:rPr>
                <w:rFonts w:ascii="Arial" w:hAnsi="Arial"/>
                <w:b/>
                <w:sz w:val="20"/>
                <w:szCs w:val="20"/>
              </w:rPr>
            </w:pPr>
            <w:r>
              <w:rPr>
                <w:rFonts w:ascii="Arial" w:hAnsi="Arial" w:cs="Arial"/>
                <w:b/>
                <w:bCs/>
                <w:sz w:val="20"/>
                <w:szCs w:val="20"/>
              </w:rPr>
              <w:t>Fiscal Year</w:t>
            </w:r>
          </w:p>
        </w:tc>
        <w:tc>
          <w:tcPr>
            <w:tcW w:w="1353" w:type="dxa"/>
            <w:tcBorders>
              <w:top w:val="single" w:color="auto" w:sz="12" w:space="0"/>
            </w:tcBorders>
            <w:vAlign w:val="center"/>
          </w:tcPr>
          <w:p w:rsidR="003B0815" w:rsidRDefault="003B0815" w14:paraId="434F5AD7" w14:textId="77777777">
            <w:pPr>
              <w:keepNext/>
              <w:jc w:val="center"/>
              <w:rPr>
                <w:rFonts w:ascii="Arial" w:hAnsi="Arial" w:cs="Arial"/>
                <w:b/>
                <w:bCs/>
                <w:sz w:val="20"/>
                <w:szCs w:val="20"/>
              </w:rPr>
            </w:pPr>
            <w:r>
              <w:rPr>
                <w:rFonts w:ascii="Arial" w:hAnsi="Arial" w:cs="Arial"/>
                <w:b/>
                <w:bCs/>
                <w:sz w:val="20"/>
                <w:szCs w:val="20"/>
              </w:rPr>
              <w:t>Travel Agent Reservations</w:t>
            </w:r>
          </w:p>
          <w:p w:rsidR="003B0815" w:rsidRDefault="003B0815" w14:paraId="565CD3D4" w14:textId="77777777">
            <w:pPr>
              <w:keepNext/>
              <w:jc w:val="center"/>
              <w:rPr>
                <w:rFonts w:ascii="Arial" w:hAnsi="Arial"/>
                <w:b/>
                <w:sz w:val="20"/>
                <w:szCs w:val="20"/>
              </w:rPr>
            </w:pPr>
            <w:r>
              <w:rPr>
                <w:rFonts w:ascii="Arial" w:hAnsi="Arial" w:cs="Arial"/>
                <w:b/>
                <w:bCs/>
                <w:sz w:val="20"/>
                <w:szCs w:val="20"/>
              </w:rPr>
              <w:t>(millions)</w:t>
            </w:r>
          </w:p>
        </w:tc>
        <w:tc>
          <w:tcPr>
            <w:tcW w:w="1080" w:type="dxa"/>
            <w:tcBorders>
              <w:top w:val="single" w:color="auto" w:sz="12" w:space="0"/>
            </w:tcBorders>
            <w:vAlign w:val="center"/>
          </w:tcPr>
          <w:p w:rsidR="003B0815" w:rsidRDefault="003B0815" w14:paraId="4237512B" w14:textId="77777777">
            <w:pPr>
              <w:keepNext/>
              <w:jc w:val="center"/>
              <w:rPr>
                <w:rFonts w:ascii="Arial" w:hAnsi="Arial"/>
                <w:b/>
                <w:sz w:val="20"/>
                <w:szCs w:val="20"/>
              </w:rPr>
            </w:pPr>
            <w:r>
              <w:rPr>
                <w:rFonts w:ascii="Arial" w:hAnsi="Arial" w:cs="Arial"/>
                <w:b/>
                <w:bCs/>
                <w:sz w:val="20"/>
                <w:szCs w:val="20"/>
              </w:rPr>
              <w:t>Total Additional Hours, Primary Scenario</w:t>
            </w:r>
          </w:p>
        </w:tc>
        <w:tc>
          <w:tcPr>
            <w:tcW w:w="1080" w:type="dxa"/>
            <w:tcBorders>
              <w:top w:val="single" w:color="auto" w:sz="12" w:space="0"/>
            </w:tcBorders>
            <w:vAlign w:val="center"/>
          </w:tcPr>
          <w:p w:rsidR="003B0815" w:rsidRDefault="003B0815" w14:paraId="5F31C0B3" w14:textId="77777777">
            <w:pPr>
              <w:keepNext/>
              <w:jc w:val="center"/>
              <w:rPr>
                <w:rFonts w:ascii="Arial" w:hAnsi="Arial"/>
                <w:b/>
                <w:sz w:val="20"/>
                <w:szCs w:val="20"/>
              </w:rPr>
            </w:pPr>
            <w:r>
              <w:rPr>
                <w:rFonts w:ascii="Arial" w:hAnsi="Arial" w:cs="Arial"/>
                <w:b/>
                <w:bCs/>
                <w:sz w:val="20"/>
                <w:szCs w:val="20"/>
              </w:rPr>
              <w:t>Total Additional Hours, Low Scenario</w:t>
            </w:r>
          </w:p>
        </w:tc>
        <w:tc>
          <w:tcPr>
            <w:tcW w:w="1080" w:type="dxa"/>
            <w:tcBorders>
              <w:top w:val="single" w:color="auto" w:sz="12" w:space="0"/>
            </w:tcBorders>
            <w:vAlign w:val="center"/>
          </w:tcPr>
          <w:p w:rsidR="003B0815" w:rsidRDefault="003B0815" w14:paraId="12BA8A51" w14:textId="77777777">
            <w:pPr>
              <w:keepNext/>
              <w:jc w:val="center"/>
              <w:rPr>
                <w:rFonts w:ascii="Arial" w:hAnsi="Arial"/>
                <w:b/>
                <w:sz w:val="20"/>
                <w:szCs w:val="20"/>
              </w:rPr>
            </w:pPr>
            <w:r>
              <w:rPr>
                <w:rFonts w:ascii="Arial" w:hAnsi="Arial" w:cs="Arial"/>
                <w:b/>
                <w:bCs/>
                <w:sz w:val="20"/>
                <w:szCs w:val="20"/>
              </w:rPr>
              <w:t>Total Additional Hours, High Scenario</w:t>
            </w:r>
          </w:p>
        </w:tc>
        <w:tc>
          <w:tcPr>
            <w:tcW w:w="720" w:type="dxa"/>
            <w:tcBorders>
              <w:top w:val="single" w:color="auto" w:sz="12" w:space="0"/>
            </w:tcBorders>
            <w:vAlign w:val="center"/>
          </w:tcPr>
          <w:p w:rsidR="003B0815" w:rsidRDefault="003B0815" w14:paraId="1958FF7F" w14:textId="77777777">
            <w:pPr>
              <w:keepNext/>
              <w:jc w:val="center"/>
              <w:rPr>
                <w:rFonts w:ascii="Arial" w:hAnsi="Arial"/>
                <w:b/>
                <w:sz w:val="20"/>
                <w:szCs w:val="20"/>
              </w:rPr>
            </w:pPr>
            <w:r>
              <w:rPr>
                <w:rFonts w:ascii="Arial" w:hAnsi="Arial" w:cs="Arial"/>
                <w:b/>
                <w:bCs/>
                <w:sz w:val="20"/>
                <w:szCs w:val="20"/>
              </w:rPr>
              <w:t>Travel Agent Hourly Wage</w:t>
            </w:r>
          </w:p>
        </w:tc>
        <w:tc>
          <w:tcPr>
            <w:tcW w:w="1080" w:type="dxa"/>
            <w:tcBorders>
              <w:top w:val="single" w:color="auto" w:sz="12" w:space="0"/>
            </w:tcBorders>
            <w:vAlign w:val="center"/>
          </w:tcPr>
          <w:p w:rsidR="003B0815" w:rsidRDefault="003B0815" w14:paraId="064E7C37" w14:textId="77777777">
            <w:pPr>
              <w:keepNext/>
              <w:jc w:val="center"/>
              <w:rPr>
                <w:rFonts w:ascii="Arial" w:hAnsi="Arial"/>
                <w:b/>
                <w:sz w:val="20"/>
                <w:szCs w:val="20"/>
              </w:rPr>
            </w:pPr>
            <w:r>
              <w:rPr>
                <w:rFonts w:ascii="Arial" w:hAnsi="Arial" w:cs="Arial"/>
                <w:b/>
                <w:bCs/>
                <w:sz w:val="20"/>
                <w:szCs w:val="20"/>
              </w:rPr>
              <w:t>Total Cost, Primary Scenario (millions)</w:t>
            </w:r>
          </w:p>
        </w:tc>
        <w:tc>
          <w:tcPr>
            <w:tcW w:w="1080" w:type="dxa"/>
            <w:tcBorders>
              <w:top w:val="single" w:color="auto" w:sz="12" w:space="0"/>
            </w:tcBorders>
            <w:vAlign w:val="center"/>
          </w:tcPr>
          <w:p w:rsidR="003B0815" w:rsidRDefault="003B0815" w14:paraId="0BFFEBA0" w14:textId="77777777">
            <w:pPr>
              <w:keepNext/>
              <w:jc w:val="center"/>
              <w:rPr>
                <w:rFonts w:ascii="Arial" w:hAnsi="Arial" w:cs="Arial"/>
                <w:b/>
                <w:bCs/>
                <w:sz w:val="20"/>
                <w:szCs w:val="20"/>
              </w:rPr>
            </w:pPr>
            <w:r>
              <w:rPr>
                <w:rFonts w:ascii="Arial" w:hAnsi="Arial" w:cs="Arial"/>
                <w:b/>
                <w:bCs/>
                <w:sz w:val="20"/>
                <w:szCs w:val="20"/>
              </w:rPr>
              <w:t xml:space="preserve">Total Cost, Low </w:t>
            </w:r>
          </w:p>
          <w:p w:rsidR="003B0815" w:rsidRDefault="003B0815" w14:paraId="73FF21F4" w14:textId="77777777">
            <w:pPr>
              <w:keepNext/>
              <w:jc w:val="center"/>
              <w:rPr>
                <w:rFonts w:ascii="Arial" w:hAnsi="Arial"/>
                <w:b/>
                <w:sz w:val="20"/>
                <w:szCs w:val="20"/>
              </w:rPr>
            </w:pPr>
            <w:r>
              <w:rPr>
                <w:rFonts w:ascii="Arial" w:hAnsi="Arial" w:cs="Arial"/>
                <w:b/>
                <w:bCs/>
                <w:sz w:val="20"/>
                <w:szCs w:val="20"/>
              </w:rPr>
              <w:t>Scenario (millions)</w:t>
            </w:r>
          </w:p>
        </w:tc>
        <w:tc>
          <w:tcPr>
            <w:tcW w:w="1080" w:type="dxa"/>
            <w:tcBorders>
              <w:top w:val="single" w:color="auto" w:sz="12" w:space="0"/>
              <w:bottom w:val="single" w:color="auto" w:sz="4" w:space="0"/>
              <w:right w:val="single" w:color="auto" w:sz="12" w:space="0"/>
            </w:tcBorders>
            <w:vAlign w:val="center"/>
          </w:tcPr>
          <w:p w:rsidR="003B0815" w:rsidRDefault="003B0815" w14:paraId="1DC67CC3" w14:textId="77777777">
            <w:pPr>
              <w:keepNext/>
              <w:jc w:val="center"/>
              <w:rPr>
                <w:rFonts w:ascii="Arial" w:hAnsi="Arial" w:cs="Arial"/>
                <w:b/>
                <w:bCs/>
                <w:sz w:val="20"/>
                <w:szCs w:val="20"/>
              </w:rPr>
            </w:pPr>
            <w:r>
              <w:rPr>
                <w:rFonts w:ascii="Arial" w:hAnsi="Arial" w:cs="Arial"/>
                <w:b/>
                <w:bCs/>
                <w:sz w:val="20"/>
                <w:szCs w:val="20"/>
              </w:rPr>
              <w:t xml:space="preserve">Total Cost, High </w:t>
            </w:r>
          </w:p>
          <w:p w:rsidR="003B0815" w:rsidRDefault="003B0815" w14:paraId="62AD06B3" w14:textId="77777777">
            <w:pPr>
              <w:keepNext/>
              <w:jc w:val="center"/>
              <w:rPr>
                <w:rFonts w:ascii="Arial" w:hAnsi="Arial"/>
                <w:b/>
                <w:sz w:val="20"/>
                <w:szCs w:val="20"/>
              </w:rPr>
            </w:pPr>
            <w:r>
              <w:rPr>
                <w:rFonts w:ascii="Arial" w:hAnsi="Arial" w:cs="Arial"/>
                <w:b/>
                <w:bCs/>
                <w:sz w:val="20"/>
                <w:szCs w:val="20"/>
              </w:rPr>
              <w:t>Scenario (millions)</w:t>
            </w:r>
          </w:p>
        </w:tc>
      </w:tr>
      <w:tr w:rsidR="003B0815" w14:paraId="5DE2A6F9" w14:textId="77777777">
        <w:trPr>
          <w:jc w:val="center"/>
        </w:trPr>
        <w:tc>
          <w:tcPr>
            <w:tcW w:w="679" w:type="dxa"/>
            <w:tcBorders>
              <w:left w:val="single" w:color="auto" w:sz="12" w:space="0"/>
            </w:tcBorders>
            <w:vAlign w:val="center"/>
          </w:tcPr>
          <w:p w:rsidR="003B0815" w:rsidRDefault="003B0815" w14:paraId="1135BC7B" w14:textId="77777777">
            <w:pPr>
              <w:keepNext/>
              <w:jc w:val="center"/>
              <w:rPr>
                <w:rFonts w:ascii="Arial" w:hAnsi="Arial"/>
                <w:sz w:val="20"/>
                <w:szCs w:val="20"/>
              </w:rPr>
            </w:pPr>
            <w:r>
              <w:rPr>
                <w:rFonts w:ascii="Arial" w:hAnsi="Arial" w:cs="Arial"/>
                <w:b/>
                <w:bCs/>
                <w:sz w:val="20"/>
                <w:szCs w:val="20"/>
              </w:rPr>
              <w:t> </w:t>
            </w:r>
          </w:p>
        </w:tc>
        <w:tc>
          <w:tcPr>
            <w:tcW w:w="1353" w:type="dxa"/>
            <w:vAlign w:val="center"/>
          </w:tcPr>
          <w:p w:rsidR="003B0815" w:rsidRDefault="003B0815" w14:paraId="558C841D" w14:textId="77777777">
            <w:pPr>
              <w:keepNext/>
              <w:jc w:val="center"/>
              <w:rPr>
                <w:rFonts w:ascii="Arial" w:hAnsi="Arial"/>
                <w:sz w:val="20"/>
                <w:szCs w:val="20"/>
              </w:rPr>
            </w:pPr>
            <w:r>
              <w:rPr>
                <w:rFonts w:ascii="Arial" w:hAnsi="Arial" w:cs="Arial"/>
                <w:b/>
                <w:bCs/>
                <w:sz w:val="20"/>
                <w:szCs w:val="20"/>
              </w:rPr>
              <w:t>(A)</w:t>
            </w:r>
          </w:p>
        </w:tc>
        <w:tc>
          <w:tcPr>
            <w:tcW w:w="1080" w:type="dxa"/>
            <w:vAlign w:val="center"/>
          </w:tcPr>
          <w:p w:rsidR="003B0815" w:rsidRDefault="003B0815" w14:paraId="0AB526AD"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62998207" w14:textId="77777777">
            <w:pPr>
              <w:keepNext/>
              <w:jc w:val="center"/>
              <w:rPr>
                <w:rFonts w:ascii="Arial" w:hAnsi="Arial"/>
                <w:sz w:val="20"/>
                <w:szCs w:val="20"/>
              </w:rPr>
            </w:pPr>
            <w:r>
              <w:rPr>
                <w:rFonts w:ascii="Arial" w:hAnsi="Arial" w:cs="Arial"/>
                <w:b/>
                <w:bCs/>
                <w:sz w:val="20"/>
                <w:szCs w:val="20"/>
              </w:rPr>
              <w:t>(C)</w:t>
            </w:r>
          </w:p>
        </w:tc>
        <w:tc>
          <w:tcPr>
            <w:tcW w:w="1080" w:type="dxa"/>
            <w:vAlign w:val="center"/>
          </w:tcPr>
          <w:p w:rsidR="003B0815" w:rsidRDefault="003B0815" w14:paraId="361E35D0" w14:textId="77777777">
            <w:pPr>
              <w:keepNext/>
              <w:jc w:val="center"/>
              <w:rPr>
                <w:rFonts w:ascii="Arial" w:hAnsi="Arial"/>
                <w:sz w:val="20"/>
                <w:szCs w:val="20"/>
              </w:rPr>
            </w:pPr>
            <w:r>
              <w:rPr>
                <w:rFonts w:ascii="Arial" w:hAnsi="Arial" w:cs="Arial"/>
                <w:b/>
                <w:bCs/>
                <w:sz w:val="20"/>
                <w:szCs w:val="20"/>
              </w:rPr>
              <w:t>(D)</w:t>
            </w:r>
          </w:p>
        </w:tc>
        <w:tc>
          <w:tcPr>
            <w:tcW w:w="720" w:type="dxa"/>
            <w:vAlign w:val="center"/>
          </w:tcPr>
          <w:p w:rsidR="003B0815" w:rsidRDefault="003B0815" w14:paraId="40033C49" w14:textId="77777777">
            <w:pPr>
              <w:keepNext/>
              <w:jc w:val="center"/>
              <w:rPr>
                <w:rFonts w:ascii="Arial" w:hAnsi="Arial"/>
                <w:sz w:val="20"/>
                <w:szCs w:val="20"/>
              </w:rPr>
            </w:pPr>
            <w:r>
              <w:rPr>
                <w:rFonts w:ascii="Arial" w:hAnsi="Arial" w:cs="Arial"/>
                <w:b/>
                <w:bCs/>
                <w:sz w:val="20"/>
                <w:szCs w:val="20"/>
              </w:rPr>
              <w:t>(E)</w:t>
            </w:r>
          </w:p>
        </w:tc>
        <w:tc>
          <w:tcPr>
            <w:tcW w:w="1080" w:type="dxa"/>
            <w:shd w:val="clear" w:color="auto" w:fill="CCCCCC"/>
            <w:vAlign w:val="center"/>
          </w:tcPr>
          <w:p w:rsidR="003B0815" w:rsidRDefault="003B0815" w14:paraId="572CA08C" w14:textId="77777777">
            <w:pPr>
              <w:keepNext/>
              <w:jc w:val="center"/>
              <w:rPr>
                <w:rFonts w:ascii="Arial" w:hAnsi="Arial"/>
                <w:b/>
                <w:sz w:val="20"/>
                <w:szCs w:val="20"/>
              </w:rPr>
            </w:pPr>
            <w:r>
              <w:rPr>
                <w:rFonts w:ascii="Arial" w:hAnsi="Arial" w:cs="Arial"/>
                <w:b/>
                <w:bCs/>
                <w:sz w:val="20"/>
                <w:szCs w:val="20"/>
              </w:rPr>
              <w:t>(B x E)</w:t>
            </w:r>
          </w:p>
        </w:tc>
        <w:tc>
          <w:tcPr>
            <w:tcW w:w="1080" w:type="dxa"/>
            <w:shd w:val="clear" w:color="auto" w:fill="CCCCCC"/>
            <w:vAlign w:val="center"/>
          </w:tcPr>
          <w:p w:rsidR="003B0815" w:rsidRDefault="003B0815" w14:paraId="66180781" w14:textId="77777777">
            <w:pPr>
              <w:keepNext/>
              <w:jc w:val="center"/>
              <w:rPr>
                <w:rFonts w:ascii="Arial" w:hAnsi="Arial"/>
                <w:b/>
                <w:sz w:val="20"/>
                <w:szCs w:val="20"/>
              </w:rPr>
            </w:pPr>
            <w:r>
              <w:rPr>
                <w:rFonts w:ascii="Arial" w:hAnsi="Arial" w:cs="Arial"/>
                <w:b/>
                <w:bCs/>
                <w:sz w:val="20"/>
                <w:szCs w:val="20"/>
              </w:rPr>
              <w:t>(C x E)</w:t>
            </w:r>
          </w:p>
        </w:tc>
        <w:tc>
          <w:tcPr>
            <w:tcW w:w="1080" w:type="dxa"/>
            <w:tcBorders>
              <w:right w:val="single" w:color="auto" w:sz="12" w:space="0"/>
            </w:tcBorders>
            <w:shd w:val="clear" w:color="auto" w:fill="CCCCCC"/>
            <w:vAlign w:val="center"/>
          </w:tcPr>
          <w:p w:rsidR="003B0815" w:rsidRDefault="003B0815" w14:paraId="42E4C83D" w14:textId="77777777">
            <w:pPr>
              <w:keepNext/>
              <w:jc w:val="center"/>
              <w:rPr>
                <w:rFonts w:ascii="Arial" w:hAnsi="Arial"/>
                <w:b/>
                <w:sz w:val="20"/>
                <w:szCs w:val="20"/>
              </w:rPr>
            </w:pPr>
            <w:r>
              <w:rPr>
                <w:rFonts w:ascii="Arial" w:hAnsi="Arial" w:cs="Arial"/>
                <w:b/>
                <w:bCs/>
                <w:sz w:val="20"/>
                <w:szCs w:val="20"/>
              </w:rPr>
              <w:t>(D x E)</w:t>
            </w:r>
          </w:p>
        </w:tc>
      </w:tr>
      <w:tr w:rsidR="003B0815" w14:paraId="7E0D4FCE" w14:textId="77777777">
        <w:trPr>
          <w:jc w:val="center"/>
        </w:trPr>
        <w:tc>
          <w:tcPr>
            <w:tcW w:w="679" w:type="dxa"/>
            <w:tcBorders>
              <w:left w:val="single" w:color="auto" w:sz="12" w:space="0"/>
            </w:tcBorders>
          </w:tcPr>
          <w:p w:rsidR="003B0815" w:rsidRDefault="003B0815" w14:paraId="5B2C7DFD" w14:textId="77777777">
            <w:pPr>
              <w:keepNext/>
              <w:jc w:val="center"/>
              <w:rPr>
                <w:rFonts w:ascii="Arial" w:hAnsi="Arial"/>
                <w:sz w:val="20"/>
                <w:szCs w:val="20"/>
              </w:rPr>
            </w:pPr>
            <w:r>
              <w:t>2008</w:t>
            </w:r>
          </w:p>
        </w:tc>
        <w:tc>
          <w:tcPr>
            <w:tcW w:w="1353" w:type="dxa"/>
            <w:vAlign w:val="bottom"/>
          </w:tcPr>
          <w:p w:rsidR="003B0815" w:rsidRDefault="003B0815" w14:paraId="54EA4374" w14:textId="77777777">
            <w:pPr>
              <w:keepNext/>
              <w:jc w:val="center"/>
              <w:rPr>
                <w:rFonts w:ascii="Arial" w:hAnsi="Arial"/>
                <w:sz w:val="20"/>
                <w:szCs w:val="20"/>
              </w:rPr>
            </w:pPr>
            <w:r>
              <w:rPr>
                <w:rFonts w:ascii="Arial" w:hAnsi="Arial" w:cs="Arial"/>
                <w:sz w:val="20"/>
                <w:szCs w:val="20"/>
              </w:rPr>
              <w:t>139.5</w:t>
            </w:r>
          </w:p>
        </w:tc>
        <w:tc>
          <w:tcPr>
            <w:tcW w:w="1080" w:type="dxa"/>
            <w:vAlign w:val="bottom"/>
          </w:tcPr>
          <w:p w:rsidR="003B0815" w:rsidRDefault="003B0815" w14:paraId="3A2A8C3D" w14:textId="77777777">
            <w:pPr>
              <w:keepNext/>
              <w:jc w:val="center"/>
              <w:rPr>
                <w:rFonts w:ascii="Arial" w:hAnsi="Arial"/>
                <w:sz w:val="20"/>
                <w:szCs w:val="20"/>
              </w:rPr>
            </w:pPr>
            <w:r>
              <w:rPr>
                <w:rFonts w:ascii="Arial" w:hAnsi="Arial" w:cs="Arial"/>
                <w:sz w:val="20"/>
                <w:szCs w:val="20"/>
              </w:rPr>
              <w:t xml:space="preserve">               969,000 </w:t>
            </w:r>
          </w:p>
        </w:tc>
        <w:tc>
          <w:tcPr>
            <w:tcW w:w="1080" w:type="dxa"/>
            <w:vAlign w:val="bottom"/>
          </w:tcPr>
          <w:p w:rsidR="003B0815" w:rsidRDefault="003B0815" w14:paraId="0D52C480" w14:textId="77777777">
            <w:pPr>
              <w:keepNext/>
              <w:jc w:val="center"/>
              <w:rPr>
                <w:rFonts w:ascii="Arial" w:hAnsi="Arial"/>
                <w:sz w:val="20"/>
                <w:szCs w:val="20"/>
              </w:rPr>
            </w:pPr>
            <w:r>
              <w:rPr>
                <w:rFonts w:ascii="Arial" w:hAnsi="Arial" w:cs="Arial"/>
                <w:sz w:val="20"/>
                <w:szCs w:val="20"/>
              </w:rPr>
              <w:t xml:space="preserve">        775,000 </w:t>
            </w:r>
          </w:p>
        </w:tc>
        <w:tc>
          <w:tcPr>
            <w:tcW w:w="1080" w:type="dxa"/>
            <w:vAlign w:val="bottom"/>
          </w:tcPr>
          <w:p w:rsidR="003B0815" w:rsidRDefault="003B0815" w14:paraId="3B4908CA" w14:textId="77777777">
            <w:pPr>
              <w:keepNext/>
              <w:jc w:val="center"/>
              <w:rPr>
                <w:rFonts w:ascii="Arial" w:hAnsi="Arial"/>
                <w:sz w:val="20"/>
                <w:szCs w:val="20"/>
              </w:rPr>
            </w:pPr>
            <w:r>
              <w:rPr>
                <w:rFonts w:ascii="Arial" w:hAnsi="Arial" w:cs="Arial"/>
                <w:sz w:val="20"/>
                <w:szCs w:val="20"/>
              </w:rPr>
              <w:t xml:space="preserve">       1,163,000 </w:t>
            </w:r>
          </w:p>
        </w:tc>
        <w:tc>
          <w:tcPr>
            <w:tcW w:w="720" w:type="dxa"/>
            <w:vAlign w:val="bottom"/>
          </w:tcPr>
          <w:p w:rsidR="003B0815" w:rsidRDefault="003B0815" w14:paraId="7BE30040" w14:textId="77777777">
            <w:pPr>
              <w:keepNext/>
              <w:jc w:val="center"/>
              <w:rPr>
                <w:rFonts w:ascii="Arial" w:hAnsi="Arial"/>
                <w:sz w:val="20"/>
                <w:szCs w:val="20"/>
              </w:rPr>
            </w:pPr>
            <w:r>
              <w:rPr>
                <w:rFonts w:ascii="Arial" w:hAnsi="Arial" w:cs="Arial"/>
                <w:sz w:val="20"/>
                <w:szCs w:val="20"/>
              </w:rPr>
              <w:t xml:space="preserve">$20.69 </w:t>
            </w:r>
          </w:p>
        </w:tc>
        <w:tc>
          <w:tcPr>
            <w:tcW w:w="1080" w:type="dxa"/>
            <w:shd w:val="clear" w:color="auto" w:fill="CCCCCC"/>
            <w:vAlign w:val="bottom"/>
          </w:tcPr>
          <w:p w:rsidR="003B0815" w:rsidRDefault="003B0815" w14:paraId="4E8D9368" w14:textId="77777777">
            <w:pPr>
              <w:keepNext/>
              <w:jc w:val="right"/>
              <w:rPr>
                <w:rFonts w:ascii="Arial" w:hAnsi="Arial"/>
                <w:b/>
                <w:sz w:val="20"/>
                <w:szCs w:val="20"/>
              </w:rPr>
            </w:pPr>
            <w:r>
              <w:rPr>
                <w:rFonts w:ascii="Arial" w:hAnsi="Arial" w:cs="Arial"/>
                <w:sz w:val="20"/>
                <w:szCs w:val="20"/>
              </w:rPr>
              <w:t>$20.9</w:t>
            </w:r>
          </w:p>
        </w:tc>
        <w:tc>
          <w:tcPr>
            <w:tcW w:w="1080" w:type="dxa"/>
            <w:shd w:val="clear" w:color="auto" w:fill="CCCCCC"/>
            <w:vAlign w:val="bottom"/>
          </w:tcPr>
          <w:p w:rsidR="003B0815" w:rsidRDefault="003B0815" w14:paraId="285CD5DF" w14:textId="77777777">
            <w:pPr>
              <w:keepNext/>
              <w:jc w:val="right"/>
              <w:rPr>
                <w:rFonts w:ascii="Arial" w:hAnsi="Arial"/>
                <w:b/>
                <w:sz w:val="20"/>
                <w:szCs w:val="20"/>
              </w:rPr>
            </w:pPr>
            <w:r>
              <w:rPr>
                <w:rFonts w:ascii="Arial" w:hAnsi="Arial" w:cs="Arial"/>
                <w:sz w:val="20"/>
                <w:szCs w:val="20"/>
              </w:rPr>
              <w:t>$16.9</w:t>
            </w:r>
          </w:p>
        </w:tc>
        <w:tc>
          <w:tcPr>
            <w:tcW w:w="1080" w:type="dxa"/>
            <w:tcBorders>
              <w:right w:val="single" w:color="auto" w:sz="12" w:space="0"/>
            </w:tcBorders>
            <w:shd w:val="clear" w:color="auto" w:fill="CCCCCC"/>
            <w:vAlign w:val="bottom"/>
          </w:tcPr>
          <w:p w:rsidR="003B0815" w:rsidRDefault="003B0815" w14:paraId="0C85A4BB" w14:textId="77777777">
            <w:pPr>
              <w:keepNext/>
              <w:jc w:val="right"/>
              <w:rPr>
                <w:rFonts w:ascii="Arial" w:hAnsi="Arial"/>
                <w:b/>
                <w:sz w:val="20"/>
                <w:szCs w:val="20"/>
              </w:rPr>
            </w:pPr>
            <w:r>
              <w:rPr>
                <w:rFonts w:ascii="Arial" w:hAnsi="Arial" w:cs="Arial"/>
                <w:sz w:val="20"/>
                <w:szCs w:val="20"/>
              </w:rPr>
              <w:t>25.0</w:t>
            </w:r>
          </w:p>
        </w:tc>
      </w:tr>
      <w:tr w:rsidR="003B0815" w14:paraId="4D0FA1B2" w14:textId="77777777">
        <w:trPr>
          <w:jc w:val="center"/>
        </w:trPr>
        <w:tc>
          <w:tcPr>
            <w:tcW w:w="679" w:type="dxa"/>
            <w:tcBorders>
              <w:left w:val="single" w:color="auto" w:sz="12" w:space="0"/>
            </w:tcBorders>
          </w:tcPr>
          <w:p w:rsidR="003B0815" w:rsidRDefault="003B0815" w14:paraId="5FBB82AD" w14:textId="77777777">
            <w:pPr>
              <w:keepNext/>
              <w:jc w:val="center"/>
              <w:rPr>
                <w:rFonts w:ascii="Arial" w:hAnsi="Arial"/>
                <w:sz w:val="20"/>
                <w:szCs w:val="20"/>
              </w:rPr>
            </w:pPr>
            <w:r>
              <w:t>2009</w:t>
            </w:r>
          </w:p>
        </w:tc>
        <w:tc>
          <w:tcPr>
            <w:tcW w:w="1353" w:type="dxa"/>
            <w:vAlign w:val="bottom"/>
          </w:tcPr>
          <w:p w:rsidR="003B0815" w:rsidRDefault="003B0815" w14:paraId="379115F8" w14:textId="77777777">
            <w:pPr>
              <w:keepNext/>
              <w:jc w:val="center"/>
              <w:rPr>
                <w:rFonts w:ascii="Arial" w:hAnsi="Arial"/>
                <w:sz w:val="20"/>
                <w:szCs w:val="20"/>
              </w:rPr>
            </w:pPr>
            <w:r>
              <w:rPr>
                <w:rFonts w:ascii="Arial" w:hAnsi="Arial" w:cs="Arial"/>
                <w:sz w:val="20"/>
                <w:szCs w:val="20"/>
              </w:rPr>
              <w:t>143.8</w:t>
            </w:r>
          </w:p>
        </w:tc>
        <w:tc>
          <w:tcPr>
            <w:tcW w:w="1080" w:type="dxa"/>
            <w:vAlign w:val="bottom"/>
          </w:tcPr>
          <w:p w:rsidR="003B0815" w:rsidRDefault="003B0815" w14:paraId="54048CE1" w14:textId="77777777">
            <w:pPr>
              <w:keepNext/>
              <w:jc w:val="center"/>
              <w:rPr>
                <w:rFonts w:ascii="Arial" w:hAnsi="Arial"/>
                <w:sz w:val="20"/>
                <w:szCs w:val="20"/>
              </w:rPr>
            </w:pPr>
            <w:r>
              <w:rPr>
                <w:rFonts w:ascii="Arial" w:hAnsi="Arial" w:cs="Arial"/>
                <w:sz w:val="20"/>
                <w:szCs w:val="20"/>
              </w:rPr>
              <w:t xml:space="preserve">               999,000 </w:t>
            </w:r>
          </w:p>
        </w:tc>
        <w:tc>
          <w:tcPr>
            <w:tcW w:w="1080" w:type="dxa"/>
            <w:vAlign w:val="bottom"/>
          </w:tcPr>
          <w:p w:rsidR="003B0815" w:rsidRDefault="003B0815" w14:paraId="4D9D8002" w14:textId="77777777">
            <w:pPr>
              <w:keepNext/>
              <w:jc w:val="center"/>
              <w:rPr>
                <w:rFonts w:ascii="Arial" w:hAnsi="Arial"/>
                <w:sz w:val="20"/>
                <w:szCs w:val="20"/>
              </w:rPr>
            </w:pPr>
            <w:r>
              <w:rPr>
                <w:rFonts w:ascii="Arial" w:hAnsi="Arial" w:cs="Arial"/>
                <w:sz w:val="20"/>
                <w:szCs w:val="20"/>
              </w:rPr>
              <w:t xml:space="preserve">        799,000 </w:t>
            </w:r>
          </w:p>
        </w:tc>
        <w:tc>
          <w:tcPr>
            <w:tcW w:w="1080" w:type="dxa"/>
            <w:vAlign w:val="bottom"/>
          </w:tcPr>
          <w:p w:rsidR="003B0815" w:rsidRDefault="003B0815" w14:paraId="2E44B8A0" w14:textId="77777777">
            <w:pPr>
              <w:keepNext/>
              <w:jc w:val="center"/>
              <w:rPr>
                <w:rFonts w:ascii="Arial" w:hAnsi="Arial"/>
                <w:sz w:val="20"/>
                <w:szCs w:val="20"/>
              </w:rPr>
            </w:pPr>
            <w:r>
              <w:rPr>
                <w:rFonts w:ascii="Arial" w:hAnsi="Arial" w:cs="Arial"/>
                <w:sz w:val="20"/>
                <w:szCs w:val="20"/>
              </w:rPr>
              <w:t xml:space="preserve">       1,198,000 </w:t>
            </w:r>
          </w:p>
        </w:tc>
        <w:tc>
          <w:tcPr>
            <w:tcW w:w="720" w:type="dxa"/>
            <w:vAlign w:val="bottom"/>
          </w:tcPr>
          <w:p w:rsidR="003B0815" w:rsidRDefault="003B0815" w14:paraId="1D6B9B2F"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442D115F" w14:textId="77777777">
            <w:pPr>
              <w:keepNext/>
              <w:jc w:val="right"/>
              <w:rPr>
                <w:rFonts w:ascii="Arial" w:hAnsi="Arial"/>
                <w:b/>
                <w:sz w:val="20"/>
                <w:szCs w:val="20"/>
              </w:rPr>
            </w:pPr>
            <w:r>
              <w:rPr>
                <w:rFonts w:ascii="Arial" w:hAnsi="Arial" w:cs="Arial"/>
                <w:sz w:val="20"/>
                <w:szCs w:val="20"/>
              </w:rPr>
              <w:t>20.7</w:t>
            </w:r>
          </w:p>
        </w:tc>
        <w:tc>
          <w:tcPr>
            <w:tcW w:w="1080" w:type="dxa"/>
            <w:shd w:val="clear" w:color="auto" w:fill="CCCCCC"/>
            <w:vAlign w:val="bottom"/>
          </w:tcPr>
          <w:p w:rsidR="003B0815" w:rsidRDefault="003B0815" w14:paraId="1000454D" w14:textId="77777777">
            <w:pPr>
              <w:keepNext/>
              <w:jc w:val="right"/>
              <w:rPr>
                <w:rFonts w:ascii="Arial" w:hAnsi="Arial"/>
                <w:b/>
                <w:sz w:val="20"/>
                <w:szCs w:val="20"/>
              </w:rPr>
            </w:pPr>
            <w:r>
              <w:rPr>
                <w:rFonts w:ascii="Arial" w:hAnsi="Arial" w:cs="Arial"/>
                <w:sz w:val="20"/>
                <w:szCs w:val="20"/>
              </w:rPr>
              <w:t>16.5</w:t>
            </w:r>
          </w:p>
        </w:tc>
        <w:tc>
          <w:tcPr>
            <w:tcW w:w="1080" w:type="dxa"/>
            <w:tcBorders>
              <w:right w:val="single" w:color="auto" w:sz="12" w:space="0"/>
            </w:tcBorders>
            <w:shd w:val="clear" w:color="auto" w:fill="CCCCCC"/>
            <w:vAlign w:val="bottom"/>
          </w:tcPr>
          <w:p w:rsidR="003B0815" w:rsidRDefault="003B0815" w14:paraId="756F6200" w14:textId="77777777">
            <w:pPr>
              <w:keepNext/>
              <w:jc w:val="right"/>
              <w:rPr>
                <w:rFonts w:ascii="Arial" w:hAnsi="Arial"/>
                <w:b/>
                <w:sz w:val="20"/>
                <w:szCs w:val="20"/>
              </w:rPr>
            </w:pPr>
            <w:r>
              <w:rPr>
                <w:rFonts w:ascii="Arial" w:hAnsi="Arial" w:cs="Arial"/>
                <w:sz w:val="20"/>
                <w:szCs w:val="20"/>
              </w:rPr>
              <w:t>24.8</w:t>
            </w:r>
          </w:p>
        </w:tc>
      </w:tr>
      <w:tr w:rsidR="003B0815" w14:paraId="590ABEE1" w14:textId="77777777">
        <w:trPr>
          <w:jc w:val="center"/>
        </w:trPr>
        <w:tc>
          <w:tcPr>
            <w:tcW w:w="679" w:type="dxa"/>
            <w:tcBorders>
              <w:left w:val="single" w:color="auto" w:sz="12" w:space="0"/>
            </w:tcBorders>
          </w:tcPr>
          <w:p w:rsidR="003B0815" w:rsidRDefault="003B0815" w14:paraId="6BBB01B4" w14:textId="77777777">
            <w:pPr>
              <w:keepNext/>
              <w:jc w:val="center"/>
              <w:rPr>
                <w:rFonts w:ascii="Arial" w:hAnsi="Arial"/>
                <w:sz w:val="20"/>
                <w:szCs w:val="20"/>
              </w:rPr>
            </w:pPr>
            <w:r>
              <w:t>2010</w:t>
            </w:r>
          </w:p>
        </w:tc>
        <w:tc>
          <w:tcPr>
            <w:tcW w:w="1353" w:type="dxa"/>
            <w:vAlign w:val="bottom"/>
          </w:tcPr>
          <w:p w:rsidR="003B0815" w:rsidRDefault="003B0815" w14:paraId="003D40A5" w14:textId="77777777">
            <w:pPr>
              <w:keepNext/>
              <w:jc w:val="center"/>
              <w:rPr>
                <w:rFonts w:ascii="Arial" w:hAnsi="Arial"/>
                <w:sz w:val="20"/>
                <w:szCs w:val="20"/>
              </w:rPr>
            </w:pPr>
            <w:r>
              <w:rPr>
                <w:rFonts w:ascii="Arial" w:hAnsi="Arial" w:cs="Arial"/>
                <w:sz w:val="20"/>
                <w:szCs w:val="20"/>
              </w:rPr>
              <w:t>148.3</w:t>
            </w:r>
          </w:p>
        </w:tc>
        <w:tc>
          <w:tcPr>
            <w:tcW w:w="1080" w:type="dxa"/>
            <w:vAlign w:val="bottom"/>
          </w:tcPr>
          <w:p w:rsidR="003B0815" w:rsidRDefault="003B0815" w14:paraId="48E59CEF" w14:textId="77777777">
            <w:pPr>
              <w:keepNext/>
              <w:jc w:val="center"/>
              <w:rPr>
                <w:rFonts w:ascii="Arial" w:hAnsi="Arial"/>
                <w:sz w:val="20"/>
                <w:szCs w:val="20"/>
              </w:rPr>
            </w:pPr>
            <w:r>
              <w:rPr>
                <w:rFonts w:ascii="Arial" w:hAnsi="Arial" w:cs="Arial"/>
                <w:sz w:val="20"/>
                <w:szCs w:val="20"/>
              </w:rPr>
              <w:t xml:space="preserve">            1,030,000 </w:t>
            </w:r>
          </w:p>
        </w:tc>
        <w:tc>
          <w:tcPr>
            <w:tcW w:w="1080" w:type="dxa"/>
            <w:vAlign w:val="bottom"/>
          </w:tcPr>
          <w:p w:rsidR="003B0815" w:rsidRDefault="003B0815" w14:paraId="2BC24FFF" w14:textId="77777777">
            <w:pPr>
              <w:keepNext/>
              <w:jc w:val="center"/>
              <w:rPr>
                <w:rFonts w:ascii="Arial" w:hAnsi="Arial"/>
                <w:sz w:val="20"/>
                <w:szCs w:val="20"/>
              </w:rPr>
            </w:pPr>
            <w:r>
              <w:rPr>
                <w:rFonts w:ascii="Arial" w:hAnsi="Arial" w:cs="Arial"/>
                <w:sz w:val="20"/>
                <w:szCs w:val="20"/>
              </w:rPr>
              <w:t xml:space="preserve">        824,000 </w:t>
            </w:r>
          </w:p>
        </w:tc>
        <w:tc>
          <w:tcPr>
            <w:tcW w:w="1080" w:type="dxa"/>
            <w:vAlign w:val="bottom"/>
          </w:tcPr>
          <w:p w:rsidR="003B0815" w:rsidRDefault="003B0815" w14:paraId="5883C353" w14:textId="77777777">
            <w:pPr>
              <w:keepNext/>
              <w:jc w:val="center"/>
              <w:rPr>
                <w:rFonts w:ascii="Arial" w:hAnsi="Arial"/>
                <w:sz w:val="20"/>
                <w:szCs w:val="20"/>
              </w:rPr>
            </w:pPr>
            <w:r>
              <w:rPr>
                <w:rFonts w:ascii="Arial" w:hAnsi="Arial" w:cs="Arial"/>
                <w:sz w:val="20"/>
                <w:szCs w:val="20"/>
              </w:rPr>
              <w:t xml:space="preserve">       1,236,000 </w:t>
            </w:r>
          </w:p>
        </w:tc>
        <w:tc>
          <w:tcPr>
            <w:tcW w:w="720" w:type="dxa"/>
            <w:vAlign w:val="bottom"/>
          </w:tcPr>
          <w:p w:rsidR="003B0815" w:rsidRDefault="003B0815" w14:paraId="51E93140"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7A1345E1" w14:textId="77777777">
            <w:pPr>
              <w:keepNext/>
              <w:jc w:val="right"/>
              <w:rPr>
                <w:rFonts w:ascii="Arial" w:hAnsi="Arial"/>
                <w:b/>
                <w:sz w:val="20"/>
                <w:szCs w:val="20"/>
              </w:rPr>
            </w:pPr>
            <w:r>
              <w:rPr>
                <w:rFonts w:ascii="Arial" w:hAnsi="Arial" w:cs="Arial"/>
                <w:sz w:val="20"/>
                <w:szCs w:val="20"/>
              </w:rPr>
              <w:t>21.3</w:t>
            </w:r>
          </w:p>
        </w:tc>
        <w:tc>
          <w:tcPr>
            <w:tcW w:w="1080" w:type="dxa"/>
            <w:shd w:val="clear" w:color="auto" w:fill="CCCCCC"/>
            <w:vAlign w:val="bottom"/>
          </w:tcPr>
          <w:p w:rsidR="003B0815" w:rsidRDefault="003B0815" w14:paraId="506CBC94" w14:textId="77777777">
            <w:pPr>
              <w:keepNext/>
              <w:jc w:val="right"/>
              <w:rPr>
                <w:rFonts w:ascii="Arial" w:hAnsi="Arial"/>
                <w:b/>
                <w:sz w:val="20"/>
                <w:szCs w:val="20"/>
              </w:rPr>
            </w:pPr>
            <w:r>
              <w:rPr>
                <w:rFonts w:ascii="Arial" w:hAnsi="Arial" w:cs="Arial"/>
                <w:sz w:val="20"/>
                <w:szCs w:val="20"/>
              </w:rPr>
              <w:t>17</w:t>
            </w:r>
          </w:p>
        </w:tc>
        <w:tc>
          <w:tcPr>
            <w:tcW w:w="1080" w:type="dxa"/>
            <w:tcBorders>
              <w:right w:val="single" w:color="auto" w:sz="12" w:space="0"/>
            </w:tcBorders>
            <w:shd w:val="clear" w:color="auto" w:fill="CCCCCC"/>
            <w:vAlign w:val="bottom"/>
          </w:tcPr>
          <w:p w:rsidR="003B0815" w:rsidRDefault="003B0815" w14:paraId="768B4CB5" w14:textId="77777777">
            <w:pPr>
              <w:keepNext/>
              <w:jc w:val="right"/>
              <w:rPr>
                <w:rFonts w:ascii="Arial" w:hAnsi="Arial"/>
                <w:b/>
                <w:sz w:val="20"/>
                <w:szCs w:val="20"/>
              </w:rPr>
            </w:pPr>
            <w:r>
              <w:rPr>
                <w:rFonts w:ascii="Arial" w:hAnsi="Arial" w:cs="Arial"/>
                <w:sz w:val="20"/>
                <w:szCs w:val="20"/>
              </w:rPr>
              <w:t>25.6</w:t>
            </w:r>
          </w:p>
        </w:tc>
      </w:tr>
      <w:tr w:rsidR="003B0815" w14:paraId="0A8AD9AC" w14:textId="77777777">
        <w:trPr>
          <w:jc w:val="center"/>
        </w:trPr>
        <w:tc>
          <w:tcPr>
            <w:tcW w:w="679" w:type="dxa"/>
            <w:tcBorders>
              <w:left w:val="single" w:color="auto" w:sz="12" w:space="0"/>
            </w:tcBorders>
          </w:tcPr>
          <w:p w:rsidR="003B0815" w:rsidRDefault="003B0815" w14:paraId="0C4992C9" w14:textId="77777777">
            <w:pPr>
              <w:keepNext/>
              <w:jc w:val="center"/>
              <w:rPr>
                <w:rFonts w:ascii="Arial" w:hAnsi="Arial"/>
                <w:sz w:val="20"/>
                <w:szCs w:val="20"/>
              </w:rPr>
            </w:pPr>
            <w:r>
              <w:t>2011</w:t>
            </w:r>
          </w:p>
        </w:tc>
        <w:tc>
          <w:tcPr>
            <w:tcW w:w="1353" w:type="dxa"/>
            <w:vAlign w:val="bottom"/>
          </w:tcPr>
          <w:p w:rsidR="003B0815" w:rsidRDefault="003B0815" w14:paraId="7D90E2B6" w14:textId="77777777">
            <w:pPr>
              <w:keepNext/>
              <w:jc w:val="center"/>
              <w:rPr>
                <w:rFonts w:ascii="Arial" w:hAnsi="Arial"/>
                <w:sz w:val="20"/>
                <w:szCs w:val="20"/>
              </w:rPr>
            </w:pPr>
            <w:r>
              <w:rPr>
                <w:rFonts w:ascii="Arial" w:hAnsi="Arial" w:cs="Arial"/>
                <w:sz w:val="20"/>
                <w:szCs w:val="20"/>
              </w:rPr>
              <w:t>153</w:t>
            </w:r>
          </w:p>
        </w:tc>
        <w:tc>
          <w:tcPr>
            <w:tcW w:w="1080" w:type="dxa"/>
            <w:vAlign w:val="bottom"/>
          </w:tcPr>
          <w:p w:rsidR="003B0815" w:rsidRDefault="003B0815" w14:paraId="3A565B13" w14:textId="77777777">
            <w:pPr>
              <w:keepNext/>
              <w:jc w:val="center"/>
              <w:rPr>
                <w:rFonts w:ascii="Arial" w:hAnsi="Arial"/>
                <w:sz w:val="20"/>
                <w:szCs w:val="20"/>
              </w:rPr>
            </w:pPr>
            <w:r>
              <w:rPr>
                <w:rFonts w:ascii="Arial" w:hAnsi="Arial" w:cs="Arial"/>
                <w:sz w:val="20"/>
                <w:szCs w:val="20"/>
              </w:rPr>
              <w:t xml:space="preserve">            1,063,000 </w:t>
            </w:r>
          </w:p>
        </w:tc>
        <w:tc>
          <w:tcPr>
            <w:tcW w:w="1080" w:type="dxa"/>
            <w:vAlign w:val="bottom"/>
          </w:tcPr>
          <w:p w:rsidR="003B0815" w:rsidRDefault="003B0815" w14:paraId="1DF0C497" w14:textId="77777777">
            <w:pPr>
              <w:keepNext/>
              <w:jc w:val="center"/>
              <w:rPr>
                <w:rFonts w:ascii="Arial" w:hAnsi="Arial"/>
                <w:sz w:val="20"/>
                <w:szCs w:val="20"/>
              </w:rPr>
            </w:pPr>
            <w:r>
              <w:rPr>
                <w:rFonts w:ascii="Arial" w:hAnsi="Arial" w:cs="Arial"/>
                <w:sz w:val="20"/>
                <w:szCs w:val="20"/>
              </w:rPr>
              <w:t xml:space="preserve">        850,000 </w:t>
            </w:r>
          </w:p>
        </w:tc>
        <w:tc>
          <w:tcPr>
            <w:tcW w:w="1080" w:type="dxa"/>
            <w:vAlign w:val="bottom"/>
          </w:tcPr>
          <w:p w:rsidR="003B0815" w:rsidRDefault="003B0815" w14:paraId="38B2A2C8" w14:textId="77777777">
            <w:pPr>
              <w:keepNext/>
              <w:jc w:val="center"/>
              <w:rPr>
                <w:rFonts w:ascii="Arial" w:hAnsi="Arial"/>
                <w:sz w:val="20"/>
                <w:szCs w:val="20"/>
              </w:rPr>
            </w:pPr>
            <w:r>
              <w:rPr>
                <w:rFonts w:ascii="Arial" w:hAnsi="Arial" w:cs="Arial"/>
                <w:sz w:val="20"/>
                <w:szCs w:val="20"/>
              </w:rPr>
              <w:t xml:space="preserve">       1,275,000 </w:t>
            </w:r>
          </w:p>
        </w:tc>
        <w:tc>
          <w:tcPr>
            <w:tcW w:w="720" w:type="dxa"/>
            <w:vAlign w:val="bottom"/>
          </w:tcPr>
          <w:p w:rsidR="003B0815" w:rsidRDefault="003B0815" w14:paraId="381BA8E6"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182B5C05" w14:textId="77777777">
            <w:pPr>
              <w:keepNext/>
              <w:jc w:val="right"/>
              <w:rPr>
                <w:rFonts w:ascii="Arial" w:hAnsi="Arial"/>
                <w:b/>
                <w:sz w:val="20"/>
                <w:szCs w:val="20"/>
              </w:rPr>
            </w:pPr>
            <w:r>
              <w:rPr>
                <w:rFonts w:ascii="Arial" w:hAnsi="Arial" w:cs="Arial"/>
                <w:sz w:val="20"/>
                <w:szCs w:val="20"/>
              </w:rPr>
              <w:t>22</w:t>
            </w:r>
          </w:p>
        </w:tc>
        <w:tc>
          <w:tcPr>
            <w:tcW w:w="1080" w:type="dxa"/>
            <w:shd w:val="clear" w:color="auto" w:fill="CCCCCC"/>
            <w:vAlign w:val="bottom"/>
          </w:tcPr>
          <w:p w:rsidR="003B0815" w:rsidRDefault="003B0815" w14:paraId="5275E4D6" w14:textId="77777777">
            <w:pPr>
              <w:keepNext/>
              <w:jc w:val="right"/>
              <w:rPr>
                <w:rFonts w:ascii="Arial" w:hAnsi="Arial"/>
                <w:b/>
                <w:sz w:val="20"/>
                <w:szCs w:val="20"/>
              </w:rPr>
            </w:pPr>
            <w:r>
              <w:rPr>
                <w:rFonts w:ascii="Arial" w:hAnsi="Arial" w:cs="Arial"/>
                <w:sz w:val="20"/>
                <w:szCs w:val="20"/>
              </w:rPr>
              <w:t>17.6</w:t>
            </w:r>
          </w:p>
        </w:tc>
        <w:tc>
          <w:tcPr>
            <w:tcW w:w="1080" w:type="dxa"/>
            <w:tcBorders>
              <w:right w:val="single" w:color="auto" w:sz="12" w:space="0"/>
            </w:tcBorders>
            <w:shd w:val="clear" w:color="auto" w:fill="CCCCCC"/>
            <w:vAlign w:val="bottom"/>
          </w:tcPr>
          <w:p w:rsidR="003B0815" w:rsidRDefault="003B0815" w14:paraId="0FD8C85A" w14:textId="77777777">
            <w:pPr>
              <w:keepNext/>
              <w:jc w:val="right"/>
              <w:rPr>
                <w:rFonts w:ascii="Arial" w:hAnsi="Arial"/>
                <w:b/>
                <w:sz w:val="20"/>
                <w:szCs w:val="20"/>
              </w:rPr>
            </w:pPr>
            <w:r>
              <w:rPr>
                <w:rFonts w:ascii="Arial" w:hAnsi="Arial" w:cs="Arial"/>
                <w:sz w:val="20"/>
                <w:szCs w:val="20"/>
              </w:rPr>
              <w:t>26.4</w:t>
            </w:r>
          </w:p>
        </w:tc>
      </w:tr>
      <w:tr w:rsidR="003B0815" w14:paraId="3A135D2E" w14:textId="77777777">
        <w:trPr>
          <w:jc w:val="center"/>
        </w:trPr>
        <w:tc>
          <w:tcPr>
            <w:tcW w:w="679" w:type="dxa"/>
            <w:tcBorders>
              <w:left w:val="single" w:color="auto" w:sz="12" w:space="0"/>
            </w:tcBorders>
          </w:tcPr>
          <w:p w:rsidR="003B0815" w:rsidRDefault="003B0815" w14:paraId="0BCD5F13" w14:textId="77777777">
            <w:pPr>
              <w:keepNext/>
              <w:jc w:val="center"/>
              <w:rPr>
                <w:rFonts w:ascii="Arial" w:hAnsi="Arial"/>
                <w:sz w:val="20"/>
                <w:szCs w:val="20"/>
              </w:rPr>
            </w:pPr>
            <w:r>
              <w:t>2012</w:t>
            </w:r>
          </w:p>
        </w:tc>
        <w:tc>
          <w:tcPr>
            <w:tcW w:w="1353" w:type="dxa"/>
            <w:vAlign w:val="bottom"/>
          </w:tcPr>
          <w:p w:rsidR="003B0815" w:rsidRDefault="003B0815" w14:paraId="60C5093B" w14:textId="77777777">
            <w:pPr>
              <w:keepNext/>
              <w:jc w:val="center"/>
              <w:rPr>
                <w:rFonts w:ascii="Arial" w:hAnsi="Arial"/>
                <w:sz w:val="20"/>
                <w:szCs w:val="20"/>
              </w:rPr>
            </w:pPr>
            <w:r>
              <w:rPr>
                <w:rFonts w:ascii="Arial" w:hAnsi="Arial" w:cs="Arial"/>
                <w:sz w:val="20"/>
                <w:szCs w:val="20"/>
              </w:rPr>
              <w:t>157.9</w:t>
            </w:r>
          </w:p>
        </w:tc>
        <w:tc>
          <w:tcPr>
            <w:tcW w:w="1080" w:type="dxa"/>
            <w:vAlign w:val="bottom"/>
          </w:tcPr>
          <w:p w:rsidR="003B0815" w:rsidRDefault="003B0815" w14:paraId="02001885" w14:textId="77777777">
            <w:pPr>
              <w:keepNext/>
              <w:jc w:val="center"/>
              <w:rPr>
                <w:rFonts w:ascii="Arial" w:hAnsi="Arial"/>
                <w:sz w:val="20"/>
                <w:szCs w:val="20"/>
              </w:rPr>
            </w:pPr>
            <w:r>
              <w:rPr>
                <w:rFonts w:ascii="Arial" w:hAnsi="Arial" w:cs="Arial"/>
                <w:sz w:val="20"/>
                <w:szCs w:val="20"/>
              </w:rPr>
              <w:t xml:space="preserve">            1,097,000 </w:t>
            </w:r>
          </w:p>
        </w:tc>
        <w:tc>
          <w:tcPr>
            <w:tcW w:w="1080" w:type="dxa"/>
            <w:vAlign w:val="bottom"/>
          </w:tcPr>
          <w:p w:rsidR="003B0815" w:rsidRDefault="003B0815" w14:paraId="58B95200" w14:textId="77777777">
            <w:pPr>
              <w:keepNext/>
              <w:jc w:val="center"/>
              <w:rPr>
                <w:rFonts w:ascii="Arial" w:hAnsi="Arial"/>
                <w:sz w:val="20"/>
                <w:szCs w:val="20"/>
              </w:rPr>
            </w:pPr>
            <w:r>
              <w:rPr>
                <w:rFonts w:ascii="Arial" w:hAnsi="Arial" w:cs="Arial"/>
                <w:sz w:val="20"/>
                <w:szCs w:val="20"/>
              </w:rPr>
              <w:t xml:space="preserve">        877,000 </w:t>
            </w:r>
          </w:p>
        </w:tc>
        <w:tc>
          <w:tcPr>
            <w:tcW w:w="1080" w:type="dxa"/>
            <w:vAlign w:val="bottom"/>
          </w:tcPr>
          <w:p w:rsidR="003B0815" w:rsidRDefault="003B0815" w14:paraId="588B9FDE" w14:textId="77777777">
            <w:pPr>
              <w:keepNext/>
              <w:jc w:val="center"/>
              <w:rPr>
                <w:rFonts w:ascii="Arial" w:hAnsi="Arial"/>
                <w:sz w:val="20"/>
                <w:szCs w:val="20"/>
              </w:rPr>
            </w:pPr>
            <w:r>
              <w:rPr>
                <w:rFonts w:ascii="Arial" w:hAnsi="Arial" w:cs="Arial"/>
                <w:sz w:val="20"/>
                <w:szCs w:val="20"/>
              </w:rPr>
              <w:t xml:space="preserve">       1,316,000 </w:t>
            </w:r>
          </w:p>
        </w:tc>
        <w:tc>
          <w:tcPr>
            <w:tcW w:w="720" w:type="dxa"/>
            <w:vAlign w:val="bottom"/>
          </w:tcPr>
          <w:p w:rsidR="003B0815" w:rsidRDefault="003B0815" w14:paraId="7F80FEA2"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12B577C7" w14:textId="77777777">
            <w:pPr>
              <w:keepNext/>
              <w:jc w:val="right"/>
              <w:rPr>
                <w:rFonts w:ascii="Arial" w:hAnsi="Arial"/>
                <w:b/>
                <w:sz w:val="20"/>
                <w:szCs w:val="20"/>
              </w:rPr>
            </w:pPr>
            <w:r>
              <w:rPr>
                <w:rFonts w:ascii="Arial" w:hAnsi="Arial" w:cs="Arial"/>
                <w:sz w:val="20"/>
                <w:szCs w:val="20"/>
              </w:rPr>
              <w:t>22.7</w:t>
            </w:r>
          </w:p>
        </w:tc>
        <w:tc>
          <w:tcPr>
            <w:tcW w:w="1080" w:type="dxa"/>
            <w:shd w:val="clear" w:color="auto" w:fill="CCCCCC"/>
            <w:vAlign w:val="bottom"/>
          </w:tcPr>
          <w:p w:rsidR="003B0815" w:rsidRDefault="003B0815" w14:paraId="56C0C88F" w14:textId="77777777">
            <w:pPr>
              <w:keepNext/>
              <w:jc w:val="right"/>
              <w:rPr>
                <w:rFonts w:ascii="Arial" w:hAnsi="Arial"/>
                <w:b/>
                <w:sz w:val="20"/>
                <w:szCs w:val="20"/>
              </w:rPr>
            </w:pPr>
            <w:r>
              <w:rPr>
                <w:rFonts w:ascii="Arial" w:hAnsi="Arial" w:cs="Arial"/>
                <w:sz w:val="20"/>
                <w:szCs w:val="20"/>
              </w:rPr>
              <w:t>18.1</w:t>
            </w:r>
          </w:p>
        </w:tc>
        <w:tc>
          <w:tcPr>
            <w:tcW w:w="1080" w:type="dxa"/>
            <w:tcBorders>
              <w:right w:val="single" w:color="auto" w:sz="12" w:space="0"/>
            </w:tcBorders>
            <w:shd w:val="clear" w:color="auto" w:fill="CCCCCC"/>
            <w:vAlign w:val="bottom"/>
          </w:tcPr>
          <w:p w:rsidR="003B0815" w:rsidRDefault="003B0815" w14:paraId="3CDB09CA" w14:textId="77777777">
            <w:pPr>
              <w:keepNext/>
              <w:jc w:val="right"/>
              <w:rPr>
                <w:rFonts w:ascii="Arial" w:hAnsi="Arial"/>
                <w:b/>
                <w:sz w:val="20"/>
                <w:szCs w:val="20"/>
              </w:rPr>
            </w:pPr>
            <w:r>
              <w:rPr>
                <w:rFonts w:ascii="Arial" w:hAnsi="Arial" w:cs="Arial"/>
                <w:sz w:val="20"/>
                <w:szCs w:val="20"/>
              </w:rPr>
              <w:t>27.2</w:t>
            </w:r>
          </w:p>
        </w:tc>
      </w:tr>
      <w:tr w:rsidR="003B0815" w14:paraId="72B6D2A3" w14:textId="77777777">
        <w:trPr>
          <w:jc w:val="center"/>
        </w:trPr>
        <w:tc>
          <w:tcPr>
            <w:tcW w:w="679" w:type="dxa"/>
            <w:tcBorders>
              <w:left w:val="single" w:color="auto" w:sz="12" w:space="0"/>
            </w:tcBorders>
          </w:tcPr>
          <w:p w:rsidR="003B0815" w:rsidRDefault="003B0815" w14:paraId="13EA7C8A" w14:textId="77777777">
            <w:pPr>
              <w:keepNext/>
              <w:jc w:val="center"/>
              <w:rPr>
                <w:rFonts w:ascii="Arial" w:hAnsi="Arial"/>
                <w:sz w:val="20"/>
                <w:szCs w:val="20"/>
              </w:rPr>
            </w:pPr>
            <w:r>
              <w:t>2013</w:t>
            </w:r>
          </w:p>
        </w:tc>
        <w:tc>
          <w:tcPr>
            <w:tcW w:w="1353" w:type="dxa"/>
            <w:vAlign w:val="bottom"/>
          </w:tcPr>
          <w:p w:rsidR="003B0815" w:rsidRDefault="003B0815" w14:paraId="25B870E8" w14:textId="77777777">
            <w:pPr>
              <w:keepNext/>
              <w:jc w:val="center"/>
              <w:rPr>
                <w:rFonts w:ascii="Arial" w:hAnsi="Arial"/>
                <w:sz w:val="20"/>
                <w:szCs w:val="20"/>
              </w:rPr>
            </w:pPr>
            <w:r>
              <w:rPr>
                <w:rFonts w:ascii="Arial" w:hAnsi="Arial" w:cs="Arial"/>
                <w:sz w:val="20"/>
                <w:szCs w:val="20"/>
              </w:rPr>
              <w:t>162.9</w:t>
            </w:r>
          </w:p>
        </w:tc>
        <w:tc>
          <w:tcPr>
            <w:tcW w:w="1080" w:type="dxa"/>
            <w:vAlign w:val="bottom"/>
          </w:tcPr>
          <w:p w:rsidR="003B0815" w:rsidRDefault="003B0815" w14:paraId="2FD045A8" w14:textId="77777777">
            <w:pPr>
              <w:keepNext/>
              <w:jc w:val="center"/>
              <w:rPr>
                <w:rFonts w:ascii="Arial" w:hAnsi="Arial"/>
                <w:sz w:val="20"/>
                <w:szCs w:val="20"/>
              </w:rPr>
            </w:pPr>
            <w:r>
              <w:rPr>
                <w:rFonts w:ascii="Arial" w:hAnsi="Arial" w:cs="Arial"/>
                <w:sz w:val="20"/>
                <w:szCs w:val="20"/>
              </w:rPr>
              <w:t xml:space="preserve">            1,131,000 </w:t>
            </w:r>
          </w:p>
        </w:tc>
        <w:tc>
          <w:tcPr>
            <w:tcW w:w="1080" w:type="dxa"/>
            <w:vAlign w:val="bottom"/>
          </w:tcPr>
          <w:p w:rsidR="003B0815" w:rsidRDefault="003B0815" w14:paraId="640CFB8C" w14:textId="77777777">
            <w:pPr>
              <w:keepNext/>
              <w:jc w:val="center"/>
              <w:rPr>
                <w:rFonts w:ascii="Arial" w:hAnsi="Arial"/>
                <w:sz w:val="20"/>
                <w:szCs w:val="20"/>
              </w:rPr>
            </w:pPr>
            <w:r>
              <w:rPr>
                <w:rFonts w:ascii="Arial" w:hAnsi="Arial" w:cs="Arial"/>
                <w:sz w:val="20"/>
                <w:szCs w:val="20"/>
              </w:rPr>
              <w:t xml:space="preserve">        905,000 </w:t>
            </w:r>
          </w:p>
        </w:tc>
        <w:tc>
          <w:tcPr>
            <w:tcW w:w="1080" w:type="dxa"/>
            <w:vAlign w:val="bottom"/>
          </w:tcPr>
          <w:p w:rsidR="003B0815" w:rsidRDefault="003B0815" w14:paraId="611B0891" w14:textId="77777777">
            <w:pPr>
              <w:keepNext/>
              <w:jc w:val="center"/>
              <w:rPr>
                <w:rFonts w:ascii="Arial" w:hAnsi="Arial"/>
                <w:sz w:val="20"/>
                <w:szCs w:val="20"/>
              </w:rPr>
            </w:pPr>
            <w:r>
              <w:rPr>
                <w:rFonts w:ascii="Arial" w:hAnsi="Arial" w:cs="Arial"/>
                <w:sz w:val="20"/>
                <w:szCs w:val="20"/>
              </w:rPr>
              <w:t xml:space="preserve">       1,358,000 </w:t>
            </w:r>
          </w:p>
        </w:tc>
        <w:tc>
          <w:tcPr>
            <w:tcW w:w="720" w:type="dxa"/>
            <w:vAlign w:val="bottom"/>
          </w:tcPr>
          <w:p w:rsidR="003B0815" w:rsidRDefault="003B0815" w14:paraId="6524934B"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47337E4F" w14:textId="77777777">
            <w:pPr>
              <w:keepNext/>
              <w:jc w:val="right"/>
              <w:rPr>
                <w:rFonts w:ascii="Arial" w:hAnsi="Arial"/>
                <w:b/>
                <w:sz w:val="20"/>
                <w:szCs w:val="20"/>
              </w:rPr>
            </w:pPr>
            <w:r>
              <w:rPr>
                <w:rFonts w:ascii="Arial" w:hAnsi="Arial" w:cs="Arial"/>
                <w:sz w:val="20"/>
                <w:szCs w:val="20"/>
              </w:rPr>
              <w:t>23.4</w:t>
            </w:r>
          </w:p>
        </w:tc>
        <w:tc>
          <w:tcPr>
            <w:tcW w:w="1080" w:type="dxa"/>
            <w:shd w:val="clear" w:color="auto" w:fill="CCCCCC"/>
            <w:vAlign w:val="bottom"/>
          </w:tcPr>
          <w:p w:rsidR="003B0815" w:rsidRDefault="003B0815" w14:paraId="1D818347" w14:textId="77777777">
            <w:pPr>
              <w:keepNext/>
              <w:jc w:val="right"/>
              <w:rPr>
                <w:rFonts w:ascii="Arial" w:hAnsi="Arial"/>
                <w:b/>
                <w:sz w:val="20"/>
                <w:szCs w:val="20"/>
              </w:rPr>
            </w:pPr>
            <w:r>
              <w:rPr>
                <w:rFonts w:ascii="Arial" w:hAnsi="Arial" w:cs="Arial"/>
                <w:sz w:val="20"/>
                <w:szCs w:val="20"/>
              </w:rPr>
              <w:t>18.7</w:t>
            </w:r>
          </w:p>
        </w:tc>
        <w:tc>
          <w:tcPr>
            <w:tcW w:w="1080" w:type="dxa"/>
            <w:tcBorders>
              <w:right w:val="single" w:color="auto" w:sz="12" w:space="0"/>
            </w:tcBorders>
            <w:shd w:val="clear" w:color="auto" w:fill="CCCCCC"/>
            <w:vAlign w:val="bottom"/>
          </w:tcPr>
          <w:p w:rsidR="003B0815" w:rsidRDefault="003B0815" w14:paraId="0C9607D3" w14:textId="77777777">
            <w:pPr>
              <w:keepNext/>
              <w:jc w:val="right"/>
              <w:rPr>
                <w:rFonts w:ascii="Arial" w:hAnsi="Arial"/>
                <w:b/>
                <w:sz w:val="20"/>
                <w:szCs w:val="20"/>
              </w:rPr>
            </w:pPr>
            <w:r>
              <w:rPr>
                <w:rFonts w:ascii="Arial" w:hAnsi="Arial" w:cs="Arial"/>
                <w:sz w:val="20"/>
                <w:szCs w:val="20"/>
              </w:rPr>
              <w:t>28.1</w:t>
            </w:r>
          </w:p>
        </w:tc>
      </w:tr>
      <w:tr w:rsidR="003B0815" w14:paraId="693371C1" w14:textId="77777777">
        <w:trPr>
          <w:jc w:val="center"/>
        </w:trPr>
        <w:tc>
          <w:tcPr>
            <w:tcW w:w="679" w:type="dxa"/>
            <w:tcBorders>
              <w:left w:val="single" w:color="auto" w:sz="12" w:space="0"/>
            </w:tcBorders>
          </w:tcPr>
          <w:p w:rsidR="003B0815" w:rsidRDefault="003B0815" w14:paraId="6ABB9EC3" w14:textId="77777777">
            <w:pPr>
              <w:keepNext/>
              <w:jc w:val="center"/>
              <w:rPr>
                <w:rFonts w:ascii="Arial" w:hAnsi="Arial"/>
                <w:sz w:val="20"/>
                <w:szCs w:val="20"/>
              </w:rPr>
            </w:pPr>
            <w:r>
              <w:t>2014</w:t>
            </w:r>
          </w:p>
        </w:tc>
        <w:tc>
          <w:tcPr>
            <w:tcW w:w="1353" w:type="dxa"/>
            <w:vAlign w:val="bottom"/>
          </w:tcPr>
          <w:p w:rsidR="003B0815" w:rsidRDefault="003B0815" w14:paraId="3AC6A03E" w14:textId="77777777">
            <w:pPr>
              <w:keepNext/>
              <w:jc w:val="center"/>
              <w:rPr>
                <w:rFonts w:ascii="Arial" w:hAnsi="Arial"/>
                <w:sz w:val="20"/>
                <w:szCs w:val="20"/>
              </w:rPr>
            </w:pPr>
            <w:r>
              <w:rPr>
                <w:rFonts w:ascii="Arial" w:hAnsi="Arial" w:cs="Arial"/>
                <w:sz w:val="20"/>
                <w:szCs w:val="20"/>
              </w:rPr>
              <w:t>168.2</w:t>
            </w:r>
          </w:p>
        </w:tc>
        <w:tc>
          <w:tcPr>
            <w:tcW w:w="1080" w:type="dxa"/>
            <w:vAlign w:val="bottom"/>
          </w:tcPr>
          <w:p w:rsidR="003B0815" w:rsidRDefault="003B0815" w14:paraId="70FE3899" w14:textId="77777777">
            <w:pPr>
              <w:keepNext/>
              <w:jc w:val="center"/>
              <w:rPr>
                <w:rFonts w:ascii="Arial" w:hAnsi="Arial"/>
                <w:sz w:val="20"/>
                <w:szCs w:val="20"/>
              </w:rPr>
            </w:pPr>
            <w:r>
              <w:rPr>
                <w:rFonts w:ascii="Arial" w:hAnsi="Arial" w:cs="Arial"/>
                <w:sz w:val="20"/>
                <w:szCs w:val="20"/>
              </w:rPr>
              <w:t xml:space="preserve">            1,168,000 </w:t>
            </w:r>
          </w:p>
        </w:tc>
        <w:tc>
          <w:tcPr>
            <w:tcW w:w="1080" w:type="dxa"/>
            <w:vAlign w:val="bottom"/>
          </w:tcPr>
          <w:p w:rsidR="003B0815" w:rsidRDefault="003B0815" w14:paraId="63CE29C2" w14:textId="77777777">
            <w:pPr>
              <w:keepNext/>
              <w:jc w:val="center"/>
              <w:rPr>
                <w:rFonts w:ascii="Arial" w:hAnsi="Arial"/>
                <w:sz w:val="20"/>
                <w:szCs w:val="20"/>
              </w:rPr>
            </w:pPr>
            <w:r>
              <w:rPr>
                <w:rFonts w:ascii="Arial" w:hAnsi="Arial" w:cs="Arial"/>
                <w:sz w:val="20"/>
                <w:szCs w:val="20"/>
              </w:rPr>
              <w:t xml:space="preserve">        934,000 </w:t>
            </w:r>
          </w:p>
        </w:tc>
        <w:tc>
          <w:tcPr>
            <w:tcW w:w="1080" w:type="dxa"/>
            <w:vAlign w:val="bottom"/>
          </w:tcPr>
          <w:p w:rsidR="003B0815" w:rsidRDefault="003B0815" w14:paraId="7724F222" w14:textId="77777777">
            <w:pPr>
              <w:keepNext/>
              <w:jc w:val="center"/>
              <w:rPr>
                <w:rFonts w:ascii="Arial" w:hAnsi="Arial"/>
                <w:sz w:val="20"/>
                <w:szCs w:val="20"/>
              </w:rPr>
            </w:pPr>
            <w:r>
              <w:rPr>
                <w:rFonts w:ascii="Arial" w:hAnsi="Arial" w:cs="Arial"/>
                <w:sz w:val="20"/>
                <w:szCs w:val="20"/>
              </w:rPr>
              <w:t xml:space="preserve">       1,402,000 </w:t>
            </w:r>
          </w:p>
        </w:tc>
        <w:tc>
          <w:tcPr>
            <w:tcW w:w="720" w:type="dxa"/>
            <w:vAlign w:val="bottom"/>
          </w:tcPr>
          <w:p w:rsidR="003B0815" w:rsidRDefault="003B0815" w14:paraId="5F69E974"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7D2DDE94" w14:textId="77777777">
            <w:pPr>
              <w:keepNext/>
              <w:jc w:val="right"/>
              <w:rPr>
                <w:rFonts w:ascii="Arial" w:hAnsi="Arial"/>
                <w:b/>
                <w:sz w:val="20"/>
                <w:szCs w:val="20"/>
              </w:rPr>
            </w:pPr>
            <w:r>
              <w:rPr>
                <w:rFonts w:ascii="Arial" w:hAnsi="Arial" w:cs="Arial"/>
                <w:sz w:val="20"/>
                <w:szCs w:val="20"/>
              </w:rPr>
              <w:t>24.2</w:t>
            </w:r>
          </w:p>
        </w:tc>
        <w:tc>
          <w:tcPr>
            <w:tcW w:w="1080" w:type="dxa"/>
            <w:shd w:val="clear" w:color="auto" w:fill="CCCCCC"/>
            <w:vAlign w:val="bottom"/>
          </w:tcPr>
          <w:p w:rsidR="003B0815" w:rsidRDefault="003B0815" w14:paraId="63C0D2FE" w14:textId="77777777">
            <w:pPr>
              <w:keepNext/>
              <w:jc w:val="right"/>
              <w:rPr>
                <w:rFonts w:ascii="Arial" w:hAnsi="Arial"/>
                <w:b/>
                <w:sz w:val="20"/>
                <w:szCs w:val="20"/>
              </w:rPr>
            </w:pPr>
            <w:r>
              <w:rPr>
                <w:rFonts w:ascii="Arial" w:hAnsi="Arial" w:cs="Arial"/>
                <w:sz w:val="20"/>
                <w:szCs w:val="20"/>
              </w:rPr>
              <w:t>19.3</w:t>
            </w:r>
          </w:p>
        </w:tc>
        <w:tc>
          <w:tcPr>
            <w:tcW w:w="1080" w:type="dxa"/>
            <w:tcBorders>
              <w:right w:val="single" w:color="auto" w:sz="12" w:space="0"/>
            </w:tcBorders>
            <w:shd w:val="clear" w:color="auto" w:fill="CCCCCC"/>
            <w:vAlign w:val="bottom"/>
          </w:tcPr>
          <w:p w:rsidR="003B0815" w:rsidRDefault="003B0815" w14:paraId="776B4498" w14:textId="77777777">
            <w:pPr>
              <w:keepNext/>
              <w:jc w:val="right"/>
              <w:rPr>
                <w:rFonts w:ascii="Arial" w:hAnsi="Arial"/>
                <w:b/>
                <w:sz w:val="20"/>
                <w:szCs w:val="20"/>
              </w:rPr>
            </w:pPr>
            <w:r>
              <w:rPr>
                <w:rFonts w:ascii="Arial" w:hAnsi="Arial" w:cs="Arial"/>
                <w:sz w:val="20"/>
                <w:szCs w:val="20"/>
              </w:rPr>
              <w:t>29</w:t>
            </w:r>
          </w:p>
        </w:tc>
      </w:tr>
      <w:tr w:rsidR="003B0815" w14:paraId="79FF8723" w14:textId="77777777">
        <w:trPr>
          <w:jc w:val="center"/>
        </w:trPr>
        <w:tc>
          <w:tcPr>
            <w:tcW w:w="679" w:type="dxa"/>
            <w:tcBorders>
              <w:left w:val="single" w:color="auto" w:sz="12" w:space="0"/>
            </w:tcBorders>
          </w:tcPr>
          <w:p w:rsidR="003B0815" w:rsidRDefault="003B0815" w14:paraId="759FE0BC" w14:textId="77777777">
            <w:pPr>
              <w:keepNext/>
              <w:jc w:val="center"/>
              <w:rPr>
                <w:rFonts w:ascii="Arial" w:hAnsi="Arial"/>
                <w:sz w:val="20"/>
                <w:szCs w:val="20"/>
              </w:rPr>
            </w:pPr>
            <w:r>
              <w:t>2015</w:t>
            </w:r>
          </w:p>
        </w:tc>
        <w:tc>
          <w:tcPr>
            <w:tcW w:w="1353" w:type="dxa"/>
            <w:vAlign w:val="bottom"/>
          </w:tcPr>
          <w:p w:rsidR="003B0815" w:rsidRDefault="003B0815" w14:paraId="117D9485" w14:textId="77777777">
            <w:pPr>
              <w:keepNext/>
              <w:jc w:val="center"/>
              <w:rPr>
                <w:rFonts w:ascii="Arial" w:hAnsi="Arial"/>
                <w:sz w:val="20"/>
                <w:szCs w:val="20"/>
              </w:rPr>
            </w:pPr>
            <w:r>
              <w:rPr>
                <w:rFonts w:ascii="Arial" w:hAnsi="Arial" w:cs="Arial"/>
                <w:sz w:val="20"/>
                <w:szCs w:val="20"/>
              </w:rPr>
              <w:t>173.6</w:t>
            </w:r>
          </w:p>
        </w:tc>
        <w:tc>
          <w:tcPr>
            <w:tcW w:w="1080" w:type="dxa"/>
            <w:vAlign w:val="bottom"/>
          </w:tcPr>
          <w:p w:rsidR="003B0815" w:rsidRDefault="003B0815" w14:paraId="19B76E7D" w14:textId="77777777">
            <w:pPr>
              <w:keepNext/>
              <w:jc w:val="center"/>
              <w:rPr>
                <w:rFonts w:ascii="Arial" w:hAnsi="Arial"/>
                <w:sz w:val="20"/>
                <w:szCs w:val="20"/>
              </w:rPr>
            </w:pPr>
            <w:r>
              <w:rPr>
                <w:rFonts w:ascii="Arial" w:hAnsi="Arial" w:cs="Arial"/>
                <w:sz w:val="20"/>
                <w:szCs w:val="20"/>
              </w:rPr>
              <w:t xml:space="preserve">            1,206,000 </w:t>
            </w:r>
          </w:p>
        </w:tc>
        <w:tc>
          <w:tcPr>
            <w:tcW w:w="1080" w:type="dxa"/>
            <w:vAlign w:val="bottom"/>
          </w:tcPr>
          <w:p w:rsidR="003B0815" w:rsidRDefault="003B0815" w14:paraId="2D165F6B" w14:textId="77777777">
            <w:pPr>
              <w:keepNext/>
              <w:jc w:val="center"/>
              <w:rPr>
                <w:rFonts w:ascii="Arial" w:hAnsi="Arial"/>
                <w:sz w:val="20"/>
                <w:szCs w:val="20"/>
              </w:rPr>
            </w:pPr>
            <w:r>
              <w:rPr>
                <w:rFonts w:ascii="Arial" w:hAnsi="Arial" w:cs="Arial"/>
                <w:sz w:val="20"/>
                <w:szCs w:val="20"/>
              </w:rPr>
              <w:t xml:space="preserve">        964,000 </w:t>
            </w:r>
          </w:p>
        </w:tc>
        <w:tc>
          <w:tcPr>
            <w:tcW w:w="1080" w:type="dxa"/>
            <w:vAlign w:val="bottom"/>
          </w:tcPr>
          <w:p w:rsidR="003B0815" w:rsidRDefault="003B0815" w14:paraId="4E575394" w14:textId="77777777">
            <w:pPr>
              <w:keepNext/>
              <w:jc w:val="center"/>
              <w:rPr>
                <w:rFonts w:ascii="Arial" w:hAnsi="Arial"/>
                <w:sz w:val="20"/>
                <w:szCs w:val="20"/>
              </w:rPr>
            </w:pPr>
            <w:r>
              <w:rPr>
                <w:rFonts w:ascii="Arial" w:hAnsi="Arial" w:cs="Arial"/>
                <w:sz w:val="20"/>
                <w:szCs w:val="20"/>
              </w:rPr>
              <w:t xml:space="preserve">       1,447,000 </w:t>
            </w:r>
          </w:p>
        </w:tc>
        <w:tc>
          <w:tcPr>
            <w:tcW w:w="720" w:type="dxa"/>
            <w:vAlign w:val="bottom"/>
          </w:tcPr>
          <w:p w:rsidR="003B0815" w:rsidRDefault="003B0815" w14:paraId="072E2817"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10C4AD3C" w14:textId="77777777">
            <w:pPr>
              <w:keepNext/>
              <w:jc w:val="right"/>
              <w:rPr>
                <w:rFonts w:ascii="Arial" w:hAnsi="Arial"/>
                <w:b/>
                <w:sz w:val="20"/>
                <w:szCs w:val="20"/>
              </w:rPr>
            </w:pPr>
            <w:r>
              <w:rPr>
                <w:rFonts w:ascii="Arial" w:hAnsi="Arial" w:cs="Arial"/>
                <w:sz w:val="20"/>
                <w:szCs w:val="20"/>
              </w:rPr>
              <w:t>25</w:t>
            </w:r>
          </w:p>
        </w:tc>
        <w:tc>
          <w:tcPr>
            <w:tcW w:w="1080" w:type="dxa"/>
            <w:shd w:val="clear" w:color="auto" w:fill="CCCCCC"/>
            <w:vAlign w:val="bottom"/>
          </w:tcPr>
          <w:p w:rsidR="003B0815" w:rsidRDefault="003B0815" w14:paraId="64369715" w14:textId="77777777">
            <w:pPr>
              <w:keepNext/>
              <w:jc w:val="right"/>
              <w:rPr>
                <w:rFonts w:ascii="Arial" w:hAnsi="Arial"/>
                <w:b/>
                <w:sz w:val="20"/>
                <w:szCs w:val="20"/>
              </w:rPr>
            </w:pPr>
            <w:r>
              <w:rPr>
                <w:rFonts w:ascii="Arial" w:hAnsi="Arial" w:cs="Arial"/>
                <w:sz w:val="20"/>
                <w:szCs w:val="20"/>
              </w:rPr>
              <w:t>19.9</w:t>
            </w:r>
          </w:p>
        </w:tc>
        <w:tc>
          <w:tcPr>
            <w:tcW w:w="1080" w:type="dxa"/>
            <w:tcBorders>
              <w:right w:val="single" w:color="auto" w:sz="12" w:space="0"/>
            </w:tcBorders>
            <w:shd w:val="clear" w:color="auto" w:fill="CCCCCC"/>
            <w:vAlign w:val="bottom"/>
          </w:tcPr>
          <w:p w:rsidR="003B0815" w:rsidRDefault="003B0815" w14:paraId="1D4EFAFD" w14:textId="77777777">
            <w:pPr>
              <w:keepNext/>
              <w:jc w:val="right"/>
              <w:rPr>
                <w:rFonts w:ascii="Arial" w:hAnsi="Arial"/>
                <w:b/>
                <w:sz w:val="20"/>
                <w:szCs w:val="20"/>
              </w:rPr>
            </w:pPr>
            <w:r>
              <w:rPr>
                <w:rFonts w:ascii="Arial" w:hAnsi="Arial" w:cs="Arial"/>
                <w:sz w:val="20"/>
                <w:szCs w:val="20"/>
              </w:rPr>
              <w:t>29.9</w:t>
            </w:r>
          </w:p>
        </w:tc>
      </w:tr>
      <w:tr w:rsidR="003B0815" w14:paraId="67DFF00E" w14:textId="77777777">
        <w:trPr>
          <w:jc w:val="center"/>
        </w:trPr>
        <w:tc>
          <w:tcPr>
            <w:tcW w:w="679" w:type="dxa"/>
            <w:tcBorders>
              <w:left w:val="single" w:color="auto" w:sz="12" w:space="0"/>
            </w:tcBorders>
          </w:tcPr>
          <w:p w:rsidR="003B0815" w:rsidRDefault="003B0815" w14:paraId="5AF031A4" w14:textId="77777777">
            <w:pPr>
              <w:keepNext/>
              <w:jc w:val="center"/>
              <w:rPr>
                <w:rFonts w:ascii="Arial" w:hAnsi="Arial"/>
                <w:sz w:val="20"/>
                <w:szCs w:val="20"/>
              </w:rPr>
            </w:pPr>
            <w:r>
              <w:t>2016</w:t>
            </w:r>
          </w:p>
        </w:tc>
        <w:tc>
          <w:tcPr>
            <w:tcW w:w="1353" w:type="dxa"/>
            <w:vAlign w:val="bottom"/>
          </w:tcPr>
          <w:p w:rsidR="003B0815" w:rsidRDefault="003B0815" w14:paraId="4BAD3805" w14:textId="77777777">
            <w:pPr>
              <w:keepNext/>
              <w:jc w:val="center"/>
              <w:rPr>
                <w:rFonts w:ascii="Arial" w:hAnsi="Arial"/>
                <w:sz w:val="20"/>
                <w:szCs w:val="20"/>
              </w:rPr>
            </w:pPr>
            <w:r>
              <w:rPr>
                <w:rFonts w:ascii="Arial" w:hAnsi="Arial" w:cs="Arial"/>
                <w:sz w:val="20"/>
                <w:szCs w:val="20"/>
              </w:rPr>
              <w:t>179.4</w:t>
            </w:r>
          </w:p>
        </w:tc>
        <w:tc>
          <w:tcPr>
            <w:tcW w:w="1080" w:type="dxa"/>
            <w:vAlign w:val="bottom"/>
          </w:tcPr>
          <w:p w:rsidR="003B0815" w:rsidRDefault="003B0815" w14:paraId="4F4AF0AE" w14:textId="77777777">
            <w:pPr>
              <w:keepNext/>
              <w:jc w:val="center"/>
              <w:rPr>
                <w:rFonts w:ascii="Arial" w:hAnsi="Arial"/>
                <w:sz w:val="20"/>
                <w:szCs w:val="20"/>
              </w:rPr>
            </w:pPr>
            <w:r>
              <w:rPr>
                <w:rFonts w:ascii="Arial" w:hAnsi="Arial" w:cs="Arial"/>
                <w:sz w:val="20"/>
                <w:szCs w:val="20"/>
              </w:rPr>
              <w:t xml:space="preserve">            1,246,000 </w:t>
            </w:r>
          </w:p>
        </w:tc>
        <w:tc>
          <w:tcPr>
            <w:tcW w:w="1080" w:type="dxa"/>
            <w:vAlign w:val="bottom"/>
          </w:tcPr>
          <w:p w:rsidR="003B0815" w:rsidRDefault="003B0815" w14:paraId="09002D63" w14:textId="77777777">
            <w:pPr>
              <w:keepNext/>
              <w:jc w:val="center"/>
              <w:rPr>
                <w:rFonts w:ascii="Arial" w:hAnsi="Arial"/>
                <w:sz w:val="20"/>
                <w:szCs w:val="20"/>
              </w:rPr>
            </w:pPr>
            <w:r>
              <w:rPr>
                <w:rFonts w:ascii="Arial" w:hAnsi="Arial" w:cs="Arial"/>
                <w:sz w:val="20"/>
                <w:szCs w:val="20"/>
              </w:rPr>
              <w:t xml:space="preserve">        997,000 </w:t>
            </w:r>
          </w:p>
        </w:tc>
        <w:tc>
          <w:tcPr>
            <w:tcW w:w="1080" w:type="dxa"/>
            <w:vAlign w:val="bottom"/>
          </w:tcPr>
          <w:p w:rsidR="003B0815" w:rsidRDefault="003B0815" w14:paraId="66D9F133" w14:textId="77777777">
            <w:pPr>
              <w:keepNext/>
              <w:jc w:val="center"/>
              <w:rPr>
                <w:rFonts w:ascii="Arial" w:hAnsi="Arial"/>
                <w:sz w:val="20"/>
                <w:szCs w:val="20"/>
              </w:rPr>
            </w:pPr>
            <w:r>
              <w:rPr>
                <w:rFonts w:ascii="Arial" w:hAnsi="Arial" w:cs="Arial"/>
                <w:sz w:val="20"/>
                <w:szCs w:val="20"/>
              </w:rPr>
              <w:t xml:space="preserve">       1,495,000 </w:t>
            </w:r>
          </w:p>
        </w:tc>
        <w:tc>
          <w:tcPr>
            <w:tcW w:w="720" w:type="dxa"/>
            <w:vAlign w:val="bottom"/>
          </w:tcPr>
          <w:p w:rsidR="003B0815" w:rsidRDefault="003B0815" w14:paraId="5207213F"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7693410E" w14:textId="77777777">
            <w:pPr>
              <w:keepNext/>
              <w:jc w:val="right"/>
              <w:rPr>
                <w:rFonts w:ascii="Arial" w:hAnsi="Arial"/>
                <w:b/>
                <w:sz w:val="20"/>
                <w:szCs w:val="20"/>
              </w:rPr>
            </w:pPr>
            <w:r>
              <w:rPr>
                <w:rFonts w:ascii="Arial" w:hAnsi="Arial" w:cs="Arial"/>
                <w:sz w:val="20"/>
                <w:szCs w:val="20"/>
              </w:rPr>
              <w:t>25.8</w:t>
            </w:r>
          </w:p>
        </w:tc>
        <w:tc>
          <w:tcPr>
            <w:tcW w:w="1080" w:type="dxa"/>
            <w:shd w:val="clear" w:color="auto" w:fill="CCCCCC"/>
            <w:vAlign w:val="bottom"/>
          </w:tcPr>
          <w:p w:rsidR="003B0815" w:rsidRDefault="003B0815" w14:paraId="0A33A7C1" w14:textId="77777777">
            <w:pPr>
              <w:keepNext/>
              <w:jc w:val="right"/>
              <w:rPr>
                <w:rFonts w:ascii="Arial" w:hAnsi="Arial"/>
                <w:b/>
                <w:sz w:val="20"/>
                <w:szCs w:val="20"/>
              </w:rPr>
            </w:pPr>
            <w:r>
              <w:rPr>
                <w:rFonts w:ascii="Arial" w:hAnsi="Arial" w:cs="Arial"/>
                <w:sz w:val="20"/>
                <w:szCs w:val="20"/>
              </w:rPr>
              <w:t>20.6</w:t>
            </w:r>
          </w:p>
        </w:tc>
        <w:tc>
          <w:tcPr>
            <w:tcW w:w="1080" w:type="dxa"/>
            <w:tcBorders>
              <w:right w:val="single" w:color="auto" w:sz="12" w:space="0"/>
            </w:tcBorders>
            <w:shd w:val="clear" w:color="auto" w:fill="CCCCCC"/>
            <w:vAlign w:val="bottom"/>
          </w:tcPr>
          <w:p w:rsidR="003B0815" w:rsidRDefault="003B0815" w14:paraId="7AB75FB7" w14:textId="77777777">
            <w:pPr>
              <w:keepNext/>
              <w:jc w:val="right"/>
              <w:rPr>
                <w:rFonts w:ascii="Arial" w:hAnsi="Arial"/>
                <w:b/>
                <w:sz w:val="20"/>
                <w:szCs w:val="20"/>
              </w:rPr>
            </w:pPr>
            <w:r>
              <w:rPr>
                <w:rFonts w:ascii="Arial" w:hAnsi="Arial" w:cs="Arial"/>
                <w:sz w:val="20"/>
                <w:szCs w:val="20"/>
              </w:rPr>
              <w:t>30.9</w:t>
            </w:r>
          </w:p>
        </w:tc>
      </w:tr>
      <w:tr w:rsidR="003B0815" w14:paraId="34E873A5" w14:textId="77777777">
        <w:trPr>
          <w:jc w:val="center"/>
        </w:trPr>
        <w:tc>
          <w:tcPr>
            <w:tcW w:w="679" w:type="dxa"/>
            <w:tcBorders>
              <w:left w:val="single" w:color="auto" w:sz="12" w:space="0"/>
              <w:bottom w:val="single" w:color="auto" w:sz="4" w:space="0"/>
            </w:tcBorders>
          </w:tcPr>
          <w:p w:rsidR="003B0815" w:rsidRDefault="003B0815" w14:paraId="15093D9A" w14:textId="77777777">
            <w:pPr>
              <w:keepNext/>
              <w:jc w:val="center"/>
              <w:rPr>
                <w:rFonts w:ascii="Arial" w:hAnsi="Arial"/>
                <w:sz w:val="20"/>
                <w:szCs w:val="20"/>
              </w:rPr>
            </w:pPr>
            <w:r>
              <w:t>2017</w:t>
            </w:r>
          </w:p>
        </w:tc>
        <w:tc>
          <w:tcPr>
            <w:tcW w:w="1353" w:type="dxa"/>
            <w:tcBorders>
              <w:bottom w:val="single" w:color="auto" w:sz="4" w:space="0"/>
            </w:tcBorders>
            <w:vAlign w:val="bottom"/>
          </w:tcPr>
          <w:p w:rsidR="003B0815" w:rsidRDefault="003B0815" w14:paraId="1E8D01BB" w14:textId="77777777">
            <w:pPr>
              <w:keepNext/>
              <w:jc w:val="center"/>
              <w:rPr>
                <w:rFonts w:ascii="Arial" w:hAnsi="Arial"/>
                <w:sz w:val="20"/>
                <w:szCs w:val="20"/>
              </w:rPr>
            </w:pPr>
            <w:r>
              <w:rPr>
                <w:rFonts w:ascii="Arial" w:hAnsi="Arial" w:cs="Arial"/>
                <w:sz w:val="20"/>
                <w:szCs w:val="20"/>
              </w:rPr>
              <w:t>185.4</w:t>
            </w:r>
          </w:p>
        </w:tc>
        <w:tc>
          <w:tcPr>
            <w:tcW w:w="1080" w:type="dxa"/>
            <w:tcBorders>
              <w:bottom w:val="single" w:color="auto" w:sz="4" w:space="0"/>
            </w:tcBorders>
            <w:vAlign w:val="bottom"/>
          </w:tcPr>
          <w:p w:rsidR="003B0815" w:rsidRDefault="003B0815" w14:paraId="22883309" w14:textId="77777777">
            <w:pPr>
              <w:keepNext/>
              <w:jc w:val="center"/>
              <w:rPr>
                <w:rFonts w:ascii="Arial" w:hAnsi="Arial"/>
                <w:sz w:val="20"/>
                <w:szCs w:val="20"/>
              </w:rPr>
            </w:pPr>
            <w:r>
              <w:rPr>
                <w:rFonts w:ascii="Arial" w:hAnsi="Arial" w:cs="Arial"/>
                <w:sz w:val="20"/>
                <w:szCs w:val="20"/>
              </w:rPr>
              <w:t xml:space="preserve">            1,288,000 </w:t>
            </w:r>
          </w:p>
        </w:tc>
        <w:tc>
          <w:tcPr>
            <w:tcW w:w="1080" w:type="dxa"/>
            <w:tcBorders>
              <w:bottom w:val="single" w:color="auto" w:sz="4" w:space="0"/>
            </w:tcBorders>
            <w:vAlign w:val="bottom"/>
          </w:tcPr>
          <w:p w:rsidR="003B0815" w:rsidRDefault="003B0815" w14:paraId="5E1A9A6A" w14:textId="77777777">
            <w:pPr>
              <w:keepNext/>
              <w:jc w:val="center"/>
              <w:rPr>
                <w:rFonts w:ascii="Arial" w:hAnsi="Arial"/>
                <w:sz w:val="20"/>
                <w:szCs w:val="20"/>
              </w:rPr>
            </w:pPr>
            <w:r>
              <w:rPr>
                <w:rFonts w:ascii="Arial" w:hAnsi="Arial" w:cs="Arial"/>
                <w:sz w:val="20"/>
                <w:szCs w:val="20"/>
              </w:rPr>
              <w:t xml:space="preserve">      1,030,000 </w:t>
            </w:r>
          </w:p>
        </w:tc>
        <w:tc>
          <w:tcPr>
            <w:tcW w:w="1080" w:type="dxa"/>
            <w:tcBorders>
              <w:bottom w:val="single" w:color="auto" w:sz="4" w:space="0"/>
            </w:tcBorders>
            <w:vAlign w:val="bottom"/>
          </w:tcPr>
          <w:p w:rsidR="003B0815" w:rsidRDefault="003B0815" w14:paraId="3DA2AC8D" w14:textId="77777777">
            <w:pPr>
              <w:keepNext/>
              <w:jc w:val="center"/>
              <w:rPr>
                <w:rFonts w:ascii="Arial" w:hAnsi="Arial"/>
                <w:sz w:val="20"/>
                <w:szCs w:val="20"/>
              </w:rPr>
            </w:pPr>
            <w:r>
              <w:rPr>
                <w:rFonts w:ascii="Arial" w:hAnsi="Arial" w:cs="Arial"/>
                <w:sz w:val="20"/>
                <w:szCs w:val="20"/>
              </w:rPr>
              <w:t xml:space="preserve">       1,545,000 </w:t>
            </w:r>
          </w:p>
        </w:tc>
        <w:tc>
          <w:tcPr>
            <w:tcW w:w="720" w:type="dxa"/>
            <w:tcBorders>
              <w:bottom w:val="single" w:color="auto" w:sz="4" w:space="0"/>
            </w:tcBorders>
            <w:vAlign w:val="bottom"/>
          </w:tcPr>
          <w:p w:rsidR="003B0815" w:rsidRDefault="003B0815" w14:paraId="24C2611C" w14:textId="77777777">
            <w:pPr>
              <w:keepNext/>
              <w:jc w:val="center"/>
              <w:rPr>
                <w:rFonts w:ascii="Arial" w:hAnsi="Arial"/>
                <w:sz w:val="20"/>
                <w:szCs w:val="20"/>
              </w:rPr>
            </w:pPr>
            <w:r>
              <w:rPr>
                <w:rFonts w:ascii="Arial" w:hAnsi="Arial" w:cs="Arial"/>
                <w:sz w:val="20"/>
                <w:szCs w:val="20"/>
              </w:rPr>
              <w:t>20.69</w:t>
            </w:r>
          </w:p>
        </w:tc>
        <w:tc>
          <w:tcPr>
            <w:tcW w:w="1080" w:type="dxa"/>
            <w:tcBorders>
              <w:bottom w:val="single" w:color="auto" w:sz="4" w:space="0"/>
            </w:tcBorders>
            <w:shd w:val="clear" w:color="auto" w:fill="CCCCCC"/>
            <w:vAlign w:val="bottom"/>
          </w:tcPr>
          <w:p w:rsidR="003B0815" w:rsidRDefault="003B0815" w14:paraId="50143860" w14:textId="77777777">
            <w:pPr>
              <w:keepNext/>
              <w:jc w:val="right"/>
              <w:rPr>
                <w:rFonts w:ascii="Arial" w:hAnsi="Arial"/>
                <w:b/>
                <w:sz w:val="20"/>
                <w:szCs w:val="20"/>
              </w:rPr>
            </w:pPr>
            <w:r>
              <w:rPr>
                <w:rFonts w:ascii="Arial" w:hAnsi="Arial" w:cs="Arial"/>
                <w:sz w:val="20"/>
                <w:szCs w:val="20"/>
              </w:rPr>
              <w:t>26.6</w:t>
            </w:r>
          </w:p>
        </w:tc>
        <w:tc>
          <w:tcPr>
            <w:tcW w:w="1080" w:type="dxa"/>
            <w:tcBorders>
              <w:bottom w:val="single" w:color="auto" w:sz="4" w:space="0"/>
            </w:tcBorders>
            <w:shd w:val="clear" w:color="auto" w:fill="CCCCCC"/>
            <w:vAlign w:val="bottom"/>
          </w:tcPr>
          <w:p w:rsidR="003B0815" w:rsidRDefault="003B0815" w14:paraId="32C3A679" w14:textId="77777777">
            <w:pPr>
              <w:keepNext/>
              <w:jc w:val="right"/>
              <w:rPr>
                <w:rFonts w:ascii="Arial" w:hAnsi="Arial"/>
                <w:b/>
                <w:sz w:val="20"/>
                <w:szCs w:val="20"/>
              </w:rPr>
            </w:pPr>
            <w:r>
              <w:rPr>
                <w:rFonts w:ascii="Arial" w:hAnsi="Arial" w:cs="Arial"/>
                <w:sz w:val="20"/>
                <w:szCs w:val="20"/>
              </w:rPr>
              <w:t>21.3</w:t>
            </w:r>
          </w:p>
        </w:tc>
        <w:tc>
          <w:tcPr>
            <w:tcW w:w="1080" w:type="dxa"/>
            <w:tcBorders>
              <w:bottom w:val="single" w:color="auto" w:sz="4" w:space="0"/>
              <w:right w:val="single" w:color="auto" w:sz="12" w:space="0"/>
            </w:tcBorders>
            <w:shd w:val="clear" w:color="auto" w:fill="CCCCCC"/>
            <w:vAlign w:val="bottom"/>
          </w:tcPr>
          <w:p w:rsidR="003B0815" w:rsidRDefault="003B0815" w14:paraId="16D64381" w14:textId="77777777">
            <w:pPr>
              <w:keepNext/>
              <w:jc w:val="right"/>
              <w:rPr>
                <w:rFonts w:ascii="Arial" w:hAnsi="Arial"/>
                <w:b/>
                <w:sz w:val="20"/>
                <w:szCs w:val="20"/>
              </w:rPr>
            </w:pPr>
            <w:r>
              <w:rPr>
                <w:rFonts w:ascii="Arial" w:hAnsi="Arial" w:cs="Arial"/>
                <w:sz w:val="20"/>
                <w:szCs w:val="20"/>
              </w:rPr>
              <w:t>32</w:t>
            </w:r>
          </w:p>
        </w:tc>
      </w:tr>
      <w:tr w:rsidR="003B0815" w14:paraId="049F6AF9" w14:textId="77777777">
        <w:trPr>
          <w:jc w:val="center"/>
        </w:trPr>
        <w:tc>
          <w:tcPr>
            <w:tcW w:w="679" w:type="dxa"/>
            <w:tcBorders>
              <w:left w:val="single" w:color="auto" w:sz="12" w:space="0"/>
              <w:bottom w:val="single" w:color="auto" w:sz="12" w:space="0"/>
              <w:right w:val="nil"/>
            </w:tcBorders>
            <w:vAlign w:val="bottom"/>
          </w:tcPr>
          <w:p w:rsidR="003B0815" w:rsidRDefault="003B0815" w14:paraId="54A95B3B" w14:textId="77777777">
            <w:pPr>
              <w:keepNext/>
              <w:jc w:val="center"/>
              <w:rPr>
                <w:rFonts w:ascii="Arial" w:hAnsi="Arial"/>
                <w:b/>
                <w:sz w:val="20"/>
                <w:szCs w:val="20"/>
              </w:rPr>
            </w:pPr>
            <w:r>
              <w:rPr>
                <w:rFonts w:ascii="Arial" w:hAnsi="Arial" w:cs="Arial"/>
                <w:b/>
                <w:bCs/>
                <w:sz w:val="20"/>
                <w:szCs w:val="20"/>
              </w:rPr>
              <w:t>Total</w:t>
            </w:r>
          </w:p>
        </w:tc>
        <w:tc>
          <w:tcPr>
            <w:tcW w:w="1353" w:type="dxa"/>
            <w:tcBorders>
              <w:left w:val="nil"/>
              <w:bottom w:val="single" w:color="auto" w:sz="12" w:space="0"/>
              <w:right w:val="nil"/>
            </w:tcBorders>
            <w:vAlign w:val="bottom"/>
          </w:tcPr>
          <w:p w:rsidR="003B0815" w:rsidRDefault="003B0815" w14:paraId="001DBB8E"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0FB0F741"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130A22BA"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06E2FE90" w14:textId="77777777">
            <w:pPr>
              <w:keepNext/>
              <w:jc w:val="center"/>
              <w:rPr>
                <w:rFonts w:ascii="Arial" w:hAnsi="Arial"/>
                <w:sz w:val="20"/>
                <w:szCs w:val="20"/>
              </w:rPr>
            </w:pPr>
            <w:r>
              <w:rPr>
                <w:rFonts w:ascii="Arial" w:hAnsi="Arial" w:cs="Arial"/>
                <w:sz w:val="20"/>
                <w:szCs w:val="20"/>
              </w:rPr>
              <w:t> </w:t>
            </w:r>
          </w:p>
        </w:tc>
        <w:tc>
          <w:tcPr>
            <w:tcW w:w="720" w:type="dxa"/>
            <w:tcBorders>
              <w:left w:val="nil"/>
              <w:bottom w:val="single" w:color="auto" w:sz="12" w:space="0"/>
              <w:right w:val="nil"/>
            </w:tcBorders>
            <w:vAlign w:val="bottom"/>
          </w:tcPr>
          <w:p w:rsidR="003B0815" w:rsidRDefault="003B0815" w14:paraId="4D4CA0CD"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0FC1B73E" w14:textId="77777777">
            <w:pPr>
              <w:keepNext/>
              <w:jc w:val="right"/>
              <w:rPr>
                <w:rFonts w:ascii="Arial" w:hAnsi="Arial"/>
                <w:b/>
                <w:sz w:val="20"/>
                <w:szCs w:val="20"/>
              </w:rPr>
            </w:pPr>
            <w:r>
              <w:rPr>
                <w:rFonts w:ascii="Arial" w:hAnsi="Arial" w:cs="Arial"/>
                <w:sz w:val="20"/>
                <w:szCs w:val="20"/>
              </w:rPr>
              <w:t>$232.6</w:t>
            </w:r>
          </w:p>
        </w:tc>
        <w:tc>
          <w:tcPr>
            <w:tcW w:w="1080" w:type="dxa"/>
            <w:tcBorders>
              <w:left w:val="nil"/>
              <w:bottom w:val="single" w:color="auto" w:sz="12" w:space="0"/>
              <w:right w:val="nil"/>
            </w:tcBorders>
            <w:vAlign w:val="bottom"/>
          </w:tcPr>
          <w:p w:rsidR="003B0815" w:rsidRDefault="003B0815" w14:paraId="159F7841" w14:textId="77777777">
            <w:pPr>
              <w:keepNext/>
              <w:jc w:val="right"/>
              <w:rPr>
                <w:rFonts w:ascii="Arial" w:hAnsi="Arial"/>
                <w:b/>
                <w:sz w:val="20"/>
                <w:szCs w:val="20"/>
              </w:rPr>
            </w:pPr>
            <w:r>
              <w:rPr>
                <w:rFonts w:ascii="Arial" w:hAnsi="Arial" w:cs="Arial"/>
                <w:sz w:val="20"/>
                <w:szCs w:val="20"/>
              </w:rPr>
              <w:t>$185.9</w:t>
            </w:r>
          </w:p>
        </w:tc>
        <w:tc>
          <w:tcPr>
            <w:tcW w:w="1080" w:type="dxa"/>
            <w:tcBorders>
              <w:left w:val="nil"/>
              <w:bottom w:val="single" w:color="auto" w:sz="12" w:space="0"/>
              <w:right w:val="single" w:color="auto" w:sz="12" w:space="0"/>
            </w:tcBorders>
            <w:vAlign w:val="bottom"/>
          </w:tcPr>
          <w:p w:rsidR="003B0815" w:rsidRDefault="003B0815" w14:paraId="21D507F8" w14:textId="77777777">
            <w:pPr>
              <w:keepNext/>
              <w:jc w:val="right"/>
              <w:rPr>
                <w:rFonts w:ascii="Arial" w:hAnsi="Arial"/>
                <w:b/>
                <w:sz w:val="20"/>
                <w:szCs w:val="20"/>
              </w:rPr>
            </w:pPr>
            <w:r>
              <w:rPr>
                <w:rFonts w:ascii="Arial" w:hAnsi="Arial" w:cs="Arial"/>
                <w:sz w:val="20"/>
                <w:szCs w:val="20"/>
              </w:rPr>
              <w:t>$278.9</w:t>
            </w:r>
          </w:p>
        </w:tc>
      </w:tr>
      <w:tr w:rsidR="003B0815" w14:paraId="4EECAE02" w14:textId="77777777">
        <w:trPr>
          <w:jc w:val="center"/>
        </w:trPr>
        <w:tc>
          <w:tcPr>
            <w:tcW w:w="9232" w:type="dxa"/>
            <w:gridSpan w:val="9"/>
            <w:tcBorders>
              <w:top w:val="single" w:color="auto" w:sz="12" w:space="0"/>
              <w:left w:val="nil"/>
              <w:bottom w:val="nil"/>
              <w:right w:val="nil"/>
            </w:tcBorders>
            <w:vAlign w:val="bottom"/>
          </w:tcPr>
          <w:p w:rsidR="003B0815" w:rsidRDefault="003B0815" w14:paraId="72D77692" w14:textId="77777777">
            <w:pPr>
              <w:keepNext/>
              <w:rPr>
                <w:rFonts w:ascii="Arial" w:hAnsi="Arial" w:cs="Arial"/>
                <w:sz w:val="20"/>
                <w:szCs w:val="20"/>
              </w:rPr>
            </w:pPr>
            <w:r>
              <w:rPr>
                <w:rFonts w:ascii="Arial" w:hAnsi="Arial" w:cs="Arial"/>
                <w:sz w:val="20"/>
                <w:szCs w:val="20"/>
              </w:rPr>
              <w:t xml:space="preserve">*Totals in this row include a one-time cost of $0.9 million for the largest online travel agencies tomodify their user interfaces to accommodate the additional data elements.  See discussion below. </w:t>
            </w:r>
          </w:p>
        </w:tc>
      </w:tr>
    </w:tbl>
    <w:p w:rsidR="003B0815" w:rsidRDefault="003B0815" w14:paraId="68DC5D03" w14:textId="77777777">
      <w:pPr>
        <w:spacing w:line="360" w:lineRule="auto"/>
        <w:ind w:firstLine="720"/>
      </w:pPr>
    </w:p>
    <w:p w:rsidR="003B0815" w:rsidRDefault="003B0815" w14:paraId="68E93792" w14:textId="77777777">
      <w:pPr>
        <w:spacing w:line="360" w:lineRule="auto"/>
      </w:pPr>
      <w:r>
        <w:t>Travel agents currently collect a great deal of information, including full name, in order to build a profile for their patrons.  Accordingly, TSA assumed that a large proportion of travel agencies have enough existing capacity to accommodate the collection of the additional information.  According to industry information provided by ASTA, TSA assumed that travel agents do not incur any of the costs associated with reprogramming the booking systems they use.  GDSs fund these systems through fees charged to airlines and offer them free of charge to travel agents.  As an incentive for travel agencies to use their booking systems, many GDSs offer commission packages to travel agents based on the volume of reservations they process.  Based on ASTA information, TSA determined that while the modifications GDSs has to make to their booking systems do not result in any direct costs to travel agents, it may prompt GDSs to raise commission thresholds.  TSA deemed this unlikely to affect a large number of travel agents, however, as currently only very large agencies are able to achieve the reservation volumes required to trigger commissions.</w:t>
      </w:r>
    </w:p>
    <w:p w:rsidR="003B0815" w:rsidRDefault="003B0815" w14:paraId="5605C310" w14:textId="77777777">
      <w:pPr>
        <w:spacing w:line="360" w:lineRule="auto"/>
        <w:ind w:firstLine="720"/>
      </w:pPr>
      <w:r>
        <w:t>As discussed in Section 1.4.2, most travel agencies conduct training through email updates and rely on scripts to guide agents through the reservation process.  These scripts are software programs that overlay the core booking system provided by the GDS.  These dynamic interfaces prompt the travel agent to provide specific information to the client based on the type of reservation.  Travel agents will be required to reprogram these scripts as a consequence of this regulation; however, TSA could not obtain industry estimates on the magnitude of this reprogramming cost.  In the absence of such information, TSA was unable to estimate these costs.</w:t>
      </w:r>
    </w:p>
    <w:p w:rsidR="003B0815" w:rsidRDefault="003B0815" w14:paraId="361933A6" w14:textId="77777777">
      <w:pPr>
        <w:spacing w:line="360" w:lineRule="auto"/>
        <w:ind w:firstLine="720"/>
      </w:pPr>
      <w:r>
        <w:t xml:space="preserve">While GDSs will make the necessary changes to enable travel agencies to transfer the additional required data elements to the GDS, travel agencies will need to modify their websites to enable users to enter the requested information.  TSA anticipates this will be a significant burden only for very large online travel agencies, which have their websites connected to an array of business systems.  While TSA was unable to determine the exact number of such travel agencies, TSA solicited information from subject matter experts on the likely cost for these firms to make the necessary front-end changes.  The subject matter experts concluded that online travel agencies incur a one-time cost of approximately $125,000 to modify their systems.  Based on a web query, TSA estimated this cost impacts 7 major online travel agencies, totaling $875,000.  The total is figured into the fiscal year 2008 costs in Table 1.6.4.a.  </w:t>
      </w:r>
    </w:p>
    <w:p w:rsidR="003B0815" w:rsidRDefault="003B0815" w14:paraId="7FDF444A" w14:textId="77777777">
      <w:pPr>
        <w:keepNext/>
        <w:spacing w:line="360" w:lineRule="auto"/>
        <w:rPr>
          <w:b/>
        </w:rPr>
      </w:pPr>
      <w:r>
        <w:rPr>
          <w:b/>
        </w:rPr>
        <w:t>International Passengers</w:t>
      </w:r>
    </w:p>
    <w:p w:rsidR="003B0815" w:rsidRDefault="003B0815" w14:paraId="334BB4AF" w14:textId="77777777">
      <w:pPr>
        <w:spacing w:line="360" w:lineRule="auto"/>
        <w:ind w:firstLine="720"/>
      </w:pPr>
      <w:r>
        <w:t>Under the rule, travel agencies also need to collect additional information from international passengers.  TSA used the same method to estimate the costs associated with international travelers as it did for domestic travelers.  However, population and timing differences require slightly different discussion and interpretation.</w:t>
      </w:r>
    </w:p>
    <w:p w:rsidR="003B0815" w:rsidRDefault="003B0815" w14:paraId="7A5F6354" w14:textId="77777777">
      <w:pPr>
        <w:spacing w:line="360" w:lineRule="auto"/>
        <w:ind w:firstLine="720"/>
      </w:pPr>
      <w:r>
        <w:t xml:space="preserve">TSA estimated the impact for all international passengers traveling to or from the </w:t>
      </w:r>
      <w:smartTag w:uri="urn:schemas-microsoft-com:office:smarttags" w:element="country-region">
        <w:smartTag w:uri="urn:schemas-microsoft-com:office:smarttags" w:element="place">
          <w:r>
            <w:t>U.S.</w:t>
          </w:r>
        </w:smartTag>
      </w:smartTag>
      <w:r>
        <w:t xml:space="preserve">  This population has been segregated from domestic travelers because while travel agents will be required to request full names, dates of birth, genders, and Redress Numbers from these passengers, this information will not be used for watch list matching until the second phase of Secure Flight implementation.  Further, not all of these costs occur within the </w:t>
      </w:r>
      <w:smartTag w:uri="urn:schemas-microsoft-com:office:smarttags" w:element="country-region">
        <w:smartTag w:uri="urn:schemas-microsoft-com:office:smarttags" w:element="place">
          <w:r>
            <w:t>U.S.</w:t>
          </w:r>
        </w:smartTag>
      </w:smartTag>
      <w:r>
        <w:t xml:space="preserve"> economy.  For instance, U.S.-based travel agencies may book itineraries on foreign carriers and foreign travel agencies may book itineraries on </w:t>
      </w:r>
      <w:smartTag w:uri="urn:schemas-microsoft-com:office:smarttags" w:element="country-region">
        <w:smartTag w:uri="urn:schemas-microsoft-com:office:smarttags" w:element="place">
          <w:r>
            <w:t>U.S.</w:t>
          </w:r>
        </w:smartTag>
      </w:smartTag>
      <w:r>
        <w:t xml:space="preserve"> carriers.  TSA was unable to determine what proportion of the costs occur within the U.S. economy and therefore included all related costs in this analysis, regardless of national economic divisions. The primary estimated cost for travel agencies to collect additional information is $56.6 million over ten years. Table 1.6.4.b presents estimates for each of the ten years, along with low and high estimates.</w:t>
      </w:r>
    </w:p>
    <w:tbl>
      <w:tblPr>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679"/>
        <w:gridCol w:w="1353"/>
        <w:gridCol w:w="1080"/>
        <w:gridCol w:w="1080"/>
        <w:gridCol w:w="1080"/>
        <w:gridCol w:w="720"/>
        <w:gridCol w:w="1080"/>
        <w:gridCol w:w="1080"/>
        <w:gridCol w:w="1080"/>
      </w:tblGrid>
      <w:tr w:rsidR="003B0815" w14:paraId="1E51B68E" w14:textId="77777777">
        <w:trPr>
          <w:jc w:val="center"/>
        </w:trPr>
        <w:tc>
          <w:tcPr>
            <w:tcW w:w="9232" w:type="dxa"/>
            <w:gridSpan w:val="9"/>
            <w:tcBorders>
              <w:top w:val="nil"/>
              <w:left w:val="nil"/>
              <w:bottom w:val="single" w:color="auto" w:sz="12" w:space="0"/>
              <w:right w:val="nil"/>
            </w:tcBorders>
            <w:vAlign w:val="center"/>
          </w:tcPr>
          <w:p w:rsidR="003B0815" w:rsidRDefault="003B0815" w14:paraId="387291D7" w14:textId="77777777">
            <w:pPr>
              <w:pStyle w:val="RegEvalTableHeader"/>
              <w:keepNext/>
            </w:pPr>
            <w:bookmarkStart w:name="_Toc165278390" w:id="308"/>
            <w:bookmarkStart w:name="_Toc174438392" w:id="309"/>
            <w:bookmarkStart w:name="_Toc207109527" w:id="310"/>
            <w:r>
              <w:t>Table 1.6.4.b Travel Agency Data Collection Costs, International Passengers</w:t>
            </w:r>
            <w:bookmarkEnd w:id="308"/>
            <w:bookmarkEnd w:id="309"/>
            <w:bookmarkEnd w:id="310"/>
          </w:p>
        </w:tc>
      </w:tr>
      <w:tr w:rsidR="003B0815" w14:paraId="0BD49704" w14:textId="77777777">
        <w:trPr>
          <w:jc w:val="center"/>
        </w:trPr>
        <w:tc>
          <w:tcPr>
            <w:tcW w:w="679" w:type="dxa"/>
            <w:tcBorders>
              <w:top w:val="single" w:color="auto" w:sz="12" w:space="0"/>
              <w:left w:val="single" w:color="auto" w:sz="12" w:space="0"/>
            </w:tcBorders>
            <w:vAlign w:val="center"/>
          </w:tcPr>
          <w:p w:rsidR="003B0815" w:rsidRDefault="003B0815" w14:paraId="3FD52A12" w14:textId="77777777">
            <w:pPr>
              <w:keepNext/>
              <w:jc w:val="center"/>
              <w:rPr>
                <w:rFonts w:ascii="Arial" w:hAnsi="Arial"/>
                <w:b/>
                <w:sz w:val="20"/>
                <w:szCs w:val="20"/>
              </w:rPr>
            </w:pPr>
            <w:r>
              <w:rPr>
                <w:rFonts w:ascii="Arial" w:hAnsi="Arial" w:cs="Arial"/>
                <w:b/>
                <w:bCs/>
                <w:sz w:val="20"/>
                <w:szCs w:val="20"/>
              </w:rPr>
              <w:t>Fiscal Year</w:t>
            </w:r>
          </w:p>
        </w:tc>
        <w:tc>
          <w:tcPr>
            <w:tcW w:w="1353" w:type="dxa"/>
            <w:tcBorders>
              <w:top w:val="single" w:color="auto" w:sz="12" w:space="0"/>
            </w:tcBorders>
            <w:vAlign w:val="center"/>
          </w:tcPr>
          <w:p w:rsidR="003B0815" w:rsidRDefault="003B0815" w14:paraId="6FBBCF20" w14:textId="77777777">
            <w:pPr>
              <w:keepNext/>
              <w:jc w:val="center"/>
              <w:rPr>
                <w:rFonts w:ascii="Arial" w:hAnsi="Arial" w:cs="Arial"/>
                <w:b/>
                <w:bCs/>
                <w:sz w:val="20"/>
                <w:szCs w:val="20"/>
              </w:rPr>
            </w:pPr>
            <w:r>
              <w:rPr>
                <w:rFonts w:ascii="Arial" w:hAnsi="Arial" w:cs="Arial"/>
                <w:b/>
                <w:bCs/>
                <w:sz w:val="20"/>
                <w:szCs w:val="20"/>
              </w:rPr>
              <w:t>Travel Agent Reservations</w:t>
            </w:r>
          </w:p>
          <w:p w:rsidR="003B0815" w:rsidRDefault="003B0815" w14:paraId="1305EF9F" w14:textId="77777777">
            <w:pPr>
              <w:keepNext/>
              <w:jc w:val="center"/>
              <w:rPr>
                <w:rFonts w:ascii="Arial" w:hAnsi="Arial"/>
                <w:b/>
                <w:sz w:val="20"/>
                <w:szCs w:val="20"/>
              </w:rPr>
            </w:pPr>
            <w:r>
              <w:rPr>
                <w:rFonts w:ascii="Arial" w:hAnsi="Arial" w:cs="Arial"/>
                <w:b/>
                <w:bCs/>
                <w:sz w:val="20"/>
                <w:szCs w:val="20"/>
              </w:rPr>
              <w:t>(millions)</w:t>
            </w:r>
          </w:p>
        </w:tc>
        <w:tc>
          <w:tcPr>
            <w:tcW w:w="1080" w:type="dxa"/>
            <w:tcBorders>
              <w:top w:val="single" w:color="auto" w:sz="12" w:space="0"/>
            </w:tcBorders>
            <w:vAlign w:val="center"/>
          </w:tcPr>
          <w:p w:rsidR="003B0815" w:rsidRDefault="003B0815" w14:paraId="65C656F0" w14:textId="77777777">
            <w:pPr>
              <w:keepNext/>
              <w:jc w:val="center"/>
              <w:rPr>
                <w:rFonts w:ascii="Arial" w:hAnsi="Arial"/>
                <w:b/>
                <w:sz w:val="20"/>
                <w:szCs w:val="20"/>
              </w:rPr>
            </w:pPr>
            <w:r>
              <w:rPr>
                <w:rFonts w:ascii="Arial" w:hAnsi="Arial" w:cs="Arial"/>
                <w:b/>
                <w:bCs/>
                <w:sz w:val="20"/>
                <w:szCs w:val="20"/>
              </w:rPr>
              <w:t>Total Additional Hours, Primary Scenario</w:t>
            </w:r>
          </w:p>
        </w:tc>
        <w:tc>
          <w:tcPr>
            <w:tcW w:w="1080" w:type="dxa"/>
            <w:tcBorders>
              <w:top w:val="single" w:color="auto" w:sz="12" w:space="0"/>
            </w:tcBorders>
            <w:vAlign w:val="center"/>
          </w:tcPr>
          <w:p w:rsidR="003B0815" w:rsidRDefault="003B0815" w14:paraId="05022D87" w14:textId="77777777">
            <w:pPr>
              <w:keepNext/>
              <w:jc w:val="center"/>
              <w:rPr>
                <w:rFonts w:ascii="Arial" w:hAnsi="Arial"/>
                <w:b/>
                <w:sz w:val="20"/>
                <w:szCs w:val="20"/>
              </w:rPr>
            </w:pPr>
            <w:r>
              <w:rPr>
                <w:rFonts w:ascii="Arial" w:hAnsi="Arial" w:cs="Arial"/>
                <w:b/>
                <w:bCs/>
                <w:sz w:val="20"/>
                <w:szCs w:val="20"/>
              </w:rPr>
              <w:t>Total Additional Hours, Low Scenario</w:t>
            </w:r>
          </w:p>
        </w:tc>
        <w:tc>
          <w:tcPr>
            <w:tcW w:w="1080" w:type="dxa"/>
            <w:tcBorders>
              <w:top w:val="single" w:color="auto" w:sz="12" w:space="0"/>
            </w:tcBorders>
            <w:vAlign w:val="center"/>
          </w:tcPr>
          <w:p w:rsidR="003B0815" w:rsidRDefault="003B0815" w14:paraId="3F993C94" w14:textId="77777777">
            <w:pPr>
              <w:keepNext/>
              <w:jc w:val="center"/>
              <w:rPr>
                <w:rFonts w:ascii="Arial" w:hAnsi="Arial"/>
                <w:b/>
                <w:sz w:val="20"/>
                <w:szCs w:val="20"/>
              </w:rPr>
            </w:pPr>
            <w:r>
              <w:rPr>
                <w:rFonts w:ascii="Arial" w:hAnsi="Arial" w:cs="Arial"/>
                <w:b/>
                <w:bCs/>
                <w:sz w:val="20"/>
                <w:szCs w:val="20"/>
              </w:rPr>
              <w:t>Total Additional Hours, High Scenario</w:t>
            </w:r>
          </w:p>
        </w:tc>
        <w:tc>
          <w:tcPr>
            <w:tcW w:w="720" w:type="dxa"/>
            <w:tcBorders>
              <w:top w:val="single" w:color="auto" w:sz="12" w:space="0"/>
            </w:tcBorders>
            <w:vAlign w:val="center"/>
          </w:tcPr>
          <w:p w:rsidR="003B0815" w:rsidRDefault="003B0815" w14:paraId="74B5DDDE" w14:textId="77777777">
            <w:pPr>
              <w:keepNext/>
              <w:jc w:val="center"/>
              <w:rPr>
                <w:rFonts w:ascii="Arial" w:hAnsi="Arial"/>
                <w:b/>
                <w:sz w:val="20"/>
                <w:szCs w:val="20"/>
              </w:rPr>
            </w:pPr>
            <w:r>
              <w:rPr>
                <w:rFonts w:ascii="Arial" w:hAnsi="Arial" w:cs="Arial"/>
                <w:b/>
                <w:bCs/>
                <w:sz w:val="20"/>
                <w:szCs w:val="20"/>
              </w:rPr>
              <w:t>Travel Agent Hourly Wage</w:t>
            </w:r>
          </w:p>
        </w:tc>
        <w:tc>
          <w:tcPr>
            <w:tcW w:w="1080" w:type="dxa"/>
            <w:tcBorders>
              <w:top w:val="single" w:color="auto" w:sz="12" w:space="0"/>
            </w:tcBorders>
            <w:vAlign w:val="center"/>
          </w:tcPr>
          <w:p w:rsidR="003B0815" w:rsidRDefault="003B0815" w14:paraId="000D8144" w14:textId="77777777">
            <w:pPr>
              <w:keepNext/>
              <w:jc w:val="center"/>
              <w:rPr>
                <w:rFonts w:ascii="Arial" w:hAnsi="Arial"/>
                <w:b/>
                <w:sz w:val="20"/>
                <w:szCs w:val="20"/>
              </w:rPr>
            </w:pPr>
            <w:r>
              <w:rPr>
                <w:rFonts w:ascii="Arial" w:hAnsi="Arial" w:cs="Arial"/>
                <w:b/>
                <w:bCs/>
                <w:sz w:val="20"/>
                <w:szCs w:val="20"/>
              </w:rPr>
              <w:t>Total Cost, Primary Scenario (millions)</w:t>
            </w:r>
          </w:p>
        </w:tc>
        <w:tc>
          <w:tcPr>
            <w:tcW w:w="1080" w:type="dxa"/>
            <w:tcBorders>
              <w:top w:val="single" w:color="auto" w:sz="12" w:space="0"/>
            </w:tcBorders>
            <w:vAlign w:val="center"/>
          </w:tcPr>
          <w:p w:rsidR="003B0815" w:rsidRDefault="003B0815" w14:paraId="2124CBAC" w14:textId="77777777">
            <w:pPr>
              <w:keepNext/>
              <w:jc w:val="center"/>
              <w:rPr>
                <w:rFonts w:ascii="Arial" w:hAnsi="Arial" w:cs="Arial"/>
                <w:b/>
                <w:bCs/>
                <w:sz w:val="20"/>
                <w:szCs w:val="20"/>
              </w:rPr>
            </w:pPr>
            <w:r>
              <w:rPr>
                <w:rFonts w:ascii="Arial" w:hAnsi="Arial" w:cs="Arial"/>
                <w:b/>
                <w:bCs/>
                <w:sz w:val="20"/>
                <w:szCs w:val="20"/>
              </w:rPr>
              <w:t xml:space="preserve">Total Cost, Low </w:t>
            </w:r>
          </w:p>
          <w:p w:rsidR="003B0815" w:rsidRDefault="003B0815" w14:paraId="1BA64148" w14:textId="77777777">
            <w:pPr>
              <w:keepNext/>
              <w:jc w:val="center"/>
              <w:rPr>
                <w:rFonts w:ascii="Arial" w:hAnsi="Arial"/>
                <w:b/>
                <w:sz w:val="20"/>
                <w:szCs w:val="20"/>
              </w:rPr>
            </w:pPr>
            <w:r>
              <w:rPr>
                <w:rFonts w:ascii="Arial" w:hAnsi="Arial" w:cs="Arial"/>
                <w:b/>
                <w:bCs/>
                <w:sz w:val="20"/>
                <w:szCs w:val="20"/>
              </w:rPr>
              <w:t>Scenario (millions)</w:t>
            </w:r>
          </w:p>
        </w:tc>
        <w:tc>
          <w:tcPr>
            <w:tcW w:w="1080" w:type="dxa"/>
            <w:tcBorders>
              <w:top w:val="single" w:color="auto" w:sz="12" w:space="0"/>
              <w:bottom w:val="single" w:color="auto" w:sz="4" w:space="0"/>
              <w:right w:val="single" w:color="auto" w:sz="12" w:space="0"/>
            </w:tcBorders>
            <w:vAlign w:val="center"/>
          </w:tcPr>
          <w:p w:rsidR="003B0815" w:rsidRDefault="003B0815" w14:paraId="54232652" w14:textId="77777777">
            <w:pPr>
              <w:keepNext/>
              <w:jc w:val="center"/>
              <w:rPr>
                <w:rFonts w:ascii="Arial" w:hAnsi="Arial" w:cs="Arial"/>
                <w:b/>
                <w:bCs/>
                <w:sz w:val="20"/>
                <w:szCs w:val="20"/>
              </w:rPr>
            </w:pPr>
            <w:r>
              <w:rPr>
                <w:rFonts w:ascii="Arial" w:hAnsi="Arial" w:cs="Arial"/>
                <w:b/>
                <w:bCs/>
                <w:sz w:val="20"/>
                <w:szCs w:val="20"/>
              </w:rPr>
              <w:t xml:space="preserve">Total Cost, High </w:t>
            </w:r>
          </w:p>
          <w:p w:rsidR="003B0815" w:rsidRDefault="003B0815" w14:paraId="6381F659" w14:textId="77777777">
            <w:pPr>
              <w:keepNext/>
              <w:jc w:val="center"/>
              <w:rPr>
                <w:rFonts w:ascii="Arial" w:hAnsi="Arial"/>
                <w:b/>
                <w:sz w:val="20"/>
                <w:szCs w:val="20"/>
              </w:rPr>
            </w:pPr>
            <w:r>
              <w:rPr>
                <w:rFonts w:ascii="Arial" w:hAnsi="Arial" w:cs="Arial"/>
                <w:b/>
                <w:bCs/>
                <w:sz w:val="20"/>
                <w:szCs w:val="20"/>
              </w:rPr>
              <w:t>Scenario (millions)</w:t>
            </w:r>
          </w:p>
        </w:tc>
      </w:tr>
      <w:tr w:rsidR="003B0815" w14:paraId="34A0129B" w14:textId="77777777">
        <w:trPr>
          <w:jc w:val="center"/>
        </w:trPr>
        <w:tc>
          <w:tcPr>
            <w:tcW w:w="679" w:type="dxa"/>
            <w:tcBorders>
              <w:left w:val="single" w:color="auto" w:sz="12" w:space="0"/>
            </w:tcBorders>
            <w:vAlign w:val="center"/>
          </w:tcPr>
          <w:p w:rsidR="003B0815" w:rsidRDefault="003B0815" w14:paraId="75B23065" w14:textId="77777777">
            <w:pPr>
              <w:keepNext/>
              <w:jc w:val="center"/>
              <w:rPr>
                <w:rFonts w:ascii="Arial" w:hAnsi="Arial"/>
                <w:sz w:val="20"/>
                <w:szCs w:val="20"/>
              </w:rPr>
            </w:pPr>
            <w:r>
              <w:rPr>
                <w:rFonts w:ascii="Arial" w:hAnsi="Arial" w:cs="Arial"/>
                <w:b/>
                <w:bCs/>
                <w:sz w:val="20"/>
                <w:szCs w:val="20"/>
              </w:rPr>
              <w:t> </w:t>
            </w:r>
          </w:p>
        </w:tc>
        <w:tc>
          <w:tcPr>
            <w:tcW w:w="1353" w:type="dxa"/>
            <w:vAlign w:val="center"/>
          </w:tcPr>
          <w:p w:rsidR="003B0815" w:rsidRDefault="003B0815" w14:paraId="4FF77885" w14:textId="77777777">
            <w:pPr>
              <w:keepNext/>
              <w:jc w:val="center"/>
              <w:rPr>
                <w:rFonts w:ascii="Arial" w:hAnsi="Arial"/>
                <w:sz w:val="20"/>
                <w:szCs w:val="20"/>
              </w:rPr>
            </w:pPr>
            <w:r>
              <w:rPr>
                <w:rFonts w:ascii="Arial" w:hAnsi="Arial" w:cs="Arial"/>
                <w:b/>
                <w:bCs/>
                <w:sz w:val="20"/>
                <w:szCs w:val="20"/>
              </w:rPr>
              <w:t>(A)</w:t>
            </w:r>
          </w:p>
        </w:tc>
        <w:tc>
          <w:tcPr>
            <w:tcW w:w="1080" w:type="dxa"/>
            <w:vAlign w:val="center"/>
          </w:tcPr>
          <w:p w:rsidR="003B0815" w:rsidRDefault="003B0815" w14:paraId="63D75A76"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57B63A08" w14:textId="77777777">
            <w:pPr>
              <w:keepNext/>
              <w:jc w:val="center"/>
              <w:rPr>
                <w:rFonts w:ascii="Arial" w:hAnsi="Arial"/>
                <w:sz w:val="20"/>
                <w:szCs w:val="20"/>
              </w:rPr>
            </w:pPr>
            <w:r>
              <w:rPr>
                <w:rFonts w:ascii="Arial" w:hAnsi="Arial" w:cs="Arial"/>
                <w:b/>
                <w:bCs/>
                <w:sz w:val="20"/>
                <w:szCs w:val="20"/>
              </w:rPr>
              <w:t>(C)</w:t>
            </w:r>
          </w:p>
        </w:tc>
        <w:tc>
          <w:tcPr>
            <w:tcW w:w="1080" w:type="dxa"/>
            <w:vAlign w:val="center"/>
          </w:tcPr>
          <w:p w:rsidR="003B0815" w:rsidRDefault="003B0815" w14:paraId="04DD2498" w14:textId="77777777">
            <w:pPr>
              <w:keepNext/>
              <w:jc w:val="center"/>
              <w:rPr>
                <w:rFonts w:ascii="Arial" w:hAnsi="Arial"/>
                <w:sz w:val="20"/>
                <w:szCs w:val="20"/>
              </w:rPr>
            </w:pPr>
            <w:r>
              <w:rPr>
                <w:rFonts w:ascii="Arial" w:hAnsi="Arial" w:cs="Arial"/>
                <w:b/>
                <w:bCs/>
                <w:sz w:val="20"/>
                <w:szCs w:val="20"/>
              </w:rPr>
              <w:t>(D)</w:t>
            </w:r>
          </w:p>
        </w:tc>
        <w:tc>
          <w:tcPr>
            <w:tcW w:w="720" w:type="dxa"/>
            <w:vAlign w:val="center"/>
          </w:tcPr>
          <w:p w:rsidR="003B0815" w:rsidRDefault="003B0815" w14:paraId="32D18CF9" w14:textId="77777777">
            <w:pPr>
              <w:keepNext/>
              <w:jc w:val="center"/>
              <w:rPr>
                <w:rFonts w:ascii="Arial" w:hAnsi="Arial"/>
                <w:sz w:val="20"/>
                <w:szCs w:val="20"/>
              </w:rPr>
            </w:pPr>
            <w:r>
              <w:rPr>
                <w:rFonts w:ascii="Arial" w:hAnsi="Arial" w:cs="Arial"/>
                <w:b/>
                <w:bCs/>
                <w:sz w:val="20"/>
                <w:szCs w:val="20"/>
              </w:rPr>
              <w:t>(E)</w:t>
            </w:r>
          </w:p>
        </w:tc>
        <w:tc>
          <w:tcPr>
            <w:tcW w:w="1080" w:type="dxa"/>
            <w:shd w:val="clear" w:color="auto" w:fill="CCCCCC"/>
            <w:vAlign w:val="center"/>
          </w:tcPr>
          <w:p w:rsidR="003B0815" w:rsidRDefault="003B0815" w14:paraId="2C19F750" w14:textId="77777777">
            <w:pPr>
              <w:keepNext/>
              <w:jc w:val="center"/>
              <w:rPr>
                <w:rFonts w:ascii="Arial" w:hAnsi="Arial"/>
                <w:b/>
                <w:sz w:val="20"/>
                <w:szCs w:val="20"/>
              </w:rPr>
            </w:pPr>
            <w:r>
              <w:rPr>
                <w:rFonts w:ascii="Arial" w:hAnsi="Arial" w:cs="Arial"/>
                <w:b/>
                <w:bCs/>
                <w:sz w:val="20"/>
                <w:szCs w:val="20"/>
              </w:rPr>
              <w:t>(B x E)</w:t>
            </w:r>
          </w:p>
        </w:tc>
        <w:tc>
          <w:tcPr>
            <w:tcW w:w="1080" w:type="dxa"/>
            <w:shd w:val="clear" w:color="auto" w:fill="CCCCCC"/>
            <w:vAlign w:val="center"/>
          </w:tcPr>
          <w:p w:rsidR="003B0815" w:rsidRDefault="003B0815" w14:paraId="7B317D25" w14:textId="77777777">
            <w:pPr>
              <w:keepNext/>
              <w:jc w:val="center"/>
              <w:rPr>
                <w:rFonts w:ascii="Arial" w:hAnsi="Arial"/>
                <w:b/>
                <w:sz w:val="20"/>
                <w:szCs w:val="20"/>
              </w:rPr>
            </w:pPr>
            <w:r>
              <w:rPr>
                <w:rFonts w:ascii="Arial" w:hAnsi="Arial" w:cs="Arial"/>
                <w:b/>
                <w:bCs/>
                <w:sz w:val="20"/>
                <w:szCs w:val="20"/>
              </w:rPr>
              <w:t>(C x E)</w:t>
            </w:r>
          </w:p>
        </w:tc>
        <w:tc>
          <w:tcPr>
            <w:tcW w:w="1080" w:type="dxa"/>
            <w:tcBorders>
              <w:right w:val="single" w:color="auto" w:sz="12" w:space="0"/>
            </w:tcBorders>
            <w:shd w:val="clear" w:color="auto" w:fill="CCCCCC"/>
            <w:vAlign w:val="center"/>
          </w:tcPr>
          <w:p w:rsidR="003B0815" w:rsidRDefault="003B0815" w14:paraId="349AE06A" w14:textId="77777777">
            <w:pPr>
              <w:keepNext/>
              <w:jc w:val="center"/>
              <w:rPr>
                <w:rFonts w:ascii="Arial" w:hAnsi="Arial"/>
                <w:b/>
                <w:sz w:val="20"/>
                <w:szCs w:val="20"/>
              </w:rPr>
            </w:pPr>
            <w:r>
              <w:rPr>
                <w:rFonts w:ascii="Arial" w:hAnsi="Arial" w:cs="Arial"/>
                <w:b/>
                <w:bCs/>
                <w:sz w:val="20"/>
                <w:szCs w:val="20"/>
              </w:rPr>
              <w:t>(D x E)</w:t>
            </w:r>
          </w:p>
        </w:tc>
      </w:tr>
      <w:tr w:rsidR="003B0815" w14:paraId="440BE077" w14:textId="77777777">
        <w:trPr>
          <w:jc w:val="center"/>
        </w:trPr>
        <w:tc>
          <w:tcPr>
            <w:tcW w:w="679" w:type="dxa"/>
            <w:tcBorders>
              <w:left w:val="single" w:color="auto" w:sz="12" w:space="0"/>
            </w:tcBorders>
          </w:tcPr>
          <w:p w:rsidR="003B0815" w:rsidRDefault="003B0815" w14:paraId="7BF6A4D0" w14:textId="77777777">
            <w:pPr>
              <w:keepNext/>
              <w:jc w:val="center"/>
              <w:rPr>
                <w:rFonts w:ascii="Arial" w:hAnsi="Arial"/>
                <w:sz w:val="20"/>
                <w:szCs w:val="20"/>
              </w:rPr>
            </w:pPr>
            <w:r>
              <w:t>2008</w:t>
            </w:r>
          </w:p>
        </w:tc>
        <w:tc>
          <w:tcPr>
            <w:tcW w:w="1353" w:type="dxa"/>
            <w:vAlign w:val="bottom"/>
          </w:tcPr>
          <w:p w:rsidR="003B0815" w:rsidRDefault="003B0815" w14:paraId="401DBDF8" w14:textId="77777777">
            <w:pPr>
              <w:keepNext/>
              <w:jc w:val="center"/>
              <w:rPr>
                <w:rFonts w:ascii="Arial" w:hAnsi="Arial"/>
                <w:sz w:val="20"/>
                <w:szCs w:val="20"/>
              </w:rPr>
            </w:pPr>
            <w:r>
              <w:rPr>
                <w:rFonts w:ascii="Arial" w:hAnsi="Arial" w:cs="Arial"/>
                <w:sz w:val="20"/>
                <w:szCs w:val="20"/>
              </w:rPr>
              <w:t>31.3</w:t>
            </w:r>
          </w:p>
        </w:tc>
        <w:tc>
          <w:tcPr>
            <w:tcW w:w="1080" w:type="dxa"/>
            <w:vAlign w:val="bottom"/>
          </w:tcPr>
          <w:p w:rsidR="003B0815" w:rsidRDefault="003B0815" w14:paraId="500D970E" w14:textId="77777777">
            <w:pPr>
              <w:keepNext/>
              <w:jc w:val="center"/>
              <w:rPr>
                <w:rFonts w:ascii="Arial" w:hAnsi="Arial"/>
                <w:sz w:val="20"/>
                <w:szCs w:val="20"/>
              </w:rPr>
            </w:pPr>
            <w:r>
              <w:rPr>
                <w:rFonts w:ascii="Arial" w:hAnsi="Arial" w:cs="Arial"/>
                <w:sz w:val="20"/>
                <w:szCs w:val="20"/>
              </w:rPr>
              <w:t>218,000</w:t>
            </w:r>
          </w:p>
        </w:tc>
        <w:tc>
          <w:tcPr>
            <w:tcW w:w="1080" w:type="dxa"/>
            <w:vAlign w:val="bottom"/>
          </w:tcPr>
          <w:p w:rsidR="003B0815" w:rsidRDefault="003B0815" w14:paraId="3468C443" w14:textId="77777777">
            <w:pPr>
              <w:keepNext/>
              <w:jc w:val="center"/>
              <w:rPr>
                <w:rFonts w:ascii="Arial" w:hAnsi="Arial"/>
                <w:sz w:val="20"/>
                <w:szCs w:val="20"/>
              </w:rPr>
            </w:pPr>
            <w:r>
              <w:rPr>
                <w:rFonts w:ascii="Arial" w:hAnsi="Arial" w:cs="Arial"/>
                <w:sz w:val="20"/>
                <w:szCs w:val="20"/>
              </w:rPr>
              <w:t>174,000</w:t>
            </w:r>
          </w:p>
        </w:tc>
        <w:tc>
          <w:tcPr>
            <w:tcW w:w="1080" w:type="dxa"/>
            <w:vAlign w:val="bottom"/>
          </w:tcPr>
          <w:p w:rsidR="003B0815" w:rsidRDefault="003B0815" w14:paraId="323DFF74" w14:textId="77777777">
            <w:pPr>
              <w:keepNext/>
              <w:jc w:val="center"/>
              <w:rPr>
                <w:rFonts w:ascii="Arial" w:hAnsi="Arial"/>
                <w:sz w:val="20"/>
                <w:szCs w:val="20"/>
              </w:rPr>
            </w:pPr>
            <w:r>
              <w:rPr>
                <w:rFonts w:ascii="Arial" w:hAnsi="Arial" w:cs="Arial"/>
                <w:sz w:val="20"/>
                <w:szCs w:val="20"/>
              </w:rPr>
              <w:t>261,000</w:t>
            </w:r>
          </w:p>
        </w:tc>
        <w:tc>
          <w:tcPr>
            <w:tcW w:w="720" w:type="dxa"/>
            <w:vAlign w:val="bottom"/>
          </w:tcPr>
          <w:p w:rsidR="003B0815" w:rsidRDefault="003B0815" w14:paraId="0F7DD910" w14:textId="77777777">
            <w:pPr>
              <w:keepNext/>
              <w:jc w:val="center"/>
              <w:rPr>
                <w:rFonts w:ascii="Arial" w:hAnsi="Arial"/>
                <w:sz w:val="20"/>
                <w:szCs w:val="20"/>
              </w:rPr>
            </w:pPr>
            <w:r>
              <w:rPr>
                <w:rFonts w:ascii="Arial" w:hAnsi="Arial" w:cs="Arial"/>
                <w:sz w:val="20"/>
                <w:szCs w:val="20"/>
              </w:rPr>
              <w:t xml:space="preserve">$20.69 </w:t>
            </w:r>
          </w:p>
        </w:tc>
        <w:tc>
          <w:tcPr>
            <w:tcW w:w="1080" w:type="dxa"/>
            <w:shd w:val="clear" w:color="auto" w:fill="CCCCCC"/>
            <w:vAlign w:val="bottom"/>
          </w:tcPr>
          <w:p w:rsidR="003B0815" w:rsidRDefault="003B0815" w14:paraId="69FCFF12" w14:textId="77777777">
            <w:pPr>
              <w:keepNext/>
              <w:jc w:val="right"/>
              <w:rPr>
                <w:rFonts w:ascii="Arial" w:hAnsi="Arial"/>
                <w:b/>
                <w:sz w:val="20"/>
                <w:szCs w:val="20"/>
              </w:rPr>
            </w:pPr>
            <w:r>
              <w:rPr>
                <w:rFonts w:ascii="Arial" w:hAnsi="Arial" w:cs="Arial"/>
                <w:b/>
                <w:bCs/>
                <w:sz w:val="20"/>
                <w:szCs w:val="20"/>
              </w:rPr>
              <w:t>$4.5</w:t>
            </w:r>
          </w:p>
        </w:tc>
        <w:tc>
          <w:tcPr>
            <w:tcW w:w="1080" w:type="dxa"/>
            <w:shd w:val="clear" w:color="auto" w:fill="CCCCCC"/>
            <w:vAlign w:val="bottom"/>
          </w:tcPr>
          <w:p w:rsidR="003B0815" w:rsidRDefault="003B0815" w14:paraId="29D24196" w14:textId="77777777">
            <w:pPr>
              <w:keepNext/>
              <w:jc w:val="right"/>
              <w:rPr>
                <w:rFonts w:ascii="Arial" w:hAnsi="Arial"/>
                <w:b/>
                <w:sz w:val="20"/>
                <w:szCs w:val="20"/>
              </w:rPr>
            </w:pPr>
            <w:r>
              <w:rPr>
                <w:rFonts w:ascii="Arial" w:hAnsi="Arial" w:cs="Arial"/>
                <w:b/>
                <w:bCs/>
                <w:sz w:val="20"/>
                <w:szCs w:val="20"/>
              </w:rPr>
              <w:t>$3.6</w:t>
            </w:r>
          </w:p>
        </w:tc>
        <w:tc>
          <w:tcPr>
            <w:tcW w:w="1080" w:type="dxa"/>
            <w:tcBorders>
              <w:right w:val="single" w:color="auto" w:sz="12" w:space="0"/>
            </w:tcBorders>
            <w:shd w:val="clear" w:color="auto" w:fill="CCCCCC"/>
            <w:vAlign w:val="bottom"/>
          </w:tcPr>
          <w:p w:rsidR="003B0815" w:rsidRDefault="003B0815" w14:paraId="022AEE7D" w14:textId="77777777">
            <w:pPr>
              <w:keepNext/>
              <w:jc w:val="right"/>
              <w:rPr>
                <w:rFonts w:ascii="Arial" w:hAnsi="Arial"/>
                <w:b/>
                <w:sz w:val="20"/>
                <w:szCs w:val="20"/>
              </w:rPr>
            </w:pPr>
            <w:r>
              <w:rPr>
                <w:rFonts w:ascii="Arial" w:hAnsi="Arial" w:cs="Arial"/>
                <w:b/>
                <w:bCs/>
                <w:sz w:val="20"/>
                <w:szCs w:val="20"/>
              </w:rPr>
              <w:t>$5.4</w:t>
            </w:r>
          </w:p>
        </w:tc>
      </w:tr>
      <w:tr w:rsidR="003B0815" w14:paraId="36F4EA6C" w14:textId="77777777">
        <w:trPr>
          <w:jc w:val="center"/>
        </w:trPr>
        <w:tc>
          <w:tcPr>
            <w:tcW w:w="679" w:type="dxa"/>
            <w:tcBorders>
              <w:left w:val="single" w:color="auto" w:sz="12" w:space="0"/>
            </w:tcBorders>
          </w:tcPr>
          <w:p w:rsidR="003B0815" w:rsidRDefault="003B0815" w14:paraId="16AF11C6" w14:textId="77777777">
            <w:pPr>
              <w:keepNext/>
              <w:jc w:val="center"/>
              <w:rPr>
                <w:rFonts w:ascii="Arial" w:hAnsi="Arial"/>
                <w:sz w:val="20"/>
                <w:szCs w:val="20"/>
              </w:rPr>
            </w:pPr>
            <w:r>
              <w:t>2009</w:t>
            </w:r>
          </w:p>
        </w:tc>
        <w:tc>
          <w:tcPr>
            <w:tcW w:w="1353" w:type="dxa"/>
            <w:vAlign w:val="bottom"/>
          </w:tcPr>
          <w:p w:rsidR="003B0815" w:rsidRDefault="003B0815" w14:paraId="5549898F" w14:textId="77777777">
            <w:pPr>
              <w:keepNext/>
              <w:jc w:val="center"/>
              <w:rPr>
                <w:rFonts w:ascii="Arial" w:hAnsi="Arial"/>
                <w:sz w:val="20"/>
                <w:szCs w:val="20"/>
              </w:rPr>
            </w:pPr>
            <w:r>
              <w:rPr>
                <w:rFonts w:ascii="Arial" w:hAnsi="Arial" w:cs="Arial"/>
                <w:sz w:val="20"/>
                <w:szCs w:val="20"/>
              </w:rPr>
              <w:t>32.9</w:t>
            </w:r>
          </w:p>
        </w:tc>
        <w:tc>
          <w:tcPr>
            <w:tcW w:w="1080" w:type="dxa"/>
            <w:vAlign w:val="bottom"/>
          </w:tcPr>
          <w:p w:rsidR="003B0815" w:rsidRDefault="003B0815" w14:paraId="012F085F" w14:textId="77777777">
            <w:pPr>
              <w:keepNext/>
              <w:jc w:val="center"/>
              <w:rPr>
                <w:rFonts w:ascii="Arial" w:hAnsi="Arial"/>
                <w:sz w:val="20"/>
                <w:szCs w:val="20"/>
              </w:rPr>
            </w:pPr>
            <w:r>
              <w:rPr>
                <w:rFonts w:ascii="Arial" w:hAnsi="Arial" w:cs="Arial"/>
                <w:sz w:val="20"/>
                <w:szCs w:val="20"/>
              </w:rPr>
              <w:t>228,000</w:t>
            </w:r>
          </w:p>
        </w:tc>
        <w:tc>
          <w:tcPr>
            <w:tcW w:w="1080" w:type="dxa"/>
            <w:vAlign w:val="bottom"/>
          </w:tcPr>
          <w:p w:rsidR="003B0815" w:rsidRDefault="003B0815" w14:paraId="0460DAB0" w14:textId="77777777">
            <w:pPr>
              <w:keepNext/>
              <w:jc w:val="center"/>
              <w:rPr>
                <w:rFonts w:ascii="Arial" w:hAnsi="Arial"/>
                <w:sz w:val="20"/>
                <w:szCs w:val="20"/>
              </w:rPr>
            </w:pPr>
            <w:r>
              <w:rPr>
                <w:rFonts w:ascii="Arial" w:hAnsi="Arial" w:cs="Arial"/>
                <w:sz w:val="20"/>
                <w:szCs w:val="20"/>
              </w:rPr>
              <w:t>183,000</w:t>
            </w:r>
          </w:p>
        </w:tc>
        <w:tc>
          <w:tcPr>
            <w:tcW w:w="1080" w:type="dxa"/>
            <w:vAlign w:val="bottom"/>
          </w:tcPr>
          <w:p w:rsidR="003B0815" w:rsidRDefault="003B0815" w14:paraId="12B251EE" w14:textId="77777777">
            <w:pPr>
              <w:keepNext/>
              <w:jc w:val="center"/>
              <w:rPr>
                <w:rFonts w:ascii="Arial" w:hAnsi="Arial"/>
                <w:sz w:val="20"/>
                <w:szCs w:val="20"/>
              </w:rPr>
            </w:pPr>
            <w:r>
              <w:rPr>
                <w:rFonts w:ascii="Arial" w:hAnsi="Arial" w:cs="Arial"/>
                <w:sz w:val="20"/>
                <w:szCs w:val="20"/>
              </w:rPr>
              <w:t>274,000</w:t>
            </w:r>
          </w:p>
        </w:tc>
        <w:tc>
          <w:tcPr>
            <w:tcW w:w="720" w:type="dxa"/>
            <w:vAlign w:val="bottom"/>
          </w:tcPr>
          <w:p w:rsidR="003B0815" w:rsidRDefault="003B0815" w14:paraId="5DFDDB14"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6ECA7100" w14:textId="77777777">
            <w:pPr>
              <w:keepNext/>
              <w:jc w:val="right"/>
              <w:rPr>
                <w:rFonts w:ascii="Arial" w:hAnsi="Arial"/>
                <w:b/>
                <w:sz w:val="20"/>
                <w:szCs w:val="20"/>
              </w:rPr>
            </w:pPr>
            <w:r>
              <w:rPr>
                <w:rFonts w:ascii="Arial" w:hAnsi="Arial" w:cs="Arial"/>
                <w:b/>
                <w:bCs/>
                <w:sz w:val="20"/>
                <w:szCs w:val="20"/>
              </w:rPr>
              <w:t>4.7</w:t>
            </w:r>
          </w:p>
        </w:tc>
        <w:tc>
          <w:tcPr>
            <w:tcW w:w="1080" w:type="dxa"/>
            <w:shd w:val="clear" w:color="auto" w:fill="CCCCCC"/>
            <w:vAlign w:val="bottom"/>
          </w:tcPr>
          <w:p w:rsidR="003B0815" w:rsidRDefault="003B0815" w14:paraId="675DFE24" w14:textId="77777777">
            <w:pPr>
              <w:keepNext/>
              <w:jc w:val="right"/>
              <w:rPr>
                <w:rFonts w:ascii="Arial" w:hAnsi="Arial"/>
                <w:b/>
                <w:sz w:val="20"/>
                <w:szCs w:val="20"/>
              </w:rPr>
            </w:pPr>
            <w:r>
              <w:rPr>
                <w:rFonts w:ascii="Arial" w:hAnsi="Arial" w:cs="Arial"/>
                <w:b/>
                <w:bCs/>
                <w:sz w:val="20"/>
                <w:szCs w:val="20"/>
              </w:rPr>
              <w:t>3.8</w:t>
            </w:r>
          </w:p>
        </w:tc>
        <w:tc>
          <w:tcPr>
            <w:tcW w:w="1080" w:type="dxa"/>
            <w:tcBorders>
              <w:right w:val="single" w:color="auto" w:sz="12" w:space="0"/>
            </w:tcBorders>
            <w:shd w:val="clear" w:color="auto" w:fill="CCCCCC"/>
            <w:vAlign w:val="bottom"/>
          </w:tcPr>
          <w:p w:rsidR="003B0815" w:rsidRDefault="003B0815" w14:paraId="1BEB8FB6" w14:textId="77777777">
            <w:pPr>
              <w:keepNext/>
              <w:jc w:val="right"/>
              <w:rPr>
                <w:rFonts w:ascii="Arial" w:hAnsi="Arial"/>
                <w:b/>
                <w:sz w:val="20"/>
                <w:szCs w:val="20"/>
              </w:rPr>
            </w:pPr>
            <w:r>
              <w:rPr>
                <w:rFonts w:ascii="Arial" w:hAnsi="Arial" w:cs="Arial"/>
                <w:b/>
                <w:bCs/>
                <w:sz w:val="20"/>
                <w:szCs w:val="20"/>
              </w:rPr>
              <w:t>5.7</w:t>
            </w:r>
          </w:p>
        </w:tc>
      </w:tr>
      <w:tr w:rsidR="003B0815" w14:paraId="151B8801" w14:textId="77777777">
        <w:trPr>
          <w:jc w:val="center"/>
        </w:trPr>
        <w:tc>
          <w:tcPr>
            <w:tcW w:w="679" w:type="dxa"/>
            <w:tcBorders>
              <w:left w:val="single" w:color="auto" w:sz="12" w:space="0"/>
            </w:tcBorders>
          </w:tcPr>
          <w:p w:rsidR="003B0815" w:rsidRDefault="003B0815" w14:paraId="6CD1F8A3" w14:textId="77777777">
            <w:pPr>
              <w:keepNext/>
              <w:jc w:val="center"/>
              <w:rPr>
                <w:rFonts w:ascii="Arial" w:hAnsi="Arial"/>
                <w:sz w:val="20"/>
                <w:szCs w:val="20"/>
              </w:rPr>
            </w:pPr>
            <w:r>
              <w:t>2010</w:t>
            </w:r>
          </w:p>
        </w:tc>
        <w:tc>
          <w:tcPr>
            <w:tcW w:w="1353" w:type="dxa"/>
            <w:vAlign w:val="bottom"/>
          </w:tcPr>
          <w:p w:rsidR="003B0815" w:rsidRDefault="003B0815" w14:paraId="4E3C8963" w14:textId="77777777">
            <w:pPr>
              <w:keepNext/>
              <w:jc w:val="center"/>
              <w:rPr>
                <w:rFonts w:ascii="Arial" w:hAnsi="Arial"/>
                <w:sz w:val="20"/>
                <w:szCs w:val="20"/>
              </w:rPr>
            </w:pPr>
            <w:r>
              <w:rPr>
                <w:rFonts w:ascii="Arial" w:hAnsi="Arial" w:cs="Arial"/>
                <w:sz w:val="20"/>
                <w:szCs w:val="20"/>
              </w:rPr>
              <w:t>34.6</w:t>
            </w:r>
          </w:p>
        </w:tc>
        <w:tc>
          <w:tcPr>
            <w:tcW w:w="1080" w:type="dxa"/>
            <w:vAlign w:val="bottom"/>
          </w:tcPr>
          <w:p w:rsidR="003B0815" w:rsidRDefault="003B0815" w14:paraId="036F84B1" w14:textId="77777777">
            <w:pPr>
              <w:keepNext/>
              <w:jc w:val="center"/>
              <w:rPr>
                <w:rFonts w:ascii="Arial" w:hAnsi="Arial"/>
                <w:sz w:val="20"/>
                <w:szCs w:val="20"/>
              </w:rPr>
            </w:pPr>
            <w:r>
              <w:rPr>
                <w:rFonts w:ascii="Arial" w:hAnsi="Arial" w:cs="Arial"/>
                <w:sz w:val="20"/>
                <w:szCs w:val="20"/>
              </w:rPr>
              <w:t>241,000</w:t>
            </w:r>
          </w:p>
        </w:tc>
        <w:tc>
          <w:tcPr>
            <w:tcW w:w="1080" w:type="dxa"/>
            <w:vAlign w:val="bottom"/>
          </w:tcPr>
          <w:p w:rsidR="003B0815" w:rsidRDefault="003B0815" w14:paraId="68423917" w14:textId="77777777">
            <w:pPr>
              <w:keepNext/>
              <w:jc w:val="center"/>
              <w:rPr>
                <w:rFonts w:ascii="Arial" w:hAnsi="Arial"/>
                <w:sz w:val="20"/>
                <w:szCs w:val="20"/>
              </w:rPr>
            </w:pPr>
            <w:r>
              <w:rPr>
                <w:rFonts w:ascii="Arial" w:hAnsi="Arial" w:cs="Arial"/>
                <w:sz w:val="20"/>
                <w:szCs w:val="20"/>
              </w:rPr>
              <w:t>192,000</w:t>
            </w:r>
          </w:p>
        </w:tc>
        <w:tc>
          <w:tcPr>
            <w:tcW w:w="1080" w:type="dxa"/>
            <w:vAlign w:val="bottom"/>
          </w:tcPr>
          <w:p w:rsidR="003B0815" w:rsidRDefault="003B0815" w14:paraId="4F950970" w14:textId="77777777">
            <w:pPr>
              <w:keepNext/>
              <w:jc w:val="center"/>
              <w:rPr>
                <w:rFonts w:ascii="Arial" w:hAnsi="Arial"/>
                <w:sz w:val="20"/>
                <w:szCs w:val="20"/>
              </w:rPr>
            </w:pPr>
            <w:r>
              <w:rPr>
                <w:rFonts w:ascii="Arial" w:hAnsi="Arial" w:cs="Arial"/>
                <w:sz w:val="20"/>
                <w:szCs w:val="20"/>
              </w:rPr>
              <w:t>289,000</w:t>
            </w:r>
          </w:p>
        </w:tc>
        <w:tc>
          <w:tcPr>
            <w:tcW w:w="720" w:type="dxa"/>
            <w:vAlign w:val="bottom"/>
          </w:tcPr>
          <w:p w:rsidR="003B0815" w:rsidRDefault="003B0815" w14:paraId="2397DE9D"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1443E71C" w14:textId="77777777">
            <w:pPr>
              <w:keepNext/>
              <w:jc w:val="right"/>
              <w:rPr>
                <w:rFonts w:ascii="Arial" w:hAnsi="Arial"/>
                <w:b/>
                <w:sz w:val="20"/>
                <w:szCs w:val="20"/>
              </w:rPr>
            </w:pPr>
            <w:r>
              <w:rPr>
                <w:rFonts w:ascii="Arial" w:hAnsi="Arial" w:cs="Arial"/>
                <w:b/>
                <w:bCs/>
                <w:sz w:val="20"/>
                <w:szCs w:val="20"/>
              </w:rPr>
              <w:t>5.0</w:t>
            </w:r>
          </w:p>
        </w:tc>
        <w:tc>
          <w:tcPr>
            <w:tcW w:w="1080" w:type="dxa"/>
            <w:shd w:val="clear" w:color="auto" w:fill="CCCCCC"/>
            <w:vAlign w:val="bottom"/>
          </w:tcPr>
          <w:p w:rsidR="003B0815" w:rsidRDefault="003B0815" w14:paraId="0C05C7E2" w14:textId="77777777">
            <w:pPr>
              <w:keepNext/>
              <w:jc w:val="right"/>
              <w:rPr>
                <w:rFonts w:ascii="Arial" w:hAnsi="Arial"/>
                <w:b/>
                <w:sz w:val="20"/>
                <w:szCs w:val="20"/>
              </w:rPr>
            </w:pPr>
            <w:r>
              <w:rPr>
                <w:rFonts w:ascii="Arial" w:hAnsi="Arial" w:cs="Arial"/>
                <w:b/>
                <w:bCs/>
                <w:sz w:val="20"/>
                <w:szCs w:val="20"/>
              </w:rPr>
              <w:t>4.0</w:t>
            </w:r>
          </w:p>
        </w:tc>
        <w:tc>
          <w:tcPr>
            <w:tcW w:w="1080" w:type="dxa"/>
            <w:tcBorders>
              <w:right w:val="single" w:color="auto" w:sz="12" w:space="0"/>
            </w:tcBorders>
            <w:shd w:val="clear" w:color="auto" w:fill="CCCCCC"/>
            <w:vAlign w:val="bottom"/>
          </w:tcPr>
          <w:p w:rsidR="003B0815" w:rsidRDefault="003B0815" w14:paraId="54D1F11B" w14:textId="77777777">
            <w:pPr>
              <w:keepNext/>
              <w:jc w:val="right"/>
              <w:rPr>
                <w:rFonts w:ascii="Arial" w:hAnsi="Arial"/>
                <w:b/>
                <w:sz w:val="20"/>
                <w:szCs w:val="20"/>
              </w:rPr>
            </w:pPr>
            <w:r>
              <w:rPr>
                <w:rFonts w:ascii="Arial" w:hAnsi="Arial" w:cs="Arial"/>
                <w:b/>
                <w:bCs/>
                <w:sz w:val="20"/>
                <w:szCs w:val="20"/>
              </w:rPr>
              <w:t>6.0</w:t>
            </w:r>
          </w:p>
        </w:tc>
      </w:tr>
      <w:tr w:rsidR="003B0815" w14:paraId="7A13D10A" w14:textId="77777777">
        <w:trPr>
          <w:jc w:val="center"/>
        </w:trPr>
        <w:tc>
          <w:tcPr>
            <w:tcW w:w="679" w:type="dxa"/>
            <w:tcBorders>
              <w:left w:val="single" w:color="auto" w:sz="12" w:space="0"/>
            </w:tcBorders>
          </w:tcPr>
          <w:p w:rsidR="003B0815" w:rsidRDefault="003B0815" w14:paraId="5C3D571E" w14:textId="77777777">
            <w:pPr>
              <w:keepNext/>
              <w:jc w:val="center"/>
              <w:rPr>
                <w:rFonts w:ascii="Arial" w:hAnsi="Arial"/>
                <w:sz w:val="20"/>
                <w:szCs w:val="20"/>
              </w:rPr>
            </w:pPr>
            <w:r>
              <w:t>2011</w:t>
            </w:r>
          </w:p>
        </w:tc>
        <w:tc>
          <w:tcPr>
            <w:tcW w:w="1353" w:type="dxa"/>
            <w:vAlign w:val="bottom"/>
          </w:tcPr>
          <w:p w:rsidR="003B0815" w:rsidRDefault="003B0815" w14:paraId="3844020D" w14:textId="77777777">
            <w:pPr>
              <w:keepNext/>
              <w:jc w:val="center"/>
              <w:rPr>
                <w:rFonts w:ascii="Arial" w:hAnsi="Arial"/>
                <w:sz w:val="20"/>
                <w:szCs w:val="20"/>
              </w:rPr>
            </w:pPr>
            <w:r>
              <w:rPr>
                <w:rFonts w:ascii="Arial" w:hAnsi="Arial" w:cs="Arial"/>
                <w:sz w:val="20"/>
                <w:szCs w:val="20"/>
              </w:rPr>
              <w:t>36.2</w:t>
            </w:r>
          </w:p>
        </w:tc>
        <w:tc>
          <w:tcPr>
            <w:tcW w:w="1080" w:type="dxa"/>
            <w:vAlign w:val="bottom"/>
          </w:tcPr>
          <w:p w:rsidR="003B0815" w:rsidRDefault="003B0815" w14:paraId="240F72A2" w14:textId="77777777">
            <w:pPr>
              <w:keepNext/>
              <w:jc w:val="center"/>
              <w:rPr>
                <w:rFonts w:ascii="Arial" w:hAnsi="Arial"/>
                <w:sz w:val="20"/>
                <w:szCs w:val="20"/>
              </w:rPr>
            </w:pPr>
            <w:r>
              <w:rPr>
                <w:rFonts w:ascii="Arial" w:hAnsi="Arial" w:cs="Arial"/>
                <w:sz w:val="20"/>
                <w:szCs w:val="20"/>
              </w:rPr>
              <w:t>251,000</w:t>
            </w:r>
          </w:p>
        </w:tc>
        <w:tc>
          <w:tcPr>
            <w:tcW w:w="1080" w:type="dxa"/>
            <w:vAlign w:val="bottom"/>
          </w:tcPr>
          <w:p w:rsidR="003B0815" w:rsidRDefault="003B0815" w14:paraId="7FAD7662" w14:textId="77777777">
            <w:pPr>
              <w:keepNext/>
              <w:jc w:val="center"/>
              <w:rPr>
                <w:rFonts w:ascii="Arial" w:hAnsi="Arial"/>
                <w:sz w:val="20"/>
                <w:szCs w:val="20"/>
              </w:rPr>
            </w:pPr>
            <w:r>
              <w:rPr>
                <w:rFonts w:ascii="Arial" w:hAnsi="Arial" w:cs="Arial"/>
                <w:sz w:val="20"/>
                <w:szCs w:val="20"/>
              </w:rPr>
              <w:t>201,000</w:t>
            </w:r>
          </w:p>
        </w:tc>
        <w:tc>
          <w:tcPr>
            <w:tcW w:w="1080" w:type="dxa"/>
            <w:vAlign w:val="bottom"/>
          </w:tcPr>
          <w:p w:rsidR="003B0815" w:rsidRDefault="003B0815" w14:paraId="3CA37D05" w14:textId="77777777">
            <w:pPr>
              <w:keepNext/>
              <w:jc w:val="center"/>
              <w:rPr>
                <w:rFonts w:ascii="Arial" w:hAnsi="Arial"/>
                <w:sz w:val="20"/>
                <w:szCs w:val="20"/>
              </w:rPr>
            </w:pPr>
            <w:r>
              <w:rPr>
                <w:rFonts w:ascii="Arial" w:hAnsi="Arial" w:cs="Arial"/>
                <w:sz w:val="20"/>
                <w:szCs w:val="20"/>
              </w:rPr>
              <w:t>302,000</w:t>
            </w:r>
          </w:p>
        </w:tc>
        <w:tc>
          <w:tcPr>
            <w:tcW w:w="720" w:type="dxa"/>
            <w:vAlign w:val="bottom"/>
          </w:tcPr>
          <w:p w:rsidR="003B0815" w:rsidRDefault="003B0815" w14:paraId="6700068D"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070831FB" w14:textId="77777777">
            <w:pPr>
              <w:keepNext/>
              <w:jc w:val="right"/>
              <w:rPr>
                <w:rFonts w:ascii="Arial" w:hAnsi="Arial"/>
                <w:b/>
                <w:sz w:val="20"/>
                <w:szCs w:val="20"/>
              </w:rPr>
            </w:pPr>
            <w:r>
              <w:rPr>
                <w:rFonts w:ascii="Arial" w:hAnsi="Arial" w:cs="Arial"/>
                <w:b/>
                <w:bCs/>
                <w:sz w:val="20"/>
                <w:szCs w:val="20"/>
              </w:rPr>
              <w:t>5.2</w:t>
            </w:r>
          </w:p>
        </w:tc>
        <w:tc>
          <w:tcPr>
            <w:tcW w:w="1080" w:type="dxa"/>
            <w:shd w:val="clear" w:color="auto" w:fill="CCCCCC"/>
            <w:vAlign w:val="bottom"/>
          </w:tcPr>
          <w:p w:rsidR="003B0815" w:rsidRDefault="003B0815" w14:paraId="60722D18" w14:textId="77777777">
            <w:pPr>
              <w:keepNext/>
              <w:jc w:val="right"/>
              <w:rPr>
                <w:rFonts w:ascii="Arial" w:hAnsi="Arial"/>
                <w:b/>
                <w:sz w:val="20"/>
                <w:szCs w:val="20"/>
              </w:rPr>
            </w:pPr>
            <w:r>
              <w:rPr>
                <w:rFonts w:ascii="Arial" w:hAnsi="Arial" w:cs="Arial"/>
                <w:b/>
                <w:bCs/>
                <w:sz w:val="20"/>
                <w:szCs w:val="20"/>
              </w:rPr>
              <w:t>4.1</w:t>
            </w:r>
          </w:p>
        </w:tc>
        <w:tc>
          <w:tcPr>
            <w:tcW w:w="1080" w:type="dxa"/>
            <w:tcBorders>
              <w:right w:val="single" w:color="auto" w:sz="12" w:space="0"/>
            </w:tcBorders>
            <w:shd w:val="clear" w:color="auto" w:fill="CCCCCC"/>
            <w:vAlign w:val="bottom"/>
          </w:tcPr>
          <w:p w:rsidR="003B0815" w:rsidRDefault="003B0815" w14:paraId="1738D36E" w14:textId="77777777">
            <w:pPr>
              <w:keepNext/>
              <w:jc w:val="right"/>
              <w:rPr>
                <w:rFonts w:ascii="Arial" w:hAnsi="Arial"/>
                <w:b/>
                <w:sz w:val="20"/>
                <w:szCs w:val="20"/>
              </w:rPr>
            </w:pPr>
            <w:r>
              <w:rPr>
                <w:rFonts w:ascii="Arial" w:hAnsi="Arial" w:cs="Arial"/>
                <w:b/>
                <w:bCs/>
                <w:sz w:val="20"/>
                <w:szCs w:val="20"/>
              </w:rPr>
              <w:t>6.3</w:t>
            </w:r>
          </w:p>
        </w:tc>
      </w:tr>
      <w:tr w:rsidR="003B0815" w14:paraId="4644D23D" w14:textId="77777777">
        <w:trPr>
          <w:jc w:val="center"/>
        </w:trPr>
        <w:tc>
          <w:tcPr>
            <w:tcW w:w="679" w:type="dxa"/>
            <w:tcBorders>
              <w:left w:val="single" w:color="auto" w:sz="12" w:space="0"/>
            </w:tcBorders>
          </w:tcPr>
          <w:p w:rsidR="003B0815" w:rsidRDefault="003B0815" w14:paraId="654761AB" w14:textId="77777777">
            <w:pPr>
              <w:keepNext/>
              <w:jc w:val="center"/>
              <w:rPr>
                <w:rFonts w:ascii="Arial" w:hAnsi="Arial"/>
                <w:sz w:val="20"/>
                <w:szCs w:val="20"/>
              </w:rPr>
            </w:pPr>
            <w:r>
              <w:t>2012</w:t>
            </w:r>
          </w:p>
        </w:tc>
        <w:tc>
          <w:tcPr>
            <w:tcW w:w="1353" w:type="dxa"/>
            <w:vAlign w:val="bottom"/>
          </w:tcPr>
          <w:p w:rsidR="003B0815" w:rsidRDefault="003B0815" w14:paraId="7E7AD2D4" w14:textId="77777777">
            <w:pPr>
              <w:keepNext/>
              <w:jc w:val="center"/>
              <w:rPr>
                <w:rFonts w:ascii="Arial" w:hAnsi="Arial"/>
                <w:sz w:val="20"/>
                <w:szCs w:val="20"/>
              </w:rPr>
            </w:pPr>
            <w:r>
              <w:rPr>
                <w:rFonts w:ascii="Arial" w:hAnsi="Arial" w:cs="Arial"/>
                <w:sz w:val="20"/>
                <w:szCs w:val="20"/>
              </w:rPr>
              <w:t>38.0</w:t>
            </w:r>
          </w:p>
        </w:tc>
        <w:tc>
          <w:tcPr>
            <w:tcW w:w="1080" w:type="dxa"/>
            <w:vAlign w:val="bottom"/>
          </w:tcPr>
          <w:p w:rsidR="003B0815" w:rsidRDefault="003B0815" w14:paraId="48F71CEE" w14:textId="77777777">
            <w:pPr>
              <w:keepNext/>
              <w:jc w:val="center"/>
              <w:rPr>
                <w:rFonts w:ascii="Arial" w:hAnsi="Arial"/>
                <w:sz w:val="20"/>
                <w:szCs w:val="20"/>
              </w:rPr>
            </w:pPr>
            <w:r>
              <w:rPr>
                <w:rFonts w:ascii="Arial" w:hAnsi="Arial" w:cs="Arial"/>
                <w:sz w:val="20"/>
                <w:szCs w:val="20"/>
              </w:rPr>
              <w:t>264,000</w:t>
            </w:r>
          </w:p>
        </w:tc>
        <w:tc>
          <w:tcPr>
            <w:tcW w:w="1080" w:type="dxa"/>
            <w:vAlign w:val="bottom"/>
          </w:tcPr>
          <w:p w:rsidR="003B0815" w:rsidRDefault="003B0815" w14:paraId="4B1DB180" w14:textId="77777777">
            <w:pPr>
              <w:keepNext/>
              <w:jc w:val="center"/>
              <w:rPr>
                <w:rFonts w:ascii="Arial" w:hAnsi="Arial"/>
                <w:sz w:val="20"/>
                <w:szCs w:val="20"/>
              </w:rPr>
            </w:pPr>
            <w:r>
              <w:rPr>
                <w:rFonts w:ascii="Arial" w:hAnsi="Arial" w:cs="Arial"/>
                <w:sz w:val="20"/>
                <w:szCs w:val="20"/>
              </w:rPr>
              <w:t>211,000</w:t>
            </w:r>
          </w:p>
        </w:tc>
        <w:tc>
          <w:tcPr>
            <w:tcW w:w="1080" w:type="dxa"/>
            <w:vAlign w:val="bottom"/>
          </w:tcPr>
          <w:p w:rsidR="003B0815" w:rsidRDefault="003B0815" w14:paraId="4D2F4993" w14:textId="77777777">
            <w:pPr>
              <w:keepNext/>
              <w:jc w:val="center"/>
              <w:rPr>
                <w:rFonts w:ascii="Arial" w:hAnsi="Arial"/>
                <w:sz w:val="20"/>
                <w:szCs w:val="20"/>
              </w:rPr>
            </w:pPr>
            <w:r>
              <w:rPr>
                <w:rFonts w:ascii="Arial" w:hAnsi="Arial" w:cs="Arial"/>
                <w:sz w:val="20"/>
                <w:szCs w:val="20"/>
              </w:rPr>
              <w:t>317,000</w:t>
            </w:r>
          </w:p>
        </w:tc>
        <w:tc>
          <w:tcPr>
            <w:tcW w:w="720" w:type="dxa"/>
            <w:vAlign w:val="bottom"/>
          </w:tcPr>
          <w:p w:rsidR="003B0815" w:rsidRDefault="003B0815" w14:paraId="2A267095"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1FB9D85A" w14:textId="77777777">
            <w:pPr>
              <w:keepNext/>
              <w:jc w:val="right"/>
              <w:rPr>
                <w:rFonts w:ascii="Arial" w:hAnsi="Arial"/>
                <w:b/>
                <w:sz w:val="20"/>
                <w:szCs w:val="20"/>
              </w:rPr>
            </w:pPr>
            <w:r>
              <w:rPr>
                <w:rFonts w:ascii="Arial" w:hAnsi="Arial" w:cs="Arial"/>
                <w:b/>
                <w:bCs/>
                <w:sz w:val="20"/>
                <w:szCs w:val="20"/>
              </w:rPr>
              <w:t>5.5</w:t>
            </w:r>
          </w:p>
        </w:tc>
        <w:tc>
          <w:tcPr>
            <w:tcW w:w="1080" w:type="dxa"/>
            <w:shd w:val="clear" w:color="auto" w:fill="CCCCCC"/>
            <w:vAlign w:val="bottom"/>
          </w:tcPr>
          <w:p w:rsidR="003B0815" w:rsidRDefault="003B0815" w14:paraId="37ADAE77" w14:textId="77777777">
            <w:pPr>
              <w:keepNext/>
              <w:jc w:val="right"/>
              <w:rPr>
                <w:rFonts w:ascii="Arial" w:hAnsi="Arial"/>
                <w:b/>
                <w:sz w:val="20"/>
                <w:szCs w:val="20"/>
              </w:rPr>
            </w:pPr>
            <w:r>
              <w:rPr>
                <w:rFonts w:ascii="Arial" w:hAnsi="Arial" w:cs="Arial"/>
                <w:b/>
                <w:bCs/>
                <w:sz w:val="20"/>
                <w:szCs w:val="20"/>
              </w:rPr>
              <w:t>4.4</w:t>
            </w:r>
          </w:p>
        </w:tc>
        <w:tc>
          <w:tcPr>
            <w:tcW w:w="1080" w:type="dxa"/>
            <w:tcBorders>
              <w:right w:val="single" w:color="auto" w:sz="12" w:space="0"/>
            </w:tcBorders>
            <w:shd w:val="clear" w:color="auto" w:fill="CCCCCC"/>
            <w:vAlign w:val="bottom"/>
          </w:tcPr>
          <w:p w:rsidR="003B0815" w:rsidRDefault="003B0815" w14:paraId="1D0AE6CC" w14:textId="77777777">
            <w:pPr>
              <w:keepNext/>
              <w:jc w:val="right"/>
              <w:rPr>
                <w:rFonts w:ascii="Arial" w:hAnsi="Arial"/>
                <w:b/>
                <w:sz w:val="20"/>
                <w:szCs w:val="20"/>
              </w:rPr>
            </w:pPr>
            <w:r>
              <w:rPr>
                <w:rFonts w:ascii="Arial" w:hAnsi="Arial" w:cs="Arial"/>
                <w:b/>
                <w:bCs/>
                <w:sz w:val="20"/>
                <w:szCs w:val="20"/>
              </w:rPr>
              <w:t>6.5</w:t>
            </w:r>
          </w:p>
        </w:tc>
      </w:tr>
      <w:tr w:rsidR="003B0815" w14:paraId="1D293340" w14:textId="77777777">
        <w:trPr>
          <w:jc w:val="center"/>
        </w:trPr>
        <w:tc>
          <w:tcPr>
            <w:tcW w:w="679" w:type="dxa"/>
            <w:tcBorders>
              <w:left w:val="single" w:color="auto" w:sz="12" w:space="0"/>
            </w:tcBorders>
          </w:tcPr>
          <w:p w:rsidR="003B0815" w:rsidRDefault="003B0815" w14:paraId="5942357E" w14:textId="77777777">
            <w:pPr>
              <w:keepNext/>
              <w:jc w:val="center"/>
              <w:rPr>
                <w:rFonts w:ascii="Arial" w:hAnsi="Arial"/>
                <w:sz w:val="20"/>
                <w:szCs w:val="20"/>
              </w:rPr>
            </w:pPr>
            <w:r>
              <w:t>2013</w:t>
            </w:r>
          </w:p>
        </w:tc>
        <w:tc>
          <w:tcPr>
            <w:tcW w:w="1353" w:type="dxa"/>
            <w:vAlign w:val="bottom"/>
          </w:tcPr>
          <w:p w:rsidR="003B0815" w:rsidRDefault="003B0815" w14:paraId="5C0AF99D" w14:textId="77777777">
            <w:pPr>
              <w:keepNext/>
              <w:jc w:val="center"/>
              <w:rPr>
                <w:rFonts w:ascii="Arial" w:hAnsi="Arial"/>
                <w:sz w:val="20"/>
                <w:szCs w:val="20"/>
              </w:rPr>
            </w:pPr>
            <w:r>
              <w:rPr>
                <w:rFonts w:ascii="Arial" w:hAnsi="Arial" w:cs="Arial"/>
                <w:sz w:val="20"/>
                <w:szCs w:val="20"/>
              </w:rPr>
              <w:t>39.9</w:t>
            </w:r>
          </w:p>
        </w:tc>
        <w:tc>
          <w:tcPr>
            <w:tcW w:w="1080" w:type="dxa"/>
            <w:vAlign w:val="bottom"/>
          </w:tcPr>
          <w:p w:rsidR="003B0815" w:rsidRDefault="003B0815" w14:paraId="2C16E9E2" w14:textId="77777777">
            <w:pPr>
              <w:keepNext/>
              <w:jc w:val="center"/>
              <w:rPr>
                <w:rFonts w:ascii="Arial" w:hAnsi="Arial"/>
                <w:sz w:val="20"/>
                <w:szCs w:val="20"/>
              </w:rPr>
            </w:pPr>
            <w:r>
              <w:rPr>
                <w:rFonts w:ascii="Arial" w:hAnsi="Arial" w:cs="Arial"/>
                <w:sz w:val="20"/>
                <w:szCs w:val="20"/>
              </w:rPr>
              <w:t>277,000</w:t>
            </w:r>
          </w:p>
        </w:tc>
        <w:tc>
          <w:tcPr>
            <w:tcW w:w="1080" w:type="dxa"/>
            <w:vAlign w:val="bottom"/>
          </w:tcPr>
          <w:p w:rsidR="003B0815" w:rsidRDefault="003B0815" w14:paraId="06174185" w14:textId="77777777">
            <w:pPr>
              <w:keepNext/>
              <w:jc w:val="center"/>
              <w:rPr>
                <w:rFonts w:ascii="Arial" w:hAnsi="Arial"/>
                <w:sz w:val="20"/>
                <w:szCs w:val="20"/>
              </w:rPr>
            </w:pPr>
            <w:r>
              <w:rPr>
                <w:rFonts w:ascii="Arial" w:hAnsi="Arial" w:cs="Arial"/>
                <w:sz w:val="20"/>
                <w:szCs w:val="20"/>
              </w:rPr>
              <w:t>221,000</w:t>
            </w:r>
          </w:p>
        </w:tc>
        <w:tc>
          <w:tcPr>
            <w:tcW w:w="1080" w:type="dxa"/>
            <w:vAlign w:val="bottom"/>
          </w:tcPr>
          <w:p w:rsidR="003B0815" w:rsidRDefault="003B0815" w14:paraId="45394A8E" w14:textId="77777777">
            <w:pPr>
              <w:keepNext/>
              <w:jc w:val="center"/>
              <w:rPr>
                <w:rFonts w:ascii="Arial" w:hAnsi="Arial"/>
                <w:sz w:val="20"/>
                <w:szCs w:val="20"/>
              </w:rPr>
            </w:pPr>
            <w:r>
              <w:rPr>
                <w:rFonts w:ascii="Arial" w:hAnsi="Arial" w:cs="Arial"/>
                <w:sz w:val="20"/>
                <w:szCs w:val="20"/>
              </w:rPr>
              <w:t>332,000</w:t>
            </w:r>
          </w:p>
        </w:tc>
        <w:tc>
          <w:tcPr>
            <w:tcW w:w="720" w:type="dxa"/>
            <w:vAlign w:val="bottom"/>
          </w:tcPr>
          <w:p w:rsidR="003B0815" w:rsidRDefault="003B0815" w14:paraId="41EE0F1D"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64C6AA18" w14:textId="77777777">
            <w:pPr>
              <w:keepNext/>
              <w:jc w:val="right"/>
              <w:rPr>
                <w:rFonts w:ascii="Arial" w:hAnsi="Arial"/>
                <w:b/>
                <w:sz w:val="20"/>
                <w:szCs w:val="20"/>
              </w:rPr>
            </w:pPr>
            <w:r>
              <w:rPr>
                <w:rFonts w:ascii="Arial" w:hAnsi="Arial" w:cs="Arial"/>
                <w:b/>
                <w:bCs/>
                <w:sz w:val="20"/>
                <w:szCs w:val="20"/>
              </w:rPr>
              <w:t>5.7</w:t>
            </w:r>
          </w:p>
        </w:tc>
        <w:tc>
          <w:tcPr>
            <w:tcW w:w="1080" w:type="dxa"/>
            <w:shd w:val="clear" w:color="auto" w:fill="CCCCCC"/>
            <w:vAlign w:val="bottom"/>
          </w:tcPr>
          <w:p w:rsidR="003B0815" w:rsidRDefault="003B0815" w14:paraId="34783D66" w14:textId="77777777">
            <w:pPr>
              <w:keepNext/>
              <w:jc w:val="right"/>
              <w:rPr>
                <w:rFonts w:ascii="Arial" w:hAnsi="Arial"/>
                <w:b/>
                <w:sz w:val="20"/>
                <w:szCs w:val="20"/>
              </w:rPr>
            </w:pPr>
            <w:r>
              <w:rPr>
                <w:rFonts w:ascii="Arial" w:hAnsi="Arial" w:cs="Arial"/>
                <w:b/>
                <w:bCs/>
                <w:sz w:val="20"/>
                <w:szCs w:val="20"/>
              </w:rPr>
              <w:t>4.6</w:t>
            </w:r>
          </w:p>
        </w:tc>
        <w:tc>
          <w:tcPr>
            <w:tcW w:w="1080" w:type="dxa"/>
            <w:tcBorders>
              <w:right w:val="single" w:color="auto" w:sz="12" w:space="0"/>
            </w:tcBorders>
            <w:shd w:val="clear" w:color="auto" w:fill="CCCCCC"/>
            <w:vAlign w:val="bottom"/>
          </w:tcPr>
          <w:p w:rsidR="003B0815" w:rsidRDefault="003B0815" w14:paraId="03D8545D" w14:textId="77777777">
            <w:pPr>
              <w:keepNext/>
              <w:jc w:val="right"/>
              <w:rPr>
                <w:rFonts w:ascii="Arial" w:hAnsi="Arial"/>
                <w:b/>
                <w:sz w:val="20"/>
                <w:szCs w:val="20"/>
              </w:rPr>
            </w:pPr>
            <w:r>
              <w:rPr>
                <w:rFonts w:ascii="Arial" w:hAnsi="Arial" w:cs="Arial"/>
                <w:b/>
                <w:bCs/>
                <w:sz w:val="20"/>
                <w:szCs w:val="20"/>
              </w:rPr>
              <w:t>6.9</w:t>
            </w:r>
          </w:p>
        </w:tc>
      </w:tr>
      <w:tr w:rsidR="003B0815" w14:paraId="24EA4E0A" w14:textId="77777777">
        <w:trPr>
          <w:jc w:val="center"/>
        </w:trPr>
        <w:tc>
          <w:tcPr>
            <w:tcW w:w="679" w:type="dxa"/>
            <w:tcBorders>
              <w:left w:val="single" w:color="auto" w:sz="12" w:space="0"/>
            </w:tcBorders>
          </w:tcPr>
          <w:p w:rsidR="003B0815" w:rsidRDefault="003B0815" w14:paraId="509FF252" w14:textId="77777777">
            <w:pPr>
              <w:keepNext/>
              <w:jc w:val="center"/>
              <w:rPr>
                <w:rFonts w:ascii="Arial" w:hAnsi="Arial"/>
                <w:sz w:val="20"/>
                <w:szCs w:val="20"/>
              </w:rPr>
            </w:pPr>
            <w:r>
              <w:t>2014</w:t>
            </w:r>
          </w:p>
        </w:tc>
        <w:tc>
          <w:tcPr>
            <w:tcW w:w="1353" w:type="dxa"/>
            <w:vAlign w:val="bottom"/>
          </w:tcPr>
          <w:p w:rsidR="003B0815" w:rsidRDefault="003B0815" w14:paraId="232005FD" w14:textId="77777777">
            <w:pPr>
              <w:keepNext/>
              <w:jc w:val="center"/>
              <w:rPr>
                <w:rFonts w:ascii="Arial" w:hAnsi="Arial"/>
                <w:sz w:val="20"/>
                <w:szCs w:val="20"/>
              </w:rPr>
            </w:pPr>
            <w:r>
              <w:rPr>
                <w:rFonts w:ascii="Arial" w:hAnsi="Arial" w:cs="Arial"/>
                <w:sz w:val="20"/>
                <w:szCs w:val="20"/>
              </w:rPr>
              <w:t>41.9</w:t>
            </w:r>
          </w:p>
        </w:tc>
        <w:tc>
          <w:tcPr>
            <w:tcW w:w="1080" w:type="dxa"/>
            <w:vAlign w:val="bottom"/>
          </w:tcPr>
          <w:p w:rsidR="003B0815" w:rsidRDefault="003B0815" w14:paraId="1E92785B" w14:textId="77777777">
            <w:pPr>
              <w:keepNext/>
              <w:jc w:val="center"/>
              <w:rPr>
                <w:rFonts w:ascii="Arial" w:hAnsi="Arial"/>
                <w:sz w:val="20"/>
                <w:szCs w:val="20"/>
              </w:rPr>
            </w:pPr>
            <w:r>
              <w:rPr>
                <w:rFonts w:ascii="Arial" w:hAnsi="Arial" w:cs="Arial"/>
                <w:sz w:val="20"/>
                <w:szCs w:val="20"/>
              </w:rPr>
              <w:t>291,000</w:t>
            </w:r>
          </w:p>
        </w:tc>
        <w:tc>
          <w:tcPr>
            <w:tcW w:w="1080" w:type="dxa"/>
            <w:vAlign w:val="bottom"/>
          </w:tcPr>
          <w:p w:rsidR="003B0815" w:rsidRDefault="003B0815" w14:paraId="741FEC6F" w14:textId="77777777">
            <w:pPr>
              <w:keepNext/>
              <w:jc w:val="center"/>
              <w:rPr>
                <w:rFonts w:ascii="Arial" w:hAnsi="Arial"/>
                <w:sz w:val="20"/>
                <w:szCs w:val="20"/>
              </w:rPr>
            </w:pPr>
            <w:r>
              <w:rPr>
                <w:rFonts w:ascii="Arial" w:hAnsi="Arial" w:cs="Arial"/>
                <w:sz w:val="20"/>
                <w:szCs w:val="20"/>
              </w:rPr>
              <w:t>233,000</w:t>
            </w:r>
          </w:p>
        </w:tc>
        <w:tc>
          <w:tcPr>
            <w:tcW w:w="1080" w:type="dxa"/>
            <w:vAlign w:val="bottom"/>
          </w:tcPr>
          <w:p w:rsidR="003B0815" w:rsidRDefault="003B0815" w14:paraId="07BE5311" w14:textId="77777777">
            <w:pPr>
              <w:keepNext/>
              <w:jc w:val="center"/>
              <w:rPr>
                <w:rFonts w:ascii="Arial" w:hAnsi="Arial"/>
                <w:sz w:val="20"/>
                <w:szCs w:val="20"/>
              </w:rPr>
            </w:pPr>
            <w:r>
              <w:rPr>
                <w:rFonts w:ascii="Arial" w:hAnsi="Arial" w:cs="Arial"/>
                <w:sz w:val="20"/>
                <w:szCs w:val="20"/>
              </w:rPr>
              <w:t>350,000</w:t>
            </w:r>
          </w:p>
        </w:tc>
        <w:tc>
          <w:tcPr>
            <w:tcW w:w="720" w:type="dxa"/>
            <w:vAlign w:val="bottom"/>
          </w:tcPr>
          <w:p w:rsidR="003B0815" w:rsidRDefault="003B0815" w14:paraId="2B8566A7"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37BFE657" w14:textId="77777777">
            <w:pPr>
              <w:keepNext/>
              <w:jc w:val="right"/>
              <w:rPr>
                <w:rFonts w:ascii="Arial" w:hAnsi="Arial"/>
                <w:b/>
                <w:sz w:val="20"/>
                <w:szCs w:val="20"/>
              </w:rPr>
            </w:pPr>
            <w:r>
              <w:rPr>
                <w:rFonts w:ascii="Arial" w:hAnsi="Arial" w:cs="Arial"/>
                <w:b/>
                <w:bCs/>
                <w:sz w:val="20"/>
                <w:szCs w:val="20"/>
              </w:rPr>
              <w:t>6.0</w:t>
            </w:r>
          </w:p>
        </w:tc>
        <w:tc>
          <w:tcPr>
            <w:tcW w:w="1080" w:type="dxa"/>
            <w:shd w:val="clear" w:color="auto" w:fill="CCCCCC"/>
            <w:vAlign w:val="bottom"/>
          </w:tcPr>
          <w:p w:rsidR="003B0815" w:rsidRDefault="003B0815" w14:paraId="57F470FE" w14:textId="77777777">
            <w:pPr>
              <w:keepNext/>
              <w:jc w:val="right"/>
              <w:rPr>
                <w:rFonts w:ascii="Arial" w:hAnsi="Arial"/>
                <w:b/>
                <w:sz w:val="20"/>
                <w:szCs w:val="20"/>
              </w:rPr>
            </w:pPr>
            <w:r>
              <w:rPr>
                <w:rFonts w:ascii="Arial" w:hAnsi="Arial" w:cs="Arial"/>
                <w:b/>
                <w:bCs/>
                <w:sz w:val="20"/>
                <w:szCs w:val="20"/>
              </w:rPr>
              <w:t>4.8</w:t>
            </w:r>
          </w:p>
        </w:tc>
        <w:tc>
          <w:tcPr>
            <w:tcW w:w="1080" w:type="dxa"/>
            <w:tcBorders>
              <w:right w:val="single" w:color="auto" w:sz="12" w:space="0"/>
            </w:tcBorders>
            <w:shd w:val="clear" w:color="auto" w:fill="CCCCCC"/>
            <w:vAlign w:val="bottom"/>
          </w:tcPr>
          <w:p w:rsidR="003B0815" w:rsidRDefault="003B0815" w14:paraId="579FB4DC" w14:textId="77777777">
            <w:pPr>
              <w:keepNext/>
              <w:jc w:val="right"/>
              <w:rPr>
                <w:rFonts w:ascii="Arial" w:hAnsi="Arial"/>
                <w:b/>
                <w:sz w:val="20"/>
                <w:szCs w:val="20"/>
              </w:rPr>
            </w:pPr>
            <w:r>
              <w:rPr>
                <w:rFonts w:ascii="Arial" w:hAnsi="Arial" w:cs="Arial"/>
                <w:b/>
                <w:bCs/>
                <w:sz w:val="20"/>
                <w:szCs w:val="20"/>
              </w:rPr>
              <w:t>7.3</w:t>
            </w:r>
          </w:p>
        </w:tc>
      </w:tr>
      <w:tr w:rsidR="003B0815" w14:paraId="3F8016CF" w14:textId="77777777">
        <w:trPr>
          <w:jc w:val="center"/>
        </w:trPr>
        <w:tc>
          <w:tcPr>
            <w:tcW w:w="679" w:type="dxa"/>
            <w:tcBorders>
              <w:left w:val="single" w:color="auto" w:sz="12" w:space="0"/>
            </w:tcBorders>
          </w:tcPr>
          <w:p w:rsidR="003B0815" w:rsidRDefault="003B0815" w14:paraId="4BC0A19C" w14:textId="77777777">
            <w:pPr>
              <w:keepNext/>
              <w:jc w:val="center"/>
              <w:rPr>
                <w:rFonts w:ascii="Arial" w:hAnsi="Arial"/>
                <w:sz w:val="20"/>
                <w:szCs w:val="20"/>
              </w:rPr>
            </w:pPr>
            <w:r>
              <w:t>2015</w:t>
            </w:r>
          </w:p>
        </w:tc>
        <w:tc>
          <w:tcPr>
            <w:tcW w:w="1353" w:type="dxa"/>
            <w:vAlign w:val="bottom"/>
          </w:tcPr>
          <w:p w:rsidR="003B0815" w:rsidRDefault="003B0815" w14:paraId="3804BE8E" w14:textId="77777777">
            <w:pPr>
              <w:keepNext/>
              <w:jc w:val="center"/>
              <w:rPr>
                <w:rFonts w:ascii="Arial" w:hAnsi="Arial"/>
                <w:sz w:val="20"/>
                <w:szCs w:val="20"/>
              </w:rPr>
            </w:pPr>
            <w:r>
              <w:rPr>
                <w:rFonts w:ascii="Arial" w:hAnsi="Arial" w:cs="Arial"/>
                <w:sz w:val="20"/>
                <w:szCs w:val="20"/>
              </w:rPr>
              <w:t>44.1</w:t>
            </w:r>
          </w:p>
        </w:tc>
        <w:tc>
          <w:tcPr>
            <w:tcW w:w="1080" w:type="dxa"/>
            <w:vAlign w:val="bottom"/>
          </w:tcPr>
          <w:p w:rsidR="003B0815" w:rsidRDefault="003B0815" w14:paraId="290F221B" w14:textId="77777777">
            <w:pPr>
              <w:keepNext/>
              <w:jc w:val="center"/>
              <w:rPr>
                <w:rFonts w:ascii="Arial" w:hAnsi="Arial"/>
                <w:sz w:val="20"/>
                <w:szCs w:val="20"/>
              </w:rPr>
            </w:pPr>
            <w:r>
              <w:rPr>
                <w:rFonts w:ascii="Arial" w:hAnsi="Arial" w:cs="Arial"/>
                <w:sz w:val="20"/>
                <w:szCs w:val="20"/>
              </w:rPr>
              <w:t>306,000</w:t>
            </w:r>
          </w:p>
        </w:tc>
        <w:tc>
          <w:tcPr>
            <w:tcW w:w="1080" w:type="dxa"/>
            <w:vAlign w:val="bottom"/>
          </w:tcPr>
          <w:p w:rsidR="003B0815" w:rsidRDefault="003B0815" w14:paraId="449C3B74" w14:textId="77777777">
            <w:pPr>
              <w:keepNext/>
              <w:jc w:val="center"/>
              <w:rPr>
                <w:rFonts w:ascii="Arial" w:hAnsi="Arial"/>
                <w:sz w:val="20"/>
                <w:szCs w:val="20"/>
              </w:rPr>
            </w:pPr>
            <w:r>
              <w:rPr>
                <w:rFonts w:ascii="Arial" w:hAnsi="Arial" w:cs="Arial"/>
                <w:sz w:val="20"/>
                <w:szCs w:val="20"/>
              </w:rPr>
              <w:t>245,000</w:t>
            </w:r>
          </w:p>
        </w:tc>
        <w:tc>
          <w:tcPr>
            <w:tcW w:w="1080" w:type="dxa"/>
            <w:vAlign w:val="bottom"/>
          </w:tcPr>
          <w:p w:rsidR="003B0815" w:rsidRDefault="003B0815" w14:paraId="38A19C38" w14:textId="77777777">
            <w:pPr>
              <w:keepNext/>
              <w:jc w:val="center"/>
              <w:rPr>
                <w:rFonts w:ascii="Arial" w:hAnsi="Arial"/>
                <w:sz w:val="20"/>
                <w:szCs w:val="20"/>
              </w:rPr>
            </w:pPr>
            <w:r>
              <w:rPr>
                <w:rFonts w:ascii="Arial" w:hAnsi="Arial" w:cs="Arial"/>
                <w:sz w:val="20"/>
                <w:szCs w:val="20"/>
              </w:rPr>
              <w:t>368,000</w:t>
            </w:r>
          </w:p>
        </w:tc>
        <w:tc>
          <w:tcPr>
            <w:tcW w:w="720" w:type="dxa"/>
            <w:vAlign w:val="bottom"/>
          </w:tcPr>
          <w:p w:rsidR="003B0815" w:rsidRDefault="003B0815" w14:paraId="2AF2EA56"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44149E7D" w14:textId="77777777">
            <w:pPr>
              <w:keepNext/>
              <w:jc w:val="right"/>
              <w:rPr>
                <w:rFonts w:ascii="Arial" w:hAnsi="Arial"/>
                <w:b/>
                <w:sz w:val="20"/>
                <w:szCs w:val="20"/>
              </w:rPr>
            </w:pPr>
            <w:r>
              <w:rPr>
                <w:rFonts w:ascii="Arial" w:hAnsi="Arial" w:cs="Arial"/>
                <w:b/>
                <w:bCs/>
                <w:sz w:val="20"/>
                <w:szCs w:val="20"/>
              </w:rPr>
              <w:t>6.3</w:t>
            </w:r>
          </w:p>
        </w:tc>
        <w:tc>
          <w:tcPr>
            <w:tcW w:w="1080" w:type="dxa"/>
            <w:shd w:val="clear" w:color="auto" w:fill="CCCCCC"/>
            <w:vAlign w:val="bottom"/>
          </w:tcPr>
          <w:p w:rsidR="003B0815" w:rsidRDefault="003B0815" w14:paraId="6610F28E" w14:textId="77777777">
            <w:pPr>
              <w:keepNext/>
              <w:jc w:val="right"/>
              <w:rPr>
                <w:rFonts w:ascii="Arial" w:hAnsi="Arial"/>
                <w:b/>
                <w:sz w:val="20"/>
                <w:szCs w:val="20"/>
              </w:rPr>
            </w:pPr>
            <w:r>
              <w:rPr>
                <w:rFonts w:ascii="Arial" w:hAnsi="Arial" w:cs="Arial"/>
                <w:b/>
                <w:bCs/>
                <w:sz w:val="20"/>
                <w:szCs w:val="20"/>
              </w:rPr>
              <w:t>5.1</w:t>
            </w:r>
          </w:p>
        </w:tc>
        <w:tc>
          <w:tcPr>
            <w:tcW w:w="1080" w:type="dxa"/>
            <w:tcBorders>
              <w:right w:val="single" w:color="auto" w:sz="12" w:space="0"/>
            </w:tcBorders>
            <w:shd w:val="clear" w:color="auto" w:fill="CCCCCC"/>
            <w:vAlign w:val="bottom"/>
          </w:tcPr>
          <w:p w:rsidR="003B0815" w:rsidRDefault="003B0815" w14:paraId="333626ED" w14:textId="77777777">
            <w:pPr>
              <w:keepNext/>
              <w:jc w:val="right"/>
              <w:rPr>
                <w:rFonts w:ascii="Arial" w:hAnsi="Arial"/>
                <w:b/>
                <w:sz w:val="20"/>
                <w:szCs w:val="20"/>
              </w:rPr>
            </w:pPr>
            <w:r>
              <w:rPr>
                <w:rFonts w:ascii="Arial" w:hAnsi="Arial" w:cs="Arial"/>
                <w:b/>
                <w:bCs/>
                <w:sz w:val="20"/>
                <w:szCs w:val="20"/>
              </w:rPr>
              <w:t>7.6</w:t>
            </w:r>
          </w:p>
        </w:tc>
      </w:tr>
      <w:tr w:rsidR="003B0815" w14:paraId="0D4C8CD8" w14:textId="77777777">
        <w:trPr>
          <w:jc w:val="center"/>
        </w:trPr>
        <w:tc>
          <w:tcPr>
            <w:tcW w:w="679" w:type="dxa"/>
            <w:tcBorders>
              <w:left w:val="single" w:color="auto" w:sz="12" w:space="0"/>
            </w:tcBorders>
          </w:tcPr>
          <w:p w:rsidR="003B0815" w:rsidRDefault="003B0815" w14:paraId="2FF7CC55" w14:textId="77777777">
            <w:pPr>
              <w:keepNext/>
              <w:jc w:val="center"/>
              <w:rPr>
                <w:rFonts w:ascii="Arial" w:hAnsi="Arial"/>
                <w:sz w:val="20"/>
                <w:szCs w:val="20"/>
              </w:rPr>
            </w:pPr>
            <w:r>
              <w:t>2016</w:t>
            </w:r>
          </w:p>
        </w:tc>
        <w:tc>
          <w:tcPr>
            <w:tcW w:w="1353" w:type="dxa"/>
            <w:vAlign w:val="bottom"/>
          </w:tcPr>
          <w:p w:rsidR="003B0815" w:rsidRDefault="003B0815" w14:paraId="50669725" w14:textId="77777777">
            <w:pPr>
              <w:keepNext/>
              <w:jc w:val="center"/>
              <w:rPr>
                <w:rFonts w:ascii="Arial" w:hAnsi="Arial"/>
                <w:sz w:val="20"/>
                <w:szCs w:val="20"/>
              </w:rPr>
            </w:pPr>
            <w:r>
              <w:rPr>
                <w:rFonts w:ascii="Arial" w:hAnsi="Arial" w:cs="Arial"/>
                <w:sz w:val="20"/>
                <w:szCs w:val="20"/>
              </w:rPr>
              <w:t>46.3</w:t>
            </w:r>
          </w:p>
        </w:tc>
        <w:tc>
          <w:tcPr>
            <w:tcW w:w="1080" w:type="dxa"/>
            <w:vAlign w:val="bottom"/>
          </w:tcPr>
          <w:p w:rsidR="003B0815" w:rsidRDefault="003B0815" w14:paraId="0AC13E1C" w14:textId="77777777">
            <w:pPr>
              <w:keepNext/>
              <w:jc w:val="center"/>
              <w:rPr>
                <w:rFonts w:ascii="Arial" w:hAnsi="Arial"/>
                <w:sz w:val="20"/>
                <w:szCs w:val="20"/>
              </w:rPr>
            </w:pPr>
            <w:r>
              <w:rPr>
                <w:rFonts w:ascii="Arial" w:hAnsi="Arial" w:cs="Arial"/>
                <w:sz w:val="20"/>
                <w:szCs w:val="20"/>
              </w:rPr>
              <w:t>322,000</w:t>
            </w:r>
          </w:p>
        </w:tc>
        <w:tc>
          <w:tcPr>
            <w:tcW w:w="1080" w:type="dxa"/>
            <w:vAlign w:val="bottom"/>
          </w:tcPr>
          <w:p w:rsidR="003B0815" w:rsidRDefault="003B0815" w14:paraId="32787F94" w14:textId="77777777">
            <w:pPr>
              <w:keepNext/>
              <w:jc w:val="center"/>
              <w:rPr>
                <w:rFonts w:ascii="Arial" w:hAnsi="Arial"/>
                <w:sz w:val="20"/>
                <w:szCs w:val="20"/>
              </w:rPr>
            </w:pPr>
            <w:r>
              <w:rPr>
                <w:rFonts w:ascii="Arial" w:hAnsi="Arial" w:cs="Arial"/>
                <w:sz w:val="20"/>
                <w:szCs w:val="20"/>
              </w:rPr>
              <w:t>257,000</w:t>
            </w:r>
          </w:p>
        </w:tc>
        <w:tc>
          <w:tcPr>
            <w:tcW w:w="1080" w:type="dxa"/>
            <w:vAlign w:val="bottom"/>
          </w:tcPr>
          <w:p w:rsidR="003B0815" w:rsidRDefault="003B0815" w14:paraId="53C32E93" w14:textId="77777777">
            <w:pPr>
              <w:keepNext/>
              <w:jc w:val="center"/>
              <w:rPr>
                <w:rFonts w:ascii="Arial" w:hAnsi="Arial"/>
                <w:sz w:val="20"/>
                <w:szCs w:val="20"/>
              </w:rPr>
            </w:pPr>
            <w:r>
              <w:rPr>
                <w:rFonts w:ascii="Arial" w:hAnsi="Arial" w:cs="Arial"/>
                <w:sz w:val="20"/>
                <w:szCs w:val="20"/>
              </w:rPr>
              <w:t>386,000</w:t>
            </w:r>
          </w:p>
        </w:tc>
        <w:tc>
          <w:tcPr>
            <w:tcW w:w="720" w:type="dxa"/>
            <w:vAlign w:val="bottom"/>
          </w:tcPr>
          <w:p w:rsidR="003B0815" w:rsidRDefault="003B0815" w14:paraId="01DEA721"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55BE5BC7" w14:textId="77777777">
            <w:pPr>
              <w:keepNext/>
              <w:jc w:val="right"/>
              <w:rPr>
                <w:rFonts w:ascii="Arial" w:hAnsi="Arial"/>
                <w:b/>
                <w:sz w:val="20"/>
                <w:szCs w:val="20"/>
              </w:rPr>
            </w:pPr>
            <w:r>
              <w:rPr>
                <w:rFonts w:ascii="Arial" w:hAnsi="Arial" w:cs="Arial"/>
                <w:b/>
                <w:bCs/>
                <w:sz w:val="20"/>
                <w:szCs w:val="20"/>
              </w:rPr>
              <w:t>6.7</w:t>
            </w:r>
          </w:p>
        </w:tc>
        <w:tc>
          <w:tcPr>
            <w:tcW w:w="1080" w:type="dxa"/>
            <w:shd w:val="clear" w:color="auto" w:fill="CCCCCC"/>
            <w:vAlign w:val="bottom"/>
          </w:tcPr>
          <w:p w:rsidR="003B0815" w:rsidRDefault="003B0815" w14:paraId="02D3C361" w14:textId="77777777">
            <w:pPr>
              <w:keepNext/>
              <w:jc w:val="right"/>
              <w:rPr>
                <w:rFonts w:ascii="Arial" w:hAnsi="Arial"/>
                <w:b/>
                <w:sz w:val="20"/>
                <w:szCs w:val="20"/>
              </w:rPr>
            </w:pPr>
            <w:r>
              <w:rPr>
                <w:rFonts w:ascii="Arial" w:hAnsi="Arial" w:cs="Arial"/>
                <w:b/>
                <w:bCs/>
                <w:sz w:val="20"/>
                <w:szCs w:val="20"/>
              </w:rPr>
              <w:t>5.3</w:t>
            </w:r>
          </w:p>
        </w:tc>
        <w:tc>
          <w:tcPr>
            <w:tcW w:w="1080" w:type="dxa"/>
            <w:tcBorders>
              <w:right w:val="single" w:color="auto" w:sz="12" w:space="0"/>
            </w:tcBorders>
            <w:shd w:val="clear" w:color="auto" w:fill="CCCCCC"/>
            <w:vAlign w:val="bottom"/>
          </w:tcPr>
          <w:p w:rsidR="003B0815" w:rsidRDefault="003B0815" w14:paraId="10FB21CE" w14:textId="77777777">
            <w:pPr>
              <w:keepNext/>
              <w:jc w:val="right"/>
              <w:rPr>
                <w:rFonts w:ascii="Arial" w:hAnsi="Arial"/>
                <w:b/>
                <w:sz w:val="20"/>
                <w:szCs w:val="20"/>
              </w:rPr>
            </w:pPr>
            <w:r>
              <w:rPr>
                <w:rFonts w:ascii="Arial" w:hAnsi="Arial" w:cs="Arial"/>
                <w:b/>
                <w:bCs/>
                <w:sz w:val="20"/>
                <w:szCs w:val="20"/>
              </w:rPr>
              <w:t>8.0</w:t>
            </w:r>
          </w:p>
        </w:tc>
      </w:tr>
      <w:tr w:rsidR="003B0815" w14:paraId="378D9F45" w14:textId="77777777">
        <w:trPr>
          <w:jc w:val="center"/>
        </w:trPr>
        <w:tc>
          <w:tcPr>
            <w:tcW w:w="679" w:type="dxa"/>
            <w:tcBorders>
              <w:left w:val="single" w:color="auto" w:sz="12" w:space="0"/>
              <w:bottom w:val="single" w:color="auto" w:sz="4" w:space="0"/>
            </w:tcBorders>
          </w:tcPr>
          <w:p w:rsidR="003B0815" w:rsidRDefault="003B0815" w14:paraId="4CC3FD01" w14:textId="77777777">
            <w:pPr>
              <w:keepNext/>
              <w:jc w:val="center"/>
              <w:rPr>
                <w:rFonts w:ascii="Arial" w:hAnsi="Arial"/>
                <w:sz w:val="20"/>
                <w:szCs w:val="20"/>
              </w:rPr>
            </w:pPr>
            <w:r>
              <w:t>2017</w:t>
            </w:r>
          </w:p>
        </w:tc>
        <w:tc>
          <w:tcPr>
            <w:tcW w:w="1353" w:type="dxa"/>
            <w:tcBorders>
              <w:bottom w:val="single" w:color="auto" w:sz="4" w:space="0"/>
            </w:tcBorders>
            <w:vAlign w:val="bottom"/>
          </w:tcPr>
          <w:p w:rsidR="003B0815" w:rsidRDefault="003B0815" w14:paraId="15CDF498" w14:textId="77777777">
            <w:pPr>
              <w:keepNext/>
              <w:jc w:val="center"/>
              <w:rPr>
                <w:rFonts w:ascii="Arial" w:hAnsi="Arial"/>
                <w:sz w:val="20"/>
                <w:szCs w:val="20"/>
              </w:rPr>
            </w:pPr>
            <w:r>
              <w:rPr>
                <w:rFonts w:ascii="Arial" w:hAnsi="Arial" w:cs="Arial"/>
                <w:sz w:val="20"/>
                <w:szCs w:val="20"/>
              </w:rPr>
              <w:t>48.6</w:t>
            </w:r>
          </w:p>
        </w:tc>
        <w:tc>
          <w:tcPr>
            <w:tcW w:w="1080" w:type="dxa"/>
            <w:tcBorders>
              <w:bottom w:val="single" w:color="auto" w:sz="4" w:space="0"/>
            </w:tcBorders>
            <w:vAlign w:val="bottom"/>
          </w:tcPr>
          <w:p w:rsidR="003B0815" w:rsidRDefault="003B0815" w14:paraId="192D2DE8" w14:textId="77777777">
            <w:pPr>
              <w:keepNext/>
              <w:jc w:val="center"/>
              <w:rPr>
                <w:rFonts w:ascii="Arial" w:hAnsi="Arial"/>
                <w:sz w:val="20"/>
                <w:szCs w:val="20"/>
              </w:rPr>
            </w:pPr>
            <w:r>
              <w:rPr>
                <w:rFonts w:ascii="Arial" w:hAnsi="Arial" w:cs="Arial"/>
                <w:sz w:val="20"/>
                <w:szCs w:val="20"/>
              </w:rPr>
              <w:t>338,000</w:t>
            </w:r>
          </w:p>
        </w:tc>
        <w:tc>
          <w:tcPr>
            <w:tcW w:w="1080" w:type="dxa"/>
            <w:tcBorders>
              <w:bottom w:val="single" w:color="auto" w:sz="4" w:space="0"/>
            </w:tcBorders>
            <w:vAlign w:val="bottom"/>
          </w:tcPr>
          <w:p w:rsidR="003B0815" w:rsidRDefault="003B0815" w14:paraId="7546EA14" w14:textId="77777777">
            <w:pPr>
              <w:keepNext/>
              <w:jc w:val="center"/>
              <w:rPr>
                <w:rFonts w:ascii="Arial" w:hAnsi="Arial"/>
                <w:sz w:val="20"/>
                <w:szCs w:val="20"/>
              </w:rPr>
            </w:pPr>
            <w:r>
              <w:rPr>
                <w:rFonts w:ascii="Arial" w:hAnsi="Arial" w:cs="Arial"/>
                <w:sz w:val="20"/>
                <w:szCs w:val="20"/>
              </w:rPr>
              <w:t>270,000</w:t>
            </w:r>
          </w:p>
        </w:tc>
        <w:tc>
          <w:tcPr>
            <w:tcW w:w="1080" w:type="dxa"/>
            <w:tcBorders>
              <w:bottom w:val="single" w:color="auto" w:sz="4" w:space="0"/>
            </w:tcBorders>
            <w:vAlign w:val="bottom"/>
          </w:tcPr>
          <w:p w:rsidR="003B0815" w:rsidRDefault="003B0815" w14:paraId="3C8F0870" w14:textId="77777777">
            <w:pPr>
              <w:keepNext/>
              <w:jc w:val="center"/>
              <w:rPr>
                <w:rFonts w:ascii="Arial" w:hAnsi="Arial"/>
                <w:sz w:val="20"/>
                <w:szCs w:val="20"/>
              </w:rPr>
            </w:pPr>
            <w:r>
              <w:rPr>
                <w:rFonts w:ascii="Arial" w:hAnsi="Arial" w:cs="Arial"/>
                <w:sz w:val="20"/>
                <w:szCs w:val="20"/>
              </w:rPr>
              <w:t>405,000</w:t>
            </w:r>
          </w:p>
        </w:tc>
        <w:tc>
          <w:tcPr>
            <w:tcW w:w="720" w:type="dxa"/>
            <w:tcBorders>
              <w:bottom w:val="single" w:color="auto" w:sz="4" w:space="0"/>
            </w:tcBorders>
            <w:vAlign w:val="bottom"/>
          </w:tcPr>
          <w:p w:rsidR="003B0815" w:rsidRDefault="003B0815" w14:paraId="56437E3D" w14:textId="77777777">
            <w:pPr>
              <w:keepNext/>
              <w:jc w:val="center"/>
              <w:rPr>
                <w:rFonts w:ascii="Arial" w:hAnsi="Arial"/>
                <w:sz w:val="20"/>
                <w:szCs w:val="20"/>
              </w:rPr>
            </w:pPr>
            <w:r>
              <w:rPr>
                <w:rFonts w:ascii="Arial" w:hAnsi="Arial" w:cs="Arial"/>
                <w:sz w:val="20"/>
                <w:szCs w:val="20"/>
              </w:rPr>
              <w:t xml:space="preserve">$20.69 </w:t>
            </w:r>
          </w:p>
        </w:tc>
        <w:tc>
          <w:tcPr>
            <w:tcW w:w="1080" w:type="dxa"/>
            <w:tcBorders>
              <w:bottom w:val="single" w:color="auto" w:sz="4" w:space="0"/>
            </w:tcBorders>
            <w:shd w:val="clear" w:color="auto" w:fill="CCCCCC"/>
            <w:vAlign w:val="bottom"/>
          </w:tcPr>
          <w:p w:rsidR="003B0815" w:rsidRDefault="003B0815" w14:paraId="764EC3EC" w14:textId="77777777">
            <w:pPr>
              <w:keepNext/>
              <w:jc w:val="right"/>
              <w:rPr>
                <w:rFonts w:ascii="Arial" w:hAnsi="Arial"/>
                <w:b/>
                <w:sz w:val="20"/>
                <w:szCs w:val="20"/>
              </w:rPr>
            </w:pPr>
            <w:r>
              <w:rPr>
                <w:rFonts w:ascii="Arial" w:hAnsi="Arial" w:cs="Arial"/>
                <w:b/>
                <w:bCs/>
                <w:sz w:val="20"/>
                <w:szCs w:val="20"/>
              </w:rPr>
              <w:t>$7.0</w:t>
            </w:r>
          </w:p>
        </w:tc>
        <w:tc>
          <w:tcPr>
            <w:tcW w:w="1080" w:type="dxa"/>
            <w:tcBorders>
              <w:bottom w:val="single" w:color="auto" w:sz="4" w:space="0"/>
            </w:tcBorders>
            <w:shd w:val="clear" w:color="auto" w:fill="CCCCCC"/>
            <w:vAlign w:val="bottom"/>
          </w:tcPr>
          <w:p w:rsidR="003B0815" w:rsidRDefault="003B0815" w14:paraId="46BF25CD" w14:textId="77777777">
            <w:pPr>
              <w:keepNext/>
              <w:jc w:val="right"/>
              <w:rPr>
                <w:rFonts w:ascii="Arial" w:hAnsi="Arial"/>
                <w:b/>
                <w:sz w:val="20"/>
                <w:szCs w:val="20"/>
              </w:rPr>
            </w:pPr>
            <w:r>
              <w:rPr>
                <w:rFonts w:ascii="Arial" w:hAnsi="Arial" w:cs="Arial"/>
                <w:b/>
                <w:bCs/>
                <w:sz w:val="20"/>
                <w:szCs w:val="20"/>
              </w:rPr>
              <w:t>$5.6</w:t>
            </w:r>
          </w:p>
        </w:tc>
        <w:tc>
          <w:tcPr>
            <w:tcW w:w="1080" w:type="dxa"/>
            <w:tcBorders>
              <w:bottom w:val="single" w:color="auto" w:sz="4" w:space="0"/>
              <w:right w:val="single" w:color="auto" w:sz="12" w:space="0"/>
            </w:tcBorders>
            <w:shd w:val="clear" w:color="auto" w:fill="CCCCCC"/>
            <w:vAlign w:val="bottom"/>
          </w:tcPr>
          <w:p w:rsidR="003B0815" w:rsidRDefault="003B0815" w14:paraId="2E1A070F" w14:textId="77777777">
            <w:pPr>
              <w:keepNext/>
              <w:jc w:val="right"/>
              <w:rPr>
                <w:rFonts w:ascii="Arial" w:hAnsi="Arial"/>
                <w:b/>
                <w:sz w:val="20"/>
                <w:szCs w:val="20"/>
              </w:rPr>
            </w:pPr>
            <w:r>
              <w:rPr>
                <w:rFonts w:ascii="Arial" w:hAnsi="Arial" w:cs="Arial"/>
                <w:b/>
                <w:bCs/>
                <w:sz w:val="20"/>
                <w:szCs w:val="20"/>
              </w:rPr>
              <w:t>$8.3</w:t>
            </w:r>
          </w:p>
        </w:tc>
      </w:tr>
      <w:tr w:rsidR="003B0815" w14:paraId="482D9FC7" w14:textId="77777777">
        <w:trPr>
          <w:jc w:val="center"/>
        </w:trPr>
        <w:tc>
          <w:tcPr>
            <w:tcW w:w="679" w:type="dxa"/>
            <w:tcBorders>
              <w:left w:val="single" w:color="auto" w:sz="12" w:space="0"/>
              <w:bottom w:val="single" w:color="auto" w:sz="12" w:space="0"/>
              <w:right w:val="nil"/>
            </w:tcBorders>
            <w:vAlign w:val="bottom"/>
          </w:tcPr>
          <w:p w:rsidR="003B0815" w:rsidRDefault="003B0815" w14:paraId="4F23E538" w14:textId="77777777">
            <w:pPr>
              <w:keepNext/>
              <w:jc w:val="center"/>
              <w:rPr>
                <w:rFonts w:ascii="Arial" w:hAnsi="Arial"/>
                <w:b/>
                <w:sz w:val="20"/>
                <w:szCs w:val="20"/>
              </w:rPr>
            </w:pPr>
            <w:r>
              <w:rPr>
                <w:rFonts w:ascii="Arial" w:hAnsi="Arial" w:cs="Arial"/>
                <w:b/>
                <w:bCs/>
                <w:sz w:val="20"/>
                <w:szCs w:val="20"/>
              </w:rPr>
              <w:t>Total</w:t>
            </w:r>
          </w:p>
        </w:tc>
        <w:tc>
          <w:tcPr>
            <w:tcW w:w="1353" w:type="dxa"/>
            <w:tcBorders>
              <w:left w:val="nil"/>
              <w:bottom w:val="single" w:color="auto" w:sz="12" w:space="0"/>
              <w:right w:val="nil"/>
            </w:tcBorders>
            <w:vAlign w:val="bottom"/>
          </w:tcPr>
          <w:p w:rsidR="003B0815" w:rsidRDefault="003B0815" w14:paraId="2F1D764D"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18504376"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5A38D763"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51ABE2C8" w14:textId="77777777">
            <w:pPr>
              <w:keepNext/>
              <w:jc w:val="center"/>
              <w:rPr>
                <w:rFonts w:ascii="Arial" w:hAnsi="Arial"/>
                <w:sz w:val="20"/>
                <w:szCs w:val="20"/>
              </w:rPr>
            </w:pPr>
            <w:r>
              <w:rPr>
                <w:rFonts w:ascii="Arial" w:hAnsi="Arial" w:cs="Arial"/>
                <w:sz w:val="20"/>
                <w:szCs w:val="20"/>
              </w:rPr>
              <w:t> </w:t>
            </w:r>
          </w:p>
        </w:tc>
        <w:tc>
          <w:tcPr>
            <w:tcW w:w="720" w:type="dxa"/>
            <w:tcBorders>
              <w:left w:val="nil"/>
              <w:bottom w:val="single" w:color="auto" w:sz="12" w:space="0"/>
              <w:right w:val="nil"/>
            </w:tcBorders>
            <w:vAlign w:val="bottom"/>
          </w:tcPr>
          <w:p w:rsidR="003B0815" w:rsidRDefault="003B0815" w14:paraId="4A27E920"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78273BA0" w14:textId="77777777">
            <w:pPr>
              <w:keepNext/>
              <w:jc w:val="right"/>
              <w:rPr>
                <w:rFonts w:ascii="Arial" w:hAnsi="Arial"/>
                <w:b/>
                <w:sz w:val="20"/>
                <w:szCs w:val="20"/>
              </w:rPr>
            </w:pPr>
            <w:r>
              <w:rPr>
                <w:rFonts w:ascii="Arial" w:hAnsi="Arial" w:cs="Arial"/>
                <w:b/>
                <w:bCs/>
                <w:sz w:val="20"/>
                <w:szCs w:val="20"/>
              </w:rPr>
              <w:t>$56.6</w:t>
            </w:r>
          </w:p>
        </w:tc>
        <w:tc>
          <w:tcPr>
            <w:tcW w:w="1080" w:type="dxa"/>
            <w:tcBorders>
              <w:left w:val="nil"/>
              <w:bottom w:val="single" w:color="auto" w:sz="12" w:space="0"/>
              <w:right w:val="nil"/>
            </w:tcBorders>
            <w:vAlign w:val="bottom"/>
          </w:tcPr>
          <w:p w:rsidR="003B0815" w:rsidRDefault="003B0815" w14:paraId="14276283" w14:textId="77777777">
            <w:pPr>
              <w:keepNext/>
              <w:jc w:val="right"/>
              <w:rPr>
                <w:rFonts w:ascii="Arial" w:hAnsi="Arial"/>
                <w:b/>
                <w:sz w:val="20"/>
                <w:szCs w:val="20"/>
              </w:rPr>
            </w:pPr>
            <w:r>
              <w:rPr>
                <w:rFonts w:ascii="Arial" w:hAnsi="Arial" w:cs="Arial"/>
                <w:b/>
                <w:bCs/>
                <w:sz w:val="20"/>
                <w:szCs w:val="20"/>
              </w:rPr>
              <w:t>$45.3</w:t>
            </w:r>
          </w:p>
        </w:tc>
        <w:tc>
          <w:tcPr>
            <w:tcW w:w="1080" w:type="dxa"/>
            <w:tcBorders>
              <w:left w:val="nil"/>
              <w:bottom w:val="single" w:color="auto" w:sz="12" w:space="0"/>
              <w:right w:val="single" w:color="auto" w:sz="12" w:space="0"/>
            </w:tcBorders>
            <w:vAlign w:val="bottom"/>
          </w:tcPr>
          <w:p w:rsidR="003B0815" w:rsidRDefault="003B0815" w14:paraId="45FAF8F5" w14:textId="77777777">
            <w:pPr>
              <w:keepNext/>
              <w:jc w:val="right"/>
              <w:rPr>
                <w:rFonts w:ascii="Arial" w:hAnsi="Arial"/>
                <w:b/>
                <w:sz w:val="20"/>
                <w:szCs w:val="20"/>
              </w:rPr>
            </w:pPr>
            <w:r>
              <w:rPr>
                <w:rFonts w:ascii="Arial" w:hAnsi="Arial" w:cs="Arial"/>
                <w:b/>
                <w:bCs/>
                <w:sz w:val="20"/>
                <w:szCs w:val="20"/>
              </w:rPr>
              <w:t>$68.0</w:t>
            </w:r>
          </w:p>
        </w:tc>
      </w:tr>
    </w:tbl>
    <w:p w:rsidR="003B0815" w:rsidRDefault="003B0815" w14:paraId="195767CB" w14:textId="77777777">
      <w:pPr>
        <w:spacing w:line="360" w:lineRule="auto"/>
        <w:ind w:firstLine="720"/>
      </w:pPr>
    </w:p>
    <w:p w:rsidR="003B0815" w:rsidRDefault="003B0815" w14:paraId="493589B2" w14:textId="77777777">
      <w:pPr>
        <w:spacing w:line="360" w:lineRule="auto"/>
        <w:ind w:firstLine="720"/>
      </w:pPr>
      <w:r>
        <w:t xml:space="preserve">Travel agencies booking overflight itineraries also need to request the same information.  Using the method to estimate travel agency costs for travel to and/or from the </w:t>
      </w:r>
      <w:smartTag w:uri="urn:schemas-microsoft-com:office:smarttags" w:element="country-region">
        <w:smartTag w:uri="urn:schemas-microsoft-com:office:smarttags" w:element="place">
          <w:r>
            <w:t>U.S.</w:t>
          </w:r>
        </w:smartTag>
      </w:smartTag>
      <w:r>
        <w:t>, TSA has estimated the cost to travel agencies for collecting the additional information at $22.4 million over ten years.  Table 1.6.4.c contains the year-specific estimated marginal burden on travel agencies to collect additional information from overflight passengers.</w:t>
      </w:r>
    </w:p>
    <w:tbl>
      <w:tblPr>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679"/>
        <w:gridCol w:w="1353"/>
        <w:gridCol w:w="1080"/>
        <w:gridCol w:w="1080"/>
        <w:gridCol w:w="1080"/>
        <w:gridCol w:w="720"/>
        <w:gridCol w:w="1080"/>
        <w:gridCol w:w="1080"/>
        <w:gridCol w:w="1080"/>
      </w:tblGrid>
      <w:tr w:rsidR="003B0815" w14:paraId="11844365" w14:textId="77777777">
        <w:trPr>
          <w:jc w:val="center"/>
        </w:trPr>
        <w:tc>
          <w:tcPr>
            <w:tcW w:w="9232" w:type="dxa"/>
            <w:gridSpan w:val="9"/>
            <w:tcBorders>
              <w:top w:val="nil"/>
              <w:left w:val="nil"/>
              <w:bottom w:val="single" w:color="auto" w:sz="12" w:space="0"/>
              <w:right w:val="nil"/>
            </w:tcBorders>
            <w:vAlign w:val="center"/>
          </w:tcPr>
          <w:p w:rsidR="003B0815" w:rsidRDefault="003B0815" w14:paraId="25F05F49" w14:textId="77777777">
            <w:pPr>
              <w:pStyle w:val="RegEvalTableHeader"/>
              <w:keepNext/>
            </w:pPr>
            <w:bookmarkStart w:name="_Toc165278391" w:id="311"/>
            <w:bookmarkStart w:name="_Toc174438393" w:id="312"/>
            <w:bookmarkStart w:name="_Toc207109528" w:id="313"/>
            <w:r>
              <w:t>Table 1.6.4.c Travel Agency Data Collection Costs, Overflight Passengers</w:t>
            </w:r>
            <w:bookmarkEnd w:id="311"/>
            <w:bookmarkEnd w:id="312"/>
            <w:bookmarkEnd w:id="313"/>
          </w:p>
        </w:tc>
      </w:tr>
      <w:tr w:rsidR="003B0815" w14:paraId="234D16E4" w14:textId="77777777">
        <w:trPr>
          <w:jc w:val="center"/>
        </w:trPr>
        <w:tc>
          <w:tcPr>
            <w:tcW w:w="679" w:type="dxa"/>
            <w:tcBorders>
              <w:top w:val="single" w:color="auto" w:sz="12" w:space="0"/>
              <w:left w:val="single" w:color="auto" w:sz="12" w:space="0"/>
            </w:tcBorders>
            <w:vAlign w:val="center"/>
          </w:tcPr>
          <w:p w:rsidR="003B0815" w:rsidRDefault="003B0815" w14:paraId="1A1A454C" w14:textId="77777777">
            <w:pPr>
              <w:keepNext/>
              <w:jc w:val="center"/>
              <w:rPr>
                <w:rFonts w:ascii="Arial" w:hAnsi="Arial"/>
                <w:b/>
                <w:sz w:val="20"/>
                <w:szCs w:val="20"/>
              </w:rPr>
            </w:pPr>
            <w:r>
              <w:rPr>
                <w:rFonts w:ascii="Arial" w:hAnsi="Arial" w:cs="Arial"/>
                <w:b/>
                <w:bCs/>
                <w:sz w:val="20"/>
                <w:szCs w:val="20"/>
              </w:rPr>
              <w:t>Fiscal Year</w:t>
            </w:r>
          </w:p>
        </w:tc>
        <w:tc>
          <w:tcPr>
            <w:tcW w:w="1353" w:type="dxa"/>
            <w:tcBorders>
              <w:top w:val="single" w:color="auto" w:sz="12" w:space="0"/>
            </w:tcBorders>
            <w:vAlign w:val="center"/>
          </w:tcPr>
          <w:p w:rsidR="003B0815" w:rsidRDefault="003B0815" w14:paraId="7CE132A6" w14:textId="77777777">
            <w:pPr>
              <w:keepNext/>
              <w:jc w:val="center"/>
              <w:rPr>
                <w:rFonts w:ascii="Arial" w:hAnsi="Arial" w:cs="Arial"/>
                <w:b/>
                <w:bCs/>
                <w:sz w:val="20"/>
                <w:szCs w:val="20"/>
              </w:rPr>
            </w:pPr>
            <w:r>
              <w:rPr>
                <w:rFonts w:ascii="Arial" w:hAnsi="Arial" w:cs="Arial"/>
                <w:b/>
                <w:bCs/>
                <w:sz w:val="20"/>
                <w:szCs w:val="20"/>
              </w:rPr>
              <w:t>Travel Agent Reservations</w:t>
            </w:r>
          </w:p>
          <w:p w:rsidR="003B0815" w:rsidRDefault="003B0815" w14:paraId="6660F36D" w14:textId="77777777">
            <w:pPr>
              <w:keepNext/>
              <w:jc w:val="center"/>
              <w:rPr>
                <w:rFonts w:ascii="Arial" w:hAnsi="Arial"/>
                <w:b/>
                <w:sz w:val="20"/>
                <w:szCs w:val="20"/>
              </w:rPr>
            </w:pPr>
            <w:r>
              <w:rPr>
                <w:rFonts w:ascii="Arial" w:hAnsi="Arial" w:cs="Arial"/>
                <w:b/>
                <w:bCs/>
                <w:sz w:val="20"/>
                <w:szCs w:val="20"/>
              </w:rPr>
              <w:t>(millions)</w:t>
            </w:r>
          </w:p>
        </w:tc>
        <w:tc>
          <w:tcPr>
            <w:tcW w:w="1080" w:type="dxa"/>
            <w:tcBorders>
              <w:top w:val="single" w:color="auto" w:sz="12" w:space="0"/>
            </w:tcBorders>
            <w:vAlign w:val="center"/>
          </w:tcPr>
          <w:p w:rsidR="003B0815" w:rsidRDefault="003B0815" w14:paraId="306796CF" w14:textId="77777777">
            <w:pPr>
              <w:keepNext/>
              <w:jc w:val="center"/>
              <w:rPr>
                <w:rFonts w:ascii="Arial" w:hAnsi="Arial"/>
                <w:b/>
                <w:sz w:val="20"/>
                <w:szCs w:val="20"/>
              </w:rPr>
            </w:pPr>
            <w:r>
              <w:rPr>
                <w:rFonts w:ascii="Arial" w:hAnsi="Arial" w:cs="Arial"/>
                <w:b/>
                <w:bCs/>
                <w:sz w:val="20"/>
                <w:szCs w:val="20"/>
              </w:rPr>
              <w:t>Total Additional Hours, Primary Scenario</w:t>
            </w:r>
          </w:p>
        </w:tc>
        <w:tc>
          <w:tcPr>
            <w:tcW w:w="1080" w:type="dxa"/>
            <w:tcBorders>
              <w:top w:val="single" w:color="auto" w:sz="12" w:space="0"/>
            </w:tcBorders>
            <w:vAlign w:val="center"/>
          </w:tcPr>
          <w:p w:rsidR="003B0815" w:rsidRDefault="003B0815" w14:paraId="1111407E" w14:textId="77777777">
            <w:pPr>
              <w:keepNext/>
              <w:jc w:val="center"/>
              <w:rPr>
                <w:rFonts w:ascii="Arial" w:hAnsi="Arial"/>
                <w:b/>
                <w:sz w:val="20"/>
                <w:szCs w:val="20"/>
              </w:rPr>
            </w:pPr>
            <w:r>
              <w:rPr>
                <w:rFonts w:ascii="Arial" w:hAnsi="Arial" w:cs="Arial"/>
                <w:b/>
                <w:bCs/>
                <w:sz w:val="20"/>
                <w:szCs w:val="20"/>
              </w:rPr>
              <w:t>Total Additional Hours, Low Scenario</w:t>
            </w:r>
          </w:p>
        </w:tc>
        <w:tc>
          <w:tcPr>
            <w:tcW w:w="1080" w:type="dxa"/>
            <w:tcBorders>
              <w:top w:val="single" w:color="auto" w:sz="12" w:space="0"/>
            </w:tcBorders>
            <w:vAlign w:val="center"/>
          </w:tcPr>
          <w:p w:rsidR="003B0815" w:rsidRDefault="003B0815" w14:paraId="5DE3EB94" w14:textId="77777777">
            <w:pPr>
              <w:keepNext/>
              <w:jc w:val="center"/>
              <w:rPr>
                <w:rFonts w:ascii="Arial" w:hAnsi="Arial"/>
                <w:b/>
                <w:sz w:val="20"/>
                <w:szCs w:val="20"/>
              </w:rPr>
            </w:pPr>
            <w:r>
              <w:rPr>
                <w:rFonts w:ascii="Arial" w:hAnsi="Arial" w:cs="Arial"/>
                <w:b/>
                <w:bCs/>
                <w:sz w:val="20"/>
                <w:szCs w:val="20"/>
              </w:rPr>
              <w:t>Total Additional Hours, High Scenario</w:t>
            </w:r>
          </w:p>
        </w:tc>
        <w:tc>
          <w:tcPr>
            <w:tcW w:w="720" w:type="dxa"/>
            <w:tcBorders>
              <w:top w:val="single" w:color="auto" w:sz="12" w:space="0"/>
            </w:tcBorders>
            <w:vAlign w:val="center"/>
          </w:tcPr>
          <w:p w:rsidR="003B0815" w:rsidRDefault="003B0815" w14:paraId="0BD16363" w14:textId="77777777">
            <w:pPr>
              <w:keepNext/>
              <w:jc w:val="center"/>
              <w:rPr>
                <w:rFonts w:ascii="Arial" w:hAnsi="Arial"/>
                <w:b/>
                <w:sz w:val="20"/>
                <w:szCs w:val="20"/>
              </w:rPr>
            </w:pPr>
            <w:r>
              <w:rPr>
                <w:rFonts w:ascii="Arial" w:hAnsi="Arial" w:cs="Arial"/>
                <w:b/>
                <w:bCs/>
                <w:sz w:val="20"/>
                <w:szCs w:val="20"/>
              </w:rPr>
              <w:t>Travel Agent Hourly Wage</w:t>
            </w:r>
          </w:p>
        </w:tc>
        <w:tc>
          <w:tcPr>
            <w:tcW w:w="1080" w:type="dxa"/>
            <w:tcBorders>
              <w:top w:val="single" w:color="auto" w:sz="12" w:space="0"/>
            </w:tcBorders>
            <w:vAlign w:val="center"/>
          </w:tcPr>
          <w:p w:rsidR="003B0815" w:rsidRDefault="003B0815" w14:paraId="7ADE7F8A" w14:textId="77777777">
            <w:pPr>
              <w:keepNext/>
              <w:jc w:val="center"/>
              <w:rPr>
                <w:rFonts w:ascii="Arial" w:hAnsi="Arial"/>
                <w:b/>
                <w:sz w:val="20"/>
                <w:szCs w:val="20"/>
              </w:rPr>
            </w:pPr>
            <w:r>
              <w:rPr>
                <w:rFonts w:ascii="Arial" w:hAnsi="Arial" w:cs="Arial"/>
                <w:b/>
                <w:bCs/>
                <w:sz w:val="20"/>
                <w:szCs w:val="20"/>
              </w:rPr>
              <w:t>Total Cost, Primary Scenario (millions)</w:t>
            </w:r>
          </w:p>
        </w:tc>
        <w:tc>
          <w:tcPr>
            <w:tcW w:w="1080" w:type="dxa"/>
            <w:tcBorders>
              <w:top w:val="single" w:color="auto" w:sz="12" w:space="0"/>
            </w:tcBorders>
            <w:vAlign w:val="center"/>
          </w:tcPr>
          <w:p w:rsidR="003B0815" w:rsidRDefault="003B0815" w14:paraId="44CFC246" w14:textId="77777777">
            <w:pPr>
              <w:keepNext/>
              <w:jc w:val="center"/>
              <w:rPr>
                <w:rFonts w:ascii="Arial" w:hAnsi="Arial" w:cs="Arial"/>
                <w:b/>
                <w:bCs/>
                <w:sz w:val="20"/>
                <w:szCs w:val="20"/>
              </w:rPr>
            </w:pPr>
            <w:r>
              <w:rPr>
                <w:rFonts w:ascii="Arial" w:hAnsi="Arial" w:cs="Arial"/>
                <w:b/>
                <w:bCs/>
                <w:sz w:val="20"/>
                <w:szCs w:val="20"/>
              </w:rPr>
              <w:t xml:space="preserve">Total Cost, Low </w:t>
            </w:r>
          </w:p>
          <w:p w:rsidR="003B0815" w:rsidRDefault="003B0815" w14:paraId="715CDC0E" w14:textId="77777777">
            <w:pPr>
              <w:keepNext/>
              <w:jc w:val="center"/>
              <w:rPr>
                <w:rFonts w:ascii="Arial" w:hAnsi="Arial"/>
                <w:b/>
                <w:sz w:val="20"/>
                <w:szCs w:val="20"/>
              </w:rPr>
            </w:pPr>
            <w:r>
              <w:rPr>
                <w:rFonts w:ascii="Arial" w:hAnsi="Arial" w:cs="Arial"/>
                <w:b/>
                <w:bCs/>
                <w:sz w:val="20"/>
                <w:szCs w:val="20"/>
              </w:rPr>
              <w:t>Scenario (millions)</w:t>
            </w:r>
          </w:p>
        </w:tc>
        <w:tc>
          <w:tcPr>
            <w:tcW w:w="1080" w:type="dxa"/>
            <w:tcBorders>
              <w:top w:val="single" w:color="auto" w:sz="12" w:space="0"/>
              <w:bottom w:val="single" w:color="auto" w:sz="4" w:space="0"/>
              <w:right w:val="single" w:color="auto" w:sz="12" w:space="0"/>
            </w:tcBorders>
            <w:vAlign w:val="center"/>
          </w:tcPr>
          <w:p w:rsidR="003B0815" w:rsidRDefault="003B0815" w14:paraId="1273031E" w14:textId="77777777">
            <w:pPr>
              <w:keepNext/>
              <w:jc w:val="center"/>
              <w:rPr>
                <w:rFonts w:ascii="Arial" w:hAnsi="Arial" w:cs="Arial"/>
                <w:b/>
                <w:bCs/>
                <w:sz w:val="20"/>
                <w:szCs w:val="20"/>
              </w:rPr>
            </w:pPr>
            <w:r>
              <w:rPr>
                <w:rFonts w:ascii="Arial" w:hAnsi="Arial" w:cs="Arial"/>
                <w:b/>
                <w:bCs/>
                <w:sz w:val="20"/>
                <w:szCs w:val="20"/>
              </w:rPr>
              <w:t xml:space="preserve">Total Cost, High </w:t>
            </w:r>
          </w:p>
          <w:p w:rsidR="003B0815" w:rsidRDefault="003B0815" w14:paraId="614B5D74" w14:textId="77777777">
            <w:pPr>
              <w:keepNext/>
              <w:jc w:val="center"/>
              <w:rPr>
                <w:rFonts w:ascii="Arial" w:hAnsi="Arial"/>
                <w:b/>
                <w:sz w:val="20"/>
                <w:szCs w:val="20"/>
              </w:rPr>
            </w:pPr>
            <w:r>
              <w:rPr>
                <w:rFonts w:ascii="Arial" w:hAnsi="Arial" w:cs="Arial"/>
                <w:b/>
                <w:bCs/>
                <w:sz w:val="20"/>
                <w:szCs w:val="20"/>
              </w:rPr>
              <w:t>Scenario (millions)</w:t>
            </w:r>
          </w:p>
        </w:tc>
      </w:tr>
      <w:tr w:rsidR="003B0815" w14:paraId="69016F69" w14:textId="77777777">
        <w:trPr>
          <w:jc w:val="center"/>
        </w:trPr>
        <w:tc>
          <w:tcPr>
            <w:tcW w:w="679" w:type="dxa"/>
            <w:tcBorders>
              <w:left w:val="single" w:color="auto" w:sz="12" w:space="0"/>
            </w:tcBorders>
            <w:vAlign w:val="center"/>
          </w:tcPr>
          <w:p w:rsidR="003B0815" w:rsidRDefault="003B0815" w14:paraId="5F73E3F2" w14:textId="77777777">
            <w:pPr>
              <w:keepNext/>
              <w:jc w:val="center"/>
              <w:rPr>
                <w:rFonts w:ascii="Arial" w:hAnsi="Arial"/>
                <w:sz w:val="20"/>
                <w:szCs w:val="20"/>
              </w:rPr>
            </w:pPr>
            <w:r>
              <w:rPr>
                <w:rFonts w:ascii="Arial" w:hAnsi="Arial" w:cs="Arial"/>
                <w:b/>
                <w:bCs/>
                <w:sz w:val="20"/>
                <w:szCs w:val="20"/>
              </w:rPr>
              <w:t> </w:t>
            </w:r>
          </w:p>
        </w:tc>
        <w:tc>
          <w:tcPr>
            <w:tcW w:w="1353" w:type="dxa"/>
            <w:vAlign w:val="center"/>
          </w:tcPr>
          <w:p w:rsidR="003B0815" w:rsidRDefault="003B0815" w14:paraId="7BFCA0D0" w14:textId="77777777">
            <w:pPr>
              <w:keepNext/>
              <w:jc w:val="center"/>
              <w:rPr>
                <w:rFonts w:ascii="Arial" w:hAnsi="Arial"/>
                <w:sz w:val="20"/>
                <w:szCs w:val="20"/>
              </w:rPr>
            </w:pPr>
            <w:r>
              <w:rPr>
                <w:rFonts w:ascii="Arial" w:hAnsi="Arial" w:cs="Arial"/>
                <w:b/>
                <w:bCs/>
                <w:sz w:val="20"/>
                <w:szCs w:val="20"/>
              </w:rPr>
              <w:t>(A)</w:t>
            </w:r>
          </w:p>
        </w:tc>
        <w:tc>
          <w:tcPr>
            <w:tcW w:w="1080" w:type="dxa"/>
            <w:vAlign w:val="center"/>
          </w:tcPr>
          <w:p w:rsidR="003B0815" w:rsidRDefault="003B0815" w14:paraId="25B24CF7"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443F6DE1" w14:textId="77777777">
            <w:pPr>
              <w:keepNext/>
              <w:jc w:val="center"/>
              <w:rPr>
                <w:rFonts w:ascii="Arial" w:hAnsi="Arial"/>
                <w:sz w:val="20"/>
                <w:szCs w:val="20"/>
              </w:rPr>
            </w:pPr>
            <w:r>
              <w:rPr>
                <w:rFonts w:ascii="Arial" w:hAnsi="Arial" w:cs="Arial"/>
                <w:b/>
                <w:bCs/>
                <w:sz w:val="20"/>
                <w:szCs w:val="20"/>
              </w:rPr>
              <w:t>(C)</w:t>
            </w:r>
          </w:p>
        </w:tc>
        <w:tc>
          <w:tcPr>
            <w:tcW w:w="1080" w:type="dxa"/>
            <w:vAlign w:val="center"/>
          </w:tcPr>
          <w:p w:rsidR="003B0815" w:rsidRDefault="003B0815" w14:paraId="50673BE3" w14:textId="77777777">
            <w:pPr>
              <w:keepNext/>
              <w:jc w:val="center"/>
              <w:rPr>
                <w:rFonts w:ascii="Arial" w:hAnsi="Arial"/>
                <w:sz w:val="20"/>
                <w:szCs w:val="20"/>
              </w:rPr>
            </w:pPr>
            <w:r>
              <w:rPr>
                <w:rFonts w:ascii="Arial" w:hAnsi="Arial" w:cs="Arial"/>
                <w:b/>
                <w:bCs/>
                <w:sz w:val="20"/>
                <w:szCs w:val="20"/>
              </w:rPr>
              <w:t>(D)</w:t>
            </w:r>
          </w:p>
        </w:tc>
        <w:tc>
          <w:tcPr>
            <w:tcW w:w="720" w:type="dxa"/>
            <w:vAlign w:val="center"/>
          </w:tcPr>
          <w:p w:rsidR="003B0815" w:rsidRDefault="003B0815" w14:paraId="23714391" w14:textId="77777777">
            <w:pPr>
              <w:keepNext/>
              <w:jc w:val="center"/>
              <w:rPr>
                <w:rFonts w:ascii="Arial" w:hAnsi="Arial"/>
                <w:sz w:val="20"/>
                <w:szCs w:val="20"/>
              </w:rPr>
            </w:pPr>
            <w:r>
              <w:rPr>
                <w:rFonts w:ascii="Arial" w:hAnsi="Arial" w:cs="Arial"/>
                <w:b/>
                <w:bCs/>
                <w:sz w:val="20"/>
                <w:szCs w:val="20"/>
              </w:rPr>
              <w:t>(E)</w:t>
            </w:r>
          </w:p>
        </w:tc>
        <w:tc>
          <w:tcPr>
            <w:tcW w:w="1080" w:type="dxa"/>
            <w:shd w:val="clear" w:color="auto" w:fill="CCCCCC"/>
            <w:vAlign w:val="center"/>
          </w:tcPr>
          <w:p w:rsidR="003B0815" w:rsidRDefault="003B0815" w14:paraId="4B39CBD2" w14:textId="77777777">
            <w:pPr>
              <w:keepNext/>
              <w:jc w:val="center"/>
              <w:rPr>
                <w:rFonts w:ascii="Arial" w:hAnsi="Arial"/>
                <w:b/>
                <w:sz w:val="20"/>
                <w:szCs w:val="20"/>
              </w:rPr>
            </w:pPr>
            <w:r>
              <w:rPr>
                <w:rFonts w:ascii="Arial" w:hAnsi="Arial" w:cs="Arial"/>
                <w:b/>
                <w:bCs/>
                <w:sz w:val="20"/>
                <w:szCs w:val="20"/>
              </w:rPr>
              <w:t>(B x E)</w:t>
            </w:r>
          </w:p>
        </w:tc>
        <w:tc>
          <w:tcPr>
            <w:tcW w:w="1080" w:type="dxa"/>
            <w:shd w:val="clear" w:color="auto" w:fill="CCCCCC"/>
            <w:vAlign w:val="center"/>
          </w:tcPr>
          <w:p w:rsidR="003B0815" w:rsidRDefault="003B0815" w14:paraId="034D0F55" w14:textId="77777777">
            <w:pPr>
              <w:keepNext/>
              <w:jc w:val="center"/>
              <w:rPr>
                <w:rFonts w:ascii="Arial" w:hAnsi="Arial"/>
                <w:b/>
                <w:sz w:val="20"/>
                <w:szCs w:val="20"/>
              </w:rPr>
            </w:pPr>
            <w:r>
              <w:rPr>
                <w:rFonts w:ascii="Arial" w:hAnsi="Arial" w:cs="Arial"/>
                <w:b/>
                <w:bCs/>
                <w:sz w:val="20"/>
                <w:szCs w:val="20"/>
              </w:rPr>
              <w:t>(C x E)</w:t>
            </w:r>
          </w:p>
        </w:tc>
        <w:tc>
          <w:tcPr>
            <w:tcW w:w="1080" w:type="dxa"/>
            <w:tcBorders>
              <w:right w:val="single" w:color="auto" w:sz="12" w:space="0"/>
            </w:tcBorders>
            <w:shd w:val="clear" w:color="auto" w:fill="CCCCCC"/>
            <w:vAlign w:val="center"/>
          </w:tcPr>
          <w:p w:rsidR="003B0815" w:rsidRDefault="003B0815" w14:paraId="3E51F3C4" w14:textId="77777777">
            <w:pPr>
              <w:keepNext/>
              <w:jc w:val="center"/>
              <w:rPr>
                <w:rFonts w:ascii="Arial" w:hAnsi="Arial"/>
                <w:b/>
                <w:sz w:val="20"/>
                <w:szCs w:val="20"/>
              </w:rPr>
            </w:pPr>
            <w:r>
              <w:rPr>
                <w:rFonts w:ascii="Arial" w:hAnsi="Arial" w:cs="Arial"/>
                <w:b/>
                <w:bCs/>
                <w:sz w:val="20"/>
                <w:szCs w:val="20"/>
              </w:rPr>
              <w:t>(D x E)</w:t>
            </w:r>
          </w:p>
        </w:tc>
      </w:tr>
      <w:tr w:rsidR="003B0815" w14:paraId="674E2698" w14:textId="77777777">
        <w:trPr>
          <w:jc w:val="center"/>
        </w:trPr>
        <w:tc>
          <w:tcPr>
            <w:tcW w:w="679" w:type="dxa"/>
            <w:tcBorders>
              <w:left w:val="single" w:color="auto" w:sz="12" w:space="0"/>
            </w:tcBorders>
          </w:tcPr>
          <w:p w:rsidR="003B0815" w:rsidRDefault="003B0815" w14:paraId="771BEB61" w14:textId="77777777">
            <w:pPr>
              <w:keepNext/>
              <w:jc w:val="center"/>
              <w:rPr>
                <w:rFonts w:ascii="Arial" w:hAnsi="Arial"/>
                <w:sz w:val="20"/>
                <w:szCs w:val="20"/>
              </w:rPr>
            </w:pPr>
            <w:r>
              <w:t>2008</w:t>
            </w:r>
          </w:p>
        </w:tc>
        <w:tc>
          <w:tcPr>
            <w:tcW w:w="1353" w:type="dxa"/>
            <w:vAlign w:val="bottom"/>
          </w:tcPr>
          <w:p w:rsidR="003B0815" w:rsidRDefault="003B0815" w14:paraId="0521D916" w14:textId="77777777">
            <w:pPr>
              <w:keepNext/>
              <w:jc w:val="center"/>
              <w:rPr>
                <w:rFonts w:ascii="Arial" w:hAnsi="Arial"/>
                <w:sz w:val="20"/>
                <w:szCs w:val="20"/>
              </w:rPr>
            </w:pPr>
            <w:r>
              <w:rPr>
                <w:rFonts w:ascii="Arial" w:hAnsi="Arial" w:cs="Arial"/>
                <w:sz w:val="20"/>
                <w:szCs w:val="20"/>
              </w:rPr>
              <w:t>12.3</w:t>
            </w:r>
          </w:p>
        </w:tc>
        <w:tc>
          <w:tcPr>
            <w:tcW w:w="1080" w:type="dxa"/>
            <w:vAlign w:val="bottom"/>
          </w:tcPr>
          <w:p w:rsidR="003B0815" w:rsidRDefault="003B0815" w14:paraId="7E91C361" w14:textId="77777777">
            <w:pPr>
              <w:keepNext/>
              <w:jc w:val="center"/>
              <w:rPr>
                <w:rFonts w:ascii="Arial" w:hAnsi="Arial"/>
                <w:sz w:val="20"/>
                <w:szCs w:val="20"/>
              </w:rPr>
            </w:pPr>
            <w:r>
              <w:rPr>
                <w:rFonts w:ascii="Arial" w:hAnsi="Arial" w:cs="Arial"/>
                <w:sz w:val="20"/>
                <w:szCs w:val="20"/>
              </w:rPr>
              <w:t>85,000</w:t>
            </w:r>
          </w:p>
        </w:tc>
        <w:tc>
          <w:tcPr>
            <w:tcW w:w="1080" w:type="dxa"/>
            <w:vAlign w:val="bottom"/>
          </w:tcPr>
          <w:p w:rsidR="003B0815" w:rsidRDefault="003B0815" w14:paraId="39016EC1" w14:textId="77777777">
            <w:pPr>
              <w:keepNext/>
              <w:jc w:val="center"/>
              <w:rPr>
                <w:rFonts w:ascii="Arial" w:hAnsi="Arial"/>
                <w:sz w:val="20"/>
                <w:szCs w:val="20"/>
              </w:rPr>
            </w:pPr>
            <w:r>
              <w:rPr>
                <w:rFonts w:ascii="Arial" w:hAnsi="Arial" w:cs="Arial"/>
                <w:sz w:val="20"/>
                <w:szCs w:val="20"/>
              </w:rPr>
              <w:t>68,000</w:t>
            </w:r>
          </w:p>
        </w:tc>
        <w:tc>
          <w:tcPr>
            <w:tcW w:w="1080" w:type="dxa"/>
            <w:vAlign w:val="bottom"/>
          </w:tcPr>
          <w:p w:rsidR="003B0815" w:rsidRDefault="003B0815" w14:paraId="0702A82D" w14:textId="77777777">
            <w:pPr>
              <w:keepNext/>
              <w:jc w:val="center"/>
              <w:rPr>
                <w:rFonts w:ascii="Arial" w:hAnsi="Arial"/>
                <w:sz w:val="20"/>
                <w:szCs w:val="20"/>
              </w:rPr>
            </w:pPr>
            <w:r>
              <w:rPr>
                <w:rFonts w:ascii="Arial" w:hAnsi="Arial" w:cs="Arial"/>
                <w:sz w:val="20"/>
                <w:szCs w:val="20"/>
              </w:rPr>
              <w:t>103,000</w:t>
            </w:r>
          </w:p>
        </w:tc>
        <w:tc>
          <w:tcPr>
            <w:tcW w:w="720" w:type="dxa"/>
            <w:vAlign w:val="bottom"/>
          </w:tcPr>
          <w:p w:rsidR="003B0815" w:rsidRDefault="003B0815" w14:paraId="0BFA7375" w14:textId="77777777">
            <w:pPr>
              <w:keepNext/>
              <w:jc w:val="center"/>
              <w:rPr>
                <w:rFonts w:ascii="Arial" w:hAnsi="Arial"/>
                <w:sz w:val="20"/>
                <w:szCs w:val="20"/>
              </w:rPr>
            </w:pPr>
            <w:r>
              <w:rPr>
                <w:rFonts w:ascii="Arial" w:hAnsi="Arial" w:cs="Arial"/>
                <w:sz w:val="20"/>
                <w:szCs w:val="20"/>
              </w:rPr>
              <w:t xml:space="preserve">$20.69 </w:t>
            </w:r>
          </w:p>
        </w:tc>
        <w:tc>
          <w:tcPr>
            <w:tcW w:w="1080" w:type="dxa"/>
            <w:shd w:val="clear" w:color="auto" w:fill="CCCCCC"/>
            <w:vAlign w:val="bottom"/>
          </w:tcPr>
          <w:p w:rsidR="003B0815" w:rsidRDefault="003B0815" w14:paraId="222C1052" w14:textId="77777777">
            <w:pPr>
              <w:keepNext/>
              <w:jc w:val="right"/>
              <w:rPr>
                <w:rFonts w:ascii="Arial" w:hAnsi="Arial"/>
                <w:b/>
                <w:sz w:val="20"/>
                <w:szCs w:val="20"/>
              </w:rPr>
            </w:pPr>
            <w:r>
              <w:rPr>
                <w:rFonts w:ascii="Arial" w:hAnsi="Arial" w:cs="Arial"/>
                <w:b/>
                <w:bCs/>
                <w:sz w:val="20"/>
                <w:szCs w:val="20"/>
              </w:rPr>
              <w:t>$1.8</w:t>
            </w:r>
          </w:p>
        </w:tc>
        <w:tc>
          <w:tcPr>
            <w:tcW w:w="1080" w:type="dxa"/>
            <w:shd w:val="clear" w:color="auto" w:fill="CCCCCC"/>
            <w:vAlign w:val="bottom"/>
          </w:tcPr>
          <w:p w:rsidR="003B0815" w:rsidRDefault="003B0815" w14:paraId="0F7AD1D7" w14:textId="77777777">
            <w:pPr>
              <w:keepNext/>
              <w:jc w:val="right"/>
              <w:rPr>
                <w:rFonts w:ascii="Arial" w:hAnsi="Arial"/>
                <w:b/>
                <w:sz w:val="20"/>
                <w:szCs w:val="20"/>
              </w:rPr>
            </w:pPr>
            <w:r>
              <w:rPr>
                <w:rFonts w:ascii="Arial" w:hAnsi="Arial" w:cs="Arial"/>
                <w:b/>
                <w:bCs/>
                <w:sz w:val="20"/>
                <w:szCs w:val="20"/>
              </w:rPr>
              <w:t>$1.4</w:t>
            </w:r>
          </w:p>
        </w:tc>
        <w:tc>
          <w:tcPr>
            <w:tcW w:w="1080" w:type="dxa"/>
            <w:tcBorders>
              <w:right w:val="single" w:color="auto" w:sz="12" w:space="0"/>
            </w:tcBorders>
            <w:shd w:val="clear" w:color="auto" w:fill="CCCCCC"/>
            <w:vAlign w:val="bottom"/>
          </w:tcPr>
          <w:p w:rsidR="003B0815" w:rsidRDefault="003B0815" w14:paraId="75D0D37C" w14:textId="77777777">
            <w:pPr>
              <w:keepNext/>
              <w:jc w:val="right"/>
              <w:rPr>
                <w:rFonts w:ascii="Arial" w:hAnsi="Arial"/>
                <w:b/>
                <w:sz w:val="20"/>
                <w:szCs w:val="20"/>
              </w:rPr>
            </w:pPr>
            <w:r>
              <w:rPr>
                <w:rFonts w:ascii="Arial" w:hAnsi="Arial" w:cs="Arial"/>
                <w:b/>
                <w:bCs/>
                <w:sz w:val="20"/>
                <w:szCs w:val="20"/>
              </w:rPr>
              <w:t>$2.1</w:t>
            </w:r>
          </w:p>
        </w:tc>
      </w:tr>
      <w:tr w:rsidR="003B0815" w14:paraId="0A0BEFA0" w14:textId="77777777">
        <w:trPr>
          <w:jc w:val="center"/>
        </w:trPr>
        <w:tc>
          <w:tcPr>
            <w:tcW w:w="679" w:type="dxa"/>
            <w:tcBorders>
              <w:left w:val="single" w:color="auto" w:sz="12" w:space="0"/>
            </w:tcBorders>
          </w:tcPr>
          <w:p w:rsidR="003B0815" w:rsidRDefault="003B0815" w14:paraId="3C2B7A73" w14:textId="77777777">
            <w:pPr>
              <w:keepNext/>
              <w:jc w:val="center"/>
              <w:rPr>
                <w:rFonts w:ascii="Arial" w:hAnsi="Arial"/>
                <w:sz w:val="20"/>
                <w:szCs w:val="20"/>
              </w:rPr>
            </w:pPr>
            <w:r>
              <w:t>2009</w:t>
            </w:r>
          </w:p>
        </w:tc>
        <w:tc>
          <w:tcPr>
            <w:tcW w:w="1353" w:type="dxa"/>
            <w:vAlign w:val="bottom"/>
          </w:tcPr>
          <w:p w:rsidR="003B0815" w:rsidRDefault="003B0815" w14:paraId="6B055076" w14:textId="77777777">
            <w:pPr>
              <w:keepNext/>
              <w:jc w:val="center"/>
              <w:rPr>
                <w:rFonts w:ascii="Arial" w:hAnsi="Arial"/>
                <w:sz w:val="20"/>
                <w:szCs w:val="20"/>
              </w:rPr>
            </w:pPr>
            <w:r>
              <w:rPr>
                <w:rFonts w:ascii="Arial" w:hAnsi="Arial" w:cs="Arial"/>
                <w:sz w:val="20"/>
                <w:szCs w:val="20"/>
              </w:rPr>
              <w:t>12.9</w:t>
            </w:r>
          </w:p>
        </w:tc>
        <w:tc>
          <w:tcPr>
            <w:tcW w:w="1080" w:type="dxa"/>
            <w:vAlign w:val="bottom"/>
          </w:tcPr>
          <w:p w:rsidR="003B0815" w:rsidRDefault="003B0815" w14:paraId="45ECB208" w14:textId="77777777">
            <w:pPr>
              <w:keepNext/>
              <w:jc w:val="center"/>
              <w:rPr>
                <w:rFonts w:ascii="Arial" w:hAnsi="Arial"/>
                <w:sz w:val="20"/>
                <w:szCs w:val="20"/>
              </w:rPr>
            </w:pPr>
            <w:r>
              <w:rPr>
                <w:rFonts w:ascii="Arial" w:hAnsi="Arial" w:cs="Arial"/>
                <w:sz w:val="20"/>
                <w:szCs w:val="20"/>
              </w:rPr>
              <w:t>90,000</w:t>
            </w:r>
          </w:p>
        </w:tc>
        <w:tc>
          <w:tcPr>
            <w:tcW w:w="1080" w:type="dxa"/>
            <w:vAlign w:val="bottom"/>
          </w:tcPr>
          <w:p w:rsidR="003B0815" w:rsidRDefault="003B0815" w14:paraId="2476BDCA" w14:textId="77777777">
            <w:pPr>
              <w:keepNext/>
              <w:jc w:val="center"/>
              <w:rPr>
                <w:rFonts w:ascii="Arial" w:hAnsi="Arial"/>
                <w:sz w:val="20"/>
                <w:szCs w:val="20"/>
              </w:rPr>
            </w:pPr>
            <w:r>
              <w:rPr>
                <w:rFonts w:ascii="Arial" w:hAnsi="Arial" w:cs="Arial"/>
                <w:sz w:val="20"/>
                <w:szCs w:val="20"/>
              </w:rPr>
              <w:t>72,000</w:t>
            </w:r>
          </w:p>
        </w:tc>
        <w:tc>
          <w:tcPr>
            <w:tcW w:w="1080" w:type="dxa"/>
            <w:vAlign w:val="bottom"/>
          </w:tcPr>
          <w:p w:rsidR="003B0815" w:rsidRDefault="003B0815" w14:paraId="7A5BC2E6" w14:textId="77777777">
            <w:pPr>
              <w:keepNext/>
              <w:jc w:val="center"/>
              <w:rPr>
                <w:rFonts w:ascii="Arial" w:hAnsi="Arial"/>
                <w:sz w:val="20"/>
                <w:szCs w:val="20"/>
              </w:rPr>
            </w:pPr>
            <w:r>
              <w:rPr>
                <w:rFonts w:ascii="Arial" w:hAnsi="Arial" w:cs="Arial"/>
                <w:sz w:val="20"/>
                <w:szCs w:val="20"/>
              </w:rPr>
              <w:t>108,000</w:t>
            </w:r>
          </w:p>
        </w:tc>
        <w:tc>
          <w:tcPr>
            <w:tcW w:w="720" w:type="dxa"/>
            <w:vAlign w:val="bottom"/>
          </w:tcPr>
          <w:p w:rsidR="003B0815" w:rsidRDefault="003B0815" w14:paraId="2D50ED90"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14B67878" w14:textId="77777777">
            <w:pPr>
              <w:keepNext/>
              <w:jc w:val="right"/>
              <w:rPr>
                <w:rFonts w:ascii="Arial" w:hAnsi="Arial"/>
                <w:b/>
                <w:sz w:val="20"/>
                <w:szCs w:val="20"/>
              </w:rPr>
            </w:pPr>
            <w:r>
              <w:rPr>
                <w:rFonts w:ascii="Arial" w:hAnsi="Arial" w:cs="Arial"/>
                <w:b/>
                <w:bCs/>
                <w:sz w:val="20"/>
                <w:szCs w:val="20"/>
              </w:rPr>
              <w:t>1.9</w:t>
            </w:r>
          </w:p>
        </w:tc>
        <w:tc>
          <w:tcPr>
            <w:tcW w:w="1080" w:type="dxa"/>
            <w:shd w:val="clear" w:color="auto" w:fill="CCCCCC"/>
            <w:vAlign w:val="bottom"/>
          </w:tcPr>
          <w:p w:rsidR="003B0815" w:rsidRDefault="003B0815" w14:paraId="37384E30" w14:textId="77777777">
            <w:pPr>
              <w:keepNext/>
              <w:jc w:val="right"/>
              <w:rPr>
                <w:rFonts w:ascii="Arial" w:hAnsi="Arial"/>
                <w:b/>
                <w:sz w:val="20"/>
                <w:szCs w:val="20"/>
              </w:rPr>
            </w:pPr>
            <w:r>
              <w:rPr>
                <w:rFonts w:ascii="Arial" w:hAnsi="Arial" w:cs="Arial"/>
                <w:b/>
                <w:bCs/>
                <w:sz w:val="20"/>
                <w:szCs w:val="20"/>
              </w:rPr>
              <w:t>1.5</w:t>
            </w:r>
          </w:p>
        </w:tc>
        <w:tc>
          <w:tcPr>
            <w:tcW w:w="1080" w:type="dxa"/>
            <w:tcBorders>
              <w:right w:val="single" w:color="auto" w:sz="12" w:space="0"/>
            </w:tcBorders>
            <w:shd w:val="clear" w:color="auto" w:fill="CCCCCC"/>
            <w:vAlign w:val="bottom"/>
          </w:tcPr>
          <w:p w:rsidR="003B0815" w:rsidRDefault="003B0815" w14:paraId="061C62EE" w14:textId="77777777">
            <w:pPr>
              <w:keepNext/>
              <w:jc w:val="right"/>
              <w:rPr>
                <w:rFonts w:ascii="Arial" w:hAnsi="Arial"/>
                <w:b/>
                <w:sz w:val="20"/>
                <w:szCs w:val="20"/>
              </w:rPr>
            </w:pPr>
            <w:r>
              <w:rPr>
                <w:rFonts w:ascii="Arial" w:hAnsi="Arial" w:cs="Arial"/>
                <w:b/>
                <w:bCs/>
                <w:sz w:val="20"/>
                <w:szCs w:val="20"/>
              </w:rPr>
              <w:t>2.2</w:t>
            </w:r>
          </w:p>
        </w:tc>
      </w:tr>
      <w:tr w:rsidR="003B0815" w14:paraId="1C5DDBEB" w14:textId="77777777">
        <w:trPr>
          <w:jc w:val="center"/>
        </w:trPr>
        <w:tc>
          <w:tcPr>
            <w:tcW w:w="679" w:type="dxa"/>
            <w:tcBorders>
              <w:left w:val="single" w:color="auto" w:sz="12" w:space="0"/>
            </w:tcBorders>
          </w:tcPr>
          <w:p w:rsidR="003B0815" w:rsidRDefault="003B0815" w14:paraId="06F47238" w14:textId="77777777">
            <w:pPr>
              <w:keepNext/>
              <w:jc w:val="center"/>
              <w:rPr>
                <w:rFonts w:ascii="Arial" w:hAnsi="Arial"/>
                <w:sz w:val="20"/>
                <w:szCs w:val="20"/>
              </w:rPr>
            </w:pPr>
            <w:r>
              <w:t>2010</w:t>
            </w:r>
          </w:p>
        </w:tc>
        <w:tc>
          <w:tcPr>
            <w:tcW w:w="1353" w:type="dxa"/>
            <w:vAlign w:val="bottom"/>
          </w:tcPr>
          <w:p w:rsidR="003B0815" w:rsidRDefault="003B0815" w14:paraId="6ACE7E72" w14:textId="77777777">
            <w:pPr>
              <w:keepNext/>
              <w:jc w:val="center"/>
              <w:rPr>
                <w:rFonts w:ascii="Arial" w:hAnsi="Arial"/>
                <w:sz w:val="20"/>
                <w:szCs w:val="20"/>
              </w:rPr>
            </w:pPr>
            <w:r>
              <w:rPr>
                <w:rFonts w:ascii="Arial" w:hAnsi="Arial" w:cs="Arial"/>
                <w:sz w:val="20"/>
                <w:szCs w:val="20"/>
              </w:rPr>
              <w:t>13.6</w:t>
            </w:r>
          </w:p>
        </w:tc>
        <w:tc>
          <w:tcPr>
            <w:tcW w:w="1080" w:type="dxa"/>
            <w:vAlign w:val="bottom"/>
          </w:tcPr>
          <w:p w:rsidR="003B0815" w:rsidRDefault="003B0815" w14:paraId="0ED5CCC9" w14:textId="77777777">
            <w:pPr>
              <w:keepNext/>
              <w:jc w:val="center"/>
              <w:rPr>
                <w:rFonts w:ascii="Arial" w:hAnsi="Arial"/>
                <w:sz w:val="20"/>
                <w:szCs w:val="20"/>
              </w:rPr>
            </w:pPr>
            <w:r>
              <w:rPr>
                <w:rFonts w:ascii="Arial" w:hAnsi="Arial" w:cs="Arial"/>
                <w:sz w:val="20"/>
                <w:szCs w:val="20"/>
              </w:rPr>
              <w:t>94,000</w:t>
            </w:r>
          </w:p>
        </w:tc>
        <w:tc>
          <w:tcPr>
            <w:tcW w:w="1080" w:type="dxa"/>
            <w:vAlign w:val="bottom"/>
          </w:tcPr>
          <w:p w:rsidR="003B0815" w:rsidRDefault="003B0815" w14:paraId="3B1DE7C1" w14:textId="77777777">
            <w:pPr>
              <w:keepNext/>
              <w:jc w:val="center"/>
              <w:rPr>
                <w:rFonts w:ascii="Arial" w:hAnsi="Arial"/>
                <w:sz w:val="20"/>
                <w:szCs w:val="20"/>
              </w:rPr>
            </w:pPr>
            <w:r>
              <w:rPr>
                <w:rFonts w:ascii="Arial" w:hAnsi="Arial" w:cs="Arial"/>
                <w:sz w:val="20"/>
                <w:szCs w:val="20"/>
              </w:rPr>
              <w:t>76,000</w:t>
            </w:r>
          </w:p>
        </w:tc>
        <w:tc>
          <w:tcPr>
            <w:tcW w:w="1080" w:type="dxa"/>
            <w:vAlign w:val="bottom"/>
          </w:tcPr>
          <w:p w:rsidR="003B0815" w:rsidRDefault="003B0815" w14:paraId="05509B74" w14:textId="77777777">
            <w:pPr>
              <w:keepNext/>
              <w:jc w:val="center"/>
              <w:rPr>
                <w:rFonts w:ascii="Arial" w:hAnsi="Arial"/>
                <w:sz w:val="20"/>
                <w:szCs w:val="20"/>
              </w:rPr>
            </w:pPr>
            <w:r>
              <w:rPr>
                <w:rFonts w:ascii="Arial" w:hAnsi="Arial" w:cs="Arial"/>
                <w:sz w:val="20"/>
                <w:szCs w:val="20"/>
              </w:rPr>
              <w:t>113,000</w:t>
            </w:r>
          </w:p>
        </w:tc>
        <w:tc>
          <w:tcPr>
            <w:tcW w:w="720" w:type="dxa"/>
            <w:vAlign w:val="bottom"/>
          </w:tcPr>
          <w:p w:rsidR="003B0815" w:rsidRDefault="003B0815" w14:paraId="0068576F"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3DEEE9D5" w14:textId="77777777">
            <w:pPr>
              <w:keepNext/>
              <w:jc w:val="right"/>
              <w:rPr>
                <w:rFonts w:ascii="Arial" w:hAnsi="Arial"/>
                <w:b/>
                <w:sz w:val="20"/>
                <w:szCs w:val="20"/>
              </w:rPr>
            </w:pPr>
            <w:r>
              <w:rPr>
                <w:rFonts w:ascii="Arial" w:hAnsi="Arial" w:cs="Arial"/>
                <w:b/>
                <w:bCs/>
                <w:sz w:val="20"/>
                <w:szCs w:val="20"/>
              </w:rPr>
              <w:t>1.9</w:t>
            </w:r>
          </w:p>
        </w:tc>
        <w:tc>
          <w:tcPr>
            <w:tcW w:w="1080" w:type="dxa"/>
            <w:shd w:val="clear" w:color="auto" w:fill="CCCCCC"/>
            <w:vAlign w:val="bottom"/>
          </w:tcPr>
          <w:p w:rsidR="003B0815" w:rsidRDefault="003B0815" w14:paraId="118D662D" w14:textId="77777777">
            <w:pPr>
              <w:keepNext/>
              <w:jc w:val="right"/>
              <w:rPr>
                <w:rFonts w:ascii="Arial" w:hAnsi="Arial"/>
                <w:b/>
                <w:sz w:val="20"/>
                <w:szCs w:val="20"/>
              </w:rPr>
            </w:pPr>
            <w:r>
              <w:rPr>
                <w:rFonts w:ascii="Arial" w:hAnsi="Arial" w:cs="Arial"/>
                <w:b/>
                <w:bCs/>
                <w:sz w:val="20"/>
                <w:szCs w:val="20"/>
              </w:rPr>
              <w:t>1.6</w:t>
            </w:r>
          </w:p>
        </w:tc>
        <w:tc>
          <w:tcPr>
            <w:tcW w:w="1080" w:type="dxa"/>
            <w:tcBorders>
              <w:right w:val="single" w:color="auto" w:sz="12" w:space="0"/>
            </w:tcBorders>
            <w:shd w:val="clear" w:color="auto" w:fill="CCCCCC"/>
            <w:vAlign w:val="bottom"/>
          </w:tcPr>
          <w:p w:rsidR="003B0815" w:rsidRDefault="003B0815" w14:paraId="78958D62" w14:textId="77777777">
            <w:pPr>
              <w:keepNext/>
              <w:jc w:val="right"/>
              <w:rPr>
                <w:rFonts w:ascii="Arial" w:hAnsi="Arial"/>
                <w:b/>
                <w:sz w:val="20"/>
                <w:szCs w:val="20"/>
              </w:rPr>
            </w:pPr>
            <w:r>
              <w:rPr>
                <w:rFonts w:ascii="Arial" w:hAnsi="Arial" w:cs="Arial"/>
                <w:b/>
                <w:bCs/>
                <w:sz w:val="20"/>
                <w:szCs w:val="20"/>
              </w:rPr>
              <w:t>2.3</w:t>
            </w:r>
          </w:p>
        </w:tc>
      </w:tr>
      <w:tr w:rsidR="003B0815" w14:paraId="0C68FD5B" w14:textId="77777777">
        <w:trPr>
          <w:jc w:val="center"/>
        </w:trPr>
        <w:tc>
          <w:tcPr>
            <w:tcW w:w="679" w:type="dxa"/>
            <w:tcBorders>
              <w:left w:val="single" w:color="auto" w:sz="12" w:space="0"/>
            </w:tcBorders>
          </w:tcPr>
          <w:p w:rsidR="003B0815" w:rsidRDefault="003B0815" w14:paraId="57CA8ED3" w14:textId="77777777">
            <w:pPr>
              <w:keepNext/>
              <w:jc w:val="center"/>
              <w:rPr>
                <w:rFonts w:ascii="Arial" w:hAnsi="Arial"/>
                <w:sz w:val="20"/>
                <w:szCs w:val="20"/>
              </w:rPr>
            </w:pPr>
            <w:r>
              <w:t>2011</w:t>
            </w:r>
          </w:p>
        </w:tc>
        <w:tc>
          <w:tcPr>
            <w:tcW w:w="1353" w:type="dxa"/>
            <w:vAlign w:val="bottom"/>
          </w:tcPr>
          <w:p w:rsidR="003B0815" w:rsidRDefault="003B0815" w14:paraId="10D6274C" w14:textId="77777777">
            <w:pPr>
              <w:keepNext/>
              <w:jc w:val="center"/>
              <w:rPr>
                <w:rFonts w:ascii="Arial" w:hAnsi="Arial"/>
                <w:sz w:val="20"/>
                <w:szCs w:val="20"/>
              </w:rPr>
            </w:pPr>
            <w:r>
              <w:rPr>
                <w:rFonts w:ascii="Arial" w:hAnsi="Arial" w:cs="Arial"/>
                <w:sz w:val="20"/>
                <w:szCs w:val="20"/>
              </w:rPr>
              <w:t>14.3</w:t>
            </w:r>
          </w:p>
        </w:tc>
        <w:tc>
          <w:tcPr>
            <w:tcW w:w="1080" w:type="dxa"/>
            <w:vAlign w:val="bottom"/>
          </w:tcPr>
          <w:p w:rsidR="003B0815" w:rsidRDefault="003B0815" w14:paraId="02AE3EA4" w14:textId="77777777">
            <w:pPr>
              <w:keepNext/>
              <w:jc w:val="center"/>
              <w:rPr>
                <w:rFonts w:ascii="Arial" w:hAnsi="Arial"/>
                <w:sz w:val="20"/>
                <w:szCs w:val="20"/>
              </w:rPr>
            </w:pPr>
            <w:r>
              <w:rPr>
                <w:rFonts w:ascii="Arial" w:hAnsi="Arial" w:cs="Arial"/>
                <w:sz w:val="20"/>
                <w:szCs w:val="20"/>
              </w:rPr>
              <w:t>99,000</w:t>
            </w:r>
          </w:p>
        </w:tc>
        <w:tc>
          <w:tcPr>
            <w:tcW w:w="1080" w:type="dxa"/>
            <w:vAlign w:val="bottom"/>
          </w:tcPr>
          <w:p w:rsidR="003B0815" w:rsidRDefault="003B0815" w14:paraId="71A5DD9C" w14:textId="77777777">
            <w:pPr>
              <w:keepNext/>
              <w:jc w:val="center"/>
              <w:rPr>
                <w:rFonts w:ascii="Arial" w:hAnsi="Arial"/>
                <w:sz w:val="20"/>
                <w:szCs w:val="20"/>
              </w:rPr>
            </w:pPr>
            <w:r>
              <w:rPr>
                <w:rFonts w:ascii="Arial" w:hAnsi="Arial" w:cs="Arial"/>
                <w:sz w:val="20"/>
                <w:szCs w:val="20"/>
              </w:rPr>
              <w:t>79,000</w:t>
            </w:r>
          </w:p>
        </w:tc>
        <w:tc>
          <w:tcPr>
            <w:tcW w:w="1080" w:type="dxa"/>
            <w:vAlign w:val="bottom"/>
          </w:tcPr>
          <w:p w:rsidR="003B0815" w:rsidRDefault="003B0815" w14:paraId="0333A72F" w14:textId="77777777">
            <w:pPr>
              <w:keepNext/>
              <w:jc w:val="center"/>
              <w:rPr>
                <w:rFonts w:ascii="Arial" w:hAnsi="Arial"/>
                <w:sz w:val="20"/>
                <w:szCs w:val="20"/>
              </w:rPr>
            </w:pPr>
            <w:r>
              <w:rPr>
                <w:rFonts w:ascii="Arial" w:hAnsi="Arial" w:cs="Arial"/>
                <w:sz w:val="20"/>
                <w:szCs w:val="20"/>
              </w:rPr>
              <w:t>119,000</w:t>
            </w:r>
          </w:p>
        </w:tc>
        <w:tc>
          <w:tcPr>
            <w:tcW w:w="720" w:type="dxa"/>
            <w:vAlign w:val="bottom"/>
          </w:tcPr>
          <w:p w:rsidR="003B0815" w:rsidRDefault="003B0815" w14:paraId="6FA163B4"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1D7AE1FD" w14:textId="77777777">
            <w:pPr>
              <w:keepNext/>
              <w:jc w:val="right"/>
              <w:rPr>
                <w:rFonts w:ascii="Arial" w:hAnsi="Arial"/>
                <w:b/>
                <w:sz w:val="20"/>
                <w:szCs w:val="20"/>
              </w:rPr>
            </w:pPr>
            <w:r>
              <w:rPr>
                <w:rFonts w:ascii="Arial" w:hAnsi="Arial" w:cs="Arial"/>
                <w:b/>
                <w:bCs/>
                <w:sz w:val="20"/>
                <w:szCs w:val="20"/>
              </w:rPr>
              <w:t>2.0</w:t>
            </w:r>
          </w:p>
        </w:tc>
        <w:tc>
          <w:tcPr>
            <w:tcW w:w="1080" w:type="dxa"/>
            <w:shd w:val="clear" w:color="auto" w:fill="CCCCCC"/>
            <w:vAlign w:val="bottom"/>
          </w:tcPr>
          <w:p w:rsidR="003B0815" w:rsidRDefault="003B0815" w14:paraId="0E3C5931" w14:textId="77777777">
            <w:pPr>
              <w:keepNext/>
              <w:jc w:val="right"/>
              <w:rPr>
                <w:rFonts w:ascii="Arial" w:hAnsi="Arial"/>
                <w:b/>
                <w:sz w:val="20"/>
                <w:szCs w:val="20"/>
              </w:rPr>
            </w:pPr>
            <w:r>
              <w:rPr>
                <w:rFonts w:ascii="Arial" w:hAnsi="Arial" w:cs="Arial"/>
                <w:b/>
                <w:bCs/>
                <w:sz w:val="20"/>
                <w:szCs w:val="20"/>
              </w:rPr>
              <w:t>1.6</w:t>
            </w:r>
          </w:p>
        </w:tc>
        <w:tc>
          <w:tcPr>
            <w:tcW w:w="1080" w:type="dxa"/>
            <w:tcBorders>
              <w:right w:val="single" w:color="auto" w:sz="12" w:space="0"/>
            </w:tcBorders>
            <w:shd w:val="clear" w:color="auto" w:fill="CCCCCC"/>
            <w:vAlign w:val="bottom"/>
          </w:tcPr>
          <w:p w:rsidR="003B0815" w:rsidRDefault="003B0815" w14:paraId="3C365BB5" w14:textId="77777777">
            <w:pPr>
              <w:keepNext/>
              <w:jc w:val="right"/>
              <w:rPr>
                <w:rFonts w:ascii="Arial" w:hAnsi="Arial"/>
                <w:b/>
                <w:sz w:val="20"/>
                <w:szCs w:val="20"/>
              </w:rPr>
            </w:pPr>
            <w:r>
              <w:rPr>
                <w:rFonts w:ascii="Arial" w:hAnsi="Arial" w:cs="Arial"/>
                <w:b/>
                <w:bCs/>
                <w:sz w:val="20"/>
                <w:szCs w:val="20"/>
              </w:rPr>
              <w:t>2.5</w:t>
            </w:r>
          </w:p>
        </w:tc>
      </w:tr>
      <w:tr w:rsidR="003B0815" w14:paraId="25DC3D37" w14:textId="77777777">
        <w:trPr>
          <w:jc w:val="center"/>
        </w:trPr>
        <w:tc>
          <w:tcPr>
            <w:tcW w:w="679" w:type="dxa"/>
            <w:tcBorders>
              <w:left w:val="single" w:color="auto" w:sz="12" w:space="0"/>
            </w:tcBorders>
          </w:tcPr>
          <w:p w:rsidR="003B0815" w:rsidRDefault="003B0815" w14:paraId="32CC544A" w14:textId="77777777">
            <w:pPr>
              <w:keepNext/>
              <w:jc w:val="center"/>
              <w:rPr>
                <w:rFonts w:ascii="Arial" w:hAnsi="Arial"/>
                <w:sz w:val="20"/>
                <w:szCs w:val="20"/>
              </w:rPr>
            </w:pPr>
            <w:r>
              <w:t>2012</w:t>
            </w:r>
          </w:p>
        </w:tc>
        <w:tc>
          <w:tcPr>
            <w:tcW w:w="1353" w:type="dxa"/>
            <w:vAlign w:val="bottom"/>
          </w:tcPr>
          <w:p w:rsidR="003B0815" w:rsidRDefault="003B0815" w14:paraId="63CA789E" w14:textId="77777777">
            <w:pPr>
              <w:keepNext/>
              <w:jc w:val="center"/>
              <w:rPr>
                <w:rFonts w:ascii="Arial" w:hAnsi="Arial"/>
                <w:sz w:val="20"/>
                <w:szCs w:val="20"/>
              </w:rPr>
            </w:pPr>
            <w:r>
              <w:rPr>
                <w:rFonts w:ascii="Arial" w:hAnsi="Arial" w:cs="Arial"/>
                <w:sz w:val="20"/>
                <w:szCs w:val="20"/>
              </w:rPr>
              <w:t>15.0</w:t>
            </w:r>
          </w:p>
        </w:tc>
        <w:tc>
          <w:tcPr>
            <w:tcW w:w="1080" w:type="dxa"/>
            <w:vAlign w:val="bottom"/>
          </w:tcPr>
          <w:p w:rsidR="003B0815" w:rsidRDefault="003B0815" w14:paraId="69822827" w14:textId="77777777">
            <w:pPr>
              <w:keepNext/>
              <w:jc w:val="center"/>
              <w:rPr>
                <w:rFonts w:ascii="Arial" w:hAnsi="Arial"/>
                <w:sz w:val="20"/>
                <w:szCs w:val="20"/>
              </w:rPr>
            </w:pPr>
            <w:r>
              <w:rPr>
                <w:rFonts w:ascii="Arial" w:hAnsi="Arial" w:cs="Arial"/>
                <w:sz w:val="20"/>
                <w:szCs w:val="20"/>
              </w:rPr>
              <w:t>104,000</w:t>
            </w:r>
          </w:p>
        </w:tc>
        <w:tc>
          <w:tcPr>
            <w:tcW w:w="1080" w:type="dxa"/>
            <w:vAlign w:val="bottom"/>
          </w:tcPr>
          <w:p w:rsidR="003B0815" w:rsidRDefault="003B0815" w14:paraId="414B4971" w14:textId="77777777">
            <w:pPr>
              <w:keepNext/>
              <w:jc w:val="center"/>
              <w:rPr>
                <w:rFonts w:ascii="Arial" w:hAnsi="Arial"/>
                <w:sz w:val="20"/>
                <w:szCs w:val="20"/>
              </w:rPr>
            </w:pPr>
            <w:r>
              <w:rPr>
                <w:rFonts w:ascii="Arial" w:hAnsi="Arial" w:cs="Arial"/>
                <w:sz w:val="20"/>
                <w:szCs w:val="20"/>
              </w:rPr>
              <w:t>83,000</w:t>
            </w:r>
          </w:p>
        </w:tc>
        <w:tc>
          <w:tcPr>
            <w:tcW w:w="1080" w:type="dxa"/>
            <w:vAlign w:val="bottom"/>
          </w:tcPr>
          <w:p w:rsidR="003B0815" w:rsidRDefault="003B0815" w14:paraId="004D55C3" w14:textId="77777777">
            <w:pPr>
              <w:keepNext/>
              <w:jc w:val="center"/>
              <w:rPr>
                <w:rFonts w:ascii="Arial" w:hAnsi="Arial"/>
                <w:sz w:val="20"/>
                <w:szCs w:val="20"/>
              </w:rPr>
            </w:pPr>
            <w:r>
              <w:rPr>
                <w:rFonts w:ascii="Arial" w:hAnsi="Arial" w:cs="Arial"/>
                <w:sz w:val="20"/>
                <w:szCs w:val="20"/>
              </w:rPr>
              <w:t>125,000</w:t>
            </w:r>
          </w:p>
        </w:tc>
        <w:tc>
          <w:tcPr>
            <w:tcW w:w="720" w:type="dxa"/>
            <w:vAlign w:val="bottom"/>
          </w:tcPr>
          <w:p w:rsidR="003B0815" w:rsidRDefault="003B0815" w14:paraId="31DFC7EC"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71057768" w14:textId="77777777">
            <w:pPr>
              <w:keepNext/>
              <w:jc w:val="right"/>
              <w:rPr>
                <w:rFonts w:ascii="Arial" w:hAnsi="Arial"/>
                <w:b/>
                <w:sz w:val="20"/>
                <w:szCs w:val="20"/>
              </w:rPr>
            </w:pPr>
            <w:r>
              <w:rPr>
                <w:rFonts w:ascii="Arial" w:hAnsi="Arial" w:cs="Arial"/>
                <w:b/>
                <w:bCs/>
                <w:sz w:val="20"/>
                <w:szCs w:val="20"/>
              </w:rPr>
              <w:t>2.2</w:t>
            </w:r>
          </w:p>
        </w:tc>
        <w:tc>
          <w:tcPr>
            <w:tcW w:w="1080" w:type="dxa"/>
            <w:shd w:val="clear" w:color="auto" w:fill="CCCCCC"/>
            <w:vAlign w:val="bottom"/>
          </w:tcPr>
          <w:p w:rsidR="003B0815" w:rsidRDefault="003B0815" w14:paraId="79C2D4BA" w14:textId="77777777">
            <w:pPr>
              <w:keepNext/>
              <w:jc w:val="right"/>
              <w:rPr>
                <w:rFonts w:ascii="Arial" w:hAnsi="Arial"/>
                <w:b/>
                <w:sz w:val="20"/>
                <w:szCs w:val="20"/>
              </w:rPr>
            </w:pPr>
            <w:r>
              <w:rPr>
                <w:rFonts w:ascii="Arial" w:hAnsi="Arial" w:cs="Arial"/>
                <w:b/>
                <w:bCs/>
                <w:sz w:val="20"/>
                <w:szCs w:val="20"/>
              </w:rPr>
              <w:t>1.7</w:t>
            </w:r>
          </w:p>
        </w:tc>
        <w:tc>
          <w:tcPr>
            <w:tcW w:w="1080" w:type="dxa"/>
            <w:tcBorders>
              <w:right w:val="single" w:color="auto" w:sz="12" w:space="0"/>
            </w:tcBorders>
            <w:shd w:val="clear" w:color="auto" w:fill="CCCCCC"/>
            <w:vAlign w:val="bottom"/>
          </w:tcPr>
          <w:p w:rsidR="003B0815" w:rsidRDefault="003B0815" w14:paraId="4267DED4" w14:textId="77777777">
            <w:pPr>
              <w:keepNext/>
              <w:jc w:val="right"/>
              <w:rPr>
                <w:rFonts w:ascii="Arial" w:hAnsi="Arial"/>
                <w:b/>
                <w:sz w:val="20"/>
                <w:szCs w:val="20"/>
              </w:rPr>
            </w:pPr>
            <w:r>
              <w:rPr>
                <w:rFonts w:ascii="Arial" w:hAnsi="Arial" w:cs="Arial"/>
                <w:b/>
                <w:bCs/>
                <w:sz w:val="20"/>
                <w:szCs w:val="20"/>
              </w:rPr>
              <w:t>2.6</w:t>
            </w:r>
          </w:p>
        </w:tc>
      </w:tr>
      <w:tr w:rsidR="003B0815" w14:paraId="49E9F309" w14:textId="77777777">
        <w:trPr>
          <w:jc w:val="center"/>
        </w:trPr>
        <w:tc>
          <w:tcPr>
            <w:tcW w:w="679" w:type="dxa"/>
            <w:tcBorders>
              <w:left w:val="single" w:color="auto" w:sz="12" w:space="0"/>
            </w:tcBorders>
          </w:tcPr>
          <w:p w:rsidR="003B0815" w:rsidRDefault="003B0815" w14:paraId="0D25246D" w14:textId="77777777">
            <w:pPr>
              <w:keepNext/>
              <w:jc w:val="center"/>
              <w:rPr>
                <w:rFonts w:ascii="Arial" w:hAnsi="Arial"/>
                <w:sz w:val="20"/>
                <w:szCs w:val="20"/>
              </w:rPr>
            </w:pPr>
            <w:r>
              <w:t>2013</w:t>
            </w:r>
          </w:p>
        </w:tc>
        <w:tc>
          <w:tcPr>
            <w:tcW w:w="1353" w:type="dxa"/>
            <w:vAlign w:val="bottom"/>
          </w:tcPr>
          <w:p w:rsidR="003B0815" w:rsidRDefault="003B0815" w14:paraId="64F31AF9" w14:textId="77777777">
            <w:pPr>
              <w:keepNext/>
              <w:jc w:val="center"/>
              <w:rPr>
                <w:rFonts w:ascii="Arial" w:hAnsi="Arial"/>
                <w:sz w:val="20"/>
                <w:szCs w:val="20"/>
              </w:rPr>
            </w:pPr>
            <w:r>
              <w:rPr>
                <w:rFonts w:ascii="Arial" w:hAnsi="Arial" w:cs="Arial"/>
                <w:sz w:val="20"/>
                <w:szCs w:val="20"/>
              </w:rPr>
              <w:t>15.7</w:t>
            </w:r>
          </w:p>
        </w:tc>
        <w:tc>
          <w:tcPr>
            <w:tcW w:w="1080" w:type="dxa"/>
            <w:vAlign w:val="bottom"/>
          </w:tcPr>
          <w:p w:rsidR="003B0815" w:rsidRDefault="003B0815" w14:paraId="5D5EB732" w14:textId="77777777">
            <w:pPr>
              <w:keepNext/>
              <w:jc w:val="center"/>
              <w:rPr>
                <w:rFonts w:ascii="Arial" w:hAnsi="Arial"/>
                <w:sz w:val="20"/>
                <w:szCs w:val="20"/>
              </w:rPr>
            </w:pPr>
            <w:r>
              <w:rPr>
                <w:rFonts w:ascii="Arial" w:hAnsi="Arial" w:cs="Arial"/>
                <w:sz w:val="20"/>
                <w:szCs w:val="20"/>
              </w:rPr>
              <w:t>109,000</w:t>
            </w:r>
          </w:p>
        </w:tc>
        <w:tc>
          <w:tcPr>
            <w:tcW w:w="1080" w:type="dxa"/>
            <w:vAlign w:val="bottom"/>
          </w:tcPr>
          <w:p w:rsidR="003B0815" w:rsidRDefault="003B0815" w14:paraId="15A6D2DB" w14:textId="77777777">
            <w:pPr>
              <w:keepNext/>
              <w:jc w:val="center"/>
              <w:rPr>
                <w:rFonts w:ascii="Arial" w:hAnsi="Arial"/>
                <w:sz w:val="20"/>
                <w:szCs w:val="20"/>
              </w:rPr>
            </w:pPr>
            <w:r>
              <w:rPr>
                <w:rFonts w:ascii="Arial" w:hAnsi="Arial" w:cs="Arial"/>
                <w:sz w:val="20"/>
                <w:szCs w:val="20"/>
              </w:rPr>
              <w:t>87,000</w:t>
            </w:r>
          </w:p>
        </w:tc>
        <w:tc>
          <w:tcPr>
            <w:tcW w:w="1080" w:type="dxa"/>
            <w:vAlign w:val="bottom"/>
          </w:tcPr>
          <w:p w:rsidR="003B0815" w:rsidRDefault="003B0815" w14:paraId="3BF3DF4B" w14:textId="77777777">
            <w:pPr>
              <w:keepNext/>
              <w:jc w:val="center"/>
              <w:rPr>
                <w:rFonts w:ascii="Arial" w:hAnsi="Arial"/>
                <w:sz w:val="20"/>
                <w:szCs w:val="20"/>
              </w:rPr>
            </w:pPr>
            <w:r>
              <w:rPr>
                <w:rFonts w:ascii="Arial" w:hAnsi="Arial" w:cs="Arial"/>
                <w:sz w:val="20"/>
                <w:szCs w:val="20"/>
              </w:rPr>
              <w:t>131,000</w:t>
            </w:r>
          </w:p>
        </w:tc>
        <w:tc>
          <w:tcPr>
            <w:tcW w:w="720" w:type="dxa"/>
            <w:vAlign w:val="bottom"/>
          </w:tcPr>
          <w:p w:rsidR="003B0815" w:rsidRDefault="003B0815" w14:paraId="15CA21E1"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06828238" w14:textId="77777777">
            <w:pPr>
              <w:keepNext/>
              <w:jc w:val="right"/>
              <w:rPr>
                <w:rFonts w:ascii="Arial" w:hAnsi="Arial"/>
                <w:b/>
                <w:sz w:val="20"/>
                <w:szCs w:val="20"/>
              </w:rPr>
            </w:pPr>
            <w:r>
              <w:rPr>
                <w:rFonts w:ascii="Arial" w:hAnsi="Arial" w:cs="Arial"/>
                <w:b/>
                <w:bCs/>
                <w:sz w:val="20"/>
                <w:szCs w:val="20"/>
              </w:rPr>
              <w:t>2.3</w:t>
            </w:r>
          </w:p>
        </w:tc>
        <w:tc>
          <w:tcPr>
            <w:tcW w:w="1080" w:type="dxa"/>
            <w:shd w:val="clear" w:color="auto" w:fill="CCCCCC"/>
            <w:vAlign w:val="bottom"/>
          </w:tcPr>
          <w:p w:rsidR="003B0815" w:rsidRDefault="003B0815" w14:paraId="57CA4AC6" w14:textId="77777777">
            <w:pPr>
              <w:keepNext/>
              <w:jc w:val="right"/>
              <w:rPr>
                <w:rFonts w:ascii="Arial" w:hAnsi="Arial"/>
                <w:b/>
                <w:sz w:val="20"/>
                <w:szCs w:val="20"/>
              </w:rPr>
            </w:pPr>
            <w:r>
              <w:rPr>
                <w:rFonts w:ascii="Arial" w:hAnsi="Arial" w:cs="Arial"/>
                <w:b/>
                <w:bCs/>
                <w:sz w:val="20"/>
                <w:szCs w:val="20"/>
              </w:rPr>
              <w:t>1.8</w:t>
            </w:r>
          </w:p>
        </w:tc>
        <w:tc>
          <w:tcPr>
            <w:tcW w:w="1080" w:type="dxa"/>
            <w:tcBorders>
              <w:right w:val="single" w:color="auto" w:sz="12" w:space="0"/>
            </w:tcBorders>
            <w:shd w:val="clear" w:color="auto" w:fill="CCCCCC"/>
            <w:vAlign w:val="bottom"/>
          </w:tcPr>
          <w:p w:rsidR="003B0815" w:rsidRDefault="003B0815" w14:paraId="06A3831F" w14:textId="77777777">
            <w:pPr>
              <w:keepNext/>
              <w:jc w:val="right"/>
              <w:rPr>
                <w:rFonts w:ascii="Arial" w:hAnsi="Arial"/>
                <w:b/>
                <w:sz w:val="20"/>
                <w:szCs w:val="20"/>
              </w:rPr>
            </w:pPr>
            <w:r>
              <w:rPr>
                <w:rFonts w:ascii="Arial" w:hAnsi="Arial" w:cs="Arial"/>
                <w:b/>
                <w:bCs/>
                <w:sz w:val="20"/>
                <w:szCs w:val="20"/>
              </w:rPr>
              <w:t>2.7</w:t>
            </w:r>
          </w:p>
        </w:tc>
      </w:tr>
      <w:tr w:rsidR="003B0815" w14:paraId="6F7EA2D4" w14:textId="77777777">
        <w:trPr>
          <w:jc w:val="center"/>
        </w:trPr>
        <w:tc>
          <w:tcPr>
            <w:tcW w:w="679" w:type="dxa"/>
            <w:tcBorders>
              <w:left w:val="single" w:color="auto" w:sz="12" w:space="0"/>
            </w:tcBorders>
          </w:tcPr>
          <w:p w:rsidR="003B0815" w:rsidRDefault="003B0815" w14:paraId="2F1D71A5" w14:textId="77777777">
            <w:pPr>
              <w:keepNext/>
              <w:jc w:val="center"/>
              <w:rPr>
                <w:rFonts w:ascii="Arial" w:hAnsi="Arial"/>
                <w:sz w:val="20"/>
                <w:szCs w:val="20"/>
              </w:rPr>
            </w:pPr>
            <w:r>
              <w:t>2014</w:t>
            </w:r>
          </w:p>
        </w:tc>
        <w:tc>
          <w:tcPr>
            <w:tcW w:w="1353" w:type="dxa"/>
            <w:vAlign w:val="bottom"/>
          </w:tcPr>
          <w:p w:rsidR="003B0815" w:rsidRDefault="003B0815" w14:paraId="179D8476" w14:textId="77777777">
            <w:pPr>
              <w:keepNext/>
              <w:jc w:val="center"/>
              <w:rPr>
                <w:rFonts w:ascii="Arial" w:hAnsi="Arial"/>
                <w:sz w:val="20"/>
                <w:szCs w:val="20"/>
              </w:rPr>
            </w:pPr>
            <w:r>
              <w:rPr>
                <w:rFonts w:ascii="Arial" w:hAnsi="Arial" w:cs="Arial"/>
                <w:sz w:val="20"/>
                <w:szCs w:val="20"/>
              </w:rPr>
              <w:t>16.5</w:t>
            </w:r>
          </w:p>
        </w:tc>
        <w:tc>
          <w:tcPr>
            <w:tcW w:w="1080" w:type="dxa"/>
            <w:vAlign w:val="bottom"/>
          </w:tcPr>
          <w:p w:rsidR="003B0815" w:rsidRDefault="003B0815" w14:paraId="10EF5B37" w14:textId="77777777">
            <w:pPr>
              <w:keepNext/>
              <w:jc w:val="center"/>
              <w:rPr>
                <w:rFonts w:ascii="Arial" w:hAnsi="Arial"/>
                <w:sz w:val="20"/>
                <w:szCs w:val="20"/>
              </w:rPr>
            </w:pPr>
            <w:r>
              <w:rPr>
                <w:rFonts w:ascii="Arial" w:hAnsi="Arial" w:cs="Arial"/>
                <w:sz w:val="20"/>
                <w:szCs w:val="20"/>
              </w:rPr>
              <w:t>115,000</w:t>
            </w:r>
          </w:p>
        </w:tc>
        <w:tc>
          <w:tcPr>
            <w:tcW w:w="1080" w:type="dxa"/>
            <w:vAlign w:val="bottom"/>
          </w:tcPr>
          <w:p w:rsidR="003B0815" w:rsidRDefault="003B0815" w14:paraId="498B173C" w14:textId="77777777">
            <w:pPr>
              <w:keepNext/>
              <w:jc w:val="center"/>
              <w:rPr>
                <w:rFonts w:ascii="Arial" w:hAnsi="Arial"/>
                <w:sz w:val="20"/>
                <w:szCs w:val="20"/>
              </w:rPr>
            </w:pPr>
            <w:r>
              <w:rPr>
                <w:rFonts w:ascii="Arial" w:hAnsi="Arial" w:cs="Arial"/>
                <w:sz w:val="20"/>
                <w:szCs w:val="20"/>
              </w:rPr>
              <w:t>92,000</w:t>
            </w:r>
          </w:p>
        </w:tc>
        <w:tc>
          <w:tcPr>
            <w:tcW w:w="1080" w:type="dxa"/>
            <w:vAlign w:val="bottom"/>
          </w:tcPr>
          <w:p w:rsidR="003B0815" w:rsidRDefault="003B0815" w14:paraId="780732DC" w14:textId="77777777">
            <w:pPr>
              <w:keepNext/>
              <w:jc w:val="center"/>
              <w:rPr>
                <w:rFonts w:ascii="Arial" w:hAnsi="Arial"/>
                <w:sz w:val="20"/>
                <w:szCs w:val="20"/>
              </w:rPr>
            </w:pPr>
            <w:r>
              <w:rPr>
                <w:rFonts w:ascii="Arial" w:hAnsi="Arial" w:cs="Arial"/>
                <w:sz w:val="20"/>
                <w:szCs w:val="20"/>
              </w:rPr>
              <w:t>138,000</w:t>
            </w:r>
          </w:p>
        </w:tc>
        <w:tc>
          <w:tcPr>
            <w:tcW w:w="720" w:type="dxa"/>
            <w:vAlign w:val="bottom"/>
          </w:tcPr>
          <w:p w:rsidR="003B0815" w:rsidRDefault="003B0815" w14:paraId="47370880"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254DE39A" w14:textId="77777777">
            <w:pPr>
              <w:keepNext/>
              <w:jc w:val="right"/>
              <w:rPr>
                <w:rFonts w:ascii="Arial" w:hAnsi="Arial"/>
                <w:b/>
                <w:sz w:val="20"/>
                <w:szCs w:val="20"/>
              </w:rPr>
            </w:pPr>
            <w:r>
              <w:rPr>
                <w:rFonts w:ascii="Arial" w:hAnsi="Arial" w:cs="Arial"/>
                <w:b/>
                <w:bCs/>
                <w:sz w:val="20"/>
                <w:szCs w:val="20"/>
              </w:rPr>
              <w:t>2.4</w:t>
            </w:r>
          </w:p>
        </w:tc>
        <w:tc>
          <w:tcPr>
            <w:tcW w:w="1080" w:type="dxa"/>
            <w:shd w:val="clear" w:color="auto" w:fill="CCCCCC"/>
            <w:vAlign w:val="bottom"/>
          </w:tcPr>
          <w:p w:rsidR="003B0815" w:rsidRDefault="003B0815" w14:paraId="38216143" w14:textId="77777777">
            <w:pPr>
              <w:keepNext/>
              <w:jc w:val="right"/>
              <w:rPr>
                <w:rFonts w:ascii="Arial" w:hAnsi="Arial"/>
                <w:b/>
                <w:sz w:val="20"/>
                <w:szCs w:val="20"/>
              </w:rPr>
            </w:pPr>
            <w:r>
              <w:rPr>
                <w:rFonts w:ascii="Arial" w:hAnsi="Arial" w:cs="Arial"/>
                <w:b/>
                <w:bCs/>
                <w:sz w:val="20"/>
                <w:szCs w:val="20"/>
              </w:rPr>
              <w:t>1.9</w:t>
            </w:r>
          </w:p>
        </w:tc>
        <w:tc>
          <w:tcPr>
            <w:tcW w:w="1080" w:type="dxa"/>
            <w:tcBorders>
              <w:right w:val="single" w:color="auto" w:sz="12" w:space="0"/>
            </w:tcBorders>
            <w:shd w:val="clear" w:color="auto" w:fill="CCCCCC"/>
            <w:vAlign w:val="bottom"/>
          </w:tcPr>
          <w:p w:rsidR="003B0815" w:rsidRDefault="003B0815" w14:paraId="739D2AC4" w14:textId="77777777">
            <w:pPr>
              <w:keepNext/>
              <w:jc w:val="right"/>
              <w:rPr>
                <w:rFonts w:ascii="Arial" w:hAnsi="Arial"/>
                <w:b/>
                <w:sz w:val="20"/>
                <w:szCs w:val="20"/>
              </w:rPr>
            </w:pPr>
            <w:r>
              <w:rPr>
                <w:rFonts w:ascii="Arial" w:hAnsi="Arial" w:cs="Arial"/>
                <w:b/>
                <w:bCs/>
                <w:sz w:val="20"/>
                <w:szCs w:val="20"/>
              </w:rPr>
              <w:t>2.9</w:t>
            </w:r>
          </w:p>
        </w:tc>
      </w:tr>
      <w:tr w:rsidR="003B0815" w14:paraId="1757D2EF" w14:textId="77777777">
        <w:trPr>
          <w:jc w:val="center"/>
        </w:trPr>
        <w:tc>
          <w:tcPr>
            <w:tcW w:w="679" w:type="dxa"/>
            <w:tcBorders>
              <w:left w:val="single" w:color="auto" w:sz="12" w:space="0"/>
            </w:tcBorders>
          </w:tcPr>
          <w:p w:rsidR="003B0815" w:rsidRDefault="003B0815" w14:paraId="68398225" w14:textId="77777777">
            <w:pPr>
              <w:keepNext/>
              <w:jc w:val="center"/>
              <w:rPr>
                <w:rFonts w:ascii="Arial" w:hAnsi="Arial"/>
                <w:sz w:val="20"/>
                <w:szCs w:val="20"/>
              </w:rPr>
            </w:pPr>
            <w:r>
              <w:t>2015</w:t>
            </w:r>
          </w:p>
        </w:tc>
        <w:tc>
          <w:tcPr>
            <w:tcW w:w="1353" w:type="dxa"/>
            <w:vAlign w:val="bottom"/>
          </w:tcPr>
          <w:p w:rsidR="003B0815" w:rsidRDefault="003B0815" w14:paraId="0142AB46" w14:textId="77777777">
            <w:pPr>
              <w:keepNext/>
              <w:jc w:val="center"/>
              <w:rPr>
                <w:rFonts w:ascii="Arial" w:hAnsi="Arial"/>
                <w:sz w:val="20"/>
                <w:szCs w:val="20"/>
              </w:rPr>
            </w:pPr>
            <w:r>
              <w:rPr>
                <w:rFonts w:ascii="Arial" w:hAnsi="Arial" w:cs="Arial"/>
                <w:sz w:val="20"/>
                <w:szCs w:val="20"/>
              </w:rPr>
              <w:t>17.3</w:t>
            </w:r>
          </w:p>
        </w:tc>
        <w:tc>
          <w:tcPr>
            <w:tcW w:w="1080" w:type="dxa"/>
            <w:vAlign w:val="bottom"/>
          </w:tcPr>
          <w:p w:rsidR="003B0815" w:rsidRDefault="003B0815" w14:paraId="75B14A22" w14:textId="77777777">
            <w:pPr>
              <w:keepNext/>
              <w:jc w:val="center"/>
              <w:rPr>
                <w:rFonts w:ascii="Arial" w:hAnsi="Arial"/>
                <w:sz w:val="20"/>
                <w:szCs w:val="20"/>
              </w:rPr>
            </w:pPr>
            <w:r>
              <w:rPr>
                <w:rFonts w:ascii="Arial" w:hAnsi="Arial" w:cs="Arial"/>
                <w:sz w:val="20"/>
                <w:szCs w:val="20"/>
              </w:rPr>
              <w:t>120,000</w:t>
            </w:r>
          </w:p>
        </w:tc>
        <w:tc>
          <w:tcPr>
            <w:tcW w:w="1080" w:type="dxa"/>
            <w:vAlign w:val="bottom"/>
          </w:tcPr>
          <w:p w:rsidR="003B0815" w:rsidRDefault="003B0815" w14:paraId="2D75F2EA" w14:textId="77777777">
            <w:pPr>
              <w:keepNext/>
              <w:jc w:val="center"/>
              <w:rPr>
                <w:rFonts w:ascii="Arial" w:hAnsi="Arial"/>
                <w:sz w:val="20"/>
                <w:szCs w:val="20"/>
              </w:rPr>
            </w:pPr>
            <w:r>
              <w:rPr>
                <w:rFonts w:ascii="Arial" w:hAnsi="Arial" w:cs="Arial"/>
                <w:sz w:val="20"/>
                <w:szCs w:val="20"/>
              </w:rPr>
              <w:t>96,000</w:t>
            </w:r>
          </w:p>
        </w:tc>
        <w:tc>
          <w:tcPr>
            <w:tcW w:w="1080" w:type="dxa"/>
            <w:vAlign w:val="bottom"/>
          </w:tcPr>
          <w:p w:rsidR="003B0815" w:rsidRDefault="003B0815" w14:paraId="20F4C411" w14:textId="77777777">
            <w:pPr>
              <w:keepNext/>
              <w:jc w:val="center"/>
              <w:rPr>
                <w:rFonts w:ascii="Arial" w:hAnsi="Arial"/>
                <w:sz w:val="20"/>
                <w:szCs w:val="20"/>
              </w:rPr>
            </w:pPr>
            <w:r>
              <w:rPr>
                <w:rFonts w:ascii="Arial" w:hAnsi="Arial" w:cs="Arial"/>
                <w:sz w:val="20"/>
                <w:szCs w:val="20"/>
              </w:rPr>
              <w:t>144,000</w:t>
            </w:r>
          </w:p>
        </w:tc>
        <w:tc>
          <w:tcPr>
            <w:tcW w:w="720" w:type="dxa"/>
            <w:vAlign w:val="bottom"/>
          </w:tcPr>
          <w:p w:rsidR="003B0815" w:rsidRDefault="003B0815" w14:paraId="69127778"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047E38C0" w14:textId="77777777">
            <w:pPr>
              <w:keepNext/>
              <w:jc w:val="right"/>
              <w:rPr>
                <w:rFonts w:ascii="Arial" w:hAnsi="Arial"/>
                <w:b/>
                <w:sz w:val="20"/>
                <w:szCs w:val="20"/>
              </w:rPr>
            </w:pPr>
            <w:r>
              <w:rPr>
                <w:rFonts w:ascii="Arial" w:hAnsi="Arial" w:cs="Arial"/>
                <w:b/>
                <w:bCs/>
                <w:sz w:val="20"/>
                <w:szCs w:val="20"/>
              </w:rPr>
              <w:t>2.5</w:t>
            </w:r>
          </w:p>
        </w:tc>
        <w:tc>
          <w:tcPr>
            <w:tcW w:w="1080" w:type="dxa"/>
            <w:shd w:val="clear" w:color="auto" w:fill="CCCCCC"/>
            <w:vAlign w:val="bottom"/>
          </w:tcPr>
          <w:p w:rsidR="003B0815" w:rsidRDefault="003B0815" w14:paraId="7953BE6A" w14:textId="77777777">
            <w:pPr>
              <w:keepNext/>
              <w:jc w:val="right"/>
              <w:rPr>
                <w:rFonts w:ascii="Arial" w:hAnsi="Arial"/>
                <w:b/>
                <w:sz w:val="20"/>
                <w:szCs w:val="20"/>
              </w:rPr>
            </w:pPr>
            <w:r>
              <w:rPr>
                <w:rFonts w:ascii="Arial" w:hAnsi="Arial" w:cs="Arial"/>
                <w:b/>
                <w:bCs/>
                <w:sz w:val="20"/>
                <w:szCs w:val="20"/>
              </w:rPr>
              <w:t>2.0</w:t>
            </w:r>
          </w:p>
        </w:tc>
        <w:tc>
          <w:tcPr>
            <w:tcW w:w="1080" w:type="dxa"/>
            <w:tcBorders>
              <w:right w:val="single" w:color="auto" w:sz="12" w:space="0"/>
            </w:tcBorders>
            <w:shd w:val="clear" w:color="auto" w:fill="CCCCCC"/>
            <w:vAlign w:val="bottom"/>
          </w:tcPr>
          <w:p w:rsidR="003B0815" w:rsidRDefault="003B0815" w14:paraId="1CBCF035" w14:textId="77777777">
            <w:pPr>
              <w:keepNext/>
              <w:jc w:val="right"/>
              <w:rPr>
                <w:rFonts w:ascii="Arial" w:hAnsi="Arial"/>
                <w:b/>
                <w:sz w:val="20"/>
                <w:szCs w:val="20"/>
              </w:rPr>
            </w:pPr>
            <w:r>
              <w:rPr>
                <w:rFonts w:ascii="Arial" w:hAnsi="Arial" w:cs="Arial"/>
                <w:b/>
                <w:bCs/>
                <w:sz w:val="20"/>
                <w:szCs w:val="20"/>
              </w:rPr>
              <w:t>3.0</w:t>
            </w:r>
          </w:p>
        </w:tc>
      </w:tr>
      <w:tr w:rsidR="003B0815" w14:paraId="1DCEB464" w14:textId="77777777">
        <w:trPr>
          <w:jc w:val="center"/>
        </w:trPr>
        <w:tc>
          <w:tcPr>
            <w:tcW w:w="679" w:type="dxa"/>
            <w:tcBorders>
              <w:left w:val="single" w:color="auto" w:sz="12" w:space="0"/>
            </w:tcBorders>
          </w:tcPr>
          <w:p w:rsidR="003B0815" w:rsidRDefault="003B0815" w14:paraId="1F43DEB6" w14:textId="77777777">
            <w:pPr>
              <w:keepNext/>
              <w:jc w:val="center"/>
              <w:rPr>
                <w:rFonts w:ascii="Arial" w:hAnsi="Arial"/>
                <w:sz w:val="20"/>
                <w:szCs w:val="20"/>
              </w:rPr>
            </w:pPr>
            <w:r>
              <w:t>2016</w:t>
            </w:r>
          </w:p>
        </w:tc>
        <w:tc>
          <w:tcPr>
            <w:tcW w:w="1353" w:type="dxa"/>
            <w:vAlign w:val="bottom"/>
          </w:tcPr>
          <w:p w:rsidR="003B0815" w:rsidRDefault="003B0815" w14:paraId="09C3B553" w14:textId="77777777">
            <w:pPr>
              <w:keepNext/>
              <w:jc w:val="center"/>
              <w:rPr>
                <w:rFonts w:ascii="Arial" w:hAnsi="Arial"/>
                <w:sz w:val="20"/>
                <w:szCs w:val="20"/>
              </w:rPr>
            </w:pPr>
            <w:r>
              <w:rPr>
                <w:rFonts w:ascii="Arial" w:hAnsi="Arial" w:cs="Arial"/>
                <w:sz w:val="20"/>
                <w:szCs w:val="20"/>
              </w:rPr>
              <w:t>18.2</w:t>
            </w:r>
          </w:p>
        </w:tc>
        <w:tc>
          <w:tcPr>
            <w:tcW w:w="1080" w:type="dxa"/>
            <w:vAlign w:val="bottom"/>
          </w:tcPr>
          <w:p w:rsidR="003B0815" w:rsidRDefault="003B0815" w14:paraId="340FF663" w14:textId="77777777">
            <w:pPr>
              <w:keepNext/>
              <w:jc w:val="center"/>
              <w:rPr>
                <w:rFonts w:ascii="Arial" w:hAnsi="Arial"/>
                <w:sz w:val="20"/>
                <w:szCs w:val="20"/>
              </w:rPr>
            </w:pPr>
            <w:r>
              <w:rPr>
                <w:rFonts w:ascii="Arial" w:hAnsi="Arial" w:cs="Arial"/>
                <w:sz w:val="20"/>
                <w:szCs w:val="20"/>
              </w:rPr>
              <w:t>126,000</w:t>
            </w:r>
          </w:p>
        </w:tc>
        <w:tc>
          <w:tcPr>
            <w:tcW w:w="1080" w:type="dxa"/>
            <w:vAlign w:val="bottom"/>
          </w:tcPr>
          <w:p w:rsidR="003B0815" w:rsidRDefault="003B0815" w14:paraId="636C0782" w14:textId="77777777">
            <w:pPr>
              <w:keepNext/>
              <w:jc w:val="center"/>
              <w:rPr>
                <w:rFonts w:ascii="Arial" w:hAnsi="Arial"/>
                <w:sz w:val="20"/>
                <w:szCs w:val="20"/>
              </w:rPr>
            </w:pPr>
            <w:r>
              <w:rPr>
                <w:rFonts w:ascii="Arial" w:hAnsi="Arial" w:cs="Arial"/>
                <w:sz w:val="20"/>
                <w:szCs w:val="20"/>
              </w:rPr>
              <w:t>101,000</w:t>
            </w:r>
          </w:p>
        </w:tc>
        <w:tc>
          <w:tcPr>
            <w:tcW w:w="1080" w:type="dxa"/>
            <w:vAlign w:val="bottom"/>
          </w:tcPr>
          <w:p w:rsidR="003B0815" w:rsidRDefault="003B0815" w14:paraId="4268F45F" w14:textId="77777777">
            <w:pPr>
              <w:keepNext/>
              <w:jc w:val="center"/>
              <w:rPr>
                <w:rFonts w:ascii="Arial" w:hAnsi="Arial"/>
                <w:sz w:val="20"/>
                <w:szCs w:val="20"/>
              </w:rPr>
            </w:pPr>
            <w:r>
              <w:rPr>
                <w:rFonts w:ascii="Arial" w:hAnsi="Arial" w:cs="Arial"/>
                <w:sz w:val="20"/>
                <w:szCs w:val="20"/>
              </w:rPr>
              <w:t>152,000</w:t>
            </w:r>
          </w:p>
        </w:tc>
        <w:tc>
          <w:tcPr>
            <w:tcW w:w="720" w:type="dxa"/>
            <w:vAlign w:val="bottom"/>
          </w:tcPr>
          <w:p w:rsidR="003B0815" w:rsidRDefault="003B0815" w14:paraId="4F73BACD" w14:textId="77777777">
            <w:pPr>
              <w:keepNext/>
              <w:jc w:val="center"/>
              <w:rPr>
                <w:rFonts w:ascii="Arial" w:hAnsi="Arial"/>
                <w:sz w:val="20"/>
                <w:szCs w:val="20"/>
              </w:rPr>
            </w:pPr>
            <w:r>
              <w:rPr>
                <w:rFonts w:ascii="Arial" w:hAnsi="Arial" w:cs="Arial"/>
                <w:sz w:val="20"/>
                <w:szCs w:val="20"/>
              </w:rPr>
              <w:t>20.69</w:t>
            </w:r>
          </w:p>
        </w:tc>
        <w:tc>
          <w:tcPr>
            <w:tcW w:w="1080" w:type="dxa"/>
            <w:shd w:val="clear" w:color="auto" w:fill="CCCCCC"/>
            <w:vAlign w:val="bottom"/>
          </w:tcPr>
          <w:p w:rsidR="003B0815" w:rsidRDefault="003B0815" w14:paraId="25D21F98" w14:textId="77777777">
            <w:pPr>
              <w:keepNext/>
              <w:jc w:val="right"/>
              <w:rPr>
                <w:rFonts w:ascii="Arial" w:hAnsi="Arial"/>
                <w:b/>
                <w:sz w:val="20"/>
                <w:szCs w:val="20"/>
              </w:rPr>
            </w:pPr>
            <w:r>
              <w:rPr>
                <w:rFonts w:ascii="Arial" w:hAnsi="Arial" w:cs="Arial"/>
                <w:b/>
                <w:bCs/>
                <w:sz w:val="20"/>
                <w:szCs w:val="20"/>
              </w:rPr>
              <w:t>2.6</w:t>
            </w:r>
          </w:p>
        </w:tc>
        <w:tc>
          <w:tcPr>
            <w:tcW w:w="1080" w:type="dxa"/>
            <w:shd w:val="clear" w:color="auto" w:fill="CCCCCC"/>
            <w:vAlign w:val="bottom"/>
          </w:tcPr>
          <w:p w:rsidR="003B0815" w:rsidRDefault="003B0815" w14:paraId="0912CAE3" w14:textId="77777777">
            <w:pPr>
              <w:keepNext/>
              <w:jc w:val="right"/>
              <w:rPr>
                <w:rFonts w:ascii="Arial" w:hAnsi="Arial"/>
                <w:b/>
                <w:sz w:val="20"/>
                <w:szCs w:val="20"/>
              </w:rPr>
            </w:pPr>
            <w:r>
              <w:rPr>
                <w:rFonts w:ascii="Arial" w:hAnsi="Arial" w:cs="Arial"/>
                <w:b/>
                <w:bCs/>
                <w:sz w:val="20"/>
                <w:szCs w:val="20"/>
              </w:rPr>
              <w:t>2.1</w:t>
            </w:r>
          </w:p>
        </w:tc>
        <w:tc>
          <w:tcPr>
            <w:tcW w:w="1080" w:type="dxa"/>
            <w:tcBorders>
              <w:right w:val="single" w:color="auto" w:sz="12" w:space="0"/>
            </w:tcBorders>
            <w:shd w:val="clear" w:color="auto" w:fill="CCCCCC"/>
            <w:vAlign w:val="bottom"/>
          </w:tcPr>
          <w:p w:rsidR="003B0815" w:rsidRDefault="003B0815" w14:paraId="30FE1093" w14:textId="77777777">
            <w:pPr>
              <w:keepNext/>
              <w:jc w:val="right"/>
              <w:rPr>
                <w:rFonts w:ascii="Arial" w:hAnsi="Arial"/>
                <w:b/>
                <w:sz w:val="20"/>
                <w:szCs w:val="20"/>
              </w:rPr>
            </w:pPr>
            <w:r>
              <w:rPr>
                <w:rFonts w:ascii="Arial" w:hAnsi="Arial" w:cs="Arial"/>
                <w:b/>
                <w:bCs/>
                <w:sz w:val="20"/>
                <w:szCs w:val="20"/>
              </w:rPr>
              <w:t>3.1</w:t>
            </w:r>
          </w:p>
        </w:tc>
      </w:tr>
      <w:tr w:rsidR="003B0815" w14:paraId="0E4AB46F" w14:textId="77777777">
        <w:trPr>
          <w:jc w:val="center"/>
        </w:trPr>
        <w:tc>
          <w:tcPr>
            <w:tcW w:w="679" w:type="dxa"/>
            <w:tcBorders>
              <w:left w:val="single" w:color="auto" w:sz="12" w:space="0"/>
              <w:bottom w:val="single" w:color="auto" w:sz="4" w:space="0"/>
            </w:tcBorders>
          </w:tcPr>
          <w:p w:rsidR="003B0815" w:rsidRDefault="003B0815" w14:paraId="1DEB23C4" w14:textId="77777777">
            <w:pPr>
              <w:keepNext/>
              <w:jc w:val="center"/>
              <w:rPr>
                <w:rFonts w:ascii="Arial" w:hAnsi="Arial"/>
                <w:sz w:val="20"/>
                <w:szCs w:val="20"/>
              </w:rPr>
            </w:pPr>
            <w:r>
              <w:t>2017</w:t>
            </w:r>
          </w:p>
        </w:tc>
        <w:tc>
          <w:tcPr>
            <w:tcW w:w="1353" w:type="dxa"/>
            <w:tcBorders>
              <w:bottom w:val="single" w:color="auto" w:sz="4" w:space="0"/>
            </w:tcBorders>
            <w:vAlign w:val="bottom"/>
          </w:tcPr>
          <w:p w:rsidR="003B0815" w:rsidRDefault="003B0815" w14:paraId="60C7DBF6" w14:textId="77777777">
            <w:pPr>
              <w:keepNext/>
              <w:jc w:val="center"/>
              <w:rPr>
                <w:rFonts w:ascii="Arial" w:hAnsi="Arial"/>
                <w:sz w:val="20"/>
                <w:szCs w:val="20"/>
              </w:rPr>
            </w:pPr>
            <w:r>
              <w:rPr>
                <w:rFonts w:ascii="Arial" w:hAnsi="Arial" w:cs="Arial"/>
                <w:sz w:val="20"/>
                <w:szCs w:val="20"/>
              </w:rPr>
              <w:t>19.1</w:t>
            </w:r>
          </w:p>
        </w:tc>
        <w:tc>
          <w:tcPr>
            <w:tcW w:w="1080" w:type="dxa"/>
            <w:tcBorders>
              <w:bottom w:val="single" w:color="auto" w:sz="4" w:space="0"/>
            </w:tcBorders>
            <w:vAlign w:val="bottom"/>
          </w:tcPr>
          <w:p w:rsidR="003B0815" w:rsidRDefault="003B0815" w14:paraId="6E4E4A53" w14:textId="77777777">
            <w:pPr>
              <w:keepNext/>
              <w:jc w:val="center"/>
              <w:rPr>
                <w:rFonts w:ascii="Arial" w:hAnsi="Arial"/>
                <w:sz w:val="20"/>
                <w:szCs w:val="20"/>
              </w:rPr>
            </w:pPr>
            <w:r>
              <w:rPr>
                <w:rFonts w:ascii="Arial" w:hAnsi="Arial" w:cs="Arial"/>
                <w:sz w:val="20"/>
                <w:szCs w:val="20"/>
              </w:rPr>
              <w:t>133,000</w:t>
            </w:r>
          </w:p>
        </w:tc>
        <w:tc>
          <w:tcPr>
            <w:tcW w:w="1080" w:type="dxa"/>
            <w:tcBorders>
              <w:bottom w:val="single" w:color="auto" w:sz="4" w:space="0"/>
            </w:tcBorders>
            <w:vAlign w:val="bottom"/>
          </w:tcPr>
          <w:p w:rsidR="003B0815" w:rsidRDefault="003B0815" w14:paraId="4C8649D0" w14:textId="77777777">
            <w:pPr>
              <w:keepNext/>
              <w:jc w:val="center"/>
              <w:rPr>
                <w:rFonts w:ascii="Arial" w:hAnsi="Arial"/>
                <w:sz w:val="20"/>
                <w:szCs w:val="20"/>
              </w:rPr>
            </w:pPr>
            <w:r>
              <w:rPr>
                <w:rFonts w:ascii="Arial" w:hAnsi="Arial" w:cs="Arial"/>
                <w:sz w:val="20"/>
                <w:szCs w:val="20"/>
              </w:rPr>
              <w:t>106,000</w:t>
            </w:r>
          </w:p>
        </w:tc>
        <w:tc>
          <w:tcPr>
            <w:tcW w:w="1080" w:type="dxa"/>
            <w:tcBorders>
              <w:bottom w:val="single" w:color="auto" w:sz="4" w:space="0"/>
            </w:tcBorders>
            <w:vAlign w:val="bottom"/>
          </w:tcPr>
          <w:p w:rsidR="003B0815" w:rsidRDefault="003B0815" w14:paraId="56CA8D8C" w14:textId="77777777">
            <w:pPr>
              <w:keepNext/>
              <w:jc w:val="center"/>
              <w:rPr>
                <w:rFonts w:ascii="Arial" w:hAnsi="Arial"/>
                <w:sz w:val="20"/>
                <w:szCs w:val="20"/>
              </w:rPr>
            </w:pPr>
            <w:r>
              <w:rPr>
                <w:rFonts w:ascii="Arial" w:hAnsi="Arial" w:cs="Arial"/>
                <w:sz w:val="20"/>
                <w:szCs w:val="20"/>
              </w:rPr>
              <w:t>159,000</w:t>
            </w:r>
          </w:p>
        </w:tc>
        <w:tc>
          <w:tcPr>
            <w:tcW w:w="720" w:type="dxa"/>
            <w:tcBorders>
              <w:bottom w:val="single" w:color="auto" w:sz="4" w:space="0"/>
            </w:tcBorders>
            <w:vAlign w:val="bottom"/>
          </w:tcPr>
          <w:p w:rsidR="003B0815" w:rsidRDefault="003B0815" w14:paraId="33A51DA9" w14:textId="77777777">
            <w:pPr>
              <w:keepNext/>
              <w:jc w:val="center"/>
              <w:rPr>
                <w:rFonts w:ascii="Arial" w:hAnsi="Arial"/>
                <w:sz w:val="20"/>
                <w:szCs w:val="20"/>
              </w:rPr>
            </w:pPr>
            <w:r>
              <w:rPr>
                <w:rFonts w:ascii="Arial" w:hAnsi="Arial" w:cs="Arial"/>
                <w:sz w:val="20"/>
                <w:szCs w:val="20"/>
              </w:rPr>
              <w:t xml:space="preserve">$20.69 </w:t>
            </w:r>
          </w:p>
        </w:tc>
        <w:tc>
          <w:tcPr>
            <w:tcW w:w="1080" w:type="dxa"/>
            <w:tcBorders>
              <w:bottom w:val="single" w:color="auto" w:sz="4" w:space="0"/>
            </w:tcBorders>
            <w:shd w:val="clear" w:color="auto" w:fill="CCCCCC"/>
            <w:vAlign w:val="bottom"/>
          </w:tcPr>
          <w:p w:rsidR="003B0815" w:rsidRDefault="003B0815" w14:paraId="606FA227" w14:textId="77777777">
            <w:pPr>
              <w:keepNext/>
              <w:jc w:val="right"/>
              <w:rPr>
                <w:rFonts w:ascii="Arial" w:hAnsi="Arial"/>
                <w:b/>
                <w:sz w:val="20"/>
                <w:szCs w:val="20"/>
              </w:rPr>
            </w:pPr>
            <w:r>
              <w:rPr>
                <w:rFonts w:ascii="Arial" w:hAnsi="Arial" w:cs="Arial"/>
                <w:b/>
                <w:bCs/>
                <w:sz w:val="20"/>
                <w:szCs w:val="20"/>
              </w:rPr>
              <w:t>$2.8</w:t>
            </w:r>
          </w:p>
        </w:tc>
        <w:tc>
          <w:tcPr>
            <w:tcW w:w="1080" w:type="dxa"/>
            <w:tcBorders>
              <w:bottom w:val="single" w:color="auto" w:sz="4" w:space="0"/>
            </w:tcBorders>
            <w:shd w:val="clear" w:color="auto" w:fill="CCCCCC"/>
            <w:vAlign w:val="bottom"/>
          </w:tcPr>
          <w:p w:rsidR="003B0815" w:rsidRDefault="003B0815" w14:paraId="35AC9021" w14:textId="77777777">
            <w:pPr>
              <w:keepNext/>
              <w:jc w:val="right"/>
              <w:rPr>
                <w:rFonts w:ascii="Arial" w:hAnsi="Arial"/>
                <w:b/>
                <w:sz w:val="20"/>
                <w:szCs w:val="20"/>
              </w:rPr>
            </w:pPr>
            <w:r>
              <w:rPr>
                <w:rFonts w:ascii="Arial" w:hAnsi="Arial" w:cs="Arial"/>
                <w:b/>
                <w:bCs/>
                <w:sz w:val="20"/>
                <w:szCs w:val="20"/>
              </w:rPr>
              <w:t>$2.2</w:t>
            </w:r>
          </w:p>
        </w:tc>
        <w:tc>
          <w:tcPr>
            <w:tcW w:w="1080" w:type="dxa"/>
            <w:tcBorders>
              <w:bottom w:val="single" w:color="auto" w:sz="4" w:space="0"/>
              <w:right w:val="single" w:color="auto" w:sz="12" w:space="0"/>
            </w:tcBorders>
            <w:shd w:val="clear" w:color="auto" w:fill="CCCCCC"/>
            <w:vAlign w:val="bottom"/>
          </w:tcPr>
          <w:p w:rsidR="003B0815" w:rsidRDefault="003B0815" w14:paraId="38221349" w14:textId="77777777">
            <w:pPr>
              <w:keepNext/>
              <w:jc w:val="right"/>
              <w:rPr>
                <w:rFonts w:ascii="Arial" w:hAnsi="Arial"/>
                <w:b/>
                <w:sz w:val="20"/>
                <w:szCs w:val="20"/>
              </w:rPr>
            </w:pPr>
            <w:r>
              <w:rPr>
                <w:rFonts w:ascii="Arial" w:hAnsi="Arial" w:cs="Arial"/>
                <w:b/>
                <w:bCs/>
                <w:sz w:val="20"/>
                <w:szCs w:val="20"/>
              </w:rPr>
              <w:t>$3.3</w:t>
            </w:r>
          </w:p>
        </w:tc>
      </w:tr>
      <w:tr w:rsidR="003B0815" w14:paraId="3CFA61A0" w14:textId="77777777">
        <w:trPr>
          <w:jc w:val="center"/>
        </w:trPr>
        <w:tc>
          <w:tcPr>
            <w:tcW w:w="679" w:type="dxa"/>
            <w:tcBorders>
              <w:left w:val="single" w:color="auto" w:sz="12" w:space="0"/>
              <w:bottom w:val="single" w:color="auto" w:sz="12" w:space="0"/>
              <w:right w:val="nil"/>
            </w:tcBorders>
            <w:vAlign w:val="bottom"/>
          </w:tcPr>
          <w:p w:rsidR="003B0815" w:rsidRDefault="003B0815" w14:paraId="62F8C2CA" w14:textId="77777777">
            <w:pPr>
              <w:keepNext/>
              <w:jc w:val="center"/>
              <w:rPr>
                <w:rFonts w:ascii="Arial" w:hAnsi="Arial"/>
                <w:b/>
                <w:sz w:val="20"/>
                <w:szCs w:val="20"/>
              </w:rPr>
            </w:pPr>
            <w:r>
              <w:rPr>
                <w:rFonts w:ascii="Arial" w:hAnsi="Arial" w:cs="Arial"/>
                <w:b/>
                <w:bCs/>
                <w:sz w:val="20"/>
                <w:szCs w:val="20"/>
              </w:rPr>
              <w:t>Total</w:t>
            </w:r>
          </w:p>
        </w:tc>
        <w:tc>
          <w:tcPr>
            <w:tcW w:w="1353" w:type="dxa"/>
            <w:tcBorders>
              <w:left w:val="nil"/>
              <w:bottom w:val="single" w:color="auto" w:sz="12" w:space="0"/>
              <w:right w:val="nil"/>
            </w:tcBorders>
            <w:vAlign w:val="bottom"/>
          </w:tcPr>
          <w:p w:rsidR="003B0815" w:rsidRDefault="003B0815" w14:paraId="7C55AF9F"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7E3F6AB5"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61ED9D02"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73AD4E49" w14:textId="77777777">
            <w:pPr>
              <w:keepNext/>
              <w:jc w:val="center"/>
              <w:rPr>
                <w:rFonts w:ascii="Arial" w:hAnsi="Arial"/>
                <w:sz w:val="20"/>
                <w:szCs w:val="20"/>
              </w:rPr>
            </w:pPr>
            <w:r>
              <w:rPr>
                <w:rFonts w:ascii="Arial" w:hAnsi="Arial" w:cs="Arial"/>
                <w:sz w:val="20"/>
                <w:szCs w:val="20"/>
              </w:rPr>
              <w:t> </w:t>
            </w:r>
          </w:p>
        </w:tc>
        <w:tc>
          <w:tcPr>
            <w:tcW w:w="720" w:type="dxa"/>
            <w:tcBorders>
              <w:left w:val="nil"/>
              <w:bottom w:val="single" w:color="auto" w:sz="12" w:space="0"/>
              <w:right w:val="nil"/>
            </w:tcBorders>
            <w:vAlign w:val="bottom"/>
          </w:tcPr>
          <w:p w:rsidR="003B0815" w:rsidRDefault="003B0815" w14:paraId="5AA12A53" w14:textId="77777777">
            <w:pPr>
              <w:keepNext/>
              <w:jc w:val="center"/>
              <w:rPr>
                <w:rFonts w:ascii="Arial" w:hAnsi="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73E189E4" w14:textId="77777777">
            <w:pPr>
              <w:keepNext/>
              <w:jc w:val="right"/>
              <w:rPr>
                <w:rFonts w:ascii="Arial" w:hAnsi="Arial"/>
                <w:b/>
                <w:sz w:val="20"/>
                <w:szCs w:val="20"/>
              </w:rPr>
            </w:pPr>
            <w:r>
              <w:rPr>
                <w:rFonts w:ascii="Arial" w:hAnsi="Arial" w:cs="Arial"/>
                <w:b/>
                <w:bCs/>
                <w:sz w:val="20"/>
                <w:szCs w:val="20"/>
              </w:rPr>
              <w:t>$22.4</w:t>
            </w:r>
          </w:p>
        </w:tc>
        <w:tc>
          <w:tcPr>
            <w:tcW w:w="1080" w:type="dxa"/>
            <w:tcBorders>
              <w:left w:val="nil"/>
              <w:bottom w:val="single" w:color="auto" w:sz="12" w:space="0"/>
              <w:right w:val="nil"/>
            </w:tcBorders>
            <w:vAlign w:val="bottom"/>
          </w:tcPr>
          <w:p w:rsidR="003B0815" w:rsidRDefault="003B0815" w14:paraId="2E73E491" w14:textId="77777777">
            <w:pPr>
              <w:keepNext/>
              <w:jc w:val="right"/>
              <w:rPr>
                <w:rFonts w:ascii="Arial" w:hAnsi="Arial"/>
                <w:b/>
                <w:sz w:val="20"/>
                <w:szCs w:val="20"/>
              </w:rPr>
            </w:pPr>
            <w:r>
              <w:rPr>
                <w:rFonts w:ascii="Arial" w:hAnsi="Arial" w:cs="Arial"/>
                <w:b/>
                <w:bCs/>
                <w:sz w:val="20"/>
                <w:szCs w:val="20"/>
              </w:rPr>
              <w:t>$17.8</w:t>
            </w:r>
          </w:p>
        </w:tc>
        <w:tc>
          <w:tcPr>
            <w:tcW w:w="1080" w:type="dxa"/>
            <w:tcBorders>
              <w:left w:val="nil"/>
              <w:bottom w:val="single" w:color="auto" w:sz="12" w:space="0"/>
              <w:right w:val="single" w:color="auto" w:sz="12" w:space="0"/>
            </w:tcBorders>
            <w:vAlign w:val="bottom"/>
          </w:tcPr>
          <w:p w:rsidR="003B0815" w:rsidRDefault="003B0815" w14:paraId="2F146884" w14:textId="77777777">
            <w:pPr>
              <w:keepNext/>
              <w:jc w:val="right"/>
              <w:rPr>
                <w:rFonts w:ascii="Arial" w:hAnsi="Arial"/>
                <w:b/>
                <w:sz w:val="20"/>
                <w:szCs w:val="20"/>
              </w:rPr>
            </w:pPr>
            <w:r>
              <w:rPr>
                <w:rFonts w:ascii="Arial" w:hAnsi="Arial" w:cs="Arial"/>
                <w:b/>
                <w:bCs/>
                <w:sz w:val="20"/>
                <w:szCs w:val="20"/>
              </w:rPr>
              <w:t>$26.7</w:t>
            </w:r>
          </w:p>
        </w:tc>
      </w:tr>
    </w:tbl>
    <w:p w:rsidR="003B0815" w:rsidRDefault="003B0815" w14:paraId="6C801083" w14:textId="77777777">
      <w:pPr>
        <w:spacing w:line="360" w:lineRule="auto"/>
      </w:pPr>
    </w:p>
    <w:p w:rsidR="003B0815" w:rsidRDefault="003B0815" w14:paraId="0806662F" w14:textId="77777777">
      <w:pPr>
        <w:spacing w:line="360" w:lineRule="auto"/>
        <w:rPr>
          <w:b/>
        </w:rPr>
      </w:pPr>
      <w:r>
        <w:rPr>
          <w:b/>
        </w:rPr>
        <w:t>Travel Agencies’ Collection Cost Summary</w:t>
      </w:r>
    </w:p>
    <w:p w:rsidR="003B0815" w:rsidRDefault="003B0815" w14:paraId="788ABE76" w14:textId="77777777">
      <w:pPr>
        <w:spacing w:line="360" w:lineRule="auto"/>
        <w:ind w:firstLine="720"/>
      </w:pPr>
      <w:r>
        <w:t>Combined over domestic, international and overflight reservations, travel agencies incur $310.7 million over ten years to collect the additional information at the time of reservation.  Table 1.6.4.d shows year-by-year estimates.</w:t>
      </w:r>
    </w:p>
    <w:p w:rsidR="003B0815" w:rsidRDefault="003B0815" w14:paraId="7DB9A734" w14:textId="77777777">
      <w:pPr>
        <w:spacing w:line="360" w:lineRule="auto"/>
        <w:ind w:firstLine="720"/>
      </w:pPr>
    </w:p>
    <w:p w:rsidR="003B0815" w:rsidRDefault="003B0815" w14:paraId="56507D49" w14:textId="77777777">
      <w:pPr>
        <w:spacing w:line="360" w:lineRule="auto"/>
        <w:ind w:firstLine="720"/>
      </w:pPr>
    </w:p>
    <w:p w:rsidR="003B0815" w:rsidRDefault="003B0815" w14:paraId="68E33C0C" w14:textId="77777777">
      <w:pPr>
        <w:pStyle w:val="Caption"/>
        <w:keepNex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4"/>
        <w:gridCol w:w="1440"/>
        <w:gridCol w:w="1440"/>
        <w:gridCol w:w="1440"/>
        <w:gridCol w:w="1543"/>
      </w:tblGrid>
      <w:tr w:rsidR="003B0815" w14:paraId="02AEC76E" w14:textId="77777777">
        <w:trPr>
          <w:cantSplit/>
          <w:jc w:val="center"/>
        </w:trPr>
        <w:tc>
          <w:tcPr>
            <w:tcW w:w="7407" w:type="dxa"/>
            <w:gridSpan w:val="5"/>
            <w:tcBorders>
              <w:top w:val="nil"/>
              <w:left w:val="nil"/>
              <w:bottom w:val="single" w:color="auto" w:sz="12" w:space="0"/>
              <w:right w:val="nil"/>
            </w:tcBorders>
          </w:tcPr>
          <w:p w:rsidR="003B0815" w:rsidRDefault="003B0815" w14:paraId="70839317" w14:textId="77777777">
            <w:pPr>
              <w:keepNext/>
              <w:jc w:val="center"/>
              <w:rPr>
                <w:rFonts w:ascii="Arial" w:hAnsi="Arial" w:cs="Arial"/>
                <w:b/>
                <w:sz w:val="20"/>
                <w:szCs w:val="20"/>
              </w:rPr>
            </w:pPr>
            <w:r>
              <w:rPr>
                <w:rFonts w:ascii="Arial" w:hAnsi="Arial" w:cs="Arial"/>
                <w:b/>
                <w:sz w:val="20"/>
                <w:szCs w:val="20"/>
              </w:rPr>
              <w:t>Table 1.6.4.d Total Marginal Cost for Travel Agency Data Collections (millions of constant 2005 $)</w:t>
            </w:r>
          </w:p>
        </w:tc>
      </w:tr>
      <w:tr w:rsidR="003B0815" w14:paraId="647E5140" w14:textId="77777777">
        <w:trPr>
          <w:cantSplit/>
          <w:jc w:val="center"/>
        </w:trPr>
        <w:tc>
          <w:tcPr>
            <w:tcW w:w="1544" w:type="dxa"/>
            <w:tcBorders>
              <w:top w:val="single" w:color="auto" w:sz="12" w:space="0"/>
              <w:left w:val="single" w:color="auto" w:sz="12" w:space="0"/>
            </w:tcBorders>
            <w:vAlign w:val="center"/>
          </w:tcPr>
          <w:p w:rsidR="003B0815" w:rsidRDefault="003B0815" w14:paraId="062573FF" w14:textId="77777777">
            <w:pPr>
              <w:keepNext/>
              <w:jc w:val="center"/>
              <w:rPr>
                <w:rFonts w:ascii="Arial" w:hAnsi="Arial" w:cs="Arial"/>
                <w:b/>
                <w:sz w:val="20"/>
                <w:szCs w:val="20"/>
              </w:rPr>
            </w:pPr>
            <w:r>
              <w:rPr>
                <w:rFonts w:ascii="Arial" w:hAnsi="Arial" w:cs="Arial"/>
                <w:b/>
                <w:sz w:val="20"/>
                <w:szCs w:val="20"/>
              </w:rPr>
              <w:t>Fiscal Year</w:t>
            </w:r>
          </w:p>
        </w:tc>
        <w:tc>
          <w:tcPr>
            <w:tcW w:w="1440" w:type="dxa"/>
            <w:tcBorders>
              <w:top w:val="single" w:color="auto" w:sz="12" w:space="0"/>
            </w:tcBorders>
            <w:vAlign w:val="center"/>
          </w:tcPr>
          <w:p w:rsidR="003B0815" w:rsidRDefault="003B0815" w14:paraId="65DFB77B" w14:textId="77777777">
            <w:pPr>
              <w:keepNext/>
              <w:jc w:val="center"/>
              <w:rPr>
                <w:rFonts w:ascii="Arial" w:hAnsi="Arial" w:cs="Arial"/>
                <w:b/>
                <w:sz w:val="20"/>
                <w:szCs w:val="20"/>
              </w:rPr>
            </w:pPr>
            <w:r>
              <w:rPr>
                <w:rFonts w:ascii="Arial" w:hAnsi="Arial" w:cs="Arial"/>
                <w:b/>
                <w:sz w:val="20"/>
                <w:szCs w:val="20"/>
              </w:rPr>
              <w:t>Domestic</w:t>
            </w:r>
          </w:p>
        </w:tc>
        <w:tc>
          <w:tcPr>
            <w:tcW w:w="1440" w:type="dxa"/>
            <w:tcBorders>
              <w:top w:val="single" w:color="auto" w:sz="12" w:space="0"/>
            </w:tcBorders>
            <w:vAlign w:val="center"/>
          </w:tcPr>
          <w:p w:rsidR="003B0815" w:rsidRDefault="003B0815" w14:paraId="528EE335" w14:textId="77777777">
            <w:pPr>
              <w:keepNext/>
              <w:jc w:val="center"/>
              <w:rPr>
                <w:rFonts w:ascii="Arial" w:hAnsi="Arial" w:cs="Arial"/>
                <w:b/>
                <w:sz w:val="20"/>
                <w:szCs w:val="20"/>
              </w:rPr>
            </w:pPr>
            <w:r>
              <w:rPr>
                <w:rFonts w:ascii="Arial" w:hAnsi="Arial" w:cs="Arial"/>
                <w:b/>
                <w:sz w:val="20"/>
                <w:szCs w:val="20"/>
              </w:rPr>
              <w:t>International</w:t>
            </w:r>
          </w:p>
        </w:tc>
        <w:tc>
          <w:tcPr>
            <w:tcW w:w="1440" w:type="dxa"/>
            <w:tcBorders>
              <w:top w:val="single" w:color="auto" w:sz="12" w:space="0"/>
            </w:tcBorders>
            <w:vAlign w:val="center"/>
          </w:tcPr>
          <w:p w:rsidR="003B0815" w:rsidRDefault="003B0815" w14:paraId="4EAF4AA2" w14:textId="77777777">
            <w:pPr>
              <w:keepNext/>
              <w:jc w:val="center"/>
              <w:rPr>
                <w:rFonts w:ascii="Arial" w:hAnsi="Arial" w:cs="Arial"/>
                <w:b/>
                <w:sz w:val="20"/>
                <w:szCs w:val="20"/>
              </w:rPr>
            </w:pPr>
            <w:r>
              <w:rPr>
                <w:rFonts w:ascii="Arial" w:hAnsi="Arial" w:cs="Arial"/>
                <w:b/>
                <w:sz w:val="20"/>
                <w:szCs w:val="20"/>
              </w:rPr>
              <w:t>Overflight</w:t>
            </w:r>
          </w:p>
        </w:tc>
        <w:tc>
          <w:tcPr>
            <w:tcW w:w="1543" w:type="dxa"/>
            <w:tcBorders>
              <w:top w:val="single" w:color="auto" w:sz="12" w:space="0"/>
              <w:bottom w:val="single" w:color="auto" w:sz="4" w:space="0"/>
              <w:right w:val="single" w:color="auto" w:sz="12" w:space="0"/>
            </w:tcBorders>
            <w:vAlign w:val="center"/>
          </w:tcPr>
          <w:p w:rsidR="003B0815" w:rsidRDefault="003B0815" w14:paraId="35CF15A6" w14:textId="77777777">
            <w:pPr>
              <w:keepNext/>
              <w:jc w:val="center"/>
              <w:rPr>
                <w:rFonts w:ascii="Arial" w:hAnsi="Arial" w:cs="Arial"/>
                <w:b/>
                <w:sz w:val="20"/>
                <w:szCs w:val="20"/>
              </w:rPr>
            </w:pPr>
            <w:r>
              <w:rPr>
                <w:rFonts w:ascii="Arial" w:hAnsi="Arial" w:cs="Arial"/>
                <w:b/>
                <w:sz w:val="20"/>
                <w:szCs w:val="20"/>
              </w:rPr>
              <w:t>Total</w:t>
            </w:r>
          </w:p>
        </w:tc>
      </w:tr>
      <w:tr w:rsidR="003B0815" w14:paraId="05BDEA79" w14:textId="77777777">
        <w:trPr>
          <w:cantSplit/>
          <w:jc w:val="center"/>
        </w:trPr>
        <w:tc>
          <w:tcPr>
            <w:tcW w:w="1544" w:type="dxa"/>
            <w:tcBorders>
              <w:left w:val="single" w:color="auto" w:sz="12" w:space="0"/>
            </w:tcBorders>
          </w:tcPr>
          <w:p w:rsidR="003B0815" w:rsidRDefault="003B0815" w14:paraId="5CFFFD2F" w14:textId="77777777">
            <w:pPr>
              <w:keepNext/>
              <w:jc w:val="center"/>
              <w:rPr>
                <w:rFonts w:ascii="Arial" w:hAnsi="Arial" w:cs="Arial"/>
                <w:sz w:val="20"/>
                <w:szCs w:val="20"/>
              </w:rPr>
            </w:pPr>
            <w:r>
              <w:t>2008</w:t>
            </w:r>
          </w:p>
        </w:tc>
        <w:tc>
          <w:tcPr>
            <w:tcW w:w="1440" w:type="dxa"/>
          </w:tcPr>
          <w:p w:rsidR="003B0815" w:rsidRDefault="003B0815" w14:paraId="63A0D45B" w14:textId="77777777">
            <w:pPr>
              <w:keepNext/>
              <w:jc w:val="center"/>
              <w:rPr>
                <w:rFonts w:ascii="Arial" w:hAnsi="Arial" w:cs="Arial"/>
                <w:sz w:val="20"/>
                <w:szCs w:val="20"/>
              </w:rPr>
            </w:pPr>
            <w:r>
              <w:rPr>
                <w:rFonts w:ascii="Arial" w:hAnsi="Arial" w:cs="Arial"/>
                <w:sz w:val="20"/>
                <w:szCs w:val="20"/>
              </w:rPr>
              <w:t>$20.0</w:t>
            </w:r>
          </w:p>
        </w:tc>
        <w:tc>
          <w:tcPr>
            <w:tcW w:w="1440" w:type="dxa"/>
          </w:tcPr>
          <w:p w:rsidR="003B0815" w:rsidRDefault="003B0815" w14:paraId="2BFF908F" w14:textId="77777777">
            <w:pPr>
              <w:keepNext/>
              <w:jc w:val="center"/>
              <w:rPr>
                <w:rFonts w:ascii="Arial" w:hAnsi="Arial" w:cs="Arial"/>
                <w:sz w:val="20"/>
                <w:szCs w:val="20"/>
              </w:rPr>
            </w:pPr>
            <w:r>
              <w:rPr>
                <w:rFonts w:ascii="Arial" w:hAnsi="Arial" w:cs="Arial"/>
                <w:sz w:val="20"/>
                <w:szCs w:val="20"/>
              </w:rPr>
              <w:t>$4.5</w:t>
            </w:r>
          </w:p>
        </w:tc>
        <w:tc>
          <w:tcPr>
            <w:tcW w:w="1440" w:type="dxa"/>
          </w:tcPr>
          <w:p w:rsidR="003B0815" w:rsidRDefault="003B0815" w14:paraId="06598E34" w14:textId="77777777">
            <w:pPr>
              <w:keepNext/>
              <w:jc w:val="center"/>
              <w:rPr>
                <w:rFonts w:ascii="Arial" w:hAnsi="Arial" w:cs="Arial"/>
                <w:sz w:val="20"/>
                <w:szCs w:val="20"/>
              </w:rPr>
            </w:pPr>
            <w:r>
              <w:rPr>
                <w:rFonts w:ascii="Arial" w:hAnsi="Arial" w:cs="Arial"/>
                <w:sz w:val="20"/>
                <w:szCs w:val="20"/>
              </w:rPr>
              <w:t>$1.8</w:t>
            </w:r>
          </w:p>
        </w:tc>
        <w:tc>
          <w:tcPr>
            <w:tcW w:w="1543" w:type="dxa"/>
            <w:tcBorders>
              <w:right w:val="single" w:color="auto" w:sz="12" w:space="0"/>
            </w:tcBorders>
            <w:shd w:val="clear" w:color="auto" w:fill="CCCCCC"/>
          </w:tcPr>
          <w:p w:rsidR="003B0815" w:rsidRDefault="003B0815" w14:paraId="34B1029C" w14:textId="77777777">
            <w:pPr>
              <w:keepNext/>
              <w:jc w:val="center"/>
              <w:rPr>
                <w:rFonts w:ascii="Arial" w:hAnsi="Arial" w:cs="Arial"/>
                <w:b/>
                <w:sz w:val="20"/>
                <w:szCs w:val="20"/>
              </w:rPr>
            </w:pPr>
            <w:r>
              <w:rPr>
                <w:rFonts w:ascii="Arial" w:hAnsi="Arial" w:cs="Arial"/>
                <w:b/>
                <w:bCs/>
                <w:sz w:val="20"/>
                <w:szCs w:val="20"/>
              </w:rPr>
              <w:t>$26.3</w:t>
            </w:r>
          </w:p>
        </w:tc>
      </w:tr>
      <w:tr w:rsidR="003B0815" w14:paraId="113CC458" w14:textId="77777777">
        <w:trPr>
          <w:cantSplit/>
          <w:jc w:val="center"/>
        </w:trPr>
        <w:tc>
          <w:tcPr>
            <w:tcW w:w="1544" w:type="dxa"/>
            <w:tcBorders>
              <w:left w:val="single" w:color="auto" w:sz="12" w:space="0"/>
            </w:tcBorders>
          </w:tcPr>
          <w:p w:rsidR="003B0815" w:rsidRDefault="003B0815" w14:paraId="61D8E897" w14:textId="77777777">
            <w:pPr>
              <w:keepNext/>
              <w:jc w:val="center"/>
              <w:rPr>
                <w:rFonts w:ascii="Arial" w:hAnsi="Arial" w:cs="Arial"/>
                <w:sz w:val="20"/>
                <w:szCs w:val="20"/>
              </w:rPr>
            </w:pPr>
            <w:r>
              <w:t>2009</w:t>
            </w:r>
          </w:p>
        </w:tc>
        <w:tc>
          <w:tcPr>
            <w:tcW w:w="1440" w:type="dxa"/>
          </w:tcPr>
          <w:p w:rsidR="003B0815" w:rsidRDefault="003B0815" w14:paraId="595FD161" w14:textId="77777777">
            <w:pPr>
              <w:keepNext/>
              <w:jc w:val="center"/>
              <w:rPr>
                <w:rFonts w:ascii="Arial" w:hAnsi="Arial" w:cs="Arial"/>
                <w:sz w:val="20"/>
                <w:szCs w:val="20"/>
              </w:rPr>
            </w:pPr>
            <w:r>
              <w:rPr>
                <w:rFonts w:ascii="Arial" w:hAnsi="Arial" w:cs="Arial"/>
                <w:sz w:val="20"/>
                <w:szCs w:val="20"/>
              </w:rPr>
              <w:t>20.7</w:t>
            </w:r>
          </w:p>
        </w:tc>
        <w:tc>
          <w:tcPr>
            <w:tcW w:w="1440" w:type="dxa"/>
          </w:tcPr>
          <w:p w:rsidR="003B0815" w:rsidRDefault="003B0815" w14:paraId="4BF05EFD" w14:textId="77777777">
            <w:pPr>
              <w:keepNext/>
              <w:jc w:val="center"/>
              <w:rPr>
                <w:rFonts w:ascii="Arial" w:hAnsi="Arial" w:cs="Arial"/>
                <w:sz w:val="20"/>
                <w:szCs w:val="20"/>
              </w:rPr>
            </w:pPr>
            <w:r>
              <w:rPr>
                <w:rFonts w:ascii="Arial" w:hAnsi="Arial" w:cs="Arial"/>
                <w:sz w:val="20"/>
                <w:szCs w:val="20"/>
              </w:rPr>
              <w:t>4.7</w:t>
            </w:r>
          </w:p>
        </w:tc>
        <w:tc>
          <w:tcPr>
            <w:tcW w:w="1440" w:type="dxa"/>
          </w:tcPr>
          <w:p w:rsidR="003B0815" w:rsidRDefault="003B0815" w14:paraId="5F78E733" w14:textId="77777777">
            <w:pPr>
              <w:keepNext/>
              <w:jc w:val="center"/>
              <w:rPr>
                <w:rFonts w:ascii="Arial" w:hAnsi="Arial" w:cs="Arial"/>
                <w:sz w:val="20"/>
                <w:szCs w:val="20"/>
              </w:rPr>
            </w:pPr>
            <w:r>
              <w:rPr>
                <w:rFonts w:ascii="Arial" w:hAnsi="Arial" w:cs="Arial"/>
                <w:sz w:val="20"/>
                <w:szCs w:val="20"/>
              </w:rPr>
              <w:t>1.9</w:t>
            </w:r>
          </w:p>
        </w:tc>
        <w:tc>
          <w:tcPr>
            <w:tcW w:w="1543" w:type="dxa"/>
            <w:tcBorders>
              <w:right w:val="single" w:color="auto" w:sz="12" w:space="0"/>
            </w:tcBorders>
            <w:shd w:val="clear" w:color="auto" w:fill="CCCCCC"/>
          </w:tcPr>
          <w:p w:rsidR="003B0815" w:rsidRDefault="003B0815" w14:paraId="3C4A80D2" w14:textId="77777777">
            <w:pPr>
              <w:keepNext/>
              <w:jc w:val="center"/>
              <w:rPr>
                <w:rFonts w:ascii="Arial" w:hAnsi="Arial" w:cs="Arial"/>
                <w:b/>
                <w:sz w:val="20"/>
                <w:szCs w:val="20"/>
              </w:rPr>
            </w:pPr>
            <w:r>
              <w:rPr>
                <w:rFonts w:ascii="Arial" w:hAnsi="Arial" w:cs="Arial"/>
                <w:b/>
                <w:bCs/>
                <w:sz w:val="20"/>
                <w:szCs w:val="20"/>
              </w:rPr>
              <w:t>27.3</w:t>
            </w:r>
          </w:p>
        </w:tc>
      </w:tr>
      <w:tr w:rsidR="003B0815" w14:paraId="45B9410C" w14:textId="77777777">
        <w:trPr>
          <w:cantSplit/>
          <w:jc w:val="center"/>
        </w:trPr>
        <w:tc>
          <w:tcPr>
            <w:tcW w:w="1544" w:type="dxa"/>
            <w:tcBorders>
              <w:left w:val="single" w:color="auto" w:sz="12" w:space="0"/>
            </w:tcBorders>
          </w:tcPr>
          <w:p w:rsidR="003B0815" w:rsidRDefault="003B0815" w14:paraId="63452574" w14:textId="77777777">
            <w:pPr>
              <w:keepNext/>
              <w:jc w:val="center"/>
              <w:rPr>
                <w:rFonts w:ascii="Arial" w:hAnsi="Arial" w:cs="Arial"/>
                <w:sz w:val="20"/>
                <w:szCs w:val="20"/>
              </w:rPr>
            </w:pPr>
            <w:r>
              <w:t>2010</w:t>
            </w:r>
          </w:p>
        </w:tc>
        <w:tc>
          <w:tcPr>
            <w:tcW w:w="1440" w:type="dxa"/>
          </w:tcPr>
          <w:p w:rsidR="003B0815" w:rsidRDefault="003B0815" w14:paraId="6EBAC9E6" w14:textId="77777777">
            <w:pPr>
              <w:keepNext/>
              <w:jc w:val="center"/>
              <w:rPr>
                <w:rFonts w:ascii="Arial" w:hAnsi="Arial" w:cs="Arial"/>
                <w:sz w:val="20"/>
                <w:szCs w:val="20"/>
              </w:rPr>
            </w:pPr>
            <w:r>
              <w:rPr>
                <w:rFonts w:ascii="Arial" w:hAnsi="Arial" w:cs="Arial"/>
                <w:sz w:val="20"/>
                <w:szCs w:val="20"/>
              </w:rPr>
              <w:t>21.3</w:t>
            </w:r>
          </w:p>
        </w:tc>
        <w:tc>
          <w:tcPr>
            <w:tcW w:w="1440" w:type="dxa"/>
          </w:tcPr>
          <w:p w:rsidR="003B0815" w:rsidRDefault="003B0815" w14:paraId="0EE078F0" w14:textId="77777777">
            <w:pPr>
              <w:keepNext/>
              <w:jc w:val="center"/>
              <w:rPr>
                <w:rFonts w:ascii="Arial" w:hAnsi="Arial" w:cs="Arial"/>
                <w:sz w:val="20"/>
                <w:szCs w:val="20"/>
              </w:rPr>
            </w:pPr>
            <w:r>
              <w:rPr>
                <w:rFonts w:ascii="Arial" w:hAnsi="Arial" w:cs="Arial"/>
                <w:sz w:val="20"/>
                <w:szCs w:val="20"/>
              </w:rPr>
              <w:t>5.0</w:t>
            </w:r>
          </w:p>
        </w:tc>
        <w:tc>
          <w:tcPr>
            <w:tcW w:w="1440" w:type="dxa"/>
          </w:tcPr>
          <w:p w:rsidR="003B0815" w:rsidRDefault="003B0815" w14:paraId="548C56BE" w14:textId="77777777">
            <w:pPr>
              <w:keepNext/>
              <w:jc w:val="center"/>
              <w:rPr>
                <w:rFonts w:ascii="Arial" w:hAnsi="Arial" w:cs="Arial"/>
                <w:sz w:val="20"/>
                <w:szCs w:val="20"/>
              </w:rPr>
            </w:pPr>
            <w:r>
              <w:rPr>
                <w:rFonts w:ascii="Arial" w:hAnsi="Arial" w:cs="Arial"/>
                <w:sz w:val="20"/>
                <w:szCs w:val="20"/>
              </w:rPr>
              <w:t>1.9</w:t>
            </w:r>
          </w:p>
        </w:tc>
        <w:tc>
          <w:tcPr>
            <w:tcW w:w="1543" w:type="dxa"/>
            <w:tcBorders>
              <w:right w:val="single" w:color="auto" w:sz="12" w:space="0"/>
            </w:tcBorders>
            <w:shd w:val="clear" w:color="auto" w:fill="CCCCCC"/>
          </w:tcPr>
          <w:p w:rsidR="003B0815" w:rsidRDefault="003B0815" w14:paraId="26E8A2C6" w14:textId="77777777">
            <w:pPr>
              <w:keepNext/>
              <w:jc w:val="center"/>
              <w:rPr>
                <w:rFonts w:ascii="Arial" w:hAnsi="Arial" w:cs="Arial"/>
                <w:b/>
                <w:sz w:val="20"/>
                <w:szCs w:val="20"/>
              </w:rPr>
            </w:pPr>
            <w:r>
              <w:rPr>
                <w:rFonts w:ascii="Arial" w:hAnsi="Arial" w:cs="Arial"/>
                <w:b/>
                <w:bCs/>
                <w:sz w:val="20"/>
                <w:szCs w:val="20"/>
              </w:rPr>
              <w:t>28.2</w:t>
            </w:r>
          </w:p>
        </w:tc>
      </w:tr>
      <w:tr w:rsidR="003B0815" w14:paraId="3A27035C" w14:textId="77777777">
        <w:trPr>
          <w:cantSplit/>
          <w:jc w:val="center"/>
        </w:trPr>
        <w:tc>
          <w:tcPr>
            <w:tcW w:w="1544" w:type="dxa"/>
            <w:tcBorders>
              <w:left w:val="single" w:color="auto" w:sz="12" w:space="0"/>
            </w:tcBorders>
          </w:tcPr>
          <w:p w:rsidR="003B0815" w:rsidRDefault="003B0815" w14:paraId="6F014F42" w14:textId="77777777">
            <w:pPr>
              <w:keepNext/>
              <w:jc w:val="center"/>
              <w:rPr>
                <w:rFonts w:ascii="Arial" w:hAnsi="Arial" w:cs="Arial"/>
                <w:sz w:val="20"/>
                <w:szCs w:val="20"/>
              </w:rPr>
            </w:pPr>
            <w:r>
              <w:t>2011</w:t>
            </w:r>
          </w:p>
        </w:tc>
        <w:tc>
          <w:tcPr>
            <w:tcW w:w="1440" w:type="dxa"/>
          </w:tcPr>
          <w:p w:rsidR="003B0815" w:rsidRDefault="003B0815" w14:paraId="204A9861" w14:textId="77777777">
            <w:pPr>
              <w:keepNext/>
              <w:jc w:val="center"/>
              <w:rPr>
                <w:rFonts w:ascii="Arial" w:hAnsi="Arial" w:cs="Arial"/>
                <w:sz w:val="20"/>
                <w:szCs w:val="20"/>
              </w:rPr>
            </w:pPr>
            <w:r>
              <w:rPr>
                <w:rFonts w:ascii="Arial" w:hAnsi="Arial" w:cs="Arial"/>
                <w:sz w:val="20"/>
                <w:szCs w:val="20"/>
              </w:rPr>
              <w:t>22.0</w:t>
            </w:r>
          </w:p>
        </w:tc>
        <w:tc>
          <w:tcPr>
            <w:tcW w:w="1440" w:type="dxa"/>
          </w:tcPr>
          <w:p w:rsidR="003B0815" w:rsidRDefault="003B0815" w14:paraId="68C48F63" w14:textId="77777777">
            <w:pPr>
              <w:keepNext/>
              <w:jc w:val="center"/>
              <w:rPr>
                <w:rFonts w:ascii="Arial" w:hAnsi="Arial" w:cs="Arial"/>
                <w:sz w:val="20"/>
                <w:szCs w:val="20"/>
              </w:rPr>
            </w:pPr>
            <w:r>
              <w:rPr>
                <w:rFonts w:ascii="Arial" w:hAnsi="Arial" w:cs="Arial"/>
                <w:sz w:val="20"/>
                <w:szCs w:val="20"/>
              </w:rPr>
              <w:t>5.2</w:t>
            </w:r>
          </w:p>
        </w:tc>
        <w:tc>
          <w:tcPr>
            <w:tcW w:w="1440" w:type="dxa"/>
          </w:tcPr>
          <w:p w:rsidR="003B0815" w:rsidRDefault="003B0815" w14:paraId="57BDB41C" w14:textId="77777777">
            <w:pPr>
              <w:keepNext/>
              <w:jc w:val="center"/>
              <w:rPr>
                <w:rFonts w:ascii="Arial" w:hAnsi="Arial" w:cs="Arial"/>
                <w:sz w:val="20"/>
                <w:szCs w:val="20"/>
              </w:rPr>
            </w:pPr>
            <w:r>
              <w:rPr>
                <w:rFonts w:ascii="Arial" w:hAnsi="Arial" w:cs="Arial"/>
                <w:sz w:val="20"/>
                <w:szCs w:val="20"/>
              </w:rPr>
              <w:t>2.0</w:t>
            </w:r>
          </w:p>
        </w:tc>
        <w:tc>
          <w:tcPr>
            <w:tcW w:w="1543" w:type="dxa"/>
            <w:tcBorders>
              <w:right w:val="single" w:color="auto" w:sz="12" w:space="0"/>
            </w:tcBorders>
            <w:shd w:val="clear" w:color="auto" w:fill="CCCCCC"/>
          </w:tcPr>
          <w:p w:rsidR="003B0815" w:rsidRDefault="003B0815" w14:paraId="23B38CA3" w14:textId="77777777">
            <w:pPr>
              <w:keepNext/>
              <w:jc w:val="center"/>
              <w:rPr>
                <w:rFonts w:ascii="Arial" w:hAnsi="Arial" w:cs="Arial"/>
                <w:b/>
                <w:sz w:val="20"/>
                <w:szCs w:val="20"/>
              </w:rPr>
            </w:pPr>
            <w:r>
              <w:rPr>
                <w:rFonts w:ascii="Arial" w:hAnsi="Arial" w:cs="Arial"/>
                <w:b/>
                <w:bCs/>
                <w:sz w:val="20"/>
                <w:szCs w:val="20"/>
              </w:rPr>
              <w:t>29.2</w:t>
            </w:r>
          </w:p>
        </w:tc>
      </w:tr>
      <w:tr w:rsidR="003B0815" w14:paraId="251D5348" w14:textId="77777777">
        <w:trPr>
          <w:cantSplit/>
          <w:jc w:val="center"/>
        </w:trPr>
        <w:tc>
          <w:tcPr>
            <w:tcW w:w="1544" w:type="dxa"/>
            <w:tcBorders>
              <w:left w:val="single" w:color="auto" w:sz="12" w:space="0"/>
            </w:tcBorders>
          </w:tcPr>
          <w:p w:rsidR="003B0815" w:rsidRDefault="003B0815" w14:paraId="05B8B877" w14:textId="77777777">
            <w:pPr>
              <w:keepNext/>
              <w:jc w:val="center"/>
              <w:rPr>
                <w:rFonts w:ascii="Arial" w:hAnsi="Arial" w:cs="Arial"/>
                <w:sz w:val="20"/>
                <w:szCs w:val="20"/>
              </w:rPr>
            </w:pPr>
            <w:r>
              <w:t>2012</w:t>
            </w:r>
          </w:p>
        </w:tc>
        <w:tc>
          <w:tcPr>
            <w:tcW w:w="1440" w:type="dxa"/>
          </w:tcPr>
          <w:p w:rsidR="003B0815" w:rsidRDefault="003B0815" w14:paraId="1A89711E" w14:textId="77777777">
            <w:pPr>
              <w:keepNext/>
              <w:jc w:val="center"/>
              <w:rPr>
                <w:rFonts w:ascii="Arial" w:hAnsi="Arial" w:cs="Arial"/>
                <w:sz w:val="20"/>
                <w:szCs w:val="20"/>
              </w:rPr>
            </w:pPr>
            <w:r>
              <w:rPr>
                <w:rFonts w:ascii="Arial" w:hAnsi="Arial" w:cs="Arial"/>
                <w:sz w:val="20"/>
                <w:szCs w:val="20"/>
              </w:rPr>
              <w:t>22.7</w:t>
            </w:r>
          </w:p>
        </w:tc>
        <w:tc>
          <w:tcPr>
            <w:tcW w:w="1440" w:type="dxa"/>
          </w:tcPr>
          <w:p w:rsidR="003B0815" w:rsidRDefault="003B0815" w14:paraId="25C5551B" w14:textId="77777777">
            <w:pPr>
              <w:keepNext/>
              <w:jc w:val="center"/>
              <w:rPr>
                <w:rFonts w:ascii="Arial" w:hAnsi="Arial" w:cs="Arial"/>
                <w:sz w:val="20"/>
                <w:szCs w:val="20"/>
              </w:rPr>
            </w:pPr>
            <w:r>
              <w:rPr>
                <w:rFonts w:ascii="Arial" w:hAnsi="Arial" w:cs="Arial"/>
                <w:sz w:val="20"/>
                <w:szCs w:val="20"/>
              </w:rPr>
              <w:t>5.5</w:t>
            </w:r>
          </w:p>
        </w:tc>
        <w:tc>
          <w:tcPr>
            <w:tcW w:w="1440" w:type="dxa"/>
          </w:tcPr>
          <w:p w:rsidR="003B0815" w:rsidRDefault="003B0815" w14:paraId="1E5EB20B" w14:textId="77777777">
            <w:pPr>
              <w:keepNext/>
              <w:jc w:val="center"/>
              <w:rPr>
                <w:rFonts w:ascii="Arial" w:hAnsi="Arial" w:cs="Arial"/>
                <w:sz w:val="20"/>
                <w:szCs w:val="20"/>
              </w:rPr>
            </w:pPr>
            <w:r>
              <w:rPr>
                <w:rFonts w:ascii="Arial" w:hAnsi="Arial" w:cs="Arial"/>
                <w:sz w:val="20"/>
                <w:szCs w:val="20"/>
              </w:rPr>
              <w:t>2.2</w:t>
            </w:r>
          </w:p>
        </w:tc>
        <w:tc>
          <w:tcPr>
            <w:tcW w:w="1543" w:type="dxa"/>
            <w:tcBorders>
              <w:right w:val="single" w:color="auto" w:sz="12" w:space="0"/>
            </w:tcBorders>
            <w:shd w:val="clear" w:color="auto" w:fill="CCCCCC"/>
          </w:tcPr>
          <w:p w:rsidR="003B0815" w:rsidRDefault="003B0815" w14:paraId="31E1238B" w14:textId="77777777">
            <w:pPr>
              <w:keepNext/>
              <w:jc w:val="center"/>
              <w:rPr>
                <w:rFonts w:ascii="Arial" w:hAnsi="Arial" w:cs="Arial"/>
                <w:b/>
                <w:sz w:val="20"/>
                <w:szCs w:val="20"/>
              </w:rPr>
            </w:pPr>
            <w:r>
              <w:rPr>
                <w:rFonts w:ascii="Arial" w:hAnsi="Arial" w:cs="Arial"/>
                <w:b/>
                <w:bCs/>
                <w:sz w:val="20"/>
                <w:szCs w:val="20"/>
              </w:rPr>
              <w:t>30.4</w:t>
            </w:r>
          </w:p>
        </w:tc>
      </w:tr>
      <w:tr w:rsidR="003B0815" w14:paraId="7D32A828" w14:textId="77777777">
        <w:trPr>
          <w:cantSplit/>
          <w:jc w:val="center"/>
        </w:trPr>
        <w:tc>
          <w:tcPr>
            <w:tcW w:w="1544" w:type="dxa"/>
            <w:tcBorders>
              <w:left w:val="single" w:color="auto" w:sz="12" w:space="0"/>
            </w:tcBorders>
          </w:tcPr>
          <w:p w:rsidR="003B0815" w:rsidRDefault="003B0815" w14:paraId="7110A514" w14:textId="77777777">
            <w:pPr>
              <w:keepNext/>
              <w:jc w:val="center"/>
              <w:rPr>
                <w:rFonts w:ascii="Arial" w:hAnsi="Arial" w:cs="Arial"/>
                <w:sz w:val="20"/>
                <w:szCs w:val="20"/>
              </w:rPr>
            </w:pPr>
            <w:r>
              <w:t>2013</w:t>
            </w:r>
          </w:p>
        </w:tc>
        <w:tc>
          <w:tcPr>
            <w:tcW w:w="1440" w:type="dxa"/>
          </w:tcPr>
          <w:p w:rsidR="003B0815" w:rsidRDefault="003B0815" w14:paraId="2699EBC0" w14:textId="77777777">
            <w:pPr>
              <w:keepNext/>
              <w:jc w:val="center"/>
              <w:rPr>
                <w:rFonts w:ascii="Arial" w:hAnsi="Arial" w:cs="Arial"/>
                <w:sz w:val="20"/>
                <w:szCs w:val="20"/>
              </w:rPr>
            </w:pPr>
            <w:r>
              <w:rPr>
                <w:rFonts w:ascii="Arial" w:hAnsi="Arial" w:cs="Arial"/>
                <w:sz w:val="20"/>
                <w:szCs w:val="20"/>
              </w:rPr>
              <w:t>23.4</w:t>
            </w:r>
          </w:p>
        </w:tc>
        <w:tc>
          <w:tcPr>
            <w:tcW w:w="1440" w:type="dxa"/>
          </w:tcPr>
          <w:p w:rsidR="003B0815" w:rsidRDefault="003B0815" w14:paraId="79F5E569" w14:textId="77777777">
            <w:pPr>
              <w:keepNext/>
              <w:jc w:val="center"/>
              <w:rPr>
                <w:rFonts w:ascii="Arial" w:hAnsi="Arial" w:cs="Arial"/>
                <w:sz w:val="20"/>
                <w:szCs w:val="20"/>
              </w:rPr>
            </w:pPr>
            <w:r>
              <w:rPr>
                <w:rFonts w:ascii="Arial" w:hAnsi="Arial" w:cs="Arial"/>
                <w:sz w:val="20"/>
                <w:szCs w:val="20"/>
              </w:rPr>
              <w:t>5.7</w:t>
            </w:r>
          </w:p>
        </w:tc>
        <w:tc>
          <w:tcPr>
            <w:tcW w:w="1440" w:type="dxa"/>
          </w:tcPr>
          <w:p w:rsidR="003B0815" w:rsidRDefault="003B0815" w14:paraId="696EE3FB" w14:textId="77777777">
            <w:pPr>
              <w:keepNext/>
              <w:jc w:val="center"/>
              <w:rPr>
                <w:rFonts w:ascii="Arial" w:hAnsi="Arial" w:cs="Arial"/>
                <w:sz w:val="20"/>
                <w:szCs w:val="20"/>
              </w:rPr>
            </w:pPr>
            <w:r>
              <w:rPr>
                <w:rFonts w:ascii="Arial" w:hAnsi="Arial" w:cs="Arial"/>
                <w:sz w:val="20"/>
                <w:szCs w:val="20"/>
              </w:rPr>
              <w:t>2.3</w:t>
            </w:r>
          </w:p>
        </w:tc>
        <w:tc>
          <w:tcPr>
            <w:tcW w:w="1543" w:type="dxa"/>
            <w:tcBorders>
              <w:right w:val="single" w:color="auto" w:sz="12" w:space="0"/>
            </w:tcBorders>
            <w:shd w:val="clear" w:color="auto" w:fill="CCCCCC"/>
          </w:tcPr>
          <w:p w:rsidR="003B0815" w:rsidRDefault="003B0815" w14:paraId="5E2CF151" w14:textId="77777777">
            <w:pPr>
              <w:keepNext/>
              <w:jc w:val="center"/>
              <w:rPr>
                <w:rFonts w:ascii="Arial" w:hAnsi="Arial" w:cs="Arial"/>
                <w:b/>
                <w:sz w:val="20"/>
                <w:szCs w:val="20"/>
              </w:rPr>
            </w:pPr>
            <w:r>
              <w:rPr>
                <w:rFonts w:ascii="Arial" w:hAnsi="Arial" w:cs="Arial"/>
                <w:b/>
                <w:bCs/>
                <w:sz w:val="20"/>
                <w:szCs w:val="20"/>
              </w:rPr>
              <w:t>31.4</w:t>
            </w:r>
          </w:p>
        </w:tc>
      </w:tr>
      <w:tr w:rsidR="003B0815" w14:paraId="57661DE2" w14:textId="77777777">
        <w:trPr>
          <w:cantSplit/>
          <w:jc w:val="center"/>
        </w:trPr>
        <w:tc>
          <w:tcPr>
            <w:tcW w:w="1544" w:type="dxa"/>
            <w:tcBorders>
              <w:left w:val="single" w:color="auto" w:sz="12" w:space="0"/>
            </w:tcBorders>
          </w:tcPr>
          <w:p w:rsidR="003B0815" w:rsidRDefault="003B0815" w14:paraId="1B6A10C7" w14:textId="77777777">
            <w:pPr>
              <w:keepNext/>
              <w:jc w:val="center"/>
              <w:rPr>
                <w:rFonts w:ascii="Arial" w:hAnsi="Arial" w:cs="Arial"/>
                <w:sz w:val="20"/>
                <w:szCs w:val="20"/>
              </w:rPr>
            </w:pPr>
            <w:r>
              <w:t>2014</w:t>
            </w:r>
          </w:p>
        </w:tc>
        <w:tc>
          <w:tcPr>
            <w:tcW w:w="1440" w:type="dxa"/>
          </w:tcPr>
          <w:p w:rsidR="003B0815" w:rsidRDefault="003B0815" w14:paraId="4F125AB7" w14:textId="77777777">
            <w:pPr>
              <w:keepNext/>
              <w:jc w:val="center"/>
              <w:rPr>
                <w:rFonts w:ascii="Arial" w:hAnsi="Arial" w:cs="Arial"/>
                <w:sz w:val="20"/>
                <w:szCs w:val="20"/>
              </w:rPr>
            </w:pPr>
            <w:r>
              <w:rPr>
                <w:rFonts w:ascii="Arial" w:hAnsi="Arial" w:cs="Arial"/>
                <w:sz w:val="20"/>
                <w:szCs w:val="20"/>
              </w:rPr>
              <w:t>24.2</w:t>
            </w:r>
          </w:p>
        </w:tc>
        <w:tc>
          <w:tcPr>
            <w:tcW w:w="1440" w:type="dxa"/>
          </w:tcPr>
          <w:p w:rsidR="003B0815" w:rsidRDefault="003B0815" w14:paraId="0E2EEFB5" w14:textId="77777777">
            <w:pPr>
              <w:keepNext/>
              <w:jc w:val="center"/>
              <w:rPr>
                <w:rFonts w:ascii="Arial" w:hAnsi="Arial" w:cs="Arial"/>
                <w:sz w:val="20"/>
                <w:szCs w:val="20"/>
              </w:rPr>
            </w:pPr>
            <w:r>
              <w:rPr>
                <w:rFonts w:ascii="Arial" w:hAnsi="Arial" w:cs="Arial"/>
                <w:sz w:val="20"/>
                <w:szCs w:val="20"/>
              </w:rPr>
              <w:t>6.0</w:t>
            </w:r>
          </w:p>
        </w:tc>
        <w:tc>
          <w:tcPr>
            <w:tcW w:w="1440" w:type="dxa"/>
          </w:tcPr>
          <w:p w:rsidR="003B0815" w:rsidRDefault="003B0815" w14:paraId="39AEA256" w14:textId="77777777">
            <w:pPr>
              <w:keepNext/>
              <w:jc w:val="center"/>
              <w:rPr>
                <w:rFonts w:ascii="Arial" w:hAnsi="Arial" w:cs="Arial"/>
                <w:sz w:val="20"/>
                <w:szCs w:val="20"/>
              </w:rPr>
            </w:pPr>
            <w:r>
              <w:rPr>
                <w:rFonts w:ascii="Arial" w:hAnsi="Arial" w:cs="Arial"/>
                <w:sz w:val="20"/>
                <w:szCs w:val="20"/>
              </w:rPr>
              <w:t>2.4</w:t>
            </w:r>
          </w:p>
        </w:tc>
        <w:tc>
          <w:tcPr>
            <w:tcW w:w="1543" w:type="dxa"/>
            <w:tcBorders>
              <w:right w:val="single" w:color="auto" w:sz="12" w:space="0"/>
            </w:tcBorders>
            <w:shd w:val="clear" w:color="auto" w:fill="CCCCCC"/>
          </w:tcPr>
          <w:p w:rsidR="003B0815" w:rsidRDefault="003B0815" w14:paraId="7B967DD4" w14:textId="77777777">
            <w:pPr>
              <w:keepNext/>
              <w:jc w:val="center"/>
              <w:rPr>
                <w:rFonts w:ascii="Arial" w:hAnsi="Arial" w:cs="Arial"/>
                <w:b/>
                <w:sz w:val="20"/>
                <w:szCs w:val="20"/>
              </w:rPr>
            </w:pPr>
            <w:r>
              <w:rPr>
                <w:rFonts w:ascii="Arial" w:hAnsi="Arial" w:cs="Arial"/>
                <w:b/>
                <w:bCs/>
                <w:sz w:val="20"/>
                <w:szCs w:val="20"/>
              </w:rPr>
              <w:t>32.6</w:t>
            </w:r>
          </w:p>
        </w:tc>
      </w:tr>
      <w:tr w:rsidR="003B0815" w14:paraId="562DACF3" w14:textId="77777777">
        <w:trPr>
          <w:cantSplit/>
          <w:jc w:val="center"/>
        </w:trPr>
        <w:tc>
          <w:tcPr>
            <w:tcW w:w="1544" w:type="dxa"/>
            <w:tcBorders>
              <w:left w:val="single" w:color="auto" w:sz="12" w:space="0"/>
            </w:tcBorders>
          </w:tcPr>
          <w:p w:rsidR="003B0815" w:rsidRDefault="003B0815" w14:paraId="0395484A" w14:textId="77777777">
            <w:pPr>
              <w:keepNext/>
              <w:jc w:val="center"/>
              <w:rPr>
                <w:rFonts w:ascii="Arial" w:hAnsi="Arial" w:cs="Arial"/>
                <w:sz w:val="20"/>
                <w:szCs w:val="20"/>
              </w:rPr>
            </w:pPr>
            <w:r>
              <w:t>2015</w:t>
            </w:r>
          </w:p>
        </w:tc>
        <w:tc>
          <w:tcPr>
            <w:tcW w:w="1440" w:type="dxa"/>
          </w:tcPr>
          <w:p w:rsidR="003B0815" w:rsidRDefault="003B0815" w14:paraId="1102E28D" w14:textId="77777777">
            <w:pPr>
              <w:keepNext/>
              <w:jc w:val="center"/>
              <w:rPr>
                <w:rFonts w:ascii="Arial" w:hAnsi="Arial" w:cs="Arial"/>
                <w:sz w:val="20"/>
                <w:szCs w:val="20"/>
              </w:rPr>
            </w:pPr>
            <w:r>
              <w:rPr>
                <w:rFonts w:ascii="Arial" w:hAnsi="Arial" w:cs="Arial"/>
                <w:sz w:val="20"/>
                <w:szCs w:val="20"/>
              </w:rPr>
              <w:t>25.0</w:t>
            </w:r>
          </w:p>
        </w:tc>
        <w:tc>
          <w:tcPr>
            <w:tcW w:w="1440" w:type="dxa"/>
          </w:tcPr>
          <w:p w:rsidR="003B0815" w:rsidRDefault="003B0815" w14:paraId="36BA0062" w14:textId="77777777">
            <w:pPr>
              <w:keepNext/>
              <w:jc w:val="center"/>
              <w:rPr>
                <w:rFonts w:ascii="Arial" w:hAnsi="Arial" w:cs="Arial"/>
                <w:sz w:val="20"/>
                <w:szCs w:val="20"/>
              </w:rPr>
            </w:pPr>
            <w:r>
              <w:rPr>
                <w:rFonts w:ascii="Arial" w:hAnsi="Arial" w:cs="Arial"/>
                <w:sz w:val="20"/>
                <w:szCs w:val="20"/>
              </w:rPr>
              <w:t>6.3</w:t>
            </w:r>
          </w:p>
        </w:tc>
        <w:tc>
          <w:tcPr>
            <w:tcW w:w="1440" w:type="dxa"/>
          </w:tcPr>
          <w:p w:rsidR="003B0815" w:rsidRDefault="003B0815" w14:paraId="18AD7C2E" w14:textId="77777777">
            <w:pPr>
              <w:keepNext/>
              <w:jc w:val="center"/>
              <w:rPr>
                <w:rFonts w:ascii="Arial" w:hAnsi="Arial" w:cs="Arial"/>
                <w:sz w:val="20"/>
                <w:szCs w:val="20"/>
              </w:rPr>
            </w:pPr>
            <w:r>
              <w:rPr>
                <w:rFonts w:ascii="Arial" w:hAnsi="Arial" w:cs="Arial"/>
                <w:sz w:val="20"/>
                <w:szCs w:val="20"/>
              </w:rPr>
              <w:t>2.5</w:t>
            </w:r>
          </w:p>
        </w:tc>
        <w:tc>
          <w:tcPr>
            <w:tcW w:w="1543" w:type="dxa"/>
            <w:tcBorders>
              <w:right w:val="single" w:color="auto" w:sz="12" w:space="0"/>
            </w:tcBorders>
            <w:shd w:val="clear" w:color="auto" w:fill="CCCCCC"/>
          </w:tcPr>
          <w:p w:rsidR="003B0815" w:rsidRDefault="003B0815" w14:paraId="5281BC9D" w14:textId="77777777">
            <w:pPr>
              <w:keepNext/>
              <w:jc w:val="center"/>
              <w:rPr>
                <w:rFonts w:ascii="Arial" w:hAnsi="Arial" w:cs="Arial"/>
                <w:b/>
                <w:sz w:val="20"/>
                <w:szCs w:val="20"/>
              </w:rPr>
            </w:pPr>
            <w:r>
              <w:rPr>
                <w:rFonts w:ascii="Arial" w:hAnsi="Arial" w:cs="Arial"/>
                <w:b/>
                <w:bCs/>
                <w:sz w:val="20"/>
                <w:szCs w:val="20"/>
              </w:rPr>
              <w:t>33.8</w:t>
            </w:r>
          </w:p>
        </w:tc>
      </w:tr>
      <w:tr w:rsidR="003B0815" w14:paraId="01A622BA" w14:textId="77777777">
        <w:trPr>
          <w:cantSplit/>
          <w:jc w:val="center"/>
        </w:trPr>
        <w:tc>
          <w:tcPr>
            <w:tcW w:w="1544" w:type="dxa"/>
            <w:tcBorders>
              <w:left w:val="single" w:color="auto" w:sz="12" w:space="0"/>
            </w:tcBorders>
          </w:tcPr>
          <w:p w:rsidR="003B0815" w:rsidRDefault="003B0815" w14:paraId="3150BEEB" w14:textId="77777777">
            <w:pPr>
              <w:keepNext/>
              <w:jc w:val="center"/>
              <w:rPr>
                <w:rFonts w:ascii="Arial" w:hAnsi="Arial" w:cs="Arial"/>
                <w:sz w:val="20"/>
                <w:szCs w:val="20"/>
              </w:rPr>
            </w:pPr>
            <w:r>
              <w:t>2016</w:t>
            </w:r>
          </w:p>
        </w:tc>
        <w:tc>
          <w:tcPr>
            <w:tcW w:w="1440" w:type="dxa"/>
          </w:tcPr>
          <w:p w:rsidR="003B0815" w:rsidRDefault="003B0815" w14:paraId="01B912A5" w14:textId="77777777">
            <w:pPr>
              <w:keepNext/>
              <w:jc w:val="center"/>
              <w:rPr>
                <w:rFonts w:ascii="Arial" w:hAnsi="Arial" w:cs="Arial"/>
                <w:sz w:val="20"/>
                <w:szCs w:val="20"/>
              </w:rPr>
            </w:pPr>
            <w:r>
              <w:rPr>
                <w:rFonts w:ascii="Arial" w:hAnsi="Arial" w:cs="Arial"/>
                <w:sz w:val="20"/>
                <w:szCs w:val="20"/>
              </w:rPr>
              <w:t>25.8</w:t>
            </w:r>
          </w:p>
        </w:tc>
        <w:tc>
          <w:tcPr>
            <w:tcW w:w="1440" w:type="dxa"/>
          </w:tcPr>
          <w:p w:rsidR="003B0815" w:rsidRDefault="003B0815" w14:paraId="340CEC2E" w14:textId="77777777">
            <w:pPr>
              <w:keepNext/>
              <w:jc w:val="center"/>
              <w:rPr>
                <w:rFonts w:ascii="Arial" w:hAnsi="Arial" w:cs="Arial"/>
                <w:sz w:val="20"/>
                <w:szCs w:val="20"/>
              </w:rPr>
            </w:pPr>
            <w:r>
              <w:rPr>
                <w:rFonts w:ascii="Arial" w:hAnsi="Arial" w:cs="Arial"/>
                <w:sz w:val="20"/>
                <w:szCs w:val="20"/>
              </w:rPr>
              <w:t>6.7</w:t>
            </w:r>
          </w:p>
        </w:tc>
        <w:tc>
          <w:tcPr>
            <w:tcW w:w="1440" w:type="dxa"/>
          </w:tcPr>
          <w:p w:rsidR="003B0815" w:rsidRDefault="003B0815" w14:paraId="6ECD68F1" w14:textId="77777777">
            <w:pPr>
              <w:keepNext/>
              <w:jc w:val="center"/>
              <w:rPr>
                <w:rFonts w:ascii="Arial" w:hAnsi="Arial" w:cs="Arial"/>
                <w:sz w:val="20"/>
                <w:szCs w:val="20"/>
              </w:rPr>
            </w:pPr>
            <w:r>
              <w:rPr>
                <w:rFonts w:ascii="Arial" w:hAnsi="Arial" w:cs="Arial"/>
                <w:sz w:val="20"/>
                <w:szCs w:val="20"/>
              </w:rPr>
              <w:t>2.6</w:t>
            </w:r>
          </w:p>
        </w:tc>
        <w:tc>
          <w:tcPr>
            <w:tcW w:w="1543" w:type="dxa"/>
            <w:tcBorders>
              <w:right w:val="single" w:color="auto" w:sz="12" w:space="0"/>
            </w:tcBorders>
            <w:shd w:val="clear" w:color="auto" w:fill="CCCCCC"/>
          </w:tcPr>
          <w:p w:rsidR="003B0815" w:rsidRDefault="003B0815" w14:paraId="593FDA4A" w14:textId="77777777">
            <w:pPr>
              <w:keepNext/>
              <w:jc w:val="center"/>
              <w:rPr>
                <w:rFonts w:ascii="Arial" w:hAnsi="Arial" w:cs="Arial"/>
                <w:b/>
                <w:sz w:val="20"/>
                <w:szCs w:val="20"/>
              </w:rPr>
            </w:pPr>
            <w:r>
              <w:rPr>
                <w:rFonts w:ascii="Arial" w:hAnsi="Arial" w:cs="Arial"/>
                <w:b/>
                <w:bCs/>
                <w:sz w:val="20"/>
                <w:szCs w:val="20"/>
              </w:rPr>
              <w:t>35.1</w:t>
            </w:r>
          </w:p>
        </w:tc>
      </w:tr>
      <w:tr w:rsidR="003B0815" w14:paraId="3FFBAB56" w14:textId="77777777">
        <w:trPr>
          <w:cantSplit/>
          <w:jc w:val="center"/>
        </w:trPr>
        <w:tc>
          <w:tcPr>
            <w:tcW w:w="1544" w:type="dxa"/>
            <w:tcBorders>
              <w:left w:val="single" w:color="auto" w:sz="12" w:space="0"/>
              <w:bottom w:val="single" w:color="auto" w:sz="4" w:space="0"/>
            </w:tcBorders>
          </w:tcPr>
          <w:p w:rsidR="003B0815" w:rsidRDefault="003B0815" w14:paraId="5D8EE4E1" w14:textId="77777777">
            <w:pPr>
              <w:keepNext/>
              <w:jc w:val="center"/>
              <w:rPr>
                <w:rFonts w:ascii="Arial" w:hAnsi="Arial" w:cs="Arial"/>
                <w:sz w:val="20"/>
                <w:szCs w:val="20"/>
              </w:rPr>
            </w:pPr>
            <w:r>
              <w:t>2017</w:t>
            </w:r>
          </w:p>
        </w:tc>
        <w:tc>
          <w:tcPr>
            <w:tcW w:w="1440" w:type="dxa"/>
            <w:tcBorders>
              <w:bottom w:val="single" w:color="auto" w:sz="4" w:space="0"/>
            </w:tcBorders>
          </w:tcPr>
          <w:p w:rsidR="003B0815" w:rsidRDefault="003B0815" w14:paraId="4DEF6521" w14:textId="77777777">
            <w:pPr>
              <w:keepNext/>
              <w:jc w:val="center"/>
              <w:rPr>
                <w:rFonts w:ascii="Arial" w:hAnsi="Arial" w:cs="Arial"/>
                <w:sz w:val="20"/>
                <w:szCs w:val="20"/>
              </w:rPr>
            </w:pPr>
            <w:r>
              <w:rPr>
                <w:rFonts w:ascii="Arial" w:hAnsi="Arial" w:cs="Arial"/>
                <w:sz w:val="20"/>
                <w:szCs w:val="20"/>
              </w:rPr>
              <w:t>$26.6</w:t>
            </w:r>
          </w:p>
        </w:tc>
        <w:tc>
          <w:tcPr>
            <w:tcW w:w="1440" w:type="dxa"/>
            <w:tcBorders>
              <w:bottom w:val="single" w:color="auto" w:sz="4" w:space="0"/>
            </w:tcBorders>
          </w:tcPr>
          <w:p w:rsidR="003B0815" w:rsidRDefault="003B0815" w14:paraId="74077CAD" w14:textId="77777777">
            <w:pPr>
              <w:keepNext/>
              <w:jc w:val="center"/>
              <w:rPr>
                <w:rFonts w:ascii="Arial" w:hAnsi="Arial" w:cs="Arial"/>
                <w:sz w:val="20"/>
                <w:szCs w:val="20"/>
              </w:rPr>
            </w:pPr>
            <w:r>
              <w:rPr>
                <w:rFonts w:ascii="Arial" w:hAnsi="Arial" w:cs="Arial"/>
                <w:sz w:val="20"/>
                <w:szCs w:val="20"/>
              </w:rPr>
              <w:t>$7.0</w:t>
            </w:r>
          </w:p>
        </w:tc>
        <w:tc>
          <w:tcPr>
            <w:tcW w:w="1440" w:type="dxa"/>
            <w:tcBorders>
              <w:bottom w:val="single" w:color="auto" w:sz="4" w:space="0"/>
            </w:tcBorders>
          </w:tcPr>
          <w:p w:rsidR="003B0815" w:rsidRDefault="003B0815" w14:paraId="5E46E2F2" w14:textId="77777777">
            <w:pPr>
              <w:keepNext/>
              <w:jc w:val="center"/>
              <w:rPr>
                <w:rFonts w:ascii="Arial" w:hAnsi="Arial" w:cs="Arial"/>
                <w:sz w:val="20"/>
                <w:szCs w:val="20"/>
              </w:rPr>
            </w:pPr>
            <w:r>
              <w:rPr>
                <w:rFonts w:ascii="Arial" w:hAnsi="Arial" w:cs="Arial"/>
                <w:sz w:val="20"/>
                <w:szCs w:val="20"/>
              </w:rPr>
              <w:t>$2.8</w:t>
            </w:r>
          </w:p>
        </w:tc>
        <w:tc>
          <w:tcPr>
            <w:tcW w:w="1543" w:type="dxa"/>
            <w:tcBorders>
              <w:bottom w:val="single" w:color="auto" w:sz="4" w:space="0"/>
              <w:right w:val="single" w:color="auto" w:sz="12" w:space="0"/>
            </w:tcBorders>
            <w:shd w:val="clear" w:color="auto" w:fill="CCCCCC"/>
          </w:tcPr>
          <w:p w:rsidR="003B0815" w:rsidRDefault="003B0815" w14:paraId="607D3F8B" w14:textId="77777777">
            <w:pPr>
              <w:keepNext/>
              <w:jc w:val="center"/>
              <w:rPr>
                <w:rFonts w:ascii="Arial" w:hAnsi="Arial" w:cs="Arial"/>
                <w:b/>
                <w:sz w:val="20"/>
                <w:szCs w:val="20"/>
              </w:rPr>
            </w:pPr>
            <w:r>
              <w:rPr>
                <w:rFonts w:ascii="Arial" w:hAnsi="Arial" w:cs="Arial"/>
                <w:b/>
                <w:bCs/>
                <w:sz w:val="20"/>
                <w:szCs w:val="20"/>
              </w:rPr>
              <w:t>$36.4</w:t>
            </w:r>
          </w:p>
        </w:tc>
      </w:tr>
      <w:tr w:rsidR="003B0815" w14:paraId="30488F51" w14:textId="77777777">
        <w:trPr>
          <w:cantSplit/>
          <w:jc w:val="center"/>
        </w:trPr>
        <w:tc>
          <w:tcPr>
            <w:tcW w:w="1544" w:type="dxa"/>
            <w:tcBorders>
              <w:top w:val="single" w:color="auto" w:sz="4" w:space="0"/>
              <w:left w:val="single" w:color="auto" w:sz="12" w:space="0"/>
              <w:bottom w:val="single" w:color="auto" w:sz="4" w:space="0"/>
              <w:right w:val="nil"/>
            </w:tcBorders>
            <w:vAlign w:val="center"/>
          </w:tcPr>
          <w:p w:rsidR="003B0815" w:rsidRDefault="003B0815" w14:paraId="34E8D50A" w14:textId="77777777">
            <w:pPr>
              <w:keepNext/>
              <w:jc w:val="center"/>
              <w:rPr>
                <w:rFonts w:ascii="Arial" w:hAnsi="Arial" w:cs="Arial"/>
                <w:b/>
                <w:sz w:val="20"/>
                <w:szCs w:val="20"/>
              </w:rPr>
            </w:pPr>
            <w:r>
              <w:rPr>
                <w:rFonts w:ascii="Arial" w:hAnsi="Arial" w:cs="Arial"/>
                <w:b/>
                <w:sz w:val="20"/>
                <w:szCs w:val="20"/>
              </w:rPr>
              <w:t>Primary Total</w:t>
            </w:r>
          </w:p>
        </w:tc>
        <w:tc>
          <w:tcPr>
            <w:tcW w:w="1440" w:type="dxa"/>
            <w:tcBorders>
              <w:top w:val="single" w:color="auto" w:sz="4" w:space="0"/>
              <w:left w:val="nil"/>
              <w:bottom w:val="single" w:color="auto" w:sz="4" w:space="0"/>
              <w:right w:val="nil"/>
            </w:tcBorders>
            <w:vAlign w:val="center"/>
          </w:tcPr>
          <w:p w:rsidR="003B0815" w:rsidRDefault="003B0815" w14:paraId="6341AF75" w14:textId="77777777">
            <w:pPr>
              <w:keepNext/>
              <w:jc w:val="center"/>
              <w:rPr>
                <w:rFonts w:ascii="Arial" w:hAnsi="Arial" w:cs="Arial"/>
                <w:b/>
                <w:sz w:val="20"/>
                <w:szCs w:val="20"/>
              </w:rPr>
            </w:pPr>
            <w:r>
              <w:rPr>
                <w:rFonts w:ascii="Arial" w:hAnsi="Arial" w:cs="Arial"/>
                <w:b/>
                <w:bCs/>
                <w:sz w:val="20"/>
                <w:szCs w:val="20"/>
              </w:rPr>
              <w:t>$231.7</w:t>
            </w:r>
          </w:p>
        </w:tc>
        <w:tc>
          <w:tcPr>
            <w:tcW w:w="1440" w:type="dxa"/>
            <w:tcBorders>
              <w:top w:val="single" w:color="auto" w:sz="4" w:space="0"/>
              <w:left w:val="nil"/>
              <w:bottom w:val="single" w:color="auto" w:sz="4" w:space="0"/>
              <w:right w:val="nil"/>
            </w:tcBorders>
            <w:vAlign w:val="center"/>
          </w:tcPr>
          <w:p w:rsidR="003B0815" w:rsidRDefault="003B0815" w14:paraId="69F4F8A3" w14:textId="77777777">
            <w:pPr>
              <w:keepNext/>
              <w:jc w:val="center"/>
              <w:rPr>
                <w:rFonts w:ascii="Arial" w:hAnsi="Arial" w:cs="Arial"/>
                <w:b/>
                <w:sz w:val="20"/>
                <w:szCs w:val="20"/>
              </w:rPr>
            </w:pPr>
            <w:r>
              <w:rPr>
                <w:rFonts w:ascii="Arial" w:hAnsi="Arial" w:cs="Arial"/>
                <w:b/>
                <w:bCs/>
                <w:sz w:val="20"/>
                <w:szCs w:val="20"/>
              </w:rPr>
              <w:t>$56.6</w:t>
            </w:r>
          </w:p>
        </w:tc>
        <w:tc>
          <w:tcPr>
            <w:tcW w:w="1440" w:type="dxa"/>
            <w:tcBorders>
              <w:top w:val="single" w:color="auto" w:sz="4" w:space="0"/>
              <w:left w:val="nil"/>
              <w:bottom w:val="single" w:color="auto" w:sz="4" w:space="0"/>
              <w:right w:val="nil"/>
            </w:tcBorders>
            <w:vAlign w:val="center"/>
          </w:tcPr>
          <w:p w:rsidR="003B0815" w:rsidRDefault="003B0815" w14:paraId="75F37CF3" w14:textId="77777777">
            <w:pPr>
              <w:keepNext/>
              <w:jc w:val="center"/>
              <w:rPr>
                <w:rFonts w:ascii="Arial" w:hAnsi="Arial" w:cs="Arial"/>
                <w:b/>
                <w:sz w:val="20"/>
                <w:szCs w:val="20"/>
              </w:rPr>
            </w:pPr>
            <w:r>
              <w:rPr>
                <w:rFonts w:ascii="Arial" w:hAnsi="Arial" w:cs="Arial"/>
                <w:b/>
                <w:bCs/>
                <w:sz w:val="20"/>
                <w:szCs w:val="20"/>
              </w:rPr>
              <w:t>$22.4</w:t>
            </w:r>
          </w:p>
        </w:tc>
        <w:tc>
          <w:tcPr>
            <w:tcW w:w="1543" w:type="dxa"/>
            <w:tcBorders>
              <w:top w:val="single" w:color="auto" w:sz="4" w:space="0"/>
              <w:left w:val="nil"/>
              <w:bottom w:val="single" w:color="auto" w:sz="4" w:space="0"/>
              <w:right w:val="single" w:color="auto" w:sz="12" w:space="0"/>
            </w:tcBorders>
            <w:vAlign w:val="center"/>
          </w:tcPr>
          <w:p w:rsidR="003B0815" w:rsidRDefault="003B0815" w14:paraId="190D5A29" w14:textId="77777777">
            <w:pPr>
              <w:keepNext/>
              <w:jc w:val="center"/>
              <w:rPr>
                <w:rFonts w:ascii="Arial" w:hAnsi="Arial" w:cs="Arial"/>
                <w:b/>
                <w:sz w:val="20"/>
                <w:szCs w:val="20"/>
              </w:rPr>
            </w:pPr>
            <w:r>
              <w:rPr>
                <w:rFonts w:ascii="Arial" w:hAnsi="Arial" w:cs="Arial"/>
                <w:b/>
                <w:bCs/>
                <w:sz w:val="20"/>
                <w:szCs w:val="20"/>
              </w:rPr>
              <w:t>$310.7</w:t>
            </w:r>
          </w:p>
        </w:tc>
      </w:tr>
      <w:tr w:rsidR="003B0815" w14:paraId="260A45B8" w14:textId="77777777">
        <w:trPr>
          <w:cantSplit/>
          <w:jc w:val="center"/>
        </w:trPr>
        <w:tc>
          <w:tcPr>
            <w:tcW w:w="1544" w:type="dxa"/>
            <w:tcBorders>
              <w:top w:val="single" w:color="auto" w:sz="4" w:space="0"/>
              <w:left w:val="single" w:color="auto" w:sz="12" w:space="0"/>
              <w:bottom w:val="single" w:color="auto" w:sz="4" w:space="0"/>
              <w:right w:val="nil"/>
            </w:tcBorders>
            <w:vAlign w:val="center"/>
          </w:tcPr>
          <w:p w:rsidR="003B0815" w:rsidRDefault="003B0815" w14:paraId="6AAEE7A5" w14:textId="77777777">
            <w:pPr>
              <w:keepNext/>
              <w:jc w:val="center"/>
              <w:rPr>
                <w:rFonts w:ascii="Arial" w:hAnsi="Arial" w:cs="Arial"/>
                <w:b/>
                <w:sz w:val="20"/>
                <w:szCs w:val="20"/>
              </w:rPr>
            </w:pPr>
            <w:r>
              <w:rPr>
                <w:rFonts w:ascii="Arial" w:hAnsi="Arial" w:cs="Arial"/>
                <w:b/>
                <w:sz w:val="20"/>
                <w:szCs w:val="20"/>
              </w:rPr>
              <w:t>Low Total</w:t>
            </w:r>
          </w:p>
        </w:tc>
        <w:tc>
          <w:tcPr>
            <w:tcW w:w="1440" w:type="dxa"/>
            <w:tcBorders>
              <w:top w:val="single" w:color="auto" w:sz="4" w:space="0"/>
              <w:left w:val="nil"/>
              <w:bottom w:val="single" w:color="auto" w:sz="4" w:space="0"/>
              <w:right w:val="nil"/>
            </w:tcBorders>
            <w:vAlign w:val="center"/>
          </w:tcPr>
          <w:p w:rsidR="003B0815" w:rsidRDefault="003B0815" w14:paraId="52F9A13F" w14:textId="77777777">
            <w:pPr>
              <w:keepNext/>
              <w:jc w:val="center"/>
              <w:rPr>
                <w:rFonts w:ascii="Arial" w:hAnsi="Arial" w:cs="Arial"/>
                <w:b/>
                <w:sz w:val="20"/>
                <w:szCs w:val="20"/>
              </w:rPr>
            </w:pPr>
            <w:r>
              <w:rPr>
                <w:rFonts w:ascii="Arial" w:hAnsi="Arial" w:cs="Arial"/>
                <w:b/>
                <w:bCs/>
                <w:sz w:val="20"/>
                <w:szCs w:val="20"/>
              </w:rPr>
              <w:t>$185.0</w:t>
            </w:r>
          </w:p>
        </w:tc>
        <w:tc>
          <w:tcPr>
            <w:tcW w:w="1440" w:type="dxa"/>
            <w:tcBorders>
              <w:top w:val="single" w:color="auto" w:sz="4" w:space="0"/>
              <w:left w:val="nil"/>
              <w:bottom w:val="single" w:color="auto" w:sz="4" w:space="0"/>
              <w:right w:val="nil"/>
            </w:tcBorders>
            <w:vAlign w:val="center"/>
          </w:tcPr>
          <w:p w:rsidR="003B0815" w:rsidRDefault="003B0815" w14:paraId="4DABD4D6" w14:textId="77777777">
            <w:pPr>
              <w:keepNext/>
              <w:jc w:val="center"/>
              <w:rPr>
                <w:rFonts w:ascii="Arial" w:hAnsi="Arial" w:cs="Arial"/>
                <w:b/>
                <w:sz w:val="20"/>
                <w:szCs w:val="20"/>
              </w:rPr>
            </w:pPr>
            <w:r>
              <w:rPr>
                <w:rFonts w:ascii="Arial" w:hAnsi="Arial" w:cs="Arial"/>
                <w:b/>
                <w:bCs/>
                <w:sz w:val="20"/>
                <w:szCs w:val="20"/>
              </w:rPr>
              <w:t>$45.3</w:t>
            </w:r>
          </w:p>
        </w:tc>
        <w:tc>
          <w:tcPr>
            <w:tcW w:w="1440" w:type="dxa"/>
            <w:tcBorders>
              <w:top w:val="single" w:color="auto" w:sz="4" w:space="0"/>
              <w:left w:val="nil"/>
              <w:bottom w:val="single" w:color="auto" w:sz="4" w:space="0"/>
              <w:right w:val="nil"/>
            </w:tcBorders>
            <w:vAlign w:val="center"/>
          </w:tcPr>
          <w:p w:rsidR="003B0815" w:rsidRDefault="003B0815" w14:paraId="5411059C" w14:textId="77777777">
            <w:pPr>
              <w:keepNext/>
              <w:jc w:val="center"/>
              <w:rPr>
                <w:rFonts w:ascii="Arial" w:hAnsi="Arial" w:cs="Arial"/>
                <w:b/>
                <w:sz w:val="20"/>
                <w:szCs w:val="20"/>
              </w:rPr>
            </w:pPr>
            <w:r>
              <w:rPr>
                <w:rFonts w:ascii="Arial" w:hAnsi="Arial" w:cs="Arial"/>
                <w:b/>
                <w:bCs/>
                <w:sz w:val="20"/>
                <w:szCs w:val="20"/>
              </w:rPr>
              <w:t>$17.8</w:t>
            </w:r>
          </w:p>
        </w:tc>
        <w:tc>
          <w:tcPr>
            <w:tcW w:w="1543" w:type="dxa"/>
            <w:tcBorders>
              <w:top w:val="single" w:color="auto" w:sz="4" w:space="0"/>
              <w:left w:val="nil"/>
              <w:bottom w:val="single" w:color="auto" w:sz="4" w:space="0"/>
              <w:right w:val="single" w:color="auto" w:sz="12" w:space="0"/>
            </w:tcBorders>
            <w:vAlign w:val="center"/>
          </w:tcPr>
          <w:p w:rsidR="003B0815" w:rsidRDefault="003B0815" w14:paraId="2C1112C8" w14:textId="77777777">
            <w:pPr>
              <w:keepNext/>
              <w:jc w:val="center"/>
              <w:rPr>
                <w:rFonts w:ascii="Arial" w:hAnsi="Arial" w:cs="Arial"/>
                <w:b/>
                <w:sz w:val="20"/>
                <w:szCs w:val="20"/>
              </w:rPr>
            </w:pPr>
            <w:r>
              <w:rPr>
                <w:rFonts w:ascii="Arial" w:hAnsi="Arial" w:cs="Arial"/>
                <w:b/>
                <w:bCs/>
                <w:sz w:val="20"/>
                <w:szCs w:val="20"/>
              </w:rPr>
              <w:t>$248.1</w:t>
            </w:r>
          </w:p>
        </w:tc>
      </w:tr>
      <w:tr w:rsidR="003B0815" w14:paraId="6AA061E5" w14:textId="77777777">
        <w:trPr>
          <w:cantSplit/>
          <w:jc w:val="center"/>
        </w:trPr>
        <w:tc>
          <w:tcPr>
            <w:tcW w:w="1544" w:type="dxa"/>
            <w:tcBorders>
              <w:top w:val="single" w:color="auto" w:sz="4" w:space="0"/>
              <w:left w:val="single" w:color="auto" w:sz="12" w:space="0"/>
              <w:bottom w:val="single" w:color="auto" w:sz="12" w:space="0"/>
              <w:right w:val="nil"/>
            </w:tcBorders>
            <w:vAlign w:val="center"/>
          </w:tcPr>
          <w:p w:rsidR="003B0815" w:rsidRDefault="003B0815" w14:paraId="73216D1F" w14:textId="77777777">
            <w:pPr>
              <w:jc w:val="center"/>
              <w:rPr>
                <w:rFonts w:ascii="Arial" w:hAnsi="Arial" w:cs="Arial"/>
                <w:b/>
                <w:sz w:val="20"/>
                <w:szCs w:val="20"/>
              </w:rPr>
            </w:pPr>
            <w:r>
              <w:rPr>
                <w:rFonts w:ascii="Arial" w:hAnsi="Arial" w:cs="Arial"/>
                <w:b/>
                <w:sz w:val="20"/>
                <w:szCs w:val="20"/>
              </w:rPr>
              <w:t>High Total</w:t>
            </w:r>
          </w:p>
        </w:tc>
        <w:tc>
          <w:tcPr>
            <w:tcW w:w="1440" w:type="dxa"/>
            <w:tcBorders>
              <w:top w:val="single" w:color="auto" w:sz="4" w:space="0"/>
              <w:left w:val="nil"/>
              <w:bottom w:val="single" w:color="auto" w:sz="12" w:space="0"/>
              <w:right w:val="nil"/>
            </w:tcBorders>
            <w:vAlign w:val="center"/>
          </w:tcPr>
          <w:p w:rsidR="003B0815" w:rsidRDefault="003B0815" w14:paraId="646430D3" w14:textId="77777777">
            <w:pPr>
              <w:jc w:val="center"/>
              <w:rPr>
                <w:rFonts w:ascii="Arial" w:hAnsi="Arial" w:cs="Arial"/>
                <w:b/>
                <w:sz w:val="20"/>
                <w:szCs w:val="20"/>
              </w:rPr>
            </w:pPr>
            <w:r>
              <w:rPr>
                <w:rFonts w:ascii="Arial" w:hAnsi="Arial" w:cs="Arial"/>
                <w:b/>
                <w:bCs/>
                <w:sz w:val="20"/>
                <w:szCs w:val="20"/>
              </w:rPr>
              <w:t>$278.0</w:t>
            </w:r>
          </w:p>
        </w:tc>
        <w:tc>
          <w:tcPr>
            <w:tcW w:w="1440" w:type="dxa"/>
            <w:tcBorders>
              <w:top w:val="single" w:color="auto" w:sz="4" w:space="0"/>
              <w:left w:val="nil"/>
              <w:bottom w:val="single" w:color="auto" w:sz="12" w:space="0"/>
              <w:right w:val="nil"/>
            </w:tcBorders>
            <w:vAlign w:val="center"/>
          </w:tcPr>
          <w:p w:rsidR="003B0815" w:rsidRDefault="003B0815" w14:paraId="72B20483" w14:textId="77777777">
            <w:pPr>
              <w:jc w:val="center"/>
              <w:rPr>
                <w:rFonts w:ascii="Arial" w:hAnsi="Arial" w:cs="Arial"/>
                <w:b/>
                <w:sz w:val="20"/>
                <w:szCs w:val="20"/>
              </w:rPr>
            </w:pPr>
            <w:r>
              <w:rPr>
                <w:rFonts w:ascii="Arial" w:hAnsi="Arial" w:cs="Arial"/>
                <w:b/>
                <w:bCs/>
                <w:sz w:val="20"/>
                <w:szCs w:val="20"/>
              </w:rPr>
              <w:t>$68.0</w:t>
            </w:r>
          </w:p>
        </w:tc>
        <w:tc>
          <w:tcPr>
            <w:tcW w:w="1440" w:type="dxa"/>
            <w:tcBorders>
              <w:top w:val="single" w:color="auto" w:sz="4" w:space="0"/>
              <w:left w:val="nil"/>
              <w:bottom w:val="single" w:color="auto" w:sz="12" w:space="0"/>
              <w:right w:val="nil"/>
            </w:tcBorders>
            <w:vAlign w:val="center"/>
          </w:tcPr>
          <w:p w:rsidR="003B0815" w:rsidRDefault="003B0815" w14:paraId="32640B14" w14:textId="77777777">
            <w:pPr>
              <w:jc w:val="center"/>
              <w:rPr>
                <w:rFonts w:ascii="Arial" w:hAnsi="Arial" w:cs="Arial"/>
                <w:b/>
                <w:sz w:val="20"/>
                <w:szCs w:val="20"/>
              </w:rPr>
            </w:pPr>
            <w:r>
              <w:rPr>
                <w:rFonts w:ascii="Arial" w:hAnsi="Arial" w:cs="Arial"/>
                <w:b/>
                <w:bCs/>
                <w:sz w:val="20"/>
                <w:szCs w:val="20"/>
              </w:rPr>
              <w:t>$26.7</w:t>
            </w:r>
          </w:p>
        </w:tc>
        <w:tc>
          <w:tcPr>
            <w:tcW w:w="1543" w:type="dxa"/>
            <w:tcBorders>
              <w:top w:val="single" w:color="auto" w:sz="4" w:space="0"/>
              <w:left w:val="nil"/>
              <w:bottom w:val="single" w:color="auto" w:sz="12" w:space="0"/>
              <w:right w:val="single" w:color="auto" w:sz="12" w:space="0"/>
            </w:tcBorders>
            <w:vAlign w:val="center"/>
          </w:tcPr>
          <w:p w:rsidR="003B0815" w:rsidRDefault="003B0815" w14:paraId="4309D0E9" w14:textId="77777777">
            <w:pPr>
              <w:jc w:val="center"/>
              <w:rPr>
                <w:rFonts w:ascii="Arial" w:hAnsi="Arial" w:cs="Arial"/>
                <w:b/>
                <w:sz w:val="20"/>
                <w:szCs w:val="20"/>
              </w:rPr>
            </w:pPr>
            <w:r>
              <w:rPr>
                <w:rFonts w:ascii="Arial" w:hAnsi="Arial" w:cs="Arial"/>
                <w:b/>
                <w:bCs/>
                <w:sz w:val="20"/>
                <w:szCs w:val="20"/>
              </w:rPr>
              <w:t>$372.7</w:t>
            </w:r>
          </w:p>
        </w:tc>
      </w:tr>
    </w:tbl>
    <w:p w:rsidR="003B0815" w:rsidRDefault="003B0815" w14:paraId="25D87392" w14:textId="77777777">
      <w:pPr>
        <w:spacing w:line="360" w:lineRule="auto"/>
      </w:pPr>
    </w:p>
    <w:p w:rsidR="003B0815" w:rsidRDefault="003B0815" w14:paraId="7BD678A9" w14:textId="77777777"/>
    <w:p w:rsidR="003B0815" w:rsidRDefault="003B0815" w14:paraId="6DDFD651" w14:textId="77777777">
      <w:pPr>
        <w:spacing w:line="360" w:lineRule="auto"/>
      </w:pPr>
      <w:r>
        <w:t xml:space="preserve"> </w:t>
      </w:r>
      <w:r>
        <w:tab/>
        <w:t>In the initial year of the Secure Flight program, travel agents will receive training regarding the Secure Flight requirements for data collection and management as part of the reservation making process.  These unique training needs would become part of standard training procedures in subsequent years, and in TSA’s view the training component directly related to Secure Flight requirements would be a negligible part of overall training for new travel agents.  For this reason, Secure Flight-related training costs are estimated for the first year of the rule period only.  Based on a recent survey of the Travel Agency industry</w:t>
      </w:r>
      <w:r>
        <w:rPr>
          <w:rStyle w:val="FootnoteReference"/>
        </w:rPr>
        <w:footnoteReference w:id="34"/>
      </w:r>
      <w:r>
        <w:t>, TSA estimates that there are approximately 110,000 travel agents working in the industry.  TSA assumes that annual training requirements for these agents will be one hour, and TSA believes this to be a generous estimate of the time required to explain the Secure Flight data collection requirements to the existing agent population.  Table 1.6.4.e reports this travel agent training cost estimate, which, based on the average travel agent hourly wage of $20.69, totals $2.3 million.</w:t>
      </w:r>
    </w:p>
    <w:p w:rsidR="003B0815" w:rsidRDefault="003B0815" w14:paraId="3F2DC30F" w14:textId="77777777"/>
    <w:p w:rsidR="003B0815" w:rsidRDefault="003B0815" w14:paraId="59A0E400" w14:textId="77777777"/>
    <w:p w:rsidR="003B0815" w:rsidRDefault="003B0815" w14:paraId="0C57ADC4" w14:textId="77777777"/>
    <w:tbl>
      <w:tblPr>
        <w:tblW w:w="6520" w:type="dxa"/>
        <w:jc w:val="center"/>
        <w:tblCellMar>
          <w:left w:w="0" w:type="dxa"/>
          <w:right w:w="0" w:type="dxa"/>
        </w:tblCellMar>
        <w:tblLook w:val="0000" w:firstRow="0" w:lastRow="0" w:firstColumn="0" w:lastColumn="0" w:noHBand="0" w:noVBand="0"/>
      </w:tblPr>
      <w:tblGrid>
        <w:gridCol w:w="1340"/>
        <w:gridCol w:w="1200"/>
        <w:gridCol w:w="1320"/>
        <w:gridCol w:w="1420"/>
        <w:gridCol w:w="1240"/>
      </w:tblGrid>
      <w:tr w:rsidR="003B0815" w14:paraId="3A265BCB" w14:textId="77777777">
        <w:trPr>
          <w:trHeight w:val="510"/>
          <w:jc w:val="center"/>
        </w:trPr>
        <w:tc>
          <w:tcPr>
            <w:tcW w:w="6520" w:type="dxa"/>
            <w:gridSpan w:val="5"/>
            <w:tcBorders>
              <w:top w:val="nil"/>
              <w:left w:val="nil"/>
              <w:bottom w:val="single" w:color="auto" w:sz="12" w:space="0"/>
              <w:right w:val="nil"/>
            </w:tcBorders>
          </w:tcPr>
          <w:p w:rsidR="003B0815" w:rsidRDefault="003B0815" w14:paraId="1AB202E9" w14:textId="77777777">
            <w:pPr>
              <w:pStyle w:val="RegEvalTableHeader"/>
              <w:rPr>
                <w:rFonts w:eastAsia="Arial Unicode MS"/>
              </w:rPr>
            </w:pPr>
            <w:bookmarkStart w:name="_Toc207109529" w:id="314"/>
            <w:r>
              <w:t>Table 1.6.4.e Total Costs of Training for Travel Agencies (millions)</w:t>
            </w:r>
            <w:bookmarkEnd w:id="314"/>
          </w:p>
        </w:tc>
      </w:tr>
      <w:tr w:rsidR="003B0815" w14:paraId="12D73B40" w14:textId="77777777">
        <w:trPr>
          <w:trHeight w:val="795"/>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6C9C4898" w14:textId="77777777">
            <w:pPr>
              <w:jc w:val="center"/>
              <w:rPr>
                <w:rFonts w:ascii="Arial" w:hAnsi="Arial" w:eastAsia="Arial Unicode MS" w:cs="Arial"/>
                <w:sz w:val="20"/>
                <w:szCs w:val="20"/>
              </w:rPr>
            </w:pPr>
            <w:r>
              <w:rPr>
                <w:rFonts w:ascii="Arial" w:hAnsi="Arial" w:cs="Arial"/>
                <w:sz w:val="20"/>
                <w:szCs w:val="20"/>
              </w:rPr>
              <w:t>Fiscal Year</w:t>
            </w:r>
          </w:p>
        </w:tc>
        <w:tc>
          <w:tcPr>
            <w:tcW w:w="1200" w:type="dxa"/>
            <w:tcBorders>
              <w:top w:val="nil"/>
              <w:left w:val="nil"/>
              <w:bottom w:val="single" w:color="auto" w:sz="8" w:space="0"/>
              <w:right w:val="single" w:color="auto" w:sz="8" w:space="0"/>
            </w:tcBorders>
            <w:vAlign w:val="bottom"/>
          </w:tcPr>
          <w:p w:rsidR="003B0815" w:rsidRDefault="003B0815" w14:paraId="4299E4DB" w14:textId="77777777">
            <w:pPr>
              <w:jc w:val="center"/>
              <w:rPr>
                <w:rFonts w:ascii="Arial" w:hAnsi="Arial" w:eastAsia="Arial Unicode MS" w:cs="Arial"/>
                <w:sz w:val="20"/>
                <w:szCs w:val="20"/>
              </w:rPr>
            </w:pPr>
            <w:r>
              <w:rPr>
                <w:rFonts w:ascii="Arial" w:hAnsi="Arial" w:cs="Arial"/>
                <w:sz w:val="20"/>
                <w:szCs w:val="20"/>
              </w:rPr>
              <w:t>Employees</w:t>
            </w:r>
          </w:p>
        </w:tc>
        <w:tc>
          <w:tcPr>
            <w:tcW w:w="1320" w:type="dxa"/>
            <w:tcBorders>
              <w:top w:val="nil"/>
              <w:left w:val="nil"/>
              <w:bottom w:val="single" w:color="auto" w:sz="8" w:space="0"/>
              <w:right w:val="single" w:color="auto" w:sz="8" w:space="0"/>
            </w:tcBorders>
            <w:vAlign w:val="bottom"/>
          </w:tcPr>
          <w:p w:rsidR="003B0815" w:rsidRDefault="003B0815" w14:paraId="24ED864B" w14:textId="77777777">
            <w:pPr>
              <w:jc w:val="center"/>
              <w:rPr>
                <w:rFonts w:ascii="Arial" w:hAnsi="Arial" w:eastAsia="Arial Unicode MS" w:cs="Arial"/>
                <w:sz w:val="20"/>
                <w:szCs w:val="20"/>
              </w:rPr>
            </w:pPr>
            <w:r>
              <w:rPr>
                <w:rFonts w:ascii="Arial" w:hAnsi="Arial" w:cs="Arial"/>
                <w:sz w:val="20"/>
                <w:szCs w:val="20"/>
              </w:rPr>
              <w:t>Hourly Rate</w:t>
            </w:r>
          </w:p>
        </w:tc>
        <w:tc>
          <w:tcPr>
            <w:tcW w:w="1420" w:type="dxa"/>
            <w:tcBorders>
              <w:top w:val="nil"/>
              <w:left w:val="nil"/>
              <w:bottom w:val="single" w:color="auto" w:sz="8" w:space="0"/>
              <w:right w:val="single" w:color="auto" w:sz="8" w:space="0"/>
            </w:tcBorders>
            <w:vAlign w:val="bottom"/>
          </w:tcPr>
          <w:p w:rsidR="003B0815" w:rsidRDefault="003B0815" w14:paraId="4745B1D4" w14:textId="77777777">
            <w:pPr>
              <w:jc w:val="center"/>
              <w:rPr>
                <w:rFonts w:ascii="Arial" w:hAnsi="Arial" w:eastAsia="Arial Unicode MS" w:cs="Arial"/>
                <w:sz w:val="20"/>
                <w:szCs w:val="20"/>
              </w:rPr>
            </w:pPr>
            <w:r>
              <w:rPr>
                <w:rFonts w:ascii="Arial" w:hAnsi="Arial" w:cs="Arial"/>
                <w:sz w:val="20"/>
                <w:szCs w:val="20"/>
              </w:rPr>
              <w:t>Total Hours (1 per employee)</w:t>
            </w:r>
          </w:p>
        </w:tc>
        <w:tc>
          <w:tcPr>
            <w:tcW w:w="1240" w:type="dxa"/>
            <w:tcBorders>
              <w:top w:val="nil"/>
              <w:left w:val="nil"/>
              <w:bottom w:val="single" w:color="auto" w:sz="8" w:space="0"/>
              <w:right w:val="single" w:color="auto" w:sz="12" w:space="0"/>
            </w:tcBorders>
            <w:vAlign w:val="bottom"/>
          </w:tcPr>
          <w:p w:rsidR="003B0815" w:rsidRDefault="003B0815" w14:paraId="57C3EFE6" w14:textId="77777777">
            <w:pPr>
              <w:jc w:val="center"/>
              <w:rPr>
                <w:rFonts w:ascii="Arial" w:hAnsi="Arial" w:eastAsia="Arial Unicode MS" w:cs="Arial"/>
                <w:sz w:val="20"/>
                <w:szCs w:val="20"/>
              </w:rPr>
            </w:pPr>
            <w:r>
              <w:rPr>
                <w:rFonts w:ascii="Arial" w:hAnsi="Arial" w:cs="Arial"/>
                <w:sz w:val="20"/>
                <w:szCs w:val="20"/>
              </w:rPr>
              <w:t>Total</w:t>
            </w:r>
          </w:p>
        </w:tc>
      </w:tr>
      <w:tr w:rsidR="003B0815" w14:paraId="46E2DEFB"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6608C0EB" w14:textId="77777777">
            <w:pPr>
              <w:jc w:val="center"/>
              <w:rPr>
                <w:rFonts w:ascii="Arial" w:hAnsi="Arial" w:eastAsia="Arial Unicode MS" w:cs="Arial"/>
                <w:sz w:val="20"/>
                <w:szCs w:val="20"/>
              </w:rPr>
            </w:pPr>
            <w:r>
              <w:rPr>
                <w:rFonts w:ascii="Arial" w:hAnsi="Arial" w:cs="Arial"/>
                <w:sz w:val="20"/>
                <w:szCs w:val="20"/>
              </w:rPr>
              <w:t>2008</w:t>
            </w:r>
          </w:p>
        </w:tc>
        <w:tc>
          <w:tcPr>
            <w:tcW w:w="1200" w:type="dxa"/>
            <w:tcBorders>
              <w:top w:val="nil"/>
              <w:left w:val="nil"/>
              <w:bottom w:val="single" w:color="auto" w:sz="8" w:space="0"/>
              <w:right w:val="single" w:color="auto" w:sz="8" w:space="0"/>
            </w:tcBorders>
          </w:tcPr>
          <w:p w:rsidR="003B0815" w:rsidRDefault="003B0815" w14:paraId="78DDD9D3" w14:textId="77777777">
            <w:pPr>
              <w:rPr>
                <w:rFonts w:ascii="Arial" w:hAnsi="Arial" w:eastAsia="Arial Unicode MS" w:cs="Arial"/>
                <w:sz w:val="20"/>
                <w:szCs w:val="20"/>
              </w:rPr>
            </w:pPr>
            <w:r>
              <w:rPr>
                <w:rFonts w:ascii="Arial" w:hAnsi="Arial" w:cs="Arial"/>
                <w:sz w:val="20"/>
                <w:szCs w:val="20"/>
              </w:rPr>
              <w:t xml:space="preserve">      110,000 </w:t>
            </w:r>
          </w:p>
        </w:tc>
        <w:tc>
          <w:tcPr>
            <w:tcW w:w="1320" w:type="dxa"/>
            <w:tcBorders>
              <w:top w:val="nil"/>
              <w:left w:val="nil"/>
              <w:bottom w:val="single" w:color="auto" w:sz="8" w:space="0"/>
              <w:right w:val="single" w:color="auto" w:sz="8" w:space="0"/>
            </w:tcBorders>
          </w:tcPr>
          <w:p w:rsidR="003B0815" w:rsidRDefault="003B0815" w14:paraId="71FA676A"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2E5E3FC6" w14:textId="77777777">
            <w:pPr>
              <w:rPr>
                <w:rFonts w:ascii="Arial" w:hAnsi="Arial" w:eastAsia="Arial Unicode MS" w:cs="Arial"/>
                <w:sz w:val="20"/>
                <w:szCs w:val="20"/>
              </w:rPr>
            </w:pPr>
            <w:r>
              <w:rPr>
                <w:rFonts w:ascii="Arial" w:hAnsi="Arial" w:cs="Arial"/>
                <w:sz w:val="20"/>
                <w:szCs w:val="20"/>
              </w:rPr>
              <w:t xml:space="preserve">         110,000 </w:t>
            </w:r>
          </w:p>
        </w:tc>
        <w:tc>
          <w:tcPr>
            <w:tcW w:w="1240" w:type="dxa"/>
            <w:tcBorders>
              <w:top w:val="nil"/>
              <w:left w:val="nil"/>
              <w:bottom w:val="single" w:color="auto" w:sz="8" w:space="0"/>
              <w:right w:val="single" w:color="auto" w:sz="12" w:space="0"/>
            </w:tcBorders>
          </w:tcPr>
          <w:p w:rsidR="003B0815" w:rsidRDefault="003B0815" w14:paraId="70C168EA" w14:textId="77777777">
            <w:pPr>
              <w:jc w:val="right"/>
              <w:rPr>
                <w:rFonts w:ascii="Arial" w:hAnsi="Arial" w:eastAsia="Arial Unicode MS" w:cs="Arial"/>
                <w:b/>
                <w:bCs/>
                <w:sz w:val="20"/>
                <w:szCs w:val="20"/>
              </w:rPr>
            </w:pPr>
            <w:r>
              <w:rPr>
                <w:rFonts w:ascii="Arial" w:hAnsi="Arial" w:cs="Arial"/>
                <w:b/>
                <w:bCs/>
                <w:sz w:val="20"/>
                <w:szCs w:val="20"/>
              </w:rPr>
              <w:t>$2.3</w:t>
            </w:r>
          </w:p>
        </w:tc>
      </w:tr>
      <w:tr w:rsidR="003B0815" w14:paraId="4EC1EA69"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08911456" w14:textId="77777777">
            <w:pPr>
              <w:jc w:val="center"/>
              <w:rPr>
                <w:rFonts w:ascii="Arial" w:hAnsi="Arial" w:eastAsia="Arial Unicode MS" w:cs="Arial"/>
                <w:sz w:val="20"/>
                <w:szCs w:val="20"/>
              </w:rPr>
            </w:pPr>
            <w:r>
              <w:rPr>
                <w:rFonts w:ascii="Arial" w:hAnsi="Arial" w:cs="Arial"/>
                <w:sz w:val="20"/>
                <w:szCs w:val="20"/>
              </w:rPr>
              <w:t>2009</w:t>
            </w:r>
          </w:p>
        </w:tc>
        <w:tc>
          <w:tcPr>
            <w:tcW w:w="1200" w:type="dxa"/>
            <w:tcBorders>
              <w:top w:val="nil"/>
              <w:left w:val="nil"/>
              <w:bottom w:val="single" w:color="auto" w:sz="8" w:space="0"/>
              <w:right w:val="single" w:color="auto" w:sz="8" w:space="0"/>
            </w:tcBorders>
          </w:tcPr>
          <w:p w:rsidR="003B0815" w:rsidRDefault="003B0815" w14:paraId="40C5CFDB"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7FC3C944"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150D2533"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3458D3CB"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2260A96D"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004AABEB" w14:textId="77777777">
            <w:pPr>
              <w:jc w:val="center"/>
              <w:rPr>
                <w:rFonts w:ascii="Arial" w:hAnsi="Arial" w:eastAsia="Arial Unicode MS" w:cs="Arial"/>
                <w:sz w:val="20"/>
                <w:szCs w:val="20"/>
              </w:rPr>
            </w:pPr>
            <w:r>
              <w:rPr>
                <w:rFonts w:ascii="Arial" w:hAnsi="Arial" w:cs="Arial"/>
                <w:sz w:val="20"/>
                <w:szCs w:val="20"/>
              </w:rPr>
              <w:t>2010</w:t>
            </w:r>
          </w:p>
        </w:tc>
        <w:tc>
          <w:tcPr>
            <w:tcW w:w="1200" w:type="dxa"/>
            <w:tcBorders>
              <w:top w:val="nil"/>
              <w:left w:val="nil"/>
              <w:bottom w:val="single" w:color="auto" w:sz="8" w:space="0"/>
              <w:right w:val="single" w:color="auto" w:sz="8" w:space="0"/>
            </w:tcBorders>
          </w:tcPr>
          <w:p w:rsidR="003B0815" w:rsidRDefault="003B0815" w14:paraId="4BB20DD1"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08C8F4A8"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205E77D9"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632876C1"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49C0B6C1"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71506FDE" w14:textId="77777777">
            <w:pPr>
              <w:jc w:val="center"/>
              <w:rPr>
                <w:rFonts w:ascii="Arial" w:hAnsi="Arial" w:eastAsia="Arial Unicode MS" w:cs="Arial"/>
                <w:sz w:val="20"/>
                <w:szCs w:val="20"/>
              </w:rPr>
            </w:pPr>
            <w:r>
              <w:rPr>
                <w:rFonts w:ascii="Arial" w:hAnsi="Arial" w:cs="Arial"/>
                <w:sz w:val="20"/>
                <w:szCs w:val="20"/>
              </w:rPr>
              <w:t>2011</w:t>
            </w:r>
          </w:p>
        </w:tc>
        <w:tc>
          <w:tcPr>
            <w:tcW w:w="1200" w:type="dxa"/>
            <w:tcBorders>
              <w:top w:val="nil"/>
              <w:left w:val="nil"/>
              <w:bottom w:val="single" w:color="auto" w:sz="8" w:space="0"/>
              <w:right w:val="single" w:color="auto" w:sz="8" w:space="0"/>
            </w:tcBorders>
          </w:tcPr>
          <w:p w:rsidR="003B0815" w:rsidRDefault="003B0815" w14:paraId="35E09D79"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0505EE52"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4F947E94"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0EC8D5DA"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084F3BF2"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012FEA8D" w14:textId="77777777">
            <w:pPr>
              <w:jc w:val="center"/>
              <w:rPr>
                <w:rFonts w:ascii="Arial" w:hAnsi="Arial" w:eastAsia="Arial Unicode MS" w:cs="Arial"/>
                <w:sz w:val="20"/>
                <w:szCs w:val="20"/>
              </w:rPr>
            </w:pPr>
            <w:r>
              <w:rPr>
                <w:rFonts w:ascii="Arial" w:hAnsi="Arial" w:cs="Arial"/>
                <w:sz w:val="20"/>
                <w:szCs w:val="20"/>
              </w:rPr>
              <w:t>2012</w:t>
            </w:r>
          </w:p>
        </w:tc>
        <w:tc>
          <w:tcPr>
            <w:tcW w:w="1200" w:type="dxa"/>
            <w:tcBorders>
              <w:top w:val="nil"/>
              <w:left w:val="nil"/>
              <w:bottom w:val="single" w:color="auto" w:sz="8" w:space="0"/>
              <w:right w:val="single" w:color="auto" w:sz="8" w:space="0"/>
            </w:tcBorders>
          </w:tcPr>
          <w:p w:rsidR="003B0815" w:rsidRDefault="003B0815" w14:paraId="2645CDEF"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5EFA11D4"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3A8AECB6"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7EA7D97B"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5D76CBF2"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62BB7AEB" w14:textId="77777777">
            <w:pPr>
              <w:jc w:val="center"/>
              <w:rPr>
                <w:rFonts w:ascii="Arial" w:hAnsi="Arial" w:eastAsia="Arial Unicode MS" w:cs="Arial"/>
                <w:sz w:val="20"/>
                <w:szCs w:val="20"/>
              </w:rPr>
            </w:pPr>
            <w:r>
              <w:rPr>
                <w:rFonts w:ascii="Arial" w:hAnsi="Arial" w:cs="Arial"/>
                <w:sz w:val="20"/>
                <w:szCs w:val="20"/>
              </w:rPr>
              <w:t>2013</w:t>
            </w:r>
          </w:p>
        </w:tc>
        <w:tc>
          <w:tcPr>
            <w:tcW w:w="1200" w:type="dxa"/>
            <w:tcBorders>
              <w:top w:val="nil"/>
              <w:left w:val="nil"/>
              <w:bottom w:val="single" w:color="auto" w:sz="8" w:space="0"/>
              <w:right w:val="single" w:color="auto" w:sz="8" w:space="0"/>
            </w:tcBorders>
          </w:tcPr>
          <w:p w:rsidR="003B0815" w:rsidRDefault="003B0815" w14:paraId="4D677890"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15891B6F"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47EE331C"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182BA572"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657154CF"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317AF255" w14:textId="77777777">
            <w:pPr>
              <w:jc w:val="center"/>
              <w:rPr>
                <w:rFonts w:ascii="Arial" w:hAnsi="Arial" w:eastAsia="Arial Unicode MS" w:cs="Arial"/>
                <w:sz w:val="20"/>
                <w:szCs w:val="20"/>
              </w:rPr>
            </w:pPr>
            <w:r>
              <w:rPr>
                <w:rFonts w:ascii="Arial" w:hAnsi="Arial" w:cs="Arial"/>
                <w:sz w:val="20"/>
                <w:szCs w:val="20"/>
              </w:rPr>
              <w:t>2014</w:t>
            </w:r>
          </w:p>
        </w:tc>
        <w:tc>
          <w:tcPr>
            <w:tcW w:w="1200" w:type="dxa"/>
            <w:tcBorders>
              <w:top w:val="nil"/>
              <w:left w:val="nil"/>
              <w:bottom w:val="single" w:color="auto" w:sz="8" w:space="0"/>
              <w:right w:val="single" w:color="auto" w:sz="8" w:space="0"/>
            </w:tcBorders>
          </w:tcPr>
          <w:p w:rsidR="003B0815" w:rsidRDefault="003B0815" w14:paraId="54AF848A"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6C7C7DEB"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7EF78DC3"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7A067988"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2609E692"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47CF7386" w14:textId="77777777">
            <w:pPr>
              <w:jc w:val="center"/>
              <w:rPr>
                <w:rFonts w:ascii="Arial" w:hAnsi="Arial" w:eastAsia="Arial Unicode MS" w:cs="Arial"/>
                <w:sz w:val="20"/>
                <w:szCs w:val="20"/>
              </w:rPr>
            </w:pPr>
            <w:r>
              <w:rPr>
                <w:rFonts w:ascii="Arial" w:hAnsi="Arial" w:cs="Arial"/>
                <w:sz w:val="20"/>
                <w:szCs w:val="20"/>
              </w:rPr>
              <w:t>2015</w:t>
            </w:r>
          </w:p>
        </w:tc>
        <w:tc>
          <w:tcPr>
            <w:tcW w:w="1200" w:type="dxa"/>
            <w:tcBorders>
              <w:top w:val="nil"/>
              <w:left w:val="nil"/>
              <w:bottom w:val="single" w:color="auto" w:sz="8" w:space="0"/>
              <w:right w:val="single" w:color="auto" w:sz="8" w:space="0"/>
            </w:tcBorders>
          </w:tcPr>
          <w:p w:rsidR="003B0815" w:rsidRDefault="003B0815" w14:paraId="7C8FABD9"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2EC0B1AC"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316CE77B"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39F924EA"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0E59E958"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64DF4667" w14:textId="77777777">
            <w:pPr>
              <w:jc w:val="center"/>
              <w:rPr>
                <w:rFonts w:ascii="Arial" w:hAnsi="Arial" w:eastAsia="Arial Unicode MS" w:cs="Arial"/>
                <w:sz w:val="20"/>
                <w:szCs w:val="20"/>
              </w:rPr>
            </w:pPr>
            <w:r>
              <w:rPr>
                <w:rFonts w:ascii="Arial" w:hAnsi="Arial" w:cs="Arial"/>
                <w:sz w:val="20"/>
                <w:szCs w:val="20"/>
              </w:rPr>
              <w:t>2016</w:t>
            </w:r>
          </w:p>
        </w:tc>
        <w:tc>
          <w:tcPr>
            <w:tcW w:w="1200" w:type="dxa"/>
            <w:tcBorders>
              <w:top w:val="nil"/>
              <w:left w:val="nil"/>
              <w:bottom w:val="single" w:color="auto" w:sz="8" w:space="0"/>
              <w:right w:val="single" w:color="auto" w:sz="8" w:space="0"/>
            </w:tcBorders>
          </w:tcPr>
          <w:p w:rsidR="003B0815" w:rsidRDefault="003B0815" w14:paraId="649CD5AD"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6FBE3C24"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nil"/>
              <w:left w:val="nil"/>
              <w:bottom w:val="single" w:color="auto" w:sz="8" w:space="0"/>
              <w:right w:val="single" w:color="auto" w:sz="8" w:space="0"/>
            </w:tcBorders>
          </w:tcPr>
          <w:p w:rsidR="003B0815" w:rsidRDefault="003B0815" w14:paraId="7016194D"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nil"/>
              <w:left w:val="nil"/>
              <w:bottom w:val="single" w:color="auto" w:sz="8" w:space="0"/>
              <w:right w:val="single" w:color="auto" w:sz="12" w:space="0"/>
            </w:tcBorders>
          </w:tcPr>
          <w:p w:rsidR="003B0815" w:rsidRDefault="003B0815" w14:paraId="1AD5924A"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51A1B07A" w14:textId="77777777">
        <w:trPr>
          <w:trHeight w:val="270"/>
          <w:jc w:val="center"/>
        </w:trPr>
        <w:tc>
          <w:tcPr>
            <w:tcW w:w="1340" w:type="dxa"/>
            <w:tcBorders>
              <w:top w:val="single" w:color="auto" w:sz="8" w:space="0"/>
              <w:left w:val="single" w:color="auto" w:sz="12" w:space="0"/>
              <w:bottom w:val="single" w:color="auto" w:sz="12" w:space="0"/>
              <w:right w:val="single" w:color="auto" w:sz="8" w:space="0"/>
            </w:tcBorders>
            <w:vAlign w:val="bottom"/>
          </w:tcPr>
          <w:p w:rsidR="003B0815" w:rsidRDefault="003B0815" w14:paraId="2A597AE2" w14:textId="77777777">
            <w:pPr>
              <w:jc w:val="center"/>
              <w:rPr>
                <w:rFonts w:ascii="Arial" w:hAnsi="Arial" w:eastAsia="Arial Unicode MS" w:cs="Arial"/>
                <w:sz w:val="20"/>
                <w:szCs w:val="20"/>
              </w:rPr>
            </w:pPr>
            <w:r>
              <w:rPr>
                <w:rFonts w:ascii="Arial" w:hAnsi="Arial" w:cs="Arial"/>
                <w:sz w:val="20"/>
                <w:szCs w:val="20"/>
              </w:rPr>
              <w:t>2017</w:t>
            </w:r>
          </w:p>
        </w:tc>
        <w:tc>
          <w:tcPr>
            <w:tcW w:w="1200" w:type="dxa"/>
            <w:tcBorders>
              <w:top w:val="single" w:color="auto" w:sz="8" w:space="0"/>
              <w:left w:val="nil"/>
              <w:bottom w:val="single" w:color="auto" w:sz="12" w:space="0"/>
              <w:right w:val="single" w:color="auto" w:sz="8" w:space="0"/>
            </w:tcBorders>
          </w:tcPr>
          <w:p w:rsidR="003B0815" w:rsidRDefault="003B0815" w14:paraId="45CC067E"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single" w:color="auto" w:sz="8" w:space="0"/>
              <w:left w:val="nil"/>
              <w:bottom w:val="single" w:color="auto" w:sz="12" w:space="0"/>
              <w:right w:val="single" w:color="auto" w:sz="8" w:space="0"/>
            </w:tcBorders>
          </w:tcPr>
          <w:p w:rsidR="003B0815" w:rsidRDefault="003B0815" w14:paraId="3F21FA2C" w14:textId="77777777">
            <w:pPr>
              <w:jc w:val="right"/>
              <w:rPr>
                <w:rFonts w:ascii="Arial" w:hAnsi="Arial" w:eastAsia="Arial Unicode MS" w:cs="Arial"/>
                <w:sz w:val="20"/>
                <w:szCs w:val="20"/>
              </w:rPr>
            </w:pPr>
            <w:r>
              <w:rPr>
                <w:rFonts w:ascii="Arial" w:hAnsi="Arial" w:cs="Arial"/>
                <w:sz w:val="20"/>
                <w:szCs w:val="20"/>
              </w:rPr>
              <w:t>$20.69</w:t>
            </w:r>
          </w:p>
        </w:tc>
        <w:tc>
          <w:tcPr>
            <w:tcW w:w="1420" w:type="dxa"/>
            <w:tcBorders>
              <w:top w:val="single" w:color="auto" w:sz="8" w:space="0"/>
              <w:left w:val="nil"/>
              <w:bottom w:val="single" w:color="auto" w:sz="12" w:space="0"/>
              <w:right w:val="single" w:color="auto" w:sz="8" w:space="0"/>
            </w:tcBorders>
          </w:tcPr>
          <w:p w:rsidR="003B0815" w:rsidRDefault="003B0815" w14:paraId="15874121" w14:textId="77777777">
            <w:pPr>
              <w:rPr>
                <w:rFonts w:ascii="Arial" w:hAnsi="Arial" w:eastAsia="Arial Unicode MS" w:cs="Arial"/>
                <w:sz w:val="20"/>
                <w:szCs w:val="20"/>
              </w:rPr>
            </w:pPr>
            <w:r>
              <w:rPr>
                <w:rFonts w:ascii="Arial" w:hAnsi="Arial" w:cs="Arial"/>
                <w:sz w:val="20"/>
                <w:szCs w:val="20"/>
              </w:rPr>
              <w:t xml:space="preserve">                  -   </w:t>
            </w:r>
          </w:p>
        </w:tc>
        <w:tc>
          <w:tcPr>
            <w:tcW w:w="1240" w:type="dxa"/>
            <w:tcBorders>
              <w:top w:val="single" w:color="auto" w:sz="8" w:space="0"/>
              <w:left w:val="nil"/>
              <w:bottom w:val="single" w:color="auto" w:sz="12" w:space="0"/>
              <w:right w:val="single" w:color="auto" w:sz="12" w:space="0"/>
            </w:tcBorders>
          </w:tcPr>
          <w:p w:rsidR="003B0815" w:rsidRDefault="003B0815" w14:paraId="00DA4BFC"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43C1DADC" w14:textId="77777777">
        <w:trPr>
          <w:trHeight w:val="270"/>
          <w:jc w:val="center"/>
        </w:trPr>
        <w:tc>
          <w:tcPr>
            <w:tcW w:w="1340" w:type="dxa"/>
            <w:tcBorders>
              <w:top w:val="single" w:color="auto" w:sz="12" w:space="0"/>
              <w:left w:val="single" w:color="auto" w:sz="12" w:space="0"/>
              <w:bottom w:val="single" w:color="auto" w:sz="12" w:space="0"/>
              <w:right w:val="single" w:color="auto" w:sz="8" w:space="0"/>
            </w:tcBorders>
            <w:vAlign w:val="bottom"/>
          </w:tcPr>
          <w:p w:rsidR="003B0815" w:rsidRDefault="003B0815" w14:paraId="42FC1F6C" w14:textId="77777777">
            <w:pPr>
              <w:pStyle w:val="Heading1"/>
              <w:rPr>
                <w:rFonts w:eastAsia="Arial Unicode MS"/>
                <w:sz w:val="20"/>
              </w:rPr>
            </w:pPr>
            <w:r>
              <w:rPr>
                <w:sz w:val="20"/>
              </w:rPr>
              <w:t xml:space="preserve">Primary </w:t>
            </w:r>
          </w:p>
        </w:tc>
        <w:tc>
          <w:tcPr>
            <w:tcW w:w="1200" w:type="dxa"/>
            <w:tcBorders>
              <w:top w:val="single" w:color="auto" w:sz="12" w:space="0"/>
              <w:left w:val="nil"/>
              <w:bottom w:val="single" w:color="auto" w:sz="12" w:space="0"/>
              <w:right w:val="single" w:color="auto" w:sz="8" w:space="0"/>
            </w:tcBorders>
            <w:vAlign w:val="center"/>
          </w:tcPr>
          <w:p w:rsidR="003B0815" w:rsidRDefault="003B0815" w14:paraId="5D4E5523" w14:textId="77777777">
            <w:pPr>
              <w:rPr>
                <w:rFonts w:ascii="Arial" w:hAnsi="Arial" w:eastAsia="Arial Unicode MS" w:cs="Arial"/>
                <w:b/>
                <w:bCs/>
                <w:sz w:val="20"/>
                <w:szCs w:val="20"/>
              </w:rPr>
            </w:pPr>
            <w:r>
              <w:rPr>
                <w:rFonts w:ascii="Arial" w:hAnsi="Arial" w:cs="Arial"/>
                <w:b/>
                <w:bCs/>
                <w:sz w:val="20"/>
                <w:szCs w:val="20"/>
              </w:rPr>
              <w:t> </w:t>
            </w:r>
          </w:p>
        </w:tc>
        <w:tc>
          <w:tcPr>
            <w:tcW w:w="1320" w:type="dxa"/>
            <w:tcBorders>
              <w:top w:val="single" w:color="auto" w:sz="12" w:space="0"/>
              <w:left w:val="nil"/>
              <w:bottom w:val="single" w:color="auto" w:sz="12" w:space="0"/>
              <w:right w:val="single" w:color="auto" w:sz="8" w:space="0"/>
            </w:tcBorders>
            <w:vAlign w:val="center"/>
          </w:tcPr>
          <w:p w:rsidR="003B0815" w:rsidRDefault="003B0815" w14:paraId="212516EE" w14:textId="77777777">
            <w:pPr>
              <w:rPr>
                <w:rFonts w:ascii="Arial" w:hAnsi="Arial" w:eastAsia="Arial Unicode MS" w:cs="Arial"/>
                <w:b/>
                <w:bCs/>
                <w:sz w:val="20"/>
                <w:szCs w:val="20"/>
              </w:rPr>
            </w:pPr>
            <w:r>
              <w:rPr>
                <w:rFonts w:ascii="Arial" w:hAnsi="Arial" w:cs="Arial"/>
                <w:b/>
                <w:bCs/>
                <w:sz w:val="20"/>
                <w:szCs w:val="20"/>
              </w:rPr>
              <w:t> </w:t>
            </w:r>
          </w:p>
        </w:tc>
        <w:tc>
          <w:tcPr>
            <w:tcW w:w="1420" w:type="dxa"/>
            <w:tcBorders>
              <w:top w:val="single" w:color="auto" w:sz="12" w:space="0"/>
              <w:left w:val="nil"/>
              <w:bottom w:val="single" w:color="auto" w:sz="12" w:space="0"/>
              <w:right w:val="single" w:color="auto" w:sz="8" w:space="0"/>
            </w:tcBorders>
            <w:vAlign w:val="center"/>
          </w:tcPr>
          <w:p w:rsidR="003B0815" w:rsidRDefault="003B0815" w14:paraId="26ED5B90" w14:textId="77777777">
            <w:pPr>
              <w:rPr>
                <w:rFonts w:ascii="Arial" w:hAnsi="Arial" w:eastAsia="Arial Unicode MS" w:cs="Arial"/>
                <w:b/>
                <w:bCs/>
                <w:sz w:val="20"/>
                <w:szCs w:val="20"/>
              </w:rPr>
            </w:pPr>
            <w:r>
              <w:rPr>
                <w:rFonts w:ascii="Arial" w:hAnsi="Arial" w:cs="Arial"/>
                <w:b/>
                <w:bCs/>
                <w:sz w:val="20"/>
                <w:szCs w:val="20"/>
              </w:rPr>
              <w:t> </w:t>
            </w:r>
          </w:p>
        </w:tc>
        <w:tc>
          <w:tcPr>
            <w:tcW w:w="1240" w:type="dxa"/>
            <w:tcBorders>
              <w:top w:val="single" w:color="auto" w:sz="12" w:space="0"/>
              <w:left w:val="nil"/>
              <w:bottom w:val="single" w:color="auto" w:sz="12" w:space="0"/>
              <w:right w:val="single" w:color="auto" w:sz="12" w:space="0"/>
            </w:tcBorders>
            <w:vAlign w:val="center"/>
          </w:tcPr>
          <w:p w:rsidR="003B0815" w:rsidRDefault="003B0815" w14:paraId="7ADE7881" w14:textId="77777777">
            <w:pPr>
              <w:jc w:val="right"/>
              <w:rPr>
                <w:rFonts w:ascii="Arial" w:hAnsi="Arial" w:eastAsia="Arial Unicode MS" w:cs="Arial"/>
                <w:b/>
                <w:bCs/>
                <w:sz w:val="20"/>
                <w:szCs w:val="20"/>
              </w:rPr>
            </w:pPr>
            <w:r>
              <w:rPr>
                <w:rFonts w:ascii="Arial" w:hAnsi="Arial" w:cs="Arial"/>
                <w:b/>
                <w:bCs/>
                <w:sz w:val="20"/>
                <w:szCs w:val="20"/>
              </w:rPr>
              <w:t>$2.3</w:t>
            </w:r>
          </w:p>
        </w:tc>
      </w:tr>
      <w:tr w:rsidR="003B0815" w14:paraId="421C39DA" w14:textId="77777777">
        <w:trPr>
          <w:trHeight w:val="270"/>
          <w:jc w:val="center"/>
        </w:trPr>
        <w:tc>
          <w:tcPr>
            <w:tcW w:w="1340" w:type="dxa"/>
            <w:tcBorders>
              <w:top w:val="single" w:color="auto" w:sz="12" w:space="0"/>
              <w:left w:val="single" w:color="auto" w:sz="12" w:space="0"/>
              <w:bottom w:val="single" w:color="auto" w:sz="8" w:space="0"/>
              <w:right w:val="single" w:color="auto" w:sz="8" w:space="0"/>
            </w:tcBorders>
            <w:vAlign w:val="bottom"/>
          </w:tcPr>
          <w:p w:rsidR="003B0815" w:rsidRDefault="003B0815" w14:paraId="7EF5F645" w14:textId="77777777">
            <w:pPr>
              <w:jc w:val="center"/>
              <w:rPr>
                <w:rFonts w:ascii="Arial" w:hAnsi="Arial" w:eastAsia="Arial Unicode MS" w:cs="Arial"/>
                <w:sz w:val="20"/>
                <w:szCs w:val="20"/>
              </w:rPr>
            </w:pPr>
            <w:r>
              <w:rPr>
                <w:rFonts w:ascii="Arial" w:hAnsi="Arial" w:cs="Arial"/>
                <w:sz w:val="20"/>
                <w:szCs w:val="20"/>
              </w:rPr>
              <w:t>Low (75%)</w:t>
            </w:r>
          </w:p>
        </w:tc>
        <w:tc>
          <w:tcPr>
            <w:tcW w:w="1200" w:type="dxa"/>
            <w:tcBorders>
              <w:top w:val="single" w:color="auto" w:sz="12" w:space="0"/>
              <w:left w:val="nil"/>
              <w:bottom w:val="single" w:color="auto" w:sz="8" w:space="0"/>
              <w:right w:val="single" w:color="auto" w:sz="8" w:space="0"/>
            </w:tcBorders>
            <w:vAlign w:val="center"/>
          </w:tcPr>
          <w:p w:rsidR="003B0815" w:rsidRDefault="003B0815" w14:paraId="3CF5B8CA" w14:textId="77777777">
            <w:pPr>
              <w:rPr>
                <w:rFonts w:ascii="Arial" w:hAnsi="Arial" w:eastAsia="Arial Unicode MS" w:cs="Arial"/>
                <w:b/>
                <w:bCs/>
                <w:sz w:val="20"/>
                <w:szCs w:val="20"/>
              </w:rPr>
            </w:pPr>
            <w:r>
              <w:rPr>
                <w:rFonts w:ascii="Arial" w:hAnsi="Arial" w:cs="Arial"/>
                <w:b/>
                <w:bCs/>
                <w:sz w:val="20"/>
                <w:szCs w:val="20"/>
              </w:rPr>
              <w:t> </w:t>
            </w:r>
          </w:p>
        </w:tc>
        <w:tc>
          <w:tcPr>
            <w:tcW w:w="1320" w:type="dxa"/>
            <w:tcBorders>
              <w:top w:val="single" w:color="auto" w:sz="12" w:space="0"/>
              <w:left w:val="nil"/>
              <w:bottom w:val="single" w:color="auto" w:sz="8" w:space="0"/>
              <w:right w:val="single" w:color="auto" w:sz="8" w:space="0"/>
            </w:tcBorders>
            <w:vAlign w:val="center"/>
          </w:tcPr>
          <w:p w:rsidR="003B0815" w:rsidRDefault="003B0815" w14:paraId="39BF03CF" w14:textId="77777777">
            <w:pPr>
              <w:rPr>
                <w:rFonts w:ascii="Arial" w:hAnsi="Arial" w:eastAsia="Arial Unicode MS" w:cs="Arial"/>
                <w:b/>
                <w:bCs/>
                <w:sz w:val="20"/>
                <w:szCs w:val="20"/>
              </w:rPr>
            </w:pPr>
            <w:r>
              <w:rPr>
                <w:rFonts w:ascii="Arial" w:hAnsi="Arial" w:cs="Arial"/>
                <w:b/>
                <w:bCs/>
                <w:sz w:val="20"/>
                <w:szCs w:val="20"/>
              </w:rPr>
              <w:t> </w:t>
            </w:r>
          </w:p>
        </w:tc>
        <w:tc>
          <w:tcPr>
            <w:tcW w:w="1420" w:type="dxa"/>
            <w:tcBorders>
              <w:top w:val="single" w:color="auto" w:sz="12" w:space="0"/>
              <w:left w:val="nil"/>
              <w:bottom w:val="single" w:color="auto" w:sz="8" w:space="0"/>
              <w:right w:val="single" w:color="auto" w:sz="8" w:space="0"/>
            </w:tcBorders>
            <w:vAlign w:val="center"/>
          </w:tcPr>
          <w:p w:rsidR="003B0815" w:rsidRDefault="003B0815" w14:paraId="700201A6" w14:textId="77777777">
            <w:pPr>
              <w:rPr>
                <w:rFonts w:ascii="Arial" w:hAnsi="Arial" w:eastAsia="Arial Unicode MS" w:cs="Arial"/>
                <w:b/>
                <w:bCs/>
                <w:sz w:val="20"/>
                <w:szCs w:val="20"/>
              </w:rPr>
            </w:pPr>
            <w:r>
              <w:rPr>
                <w:rFonts w:ascii="Arial" w:hAnsi="Arial" w:cs="Arial"/>
                <w:b/>
                <w:bCs/>
                <w:sz w:val="20"/>
                <w:szCs w:val="20"/>
              </w:rPr>
              <w:t> </w:t>
            </w:r>
          </w:p>
        </w:tc>
        <w:tc>
          <w:tcPr>
            <w:tcW w:w="1240" w:type="dxa"/>
            <w:tcBorders>
              <w:top w:val="single" w:color="auto" w:sz="12" w:space="0"/>
              <w:left w:val="nil"/>
              <w:bottom w:val="single" w:color="auto" w:sz="8" w:space="0"/>
              <w:right w:val="single" w:color="auto" w:sz="12" w:space="0"/>
            </w:tcBorders>
            <w:vAlign w:val="center"/>
          </w:tcPr>
          <w:p w:rsidR="003B0815" w:rsidRDefault="003B0815" w14:paraId="18063B43" w14:textId="77777777">
            <w:pPr>
              <w:jc w:val="right"/>
              <w:rPr>
                <w:rFonts w:ascii="Arial" w:hAnsi="Arial" w:eastAsia="Arial Unicode MS" w:cs="Arial"/>
                <w:b/>
                <w:bCs/>
                <w:sz w:val="20"/>
                <w:szCs w:val="20"/>
              </w:rPr>
            </w:pPr>
            <w:r>
              <w:rPr>
                <w:rFonts w:ascii="Arial" w:hAnsi="Arial" w:cs="Arial"/>
                <w:b/>
                <w:bCs/>
                <w:sz w:val="20"/>
                <w:szCs w:val="20"/>
              </w:rPr>
              <w:t>$1.7</w:t>
            </w:r>
          </w:p>
        </w:tc>
      </w:tr>
      <w:tr w:rsidR="003B0815" w14:paraId="01ACD389" w14:textId="77777777">
        <w:trPr>
          <w:trHeight w:val="270"/>
          <w:jc w:val="center"/>
        </w:trPr>
        <w:tc>
          <w:tcPr>
            <w:tcW w:w="1340" w:type="dxa"/>
            <w:tcBorders>
              <w:top w:val="nil"/>
              <w:left w:val="single" w:color="auto" w:sz="12" w:space="0"/>
              <w:bottom w:val="single" w:color="auto" w:sz="12" w:space="0"/>
              <w:right w:val="single" w:color="auto" w:sz="8" w:space="0"/>
            </w:tcBorders>
            <w:vAlign w:val="bottom"/>
          </w:tcPr>
          <w:p w:rsidR="003B0815" w:rsidRDefault="003B0815" w14:paraId="4FE44918" w14:textId="77777777">
            <w:pPr>
              <w:jc w:val="center"/>
              <w:rPr>
                <w:rFonts w:ascii="Arial" w:hAnsi="Arial" w:eastAsia="Arial Unicode MS" w:cs="Arial"/>
                <w:sz w:val="20"/>
                <w:szCs w:val="20"/>
              </w:rPr>
            </w:pPr>
            <w:r>
              <w:rPr>
                <w:rFonts w:ascii="Arial" w:hAnsi="Arial" w:cs="Arial"/>
                <w:sz w:val="20"/>
                <w:szCs w:val="20"/>
              </w:rPr>
              <w:t>High (125%)</w:t>
            </w:r>
          </w:p>
        </w:tc>
        <w:tc>
          <w:tcPr>
            <w:tcW w:w="1200" w:type="dxa"/>
            <w:tcBorders>
              <w:top w:val="nil"/>
              <w:left w:val="nil"/>
              <w:bottom w:val="single" w:color="auto" w:sz="12" w:space="0"/>
              <w:right w:val="single" w:color="auto" w:sz="8" w:space="0"/>
            </w:tcBorders>
            <w:vAlign w:val="center"/>
          </w:tcPr>
          <w:p w:rsidR="003B0815" w:rsidRDefault="003B0815" w14:paraId="03D502F3" w14:textId="77777777">
            <w:pPr>
              <w:rPr>
                <w:rFonts w:ascii="Arial" w:hAnsi="Arial" w:eastAsia="Arial Unicode MS" w:cs="Arial"/>
                <w:b/>
                <w:bCs/>
                <w:sz w:val="20"/>
                <w:szCs w:val="20"/>
              </w:rPr>
            </w:pPr>
            <w:r>
              <w:rPr>
                <w:rFonts w:ascii="Arial" w:hAnsi="Arial" w:cs="Arial"/>
                <w:b/>
                <w:bCs/>
                <w:sz w:val="20"/>
                <w:szCs w:val="20"/>
              </w:rPr>
              <w:t> </w:t>
            </w:r>
          </w:p>
        </w:tc>
        <w:tc>
          <w:tcPr>
            <w:tcW w:w="1320" w:type="dxa"/>
            <w:tcBorders>
              <w:top w:val="nil"/>
              <w:left w:val="nil"/>
              <w:bottom w:val="single" w:color="auto" w:sz="12" w:space="0"/>
              <w:right w:val="single" w:color="auto" w:sz="8" w:space="0"/>
            </w:tcBorders>
            <w:vAlign w:val="center"/>
          </w:tcPr>
          <w:p w:rsidR="003B0815" w:rsidRDefault="003B0815" w14:paraId="1DDEE6F7" w14:textId="77777777">
            <w:pPr>
              <w:rPr>
                <w:rFonts w:ascii="Arial" w:hAnsi="Arial" w:eastAsia="Arial Unicode MS" w:cs="Arial"/>
                <w:b/>
                <w:bCs/>
                <w:sz w:val="20"/>
                <w:szCs w:val="20"/>
              </w:rPr>
            </w:pPr>
            <w:r>
              <w:rPr>
                <w:rFonts w:ascii="Arial" w:hAnsi="Arial" w:cs="Arial"/>
                <w:b/>
                <w:bCs/>
                <w:sz w:val="20"/>
                <w:szCs w:val="20"/>
              </w:rPr>
              <w:t> </w:t>
            </w:r>
          </w:p>
        </w:tc>
        <w:tc>
          <w:tcPr>
            <w:tcW w:w="1420" w:type="dxa"/>
            <w:tcBorders>
              <w:top w:val="nil"/>
              <w:left w:val="nil"/>
              <w:bottom w:val="single" w:color="auto" w:sz="12" w:space="0"/>
              <w:right w:val="single" w:color="auto" w:sz="8" w:space="0"/>
            </w:tcBorders>
            <w:vAlign w:val="center"/>
          </w:tcPr>
          <w:p w:rsidR="003B0815" w:rsidRDefault="003B0815" w14:paraId="0B4F5E89" w14:textId="77777777">
            <w:pPr>
              <w:rPr>
                <w:rFonts w:ascii="Arial" w:hAnsi="Arial" w:eastAsia="Arial Unicode MS" w:cs="Arial"/>
                <w:b/>
                <w:bCs/>
                <w:sz w:val="20"/>
                <w:szCs w:val="20"/>
              </w:rPr>
            </w:pPr>
            <w:r>
              <w:rPr>
                <w:rFonts w:ascii="Arial" w:hAnsi="Arial" w:cs="Arial"/>
                <w:b/>
                <w:bCs/>
                <w:sz w:val="20"/>
                <w:szCs w:val="20"/>
              </w:rPr>
              <w:t> </w:t>
            </w:r>
          </w:p>
        </w:tc>
        <w:tc>
          <w:tcPr>
            <w:tcW w:w="1240" w:type="dxa"/>
            <w:tcBorders>
              <w:top w:val="nil"/>
              <w:left w:val="nil"/>
              <w:bottom w:val="single" w:color="auto" w:sz="12" w:space="0"/>
              <w:right w:val="single" w:color="auto" w:sz="12" w:space="0"/>
            </w:tcBorders>
            <w:vAlign w:val="center"/>
          </w:tcPr>
          <w:p w:rsidR="003B0815" w:rsidRDefault="003B0815" w14:paraId="7EEA6836" w14:textId="77777777">
            <w:pPr>
              <w:jc w:val="right"/>
              <w:rPr>
                <w:rFonts w:ascii="Arial" w:hAnsi="Arial" w:eastAsia="Arial Unicode MS" w:cs="Arial"/>
                <w:b/>
                <w:bCs/>
                <w:sz w:val="20"/>
                <w:szCs w:val="20"/>
              </w:rPr>
            </w:pPr>
            <w:r>
              <w:rPr>
                <w:rFonts w:ascii="Arial" w:hAnsi="Arial" w:cs="Arial"/>
                <w:b/>
                <w:bCs/>
                <w:sz w:val="20"/>
                <w:szCs w:val="20"/>
              </w:rPr>
              <w:t>$2.8</w:t>
            </w:r>
          </w:p>
        </w:tc>
      </w:tr>
    </w:tbl>
    <w:p w:rsidR="003B0815" w:rsidRDefault="003B0815" w14:paraId="5E3BE23E" w14:textId="77777777"/>
    <w:p w:rsidR="003B0815" w:rsidRDefault="003B0815" w14:paraId="3A635C90" w14:textId="77777777"/>
    <w:p w:rsidR="003B0815" w:rsidRDefault="003B0815" w14:paraId="10E2CA58" w14:textId="77777777"/>
    <w:p w:rsidR="003B0815" w:rsidRDefault="003B0815" w14:paraId="67795720" w14:textId="77777777"/>
    <w:p w:rsidR="003B0815" w:rsidRDefault="003B0815" w14:paraId="35105991" w14:textId="77777777"/>
    <w:p w:rsidR="003B0815" w:rsidRDefault="003B0815" w14:paraId="4F48DB94" w14:textId="77777777"/>
    <w:p w:rsidR="003B0815" w:rsidRDefault="003B0815" w14:paraId="391C96AE" w14:textId="77777777"/>
    <w:p w:rsidR="003B0815" w:rsidRDefault="003B0815" w14:paraId="18CD69DB" w14:textId="77777777">
      <w:pPr>
        <w:pStyle w:val="BodyTextIndent"/>
        <w:spacing w:line="360" w:lineRule="auto"/>
      </w:pPr>
      <w:r>
        <w:t>Also in the initial year of the Secure Flight program, travel agencies will incur costs related to reprogramming electronic profiles of clients and other data management functions in order to incorporate the additional data collection requirements into existing business practices.  Based on comments from the public received on this issue, TSA used an estimate of $9,000 in reprogramming and related costs for each travel agency affected.  It is estimate that these costs will be incurred by the 1,604 travel agency firms with sales above $2 million annually that were in business at the end of 2006.  However, in TSA’s view these reprogramming costs do not recur in later years, as the Secure Flight requirements become part of normal business and data collection procedures.  Table 1.6.4.f shows this reprogramming cost estimate, which totals $14.4 million.</w:t>
      </w:r>
    </w:p>
    <w:p w:rsidR="003B0815" w:rsidRDefault="003B0815" w14:paraId="1B62A577" w14:textId="77777777"/>
    <w:tbl>
      <w:tblPr>
        <w:tblW w:w="5200" w:type="dxa"/>
        <w:jc w:val="center"/>
        <w:tblCellMar>
          <w:left w:w="0" w:type="dxa"/>
          <w:right w:w="0" w:type="dxa"/>
        </w:tblCellMar>
        <w:tblLook w:val="0000" w:firstRow="0" w:lastRow="0" w:firstColumn="0" w:lastColumn="0" w:noHBand="0" w:noVBand="0"/>
      </w:tblPr>
      <w:tblGrid>
        <w:gridCol w:w="1340"/>
        <w:gridCol w:w="1200"/>
        <w:gridCol w:w="1320"/>
        <w:gridCol w:w="1340"/>
      </w:tblGrid>
      <w:tr w:rsidR="003B0815" w14:paraId="70C4779B" w14:textId="77777777">
        <w:trPr>
          <w:trHeight w:val="510"/>
          <w:jc w:val="center"/>
        </w:trPr>
        <w:tc>
          <w:tcPr>
            <w:tcW w:w="5200" w:type="dxa"/>
            <w:gridSpan w:val="4"/>
            <w:tcBorders>
              <w:top w:val="nil"/>
              <w:left w:val="nil"/>
              <w:bottom w:val="single" w:color="auto" w:sz="12" w:space="0"/>
              <w:right w:val="nil"/>
            </w:tcBorders>
          </w:tcPr>
          <w:p w:rsidR="003B0815" w:rsidRDefault="003B0815" w14:paraId="327294D5" w14:textId="77777777">
            <w:pPr>
              <w:pStyle w:val="RegEvalTableHeader"/>
              <w:rPr>
                <w:rFonts w:eastAsia="Arial Unicode MS"/>
              </w:rPr>
            </w:pPr>
            <w:bookmarkStart w:name="_Toc207109530" w:id="315"/>
            <w:r>
              <w:t>Table 1.6.4.f Total Costs of Reprogramming Travel Agency Electronic Profiles (millions)</w:t>
            </w:r>
            <w:bookmarkEnd w:id="315"/>
          </w:p>
        </w:tc>
      </w:tr>
      <w:tr w:rsidR="003B0815" w14:paraId="2191030A" w14:textId="77777777">
        <w:trPr>
          <w:trHeight w:val="54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3C2D7968" w14:textId="77777777">
            <w:pPr>
              <w:jc w:val="center"/>
              <w:rPr>
                <w:rFonts w:ascii="Arial" w:hAnsi="Arial" w:eastAsia="Arial Unicode MS" w:cs="Arial"/>
                <w:sz w:val="20"/>
                <w:szCs w:val="20"/>
              </w:rPr>
            </w:pPr>
            <w:r>
              <w:rPr>
                <w:rFonts w:ascii="Arial" w:hAnsi="Arial" w:cs="Arial"/>
                <w:sz w:val="20"/>
                <w:szCs w:val="20"/>
              </w:rPr>
              <w:t>Fiscal Year</w:t>
            </w:r>
          </w:p>
        </w:tc>
        <w:tc>
          <w:tcPr>
            <w:tcW w:w="1200" w:type="dxa"/>
            <w:tcBorders>
              <w:top w:val="nil"/>
              <w:left w:val="nil"/>
              <w:bottom w:val="single" w:color="auto" w:sz="8" w:space="0"/>
              <w:right w:val="single" w:color="auto" w:sz="8" w:space="0"/>
            </w:tcBorders>
            <w:vAlign w:val="bottom"/>
          </w:tcPr>
          <w:p w:rsidR="003B0815" w:rsidRDefault="003B0815" w14:paraId="37976D9D" w14:textId="77777777">
            <w:pPr>
              <w:jc w:val="center"/>
              <w:rPr>
                <w:rFonts w:ascii="Arial" w:hAnsi="Arial" w:eastAsia="Arial Unicode MS" w:cs="Arial"/>
                <w:sz w:val="20"/>
                <w:szCs w:val="20"/>
              </w:rPr>
            </w:pPr>
            <w:r>
              <w:rPr>
                <w:rFonts w:ascii="Arial" w:hAnsi="Arial" w:cs="Arial"/>
                <w:sz w:val="20"/>
                <w:szCs w:val="20"/>
              </w:rPr>
              <w:t>Agencies</w:t>
            </w:r>
          </w:p>
        </w:tc>
        <w:tc>
          <w:tcPr>
            <w:tcW w:w="1320" w:type="dxa"/>
            <w:tcBorders>
              <w:top w:val="nil"/>
              <w:left w:val="nil"/>
              <w:bottom w:val="single" w:color="auto" w:sz="8" w:space="0"/>
              <w:right w:val="single" w:color="auto" w:sz="8" w:space="0"/>
            </w:tcBorders>
            <w:vAlign w:val="bottom"/>
          </w:tcPr>
          <w:p w:rsidR="003B0815" w:rsidRDefault="003B0815" w14:paraId="4754E9EA" w14:textId="77777777">
            <w:pPr>
              <w:jc w:val="center"/>
              <w:rPr>
                <w:rFonts w:ascii="Arial" w:hAnsi="Arial" w:eastAsia="Arial Unicode MS" w:cs="Arial"/>
                <w:sz w:val="20"/>
                <w:szCs w:val="20"/>
              </w:rPr>
            </w:pPr>
            <w:r>
              <w:rPr>
                <w:rFonts w:ascii="Arial" w:hAnsi="Arial" w:cs="Arial"/>
                <w:sz w:val="20"/>
                <w:szCs w:val="20"/>
              </w:rPr>
              <w:t>Cost per Agency</w:t>
            </w:r>
          </w:p>
        </w:tc>
        <w:tc>
          <w:tcPr>
            <w:tcW w:w="1340" w:type="dxa"/>
            <w:tcBorders>
              <w:top w:val="nil"/>
              <w:left w:val="nil"/>
              <w:bottom w:val="single" w:color="auto" w:sz="8" w:space="0"/>
              <w:right w:val="single" w:color="auto" w:sz="12" w:space="0"/>
            </w:tcBorders>
            <w:vAlign w:val="bottom"/>
          </w:tcPr>
          <w:p w:rsidR="003B0815" w:rsidRDefault="003B0815" w14:paraId="1F9E9398" w14:textId="77777777">
            <w:pPr>
              <w:jc w:val="center"/>
              <w:rPr>
                <w:rFonts w:ascii="Arial" w:hAnsi="Arial" w:eastAsia="Arial Unicode MS" w:cs="Arial"/>
                <w:sz w:val="20"/>
                <w:szCs w:val="20"/>
              </w:rPr>
            </w:pPr>
            <w:r>
              <w:rPr>
                <w:rFonts w:ascii="Arial" w:hAnsi="Arial" w:cs="Arial"/>
                <w:sz w:val="20"/>
                <w:szCs w:val="20"/>
              </w:rPr>
              <w:t>Total</w:t>
            </w:r>
          </w:p>
        </w:tc>
      </w:tr>
      <w:tr w:rsidR="003B0815" w14:paraId="48F9EC29"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532E61C9" w14:textId="77777777">
            <w:pPr>
              <w:jc w:val="center"/>
              <w:rPr>
                <w:rFonts w:ascii="Arial" w:hAnsi="Arial" w:eastAsia="Arial Unicode MS" w:cs="Arial"/>
                <w:sz w:val="20"/>
                <w:szCs w:val="20"/>
              </w:rPr>
            </w:pPr>
            <w:r>
              <w:rPr>
                <w:rFonts w:ascii="Arial" w:hAnsi="Arial" w:cs="Arial"/>
                <w:sz w:val="20"/>
                <w:szCs w:val="20"/>
              </w:rPr>
              <w:t>2008</w:t>
            </w:r>
          </w:p>
        </w:tc>
        <w:tc>
          <w:tcPr>
            <w:tcW w:w="1200" w:type="dxa"/>
            <w:tcBorders>
              <w:top w:val="nil"/>
              <w:left w:val="nil"/>
              <w:bottom w:val="single" w:color="auto" w:sz="8" w:space="0"/>
              <w:right w:val="single" w:color="auto" w:sz="8" w:space="0"/>
            </w:tcBorders>
          </w:tcPr>
          <w:p w:rsidR="003B0815" w:rsidRDefault="003B0815" w14:paraId="356A3CFA" w14:textId="77777777">
            <w:pPr>
              <w:rPr>
                <w:rFonts w:ascii="Arial" w:hAnsi="Arial" w:eastAsia="Arial Unicode MS" w:cs="Arial"/>
                <w:sz w:val="20"/>
                <w:szCs w:val="20"/>
              </w:rPr>
            </w:pPr>
            <w:r>
              <w:rPr>
                <w:rFonts w:ascii="Arial" w:hAnsi="Arial" w:cs="Arial"/>
                <w:sz w:val="20"/>
                <w:szCs w:val="20"/>
              </w:rPr>
              <w:t xml:space="preserve">         1,604 </w:t>
            </w:r>
          </w:p>
        </w:tc>
        <w:tc>
          <w:tcPr>
            <w:tcW w:w="1320" w:type="dxa"/>
            <w:tcBorders>
              <w:top w:val="nil"/>
              <w:left w:val="nil"/>
              <w:bottom w:val="single" w:color="auto" w:sz="8" w:space="0"/>
              <w:right w:val="single" w:color="auto" w:sz="8" w:space="0"/>
            </w:tcBorders>
          </w:tcPr>
          <w:p w:rsidR="003B0815" w:rsidRDefault="003B0815" w14:paraId="47B21E4F"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17418E39" w14:textId="77777777">
            <w:pPr>
              <w:jc w:val="right"/>
              <w:rPr>
                <w:rFonts w:ascii="Arial" w:hAnsi="Arial" w:eastAsia="Arial Unicode MS" w:cs="Arial"/>
                <w:b/>
                <w:bCs/>
                <w:sz w:val="20"/>
                <w:szCs w:val="20"/>
              </w:rPr>
            </w:pPr>
            <w:r>
              <w:rPr>
                <w:rFonts w:ascii="Arial" w:hAnsi="Arial" w:cs="Arial"/>
                <w:b/>
                <w:bCs/>
                <w:sz w:val="20"/>
                <w:szCs w:val="20"/>
              </w:rPr>
              <w:t>$14.4</w:t>
            </w:r>
          </w:p>
        </w:tc>
      </w:tr>
      <w:tr w:rsidR="003B0815" w14:paraId="0B3D8A95"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36E5B75D" w14:textId="77777777">
            <w:pPr>
              <w:jc w:val="center"/>
              <w:rPr>
                <w:rFonts w:ascii="Arial" w:hAnsi="Arial" w:eastAsia="Arial Unicode MS" w:cs="Arial"/>
                <w:sz w:val="20"/>
                <w:szCs w:val="20"/>
              </w:rPr>
            </w:pPr>
            <w:r>
              <w:rPr>
                <w:rFonts w:ascii="Arial" w:hAnsi="Arial" w:cs="Arial"/>
                <w:sz w:val="20"/>
                <w:szCs w:val="20"/>
              </w:rPr>
              <w:t>2009</w:t>
            </w:r>
          </w:p>
        </w:tc>
        <w:tc>
          <w:tcPr>
            <w:tcW w:w="1200" w:type="dxa"/>
            <w:tcBorders>
              <w:top w:val="nil"/>
              <w:left w:val="nil"/>
              <w:bottom w:val="single" w:color="auto" w:sz="8" w:space="0"/>
              <w:right w:val="single" w:color="auto" w:sz="8" w:space="0"/>
            </w:tcBorders>
          </w:tcPr>
          <w:p w:rsidR="003B0815" w:rsidRDefault="003B0815" w14:paraId="25B835CA"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26F45968"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0716A827"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049B3115"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52FA2243" w14:textId="77777777">
            <w:pPr>
              <w:jc w:val="center"/>
              <w:rPr>
                <w:rFonts w:ascii="Arial" w:hAnsi="Arial" w:eastAsia="Arial Unicode MS" w:cs="Arial"/>
                <w:sz w:val="20"/>
                <w:szCs w:val="20"/>
              </w:rPr>
            </w:pPr>
            <w:r>
              <w:rPr>
                <w:rFonts w:ascii="Arial" w:hAnsi="Arial" w:cs="Arial"/>
                <w:sz w:val="20"/>
                <w:szCs w:val="20"/>
              </w:rPr>
              <w:t>2010</w:t>
            </w:r>
          </w:p>
        </w:tc>
        <w:tc>
          <w:tcPr>
            <w:tcW w:w="1200" w:type="dxa"/>
            <w:tcBorders>
              <w:top w:val="nil"/>
              <w:left w:val="nil"/>
              <w:bottom w:val="single" w:color="auto" w:sz="8" w:space="0"/>
              <w:right w:val="single" w:color="auto" w:sz="8" w:space="0"/>
            </w:tcBorders>
          </w:tcPr>
          <w:p w:rsidR="003B0815" w:rsidRDefault="003B0815" w14:paraId="61013DA7"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07A71D4B"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311B6FC2"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01BD66C6"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50B6B0AB" w14:textId="77777777">
            <w:pPr>
              <w:jc w:val="center"/>
              <w:rPr>
                <w:rFonts w:ascii="Arial" w:hAnsi="Arial" w:eastAsia="Arial Unicode MS" w:cs="Arial"/>
                <w:sz w:val="20"/>
                <w:szCs w:val="20"/>
              </w:rPr>
            </w:pPr>
            <w:r>
              <w:rPr>
                <w:rFonts w:ascii="Arial" w:hAnsi="Arial" w:cs="Arial"/>
                <w:sz w:val="20"/>
                <w:szCs w:val="20"/>
              </w:rPr>
              <w:t>2011</w:t>
            </w:r>
          </w:p>
        </w:tc>
        <w:tc>
          <w:tcPr>
            <w:tcW w:w="1200" w:type="dxa"/>
            <w:tcBorders>
              <w:top w:val="nil"/>
              <w:left w:val="nil"/>
              <w:bottom w:val="single" w:color="auto" w:sz="8" w:space="0"/>
              <w:right w:val="single" w:color="auto" w:sz="8" w:space="0"/>
            </w:tcBorders>
          </w:tcPr>
          <w:p w:rsidR="003B0815" w:rsidRDefault="003B0815" w14:paraId="0BA47940"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3FCC39A8"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18CCBEB8"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42D71353"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5A1C69CF" w14:textId="77777777">
            <w:pPr>
              <w:jc w:val="center"/>
              <w:rPr>
                <w:rFonts w:ascii="Arial" w:hAnsi="Arial" w:eastAsia="Arial Unicode MS" w:cs="Arial"/>
                <w:sz w:val="20"/>
                <w:szCs w:val="20"/>
              </w:rPr>
            </w:pPr>
            <w:r>
              <w:rPr>
                <w:rFonts w:ascii="Arial" w:hAnsi="Arial" w:cs="Arial"/>
                <w:sz w:val="20"/>
                <w:szCs w:val="20"/>
              </w:rPr>
              <w:t>2012</w:t>
            </w:r>
          </w:p>
        </w:tc>
        <w:tc>
          <w:tcPr>
            <w:tcW w:w="1200" w:type="dxa"/>
            <w:tcBorders>
              <w:top w:val="nil"/>
              <w:left w:val="nil"/>
              <w:bottom w:val="single" w:color="auto" w:sz="8" w:space="0"/>
              <w:right w:val="single" w:color="auto" w:sz="8" w:space="0"/>
            </w:tcBorders>
          </w:tcPr>
          <w:p w:rsidR="003B0815" w:rsidRDefault="003B0815" w14:paraId="0F1406AB"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0E5077C9"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40100D32"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43038908"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500D4106" w14:textId="77777777">
            <w:pPr>
              <w:jc w:val="center"/>
              <w:rPr>
                <w:rFonts w:ascii="Arial" w:hAnsi="Arial" w:eastAsia="Arial Unicode MS" w:cs="Arial"/>
                <w:sz w:val="20"/>
                <w:szCs w:val="20"/>
              </w:rPr>
            </w:pPr>
            <w:r>
              <w:rPr>
                <w:rFonts w:ascii="Arial" w:hAnsi="Arial" w:cs="Arial"/>
                <w:sz w:val="20"/>
                <w:szCs w:val="20"/>
              </w:rPr>
              <w:t>2013</w:t>
            </w:r>
          </w:p>
        </w:tc>
        <w:tc>
          <w:tcPr>
            <w:tcW w:w="1200" w:type="dxa"/>
            <w:tcBorders>
              <w:top w:val="nil"/>
              <w:left w:val="nil"/>
              <w:bottom w:val="single" w:color="auto" w:sz="8" w:space="0"/>
              <w:right w:val="single" w:color="auto" w:sz="8" w:space="0"/>
            </w:tcBorders>
          </w:tcPr>
          <w:p w:rsidR="003B0815" w:rsidRDefault="003B0815" w14:paraId="27847645"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1FBA0EE8"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3FDAABF4"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69164832"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79ACC621" w14:textId="77777777">
            <w:pPr>
              <w:jc w:val="center"/>
              <w:rPr>
                <w:rFonts w:ascii="Arial" w:hAnsi="Arial" w:eastAsia="Arial Unicode MS" w:cs="Arial"/>
                <w:sz w:val="20"/>
                <w:szCs w:val="20"/>
              </w:rPr>
            </w:pPr>
            <w:r>
              <w:rPr>
                <w:rFonts w:ascii="Arial" w:hAnsi="Arial" w:cs="Arial"/>
                <w:sz w:val="20"/>
                <w:szCs w:val="20"/>
              </w:rPr>
              <w:t>2014</w:t>
            </w:r>
          </w:p>
        </w:tc>
        <w:tc>
          <w:tcPr>
            <w:tcW w:w="1200" w:type="dxa"/>
            <w:tcBorders>
              <w:top w:val="nil"/>
              <w:left w:val="nil"/>
              <w:bottom w:val="single" w:color="auto" w:sz="8" w:space="0"/>
              <w:right w:val="single" w:color="auto" w:sz="8" w:space="0"/>
            </w:tcBorders>
          </w:tcPr>
          <w:p w:rsidR="003B0815" w:rsidRDefault="003B0815" w14:paraId="7439D21A"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693E21DC"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0FA5DCDA"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1D8EC67B"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16DC9E6D" w14:textId="77777777">
            <w:pPr>
              <w:jc w:val="center"/>
              <w:rPr>
                <w:rFonts w:ascii="Arial" w:hAnsi="Arial" w:eastAsia="Arial Unicode MS" w:cs="Arial"/>
                <w:sz w:val="20"/>
                <w:szCs w:val="20"/>
              </w:rPr>
            </w:pPr>
            <w:r>
              <w:rPr>
                <w:rFonts w:ascii="Arial" w:hAnsi="Arial" w:cs="Arial"/>
                <w:sz w:val="20"/>
                <w:szCs w:val="20"/>
              </w:rPr>
              <w:t>2015</w:t>
            </w:r>
          </w:p>
        </w:tc>
        <w:tc>
          <w:tcPr>
            <w:tcW w:w="1200" w:type="dxa"/>
            <w:tcBorders>
              <w:top w:val="nil"/>
              <w:left w:val="nil"/>
              <w:bottom w:val="single" w:color="auto" w:sz="8" w:space="0"/>
              <w:right w:val="single" w:color="auto" w:sz="8" w:space="0"/>
            </w:tcBorders>
          </w:tcPr>
          <w:p w:rsidR="003B0815" w:rsidRDefault="003B0815" w14:paraId="28B68388"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7CE0BA44"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5456B5F1"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6CF73BFE"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09610DB1" w14:textId="77777777">
            <w:pPr>
              <w:jc w:val="center"/>
              <w:rPr>
                <w:rFonts w:ascii="Arial" w:hAnsi="Arial" w:eastAsia="Arial Unicode MS" w:cs="Arial"/>
                <w:sz w:val="20"/>
                <w:szCs w:val="20"/>
              </w:rPr>
            </w:pPr>
            <w:r>
              <w:rPr>
                <w:rFonts w:ascii="Arial" w:hAnsi="Arial" w:cs="Arial"/>
                <w:sz w:val="20"/>
                <w:szCs w:val="20"/>
              </w:rPr>
              <w:t>2016</w:t>
            </w:r>
          </w:p>
        </w:tc>
        <w:tc>
          <w:tcPr>
            <w:tcW w:w="1200" w:type="dxa"/>
            <w:tcBorders>
              <w:top w:val="nil"/>
              <w:left w:val="nil"/>
              <w:bottom w:val="single" w:color="auto" w:sz="8" w:space="0"/>
              <w:right w:val="single" w:color="auto" w:sz="8" w:space="0"/>
            </w:tcBorders>
          </w:tcPr>
          <w:p w:rsidR="003B0815" w:rsidRDefault="003B0815" w14:paraId="6B56EAD5"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007BDBAD"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2AA73DB6"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74ACD073"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63C5728C" w14:textId="77777777">
            <w:pPr>
              <w:jc w:val="center"/>
              <w:rPr>
                <w:rFonts w:ascii="Arial" w:hAnsi="Arial" w:eastAsia="Arial Unicode MS" w:cs="Arial"/>
                <w:sz w:val="20"/>
                <w:szCs w:val="20"/>
              </w:rPr>
            </w:pPr>
            <w:r>
              <w:rPr>
                <w:rFonts w:ascii="Arial" w:hAnsi="Arial" w:cs="Arial"/>
                <w:sz w:val="20"/>
                <w:szCs w:val="20"/>
              </w:rPr>
              <w:t>2017</w:t>
            </w:r>
          </w:p>
        </w:tc>
        <w:tc>
          <w:tcPr>
            <w:tcW w:w="1200" w:type="dxa"/>
            <w:tcBorders>
              <w:top w:val="nil"/>
              <w:left w:val="nil"/>
              <w:bottom w:val="single" w:color="auto" w:sz="8" w:space="0"/>
              <w:right w:val="single" w:color="auto" w:sz="8" w:space="0"/>
            </w:tcBorders>
          </w:tcPr>
          <w:p w:rsidR="003B0815" w:rsidRDefault="003B0815" w14:paraId="28C8636A" w14:textId="77777777">
            <w:pPr>
              <w:rPr>
                <w:rFonts w:ascii="Arial" w:hAnsi="Arial" w:eastAsia="Arial Unicode MS" w:cs="Arial"/>
                <w:sz w:val="20"/>
                <w:szCs w:val="20"/>
              </w:rPr>
            </w:pPr>
            <w:r>
              <w:rPr>
                <w:rFonts w:ascii="Arial" w:hAnsi="Arial" w:cs="Arial"/>
                <w:sz w:val="20"/>
                <w:szCs w:val="20"/>
              </w:rPr>
              <w:t xml:space="preserve">              -   </w:t>
            </w:r>
          </w:p>
        </w:tc>
        <w:tc>
          <w:tcPr>
            <w:tcW w:w="1320" w:type="dxa"/>
            <w:tcBorders>
              <w:top w:val="nil"/>
              <w:left w:val="nil"/>
              <w:bottom w:val="single" w:color="auto" w:sz="8" w:space="0"/>
              <w:right w:val="single" w:color="auto" w:sz="8" w:space="0"/>
            </w:tcBorders>
          </w:tcPr>
          <w:p w:rsidR="003B0815" w:rsidRDefault="003B0815" w14:paraId="2A9AAB55" w14:textId="77777777">
            <w:pPr>
              <w:jc w:val="right"/>
              <w:rPr>
                <w:rFonts w:ascii="Arial" w:hAnsi="Arial" w:eastAsia="Arial Unicode MS" w:cs="Arial"/>
                <w:sz w:val="20"/>
                <w:szCs w:val="20"/>
              </w:rPr>
            </w:pPr>
            <w:r>
              <w:rPr>
                <w:rFonts w:ascii="Arial" w:hAnsi="Arial" w:cs="Arial"/>
                <w:sz w:val="20"/>
                <w:szCs w:val="20"/>
              </w:rPr>
              <w:t>$9,000</w:t>
            </w:r>
          </w:p>
        </w:tc>
        <w:tc>
          <w:tcPr>
            <w:tcW w:w="1340" w:type="dxa"/>
            <w:tcBorders>
              <w:top w:val="nil"/>
              <w:left w:val="nil"/>
              <w:bottom w:val="single" w:color="auto" w:sz="8" w:space="0"/>
              <w:right w:val="single" w:color="auto" w:sz="12" w:space="0"/>
            </w:tcBorders>
          </w:tcPr>
          <w:p w:rsidR="003B0815" w:rsidRDefault="003B0815" w14:paraId="0AAB9CD8" w14:textId="77777777">
            <w:pPr>
              <w:jc w:val="right"/>
              <w:rPr>
                <w:rFonts w:ascii="Arial" w:hAnsi="Arial" w:eastAsia="Arial Unicode MS" w:cs="Arial"/>
                <w:b/>
                <w:bCs/>
                <w:sz w:val="20"/>
                <w:szCs w:val="20"/>
              </w:rPr>
            </w:pPr>
            <w:r>
              <w:rPr>
                <w:rFonts w:ascii="Arial" w:hAnsi="Arial" w:cs="Arial"/>
                <w:b/>
                <w:bCs/>
                <w:sz w:val="20"/>
                <w:szCs w:val="20"/>
              </w:rPr>
              <w:t>$0.0</w:t>
            </w:r>
          </w:p>
        </w:tc>
      </w:tr>
      <w:tr w:rsidR="003B0815" w14:paraId="27386424"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24C5BEA5" w14:textId="77777777">
            <w:pPr>
              <w:jc w:val="center"/>
              <w:rPr>
                <w:rFonts w:ascii="Arial" w:hAnsi="Arial" w:eastAsia="Arial Unicode MS" w:cs="Arial"/>
                <w:sz w:val="20"/>
                <w:szCs w:val="20"/>
              </w:rPr>
            </w:pPr>
            <w:r>
              <w:rPr>
                <w:rFonts w:ascii="Arial" w:hAnsi="Arial" w:cs="Arial"/>
                <w:sz w:val="20"/>
                <w:szCs w:val="20"/>
              </w:rPr>
              <w:t>Primary Total</w:t>
            </w:r>
          </w:p>
        </w:tc>
        <w:tc>
          <w:tcPr>
            <w:tcW w:w="1200" w:type="dxa"/>
            <w:tcBorders>
              <w:top w:val="nil"/>
              <w:left w:val="nil"/>
              <w:bottom w:val="single" w:color="auto" w:sz="8" w:space="0"/>
              <w:right w:val="single" w:color="auto" w:sz="8" w:space="0"/>
            </w:tcBorders>
            <w:vAlign w:val="center"/>
          </w:tcPr>
          <w:p w:rsidR="003B0815" w:rsidRDefault="003B0815" w14:paraId="512F84F3" w14:textId="77777777">
            <w:pPr>
              <w:rPr>
                <w:rFonts w:ascii="Arial" w:hAnsi="Arial" w:eastAsia="Arial Unicode MS" w:cs="Arial"/>
                <w:b/>
                <w:bCs/>
                <w:sz w:val="20"/>
                <w:szCs w:val="20"/>
              </w:rPr>
            </w:pPr>
            <w:r>
              <w:rPr>
                <w:rFonts w:ascii="Arial" w:hAnsi="Arial" w:cs="Arial"/>
                <w:b/>
                <w:bCs/>
                <w:sz w:val="20"/>
                <w:szCs w:val="20"/>
              </w:rPr>
              <w:t> </w:t>
            </w:r>
          </w:p>
        </w:tc>
        <w:tc>
          <w:tcPr>
            <w:tcW w:w="1320" w:type="dxa"/>
            <w:tcBorders>
              <w:top w:val="nil"/>
              <w:left w:val="nil"/>
              <w:bottom w:val="single" w:color="auto" w:sz="8" w:space="0"/>
              <w:right w:val="single" w:color="auto" w:sz="8" w:space="0"/>
            </w:tcBorders>
            <w:vAlign w:val="center"/>
          </w:tcPr>
          <w:p w:rsidR="003B0815" w:rsidRDefault="003B0815" w14:paraId="270C4348" w14:textId="77777777">
            <w:pPr>
              <w:rPr>
                <w:rFonts w:ascii="Arial" w:hAnsi="Arial" w:eastAsia="Arial Unicode MS" w:cs="Arial"/>
                <w:b/>
                <w:bCs/>
                <w:sz w:val="20"/>
                <w:szCs w:val="20"/>
              </w:rPr>
            </w:pPr>
            <w:r>
              <w:rPr>
                <w:rFonts w:ascii="Arial" w:hAnsi="Arial" w:cs="Arial"/>
                <w:b/>
                <w:bCs/>
                <w:sz w:val="20"/>
                <w:szCs w:val="20"/>
              </w:rPr>
              <w:t> </w:t>
            </w:r>
          </w:p>
        </w:tc>
        <w:tc>
          <w:tcPr>
            <w:tcW w:w="1340" w:type="dxa"/>
            <w:tcBorders>
              <w:top w:val="nil"/>
              <w:left w:val="nil"/>
              <w:bottom w:val="single" w:color="auto" w:sz="8" w:space="0"/>
              <w:right w:val="single" w:color="auto" w:sz="12" w:space="0"/>
            </w:tcBorders>
            <w:vAlign w:val="center"/>
          </w:tcPr>
          <w:p w:rsidR="003B0815" w:rsidRDefault="003B0815" w14:paraId="1C7DF54E" w14:textId="77777777">
            <w:pPr>
              <w:jc w:val="right"/>
              <w:rPr>
                <w:rFonts w:ascii="Arial" w:hAnsi="Arial" w:eastAsia="Arial Unicode MS" w:cs="Arial"/>
                <w:b/>
                <w:bCs/>
                <w:sz w:val="20"/>
                <w:szCs w:val="20"/>
              </w:rPr>
            </w:pPr>
            <w:r>
              <w:rPr>
                <w:rFonts w:ascii="Arial" w:hAnsi="Arial" w:cs="Arial"/>
                <w:b/>
                <w:bCs/>
                <w:sz w:val="20"/>
                <w:szCs w:val="20"/>
              </w:rPr>
              <w:t>$14.4</w:t>
            </w:r>
          </w:p>
        </w:tc>
      </w:tr>
      <w:tr w:rsidR="003B0815" w14:paraId="6061AF68" w14:textId="77777777">
        <w:trPr>
          <w:trHeight w:val="270"/>
          <w:jc w:val="center"/>
        </w:trPr>
        <w:tc>
          <w:tcPr>
            <w:tcW w:w="1340" w:type="dxa"/>
            <w:tcBorders>
              <w:top w:val="nil"/>
              <w:left w:val="single" w:color="auto" w:sz="12" w:space="0"/>
              <w:bottom w:val="single" w:color="auto" w:sz="8" w:space="0"/>
              <w:right w:val="single" w:color="auto" w:sz="8" w:space="0"/>
            </w:tcBorders>
            <w:vAlign w:val="bottom"/>
          </w:tcPr>
          <w:p w:rsidR="003B0815" w:rsidRDefault="003B0815" w14:paraId="39667266" w14:textId="77777777">
            <w:pPr>
              <w:jc w:val="center"/>
              <w:rPr>
                <w:rFonts w:ascii="Arial" w:hAnsi="Arial" w:eastAsia="Arial Unicode MS" w:cs="Arial"/>
                <w:sz w:val="20"/>
                <w:szCs w:val="20"/>
              </w:rPr>
            </w:pPr>
            <w:r>
              <w:rPr>
                <w:rFonts w:ascii="Arial" w:hAnsi="Arial" w:cs="Arial"/>
                <w:sz w:val="20"/>
                <w:szCs w:val="20"/>
              </w:rPr>
              <w:t>Low (75%)</w:t>
            </w:r>
          </w:p>
        </w:tc>
        <w:tc>
          <w:tcPr>
            <w:tcW w:w="1200" w:type="dxa"/>
            <w:tcBorders>
              <w:top w:val="nil"/>
              <w:left w:val="nil"/>
              <w:bottom w:val="single" w:color="auto" w:sz="8" w:space="0"/>
              <w:right w:val="single" w:color="auto" w:sz="8" w:space="0"/>
            </w:tcBorders>
            <w:vAlign w:val="center"/>
          </w:tcPr>
          <w:p w:rsidR="003B0815" w:rsidRDefault="003B0815" w14:paraId="2A3F8B2C" w14:textId="77777777">
            <w:pPr>
              <w:rPr>
                <w:rFonts w:ascii="Arial" w:hAnsi="Arial" w:eastAsia="Arial Unicode MS" w:cs="Arial"/>
                <w:b/>
                <w:bCs/>
                <w:sz w:val="20"/>
                <w:szCs w:val="20"/>
              </w:rPr>
            </w:pPr>
            <w:r>
              <w:rPr>
                <w:rFonts w:ascii="Arial" w:hAnsi="Arial" w:cs="Arial"/>
                <w:b/>
                <w:bCs/>
                <w:sz w:val="20"/>
                <w:szCs w:val="20"/>
              </w:rPr>
              <w:t> </w:t>
            </w:r>
          </w:p>
        </w:tc>
        <w:tc>
          <w:tcPr>
            <w:tcW w:w="1320" w:type="dxa"/>
            <w:tcBorders>
              <w:top w:val="nil"/>
              <w:left w:val="nil"/>
              <w:bottom w:val="single" w:color="auto" w:sz="8" w:space="0"/>
              <w:right w:val="single" w:color="auto" w:sz="8" w:space="0"/>
            </w:tcBorders>
            <w:vAlign w:val="center"/>
          </w:tcPr>
          <w:p w:rsidR="003B0815" w:rsidRDefault="003B0815" w14:paraId="62CAE1D6" w14:textId="77777777">
            <w:pPr>
              <w:rPr>
                <w:rFonts w:ascii="Arial" w:hAnsi="Arial" w:eastAsia="Arial Unicode MS" w:cs="Arial"/>
                <w:b/>
                <w:bCs/>
                <w:sz w:val="20"/>
                <w:szCs w:val="20"/>
              </w:rPr>
            </w:pPr>
            <w:r>
              <w:rPr>
                <w:rFonts w:ascii="Arial" w:hAnsi="Arial" w:cs="Arial"/>
                <w:b/>
                <w:bCs/>
                <w:sz w:val="20"/>
                <w:szCs w:val="20"/>
              </w:rPr>
              <w:t> </w:t>
            </w:r>
          </w:p>
        </w:tc>
        <w:tc>
          <w:tcPr>
            <w:tcW w:w="1340" w:type="dxa"/>
            <w:tcBorders>
              <w:top w:val="nil"/>
              <w:left w:val="nil"/>
              <w:bottom w:val="single" w:color="auto" w:sz="8" w:space="0"/>
              <w:right w:val="single" w:color="auto" w:sz="12" w:space="0"/>
            </w:tcBorders>
            <w:vAlign w:val="center"/>
          </w:tcPr>
          <w:p w:rsidR="003B0815" w:rsidRDefault="003B0815" w14:paraId="1C46BA31" w14:textId="77777777">
            <w:pPr>
              <w:jc w:val="right"/>
              <w:rPr>
                <w:rFonts w:ascii="Arial" w:hAnsi="Arial" w:eastAsia="Arial Unicode MS" w:cs="Arial"/>
                <w:b/>
                <w:bCs/>
                <w:sz w:val="20"/>
                <w:szCs w:val="20"/>
              </w:rPr>
            </w:pPr>
            <w:r>
              <w:rPr>
                <w:rFonts w:ascii="Arial" w:hAnsi="Arial" w:cs="Arial"/>
                <w:b/>
                <w:bCs/>
                <w:sz w:val="20"/>
                <w:szCs w:val="20"/>
              </w:rPr>
              <w:t>$10.8</w:t>
            </w:r>
          </w:p>
        </w:tc>
      </w:tr>
      <w:tr w:rsidR="003B0815" w14:paraId="2527F319" w14:textId="77777777">
        <w:trPr>
          <w:trHeight w:val="270"/>
          <w:jc w:val="center"/>
        </w:trPr>
        <w:tc>
          <w:tcPr>
            <w:tcW w:w="1340" w:type="dxa"/>
            <w:tcBorders>
              <w:top w:val="nil"/>
              <w:left w:val="single" w:color="auto" w:sz="12" w:space="0"/>
              <w:bottom w:val="single" w:color="auto" w:sz="12" w:space="0"/>
              <w:right w:val="single" w:color="auto" w:sz="8" w:space="0"/>
            </w:tcBorders>
            <w:vAlign w:val="bottom"/>
          </w:tcPr>
          <w:p w:rsidR="003B0815" w:rsidRDefault="003B0815" w14:paraId="1E931F2C" w14:textId="77777777">
            <w:pPr>
              <w:jc w:val="center"/>
              <w:rPr>
                <w:rFonts w:ascii="Arial" w:hAnsi="Arial" w:eastAsia="Arial Unicode MS" w:cs="Arial"/>
                <w:sz w:val="20"/>
                <w:szCs w:val="20"/>
              </w:rPr>
            </w:pPr>
            <w:r>
              <w:rPr>
                <w:rFonts w:ascii="Arial" w:hAnsi="Arial" w:cs="Arial"/>
                <w:sz w:val="20"/>
                <w:szCs w:val="20"/>
              </w:rPr>
              <w:t>High (125%)</w:t>
            </w:r>
          </w:p>
        </w:tc>
        <w:tc>
          <w:tcPr>
            <w:tcW w:w="1200" w:type="dxa"/>
            <w:tcBorders>
              <w:top w:val="nil"/>
              <w:left w:val="nil"/>
              <w:bottom w:val="single" w:color="auto" w:sz="12" w:space="0"/>
              <w:right w:val="single" w:color="auto" w:sz="8" w:space="0"/>
            </w:tcBorders>
            <w:vAlign w:val="center"/>
          </w:tcPr>
          <w:p w:rsidR="003B0815" w:rsidRDefault="003B0815" w14:paraId="0D1F8E2A" w14:textId="77777777">
            <w:pPr>
              <w:rPr>
                <w:rFonts w:ascii="Arial" w:hAnsi="Arial" w:eastAsia="Arial Unicode MS" w:cs="Arial"/>
                <w:b/>
                <w:bCs/>
                <w:sz w:val="20"/>
                <w:szCs w:val="20"/>
              </w:rPr>
            </w:pPr>
            <w:r>
              <w:rPr>
                <w:rFonts w:ascii="Arial" w:hAnsi="Arial" w:cs="Arial"/>
                <w:b/>
                <w:bCs/>
                <w:sz w:val="20"/>
                <w:szCs w:val="20"/>
              </w:rPr>
              <w:t> </w:t>
            </w:r>
          </w:p>
        </w:tc>
        <w:tc>
          <w:tcPr>
            <w:tcW w:w="1320" w:type="dxa"/>
            <w:tcBorders>
              <w:top w:val="nil"/>
              <w:left w:val="nil"/>
              <w:bottom w:val="single" w:color="auto" w:sz="12" w:space="0"/>
              <w:right w:val="single" w:color="auto" w:sz="8" w:space="0"/>
            </w:tcBorders>
            <w:vAlign w:val="center"/>
          </w:tcPr>
          <w:p w:rsidR="003B0815" w:rsidRDefault="003B0815" w14:paraId="0E9D970F" w14:textId="77777777">
            <w:pPr>
              <w:rPr>
                <w:rFonts w:ascii="Arial" w:hAnsi="Arial" w:eastAsia="Arial Unicode MS" w:cs="Arial"/>
                <w:b/>
                <w:bCs/>
                <w:sz w:val="20"/>
                <w:szCs w:val="20"/>
              </w:rPr>
            </w:pPr>
            <w:r>
              <w:rPr>
                <w:rFonts w:ascii="Arial" w:hAnsi="Arial" w:cs="Arial"/>
                <w:b/>
                <w:bCs/>
                <w:sz w:val="20"/>
                <w:szCs w:val="20"/>
              </w:rPr>
              <w:t> </w:t>
            </w:r>
          </w:p>
        </w:tc>
        <w:tc>
          <w:tcPr>
            <w:tcW w:w="1340" w:type="dxa"/>
            <w:tcBorders>
              <w:top w:val="nil"/>
              <w:left w:val="nil"/>
              <w:bottom w:val="single" w:color="auto" w:sz="12" w:space="0"/>
              <w:right w:val="single" w:color="auto" w:sz="12" w:space="0"/>
            </w:tcBorders>
            <w:vAlign w:val="center"/>
          </w:tcPr>
          <w:p w:rsidR="003B0815" w:rsidRDefault="003B0815" w14:paraId="4EB8DDF6" w14:textId="77777777">
            <w:pPr>
              <w:jc w:val="right"/>
              <w:rPr>
                <w:rFonts w:ascii="Arial" w:hAnsi="Arial" w:eastAsia="Arial Unicode MS" w:cs="Arial"/>
                <w:b/>
                <w:bCs/>
                <w:sz w:val="20"/>
                <w:szCs w:val="20"/>
              </w:rPr>
            </w:pPr>
            <w:r>
              <w:rPr>
                <w:rFonts w:ascii="Arial" w:hAnsi="Arial" w:cs="Arial"/>
                <w:b/>
                <w:bCs/>
                <w:sz w:val="20"/>
                <w:szCs w:val="20"/>
              </w:rPr>
              <w:t>$18.0</w:t>
            </w:r>
          </w:p>
        </w:tc>
      </w:tr>
    </w:tbl>
    <w:p w:rsidR="003B0815" w:rsidRDefault="003B0815" w14:paraId="08A5B990" w14:textId="77777777">
      <w:pPr>
        <w:jc w:val="center"/>
      </w:pPr>
    </w:p>
    <w:p w:rsidR="003B0815" w:rsidRDefault="003B0815" w14:paraId="58CC749F" w14:textId="77777777">
      <w:pPr>
        <w:spacing w:line="360" w:lineRule="auto"/>
      </w:pPr>
    </w:p>
    <w:p w:rsidR="003B0815" w:rsidRDefault="003B0815" w14:paraId="36A2D127" w14:textId="77777777">
      <w:pPr>
        <w:pStyle w:val="RegEvalSectionSubheader"/>
        <w:keepNext/>
        <w:spacing w:line="360" w:lineRule="auto"/>
      </w:pPr>
      <w:bookmarkStart w:name="_Toc107984984" w:id="316"/>
      <w:bookmarkStart w:name="_Toc111627389" w:id="317"/>
      <w:bookmarkStart w:name="_Toc114566444" w:id="318"/>
      <w:bookmarkStart w:name="_Toc141001092" w:id="319"/>
      <w:bookmarkStart w:name="OLE_LINK9" w:id="320"/>
      <w:bookmarkStart w:name="OLE_LINK10" w:id="321"/>
      <w:bookmarkStart w:name="_Toc141000921" w:id="322"/>
      <w:bookmarkStart w:name="_Toc165278447" w:id="323"/>
      <w:bookmarkStart w:name="_Toc202683397" w:id="324"/>
      <w:r>
        <w:t>1.6.5 Government Costs</w:t>
      </w:r>
      <w:bookmarkEnd w:id="316"/>
      <w:bookmarkEnd w:id="317"/>
      <w:bookmarkEnd w:id="318"/>
      <w:bookmarkEnd w:id="319"/>
      <w:bookmarkEnd w:id="322"/>
      <w:bookmarkEnd w:id="323"/>
      <w:bookmarkEnd w:id="324"/>
    </w:p>
    <w:p w:rsidR="003B0815" w:rsidRDefault="003B0815" w14:paraId="1F3E9365" w14:textId="77777777">
      <w:pPr>
        <w:spacing w:line="360" w:lineRule="auto"/>
        <w:ind w:firstLine="720"/>
      </w:pPr>
      <w:bookmarkStart w:name="_Toc111627391" w:id="325"/>
      <w:bookmarkStart w:name="_Toc114566446" w:id="326"/>
      <w:bookmarkStart w:name="_Toc139943617" w:id="327"/>
      <w:bookmarkStart w:name="_Toc141001127" w:id="328"/>
      <w:bookmarkStart w:name="_Toc141000961" w:id="329"/>
    </w:p>
    <w:p w:rsidR="003B0815" w:rsidRDefault="003B0815" w14:paraId="3EA95572" w14:textId="77777777">
      <w:pPr>
        <w:spacing w:line="480" w:lineRule="auto"/>
        <w:ind w:firstLine="720"/>
      </w:pPr>
      <w:r>
        <w:t>The government will incur several costs to implement Secure Flight.  To meet the requirements of this rule, TSA will have to establish infrastructure enabling it to efficiently screen millions of SFPDs per day, communicate with airlines and the TSC, and verify passenger boarding passes at the checkpoint.  TSA also will have to provide the support necessary to maintain and sustain these operations.  The following paragraphs describe each of the major cost categories involved in operating and maintaining the Secure Flight system, and estimates of the annual costs to TSA are found in Table 1.6.5.a.  As a result of recent Congressional appropriations, TSA has revised its estimate of the 10-year cost to the government to implement and operate the Secure Flight Program.  These adjustments result in a $242.8 million reduction in the cost of Secure Flight over 10 years.</w:t>
      </w:r>
    </w:p>
    <w:p w:rsidR="003B0815" w:rsidRDefault="003B0815" w14:paraId="013FC265" w14:textId="77777777">
      <w:pPr>
        <w:spacing w:line="480" w:lineRule="auto"/>
        <w:ind w:firstLine="720"/>
      </w:pPr>
      <w:r>
        <w:t>TSA also estimated costs for low, high, and primary scenarios associated with verifying boarding passes at checkpoints.  Table 1.6.5.i presents the total costs to TSA to operate and maintain the Secure Flight system and to verify boarding passes at checkpoints.</w:t>
      </w:r>
    </w:p>
    <w:p w:rsidR="003B0815" w:rsidRDefault="003B0815" w14:paraId="06115737" w14:textId="77777777">
      <w:pPr>
        <w:spacing w:line="480" w:lineRule="auto"/>
        <w:ind w:firstLine="720"/>
      </w:pPr>
      <w:r>
        <w:t>In order for TSA to prepare these costs, it was necessary for the agency to estimate a timeline for Secure Flight implementation.  TSA assumed for its budgeting purposes that implementation will stretch over fiscal years 2008 through 2010, after which the program will be at full operating capacity.  As discussed elsewhere in this regulatory evaluation, the actual implementation timeline will be contingent on the results of the operational testing phase and future budget allocations.  Consequently, the costs presented below reflect TSA’s best estimate of its future costs given available assumptions.  TSA’s actual costs may ultimately differ from the projections below.</w:t>
      </w:r>
    </w:p>
    <w:p w:rsidR="003B0815" w:rsidRDefault="003B0815" w14:paraId="624B8723" w14:textId="77777777">
      <w:pPr>
        <w:spacing w:line="480" w:lineRule="auto"/>
        <w:ind w:firstLine="720"/>
        <w:rPr>
          <w:i/>
        </w:rPr>
      </w:pPr>
      <w:r>
        <w:t>Following the presentation of TSA’s costs is a brief description of possible costs to the TSC, which are summarized in Table 1.6.5.j.  Table 1.6.5.k presents the total potential Federal Government costs.</w:t>
      </w:r>
    </w:p>
    <w:p w:rsidR="003B0815" w:rsidRDefault="003B0815" w14:paraId="068C2ADC" w14:textId="77777777">
      <w:pPr>
        <w:keepNext/>
        <w:spacing w:line="480" w:lineRule="auto"/>
        <w:rPr>
          <w:b/>
        </w:rPr>
      </w:pPr>
      <w:r>
        <w:rPr>
          <w:b/>
        </w:rPr>
        <w:t>TSA Costs</w:t>
      </w:r>
    </w:p>
    <w:p w:rsidR="003B0815" w:rsidRDefault="003B0815" w14:paraId="4A54E5AE" w14:textId="77777777">
      <w:pPr>
        <w:keepNext/>
        <w:spacing w:line="480" w:lineRule="auto"/>
        <w:rPr>
          <w:i/>
          <w:u w:val="single"/>
        </w:rPr>
      </w:pPr>
      <w:r>
        <w:rPr>
          <w:i/>
          <w:u w:val="single"/>
        </w:rPr>
        <w:t>Infrastructure</w:t>
      </w:r>
    </w:p>
    <w:p w:rsidR="003B0815" w:rsidRDefault="003B0815" w14:paraId="35FC210C" w14:textId="77777777">
      <w:pPr>
        <w:spacing w:line="480" w:lineRule="auto"/>
        <w:ind w:firstLine="720"/>
      </w:pPr>
      <w:r>
        <w:t xml:space="preserve">Secure Flight will require TSA to incur costs for the infrastructure of the program at dual sites with failover capability.  This category includes lease payments and utilities for facilities used by Secure Flight.  TSA has also established an Independent Validation and Verification (IV&amp;V) group, which TSA is using to ensure the quality and integrity of the program.  The IV&amp;V group will provide an independent review of critical systems and their development by reviewing preliminary and system designs, witnessing and monitoring testing, facilitating technical issue resolution, and reviewing technical deliverables.  The Infrastructure category projects costs for compensation, travel, and training of several full-time government employees who will be maintaining infrastructure or working as part of the IV&amp;V group.  Infrastructure costs remain relatively static, with the exception being FY 2010, over the ten year period of the analysis.  </w:t>
      </w:r>
    </w:p>
    <w:p w:rsidR="003B0815" w:rsidRDefault="003B0815" w14:paraId="248CA539" w14:textId="77777777">
      <w:pPr>
        <w:keepNext/>
        <w:spacing w:line="480" w:lineRule="auto"/>
        <w:rPr>
          <w:i/>
          <w:u w:val="single"/>
        </w:rPr>
      </w:pPr>
      <w:r>
        <w:rPr>
          <w:i/>
          <w:u w:val="single"/>
        </w:rPr>
        <w:t>Information Technology</w:t>
      </w:r>
    </w:p>
    <w:p w:rsidR="003B0815" w:rsidRDefault="003B0815" w14:paraId="42AB49B5" w14:textId="77777777">
      <w:pPr>
        <w:spacing w:line="480" w:lineRule="auto"/>
        <w:ind w:firstLine="720"/>
      </w:pPr>
      <w:r>
        <w:t>In order for TSA to process in a timely and efficient manner the large number of SFPDs airlines will be transmitting, Secure Flight will require significant investment in the information technology components of the system.  These costs include the system’s physical hardware and licenses required to operate and maintain the system’s software.  Secure Flight also will require extensive development, integration, and testing in order to ensure the speed and accuracy necessary so as not to impact air carrier operations.  These development and testing costs will decrease as TSA completes implementation of the system.  Costs in this category exhibit increases and decreases corresponding to planned tech refresh cycles as TSA updates the software and hardware used by the Secure Flight system.</w:t>
      </w:r>
    </w:p>
    <w:p w:rsidR="003B0815" w:rsidRDefault="003B0815" w14:paraId="403781F7" w14:textId="77777777">
      <w:pPr>
        <w:keepNext/>
        <w:spacing w:line="480" w:lineRule="auto"/>
        <w:rPr>
          <w:i/>
          <w:u w:val="single"/>
        </w:rPr>
      </w:pPr>
      <w:r>
        <w:rPr>
          <w:i/>
          <w:u w:val="single"/>
        </w:rPr>
        <w:t>Planning, Policy, and Assessment</w:t>
      </w:r>
    </w:p>
    <w:p w:rsidR="003B0815" w:rsidRDefault="003B0815" w14:paraId="2C81B913" w14:textId="77777777">
      <w:pPr>
        <w:spacing w:line="480" w:lineRule="auto"/>
        <w:ind w:firstLine="720"/>
      </w:pPr>
      <w:r>
        <w:t xml:space="preserve">The Planning, Policy, and Assessment category budgets funds for compensation, travel, and training of several full-time government employees who will be responsible for assessment of the Secure Flight architecture from fiscal years 2008 through 2017.  The focus of their efforts will be reviewing the existing system and planning for upgrades to ensure Secure Flight maximizes the security of passenger data and protects passenger privacy. </w:t>
      </w:r>
    </w:p>
    <w:p w:rsidR="003B0815" w:rsidRDefault="003B0815" w14:paraId="07A5C74D" w14:textId="77777777">
      <w:pPr>
        <w:keepNext/>
        <w:spacing w:line="480" w:lineRule="auto"/>
        <w:rPr>
          <w:i/>
          <w:u w:val="single"/>
        </w:rPr>
      </w:pPr>
      <w:r>
        <w:rPr>
          <w:i/>
          <w:u w:val="single"/>
        </w:rPr>
        <w:t>Design, Development, and Testing</w:t>
      </w:r>
    </w:p>
    <w:p w:rsidR="003B0815" w:rsidRDefault="003B0815" w14:paraId="7DDB8DB1" w14:textId="77777777">
      <w:pPr>
        <w:spacing w:line="480" w:lineRule="auto"/>
        <w:ind w:firstLine="720"/>
      </w:pPr>
      <w:r>
        <w:t>This category includes TSA’s estimated costs to conduct operational testing and bring the Secure Flight system to full-operating capacity.  TSA has budgeted costs for compensation, travel, and training for twenty full-time government employees under this category.</w:t>
      </w:r>
    </w:p>
    <w:p w:rsidR="003B0815" w:rsidRDefault="003B0815" w14:paraId="6AD7AC65" w14:textId="77777777">
      <w:pPr>
        <w:keepNext/>
        <w:spacing w:line="480" w:lineRule="auto"/>
        <w:rPr>
          <w:i/>
          <w:u w:val="single"/>
        </w:rPr>
      </w:pPr>
      <w:r>
        <w:rPr>
          <w:i/>
          <w:u w:val="single"/>
        </w:rPr>
        <w:t xml:space="preserve">Implementation, Operations Planning, and </w:t>
      </w:r>
      <w:smartTag w:uri="urn:schemas-microsoft-com:office:smarttags" w:element="place">
        <w:smartTag w:uri="urn:schemas-microsoft-com:office:smarttags" w:element="PlaceName">
          <w:r>
            <w:rPr>
              <w:i/>
              <w:u w:val="single"/>
            </w:rPr>
            <w:t>Service</w:t>
          </w:r>
        </w:smartTag>
        <w:r>
          <w:rPr>
            <w:i/>
            <w:u w:val="single"/>
          </w:rPr>
          <w:t xml:space="preserve"> </w:t>
        </w:r>
        <w:smartTag w:uri="urn:schemas-microsoft-com:office:smarttags" w:element="PlaceType">
          <w:r>
            <w:rPr>
              <w:i/>
              <w:u w:val="single"/>
            </w:rPr>
            <w:t>Center</w:t>
          </w:r>
        </w:smartTag>
      </w:smartTag>
    </w:p>
    <w:p w:rsidR="003B0815" w:rsidRDefault="003B0815" w14:paraId="6EFD8A83" w14:textId="77777777">
      <w:pPr>
        <w:spacing w:line="480" w:lineRule="auto"/>
        <w:ind w:firstLine="720"/>
      </w:pPr>
      <w:r>
        <w:t xml:space="preserve">TSA will maintain a service center in order to enable ticket agents to provide additional passenger information to TSA.  As noted previously, this will occur when a passenger or non-traveling individual’s SFPD does not contain sufficient information for Secure Flight matching analysts to distinguish that person from a record in the watch lists.  The service center will be staffed 24-hours a day, 365 days a year at staff levels enabling it to promptly answer all incoming calls.  This budget category includes estimated costs for operation of the service center as well as maintenance of facilities and infrastructure. </w:t>
      </w:r>
    </w:p>
    <w:p w:rsidR="003B0815" w:rsidRDefault="003B0815" w14:paraId="0FB7AC1E" w14:textId="77777777">
      <w:pPr>
        <w:keepNext/>
        <w:spacing w:line="480" w:lineRule="auto"/>
        <w:rPr>
          <w:i/>
          <w:u w:val="single"/>
        </w:rPr>
      </w:pPr>
      <w:smartTag w:uri="urn:schemas-microsoft-com:office:smarttags" w:element="place">
        <w:smartTag w:uri="urn:schemas-microsoft-com:office:smarttags" w:element="PlaceName">
          <w:r>
            <w:rPr>
              <w:i/>
              <w:u w:val="single"/>
            </w:rPr>
            <w:t>Data</w:t>
          </w:r>
        </w:smartTag>
        <w:r>
          <w:rPr>
            <w:i/>
            <w:u w:val="single"/>
          </w:rPr>
          <w:t xml:space="preserve"> </w:t>
        </w:r>
        <w:smartTag w:uri="urn:schemas-microsoft-com:office:smarttags" w:element="PlaceType">
          <w:r>
            <w:rPr>
              <w:i/>
              <w:u w:val="single"/>
            </w:rPr>
            <w:t>Center</w:t>
          </w:r>
        </w:smartTag>
      </w:smartTag>
      <w:r>
        <w:rPr>
          <w:i/>
          <w:u w:val="single"/>
        </w:rPr>
        <w:t xml:space="preserve"> Operations</w:t>
      </w:r>
    </w:p>
    <w:p w:rsidR="003B0815" w:rsidRDefault="003B0815" w14:paraId="1452BD5D" w14:textId="77777777">
      <w:pPr>
        <w:spacing w:line="480" w:lineRule="auto"/>
        <w:ind w:firstLine="720"/>
      </w:pPr>
      <w:r>
        <w:t>This budget category covers costs for the operation and maintenance of the Secure Flight matching system, including data center operations (for automated watch list matching).  Secure Flight will conduct data center operations twenty-four hours a day, seven days a week and will include a backup site to ensure continuous operation.  TSA assumed its automated watch list matching workload and associated costs will increase over the ten-year period as the number of enplanements grows.</w:t>
      </w:r>
    </w:p>
    <w:p w:rsidR="003B0815" w:rsidRDefault="003B0815" w14:paraId="453750AF" w14:textId="77777777">
      <w:pPr>
        <w:spacing w:line="480" w:lineRule="auto"/>
        <w:ind w:firstLine="720"/>
      </w:pPr>
      <w:r>
        <w:t xml:space="preserve">Examples of operations personnel that will be required include data center operators, system operators, system administrators, and database administrators.  These individuals will support the network infrastructure and software programs performing the matching operations, including government oversight of system software maintenance and rollout of newly developed software releases. </w:t>
      </w:r>
    </w:p>
    <w:p w:rsidR="003B0815" w:rsidRDefault="003B0815" w14:paraId="761F1061" w14:textId="77777777">
      <w:pPr>
        <w:spacing w:line="480" w:lineRule="auto"/>
        <w:ind w:firstLine="720"/>
      </w:pPr>
      <w:r>
        <w:t>Table 1.6.5.a presents the estimated costs to support the Secure Flight system and processes.</w:t>
      </w:r>
    </w:p>
    <w:p w:rsidR="003B0815" w:rsidRDefault="003B0815" w14:paraId="20C44C08" w14:textId="77777777">
      <w:pPr>
        <w:spacing w:line="360" w:lineRule="auto"/>
        <w:ind w:firstLine="72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626"/>
        <w:gridCol w:w="1359"/>
        <w:gridCol w:w="1197"/>
        <w:gridCol w:w="1254"/>
        <w:gridCol w:w="1389"/>
        <w:gridCol w:w="1614"/>
        <w:gridCol w:w="1130"/>
        <w:gridCol w:w="849"/>
      </w:tblGrid>
      <w:tr w:rsidR="003B0815" w14:paraId="5B1A292B" w14:textId="77777777">
        <w:trPr>
          <w:jc w:val="center"/>
        </w:trPr>
        <w:tc>
          <w:tcPr>
            <w:tcW w:w="9418" w:type="dxa"/>
            <w:gridSpan w:val="8"/>
            <w:tcBorders>
              <w:top w:val="nil"/>
              <w:left w:val="nil"/>
              <w:bottom w:val="single" w:color="auto" w:sz="12" w:space="0"/>
              <w:right w:val="nil"/>
            </w:tcBorders>
            <w:vAlign w:val="center"/>
          </w:tcPr>
          <w:p w:rsidR="003B0815" w:rsidRDefault="003B0815" w14:paraId="25A58CE0" w14:textId="77777777">
            <w:pPr>
              <w:pStyle w:val="RegEvalTableHeader"/>
              <w:keepNext/>
            </w:pPr>
            <w:bookmarkStart w:name="_Toc165278392" w:id="330"/>
            <w:bookmarkStart w:name="_Toc174438394" w:id="331"/>
            <w:bookmarkStart w:name="_Toc207109531" w:id="332"/>
            <w:r>
              <w:t>Table 1.6.5.a TSA Direct Costs to Operate and Maintain Secure Flight (millions of 2005 $)</w:t>
            </w:r>
            <w:bookmarkEnd w:id="330"/>
            <w:bookmarkEnd w:id="331"/>
            <w:bookmarkEnd w:id="332"/>
          </w:p>
        </w:tc>
      </w:tr>
      <w:tr w:rsidR="003B0815" w14:paraId="73967346" w14:textId="77777777">
        <w:trPr>
          <w:jc w:val="center"/>
        </w:trPr>
        <w:tc>
          <w:tcPr>
            <w:tcW w:w="626" w:type="dxa"/>
            <w:tcBorders>
              <w:top w:val="single" w:color="auto" w:sz="12" w:space="0"/>
              <w:left w:val="single" w:color="auto" w:sz="12" w:space="0"/>
            </w:tcBorders>
            <w:vAlign w:val="center"/>
          </w:tcPr>
          <w:p w:rsidR="003B0815" w:rsidRDefault="003B0815" w14:paraId="15AA2E84" w14:textId="77777777">
            <w:pPr>
              <w:keepNext/>
              <w:jc w:val="center"/>
              <w:rPr>
                <w:rFonts w:ascii="Arial" w:hAnsi="Arial"/>
                <w:b/>
                <w:sz w:val="20"/>
                <w:szCs w:val="20"/>
              </w:rPr>
            </w:pPr>
            <w:r>
              <w:rPr>
                <w:rFonts w:ascii="Arial" w:hAnsi="Arial"/>
                <w:b/>
                <w:sz w:val="20"/>
                <w:szCs w:val="20"/>
              </w:rPr>
              <w:t>Fiscal</w:t>
            </w:r>
          </w:p>
          <w:p w:rsidR="003B0815" w:rsidRDefault="003B0815" w14:paraId="3CC733E7" w14:textId="77777777">
            <w:pPr>
              <w:keepNext/>
              <w:jc w:val="center"/>
              <w:rPr>
                <w:rFonts w:ascii="Arial" w:hAnsi="Arial"/>
                <w:b/>
                <w:sz w:val="20"/>
                <w:szCs w:val="20"/>
              </w:rPr>
            </w:pPr>
            <w:r>
              <w:rPr>
                <w:rFonts w:ascii="Arial" w:hAnsi="Arial"/>
                <w:b/>
                <w:sz w:val="20"/>
                <w:szCs w:val="20"/>
              </w:rPr>
              <w:t>Year</w:t>
            </w:r>
          </w:p>
        </w:tc>
        <w:tc>
          <w:tcPr>
            <w:tcW w:w="1359" w:type="dxa"/>
            <w:tcBorders>
              <w:top w:val="single" w:color="auto" w:sz="12" w:space="0"/>
            </w:tcBorders>
            <w:vAlign w:val="center"/>
          </w:tcPr>
          <w:p w:rsidR="003B0815" w:rsidRDefault="003B0815" w14:paraId="411EF65E" w14:textId="77777777">
            <w:pPr>
              <w:keepNext/>
              <w:jc w:val="center"/>
              <w:rPr>
                <w:rFonts w:ascii="Arial" w:hAnsi="Arial"/>
                <w:b/>
                <w:sz w:val="20"/>
                <w:szCs w:val="20"/>
              </w:rPr>
            </w:pPr>
            <w:r>
              <w:rPr>
                <w:rFonts w:ascii="Arial" w:hAnsi="Arial"/>
                <w:b/>
                <w:sz w:val="20"/>
                <w:szCs w:val="20"/>
              </w:rPr>
              <w:t>Infrastructure</w:t>
            </w:r>
          </w:p>
        </w:tc>
        <w:tc>
          <w:tcPr>
            <w:tcW w:w="1197" w:type="dxa"/>
            <w:tcBorders>
              <w:top w:val="single" w:color="auto" w:sz="12" w:space="0"/>
            </w:tcBorders>
            <w:vAlign w:val="center"/>
          </w:tcPr>
          <w:p w:rsidR="003B0815" w:rsidRDefault="003B0815" w14:paraId="5BDE38A2" w14:textId="77777777">
            <w:pPr>
              <w:keepNext/>
              <w:jc w:val="center"/>
              <w:rPr>
                <w:rFonts w:ascii="Arial" w:hAnsi="Arial"/>
                <w:b/>
                <w:sz w:val="20"/>
                <w:szCs w:val="20"/>
              </w:rPr>
            </w:pPr>
            <w:r>
              <w:rPr>
                <w:rFonts w:ascii="Arial" w:hAnsi="Arial"/>
                <w:b/>
                <w:sz w:val="20"/>
                <w:szCs w:val="20"/>
              </w:rPr>
              <w:t>Information Technology</w:t>
            </w:r>
          </w:p>
        </w:tc>
        <w:tc>
          <w:tcPr>
            <w:tcW w:w="1254" w:type="dxa"/>
            <w:tcBorders>
              <w:top w:val="single" w:color="auto" w:sz="12" w:space="0"/>
            </w:tcBorders>
            <w:vAlign w:val="center"/>
          </w:tcPr>
          <w:p w:rsidR="003B0815" w:rsidRDefault="003B0815" w14:paraId="772F7970" w14:textId="77777777">
            <w:pPr>
              <w:keepNext/>
              <w:jc w:val="center"/>
              <w:rPr>
                <w:rFonts w:ascii="Arial" w:hAnsi="Arial"/>
                <w:b/>
                <w:sz w:val="20"/>
                <w:szCs w:val="20"/>
              </w:rPr>
            </w:pPr>
            <w:r>
              <w:rPr>
                <w:rFonts w:ascii="Arial" w:hAnsi="Arial"/>
                <w:b/>
                <w:sz w:val="20"/>
                <w:szCs w:val="20"/>
              </w:rPr>
              <w:t>Planning, Policy and Assessment</w:t>
            </w:r>
          </w:p>
        </w:tc>
        <w:tc>
          <w:tcPr>
            <w:tcW w:w="1389" w:type="dxa"/>
            <w:tcBorders>
              <w:top w:val="single" w:color="auto" w:sz="12" w:space="0"/>
            </w:tcBorders>
            <w:vAlign w:val="center"/>
          </w:tcPr>
          <w:p w:rsidR="003B0815" w:rsidRDefault="003B0815" w14:paraId="7352AEAD" w14:textId="77777777">
            <w:pPr>
              <w:keepNext/>
              <w:jc w:val="center"/>
              <w:rPr>
                <w:rFonts w:ascii="Arial" w:hAnsi="Arial"/>
                <w:b/>
                <w:sz w:val="20"/>
                <w:szCs w:val="20"/>
              </w:rPr>
            </w:pPr>
            <w:r>
              <w:rPr>
                <w:rFonts w:ascii="Arial" w:hAnsi="Arial"/>
                <w:b/>
                <w:sz w:val="20"/>
                <w:szCs w:val="20"/>
              </w:rPr>
              <w:t xml:space="preserve">Design, Development, </w:t>
            </w:r>
          </w:p>
          <w:p w:rsidR="003B0815" w:rsidRDefault="003B0815" w14:paraId="46041FC1" w14:textId="77777777">
            <w:pPr>
              <w:keepNext/>
              <w:jc w:val="center"/>
              <w:rPr>
                <w:rFonts w:ascii="Arial" w:hAnsi="Arial"/>
                <w:b/>
                <w:sz w:val="20"/>
                <w:szCs w:val="20"/>
              </w:rPr>
            </w:pPr>
            <w:r>
              <w:rPr>
                <w:rFonts w:ascii="Arial" w:hAnsi="Arial"/>
                <w:b/>
                <w:sz w:val="20"/>
                <w:szCs w:val="20"/>
              </w:rPr>
              <w:t>and Testing</w:t>
            </w:r>
          </w:p>
        </w:tc>
        <w:tc>
          <w:tcPr>
            <w:tcW w:w="1614" w:type="dxa"/>
            <w:tcBorders>
              <w:top w:val="single" w:color="auto" w:sz="12" w:space="0"/>
            </w:tcBorders>
            <w:vAlign w:val="center"/>
          </w:tcPr>
          <w:p w:rsidR="003B0815" w:rsidRDefault="003B0815" w14:paraId="27430129" w14:textId="77777777">
            <w:pPr>
              <w:keepNext/>
              <w:jc w:val="center"/>
              <w:rPr>
                <w:rFonts w:ascii="Arial" w:hAnsi="Arial"/>
                <w:b/>
                <w:sz w:val="20"/>
                <w:szCs w:val="20"/>
              </w:rPr>
            </w:pPr>
            <w:r>
              <w:rPr>
                <w:rFonts w:ascii="Arial" w:hAnsi="Arial"/>
                <w:b/>
                <w:sz w:val="20"/>
                <w:szCs w:val="20"/>
              </w:rPr>
              <w:t xml:space="preserve">Implementation, Operations Planning, and </w:t>
            </w:r>
            <w:smartTag w:uri="urn:schemas-microsoft-com:office:smarttags" w:element="place">
              <w:smartTag w:uri="urn:schemas-microsoft-com:office:smarttags" w:element="PlaceName">
                <w:r>
                  <w:rPr>
                    <w:rFonts w:ascii="Arial" w:hAnsi="Arial"/>
                    <w:b/>
                    <w:sz w:val="20"/>
                    <w:szCs w:val="20"/>
                  </w:rPr>
                  <w:t>Service</w:t>
                </w:r>
              </w:smartTag>
              <w:r>
                <w:rPr>
                  <w:rFonts w:ascii="Arial" w:hAnsi="Arial"/>
                  <w:b/>
                  <w:sz w:val="20"/>
                  <w:szCs w:val="20"/>
                </w:rPr>
                <w:t xml:space="preserve"> </w:t>
              </w:r>
              <w:smartTag w:uri="urn:schemas-microsoft-com:office:smarttags" w:element="PlaceType">
                <w:r>
                  <w:rPr>
                    <w:rFonts w:ascii="Arial" w:hAnsi="Arial"/>
                    <w:b/>
                    <w:sz w:val="20"/>
                    <w:szCs w:val="20"/>
                  </w:rPr>
                  <w:t>Center</w:t>
                </w:r>
              </w:smartTag>
            </w:smartTag>
          </w:p>
        </w:tc>
        <w:tc>
          <w:tcPr>
            <w:tcW w:w="1130" w:type="dxa"/>
            <w:tcBorders>
              <w:top w:val="single" w:color="auto" w:sz="12" w:space="0"/>
            </w:tcBorders>
            <w:vAlign w:val="center"/>
          </w:tcPr>
          <w:p w:rsidR="003B0815" w:rsidRDefault="003B0815" w14:paraId="509057C3" w14:textId="77777777">
            <w:pPr>
              <w:keepNext/>
              <w:jc w:val="center"/>
              <w:rPr>
                <w:rFonts w:ascii="Arial" w:hAnsi="Arial"/>
                <w:b/>
                <w:sz w:val="20"/>
                <w:szCs w:val="20"/>
              </w:rPr>
            </w:pPr>
            <w:smartTag w:uri="urn:schemas-microsoft-com:office:smarttags" w:element="place">
              <w:smartTag w:uri="urn:schemas-microsoft-com:office:smarttags" w:element="PlaceName">
                <w:r>
                  <w:rPr>
                    <w:rFonts w:ascii="Arial" w:hAnsi="Arial"/>
                    <w:b/>
                    <w:sz w:val="20"/>
                    <w:szCs w:val="20"/>
                  </w:rPr>
                  <w:t>Data</w:t>
                </w:r>
              </w:smartTag>
              <w:r>
                <w:rPr>
                  <w:rFonts w:ascii="Arial" w:hAnsi="Arial"/>
                  <w:b/>
                  <w:sz w:val="20"/>
                  <w:szCs w:val="20"/>
                </w:rPr>
                <w:t xml:space="preserve"> </w:t>
              </w:r>
              <w:smartTag w:uri="urn:schemas-microsoft-com:office:smarttags" w:element="PlaceType">
                <w:r>
                  <w:rPr>
                    <w:rFonts w:ascii="Arial" w:hAnsi="Arial"/>
                    <w:b/>
                    <w:sz w:val="20"/>
                    <w:szCs w:val="20"/>
                  </w:rPr>
                  <w:t>Center</w:t>
                </w:r>
              </w:smartTag>
            </w:smartTag>
            <w:r>
              <w:rPr>
                <w:rFonts w:ascii="Arial" w:hAnsi="Arial"/>
                <w:b/>
                <w:sz w:val="20"/>
                <w:szCs w:val="20"/>
              </w:rPr>
              <w:t xml:space="preserve"> Operations</w:t>
            </w:r>
          </w:p>
        </w:tc>
        <w:tc>
          <w:tcPr>
            <w:tcW w:w="849" w:type="dxa"/>
            <w:tcBorders>
              <w:top w:val="single" w:color="auto" w:sz="12" w:space="0"/>
              <w:bottom w:val="single" w:color="auto" w:sz="4" w:space="0"/>
              <w:right w:val="single" w:color="auto" w:sz="12" w:space="0"/>
            </w:tcBorders>
            <w:vAlign w:val="center"/>
          </w:tcPr>
          <w:p w:rsidR="003B0815" w:rsidRDefault="003B0815" w14:paraId="4C83B3D3" w14:textId="77777777">
            <w:pPr>
              <w:keepNext/>
              <w:jc w:val="center"/>
              <w:rPr>
                <w:rFonts w:ascii="Arial" w:hAnsi="Arial"/>
                <w:b/>
                <w:sz w:val="20"/>
                <w:szCs w:val="20"/>
              </w:rPr>
            </w:pPr>
            <w:r>
              <w:rPr>
                <w:rFonts w:ascii="Arial" w:hAnsi="Arial"/>
                <w:b/>
                <w:sz w:val="20"/>
                <w:szCs w:val="20"/>
              </w:rPr>
              <w:t>TSA Total Costs*</w:t>
            </w:r>
          </w:p>
        </w:tc>
      </w:tr>
      <w:tr w:rsidR="003B0815" w14:paraId="1268A0CA" w14:textId="77777777">
        <w:trPr>
          <w:jc w:val="center"/>
        </w:trPr>
        <w:tc>
          <w:tcPr>
            <w:tcW w:w="626" w:type="dxa"/>
            <w:tcBorders>
              <w:left w:val="single" w:color="auto" w:sz="12" w:space="0"/>
            </w:tcBorders>
          </w:tcPr>
          <w:p w:rsidR="003B0815" w:rsidRDefault="003B0815" w14:paraId="6DD14B86" w14:textId="77777777">
            <w:pPr>
              <w:keepNext/>
              <w:jc w:val="center"/>
              <w:rPr>
                <w:rFonts w:ascii="Arial" w:hAnsi="Arial"/>
                <w:sz w:val="20"/>
                <w:szCs w:val="20"/>
              </w:rPr>
            </w:pPr>
            <w:r>
              <w:t>2008</w:t>
            </w:r>
          </w:p>
        </w:tc>
        <w:tc>
          <w:tcPr>
            <w:tcW w:w="1359" w:type="dxa"/>
            <w:vAlign w:val="bottom"/>
          </w:tcPr>
          <w:p w:rsidR="003B0815" w:rsidRDefault="003B0815" w14:paraId="114B40B4" w14:textId="77777777">
            <w:pPr>
              <w:keepNext/>
              <w:jc w:val="right"/>
              <w:rPr>
                <w:rFonts w:ascii="Arial" w:hAnsi="Arial" w:cs="Arial"/>
                <w:sz w:val="20"/>
                <w:szCs w:val="20"/>
              </w:rPr>
            </w:pPr>
            <w:r>
              <w:rPr>
                <w:rFonts w:ascii="Arial" w:hAnsi="Arial" w:cs="Arial"/>
                <w:sz w:val="20"/>
                <w:szCs w:val="20"/>
              </w:rPr>
              <w:t xml:space="preserve">$12.2 </w:t>
            </w:r>
          </w:p>
        </w:tc>
        <w:tc>
          <w:tcPr>
            <w:tcW w:w="1197" w:type="dxa"/>
            <w:vAlign w:val="bottom"/>
          </w:tcPr>
          <w:p w:rsidR="003B0815" w:rsidRDefault="003B0815" w14:paraId="0EFDF7F6" w14:textId="77777777">
            <w:pPr>
              <w:keepNext/>
              <w:jc w:val="right"/>
              <w:rPr>
                <w:rFonts w:ascii="Arial" w:hAnsi="Arial" w:cs="Arial"/>
                <w:sz w:val="20"/>
                <w:szCs w:val="20"/>
              </w:rPr>
            </w:pPr>
            <w:r>
              <w:rPr>
                <w:rFonts w:ascii="Arial" w:hAnsi="Arial" w:cs="Arial"/>
                <w:sz w:val="20"/>
                <w:szCs w:val="20"/>
              </w:rPr>
              <w:t xml:space="preserve">$4.9 </w:t>
            </w:r>
          </w:p>
        </w:tc>
        <w:tc>
          <w:tcPr>
            <w:tcW w:w="1254" w:type="dxa"/>
            <w:vAlign w:val="bottom"/>
          </w:tcPr>
          <w:p w:rsidR="003B0815" w:rsidRDefault="003B0815" w14:paraId="401E3F2E" w14:textId="77777777">
            <w:pPr>
              <w:keepNext/>
              <w:jc w:val="right"/>
              <w:rPr>
                <w:rFonts w:ascii="Arial" w:hAnsi="Arial" w:cs="Arial"/>
                <w:sz w:val="20"/>
                <w:szCs w:val="20"/>
              </w:rPr>
            </w:pPr>
            <w:r>
              <w:rPr>
                <w:rFonts w:ascii="Arial" w:hAnsi="Arial" w:cs="Arial"/>
                <w:sz w:val="20"/>
                <w:szCs w:val="20"/>
              </w:rPr>
              <w:t xml:space="preserve">$7.8 </w:t>
            </w:r>
          </w:p>
        </w:tc>
        <w:tc>
          <w:tcPr>
            <w:tcW w:w="1389" w:type="dxa"/>
            <w:vAlign w:val="bottom"/>
          </w:tcPr>
          <w:p w:rsidR="003B0815" w:rsidRDefault="003B0815" w14:paraId="636AA4FF" w14:textId="77777777">
            <w:pPr>
              <w:keepNext/>
              <w:jc w:val="right"/>
              <w:rPr>
                <w:rFonts w:ascii="Arial" w:hAnsi="Arial" w:cs="Arial"/>
                <w:sz w:val="20"/>
                <w:szCs w:val="20"/>
              </w:rPr>
            </w:pPr>
            <w:r>
              <w:rPr>
                <w:rFonts w:ascii="Arial" w:hAnsi="Arial" w:cs="Arial"/>
                <w:sz w:val="20"/>
                <w:szCs w:val="20"/>
              </w:rPr>
              <w:t xml:space="preserve">$10.2 </w:t>
            </w:r>
          </w:p>
        </w:tc>
        <w:tc>
          <w:tcPr>
            <w:tcW w:w="1614" w:type="dxa"/>
            <w:vAlign w:val="bottom"/>
          </w:tcPr>
          <w:p w:rsidR="003B0815" w:rsidRDefault="003B0815" w14:paraId="0D48A9F3" w14:textId="77777777">
            <w:pPr>
              <w:keepNext/>
              <w:jc w:val="right"/>
              <w:rPr>
                <w:rFonts w:ascii="Arial" w:hAnsi="Arial" w:cs="Arial"/>
                <w:sz w:val="20"/>
                <w:szCs w:val="20"/>
              </w:rPr>
            </w:pPr>
            <w:r>
              <w:rPr>
                <w:rFonts w:ascii="Arial" w:hAnsi="Arial" w:cs="Arial"/>
                <w:sz w:val="20"/>
                <w:szCs w:val="20"/>
              </w:rPr>
              <w:t xml:space="preserve">$11.2 </w:t>
            </w:r>
          </w:p>
        </w:tc>
        <w:tc>
          <w:tcPr>
            <w:tcW w:w="1130" w:type="dxa"/>
            <w:vAlign w:val="bottom"/>
          </w:tcPr>
          <w:p w:rsidR="003B0815" w:rsidRDefault="003B0815" w14:paraId="37AC848D" w14:textId="77777777">
            <w:pPr>
              <w:keepNext/>
              <w:jc w:val="right"/>
              <w:rPr>
                <w:rFonts w:ascii="Arial" w:hAnsi="Arial" w:cs="Arial"/>
                <w:sz w:val="20"/>
                <w:szCs w:val="20"/>
              </w:rPr>
            </w:pPr>
            <w:r>
              <w:rPr>
                <w:rFonts w:ascii="Arial" w:hAnsi="Arial" w:cs="Arial"/>
                <w:sz w:val="20"/>
                <w:szCs w:val="20"/>
              </w:rPr>
              <w:t xml:space="preserve">$6.5 </w:t>
            </w:r>
          </w:p>
        </w:tc>
        <w:tc>
          <w:tcPr>
            <w:tcW w:w="849" w:type="dxa"/>
            <w:tcBorders>
              <w:right w:val="single" w:color="auto" w:sz="12" w:space="0"/>
            </w:tcBorders>
            <w:shd w:val="clear" w:color="auto" w:fill="CCCCCC"/>
            <w:vAlign w:val="bottom"/>
          </w:tcPr>
          <w:p w:rsidR="003B0815" w:rsidRDefault="003B0815" w14:paraId="7065F4AE" w14:textId="77777777">
            <w:pPr>
              <w:keepNext/>
              <w:jc w:val="right"/>
              <w:rPr>
                <w:rFonts w:ascii="Arial" w:hAnsi="Arial" w:cs="Arial"/>
                <w:b/>
                <w:bCs/>
                <w:sz w:val="20"/>
                <w:szCs w:val="20"/>
              </w:rPr>
            </w:pPr>
            <w:r>
              <w:rPr>
                <w:rFonts w:ascii="Arial" w:hAnsi="Arial" w:cs="Arial"/>
                <w:b/>
                <w:bCs/>
                <w:sz w:val="20"/>
                <w:szCs w:val="20"/>
              </w:rPr>
              <w:t xml:space="preserve">$52.8 </w:t>
            </w:r>
          </w:p>
        </w:tc>
      </w:tr>
      <w:tr w:rsidR="003B0815" w14:paraId="786490C6" w14:textId="77777777">
        <w:trPr>
          <w:jc w:val="center"/>
        </w:trPr>
        <w:tc>
          <w:tcPr>
            <w:tcW w:w="626" w:type="dxa"/>
            <w:tcBorders>
              <w:left w:val="single" w:color="auto" w:sz="12" w:space="0"/>
            </w:tcBorders>
          </w:tcPr>
          <w:p w:rsidR="003B0815" w:rsidRDefault="003B0815" w14:paraId="52ED164F" w14:textId="77777777">
            <w:pPr>
              <w:keepNext/>
              <w:jc w:val="center"/>
              <w:rPr>
                <w:rFonts w:ascii="Arial" w:hAnsi="Arial"/>
                <w:sz w:val="20"/>
                <w:szCs w:val="20"/>
              </w:rPr>
            </w:pPr>
            <w:r>
              <w:t>2009</w:t>
            </w:r>
          </w:p>
        </w:tc>
        <w:tc>
          <w:tcPr>
            <w:tcW w:w="1359" w:type="dxa"/>
            <w:vAlign w:val="bottom"/>
          </w:tcPr>
          <w:p w:rsidR="003B0815" w:rsidRDefault="003B0815" w14:paraId="6C7DC5FD" w14:textId="77777777">
            <w:pPr>
              <w:keepNext/>
              <w:jc w:val="right"/>
              <w:rPr>
                <w:rFonts w:ascii="Arial" w:hAnsi="Arial" w:cs="Arial"/>
                <w:sz w:val="20"/>
                <w:szCs w:val="20"/>
              </w:rPr>
            </w:pPr>
            <w:r>
              <w:rPr>
                <w:rFonts w:ascii="Arial" w:hAnsi="Arial" w:cs="Arial"/>
                <w:sz w:val="20"/>
                <w:szCs w:val="20"/>
              </w:rPr>
              <w:t xml:space="preserve">15.7 </w:t>
            </w:r>
          </w:p>
        </w:tc>
        <w:tc>
          <w:tcPr>
            <w:tcW w:w="1197" w:type="dxa"/>
            <w:vAlign w:val="bottom"/>
          </w:tcPr>
          <w:p w:rsidR="003B0815" w:rsidRDefault="003B0815" w14:paraId="30216D54" w14:textId="77777777">
            <w:pPr>
              <w:keepNext/>
              <w:jc w:val="right"/>
              <w:rPr>
                <w:rFonts w:ascii="Arial" w:hAnsi="Arial" w:cs="Arial"/>
                <w:sz w:val="20"/>
                <w:szCs w:val="20"/>
              </w:rPr>
            </w:pPr>
            <w:r>
              <w:rPr>
                <w:rFonts w:ascii="Arial" w:hAnsi="Arial" w:cs="Arial"/>
                <w:sz w:val="20"/>
                <w:szCs w:val="20"/>
              </w:rPr>
              <w:t xml:space="preserve">10.9 </w:t>
            </w:r>
          </w:p>
        </w:tc>
        <w:tc>
          <w:tcPr>
            <w:tcW w:w="1254" w:type="dxa"/>
            <w:vAlign w:val="bottom"/>
          </w:tcPr>
          <w:p w:rsidR="003B0815" w:rsidRDefault="003B0815" w14:paraId="0D6BF115" w14:textId="77777777">
            <w:pPr>
              <w:keepNext/>
              <w:jc w:val="right"/>
              <w:rPr>
                <w:rFonts w:ascii="Arial" w:hAnsi="Arial" w:cs="Arial"/>
                <w:sz w:val="20"/>
                <w:szCs w:val="20"/>
              </w:rPr>
            </w:pPr>
            <w:r>
              <w:rPr>
                <w:rFonts w:ascii="Arial" w:hAnsi="Arial" w:cs="Arial"/>
                <w:sz w:val="20"/>
                <w:szCs w:val="20"/>
              </w:rPr>
              <w:t xml:space="preserve">8.5 </w:t>
            </w:r>
          </w:p>
        </w:tc>
        <w:tc>
          <w:tcPr>
            <w:tcW w:w="1389" w:type="dxa"/>
            <w:vAlign w:val="bottom"/>
          </w:tcPr>
          <w:p w:rsidR="003B0815" w:rsidRDefault="003B0815" w14:paraId="010C63A3" w14:textId="77777777">
            <w:pPr>
              <w:keepNext/>
              <w:jc w:val="right"/>
              <w:rPr>
                <w:rFonts w:ascii="Arial" w:hAnsi="Arial" w:cs="Arial"/>
                <w:sz w:val="20"/>
                <w:szCs w:val="20"/>
              </w:rPr>
            </w:pPr>
            <w:r>
              <w:rPr>
                <w:rFonts w:ascii="Arial" w:hAnsi="Arial" w:cs="Arial"/>
                <w:sz w:val="20"/>
                <w:szCs w:val="20"/>
              </w:rPr>
              <w:t xml:space="preserve">11.7 </w:t>
            </w:r>
          </w:p>
        </w:tc>
        <w:tc>
          <w:tcPr>
            <w:tcW w:w="1614" w:type="dxa"/>
            <w:vAlign w:val="bottom"/>
          </w:tcPr>
          <w:p w:rsidR="003B0815" w:rsidRDefault="003B0815" w14:paraId="53570FBF" w14:textId="77777777">
            <w:pPr>
              <w:keepNext/>
              <w:jc w:val="right"/>
              <w:rPr>
                <w:rFonts w:ascii="Arial" w:hAnsi="Arial" w:cs="Arial"/>
                <w:sz w:val="20"/>
                <w:szCs w:val="20"/>
              </w:rPr>
            </w:pPr>
            <w:r>
              <w:rPr>
                <w:rFonts w:ascii="Arial" w:hAnsi="Arial" w:cs="Arial"/>
                <w:sz w:val="20"/>
                <w:szCs w:val="20"/>
              </w:rPr>
              <w:t xml:space="preserve">33.5 </w:t>
            </w:r>
          </w:p>
        </w:tc>
        <w:tc>
          <w:tcPr>
            <w:tcW w:w="1130" w:type="dxa"/>
            <w:vAlign w:val="bottom"/>
          </w:tcPr>
          <w:p w:rsidR="003B0815" w:rsidRDefault="003B0815" w14:paraId="4E0400AF" w14:textId="77777777">
            <w:pPr>
              <w:keepNext/>
              <w:jc w:val="right"/>
              <w:rPr>
                <w:rFonts w:ascii="Arial" w:hAnsi="Arial" w:cs="Arial"/>
                <w:sz w:val="20"/>
                <w:szCs w:val="20"/>
              </w:rPr>
            </w:pPr>
            <w:r>
              <w:rPr>
                <w:rFonts w:ascii="Arial" w:hAnsi="Arial" w:cs="Arial"/>
                <w:sz w:val="20"/>
                <w:szCs w:val="20"/>
              </w:rPr>
              <w:t xml:space="preserve">14.0 </w:t>
            </w:r>
          </w:p>
        </w:tc>
        <w:tc>
          <w:tcPr>
            <w:tcW w:w="849" w:type="dxa"/>
            <w:tcBorders>
              <w:right w:val="single" w:color="auto" w:sz="12" w:space="0"/>
            </w:tcBorders>
            <w:shd w:val="clear" w:color="auto" w:fill="CCCCCC"/>
            <w:vAlign w:val="bottom"/>
          </w:tcPr>
          <w:p w:rsidR="003B0815" w:rsidRDefault="003B0815" w14:paraId="0A9B06E7" w14:textId="77777777">
            <w:pPr>
              <w:keepNext/>
              <w:jc w:val="right"/>
              <w:rPr>
                <w:rFonts w:ascii="Arial" w:hAnsi="Arial" w:cs="Arial"/>
                <w:b/>
                <w:bCs/>
                <w:sz w:val="20"/>
                <w:szCs w:val="20"/>
              </w:rPr>
            </w:pPr>
            <w:r>
              <w:rPr>
                <w:rFonts w:ascii="Arial" w:hAnsi="Arial" w:cs="Arial"/>
                <w:b/>
                <w:bCs/>
                <w:sz w:val="20"/>
                <w:szCs w:val="20"/>
              </w:rPr>
              <w:t xml:space="preserve">94.3 </w:t>
            </w:r>
          </w:p>
        </w:tc>
      </w:tr>
      <w:tr w:rsidR="003B0815" w14:paraId="40DD0081" w14:textId="77777777">
        <w:trPr>
          <w:jc w:val="center"/>
        </w:trPr>
        <w:tc>
          <w:tcPr>
            <w:tcW w:w="626" w:type="dxa"/>
            <w:tcBorders>
              <w:left w:val="single" w:color="auto" w:sz="12" w:space="0"/>
            </w:tcBorders>
          </w:tcPr>
          <w:p w:rsidR="003B0815" w:rsidRDefault="003B0815" w14:paraId="4512F95C" w14:textId="77777777">
            <w:pPr>
              <w:keepNext/>
              <w:jc w:val="center"/>
              <w:rPr>
                <w:rFonts w:ascii="Arial" w:hAnsi="Arial"/>
                <w:sz w:val="20"/>
                <w:szCs w:val="20"/>
              </w:rPr>
            </w:pPr>
            <w:r>
              <w:t>2010</w:t>
            </w:r>
          </w:p>
        </w:tc>
        <w:tc>
          <w:tcPr>
            <w:tcW w:w="1359" w:type="dxa"/>
            <w:vAlign w:val="bottom"/>
          </w:tcPr>
          <w:p w:rsidR="003B0815" w:rsidRDefault="003B0815" w14:paraId="03F51AF6" w14:textId="77777777">
            <w:pPr>
              <w:keepNext/>
              <w:jc w:val="right"/>
              <w:rPr>
                <w:rFonts w:ascii="Arial" w:hAnsi="Arial" w:cs="Arial"/>
                <w:sz w:val="20"/>
                <w:szCs w:val="20"/>
              </w:rPr>
            </w:pPr>
            <w:r>
              <w:rPr>
                <w:rFonts w:ascii="Arial" w:hAnsi="Arial" w:cs="Arial"/>
                <w:sz w:val="20"/>
                <w:szCs w:val="20"/>
              </w:rPr>
              <w:t xml:space="preserve">20.5 </w:t>
            </w:r>
          </w:p>
        </w:tc>
        <w:tc>
          <w:tcPr>
            <w:tcW w:w="1197" w:type="dxa"/>
            <w:vAlign w:val="bottom"/>
          </w:tcPr>
          <w:p w:rsidR="003B0815" w:rsidRDefault="003B0815" w14:paraId="6D180F5B" w14:textId="77777777">
            <w:pPr>
              <w:keepNext/>
              <w:jc w:val="right"/>
              <w:rPr>
                <w:rFonts w:ascii="Arial" w:hAnsi="Arial" w:cs="Arial"/>
                <w:sz w:val="20"/>
                <w:szCs w:val="20"/>
              </w:rPr>
            </w:pPr>
            <w:r>
              <w:rPr>
                <w:rFonts w:ascii="Arial" w:hAnsi="Arial" w:cs="Arial"/>
                <w:sz w:val="20"/>
                <w:szCs w:val="20"/>
              </w:rPr>
              <w:t xml:space="preserve">14.3 </w:t>
            </w:r>
          </w:p>
        </w:tc>
        <w:tc>
          <w:tcPr>
            <w:tcW w:w="1254" w:type="dxa"/>
            <w:vAlign w:val="bottom"/>
          </w:tcPr>
          <w:p w:rsidR="003B0815" w:rsidRDefault="003B0815" w14:paraId="4F11F48B" w14:textId="77777777">
            <w:pPr>
              <w:keepNext/>
              <w:jc w:val="right"/>
              <w:rPr>
                <w:rFonts w:ascii="Arial" w:hAnsi="Arial" w:cs="Arial"/>
                <w:sz w:val="20"/>
                <w:szCs w:val="20"/>
              </w:rPr>
            </w:pPr>
            <w:r>
              <w:rPr>
                <w:rFonts w:ascii="Arial" w:hAnsi="Arial" w:cs="Arial"/>
                <w:sz w:val="20"/>
                <w:szCs w:val="20"/>
              </w:rPr>
              <w:t xml:space="preserve">8.9 </w:t>
            </w:r>
          </w:p>
        </w:tc>
        <w:tc>
          <w:tcPr>
            <w:tcW w:w="1389" w:type="dxa"/>
            <w:vAlign w:val="bottom"/>
          </w:tcPr>
          <w:p w:rsidR="003B0815" w:rsidRDefault="003B0815" w14:paraId="7EDF5448" w14:textId="77777777">
            <w:pPr>
              <w:keepNext/>
              <w:jc w:val="right"/>
              <w:rPr>
                <w:rFonts w:ascii="Arial" w:hAnsi="Arial" w:cs="Arial"/>
                <w:sz w:val="20"/>
                <w:szCs w:val="20"/>
              </w:rPr>
            </w:pPr>
            <w:r>
              <w:rPr>
                <w:rFonts w:ascii="Arial" w:hAnsi="Arial" w:cs="Arial"/>
                <w:sz w:val="20"/>
                <w:szCs w:val="20"/>
              </w:rPr>
              <w:t xml:space="preserve">11.3 </w:t>
            </w:r>
          </w:p>
        </w:tc>
        <w:tc>
          <w:tcPr>
            <w:tcW w:w="1614" w:type="dxa"/>
            <w:vAlign w:val="bottom"/>
          </w:tcPr>
          <w:p w:rsidR="003B0815" w:rsidRDefault="003B0815" w14:paraId="58B13B8D" w14:textId="77777777">
            <w:pPr>
              <w:keepNext/>
              <w:jc w:val="right"/>
              <w:rPr>
                <w:rFonts w:ascii="Arial" w:hAnsi="Arial" w:cs="Arial"/>
                <w:sz w:val="20"/>
                <w:szCs w:val="20"/>
              </w:rPr>
            </w:pPr>
            <w:r>
              <w:rPr>
                <w:rFonts w:ascii="Arial" w:hAnsi="Arial" w:cs="Arial"/>
                <w:sz w:val="20"/>
                <w:szCs w:val="20"/>
              </w:rPr>
              <w:t xml:space="preserve">30.6 </w:t>
            </w:r>
          </w:p>
        </w:tc>
        <w:tc>
          <w:tcPr>
            <w:tcW w:w="1130" w:type="dxa"/>
            <w:vAlign w:val="bottom"/>
          </w:tcPr>
          <w:p w:rsidR="003B0815" w:rsidRDefault="003B0815" w14:paraId="2246718F" w14:textId="77777777">
            <w:pPr>
              <w:keepNext/>
              <w:jc w:val="right"/>
              <w:rPr>
                <w:rFonts w:ascii="Arial" w:hAnsi="Arial" w:cs="Arial"/>
                <w:sz w:val="20"/>
                <w:szCs w:val="20"/>
              </w:rPr>
            </w:pPr>
            <w:r>
              <w:rPr>
                <w:rFonts w:ascii="Arial" w:hAnsi="Arial" w:cs="Arial"/>
                <w:sz w:val="20"/>
                <w:szCs w:val="20"/>
              </w:rPr>
              <w:t xml:space="preserve">14.4 </w:t>
            </w:r>
          </w:p>
        </w:tc>
        <w:tc>
          <w:tcPr>
            <w:tcW w:w="849" w:type="dxa"/>
            <w:tcBorders>
              <w:right w:val="single" w:color="auto" w:sz="12" w:space="0"/>
            </w:tcBorders>
            <w:shd w:val="clear" w:color="auto" w:fill="CCCCCC"/>
            <w:vAlign w:val="bottom"/>
          </w:tcPr>
          <w:p w:rsidR="003B0815" w:rsidRDefault="003B0815" w14:paraId="037F2C8E" w14:textId="77777777">
            <w:pPr>
              <w:keepNext/>
              <w:jc w:val="right"/>
              <w:rPr>
                <w:rFonts w:ascii="Arial" w:hAnsi="Arial" w:cs="Arial"/>
                <w:b/>
                <w:bCs/>
                <w:sz w:val="20"/>
                <w:szCs w:val="20"/>
              </w:rPr>
            </w:pPr>
            <w:r>
              <w:rPr>
                <w:rFonts w:ascii="Arial" w:hAnsi="Arial" w:cs="Arial"/>
                <w:b/>
                <w:bCs/>
                <w:sz w:val="20"/>
                <w:szCs w:val="20"/>
              </w:rPr>
              <w:t xml:space="preserve">100.1 </w:t>
            </w:r>
          </w:p>
        </w:tc>
      </w:tr>
      <w:tr w:rsidR="003B0815" w14:paraId="27A7DBB2" w14:textId="77777777">
        <w:trPr>
          <w:jc w:val="center"/>
        </w:trPr>
        <w:tc>
          <w:tcPr>
            <w:tcW w:w="626" w:type="dxa"/>
            <w:tcBorders>
              <w:left w:val="single" w:color="auto" w:sz="12" w:space="0"/>
            </w:tcBorders>
          </w:tcPr>
          <w:p w:rsidR="003B0815" w:rsidRDefault="003B0815" w14:paraId="79692230" w14:textId="77777777">
            <w:pPr>
              <w:keepNext/>
              <w:jc w:val="center"/>
              <w:rPr>
                <w:rFonts w:ascii="Arial" w:hAnsi="Arial"/>
                <w:sz w:val="20"/>
                <w:szCs w:val="20"/>
              </w:rPr>
            </w:pPr>
            <w:r>
              <w:t>2011</w:t>
            </w:r>
          </w:p>
        </w:tc>
        <w:tc>
          <w:tcPr>
            <w:tcW w:w="1359" w:type="dxa"/>
            <w:vAlign w:val="bottom"/>
          </w:tcPr>
          <w:p w:rsidR="003B0815" w:rsidRDefault="003B0815" w14:paraId="515176A9" w14:textId="77777777">
            <w:pPr>
              <w:keepNext/>
              <w:jc w:val="right"/>
              <w:rPr>
                <w:rFonts w:ascii="Arial" w:hAnsi="Arial" w:cs="Arial"/>
                <w:sz w:val="20"/>
                <w:szCs w:val="20"/>
              </w:rPr>
            </w:pPr>
            <w:r>
              <w:rPr>
                <w:rFonts w:ascii="Arial" w:hAnsi="Arial" w:cs="Arial"/>
                <w:sz w:val="20"/>
                <w:szCs w:val="20"/>
              </w:rPr>
              <w:t xml:space="preserve">13.5 </w:t>
            </w:r>
          </w:p>
        </w:tc>
        <w:tc>
          <w:tcPr>
            <w:tcW w:w="1197" w:type="dxa"/>
            <w:vAlign w:val="bottom"/>
          </w:tcPr>
          <w:p w:rsidR="003B0815" w:rsidRDefault="003B0815" w14:paraId="3D420889" w14:textId="77777777">
            <w:pPr>
              <w:keepNext/>
              <w:jc w:val="right"/>
              <w:rPr>
                <w:rFonts w:ascii="Arial" w:hAnsi="Arial" w:cs="Arial"/>
                <w:sz w:val="20"/>
                <w:szCs w:val="20"/>
              </w:rPr>
            </w:pPr>
            <w:r>
              <w:rPr>
                <w:rFonts w:ascii="Arial" w:hAnsi="Arial" w:cs="Arial"/>
                <w:sz w:val="20"/>
                <w:szCs w:val="20"/>
              </w:rPr>
              <w:t xml:space="preserve">8.4 </w:t>
            </w:r>
          </w:p>
        </w:tc>
        <w:tc>
          <w:tcPr>
            <w:tcW w:w="1254" w:type="dxa"/>
            <w:vAlign w:val="bottom"/>
          </w:tcPr>
          <w:p w:rsidR="003B0815" w:rsidRDefault="003B0815" w14:paraId="294E5320" w14:textId="77777777">
            <w:pPr>
              <w:keepNext/>
              <w:jc w:val="right"/>
              <w:rPr>
                <w:rFonts w:ascii="Arial" w:hAnsi="Arial" w:cs="Arial"/>
                <w:sz w:val="20"/>
                <w:szCs w:val="20"/>
              </w:rPr>
            </w:pPr>
            <w:r>
              <w:rPr>
                <w:rFonts w:ascii="Arial" w:hAnsi="Arial" w:cs="Arial"/>
                <w:sz w:val="20"/>
                <w:szCs w:val="20"/>
              </w:rPr>
              <w:t xml:space="preserve">9.1 </w:t>
            </w:r>
          </w:p>
        </w:tc>
        <w:tc>
          <w:tcPr>
            <w:tcW w:w="1389" w:type="dxa"/>
            <w:vAlign w:val="bottom"/>
          </w:tcPr>
          <w:p w:rsidR="003B0815" w:rsidRDefault="003B0815" w14:paraId="3CD7C6EB" w14:textId="77777777">
            <w:pPr>
              <w:keepNext/>
              <w:jc w:val="right"/>
              <w:rPr>
                <w:rFonts w:ascii="Arial" w:hAnsi="Arial" w:cs="Arial"/>
                <w:sz w:val="20"/>
                <w:szCs w:val="20"/>
              </w:rPr>
            </w:pPr>
            <w:r>
              <w:rPr>
                <w:rFonts w:ascii="Arial" w:hAnsi="Arial" w:cs="Arial"/>
                <w:sz w:val="20"/>
                <w:szCs w:val="20"/>
              </w:rPr>
              <w:t xml:space="preserve">11.7 </w:t>
            </w:r>
          </w:p>
        </w:tc>
        <w:tc>
          <w:tcPr>
            <w:tcW w:w="1614" w:type="dxa"/>
            <w:vAlign w:val="bottom"/>
          </w:tcPr>
          <w:p w:rsidR="003B0815" w:rsidRDefault="003B0815" w14:paraId="3CF70C79" w14:textId="77777777">
            <w:pPr>
              <w:keepNext/>
              <w:jc w:val="right"/>
              <w:rPr>
                <w:rFonts w:ascii="Arial" w:hAnsi="Arial" w:cs="Arial"/>
                <w:sz w:val="20"/>
                <w:szCs w:val="20"/>
              </w:rPr>
            </w:pPr>
            <w:r>
              <w:rPr>
                <w:rFonts w:ascii="Arial" w:hAnsi="Arial" w:cs="Arial"/>
                <w:sz w:val="20"/>
                <w:szCs w:val="20"/>
              </w:rPr>
              <w:t xml:space="preserve">31.1 </w:t>
            </w:r>
          </w:p>
        </w:tc>
        <w:tc>
          <w:tcPr>
            <w:tcW w:w="1130" w:type="dxa"/>
            <w:vAlign w:val="bottom"/>
          </w:tcPr>
          <w:p w:rsidR="003B0815" w:rsidRDefault="003B0815" w14:paraId="6CA65565" w14:textId="77777777">
            <w:pPr>
              <w:keepNext/>
              <w:jc w:val="right"/>
              <w:rPr>
                <w:rFonts w:ascii="Arial" w:hAnsi="Arial" w:cs="Arial"/>
                <w:sz w:val="20"/>
                <w:szCs w:val="20"/>
              </w:rPr>
            </w:pPr>
            <w:r>
              <w:rPr>
                <w:rFonts w:ascii="Arial" w:hAnsi="Arial" w:cs="Arial"/>
                <w:sz w:val="20"/>
                <w:szCs w:val="20"/>
              </w:rPr>
              <w:t xml:space="preserve">14.9 </w:t>
            </w:r>
          </w:p>
        </w:tc>
        <w:tc>
          <w:tcPr>
            <w:tcW w:w="849" w:type="dxa"/>
            <w:tcBorders>
              <w:right w:val="single" w:color="auto" w:sz="12" w:space="0"/>
            </w:tcBorders>
            <w:shd w:val="clear" w:color="auto" w:fill="CCCCCC"/>
            <w:vAlign w:val="bottom"/>
          </w:tcPr>
          <w:p w:rsidR="003B0815" w:rsidRDefault="003B0815" w14:paraId="442702EB" w14:textId="77777777">
            <w:pPr>
              <w:keepNext/>
              <w:jc w:val="right"/>
              <w:rPr>
                <w:rFonts w:ascii="Arial" w:hAnsi="Arial" w:cs="Arial"/>
                <w:b/>
                <w:bCs/>
                <w:sz w:val="20"/>
                <w:szCs w:val="20"/>
              </w:rPr>
            </w:pPr>
            <w:r>
              <w:rPr>
                <w:rFonts w:ascii="Arial" w:hAnsi="Arial" w:cs="Arial"/>
                <w:b/>
                <w:bCs/>
                <w:sz w:val="20"/>
                <w:szCs w:val="20"/>
              </w:rPr>
              <w:t xml:space="preserve">88.6 </w:t>
            </w:r>
          </w:p>
        </w:tc>
      </w:tr>
      <w:tr w:rsidR="003B0815" w14:paraId="217F16CA" w14:textId="77777777">
        <w:trPr>
          <w:jc w:val="center"/>
        </w:trPr>
        <w:tc>
          <w:tcPr>
            <w:tcW w:w="626" w:type="dxa"/>
            <w:tcBorders>
              <w:left w:val="single" w:color="auto" w:sz="12" w:space="0"/>
            </w:tcBorders>
          </w:tcPr>
          <w:p w:rsidR="003B0815" w:rsidRDefault="003B0815" w14:paraId="6DA40BD6" w14:textId="77777777">
            <w:pPr>
              <w:keepNext/>
              <w:jc w:val="center"/>
              <w:rPr>
                <w:rFonts w:ascii="Arial" w:hAnsi="Arial"/>
                <w:sz w:val="20"/>
                <w:szCs w:val="20"/>
              </w:rPr>
            </w:pPr>
            <w:r>
              <w:t>2012</w:t>
            </w:r>
          </w:p>
        </w:tc>
        <w:tc>
          <w:tcPr>
            <w:tcW w:w="1359" w:type="dxa"/>
            <w:vAlign w:val="bottom"/>
          </w:tcPr>
          <w:p w:rsidR="003B0815" w:rsidRDefault="003B0815" w14:paraId="4966F838" w14:textId="77777777">
            <w:pPr>
              <w:keepNext/>
              <w:jc w:val="right"/>
              <w:rPr>
                <w:rFonts w:ascii="Arial" w:hAnsi="Arial" w:cs="Arial"/>
                <w:sz w:val="20"/>
                <w:szCs w:val="20"/>
              </w:rPr>
            </w:pPr>
            <w:r>
              <w:rPr>
                <w:rFonts w:ascii="Arial" w:hAnsi="Arial" w:cs="Arial"/>
                <w:sz w:val="20"/>
                <w:szCs w:val="20"/>
              </w:rPr>
              <w:t xml:space="preserve">13.9 </w:t>
            </w:r>
          </w:p>
        </w:tc>
        <w:tc>
          <w:tcPr>
            <w:tcW w:w="1197" w:type="dxa"/>
            <w:vAlign w:val="bottom"/>
          </w:tcPr>
          <w:p w:rsidR="003B0815" w:rsidRDefault="003B0815" w14:paraId="0E4D5057" w14:textId="77777777">
            <w:pPr>
              <w:keepNext/>
              <w:jc w:val="right"/>
              <w:rPr>
                <w:rFonts w:ascii="Arial" w:hAnsi="Arial" w:cs="Arial"/>
                <w:sz w:val="20"/>
                <w:szCs w:val="20"/>
              </w:rPr>
            </w:pPr>
            <w:r>
              <w:rPr>
                <w:rFonts w:ascii="Arial" w:hAnsi="Arial" w:cs="Arial"/>
                <w:sz w:val="20"/>
                <w:szCs w:val="20"/>
              </w:rPr>
              <w:t xml:space="preserve">11.2 </w:t>
            </w:r>
          </w:p>
        </w:tc>
        <w:tc>
          <w:tcPr>
            <w:tcW w:w="1254" w:type="dxa"/>
            <w:vAlign w:val="bottom"/>
          </w:tcPr>
          <w:p w:rsidR="003B0815" w:rsidRDefault="003B0815" w14:paraId="470FE4D5" w14:textId="77777777">
            <w:pPr>
              <w:keepNext/>
              <w:jc w:val="right"/>
              <w:rPr>
                <w:rFonts w:ascii="Arial" w:hAnsi="Arial" w:cs="Arial"/>
                <w:sz w:val="20"/>
                <w:szCs w:val="20"/>
              </w:rPr>
            </w:pPr>
            <w:r>
              <w:rPr>
                <w:rFonts w:ascii="Arial" w:hAnsi="Arial" w:cs="Arial"/>
                <w:sz w:val="20"/>
                <w:szCs w:val="20"/>
              </w:rPr>
              <w:t xml:space="preserve">9.4 </w:t>
            </w:r>
          </w:p>
        </w:tc>
        <w:tc>
          <w:tcPr>
            <w:tcW w:w="1389" w:type="dxa"/>
            <w:vAlign w:val="bottom"/>
          </w:tcPr>
          <w:p w:rsidR="003B0815" w:rsidRDefault="003B0815" w14:paraId="47CAA74E" w14:textId="77777777">
            <w:pPr>
              <w:keepNext/>
              <w:jc w:val="right"/>
              <w:rPr>
                <w:rFonts w:ascii="Arial" w:hAnsi="Arial" w:cs="Arial"/>
                <w:sz w:val="20"/>
                <w:szCs w:val="20"/>
              </w:rPr>
            </w:pPr>
            <w:r>
              <w:rPr>
                <w:rFonts w:ascii="Arial" w:hAnsi="Arial" w:cs="Arial"/>
                <w:sz w:val="20"/>
                <w:szCs w:val="20"/>
              </w:rPr>
              <w:t xml:space="preserve">12.0 </w:t>
            </w:r>
          </w:p>
        </w:tc>
        <w:tc>
          <w:tcPr>
            <w:tcW w:w="1614" w:type="dxa"/>
            <w:vAlign w:val="bottom"/>
          </w:tcPr>
          <w:p w:rsidR="003B0815" w:rsidRDefault="003B0815" w14:paraId="448132B4" w14:textId="77777777">
            <w:pPr>
              <w:keepNext/>
              <w:jc w:val="right"/>
              <w:rPr>
                <w:rFonts w:ascii="Arial" w:hAnsi="Arial" w:cs="Arial"/>
                <w:sz w:val="20"/>
                <w:szCs w:val="20"/>
              </w:rPr>
            </w:pPr>
            <w:r>
              <w:rPr>
                <w:rFonts w:ascii="Arial" w:hAnsi="Arial" w:cs="Arial"/>
                <w:sz w:val="20"/>
                <w:szCs w:val="20"/>
              </w:rPr>
              <w:t xml:space="preserve">32.1 </w:t>
            </w:r>
          </w:p>
        </w:tc>
        <w:tc>
          <w:tcPr>
            <w:tcW w:w="1130" w:type="dxa"/>
            <w:vAlign w:val="bottom"/>
          </w:tcPr>
          <w:p w:rsidR="003B0815" w:rsidRDefault="003B0815" w14:paraId="2B82F54A" w14:textId="77777777">
            <w:pPr>
              <w:keepNext/>
              <w:jc w:val="right"/>
              <w:rPr>
                <w:rFonts w:ascii="Arial" w:hAnsi="Arial" w:cs="Arial"/>
                <w:sz w:val="20"/>
                <w:szCs w:val="20"/>
              </w:rPr>
            </w:pPr>
            <w:r>
              <w:rPr>
                <w:rFonts w:ascii="Arial" w:hAnsi="Arial" w:cs="Arial"/>
                <w:sz w:val="20"/>
                <w:szCs w:val="20"/>
              </w:rPr>
              <w:t xml:space="preserve">15.3 </w:t>
            </w:r>
          </w:p>
        </w:tc>
        <w:tc>
          <w:tcPr>
            <w:tcW w:w="849" w:type="dxa"/>
            <w:tcBorders>
              <w:right w:val="single" w:color="auto" w:sz="12" w:space="0"/>
            </w:tcBorders>
            <w:shd w:val="clear" w:color="auto" w:fill="CCCCCC"/>
            <w:vAlign w:val="bottom"/>
          </w:tcPr>
          <w:p w:rsidR="003B0815" w:rsidRDefault="003B0815" w14:paraId="5A08DFD0" w14:textId="77777777">
            <w:pPr>
              <w:keepNext/>
              <w:jc w:val="right"/>
              <w:rPr>
                <w:rFonts w:ascii="Arial" w:hAnsi="Arial" w:cs="Arial"/>
                <w:b/>
                <w:bCs/>
                <w:sz w:val="20"/>
                <w:szCs w:val="20"/>
              </w:rPr>
            </w:pPr>
            <w:r>
              <w:rPr>
                <w:rFonts w:ascii="Arial" w:hAnsi="Arial" w:cs="Arial"/>
                <w:b/>
                <w:bCs/>
                <w:sz w:val="20"/>
                <w:szCs w:val="20"/>
              </w:rPr>
              <w:t xml:space="preserve">93.9 </w:t>
            </w:r>
          </w:p>
        </w:tc>
      </w:tr>
      <w:tr w:rsidR="003B0815" w14:paraId="7D9619D1" w14:textId="77777777">
        <w:trPr>
          <w:jc w:val="center"/>
        </w:trPr>
        <w:tc>
          <w:tcPr>
            <w:tcW w:w="626" w:type="dxa"/>
            <w:tcBorders>
              <w:left w:val="single" w:color="auto" w:sz="12" w:space="0"/>
            </w:tcBorders>
          </w:tcPr>
          <w:p w:rsidR="003B0815" w:rsidRDefault="003B0815" w14:paraId="239A1043" w14:textId="77777777">
            <w:pPr>
              <w:keepNext/>
              <w:jc w:val="center"/>
              <w:rPr>
                <w:rFonts w:ascii="Arial" w:hAnsi="Arial"/>
                <w:sz w:val="20"/>
                <w:szCs w:val="20"/>
              </w:rPr>
            </w:pPr>
            <w:r>
              <w:t>2013</w:t>
            </w:r>
          </w:p>
        </w:tc>
        <w:tc>
          <w:tcPr>
            <w:tcW w:w="1359" w:type="dxa"/>
            <w:vAlign w:val="bottom"/>
          </w:tcPr>
          <w:p w:rsidR="003B0815" w:rsidRDefault="003B0815" w14:paraId="686E9BC0" w14:textId="77777777">
            <w:pPr>
              <w:keepNext/>
              <w:jc w:val="right"/>
              <w:rPr>
                <w:rFonts w:ascii="Arial" w:hAnsi="Arial" w:cs="Arial"/>
                <w:sz w:val="20"/>
                <w:szCs w:val="20"/>
              </w:rPr>
            </w:pPr>
            <w:r>
              <w:rPr>
                <w:rFonts w:ascii="Arial" w:hAnsi="Arial" w:cs="Arial"/>
                <w:sz w:val="20"/>
                <w:szCs w:val="20"/>
              </w:rPr>
              <w:t xml:space="preserve">14.3 </w:t>
            </w:r>
          </w:p>
        </w:tc>
        <w:tc>
          <w:tcPr>
            <w:tcW w:w="1197" w:type="dxa"/>
            <w:vAlign w:val="bottom"/>
          </w:tcPr>
          <w:p w:rsidR="003B0815" w:rsidRDefault="003B0815" w14:paraId="765A048A" w14:textId="77777777">
            <w:pPr>
              <w:keepNext/>
              <w:jc w:val="right"/>
              <w:rPr>
                <w:rFonts w:ascii="Arial" w:hAnsi="Arial" w:cs="Arial"/>
                <w:sz w:val="20"/>
                <w:szCs w:val="20"/>
              </w:rPr>
            </w:pPr>
            <w:r>
              <w:rPr>
                <w:rFonts w:ascii="Arial" w:hAnsi="Arial" w:cs="Arial"/>
                <w:sz w:val="20"/>
                <w:szCs w:val="20"/>
              </w:rPr>
              <w:t xml:space="preserve">10.8 </w:t>
            </w:r>
          </w:p>
        </w:tc>
        <w:tc>
          <w:tcPr>
            <w:tcW w:w="1254" w:type="dxa"/>
            <w:vAlign w:val="bottom"/>
          </w:tcPr>
          <w:p w:rsidR="003B0815" w:rsidRDefault="003B0815" w14:paraId="766D22A2" w14:textId="77777777">
            <w:pPr>
              <w:keepNext/>
              <w:jc w:val="right"/>
              <w:rPr>
                <w:rFonts w:ascii="Arial" w:hAnsi="Arial" w:cs="Arial"/>
                <w:sz w:val="20"/>
                <w:szCs w:val="20"/>
              </w:rPr>
            </w:pPr>
            <w:r>
              <w:rPr>
                <w:rFonts w:ascii="Arial" w:hAnsi="Arial" w:cs="Arial"/>
                <w:sz w:val="20"/>
                <w:szCs w:val="20"/>
              </w:rPr>
              <w:t xml:space="preserve">9.7 </w:t>
            </w:r>
          </w:p>
        </w:tc>
        <w:tc>
          <w:tcPr>
            <w:tcW w:w="1389" w:type="dxa"/>
            <w:vAlign w:val="bottom"/>
          </w:tcPr>
          <w:p w:rsidR="003B0815" w:rsidRDefault="003B0815" w14:paraId="53D68E79" w14:textId="77777777">
            <w:pPr>
              <w:keepNext/>
              <w:jc w:val="right"/>
              <w:rPr>
                <w:rFonts w:ascii="Arial" w:hAnsi="Arial" w:cs="Arial"/>
                <w:sz w:val="20"/>
                <w:szCs w:val="20"/>
              </w:rPr>
            </w:pPr>
            <w:r>
              <w:rPr>
                <w:rFonts w:ascii="Arial" w:hAnsi="Arial" w:cs="Arial"/>
                <w:sz w:val="20"/>
                <w:szCs w:val="20"/>
              </w:rPr>
              <w:t xml:space="preserve">12.4 </w:t>
            </w:r>
          </w:p>
        </w:tc>
        <w:tc>
          <w:tcPr>
            <w:tcW w:w="1614" w:type="dxa"/>
            <w:vAlign w:val="bottom"/>
          </w:tcPr>
          <w:p w:rsidR="003B0815" w:rsidRDefault="003B0815" w14:paraId="692487E7" w14:textId="77777777">
            <w:pPr>
              <w:keepNext/>
              <w:jc w:val="right"/>
              <w:rPr>
                <w:rFonts w:ascii="Arial" w:hAnsi="Arial" w:cs="Arial"/>
                <w:sz w:val="20"/>
                <w:szCs w:val="20"/>
              </w:rPr>
            </w:pPr>
            <w:r>
              <w:rPr>
                <w:rFonts w:ascii="Arial" w:hAnsi="Arial" w:cs="Arial"/>
                <w:sz w:val="20"/>
                <w:szCs w:val="20"/>
              </w:rPr>
              <w:t xml:space="preserve">34.6 </w:t>
            </w:r>
          </w:p>
        </w:tc>
        <w:tc>
          <w:tcPr>
            <w:tcW w:w="1130" w:type="dxa"/>
            <w:vAlign w:val="bottom"/>
          </w:tcPr>
          <w:p w:rsidR="003B0815" w:rsidRDefault="003B0815" w14:paraId="397EA1DA" w14:textId="77777777">
            <w:pPr>
              <w:keepNext/>
              <w:jc w:val="right"/>
              <w:rPr>
                <w:rFonts w:ascii="Arial" w:hAnsi="Arial" w:cs="Arial"/>
                <w:sz w:val="20"/>
                <w:szCs w:val="20"/>
              </w:rPr>
            </w:pPr>
            <w:r>
              <w:rPr>
                <w:rFonts w:ascii="Arial" w:hAnsi="Arial" w:cs="Arial"/>
                <w:sz w:val="20"/>
                <w:szCs w:val="20"/>
              </w:rPr>
              <w:t xml:space="preserve">15.8 </w:t>
            </w:r>
          </w:p>
        </w:tc>
        <w:tc>
          <w:tcPr>
            <w:tcW w:w="849" w:type="dxa"/>
            <w:tcBorders>
              <w:right w:val="single" w:color="auto" w:sz="12" w:space="0"/>
            </w:tcBorders>
            <w:shd w:val="clear" w:color="auto" w:fill="CCCCCC"/>
            <w:vAlign w:val="bottom"/>
          </w:tcPr>
          <w:p w:rsidR="003B0815" w:rsidRDefault="003B0815" w14:paraId="4A14087A" w14:textId="77777777">
            <w:pPr>
              <w:keepNext/>
              <w:jc w:val="right"/>
              <w:rPr>
                <w:rFonts w:ascii="Arial" w:hAnsi="Arial" w:cs="Arial"/>
                <w:b/>
                <w:bCs/>
                <w:sz w:val="20"/>
                <w:szCs w:val="20"/>
              </w:rPr>
            </w:pPr>
            <w:r>
              <w:rPr>
                <w:rFonts w:ascii="Arial" w:hAnsi="Arial" w:cs="Arial"/>
                <w:b/>
                <w:bCs/>
                <w:sz w:val="20"/>
                <w:szCs w:val="20"/>
              </w:rPr>
              <w:t xml:space="preserve">97.6 </w:t>
            </w:r>
          </w:p>
        </w:tc>
      </w:tr>
      <w:tr w:rsidR="003B0815" w14:paraId="2A107B42" w14:textId="77777777">
        <w:trPr>
          <w:jc w:val="center"/>
        </w:trPr>
        <w:tc>
          <w:tcPr>
            <w:tcW w:w="626" w:type="dxa"/>
            <w:tcBorders>
              <w:left w:val="single" w:color="auto" w:sz="12" w:space="0"/>
            </w:tcBorders>
          </w:tcPr>
          <w:p w:rsidR="003B0815" w:rsidRDefault="003B0815" w14:paraId="02695D8B" w14:textId="77777777">
            <w:pPr>
              <w:keepNext/>
              <w:jc w:val="center"/>
              <w:rPr>
                <w:rFonts w:ascii="Arial" w:hAnsi="Arial"/>
                <w:sz w:val="20"/>
                <w:szCs w:val="20"/>
              </w:rPr>
            </w:pPr>
            <w:r>
              <w:t>2014</w:t>
            </w:r>
          </w:p>
        </w:tc>
        <w:tc>
          <w:tcPr>
            <w:tcW w:w="1359" w:type="dxa"/>
            <w:vAlign w:val="bottom"/>
          </w:tcPr>
          <w:p w:rsidR="003B0815" w:rsidRDefault="003B0815" w14:paraId="1F363F4B" w14:textId="77777777">
            <w:pPr>
              <w:keepNext/>
              <w:jc w:val="right"/>
              <w:rPr>
                <w:rFonts w:ascii="Arial" w:hAnsi="Arial" w:cs="Arial"/>
                <w:sz w:val="20"/>
                <w:szCs w:val="20"/>
              </w:rPr>
            </w:pPr>
            <w:r>
              <w:rPr>
                <w:rFonts w:ascii="Arial" w:hAnsi="Arial" w:cs="Arial"/>
                <w:sz w:val="20"/>
                <w:szCs w:val="20"/>
              </w:rPr>
              <w:t xml:space="preserve">14.8 </w:t>
            </w:r>
          </w:p>
        </w:tc>
        <w:tc>
          <w:tcPr>
            <w:tcW w:w="1197" w:type="dxa"/>
            <w:vAlign w:val="bottom"/>
          </w:tcPr>
          <w:p w:rsidR="003B0815" w:rsidRDefault="003B0815" w14:paraId="7F26D0A6" w14:textId="77777777">
            <w:pPr>
              <w:keepNext/>
              <w:jc w:val="right"/>
              <w:rPr>
                <w:rFonts w:ascii="Arial" w:hAnsi="Arial" w:cs="Arial"/>
                <w:sz w:val="20"/>
                <w:szCs w:val="20"/>
              </w:rPr>
            </w:pPr>
            <w:r>
              <w:rPr>
                <w:rFonts w:ascii="Arial" w:hAnsi="Arial" w:cs="Arial"/>
                <w:sz w:val="20"/>
                <w:szCs w:val="20"/>
              </w:rPr>
              <w:t xml:space="preserve">8.6 </w:t>
            </w:r>
          </w:p>
        </w:tc>
        <w:tc>
          <w:tcPr>
            <w:tcW w:w="1254" w:type="dxa"/>
            <w:vAlign w:val="bottom"/>
          </w:tcPr>
          <w:p w:rsidR="003B0815" w:rsidRDefault="003B0815" w14:paraId="0F1F6E30" w14:textId="77777777">
            <w:pPr>
              <w:keepNext/>
              <w:jc w:val="right"/>
              <w:rPr>
                <w:rFonts w:ascii="Arial" w:hAnsi="Arial" w:cs="Arial"/>
                <w:sz w:val="20"/>
                <w:szCs w:val="20"/>
              </w:rPr>
            </w:pPr>
            <w:r>
              <w:rPr>
                <w:rFonts w:ascii="Arial" w:hAnsi="Arial" w:cs="Arial"/>
                <w:sz w:val="20"/>
                <w:szCs w:val="20"/>
              </w:rPr>
              <w:t xml:space="preserve">10.0 </w:t>
            </w:r>
          </w:p>
        </w:tc>
        <w:tc>
          <w:tcPr>
            <w:tcW w:w="1389" w:type="dxa"/>
            <w:vAlign w:val="bottom"/>
          </w:tcPr>
          <w:p w:rsidR="003B0815" w:rsidRDefault="003B0815" w14:paraId="43D2E0E8" w14:textId="77777777">
            <w:pPr>
              <w:keepNext/>
              <w:jc w:val="right"/>
              <w:rPr>
                <w:rFonts w:ascii="Arial" w:hAnsi="Arial" w:cs="Arial"/>
                <w:sz w:val="20"/>
                <w:szCs w:val="20"/>
              </w:rPr>
            </w:pPr>
            <w:r>
              <w:rPr>
                <w:rFonts w:ascii="Arial" w:hAnsi="Arial" w:cs="Arial"/>
                <w:sz w:val="20"/>
                <w:szCs w:val="20"/>
              </w:rPr>
              <w:t xml:space="preserve">12.8 </w:t>
            </w:r>
          </w:p>
        </w:tc>
        <w:tc>
          <w:tcPr>
            <w:tcW w:w="1614" w:type="dxa"/>
            <w:vAlign w:val="bottom"/>
          </w:tcPr>
          <w:p w:rsidR="003B0815" w:rsidRDefault="003B0815" w14:paraId="0C0B0A56" w14:textId="77777777">
            <w:pPr>
              <w:keepNext/>
              <w:jc w:val="right"/>
              <w:rPr>
                <w:rFonts w:ascii="Arial" w:hAnsi="Arial" w:cs="Arial"/>
                <w:sz w:val="20"/>
                <w:szCs w:val="20"/>
              </w:rPr>
            </w:pPr>
            <w:r>
              <w:rPr>
                <w:rFonts w:ascii="Arial" w:hAnsi="Arial" w:cs="Arial"/>
                <w:sz w:val="20"/>
                <w:szCs w:val="20"/>
              </w:rPr>
              <w:t xml:space="preserve">35.7 </w:t>
            </w:r>
          </w:p>
        </w:tc>
        <w:tc>
          <w:tcPr>
            <w:tcW w:w="1130" w:type="dxa"/>
            <w:vAlign w:val="bottom"/>
          </w:tcPr>
          <w:p w:rsidR="003B0815" w:rsidRDefault="003B0815" w14:paraId="1E9847DB" w14:textId="77777777">
            <w:pPr>
              <w:keepNext/>
              <w:jc w:val="right"/>
              <w:rPr>
                <w:rFonts w:ascii="Arial" w:hAnsi="Arial" w:cs="Arial"/>
                <w:sz w:val="20"/>
                <w:szCs w:val="20"/>
              </w:rPr>
            </w:pPr>
            <w:r>
              <w:rPr>
                <w:rFonts w:ascii="Arial" w:hAnsi="Arial" w:cs="Arial"/>
                <w:sz w:val="20"/>
                <w:szCs w:val="20"/>
              </w:rPr>
              <w:t xml:space="preserve">16.3 </w:t>
            </w:r>
          </w:p>
        </w:tc>
        <w:tc>
          <w:tcPr>
            <w:tcW w:w="849" w:type="dxa"/>
            <w:tcBorders>
              <w:right w:val="single" w:color="auto" w:sz="12" w:space="0"/>
            </w:tcBorders>
            <w:shd w:val="clear" w:color="auto" w:fill="CCCCCC"/>
            <w:vAlign w:val="bottom"/>
          </w:tcPr>
          <w:p w:rsidR="003B0815" w:rsidRDefault="003B0815" w14:paraId="53096264" w14:textId="77777777">
            <w:pPr>
              <w:keepNext/>
              <w:jc w:val="right"/>
              <w:rPr>
                <w:rFonts w:ascii="Arial" w:hAnsi="Arial" w:cs="Arial"/>
                <w:b/>
                <w:bCs/>
                <w:sz w:val="20"/>
                <w:szCs w:val="20"/>
              </w:rPr>
            </w:pPr>
            <w:r>
              <w:rPr>
                <w:rFonts w:ascii="Arial" w:hAnsi="Arial" w:cs="Arial"/>
                <w:b/>
                <w:bCs/>
                <w:sz w:val="20"/>
                <w:szCs w:val="20"/>
              </w:rPr>
              <w:t xml:space="preserve">98.1 </w:t>
            </w:r>
          </w:p>
        </w:tc>
      </w:tr>
      <w:tr w:rsidR="003B0815" w14:paraId="3AE9D809" w14:textId="77777777">
        <w:trPr>
          <w:jc w:val="center"/>
        </w:trPr>
        <w:tc>
          <w:tcPr>
            <w:tcW w:w="626" w:type="dxa"/>
            <w:tcBorders>
              <w:left w:val="single" w:color="auto" w:sz="12" w:space="0"/>
            </w:tcBorders>
          </w:tcPr>
          <w:p w:rsidR="003B0815" w:rsidRDefault="003B0815" w14:paraId="55556027" w14:textId="77777777">
            <w:pPr>
              <w:keepNext/>
              <w:jc w:val="center"/>
              <w:rPr>
                <w:rFonts w:ascii="Arial" w:hAnsi="Arial"/>
                <w:sz w:val="20"/>
                <w:szCs w:val="20"/>
              </w:rPr>
            </w:pPr>
            <w:r>
              <w:t>2015</w:t>
            </w:r>
          </w:p>
        </w:tc>
        <w:tc>
          <w:tcPr>
            <w:tcW w:w="1359" w:type="dxa"/>
            <w:vAlign w:val="bottom"/>
          </w:tcPr>
          <w:p w:rsidR="003B0815" w:rsidRDefault="003B0815" w14:paraId="47569574" w14:textId="77777777">
            <w:pPr>
              <w:keepNext/>
              <w:jc w:val="right"/>
              <w:rPr>
                <w:rFonts w:ascii="Arial" w:hAnsi="Arial" w:cs="Arial"/>
                <w:sz w:val="20"/>
                <w:szCs w:val="20"/>
              </w:rPr>
            </w:pPr>
            <w:r>
              <w:rPr>
                <w:rFonts w:ascii="Arial" w:hAnsi="Arial" w:cs="Arial"/>
                <w:sz w:val="20"/>
                <w:szCs w:val="20"/>
              </w:rPr>
              <w:t xml:space="preserve">15.3 </w:t>
            </w:r>
          </w:p>
        </w:tc>
        <w:tc>
          <w:tcPr>
            <w:tcW w:w="1197" w:type="dxa"/>
            <w:vAlign w:val="bottom"/>
          </w:tcPr>
          <w:p w:rsidR="003B0815" w:rsidRDefault="003B0815" w14:paraId="5FB06273" w14:textId="77777777">
            <w:pPr>
              <w:keepNext/>
              <w:jc w:val="right"/>
              <w:rPr>
                <w:rFonts w:ascii="Arial" w:hAnsi="Arial" w:cs="Arial"/>
                <w:sz w:val="20"/>
                <w:szCs w:val="20"/>
              </w:rPr>
            </w:pPr>
            <w:r>
              <w:rPr>
                <w:rFonts w:ascii="Arial" w:hAnsi="Arial" w:cs="Arial"/>
                <w:sz w:val="20"/>
                <w:szCs w:val="20"/>
              </w:rPr>
              <w:t xml:space="preserve">7.5 </w:t>
            </w:r>
          </w:p>
        </w:tc>
        <w:tc>
          <w:tcPr>
            <w:tcW w:w="1254" w:type="dxa"/>
            <w:vAlign w:val="bottom"/>
          </w:tcPr>
          <w:p w:rsidR="003B0815" w:rsidRDefault="003B0815" w14:paraId="0CBDB16B" w14:textId="77777777">
            <w:pPr>
              <w:keepNext/>
              <w:jc w:val="right"/>
              <w:rPr>
                <w:rFonts w:ascii="Arial" w:hAnsi="Arial" w:cs="Arial"/>
                <w:sz w:val="20"/>
                <w:szCs w:val="20"/>
              </w:rPr>
            </w:pPr>
            <w:r>
              <w:rPr>
                <w:rFonts w:ascii="Arial" w:hAnsi="Arial" w:cs="Arial"/>
                <w:sz w:val="20"/>
                <w:szCs w:val="20"/>
              </w:rPr>
              <w:t xml:space="preserve">10.4 </w:t>
            </w:r>
          </w:p>
        </w:tc>
        <w:tc>
          <w:tcPr>
            <w:tcW w:w="1389" w:type="dxa"/>
            <w:vAlign w:val="bottom"/>
          </w:tcPr>
          <w:p w:rsidR="003B0815" w:rsidRDefault="003B0815" w14:paraId="644C0EF7" w14:textId="77777777">
            <w:pPr>
              <w:keepNext/>
              <w:jc w:val="right"/>
              <w:rPr>
                <w:rFonts w:ascii="Arial" w:hAnsi="Arial" w:cs="Arial"/>
                <w:sz w:val="20"/>
                <w:szCs w:val="20"/>
              </w:rPr>
            </w:pPr>
            <w:r>
              <w:rPr>
                <w:rFonts w:ascii="Arial" w:hAnsi="Arial" w:cs="Arial"/>
                <w:sz w:val="20"/>
                <w:szCs w:val="20"/>
              </w:rPr>
              <w:t xml:space="preserve">13.2 </w:t>
            </w:r>
          </w:p>
        </w:tc>
        <w:tc>
          <w:tcPr>
            <w:tcW w:w="1614" w:type="dxa"/>
            <w:vAlign w:val="bottom"/>
          </w:tcPr>
          <w:p w:rsidR="003B0815" w:rsidRDefault="003B0815" w14:paraId="54E7034E" w14:textId="77777777">
            <w:pPr>
              <w:keepNext/>
              <w:jc w:val="right"/>
              <w:rPr>
                <w:rFonts w:ascii="Arial" w:hAnsi="Arial" w:cs="Arial"/>
                <w:sz w:val="20"/>
                <w:szCs w:val="20"/>
              </w:rPr>
            </w:pPr>
            <w:r>
              <w:rPr>
                <w:rFonts w:ascii="Arial" w:hAnsi="Arial" w:cs="Arial"/>
                <w:sz w:val="20"/>
                <w:szCs w:val="20"/>
              </w:rPr>
              <w:t xml:space="preserve">36.8 </w:t>
            </w:r>
          </w:p>
        </w:tc>
        <w:tc>
          <w:tcPr>
            <w:tcW w:w="1130" w:type="dxa"/>
            <w:vAlign w:val="bottom"/>
          </w:tcPr>
          <w:p w:rsidR="003B0815" w:rsidRDefault="003B0815" w14:paraId="3D769E8E" w14:textId="77777777">
            <w:pPr>
              <w:keepNext/>
              <w:jc w:val="right"/>
              <w:rPr>
                <w:rFonts w:ascii="Arial" w:hAnsi="Arial" w:cs="Arial"/>
                <w:sz w:val="20"/>
                <w:szCs w:val="20"/>
              </w:rPr>
            </w:pPr>
            <w:r>
              <w:rPr>
                <w:rFonts w:ascii="Arial" w:hAnsi="Arial" w:cs="Arial"/>
                <w:sz w:val="20"/>
                <w:szCs w:val="20"/>
              </w:rPr>
              <w:t xml:space="preserve">16.8 </w:t>
            </w:r>
          </w:p>
        </w:tc>
        <w:tc>
          <w:tcPr>
            <w:tcW w:w="849" w:type="dxa"/>
            <w:tcBorders>
              <w:right w:val="single" w:color="auto" w:sz="12" w:space="0"/>
            </w:tcBorders>
            <w:shd w:val="clear" w:color="auto" w:fill="CCCCCC"/>
            <w:vAlign w:val="bottom"/>
          </w:tcPr>
          <w:p w:rsidR="003B0815" w:rsidRDefault="003B0815" w14:paraId="0AAD718D" w14:textId="77777777">
            <w:pPr>
              <w:keepNext/>
              <w:jc w:val="right"/>
              <w:rPr>
                <w:rFonts w:ascii="Arial" w:hAnsi="Arial" w:cs="Arial"/>
                <w:b/>
                <w:bCs/>
                <w:sz w:val="20"/>
                <w:szCs w:val="20"/>
              </w:rPr>
            </w:pPr>
            <w:r>
              <w:rPr>
                <w:rFonts w:ascii="Arial" w:hAnsi="Arial" w:cs="Arial"/>
                <w:b/>
                <w:bCs/>
                <w:sz w:val="20"/>
                <w:szCs w:val="20"/>
              </w:rPr>
              <w:t xml:space="preserve">99.8 </w:t>
            </w:r>
          </w:p>
        </w:tc>
      </w:tr>
      <w:tr w:rsidR="003B0815" w14:paraId="1FC4767E" w14:textId="77777777">
        <w:trPr>
          <w:jc w:val="center"/>
        </w:trPr>
        <w:tc>
          <w:tcPr>
            <w:tcW w:w="626" w:type="dxa"/>
            <w:tcBorders>
              <w:left w:val="single" w:color="auto" w:sz="12" w:space="0"/>
            </w:tcBorders>
          </w:tcPr>
          <w:p w:rsidR="003B0815" w:rsidRDefault="003B0815" w14:paraId="38119262" w14:textId="77777777">
            <w:pPr>
              <w:keepNext/>
              <w:jc w:val="center"/>
              <w:rPr>
                <w:rFonts w:ascii="Arial" w:hAnsi="Arial"/>
                <w:sz w:val="20"/>
                <w:szCs w:val="20"/>
              </w:rPr>
            </w:pPr>
            <w:r>
              <w:t>2016</w:t>
            </w:r>
          </w:p>
        </w:tc>
        <w:tc>
          <w:tcPr>
            <w:tcW w:w="1359" w:type="dxa"/>
            <w:vAlign w:val="bottom"/>
          </w:tcPr>
          <w:p w:rsidR="003B0815" w:rsidRDefault="003B0815" w14:paraId="15298D86" w14:textId="77777777">
            <w:pPr>
              <w:keepNext/>
              <w:jc w:val="right"/>
              <w:rPr>
                <w:rFonts w:ascii="Arial" w:hAnsi="Arial" w:cs="Arial"/>
                <w:sz w:val="20"/>
                <w:szCs w:val="20"/>
              </w:rPr>
            </w:pPr>
            <w:r>
              <w:rPr>
                <w:rFonts w:ascii="Arial" w:hAnsi="Arial" w:cs="Arial"/>
                <w:sz w:val="20"/>
                <w:szCs w:val="20"/>
              </w:rPr>
              <w:t xml:space="preserve">15.8 </w:t>
            </w:r>
          </w:p>
        </w:tc>
        <w:tc>
          <w:tcPr>
            <w:tcW w:w="1197" w:type="dxa"/>
            <w:vAlign w:val="bottom"/>
          </w:tcPr>
          <w:p w:rsidR="003B0815" w:rsidRDefault="003B0815" w14:paraId="762711F0" w14:textId="77777777">
            <w:pPr>
              <w:keepNext/>
              <w:jc w:val="right"/>
              <w:rPr>
                <w:rFonts w:ascii="Arial" w:hAnsi="Arial" w:cs="Arial"/>
                <w:sz w:val="20"/>
                <w:szCs w:val="20"/>
              </w:rPr>
            </w:pPr>
            <w:r>
              <w:rPr>
                <w:rFonts w:ascii="Arial" w:hAnsi="Arial" w:cs="Arial"/>
                <w:sz w:val="20"/>
                <w:szCs w:val="20"/>
              </w:rPr>
              <w:t xml:space="preserve">9.2 </w:t>
            </w:r>
          </w:p>
        </w:tc>
        <w:tc>
          <w:tcPr>
            <w:tcW w:w="1254" w:type="dxa"/>
            <w:vAlign w:val="bottom"/>
          </w:tcPr>
          <w:p w:rsidR="003B0815" w:rsidRDefault="003B0815" w14:paraId="53E8103C" w14:textId="77777777">
            <w:pPr>
              <w:keepNext/>
              <w:jc w:val="right"/>
              <w:rPr>
                <w:rFonts w:ascii="Arial" w:hAnsi="Arial" w:cs="Arial"/>
                <w:sz w:val="20"/>
                <w:szCs w:val="20"/>
              </w:rPr>
            </w:pPr>
            <w:r>
              <w:rPr>
                <w:rFonts w:ascii="Arial" w:hAnsi="Arial" w:cs="Arial"/>
                <w:sz w:val="20"/>
                <w:szCs w:val="20"/>
              </w:rPr>
              <w:t xml:space="preserve">10.7 </w:t>
            </w:r>
          </w:p>
        </w:tc>
        <w:tc>
          <w:tcPr>
            <w:tcW w:w="1389" w:type="dxa"/>
            <w:vAlign w:val="bottom"/>
          </w:tcPr>
          <w:p w:rsidR="003B0815" w:rsidRDefault="003B0815" w14:paraId="08C3A4F1" w14:textId="77777777">
            <w:pPr>
              <w:keepNext/>
              <w:jc w:val="right"/>
              <w:rPr>
                <w:rFonts w:ascii="Arial" w:hAnsi="Arial" w:cs="Arial"/>
                <w:sz w:val="20"/>
                <w:szCs w:val="20"/>
              </w:rPr>
            </w:pPr>
            <w:r>
              <w:rPr>
                <w:rFonts w:ascii="Arial" w:hAnsi="Arial" w:cs="Arial"/>
                <w:sz w:val="20"/>
                <w:szCs w:val="20"/>
              </w:rPr>
              <w:t xml:space="preserve">13.6 </w:t>
            </w:r>
          </w:p>
        </w:tc>
        <w:tc>
          <w:tcPr>
            <w:tcW w:w="1614" w:type="dxa"/>
            <w:vAlign w:val="bottom"/>
          </w:tcPr>
          <w:p w:rsidR="003B0815" w:rsidRDefault="003B0815" w14:paraId="549B6E8B" w14:textId="77777777">
            <w:pPr>
              <w:keepNext/>
              <w:jc w:val="right"/>
              <w:rPr>
                <w:rFonts w:ascii="Arial" w:hAnsi="Arial" w:cs="Arial"/>
                <w:sz w:val="20"/>
                <w:szCs w:val="20"/>
              </w:rPr>
            </w:pPr>
            <w:r>
              <w:rPr>
                <w:rFonts w:ascii="Arial" w:hAnsi="Arial" w:cs="Arial"/>
                <w:sz w:val="20"/>
                <w:szCs w:val="20"/>
              </w:rPr>
              <w:t xml:space="preserve">37.9 </w:t>
            </w:r>
          </w:p>
        </w:tc>
        <w:tc>
          <w:tcPr>
            <w:tcW w:w="1130" w:type="dxa"/>
            <w:vAlign w:val="bottom"/>
          </w:tcPr>
          <w:p w:rsidR="003B0815" w:rsidRDefault="003B0815" w14:paraId="69EC9ECA" w14:textId="77777777">
            <w:pPr>
              <w:keepNext/>
              <w:jc w:val="right"/>
              <w:rPr>
                <w:rFonts w:ascii="Arial" w:hAnsi="Arial" w:cs="Arial"/>
                <w:sz w:val="20"/>
                <w:szCs w:val="20"/>
              </w:rPr>
            </w:pPr>
            <w:r>
              <w:rPr>
                <w:rFonts w:ascii="Arial" w:hAnsi="Arial" w:cs="Arial"/>
                <w:sz w:val="20"/>
                <w:szCs w:val="20"/>
              </w:rPr>
              <w:t xml:space="preserve">17.3 </w:t>
            </w:r>
          </w:p>
        </w:tc>
        <w:tc>
          <w:tcPr>
            <w:tcW w:w="849" w:type="dxa"/>
            <w:tcBorders>
              <w:right w:val="single" w:color="auto" w:sz="12" w:space="0"/>
            </w:tcBorders>
            <w:shd w:val="clear" w:color="auto" w:fill="CCCCCC"/>
            <w:vAlign w:val="bottom"/>
          </w:tcPr>
          <w:p w:rsidR="003B0815" w:rsidRDefault="003B0815" w14:paraId="3594927C" w14:textId="77777777">
            <w:pPr>
              <w:keepNext/>
              <w:jc w:val="right"/>
              <w:rPr>
                <w:rFonts w:ascii="Arial" w:hAnsi="Arial" w:cs="Arial"/>
                <w:b/>
                <w:bCs/>
                <w:sz w:val="20"/>
                <w:szCs w:val="20"/>
              </w:rPr>
            </w:pPr>
            <w:r>
              <w:rPr>
                <w:rFonts w:ascii="Arial" w:hAnsi="Arial" w:cs="Arial"/>
                <w:b/>
                <w:bCs/>
                <w:sz w:val="20"/>
                <w:szCs w:val="20"/>
              </w:rPr>
              <w:t xml:space="preserve">104.5 </w:t>
            </w:r>
          </w:p>
        </w:tc>
      </w:tr>
      <w:tr w:rsidR="003B0815" w14:paraId="445B944E" w14:textId="77777777">
        <w:trPr>
          <w:jc w:val="center"/>
        </w:trPr>
        <w:tc>
          <w:tcPr>
            <w:tcW w:w="626" w:type="dxa"/>
            <w:tcBorders>
              <w:left w:val="single" w:color="auto" w:sz="12" w:space="0"/>
              <w:bottom w:val="single" w:color="auto" w:sz="4" w:space="0"/>
            </w:tcBorders>
          </w:tcPr>
          <w:p w:rsidR="003B0815" w:rsidRDefault="003B0815" w14:paraId="4F027246" w14:textId="77777777">
            <w:pPr>
              <w:keepNext/>
              <w:jc w:val="center"/>
              <w:rPr>
                <w:rFonts w:ascii="Arial" w:hAnsi="Arial"/>
                <w:sz w:val="20"/>
                <w:szCs w:val="20"/>
              </w:rPr>
            </w:pPr>
            <w:r>
              <w:t>2017</w:t>
            </w:r>
          </w:p>
        </w:tc>
        <w:tc>
          <w:tcPr>
            <w:tcW w:w="1359" w:type="dxa"/>
            <w:tcBorders>
              <w:bottom w:val="single" w:color="auto" w:sz="4" w:space="0"/>
            </w:tcBorders>
            <w:vAlign w:val="bottom"/>
          </w:tcPr>
          <w:p w:rsidR="003B0815" w:rsidRDefault="003B0815" w14:paraId="2BE6D19B" w14:textId="77777777">
            <w:pPr>
              <w:keepNext/>
              <w:jc w:val="right"/>
              <w:rPr>
                <w:rFonts w:ascii="Arial" w:hAnsi="Arial" w:cs="Arial"/>
                <w:sz w:val="20"/>
                <w:szCs w:val="20"/>
              </w:rPr>
            </w:pPr>
            <w:r>
              <w:rPr>
                <w:rFonts w:ascii="Arial" w:hAnsi="Arial" w:cs="Arial"/>
                <w:sz w:val="20"/>
                <w:szCs w:val="20"/>
              </w:rPr>
              <w:t xml:space="preserve">$16.3 </w:t>
            </w:r>
          </w:p>
        </w:tc>
        <w:tc>
          <w:tcPr>
            <w:tcW w:w="1197" w:type="dxa"/>
            <w:tcBorders>
              <w:bottom w:val="single" w:color="auto" w:sz="4" w:space="0"/>
            </w:tcBorders>
            <w:vAlign w:val="bottom"/>
          </w:tcPr>
          <w:p w:rsidR="003B0815" w:rsidRDefault="003B0815" w14:paraId="5103E98B" w14:textId="77777777">
            <w:pPr>
              <w:keepNext/>
              <w:jc w:val="right"/>
              <w:rPr>
                <w:rFonts w:ascii="Arial" w:hAnsi="Arial" w:cs="Arial"/>
                <w:sz w:val="20"/>
                <w:szCs w:val="20"/>
              </w:rPr>
            </w:pPr>
            <w:r>
              <w:rPr>
                <w:rFonts w:ascii="Arial" w:hAnsi="Arial" w:cs="Arial"/>
                <w:sz w:val="20"/>
                <w:szCs w:val="20"/>
              </w:rPr>
              <w:t xml:space="preserve">$12.3 </w:t>
            </w:r>
          </w:p>
        </w:tc>
        <w:tc>
          <w:tcPr>
            <w:tcW w:w="1254" w:type="dxa"/>
            <w:tcBorders>
              <w:bottom w:val="single" w:color="auto" w:sz="4" w:space="0"/>
            </w:tcBorders>
            <w:vAlign w:val="bottom"/>
          </w:tcPr>
          <w:p w:rsidR="003B0815" w:rsidRDefault="003B0815" w14:paraId="1E236937" w14:textId="77777777">
            <w:pPr>
              <w:keepNext/>
              <w:jc w:val="right"/>
              <w:rPr>
                <w:rFonts w:ascii="Arial" w:hAnsi="Arial" w:cs="Arial"/>
                <w:sz w:val="20"/>
                <w:szCs w:val="20"/>
              </w:rPr>
            </w:pPr>
            <w:r>
              <w:rPr>
                <w:rFonts w:ascii="Arial" w:hAnsi="Arial" w:cs="Arial"/>
                <w:sz w:val="20"/>
                <w:szCs w:val="20"/>
              </w:rPr>
              <w:t xml:space="preserve">$11.0 </w:t>
            </w:r>
          </w:p>
        </w:tc>
        <w:tc>
          <w:tcPr>
            <w:tcW w:w="1389" w:type="dxa"/>
            <w:tcBorders>
              <w:bottom w:val="single" w:color="auto" w:sz="4" w:space="0"/>
            </w:tcBorders>
            <w:vAlign w:val="bottom"/>
          </w:tcPr>
          <w:p w:rsidR="003B0815" w:rsidRDefault="003B0815" w14:paraId="4F883626" w14:textId="77777777">
            <w:pPr>
              <w:keepNext/>
              <w:jc w:val="right"/>
              <w:rPr>
                <w:rFonts w:ascii="Arial" w:hAnsi="Arial" w:cs="Arial"/>
                <w:sz w:val="20"/>
                <w:szCs w:val="20"/>
              </w:rPr>
            </w:pPr>
            <w:r>
              <w:rPr>
                <w:rFonts w:ascii="Arial" w:hAnsi="Arial" w:cs="Arial"/>
                <w:sz w:val="20"/>
                <w:szCs w:val="20"/>
              </w:rPr>
              <w:t xml:space="preserve">$14.0 </w:t>
            </w:r>
          </w:p>
        </w:tc>
        <w:tc>
          <w:tcPr>
            <w:tcW w:w="1614" w:type="dxa"/>
            <w:tcBorders>
              <w:bottom w:val="single" w:color="auto" w:sz="4" w:space="0"/>
            </w:tcBorders>
            <w:vAlign w:val="bottom"/>
          </w:tcPr>
          <w:p w:rsidR="003B0815" w:rsidRDefault="003B0815" w14:paraId="37924179" w14:textId="77777777">
            <w:pPr>
              <w:keepNext/>
              <w:jc w:val="right"/>
              <w:rPr>
                <w:rFonts w:ascii="Arial" w:hAnsi="Arial" w:cs="Arial"/>
                <w:sz w:val="20"/>
                <w:szCs w:val="20"/>
              </w:rPr>
            </w:pPr>
            <w:r>
              <w:rPr>
                <w:rFonts w:ascii="Arial" w:hAnsi="Arial" w:cs="Arial"/>
                <w:sz w:val="20"/>
                <w:szCs w:val="20"/>
              </w:rPr>
              <w:t xml:space="preserve">$39.1 </w:t>
            </w:r>
          </w:p>
        </w:tc>
        <w:tc>
          <w:tcPr>
            <w:tcW w:w="1130" w:type="dxa"/>
            <w:tcBorders>
              <w:bottom w:val="single" w:color="auto" w:sz="4" w:space="0"/>
            </w:tcBorders>
            <w:vAlign w:val="bottom"/>
          </w:tcPr>
          <w:p w:rsidR="003B0815" w:rsidRDefault="003B0815" w14:paraId="00E6877E" w14:textId="77777777">
            <w:pPr>
              <w:keepNext/>
              <w:jc w:val="right"/>
              <w:rPr>
                <w:rFonts w:ascii="Arial" w:hAnsi="Arial" w:cs="Arial"/>
                <w:sz w:val="20"/>
                <w:szCs w:val="20"/>
              </w:rPr>
            </w:pPr>
            <w:r>
              <w:rPr>
                <w:rFonts w:ascii="Arial" w:hAnsi="Arial" w:cs="Arial"/>
                <w:sz w:val="20"/>
                <w:szCs w:val="20"/>
              </w:rPr>
              <w:t xml:space="preserve">$17.8 </w:t>
            </w:r>
          </w:p>
        </w:tc>
        <w:tc>
          <w:tcPr>
            <w:tcW w:w="849" w:type="dxa"/>
            <w:tcBorders>
              <w:bottom w:val="single" w:color="auto" w:sz="4" w:space="0"/>
              <w:right w:val="single" w:color="auto" w:sz="12" w:space="0"/>
            </w:tcBorders>
            <w:shd w:val="clear" w:color="auto" w:fill="CCCCCC"/>
            <w:vAlign w:val="bottom"/>
          </w:tcPr>
          <w:p w:rsidR="003B0815" w:rsidRDefault="003B0815" w14:paraId="26E899A8" w14:textId="77777777">
            <w:pPr>
              <w:keepNext/>
              <w:jc w:val="right"/>
              <w:rPr>
                <w:rFonts w:ascii="Arial" w:hAnsi="Arial" w:cs="Arial"/>
                <w:b/>
                <w:bCs/>
                <w:sz w:val="20"/>
                <w:szCs w:val="20"/>
              </w:rPr>
            </w:pPr>
            <w:r>
              <w:rPr>
                <w:rFonts w:ascii="Arial" w:hAnsi="Arial" w:cs="Arial"/>
                <w:b/>
                <w:bCs/>
                <w:sz w:val="20"/>
                <w:szCs w:val="20"/>
              </w:rPr>
              <w:t xml:space="preserve">$110.5 </w:t>
            </w:r>
          </w:p>
        </w:tc>
      </w:tr>
      <w:tr w:rsidR="003B0815" w14:paraId="204CCBEB" w14:textId="77777777">
        <w:trPr>
          <w:jc w:val="center"/>
        </w:trPr>
        <w:tc>
          <w:tcPr>
            <w:tcW w:w="626" w:type="dxa"/>
            <w:tcBorders>
              <w:left w:val="single" w:color="auto" w:sz="12" w:space="0"/>
              <w:bottom w:val="single" w:color="auto" w:sz="12" w:space="0"/>
              <w:right w:val="nil"/>
            </w:tcBorders>
            <w:vAlign w:val="bottom"/>
          </w:tcPr>
          <w:p w:rsidR="003B0815" w:rsidRDefault="003B0815" w14:paraId="08554440" w14:textId="77777777">
            <w:pPr>
              <w:keepNext/>
              <w:jc w:val="center"/>
              <w:rPr>
                <w:rFonts w:ascii="Arial" w:hAnsi="Arial"/>
                <w:b/>
                <w:sz w:val="20"/>
                <w:szCs w:val="20"/>
              </w:rPr>
            </w:pPr>
            <w:r>
              <w:rPr>
                <w:rFonts w:ascii="Arial" w:hAnsi="Arial"/>
                <w:b/>
                <w:sz w:val="20"/>
                <w:szCs w:val="20"/>
              </w:rPr>
              <w:t>Total</w:t>
            </w:r>
          </w:p>
        </w:tc>
        <w:tc>
          <w:tcPr>
            <w:tcW w:w="1359" w:type="dxa"/>
            <w:tcBorders>
              <w:left w:val="nil"/>
              <w:bottom w:val="single" w:color="auto" w:sz="12" w:space="0"/>
              <w:right w:val="nil"/>
            </w:tcBorders>
            <w:vAlign w:val="bottom"/>
          </w:tcPr>
          <w:p w:rsidR="003B0815" w:rsidRDefault="003B0815" w14:paraId="4A280731" w14:textId="77777777">
            <w:pPr>
              <w:keepNext/>
              <w:jc w:val="right"/>
              <w:rPr>
                <w:rFonts w:ascii="Arial" w:hAnsi="Arial" w:cs="Arial"/>
                <w:b/>
                <w:sz w:val="20"/>
                <w:szCs w:val="20"/>
              </w:rPr>
            </w:pPr>
            <w:r>
              <w:rPr>
                <w:rFonts w:ascii="Arial" w:hAnsi="Arial" w:cs="Arial"/>
                <w:sz w:val="20"/>
                <w:szCs w:val="20"/>
              </w:rPr>
              <w:t> </w:t>
            </w:r>
          </w:p>
        </w:tc>
        <w:tc>
          <w:tcPr>
            <w:tcW w:w="1197" w:type="dxa"/>
            <w:tcBorders>
              <w:left w:val="nil"/>
              <w:bottom w:val="single" w:color="auto" w:sz="12" w:space="0"/>
              <w:right w:val="nil"/>
            </w:tcBorders>
            <w:vAlign w:val="bottom"/>
          </w:tcPr>
          <w:p w:rsidR="003B0815" w:rsidRDefault="003B0815" w14:paraId="7CA8C8A0" w14:textId="77777777">
            <w:pPr>
              <w:keepNext/>
              <w:jc w:val="right"/>
              <w:rPr>
                <w:rFonts w:ascii="Arial" w:hAnsi="Arial" w:cs="Arial"/>
                <w:b/>
                <w:sz w:val="20"/>
                <w:szCs w:val="20"/>
              </w:rPr>
            </w:pPr>
            <w:r>
              <w:rPr>
                <w:rFonts w:ascii="Arial" w:hAnsi="Arial" w:cs="Arial"/>
                <w:sz w:val="20"/>
                <w:szCs w:val="20"/>
              </w:rPr>
              <w:t> </w:t>
            </w:r>
          </w:p>
        </w:tc>
        <w:tc>
          <w:tcPr>
            <w:tcW w:w="1254" w:type="dxa"/>
            <w:tcBorders>
              <w:left w:val="nil"/>
              <w:bottom w:val="single" w:color="auto" w:sz="12" w:space="0"/>
              <w:right w:val="nil"/>
            </w:tcBorders>
            <w:vAlign w:val="bottom"/>
          </w:tcPr>
          <w:p w:rsidR="003B0815" w:rsidRDefault="003B0815" w14:paraId="72259C8E" w14:textId="77777777">
            <w:pPr>
              <w:keepNext/>
              <w:jc w:val="right"/>
              <w:rPr>
                <w:rFonts w:ascii="Arial" w:hAnsi="Arial" w:cs="Arial"/>
                <w:b/>
                <w:sz w:val="20"/>
                <w:szCs w:val="20"/>
              </w:rPr>
            </w:pPr>
            <w:r>
              <w:rPr>
                <w:rFonts w:ascii="Arial" w:hAnsi="Arial" w:cs="Arial"/>
                <w:sz w:val="20"/>
                <w:szCs w:val="20"/>
              </w:rPr>
              <w:t> </w:t>
            </w:r>
          </w:p>
        </w:tc>
        <w:tc>
          <w:tcPr>
            <w:tcW w:w="1389" w:type="dxa"/>
            <w:tcBorders>
              <w:left w:val="nil"/>
              <w:bottom w:val="single" w:color="auto" w:sz="12" w:space="0"/>
              <w:right w:val="nil"/>
            </w:tcBorders>
            <w:vAlign w:val="bottom"/>
          </w:tcPr>
          <w:p w:rsidR="003B0815" w:rsidRDefault="003B0815" w14:paraId="27F3EC4C" w14:textId="77777777">
            <w:pPr>
              <w:keepNext/>
              <w:jc w:val="right"/>
              <w:rPr>
                <w:rFonts w:ascii="Arial" w:hAnsi="Arial" w:cs="Arial"/>
                <w:b/>
                <w:sz w:val="20"/>
                <w:szCs w:val="20"/>
              </w:rPr>
            </w:pPr>
            <w:r>
              <w:rPr>
                <w:rFonts w:ascii="Arial" w:hAnsi="Arial" w:cs="Arial"/>
                <w:sz w:val="20"/>
                <w:szCs w:val="20"/>
              </w:rPr>
              <w:t> </w:t>
            </w:r>
          </w:p>
        </w:tc>
        <w:tc>
          <w:tcPr>
            <w:tcW w:w="1614" w:type="dxa"/>
            <w:tcBorders>
              <w:left w:val="nil"/>
              <w:bottom w:val="single" w:color="auto" w:sz="12" w:space="0"/>
              <w:right w:val="nil"/>
            </w:tcBorders>
            <w:vAlign w:val="bottom"/>
          </w:tcPr>
          <w:p w:rsidR="003B0815" w:rsidRDefault="003B0815" w14:paraId="53BCEB10" w14:textId="77777777">
            <w:pPr>
              <w:keepNext/>
              <w:jc w:val="right"/>
              <w:rPr>
                <w:rFonts w:ascii="Arial" w:hAnsi="Arial" w:cs="Arial"/>
                <w:b/>
                <w:sz w:val="20"/>
                <w:szCs w:val="20"/>
              </w:rPr>
            </w:pPr>
            <w:r>
              <w:rPr>
                <w:rFonts w:ascii="Arial" w:hAnsi="Arial" w:cs="Arial"/>
                <w:sz w:val="20"/>
                <w:szCs w:val="20"/>
              </w:rPr>
              <w:t> </w:t>
            </w:r>
          </w:p>
        </w:tc>
        <w:tc>
          <w:tcPr>
            <w:tcW w:w="1130" w:type="dxa"/>
            <w:tcBorders>
              <w:left w:val="nil"/>
              <w:bottom w:val="single" w:color="auto" w:sz="12" w:space="0"/>
              <w:right w:val="nil"/>
            </w:tcBorders>
            <w:vAlign w:val="bottom"/>
          </w:tcPr>
          <w:p w:rsidR="003B0815" w:rsidRDefault="003B0815" w14:paraId="11929B48" w14:textId="77777777">
            <w:pPr>
              <w:keepNext/>
              <w:jc w:val="right"/>
              <w:rPr>
                <w:rFonts w:ascii="Arial" w:hAnsi="Arial" w:cs="Arial"/>
                <w:b/>
                <w:sz w:val="20"/>
                <w:szCs w:val="20"/>
              </w:rPr>
            </w:pPr>
            <w:r>
              <w:rPr>
                <w:rFonts w:ascii="Arial" w:hAnsi="Arial" w:cs="Arial"/>
                <w:sz w:val="20"/>
                <w:szCs w:val="20"/>
              </w:rPr>
              <w:t> </w:t>
            </w:r>
          </w:p>
        </w:tc>
        <w:tc>
          <w:tcPr>
            <w:tcW w:w="849" w:type="dxa"/>
            <w:tcBorders>
              <w:left w:val="nil"/>
              <w:bottom w:val="single" w:color="auto" w:sz="12" w:space="0"/>
              <w:right w:val="single" w:color="auto" w:sz="12" w:space="0"/>
            </w:tcBorders>
            <w:vAlign w:val="bottom"/>
          </w:tcPr>
          <w:p w:rsidR="003B0815" w:rsidRDefault="003B0815" w14:paraId="405BE429" w14:textId="77777777">
            <w:pPr>
              <w:keepNext/>
              <w:jc w:val="right"/>
              <w:rPr>
                <w:rFonts w:ascii="Arial" w:hAnsi="Arial" w:cs="Arial"/>
                <w:b/>
                <w:bCs/>
                <w:sz w:val="20"/>
                <w:szCs w:val="20"/>
              </w:rPr>
            </w:pPr>
            <w:r>
              <w:rPr>
                <w:rFonts w:ascii="Arial" w:hAnsi="Arial" w:cs="Arial"/>
                <w:b/>
                <w:bCs/>
                <w:sz w:val="20"/>
                <w:szCs w:val="20"/>
              </w:rPr>
              <w:t xml:space="preserve">$940.3 </w:t>
            </w:r>
          </w:p>
        </w:tc>
      </w:tr>
      <w:tr w:rsidR="003B0815" w14:paraId="1CF72A6F" w14:textId="77777777">
        <w:trPr>
          <w:jc w:val="center"/>
        </w:trPr>
        <w:tc>
          <w:tcPr>
            <w:tcW w:w="9418" w:type="dxa"/>
            <w:gridSpan w:val="8"/>
            <w:tcBorders>
              <w:top w:val="single" w:color="auto" w:sz="12" w:space="0"/>
              <w:left w:val="nil"/>
              <w:bottom w:val="nil"/>
              <w:right w:val="nil"/>
            </w:tcBorders>
            <w:vAlign w:val="bottom"/>
          </w:tcPr>
          <w:p w:rsidR="003B0815" w:rsidRDefault="003B0815" w14:paraId="3D37B3BD" w14:textId="77777777">
            <w:pPr>
              <w:keepNext/>
              <w:rPr>
                <w:rFonts w:ascii="Arial" w:hAnsi="Arial" w:cs="Arial"/>
                <w:bCs/>
                <w:sz w:val="20"/>
                <w:szCs w:val="20"/>
              </w:rPr>
            </w:pPr>
            <w:r>
              <w:rPr>
                <w:rFonts w:ascii="Arial" w:hAnsi="Arial" w:cs="Arial"/>
                <w:bCs/>
                <w:sz w:val="20"/>
                <w:szCs w:val="20"/>
              </w:rPr>
              <w:t>* Totals may not sum due to rounding.</w:t>
            </w:r>
          </w:p>
        </w:tc>
      </w:tr>
    </w:tbl>
    <w:p w:rsidR="003B0815" w:rsidRDefault="003B0815" w14:paraId="5123B6D2" w14:textId="77777777">
      <w:pPr>
        <w:spacing w:line="360" w:lineRule="auto"/>
        <w:ind w:firstLine="720"/>
      </w:pPr>
    </w:p>
    <w:p w:rsidR="003B0815" w:rsidRDefault="003B0815" w14:paraId="62296F9A" w14:textId="77777777">
      <w:pPr>
        <w:keepNext/>
        <w:spacing w:line="360" w:lineRule="auto"/>
        <w:rPr>
          <w:i/>
          <w:u w:val="single"/>
        </w:rPr>
      </w:pPr>
      <w:bookmarkStart w:name="OLE_LINK11" w:id="333"/>
      <w:bookmarkStart w:name="OLE_LINK18" w:id="334"/>
      <w:r>
        <w:rPr>
          <w:i/>
          <w:u w:val="single"/>
        </w:rPr>
        <w:t xml:space="preserve">Verifying </w:t>
      </w:r>
      <w:smartTag w:uri="urn:schemas-microsoft-com:office:smarttags" w:element="place">
        <w:smartTag w:uri="urn:schemas-microsoft-com:office:smarttags" w:element="PlaceName">
          <w:r>
            <w:rPr>
              <w:i/>
              <w:u w:val="single"/>
            </w:rPr>
            <w:t>Boarding</w:t>
          </w:r>
        </w:smartTag>
        <w:r>
          <w:rPr>
            <w:i/>
            <w:u w:val="single"/>
          </w:rPr>
          <w:t xml:space="preserve"> </w:t>
        </w:r>
        <w:smartTag w:uri="urn:schemas-microsoft-com:office:smarttags" w:element="PlaceType">
          <w:r>
            <w:rPr>
              <w:i/>
              <w:u w:val="single"/>
            </w:rPr>
            <w:t>Pass</w:t>
          </w:r>
        </w:smartTag>
      </w:smartTag>
      <w:r>
        <w:rPr>
          <w:i/>
          <w:u w:val="single"/>
        </w:rPr>
        <w:t xml:space="preserve"> Codes at Checkpoints</w:t>
      </w:r>
    </w:p>
    <w:p w:rsidR="003B0815" w:rsidRDefault="003B0815" w14:paraId="6AAB5490" w14:textId="77777777">
      <w:pPr>
        <w:spacing w:line="360" w:lineRule="auto"/>
        <w:ind w:firstLine="720"/>
      </w:pPr>
      <w:r>
        <w:t>TSA is considering the introduction of boarding pass coding to reinforce the integrity of the airline boarding pass and checkpoint identification requirements.  Coding can take various formats and provides an efficient means to both encrypt and process information.  The most common formats are bar codes (typically acquired by bar code scanners) and alpha-numeric character strings (typically captured by optical character readers).  The use of coding is ubiquitous; applications and benefits are already well known to the stakeholders in the air domain, as well as other sectors.  For the purpose of the analysis in this section TSA focused on the bar code and the bar code scanner; however, employing an alpha-numeric character string and optical character reader would yield similar results.</w:t>
      </w:r>
    </w:p>
    <w:p w:rsidR="003B0815" w:rsidRDefault="003B0815" w14:paraId="49D80E8D" w14:textId="77777777">
      <w:pPr>
        <w:spacing w:line="360" w:lineRule="auto"/>
        <w:ind w:firstLine="720"/>
      </w:pPr>
      <w:r>
        <w:t>While TSA proposed in the NPRM that airlines should have to print a separate code on boarding passes that will contain information provided in the Secure Flight message response for each passenger, the agency has not settled upon a specific means of implementing this requirement at the checkpoints.  TSA estimated three possible scenarios by which this may be implemented.  In the low scenario, these codes are assumed to be optical character codes which checkpoint personnel will be trained to read.</w:t>
      </w:r>
      <w:r>
        <w:rPr>
          <w:rFonts w:ascii="Arial" w:hAnsi="Arial" w:cs="Arial"/>
          <w:color w:val="FF0000"/>
          <w:sz w:val="20"/>
          <w:szCs w:val="20"/>
        </w:rPr>
        <w:t xml:space="preserve">  </w:t>
      </w:r>
      <w:r>
        <w:t>TSA assumed training checkpoint personnel to read these codes will be worked into existing staff briefings and will not result in incremental costs.  Thus, costs are discussed below only for the primary and high scenarios.  In the primary scenario, TSA assumed handheld scanners will be used to verify a unique and variable algorithm generated by Secure Flight and printed on the boarding pass.  In the high scenario, TSA assumed these scanners have a live connection to the Secure Flight system.  Under this high scenario, when the Secure Flight code is scanned, the reader will display the ID information and watch list status for that passenger.  TSA emphasizes that the bar codes themselves contain no personally identifying passenger information.</w:t>
      </w:r>
    </w:p>
    <w:bookmarkEnd w:id="333"/>
    <w:bookmarkEnd w:id="334"/>
    <w:p w:rsidR="003B0815" w:rsidRDefault="003B0815" w14:paraId="00B302D4" w14:textId="77777777">
      <w:pPr>
        <w:spacing w:line="360" w:lineRule="auto"/>
        <w:ind w:firstLine="720"/>
      </w:pPr>
      <w:r>
        <w:t>Typically, bar code scanning is supported by an integrated set of equipment:  the scanner, the recharging cradle, and the central processing unit (CPU) providing communication links, commonly referred to as a server.  To estimate the cost of scanning barcodes, TSA calculated the number of each type of inventory needed to support barcode scanning.  Screening operations are currently conducted at 805 checkpoints around the country.</w:t>
      </w:r>
      <w:r>
        <w:rPr>
          <w:rStyle w:val="FootnoteReference"/>
        </w:rPr>
        <w:footnoteReference w:id="35"/>
      </w:r>
      <w:r>
        <w:t xml:space="preserve">  Assuming that each checkpoint has two employees examining boarding passes and identification documents, there is a need for 1,600 scanners available for operations at a given time.  Some proportion of scanners will be unavailable for use at any given time, however, because scanner batteries may need to be recharged, some scanners may become damaged or require routine maintenance, etc.  TSA estimates that the inventory needs to be 1.5 times the number of scanners that need to be available for use.  As a result, checkpoints need an inventory of 2,400 scanners.  Each of these scanners will have a dedicated station, or cradle, where the batteries recharge and synchronization with the server will occur, if necessary.  Each cradle holds up to 4 scanners.</w:t>
      </w:r>
      <w:r>
        <w:rPr>
          <w:rStyle w:val="FootnoteReference"/>
        </w:rPr>
        <w:footnoteReference w:id="36"/>
      </w:r>
      <w:r>
        <w:t xml:space="preserve">  A total of 805 cradles could house all the scanners for each checkpoint.  Finally, 805 servers will be needed, one for each checkpoint, to interface with the cradles and to facilitate either real-time or periodic synchronization of scanners with the Secure Flight program.  Table 1.6.5.b shows the detailed inventory requirements.</w:t>
      </w:r>
    </w:p>
    <w:tbl>
      <w:tblPr>
        <w:tblW w:w="5636" w:type="dxa"/>
        <w:jc w:val="center"/>
        <w:tblLook w:val="0000" w:firstRow="0" w:lastRow="0" w:firstColumn="0" w:lastColumn="0" w:noHBand="0" w:noVBand="0"/>
      </w:tblPr>
      <w:tblGrid>
        <w:gridCol w:w="328"/>
        <w:gridCol w:w="4228"/>
        <w:gridCol w:w="1080"/>
      </w:tblGrid>
      <w:tr w:rsidR="003B0815" w14:paraId="48B32B36" w14:textId="77777777">
        <w:trPr>
          <w:trHeight w:val="270"/>
          <w:jc w:val="center"/>
        </w:trPr>
        <w:tc>
          <w:tcPr>
            <w:tcW w:w="5636" w:type="dxa"/>
            <w:gridSpan w:val="3"/>
            <w:tcBorders>
              <w:top w:val="nil"/>
              <w:left w:val="nil"/>
              <w:bottom w:val="single" w:color="auto" w:sz="12" w:space="0"/>
              <w:right w:val="nil"/>
            </w:tcBorders>
            <w:noWrap/>
            <w:vAlign w:val="bottom"/>
          </w:tcPr>
          <w:p w:rsidR="003B0815" w:rsidRDefault="003B0815" w14:paraId="6E803D0E" w14:textId="77777777">
            <w:pPr>
              <w:pStyle w:val="RegEvalTableHeader"/>
              <w:keepNext/>
            </w:pPr>
            <w:bookmarkStart w:name="_Toc165278393" w:id="335"/>
            <w:bookmarkStart w:name="_Toc174438395" w:id="336"/>
            <w:bookmarkStart w:name="_Toc207109532" w:id="337"/>
            <w:r>
              <w:t>Table 1.6.5.b  Calculation of Inventory Needed</w:t>
            </w:r>
            <w:bookmarkEnd w:id="335"/>
            <w:bookmarkEnd w:id="336"/>
            <w:bookmarkEnd w:id="337"/>
          </w:p>
        </w:tc>
      </w:tr>
      <w:tr w:rsidR="003B0815" w14:paraId="7E4AA4F6" w14:textId="77777777">
        <w:trPr>
          <w:trHeight w:val="255"/>
          <w:jc w:val="center"/>
        </w:trPr>
        <w:tc>
          <w:tcPr>
            <w:tcW w:w="328" w:type="dxa"/>
            <w:tcBorders>
              <w:top w:val="single" w:color="auto" w:sz="12" w:space="0"/>
              <w:left w:val="single" w:color="auto" w:sz="12" w:space="0"/>
              <w:bottom w:val="nil"/>
              <w:right w:val="nil"/>
            </w:tcBorders>
            <w:noWrap/>
            <w:vAlign w:val="bottom"/>
          </w:tcPr>
          <w:p w:rsidR="003B0815" w:rsidRDefault="003B0815" w14:paraId="1C8D9601" w14:textId="77777777">
            <w:pPr>
              <w:keepNext/>
              <w:rPr>
                <w:rFonts w:ascii="Arial" w:hAnsi="Arial" w:cs="Arial"/>
                <w:sz w:val="20"/>
                <w:szCs w:val="20"/>
              </w:rPr>
            </w:pPr>
            <w:r>
              <w:rPr>
                <w:rFonts w:ascii="Arial" w:hAnsi="Arial" w:cs="Arial"/>
                <w:sz w:val="20"/>
                <w:szCs w:val="20"/>
              </w:rPr>
              <w:t>a</w:t>
            </w:r>
          </w:p>
        </w:tc>
        <w:tc>
          <w:tcPr>
            <w:tcW w:w="4228" w:type="dxa"/>
            <w:tcBorders>
              <w:top w:val="single" w:color="auto" w:sz="12" w:space="0"/>
              <w:left w:val="nil"/>
              <w:bottom w:val="nil"/>
              <w:right w:val="nil"/>
            </w:tcBorders>
            <w:noWrap/>
            <w:vAlign w:val="bottom"/>
          </w:tcPr>
          <w:p w:rsidR="003B0815" w:rsidRDefault="003B0815" w14:paraId="7EC0609A" w14:textId="77777777">
            <w:pPr>
              <w:keepNext/>
              <w:rPr>
                <w:rFonts w:ascii="Arial" w:hAnsi="Arial" w:cs="Arial"/>
                <w:sz w:val="20"/>
                <w:szCs w:val="20"/>
              </w:rPr>
            </w:pPr>
            <w:r>
              <w:rPr>
                <w:rFonts w:ascii="Arial" w:hAnsi="Arial" w:cs="Arial"/>
                <w:sz w:val="20"/>
                <w:szCs w:val="20"/>
              </w:rPr>
              <w:t>Screening Checkpoints</w:t>
            </w:r>
          </w:p>
        </w:tc>
        <w:tc>
          <w:tcPr>
            <w:tcW w:w="1080" w:type="dxa"/>
            <w:tcBorders>
              <w:top w:val="single" w:color="auto" w:sz="12" w:space="0"/>
              <w:left w:val="nil"/>
              <w:bottom w:val="nil"/>
              <w:right w:val="single" w:color="auto" w:sz="12" w:space="0"/>
            </w:tcBorders>
            <w:noWrap/>
            <w:vAlign w:val="bottom"/>
          </w:tcPr>
          <w:p w:rsidR="003B0815" w:rsidRDefault="003B0815" w14:paraId="3546F5A6" w14:textId="77777777">
            <w:pPr>
              <w:keepNext/>
              <w:jc w:val="right"/>
              <w:rPr>
                <w:rFonts w:ascii="Arial" w:hAnsi="Arial" w:cs="Arial"/>
                <w:sz w:val="20"/>
                <w:szCs w:val="20"/>
              </w:rPr>
            </w:pPr>
            <w:r>
              <w:rPr>
                <w:rFonts w:ascii="Arial" w:hAnsi="Arial" w:cs="Arial"/>
                <w:sz w:val="20"/>
                <w:szCs w:val="20"/>
              </w:rPr>
              <w:t>805</w:t>
            </w:r>
          </w:p>
        </w:tc>
      </w:tr>
      <w:tr w:rsidR="003B0815" w14:paraId="6E56C977" w14:textId="77777777">
        <w:trPr>
          <w:trHeight w:val="255"/>
          <w:jc w:val="center"/>
        </w:trPr>
        <w:tc>
          <w:tcPr>
            <w:tcW w:w="328" w:type="dxa"/>
            <w:tcBorders>
              <w:top w:val="nil"/>
              <w:left w:val="single" w:color="auto" w:sz="12" w:space="0"/>
              <w:bottom w:val="nil"/>
              <w:right w:val="nil"/>
            </w:tcBorders>
            <w:noWrap/>
            <w:vAlign w:val="bottom"/>
          </w:tcPr>
          <w:p w:rsidR="003B0815" w:rsidRDefault="003B0815" w14:paraId="10A77266" w14:textId="77777777">
            <w:pPr>
              <w:keepNext/>
              <w:rPr>
                <w:rFonts w:ascii="Arial" w:hAnsi="Arial" w:cs="Arial"/>
                <w:sz w:val="20"/>
                <w:szCs w:val="20"/>
              </w:rPr>
            </w:pPr>
            <w:r>
              <w:rPr>
                <w:rFonts w:ascii="Arial" w:hAnsi="Arial" w:cs="Arial"/>
                <w:sz w:val="20"/>
                <w:szCs w:val="20"/>
              </w:rPr>
              <w:t>b</w:t>
            </w:r>
          </w:p>
        </w:tc>
        <w:tc>
          <w:tcPr>
            <w:tcW w:w="4228" w:type="dxa"/>
            <w:tcBorders>
              <w:top w:val="nil"/>
              <w:left w:val="nil"/>
              <w:bottom w:val="nil"/>
              <w:right w:val="nil"/>
            </w:tcBorders>
            <w:noWrap/>
            <w:vAlign w:val="bottom"/>
          </w:tcPr>
          <w:p w:rsidR="003B0815" w:rsidRDefault="003B0815" w14:paraId="02DC5E71" w14:textId="77777777">
            <w:pPr>
              <w:keepNext/>
              <w:rPr>
                <w:rFonts w:ascii="Arial" w:hAnsi="Arial" w:cs="Arial"/>
                <w:sz w:val="20"/>
                <w:szCs w:val="20"/>
              </w:rPr>
            </w:pPr>
            <w:r>
              <w:rPr>
                <w:rFonts w:ascii="Arial" w:hAnsi="Arial" w:cs="Arial"/>
                <w:sz w:val="20"/>
                <w:szCs w:val="20"/>
              </w:rPr>
              <w:t>Average ID Checkers per Checkpoint</w:t>
            </w:r>
          </w:p>
        </w:tc>
        <w:tc>
          <w:tcPr>
            <w:tcW w:w="1080" w:type="dxa"/>
            <w:tcBorders>
              <w:top w:val="nil"/>
              <w:left w:val="nil"/>
              <w:bottom w:val="nil"/>
              <w:right w:val="single" w:color="auto" w:sz="12" w:space="0"/>
            </w:tcBorders>
            <w:noWrap/>
            <w:vAlign w:val="bottom"/>
          </w:tcPr>
          <w:p w:rsidR="003B0815" w:rsidRDefault="003B0815" w14:paraId="5B1FCF0B" w14:textId="77777777">
            <w:pPr>
              <w:keepNext/>
              <w:jc w:val="right"/>
              <w:rPr>
                <w:rFonts w:ascii="Arial" w:hAnsi="Arial" w:cs="Arial"/>
                <w:sz w:val="20"/>
                <w:szCs w:val="20"/>
              </w:rPr>
            </w:pPr>
            <w:r>
              <w:rPr>
                <w:rFonts w:ascii="Arial" w:hAnsi="Arial" w:cs="Arial"/>
                <w:sz w:val="20"/>
                <w:szCs w:val="20"/>
              </w:rPr>
              <w:t>2</w:t>
            </w:r>
          </w:p>
        </w:tc>
      </w:tr>
      <w:tr w:rsidR="003B0815" w14:paraId="215912FD" w14:textId="77777777">
        <w:trPr>
          <w:trHeight w:val="255"/>
          <w:jc w:val="center"/>
        </w:trPr>
        <w:tc>
          <w:tcPr>
            <w:tcW w:w="328" w:type="dxa"/>
            <w:tcBorders>
              <w:top w:val="nil"/>
              <w:left w:val="single" w:color="auto" w:sz="12" w:space="0"/>
              <w:bottom w:val="nil"/>
              <w:right w:val="nil"/>
            </w:tcBorders>
            <w:noWrap/>
            <w:vAlign w:val="bottom"/>
          </w:tcPr>
          <w:p w:rsidR="003B0815" w:rsidRDefault="003B0815" w14:paraId="127BBD5D" w14:textId="77777777">
            <w:pPr>
              <w:keepNext/>
              <w:rPr>
                <w:rFonts w:ascii="Arial" w:hAnsi="Arial" w:cs="Arial"/>
                <w:sz w:val="20"/>
                <w:szCs w:val="20"/>
              </w:rPr>
            </w:pPr>
            <w:r>
              <w:rPr>
                <w:rFonts w:ascii="Arial" w:hAnsi="Arial" w:cs="Arial"/>
                <w:sz w:val="20"/>
                <w:szCs w:val="20"/>
              </w:rPr>
              <w:t>c</w:t>
            </w:r>
          </w:p>
        </w:tc>
        <w:tc>
          <w:tcPr>
            <w:tcW w:w="4228" w:type="dxa"/>
            <w:tcBorders>
              <w:top w:val="nil"/>
              <w:left w:val="nil"/>
              <w:bottom w:val="nil"/>
              <w:right w:val="nil"/>
            </w:tcBorders>
            <w:noWrap/>
            <w:vAlign w:val="bottom"/>
          </w:tcPr>
          <w:p w:rsidR="003B0815" w:rsidRDefault="003B0815" w14:paraId="301C5840" w14:textId="77777777">
            <w:pPr>
              <w:keepNext/>
              <w:rPr>
                <w:rFonts w:ascii="Arial" w:hAnsi="Arial" w:cs="Arial"/>
                <w:sz w:val="20"/>
                <w:szCs w:val="20"/>
              </w:rPr>
            </w:pPr>
            <w:r>
              <w:rPr>
                <w:rFonts w:ascii="Arial" w:hAnsi="Arial" w:cs="Arial"/>
                <w:sz w:val="20"/>
                <w:szCs w:val="20"/>
              </w:rPr>
              <w:t>Scanners in operation (= a * b )</w:t>
            </w:r>
          </w:p>
        </w:tc>
        <w:tc>
          <w:tcPr>
            <w:tcW w:w="1080" w:type="dxa"/>
            <w:tcBorders>
              <w:top w:val="nil"/>
              <w:left w:val="nil"/>
              <w:bottom w:val="nil"/>
              <w:right w:val="single" w:color="auto" w:sz="12" w:space="0"/>
            </w:tcBorders>
            <w:noWrap/>
            <w:vAlign w:val="bottom"/>
          </w:tcPr>
          <w:p w:rsidR="003B0815" w:rsidRDefault="003B0815" w14:paraId="4A726352" w14:textId="77777777">
            <w:pPr>
              <w:keepNext/>
              <w:jc w:val="right"/>
              <w:rPr>
                <w:rFonts w:ascii="Arial" w:hAnsi="Arial" w:cs="Arial"/>
                <w:sz w:val="20"/>
                <w:szCs w:val="20"/>
              </w:rPr>
            </w:pPr>
            <w:r>
              <w:rPr>
                <w:rFonts w:ascii="Arial" w:hAnsi="Arial" w:cs="Arial"/>
                <w:sz w:val="20"/>
                <w:szCs w:val="20"/>
              </w:rPr>
              <w:t>1,610</w:t>
            </w:r>
          </w:p>
        </w:tc>
      </w:tr>
      <w:tr w:rsidR="003B0815" w14:paraId="4C56E35F" w14:textId="77777777">
        <w:trPr>
          <w:trHeight w:val="255"/>
          <w:jc w:val="center"/>
        </w:trPr>
        <w:tc>
          <w:tcPr>
            <w:tcW w:w="328" w:type="dxa"/>
            <w:tcBorders>
              <w:top w:val="nil"/>
              <w:left w:val="single" w:color="auto" w:sz="12" w:space="0"/>
              <w:bottom w:val="single" w:color="auto" w:sz="8" w:space="0"/>
              <w:right w:val="nil"/>
            </w:tcBorders>
            <w:noWrap/>
            <w:vAlign w:val="bottom"/>
          </w:tcPr>
          <w:p w:rsidR="003B0815" w:rsidRDefault="003B0815" w14:paraId="713A3159" w14:textId="77777777">
            <w:pPr>
              <w:keepNext/>
              <w:rPr>
                <w:rFonts w:ascii="Arial" w:hAnsi="Arial" w:cs="Arial"/>
                <w:sz w:val="20"/>
                <w:szCs w:val="20"/>
              </w:rPr>
            </w:pPr>
            <w:r>
              <w:rPr>
                <w:rFonts w:ascii="Arial" w:hAnsi="Arial" w:cs="Arial"/>
                <w:sz w:val="20"/>
                <w:szCs w:val="20"/>
              </w:rPr>
              <w:t>d</w:t>
            </w:r>
          </w:p>
        </w:tc>
        <w:tc>
          <w:tcPr>
            <w:tcW w:w="4228" w:type="dxa"/>
            <w:tcBorders>
              <w:top w:val="nil"/>
              <w:left w:val="nil"/>
              <w:bottom w:val="single" w:color="auto" w:sz="8" w:space="0"/>
              <w:right w:val="nil"/>
            </w:tcBorders>
            <w:noWrap/>
            <w:vAlign w:val="bottom"/>
          </w:tcPr>
          <w:p w:rsidR="003B0815" w:rsidRDefault="003B0815" w14:paraId="6084216F" w14:textId="77777777">
            <w:pPr>
              <w:keepNext/>
              <w:rPr>
                <w:rFonts w:ascii="Arial" w:hAnsi="Arial" w:cs="Arial"/>
                <w:sz w:val="20"/>
                <w:szCs w:val="20"/>
              </w:rPr>
            </w:pPr>
            <w:r>
              <w:rPr>
                <w:rFonts w:ascii="Arial" w:hAnsi="Arial" w:cs="Arial"/>
                <w:sz w:val="20"/>
                <w:szCs w:val="20"/>
              </w:rPr>
              <w:t>Total scanners needed for each in operation</w:t>
            </w:r>
          </w:p>
        </w:tc>
        <w:tc>
          <w:tcPr>
            <w:tcW w:w="1080" w:type="dxa"/>
            <w:tcBorders>
              <w:top w:val="nil"/>
              <w:left w:val="nil"/>
              <w:bottom w:val="single" w:color="auto" w:sz="8" w:space="0"/>
              <w:right w:val="single" w:color="auto" w:sz="12" w:space="0"/>
            </w:tcBorders>
            <w:noWrap/>
            <w:vAlign w:val="bottom"/>
          </w:tcPr>
          <w:p w:rsidR="003B0815" w:rsidRDefault="003B0815" w14:paraId="48039423" w14:textId="77777777">
            <w:pPr>
              <w:keepNext/>
              <w:jc w:val="right"/>
              <w:rPr>
                <w:rFonts w:ascii="Arial" w:hAnsi="Arial" w:cs="Arial"/>
                <w:sz w:val="20"/>
                <w:szCs w:val="20"/>
              </w:rPr>
            </w:pPr>
            <w:r>
              <w:rPr>
                <w:rFonts w:ascii="Arial" w:hAnsi="Arial" w:cs="Arial"/>
                <w:sz w:val="20"/>
                <w:szCs w:val="20"/>
              </w:rPr>
              <w:t>1.5</w:t>
            </w:r>
          </w:p>
        </w:tc>
      </w:tr>
      <w:tr w:rsidR="003B0815" w14:paraId="69E80F47" w14:textId="77777777">
        <w:trPr>
          <w:trHeight w:val="255"/>
          <w:jc w:val="center"/>
        </w:trPr>
        <w:tc>
          <w:tcPr>
            <w:tcW w:w="328" w:type="dxa"/>
            <w:tcBorders>
              <w:top w:val="single" w:color="auto" w:sz="8" w:space="0"/>
              <w:left w:val="single" w:color="auto" w:sz="12" w:space="0"/>
              <w:bottom w:val="nil"/>
              <w:right w:val="nil"/>
            </w:tcBorders>
            <w:noWrap/>
            <w:vAlign w:val="bottom"/>
          </w:tcPr>
          <w:p w:rsidR="003B0815" w:rsidRDefault="003B0815" w14:paraId="3C5D997D" w14:textId="77777777">
            <w:pPr>
              <w:keepNext/>
              <w:rPr>
                <w:rFonts w:ascii="Arial" w:hAnsi="Arial" w:cs="Arial"/>
                <w:sz w:val="20"/>
                <w:szCs w:val="20"/>
              </w:rPr>
            </w:pPr>
            <w:r>
              <w:rPr>
                <w:rFonts w:ascii="Arial" w:hAnsi="Arial" w:cs="Arial"/>
                <w:sz w:val="20"/>
                <w:szCs w:val="20"/>
              </w:rPr>
              <w:t>e</w:t>
            </w:r>
          </w:p>
        </w:tc>
        <w:tc>
          <w:tcPr>
            <w:tcW w:w="4228" w:type="dxa"/>
            <w:tcBorders>
              <w:top w:val="single" w:color="auto" w:sz="8" w:space="0"/>
              <w:left w:val="nil"/>
              <w:bottom w:val="nil"/>
              <w:right w:val="nil"/>
            </w:tcBorders>
            <w:noWrap/>
            <w:vAlign w:val="bottom"/>
          </w:tcPr>
          <w:p w:rsidR="003B0815" w:rsidRDefault="003B0815" w14:paraId="6DD6326A" w14:textId="77777777">
            <w:pPr>
              <w:keepNext/>
              <w:rPr>
                <w:rFonts w:ascii="Arial" w:hAnsi="Arial" w:cs="Arial"/>
                <w:b/>
                <w:bCs/>
                <w:sz w:val="20"/>
                <w:szCs w:val="20"/>
              </w:rPr>
            </w:pPr>
            <w:r>
              <w:rPr>
                <w:rFonts w:ascii="Arial" w:hAnsi="Arial" w:cs="Arial"/>
                <w:b/>
                <w:bCs/>
                <w:sz w:val="20"/>
                <w:szCs w:val="20"/>
              </w:rPr>
              <w:t>Scanner inventory needed (= c * d )</w:t>
            </w:r>
          </w:p>
        </w:tc>
        <w:tc>
          <w:tcPr>
            <w:tcW w:w="1080" w:type="dxa"/>
            <w:tcBorders>
              <w:top w:val="single" w:color="auto" w:sz="8" w:space="0"/>
              <w:left w:val="nil"/>
              <w:bottom w:val="nil"/>
              <w:right w:val="single" w:color="auto" w:sz="12" w:space="0"/>
            </w:tcBorders>
            <w:noWrap/>
            <w:vAlign w:val="bottom"/>
          </w:tcPr>
          <w:p w:rsidR="003B0815" w:rsidRDefault="003B0815" w14:paraId="4D58FCD3" w14:textId="77777777">
            <w:pPr>
              <w:keepNext/>
              <w:jc w:val="right"/>
              <w:rPr>
                <w:rFonts w:ascii="Arial" w:hAnsi="Arial" w:cs="Arial"/>
                <w:b/>
                <w:bCs/>
                <w:sz w:val="20"/>
                <w:szCs w:val="20"/>
              </w:rPr>
            </w:pPr>
            <w:r>
              <w:rPr>
                <w:rFonts w:ascii="Arial" w:hAnsi="Arial" w:cs="Arial"/>
                <w:b/>
                <w:bCs/>
                <w:sz w:val="20"/>
                <w:szCs w:val="20"/>
              </w:rPr>
              <w:t>2,415</w:t>
            </w:r>
          </w:p>
        </w:tc>
      </w:tr>
      <w:tr w:rsidR="003B0815" w14:paraId="49C7D0B3" w14:textId="77777777">
        <w:trPr>
          <w:trHeight w:val="255"/>
          <w:jc w:val="center"/>
        </w:trPr>
        <w:tc>
          <w:tcPr>
            <w:tcW w:w="328" w:type="dxa"/>
            <w:tcBorders>
              <w:top w:val="nil"/>
              <w:left w:val="single" w:color="auto" w:sz="12" w:space="0"/>
              <w:bottom w:val="nil"/>
              <w:right w:val="nil"/>
            </w:tcBorders>
            <w:noWrap/>
            <w:vAlign w:val="bottom"/>
          </w:tcPr>
          <w:p w:rsidR="003B0815" w:rsidRDefault="003B0815" w14:paraId="069F14D4" w14:textId="77777777">
            <w:pPr>
              <w:keepNext/>
              <w:rPr>
                <w:rFonts w:ascii="Arial" w:hAnsi="Arial" w:cs="Arial"/>
                <w:sz w:val="20"/>
                <w:szCs w:val="20"/>
              </w:rPr>
            </w:pPr>
            <w:r>
              <w:rPr>
                <w:rFonts w:ascii="Arial" w:hAnsi="Arial" w:cs="Arial"/>
                <w:sz w:val="20"/>
                <w:szCs w:val="20"/>
              </w:rPr>
              <w:t> </w:t>
            </w:r>
          </w:p>
        </w:tc>
        <w:tc>
          <w:tcPr>
            <w:tcW w:w="4228" w:type="dxa"/>
            <w:tcBorders>
              <w:top w:val="nil"/>
              <w:left w:val="nil"/>
              <w:bottom w:val="nil"/>
              <w:right w:val="nil"/>
            </w:tcBorders>
            <w:noWrap/>
            <w:vAlign w:val="bottom"/>
          </w:tcPr>
          <w:p w:rsidR="003B0815" w:rsidRDefault="003B0815" w14:paraId="1FEEAA10" w14:textId="77777777">
            <w:pPr>
              <w:keepNext/>
              <w:rPr>
                <w:rFonts w:ascii="Arial" w:hAnsi="Arial" w:cs="Arial"/>
                <w:sz w:val="20"/>
                <w:szCs w:val="20"/>
              </w:rPr>
            </w:pPr>
          </w:p>
        </w:tc>
        <w:tc>
          <w:tcPr>
            <w:tcW w:w="1080" w:type="dxa"/>
            <w:tcBorders>
              <w:top w:val="nil"/>
              <w:left w:val="nil"/>
              <w:bottom w:val="nil"/>
              <w:right w:val="single" w:color="auto" w:sz="12" w:space="0"/>
            </w:tcBorders>
            <w:noWrap/>
            <w:vAlign w:val="bottom"/>
          </w:tcPr>
          <w:p w:rsidR="003B0815" w:rsidRDefault="003B0815" w14:paraId="21FEDF43" w14:textId="77777777">
            <w:pPr>
              <w:keepNext/>
              <w:rPr>
                <w:rFonts w:ascii="Arial" w:hAnsi="Arial" w:cs="Arial"/>
                <w:sz w:val="20"/>
                <w:szCs w:val="20"/>
              </w:rPr>
            </w:pPr>
            <w:r>
              <w:rPr>
                <w:rFonts w:ascii="Arial" w:hAnsi="Arial" w:cs="Arial"/>
                <w:sz w:val="20"/>
                <w:szCs w:val="20"/>
              </w:rPr>
              <w:t> </w:t>
            </w:r>
          </w:p>
        </w:tc>
      </w:tr>
      <w:tr w:rsidR="003B0815" w14:paraId="52CF2A8E" w14:textId="77777777">
        <w:trPr>
          <w:trHeight w:val="255"/>
          <w:jc w:val="center"/>
        </w:trPr>
        <w:tc>
          <w:tcPr>
            <w:tcW w:w="328" w:type="dxa"/>
            <w:tcBorders>
              <w:top w:val="nil"/>
              <w:left w:val="single" w:color="auto" w:sz="12" w:space="0"/>
              <w:bottom w:val="single" w:color="auto" w:sz="8" w:space="0"/>
              <w:right w:val="nil"/>
            </w:tcBorders>
            <w:noWrap/>
            <w:vAlign w:val="bottom"/>
          </w:tcPr>
          <w:p w:rsidR="003B0815" w:rsidRDefault="003B0815" w14:paraId="119E482F" w14:textId="77777777">
            <w:pPr>
              <w:keepNext/>
              <w:rPr>
                <w:rFonts w:ascii="Arial" w:hAnsi="Arial" w:cs="Arial"/>
                <w:sz w:val="20"/>
                <w:szCs w:val="20"/>
              </w:rPr>
            </w:pPr>
            <w:r>
              <w:rPr>
                <w:rFonts w:ascii="Arial" w:hAnsi="Arial" w:cs="Arial"/>
                <w:sz w:val="20"/>
                <w:szCs w:val="20"/>
              </w:rPr>
              <w:t>f</w:t>
            </w:r>
          </w:p>
        </w:tc>
        <w:tc>
          <w:tcPr>
            <w:tcW w:w="4228" w:type="dxa"/>
            <w:tcBorders>
              <w:top w:val="nil"/>
              <w:left w:val="nil"/>
              <w:bottom w:val="single" w:color="auto" w:sz="8" w:space="0"/>
              <w:right w:val="nil"/>
            </w:tcBorders>
            <w:noWrap/>
            <w:vAlign w:val="bottom"/>
          </w:tcPr>
          <w:p w:rsidR="003B0815" w:rsidRDefault="003B0815" w14:paraId="0043EECC" w14:textId="77777777">
            <w:pPr>
              <w:keepNext/>
              <w:rPr>
                <w:rFonts w:ascii="Arial" w:hAnsi="Arial" w:cs="Arial"/>
                <w:sz w:val="20"/>
                <w:szCs w:val="20"/>
              </w:rPr>
            </w:pPr>
            <w:r>
              <w:rPr>
                <w:rFonts w:ascii="Arial" w:hAnsi="Arial" w:cs="Arial"/>
                <w:sz w:val="20"/>
                <w:szCs w:val="20"/>
              </w:rPr>
              <w:t>Scanners per cradle, up to</w:t>
            </w:r>
          </w:p>
        </w:tc>
        <w:tc>
          <w:tcPr>
            <w:tcW w:w="1080" w:type="dxa"/>
            <w:tcBorders>
              <w:top w:val="nil"/>
              <w:left w:val="nil"/>
              <w:bottom w:val="single" w:color="auto" w:sz="8" w:space="0"/>
              <w:right w:val="single" w:color="auto" w:sz="12" w:space="0"/>
            </w:tcBorders>
            <w:noWrap/>
            <w:vAlign w:val="bottom"/>
          </w:tcPr>
          <w:p w:rsidR="003B0815" w:rsidRDefault="003B0815" w14:paraId="492CB2AB" w14:textId="77777777">
            <w:pPr>
              <w:keepNext/>
              <w:jc w:val="right"/>
              <w:rPr>
                <w:rFonts w:ascii="Arial" w:hAnsi="Arial" w:cs="Arial"/>
                <w:sz w:val="20"/>
                <w:szCs w:val="20"/>
              </w:rPr>
            </w:pPr>
            <w:r>
              <w:rPr>
                <w:rFonts w:ascii="Arial" w:hAnsi="Arial" w:cs="Arial"/>
                <w:sz w:val="20"/>
                <w:szCs w:val="20"/>
              </w:rPr>
              <w:t>4</w:t>
            </w:r>
          </w:p>
        </w:tc>
      </w:tr>
      <w:tr w:rsidR="003B0815" w14:paraId="5D31B3CE" w14:textId="77777777">
        <w:trPr>
          <w:trHeight w:val="255"/>
          <w:jc w:val="center"/>
        </w:trPr>
        <w:tc>
          <w:tcPr>
            <w:tcW w:w="328" w:type="dxa"/>
            <w:tcBorders>
              <w:top w:val="single" w:color="auto" w:sz="8" w:space="0"/>
              <w:left w:val="single" w:color="auto" w:sz="12" w:space="0"/>
              <w:bottom w:val="nil"/>
              <w:right w:val="nil"/>
            </w:tcBorders>
            <w:noWrap/>
            <w:vAlign w:val="bottom"/>
          </w:tcPr>
          <w:p w:rsidR="003B0815" w:rsidRDefault="003B0815" w14:paraId="70A0690B" w14:textId="77777777">
            <w:pPr>
              <w:keepNext/>
              <w:rPr>
                <w:rFonts w:ascii="Arial" w:hAnsi="Arial" w:cs="Arial"/>
                <w:sz w:val="20"/>
                <w:szCs w:val="20"/>
              </w:rPr>
            </w:pPr>
            <w:r>
              <w:rPr>
                <w:rFonts w:ascii="Arial" w:hAnsi="Arial" w:cs="Arial"/>
                <w:sz w:val="20"/>
                <w:szCs w:val="20"/>
              </w:rPr>
              <w:t>g</w:t>
            </w:r>
          </w:p>
        </w:tc>
        <w:tc>
          <w:tcPr>
            <w:tcW w:w="4228" w:type="dxa"/>
            <w:tcBorders>
              <w:top w:val="single" w:color="auto" w:sz="8" w:space="0"/>
              <w:left w:val="nil"/>
              <w:bottom w:val="nil"/>
              <w:right w:val="nil"/>
            </w:tcBorders>
            <w:noWrap/>
            <w:vAlign w:val="bottom"/>
          </w:tcPr>
          <w:p w:rsidR="003B0815" w:rsidRDefault="003B0815" w14:paraId="54EAB492" w14:textId="77777777">
            <w:pPr>
              <w:keepNext/>
              <w:rPr>
                <w:rFonts w:ascii="Arial" w:hAnsi="Arial" w:cs="Arial"/>
                <w:b/>
                <w:bCs/>
                <w:sz w:val="20"/>
                <w:szCs w:val="20"/>
              </w:rPr>
            </w:pPr>
            <w:r>
              <w:rPr>
                <w:rFonts w:ascii="Arial" w:hAnsi="Arial" w:cs="Arial"/>
                <w:b/>
                <w:bCs/>
                <w:sz w:val="20"/>
                <w:szCs w:val="20"/>
              </w:rPr>
              <w:t>Cradles needed (1 per checkpoint)</w:t>
            </w:r>
          </w:p>
        </w:tc>
        <w:tc>
          <w:tcPr>
            <w:tcW w:w="1080" w:type="dxa"/>
            <w:tcBorders>
              <w:top w:val="single" w:color="auto" w:sz="8" w:space="0"/>
              <w:left w:val="nil"/>
              <w:bottom w:val="nil"/>
              <w:right w:val="single" w:color="auto" w:sz="12" w:space="0"/>
            </w:tcBorders>
            <w:noWrap/>
            <w:vAlign w:val="bottom"/>
          </w:tcPr>
          <w:p w:rsidR="003B0815" w:rsidRDefault="003B0815" w14:paraId="4B1E1C55" w14:textId="77777777">
            <w:pPr>
              <w:keepNext/>
              <w:jc w:val="right"/>
              <w:rPr>
                <w:rFonts w:ascii="Arial" w:hAnsi="Arial" w:cs="Arial"/>
                <w:b/>
                <w:bCs/>
                <w:sz w:val="20"/>
                <w:szCs w:val="20"/>
              </w:rPr>
            </w:pPr>
            <w:r>
              <w:rPr>
                <w:rFonts w:ascii="Arial" w:hAnsi="Arial" w:cs="Arial"/>
                <w:b/>
                <w:bCs/>
                <w:sz w:val="20"/>
                <w:szCs w:val="20"/>
              </w:rPr>
              <w:t>805</w:t>
            </w:r>
          </w:p>
        </w:tc>
      </w:tr>
      <w:tr w:rsidR="003B0815" w14:paraId="0744E47D" w14:textId="77777777">
        <w:trPr>
          <w:trHeight w:val="255"/>
          <w:jc w:val="center"/>
        </w:trPr>
        <w:tc>
          <w:tcPr>
            <w:tcW w:w="328" w:type="dxa"/>
            <w:tcBorders>
              <w:top w:val="nil"/>
              <w:left w:val="single" w:color="auto" w:sz="12" w:space="0"/>
              <w:bottom w:val="nil"/>
              <w:right w:val="nil"/>
            </w:tcBorders>
            <w:noWrap/>
            <w:vAlign w:val="bottom"/>
          </w:tcPr>
          <w:p w:rsidR="003B0815" w:rsidRDefault="003B0815" w14:paraId="56CBD840" w14:textId="77777777">
            <w:pPr>
              <w:keepNext/>
              <w:rPr>
                <w:rFonts w:ascii="Arial" w:hAnsi="Arial" w:cs="Arial"/>
                <w:sz w:val="20"/>
                <w:szCs w:val="20"/>
              </w:rPr>
            </w:pPr>
            <w:r>
              <w:rPr>
                <w:rFonts w:ascii="Arial" w:hAnsi="Arial" w:cs="Arial"/>
                <w:sz w:val="20"/>
                <w:szCs w:val="20"/>
              </w:rPr>
              <w:t> </w:t>
            </w:r>
          </w:p>
        </w:tc>
        <w:tc>
          <w:tcPr>
            <w:tcW w:w="4228" w:type="dxa"/>
            <w:tcBorders>
              <w:top w:val="nil"/>
              <w:left w:val="nil"/>
              <w:bottom w:val="nil"/>
              <w:right w:val="nil"/>
            </w:tcBorders>
            <w:noWrap/>
            <w:vAlign w:val="bottom"/>
          </w:tcPr>
          <w:p w:rsidR="003B0815" w:rsidRDefault="003B0815" w14:paraId="6533F719" w14:textId="77777777">
            <w:pPr>
              <w:keepNext/>
              <w:rPr>
                <w:rFonts w:ascii="Arial" w:hAnsi="Arial" w:cs="Arial"/>
                <w:sz w:val="20"/>
                <w:szCs w:val="20"/>
              </w:rPr>
            </w:pPr>
          </w:p>
        </w:tc>
        <w:tc>
          <w:tcPr>
            <w:tcW w:w="1080" w:type="dxa"/>
            <w:tcBorders>
              <w:top w:val="nil"/>
              <w:left w:val="nil"/>
              <w:bottom w:val="nil"/>
              <w:right w:val="single" w:color="auto" w:sz="12" w:space="0"/>
            </w:tcBorders>
            <w:noWrap/>
            <w:vAlign w:val="bottom"/>
          </w:tcPr>
          <w:p w:rsidR="003B0815" w:rsidRDefault="003B0815" w14:paraId="159B70D9" w14:textId="77777777">
            <w:pPr>
              <w:keepNext/>
              <w:rPr>
                <w:rFonts w:ascii="Arial" w:hAnsi="Arial" w:cs="Arial"/>
                <w:sz w:val="20"/>
                <w:szCs w:val="20"/>
              </w:rPr>
            </w:pPr>
            <w:r>
              <w:rPr>
                <w:rFonts w:ascii="Arial" w:hAnsi="Arial" w:cs="Arial"/>
                <w:sz w:val="20"/>
                <w:szCs w:val="20"/>
              </w:rPr>
              <w:t> </w:t>
            </w:r>
          </w:p>
        </w:tc>
      </w:tr>
      <w:tr w:rsidR="003B0815" w14:paraId="1068981F" w14:textId="77777777">
        <w:trPr>
          <w:trHeight w:val="255"/>
          <w:jc w:val="center"/>
        </w:trPr>
        <w:tc>
          <w:tcPr>
            <w:tcW w:w="328" w:type="dxa"/>
            <w:tcBorders>
              <w:top w:val="nil"/>
              <w:left w:val="single" w:color="auto" w:sz="12" w:space="0"/>
              <w:bottom w:val="single" w:color="auto" w:sz="8" w:space="0"/>
              <w:right w:val="nil"/>
            </w:tcBorders>
            <w:noWrap/>
            <w:vAlign w:val="bottom"/>
          </w:tcPr>
          <w:p w:rsidR="003B0815" w:rsidRDefault="003B0815" w14:paraId="78FE56F7" w14:textId="77777777">
            <w:pPr>
              <w:keepNext/>
              <w:rPr>
                <w:rFonts w:ascii="Arial" w:hAnsi="Arial" w:cs="Arial"/>
                <w:sz w:val="20"/>
                <w:szCs w:val="20"/>
              </w:rPr>
            </w:pPr>
            <w:r>
              <w:rPr>
                <w:rFonts w:ascii="Arial" w:hAnsi="Arial" w:cs="Arial"/>
                <w:sz w:val="20"/>
                <w:szCs w:val="20"/>
              </w:rPr>
              <w:t>h</w:t>
            </w:r>
          </w:p>
        </w:tc>
        <w:tc>
          <w:tcPr>
            <w:tcW w:w="4228" w:type="dxa"/>
            <w:tcBorders>
              <w:top w:val="nil"/>
              <w:left w:val="nil"/>
              <w:bottom w:val="single" w:color="auto" w:sz="8" w:space="0"/>
              <w:right w:val="nil"/>
            </w:tcBorders>
            <w:noWrap/>
            <w:vAlign w:val="bottom"/>
          </w:tcPr>
          <w:p w:rsidR="003B0815" w:rsidRDefault="003B0815" w14:paraId="505B2D7A" w14:textId="77777777">
            <w:pPr>
              <w:keepNext/>
              <w:rPr>
                <w:rFonts w:ascii="Arial" w:hAnsi="Arial" w:cs="Arial"/>
                <w:sz w:val="20"/>
                <w:szCs w:val="20"/>
              </w:rPr>
            </w:pPr>
            <w:r>
              <w:rPr>
                <w:rFonts w:ascii="Arial" w:hAnsi="Arial" w:cs="Arial"/>
                <w:sz w:val="20"/>
                <w:szCs w:val="20"/>
              </w:rPr>
              <w:t>Cradles per server, up to</w:t>
            </w:r>
          </w:p>
        </w:tc>
        <w:tc>
          <w:tcPr>
            <w:tcW w:w="1080" w:type="dxa"/>
            <w:tcBorders>
              <w:top w:val="nil"/>
              <w:left w:val="nil"/>
              <w:bottom w:val="single" w:color="auto" w:sz="8" w:space="0"/>
              <w:right w:val="single" w:color="auto" w:sz="12" w:space="0"/>
            </w:tcBorders>
            <w:noWrap/>
            <w:vAlign w:val="bottom"/>
          </w:tcPr>
          <w:p w:rsidR="003B0815" w:rsidRDefault="003B0815" w14:paraId="54EC82F3" w14:textId="77777777">
            <w:pPr>
              <w:keepNext/>
              <w:jc w:val="right"/>
              <w:rPr>
                <w:rFonts w:ascii="Arial" w:hAnsi="Arial" w:cs="Arial"/>
                <w:sz w:val="20"/>
                <w:szCs w:val="20"/>
              </w:rPr>
            </w:pPr>
            <w:r>
              <w:rPr>
                <w:rFonts w:ascii="Arial" w:hAnsi="Arial" w:cs="Arial"/>
                <w:sz w:val="20"/>
                <w:szCs w:val="20"/>
              </w:rPr>
              <w:t>4</w:t>
            </w:r>
          </w:p>
        </w:tc>
      </w:tr>
      <w:tr w:rsidR="003B0815" w14:paraId="2F25443C" w14:textId="77777777">
        <w:trPr>
          <w:trHeight w:val="270"/>
          <w:jc w:val="center"/>
        </w:trPr>
        <w:tc>
          <w:tcPr>
            <w:tcW w:w="328" w:type="dxa"/>
            <w:tcBorders>
              <w:top w:val="single" w:color="auto" w:sz="8" w:space="0"/>
              <w:left w:val="single" w:color="auto" w:sz="12" w:space="0"/>
              <w:bottom w:val="single" w:color="auto" w:sz="12" w:space="0"/>
              <w:right w:val="nil"/>
            </w:tcBorders>
            <w:noWrap/>
            <w:vAlign w:val="bottom"/>
          </w:tcPr>
          <w:p w:rsidR="003B0815" w:rsidRDefault="003B0815" w14:paraId="17A089B2" w14:textId="77777777">
            <w:pPr>
              <w:rPr>
                <w:rFonts w:ascii="Arial" w:hAnsi="Arial" w:cs="Arial"/>
                <w:sz w:val="20"/>
                <w:szCs w:val="20"/>
              </w:rPr>
            </w:pPr>
            <w:r>
              <w:rPr>
                <w:rFonts w:ascii="Arial" w:hAnsi="Arial" w:cs="Arial"/>
                <w:sz w:val="20"/>
                <w:szCs w:val="20"/>
              </w:rPr>
              <w:t>i</w:t>
            </w:r>
          </w:p>
        </w:tc>
        <w:tc>
          <w:tcPr>
            <w:tcW w:w="4228" w:type="dxa"/>
            <w:tcBorders>
              <w:top w:val="single" w:color="auto" w:sz="8" w:space="0"/>
              <w:left w:val="nil"/>
              <w:bottom w:val="single" w:color="auto" w:sz="12" w:space="0"/>
              <w:right w:val="nil"/>
            </w:tcBorders>
            <w:noWrap/>
            <w:vAlign w:val="bottom"/>
          </w:tcPr>
          <w:p w:rsidR="003B0815" w:rsidRDefault="003B0815" w14:paraId="04CF407E" w14:textId="77777777">
            <w:pPr>
              <w:rPr>
                <w:rFonts w:ascii="Arial" w:hAnsi="Arial" w:cs="Arial"/>
                <w:b/>
                <w:bCs/>
                <w:sz w:val="20"/>
                <w:szCs w:val="20"/>
              </w:rPr>
            </w:pPr>
            <w:r>
              <w:rPr>
                <w:rFonts w:ascii="Arial" w:hAnsi="Arial" w:cs="Arial"/>
                <w:b/>
                <w:bCs/>
                <w:sz w:val="20"/>
                <w:szCs w:val="20"/>
              </w:rPr>
              <w:t>Servers needed (1 per checkpoint)</w:t>
            </w:r>
          </w:p>
        </w:tc>
        <w:tc>
          <w:tcPr>
            <w:tcW w:w="1080" w:type="dxa"/>
            <w:tcBorders>
              <w:top w:val="single" w:color="auto" w:sz="8" w:space="0"/>
              <w:left w:val="nil"/>
              <w:bottom w:val="single" w:color="auto" w:sz="12" w:space="0"/>
              <w:right w:val="single" w:color="auto" w:sz="12" w:space="0"/>
            </w:tcBorders>
            <w:noWrap/>
            <w:vAlign w:val="bottom"/>
          </w:tcPr>
          <w:p w:rsidR="003B0815" w:rsidRDefault="003B0815" w14:paraId="1DE9D88C" w14:textId="77777777">
            <w:pPr>
              <w:jc w:val="right"/>
              <w:rPr>
                <w:rFonts w:ascii="Arial" w:hAnsi="Arial" w:cs="Arial"/>
                <w:b/>
                <w:bCs/>
                <w:sz w:val="20"/>
                <w:szCs w:val="20"/>
              </w:rPr>
            </w:pPr>
            <w:r>
              <w:rPr>
                <w:rFonts w:ascii="Arial" w:hAnsi="Arial" w:cs="Arial"/>
                <w:b/>
                <w:bCs/>
                <w:sz w:val="20"/>
                <w:szCs w:val="20"/>
              </w:rPr>
              <w:t>805</w:t>
            </w:r>
          </w:p>
        </w:tc>
      </w:tr>
    </w:tbl>
    <w:p w:rsidR="003B0815" w:rsidRDefault="003B0815" w14:paraId="43B76F50" w14:textId="77777777">
      <w:pPr>
        <w:spacing w:line="360" w:lineRule="auto"/>
        <w:ind w:firstLine="720"/>
      </w:pPr>
    </w:p>
    <w:p w:rsidR="003B0815" w:rsidRDefault="003B0815" w14:paraId="6F362EC5" w14:textId="77777777">
      <w:pPr>
        <w:spacing w:line="360" w:lineRule="auto"/>
        <w:ind w:firstLine="720"/>
      </w:pPr>
      <w:r>
        <w:t>Assuming that scanners have a life-cycle of 1 year, a total of 2,400 new scanners will need to be purchased every year.  At a cost of $708 each, the 10-year cost to purchase scanners is $17.1 million.  The cradles will last an average of 2 years.  Purchasing a total of 4,428 cradles at $300 each will cost $1.3 million over 10 years.  Finally, refreshing servers every 2 years will require the purchase of 4,428 servers over 10 years.  At $8,000 each, the purchase of servers will cost $35.4 million.  Combined, the 10 year cost for scanners, cradles and servers is $53.9 million.  Table 1.6.5.c presents detailed calculations.</w:t>
      </w:r>
    </w:p>
    <w:tbl>
      <w:tblPr>
        <w:tblW w:w="9803" w:type="dxa"/>
        <w:jc w:val="center"/>
        <w:tblLook w:val="0000" w:firstRow="0" w:lastRow="0" w:firstColumn="0" w:lastColumn="0" w:noHBand="0" w:noVBand="0"/>
      </w:tblPr>
      <w:tblGrid>
        <w:gridCol w:w="694"/>
        <w:gridCol w:w="1207"/>
        <w:gridCol w:w="1449"/>
        <w:gridCol w:w="1221"/>
        <w:gridCol w:w="1217"/>
        <w:gridCol w:w="1207"/>
        <w:gridCol w:w="1329"/>
        <w:gridCol w:w="1479"/>
      </w:tblGrid>
      <w:tr w:rsidR="003B0815" w14:paraId="6A84E136" w14:textId="77777777">
        <w:trPr>
          <w:trHeight w:val="270"/>
          <w:jc w:val="center"/>
        </w:trPr>
        <w:tc>
          <w:tcPr>
            <w:tcW w:w="9803" w:type="dxa"/>
            <w:gridSpan w:val="8"/>
            <w:tcBorders>
              <w:top w:val="nil"/>
              <w:left w:val="nil"/>
              <w:bottom w:val="single" w:color="auto" w:sz="12" w:space="0"/>
              <w:right w:val="nil"/>
            </w:tcBorders>
            <w:noWrap/>
            <w:vAlign w:val="bottom"/>
          </w:tcPr>
          <w:p w:rsidR="003B0815" w:rsidRDefault="003B0815" w14:paraId="0CAD2C30" w14:textId="77777777">
            <w:pPr>
              <w:pStyle w:val="RegEvalTableHeader"/>
              <w:keepNext/>
            </w:pPr>
            <w:bookmarkStart w:name="_Toc165278394" w:id="338"/>
            <w:bookmarkStart w:name="_Toc174438396" w:id="339"/>
            <w:bookmarkStart w:name="_Toc207109533" w:id="340"/>
            <w:r>
              <w:t>Table 1.6.5.c Barcode Scanning Inventory Co</w:t>
            </w:r>
            <w:bookmarkStart w:name="RANGE!A5:J18" w:id="341"/>
            <w:r>
              <w:t>sts</w:t>
            </w:r>
            <w:bookmarkEnd w:id="338"/>
            <w:bookmarkEnd w:id="339"/>
            <w:bookmarkEnd w:id="340"/>
            <w:bookmarkEnd w:id="341"/>
          </w:p>
        </w:tc>
      </w:tr>
      <w:tr w:rsidR="003B0815" w14:paraId="47701FB7" w14:textId="77777777">
        <w:trPr>
          <w:trHeight w:val="255"/>
          <w:jc w:val="center"/>
        </w:trPr>
        <w:tc>
          <w:tcPr>
            <w:tcW w:w="694" w:type="dxa"/>
            <w:tcBorders>
              <w:top w:val="single" w:color="auto" w:sz="12" w:space="0"/>
              <w:left w:val="single" w:color="auto" w:sz="12" w:space="0"/>
              <w:bottom w:val="nil"/>
              <w:right w:val="nil"/>
            </w:tcBorders>
            <w:noWrap/>
            <w:vAlign w:val="bottom"/>
          </w:tcPr>
          <w:p w:rsidR="003B0815" w:rsidRDefault="003B0815" w14:paraId="06C0C22B" w14:textId="77777777">
            <w:pPr>
              <w:keepNext/>
              <w:rPr>
                <w:rFonts w:ascii="Arial" w:hAnsi="Arial" w:cs="Arial"/>
                <w:sz w:val="20"/>
                <w:szCs w:val="20"/>
              </w:rPr>
            </w:pPr>
            <w:r>
              <w:rPr>
                <w:rFonts w:ascii="Arial" w:hAnsi="Arial" w:cs="Arial"/>
                <w:sz w:val="20"/>
                <w:szCs w:val="20"/>
              </w:rPr>
              <w:t> </w:t>
            </w:r>
          </w:p>
        </w:tc>
        <w:tc>
          <w:tcPr>
            <w:tcW w:w="2656" w:type="dxa"/>
            <w:gridSpan w:val="2"/>
            <w:tcBorders>
              <w:top w:val="single" w:color="auto" w:sz="12" w:space="0"/>
              <w:left w:val="nil"/>
              <w:bottom w:val="single" w:color="auto" w:sz="4" w:space="0"/>
              <w:right w:val="nil"/>
            </w:tcBorders>
            <w:noWrap/>
            <w:vAlign w:val="bottom"/>
          </w:tcPr>
          <w:p w:rsidR="003B0815" w:rsidRDefault="003B0815" w14:paraId="2BE58E2A" w14:textId="77777777">
            <w:pPr>
              <w:keepNext/>
              <w:jc w:val="center"/>
              <w:rPr>
                <w:rFonts w:ascii="Arial" w:hAnsi="Arial" w:cs="Arial"/>
                <w:b/>
                <w:sz w:val="20"/>
                <w:szCs w:val="20"/>
              </w:rPr>
            </w:pPr>
            <w:r>
              <w:rPr>
                <w:rFonts w:ascii="Arial" w:hAnsi="Arial" w:cs="Arial"/>
                <w:b/>
                <w:sz w:val="20"/>
                <w:szCs w:val="20"/>
              </w:rPr>
              <w:t>Scanners</w:t>
            </w:r>
          </w:p>
        </w:tc>
        <w:tc>
          <w:tcPr>
            <w:tcW w:w="2438" w:type="dxa"/>
            <w:gridSpan w:val="2"/>
            <w:tcBorders>
              <w:top w:val="single" w:color="auto" w:sz="12" w:space="0"/>
              <w:left w:val="nil"/>
              <w:bottom w:val="single" w:color="auto" w:sz="4" w:space="0"/>
              <w:right w:val="nil"/>
            </w:tcBorders>
            <w:noWrap/>
            <w:vAlign w:val="bottom"/>
          </w:tcPr>
          <w:p w:rsidR="003B0815" w:rsidRDefault="003B0815" w14:paraId="208BB0FC" w14:textId="77777777">
            <w:pPr>
              <w:keepNext/>
              <w:jc w:val="center"/>
              <w:rPr>
                <w:rFonts w:ascii="Arial" w:hAnsi="Arial" w:cs="Arial"/>
                <w:b/>
                <w:sz w:val="20"/>
                <w:szCs w:val="20"/>
              </w:rPr>
            </w:pPr>
            <w:r>
              <w:rPr>
                <w:rFonts w:ascii="Arial" w:hAnsi="Arial" w:cs="Arial"/>
                <w:b/>
                <w:sz w:val="20"/>
                <w:szCs w:val="20"/>
              </w:rPr>
              <w:t>Cradles</w:t>
            </w:r>
          </w:p>
        </w:tc>
        <w:tc>
          <w:tcPr>
            <w:tcW w:w="2536" w:type="dxa"/>
            <w:gridSpan w:val="2"/>
            <w:tcBorders>
              <w:top w:val="single" w:color="auto" w:sz="12" w:space="0"/>
              <w:left w:val="nil"/>
              <w:bottom w:val="single" w:color="auto" w:sz="4" w:space="0"/>
              <w:right w:val="nil"/>
            </w:tcBorders>
            <w:noWrap/>
            <w:vAlign w:val="bottom"/>
          </w:tcPr>
          <w:p w:rsidR="003B0815" w:rsidRDefault="003B0815" w14:paraId="2A117137" w14:textId="77777777">
            <w:pPr>
              <w:keepNext/>
              <w:jc w:val="center"/>
              <w:rPr>
                <w:rFonts w:ascii="Arial" w:hAnsi="Arial" w:cs="Arial"/>
                <w:b/>
                <w:sz w:val="20"/>
                <w:szCs w:val="20"/>
              </w:rPr>
            </w:pPr>
            <w:r>
              <w:rPr>
                <w:rFonts w:ascii="Arial" w:hAnsi="Arial" w:cs="Arial"/>
                <w:b/>
                <w:sz w:val="20"/>
                <w:szCs w:val="20"/>
              </w:rPr>
              <w:t>Servers</w:t>
            </w:r>
          </w:p>
        </w:tc>
        <w:tc>
          <w:tcPr>
            <w:tcW w:w="1479" w:type="dxa"/>
            <w:tcBorders>
              <w:top w:val="single" w:color="auto" w:sz="12" w:space="0"/>
              <w:left w:val="nil"/>
              <w:bottom w:val="nil"/>
              <w:right w:val="single" w:color="auto" w:sz="12" w:space="0"/>
            </w:tcBorders>
            <w:noWrap/>
            <w:vAlign w:val="bottom"/>
          </w:tcPr>
          <w:p w:rsidR="003B0815" w:rsidRDefault="003B0815" w14:paraId="7A311143" w14:textId="77777777">
            <w:pPr>
              <w:keepNext/>
              <w:rPr>
                <w:rFonts w:ascii="Arial" w:hAnsi="Arial" w:cs="Arial"/>
                <w:sz w:val="20"/>
                <w:szCs w:val="20"/>
              </w:rPr>
            </w:pPr>
            <w:r>
              <w:rPr>
                <w:rFonts w:ascii="Arial" w:hAnsi="Arial" w:cs="Arial"/>
                <w:sz w:val="20"/>
                <w:szCs w:val="20"/>
              </w:rPr>
              <w:t> </w:t>
            </w:r>
          </w:p>
        </w:tc>
      </w:tr>
      <w:tr w:rsidR="003B0815" w14:paraId="04D82513" w14:textId="77777777">
        <w:trPr>
          <w:trHeight w:val="510"/>
          <w:jc w:val="center"/>
        </w:trPr>
        <w:tc>
          <w:tcPr>
            <w:tcW w:w="694" w:type="dxa"/>
            <w:tcBorders>
              <w:top w:val="nil"/>
              <w:left w:val="single" w:color="auto" w:sz="12" w:space="0"/>
              <w:bottom w:val="single" w:color="auto" w:sz="4" w:space="0"/>
              <w:right w:val="nil"/>
            </w:tcBorders>
            <w:noWrap/>
            <w:vAlign w:val="bottom"/>
          </w:tcPr>
          <w:p w:rsidR="003B0815" w:rsidRDefault="003B0815" w14:paraId="337D8A5F" w14:textId="77777777">
            <w:pPr>
              <w:keepNext/>
              <w:jc w:val="center"/>
              <w:rPr>
                <w:rFonts w:ascii="Arial" w:hAnsi="Arial" w:cs="Arial"/>
                <w:b/>
                <w:sz w:val="20"/>
                <w:szCs w:val="20"/>
              </w:rPr>
            </w:pPr>
            <w:r>
              <w:rPr>
                <w:rFonts w:ascii="Arial" w:hAnsi="Arial" w:cs="Arial"/>
                <w:b/>
                <w:sz w:val="20"/>
                <w:szCs w:val="20"/>
              </w:rPr>
              <w:t>Year</w:t>
            </w:r>
          </w:p>
        </w:tc>
        <w:tc>
          <w:tcPr>
            <w:tcW w:w="1207" w:type="dxa"/>
            <w:tcBorders>
              <w:top w:val="nil"/>
              <w:left w:val="nil"/>
              <w:bottom w:val="single" w:color="auto" w:sz="4" w:space="0"/>
              <w:right w:val="nil"/>
            </w:tcBorders>
            <w:vAlign w:val="center"/>
          </w:tcPr>
          <w:p w:rsidR="003B0815" w:rsidRDefault="003B0815" w14:paraId="72321EA6" w14:textId="77777777">
            <w:pPr>
              <w:keepNext/>
              <w:jc w:val="center"/>
              <w:rPr>
                <w:rFonts w:ascii="Arial" w:hAnsi="Arial" w:cs="Arial"/>
                <w:sz w:val="20"/>
                <w:szCs w:val="20"/>
              </w:rPr>
            </w:pPr>
            <w:r>
              <w:rPr>
                <w:rFonts w:ascii="Arial" w:hAnsi="Arial" w:cs="Arial"/>
                <w:sz w:val="20"/>
                <w:szCs w:val="20"/>
              </w:rPr>
              <w:t>Units purchased (0.75 yr life cycle)</w:t>
            </w:r>
          </w:p>
        </w:tc>
        <w:tc>
          <w:tcPr>
            <w:tcW w:w="1449" w:type="dxa"/>
            <w:tcBorders>
              <w:top w:val="nil"/>
              <w:left w:val="nil"/>
              <w:bottom w:val="single" w:color="auto" w:sz="4" w:space="0"/>
              <w:right w:val="nil"/>
            </w:tcBorders>
            <w:vAlign w:val="center"/>
          </w:tcPr>
          <w:p w:rsidR="003B0815" w:rsidRDefault="003B0815" w14:paraId="07CEB2BB" w14:textId="77777777">
            <w:pPr>
              <w:keepNext/>
              <w:jc w:val="center"/>
              <w:rPr>
                <w:rFonts w:ascii="Arial" w:hAnsi="Arial" w:cs="Arial"/>
                <w:sz w:val="20"/>
                <w:szCs w:val="20"/>
              </w:rPr>
            </w:pPr>
            <w:r>
              <w:rPr>
                <w:rFonts w:ascii="Arial" w:hAnsi="Arial" w:cs="Arial"/>
                <w:sz w:val="20"/>
                <w:szCs w:val="20"/>
              </w:rPr>
              <w:t>Cost ($708.33 each)</w:t>
            </w:r>
          </w:p>
        </w:tc>
        <w:tc>
          <w:tcPr>
            <w:tcW w:w="1221" w:type="dxa"/>
            <w:tcBorders>
              <w:top w:val="nil"/>
              <w:left w:val="nil"/>
              <w:bottom w:val="single" w:color="auto" w:sz="4" w:space="0"/>
              <w:right w:val="nil"/>
            </w:tcBorders>
            <w:vAlign w:val="center"/>
          </w:tcPr>
          <w:p w:rsidR="003B0815" w:rsidRDefault="003B0815" w14:paraId="1FAB5D1E" w14:textId="77777777">
            <w:pPr>
              <w:keepNext/>
              <w:jc w:val="center"/>
              <w:rPr>
                <w:rFonts w:ascii="Arial" w:hAnsi="Arial" w:cs="Arial"/>
                <w:sz w:val="20"/>
                <w:szCs w:val="20"/>
              </w:rPr>
            </w:pPr>
            <w:r>
              <w:rPr>
                <w:rFonts w:ascii="Arial" w:hAnsi="Arial" w:cs="Arial"/>
                <w:sz w:val="20"/>
                <w:szCs w:val="20"/>
              </w:rPr>
              <w:t>Units purchased (2 yr life cycle)</w:t>
            </w:r>
          </w:p>
        </w:tc>
        <w:tc>
          <w:tcPr>
            <w:tcW w:w="1217" w:type="dxa"/>
            <w:tcBorders>
              <w:top w:val="nil"/>
              <w:left w:val="nil"/>
              <w:bottom w:val="single" w:color="auto" w:sz="4" w:space="0"/>
              <w:right w:val="nil"/>
            </w:tcBorders>
            <w:vAlign w:val="center"/>
          </w:tcPr>
          <w:p w:rsidR="003B0815" w:rsidRDefault="003B0815" w14:paraId="0C200FAF" w14:textId="77777777">
            <w:pPr>
              <w:keepNext/>
              <w:jc w:val="center"/>
              <w:rPr>
                <w:rFonts w:ascii="Arial" w:hAnsi="Arial" w:cs="Arial"/>
                <w:sz w:val="20"/>
                <w:szCs w:val="20"/>
              </w:rPr>
            </w:pPr>
            <w:r>
              <w:rPr>
                <w:rFonts w:ascii="Arial" w:hAnsi="Arial" w:cs="Arial"/>
                <w:sz w:val="20"/>
                <w:szCs w:val="20"/>
              </w:rPr>
              <w:t>Cost ($300 each)</w:t>
            </w:r>
          </w:p>
        </w:tc>
        <w:tc>
          <w:tcPr>
            <w:tcW w:w="1207" w:type="dxa"/>
            <w:tcBorders>
              <w:top w:val="nil"/>
              <w:left w:val="nil"/>
              <w:bottom w:val="single" w:color="auto" w:sz="4" w:space="0"/>
              <w:right w:val="nil"/>
            </w:tcBorders>
            <w:vAlign w:val="center"/>
          </w:tcPr>
          <w:p w:rsidR="003B0815" w:rsidRDefault="003B0815" w14:paraId="45066080" w14:textId="77777777">
            <w:pPr>
              <w:keepNext/>
              <w:jc w:val="center"/>
              <w:rPr>
                <w:rFonts w:ascii="Arial" w:hAnsi="Arial" w:cs="Arial"/>
                <w:sz w:val="20"/>
                <w:szCs w:val="20"/>
              </w:rPr>
            </w:pPr>
            <w:r>
              <w:rPr>
                <w:rFonts w:ascii="Arial" w:hAnsi="Arial" w:cs="Arial"/>
                <w:sz w:val="20"/>
                <w:szCs w:val="20"/>
              </w:rPr>
              <w:t>Units purchased (2 yr life cycle)</w:t>
            </w:r>
          </w:p>
        </w:tc>
        <w:tc>
          <w:tcPr>
            <w:tcW w:w="1329" w:type="dxa"/>
            <w:tcBorders>
              <w:top w:val="nil"/>
              <w:left w:val="nil"/>
              <w:bottom w:val="single" w:color="auto" w:sz="4" w:space="0"/>
              <w:right w:val="nil"/>
            </w:tcBorders>
            <w:vAlign w:val="center"/>
          </w:tcPr>
          <w:p w:rsidR="003B0815" w:rsidRDefault="003B0815" w14:paraId="20B0E39F" w14:textId="77777777">
            <w:pPr>
              <w:keepNext/>
              <w:jc w:val="center"/>
              <w:rPr>
                <w:rFonts w:ascii="Arial" w:hAnsi="Arial" w:cs="Arial"/>
                <w:sz w:val="20"/>
                <w:szCs w:val="20"/>
              </w:rPr>
            </w:pPr>
            <w:r>
              <w:rPr>
                <w:rFonts w:ascii="Arial" w:hAnsi="Arial" w:cs="Arial"/>
                <w:sz w:val="20"/>
                <w:szCs w:val="20"/>
              </w:rPr>
              <w:t>Cost ($8000 each)</w:t>
            </w:r>
          </w:p>
        </w:tc>
        <w:tc>
          <w:tcPr>
            <w:tcW w:w="1479" w:type="dxa"/>
            <w:tcBorders>
              <w:top w:val="nil"/>
              <w:left w:val="nil"/>
              <w:bottom w:val="single" w:color="auto" w:sz="4" w:space="0"/>
              <w:right w:val="single" w:color="auto" w:sz="12" w:space="0"/>
            </w:tcBorders>
            <w:vAlign w:val="center"/>
          </w:tcPr>
          <w:p w:rsidR="003B0815" w:rsidRDefault="003B0815" w14:paraId="3D190B6D" w14:textId="77777777">
            <w:pPr>
              <w:keepNext/>
              <w:jc w:val="center"/>
              <w:rPr>
                <w:rFonts w:ascii="Arial" w:hAnsi="Arial" w:cs="Arial"/>
                <w:b/>
                <w:bCs/>
                <w:sz w:val="20"/>
                <w:szCs w:val="20"/>
              </w:rPr>
            </w:pPr>
            <w:r>
              <w:rPr>
                <w:rFonts w:ascii="Arial" w:hAnsi="Arial" w:cs="Arial"/>
                <w:b/>
                <w:bCs/>
                <w:sz w:val="20"/>
                <w:szCs w:val="20"/>
              </w:rPr>
              <w:t>Total</w:t>
            </w:r>
          </w:p>
        </w:tc>
      </w:tr>
      <w:tr w:rsidR="003B0815" w14:paraId="27BCAA17"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3130086" w14:textId="77777777">
            <w:pPr>
              <w:keepNext/>
              <w:jc w:val="center"/>
              <w:rPr>
                <w:rFonts w:ascii="Arial" w:hAnsi="Arial" w:cs="Arial"/>
                <w:sz w:val="20"/>
                <w:szCs w:val="20"/>
              </w:rPr>
            </w:pPr>
            <w:r>
              <w:rPr>
                <w:rFonts w:ascii="Arial" w:hAnsi="Arial"/>
                <w:sz w:val="20"/>
                <w:szCs w:val="20"/>
              </w:rPr>
              <w:t>1</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B07FE7B"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CBA7A71"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8F81F02" w14:textId="77777777">
            <w:pPr>
              <w:keepNext/>
              <w:jc w:val="right"/>
              <w:rPr>
                <w:rFonts w:ascii="Arial" w:hAnsi="Arial" w:cs="Arial"/>
                <w:sz w:val="20"/>
                <w:szCs w:val="20"/>
              </w:rPr>
            </w:pPr>
            <w:r>
              <w:rPr>
                <w:rFonts w:ascii="Arial" w:hAnsi="Arial" w:cs="Arial"/>
                <w:sz w:val="20"/>
                <w:szCs w:val="20"/>
              </w:rPr>
              <w:t>805</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1CA8763" w14:textId="77777777">
            <w:pPr>
              <w:keepNext/>
              <w:jc w:val="right"/>
              <w:rPr>
                <w:rFonts w:ascii="Arial" w:hAnsi="Arial" w:cs="Arial"/>
                <w:sz w:val="20"/>
                <w:szCs w:val="20"/>
              </w:rPr>
            </w:pPr>
            <w:r>
              <w:rPr>
                <w:rFonts w:ascii="Arial" w:hAnsi="Arial" w:cs="Arial"/>
                <w:sz w:val="20"/>
                <w:szCs w:val="20"/>
              </w:rPr>
              <w:t>$241,500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1B8BDE1" w14:textId="77777777">
            <w:pPr>
              <w:keepNext/>
              <w:jc w:val="right"/>
              <w:rPr>
                <w:rFonts w:ascii="Arial" w:hAnsi="Arial" w:cs="Arial"/>
                <w:sz w:val="20"/>
                <w:szCs w:val="20"/>
              </w:rPr>
            </w:pPr>
            <w:r>
              <w:rPr>
                <w:rFonts w:ascii="Arial" w:hAnsi="Arial" w:cs="Arial"/>
                <w:sz w:val="20"/>
                <w:szCs w:val="20"/>
              </w:rPr>
              <w:t>805</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7591D34" w14:textId="77777777">
            <w:pPr>
              <w:keepNext/>
              <w:jc w:val="right"/>
              <w:rPr>
                <w:rFonts w:ascii="Arial" w:hAnsi="Arial" w:cs="Arial"/>
                <w:sz w:val="20"/>
                <w:szCs w:val="20"/>
              </w:rPr>
            </w:pPr>
            <w:r>
              <w:rPr>
                <w:rFonts w:ascii="Arial" w:hAnsi="Arial" w:cs="Arial"/>
                <w:sz w:val="20"/>
                <w:szCs w:val="20"/>
              </w:rPr>
              <w:t>$6,440,000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30C24422" w14:textId="77777777">
            <w:pPr>
              <w:keepNext/>
              <w:jc w:val="right"/>
              <w:rPr>
                <w:rFonts w:ascii="Arial" w:hAnsi="Arial" w:cs="Arial"/>
                <w:sz w:val="20"/>
                <w:szCs w:val="20"/>
              </w:rPr>
            </w:pPr>
            <w:r>
              <w:rPr>
                <w:rFonts w:ascii="Arial" w:hAnsi="Arial" w:cs="Arial"/>
                <w:sz w:val="20"/>
                <w:szCs w:val="20"/>
              </w:rPr>
              <w:t>$8,392,117</w:t>
            </w:r>
          </w:p>
        </w:tc>
      </w:tr>
      <w:tr w:rsidR="003B0815" w14:paraId="1909F2B2"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0BD5F0C0" w14:textId="77777777">
            <w:pPr>
              <w:keepNext/>
              <w:jc w:val="center"/>
              <w:rPr>
                <w:rFonts w:ascii="Arial" w:hAnsi="Arial" w:cs="Arial"/>
                <w:sz w:val="20"/>
                <w:szCs w:val="20"/>
              </w:rPr>
            </w:pPr>
            <w:r>
              <w:rPr>
                <w:rFonts w:ascii="Arial" w:hAnsi="Arial"/>
                <w:sz w:val="20"/>
                <w:szCs w:val="20"/>
              </w:rPr>
              <w:t>2</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981B8AA"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0960D19"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78172E4"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C216394"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7F5FAEF"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2A87851"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441C9EEE" w14:textId="77777777">
            <w:pPr>
              <w:keepNext/>
              <w:jc w:val="right"/>
              <w:rPr>
                <w:rFonts w:ascii="Arial" w:hAnsi="Arial" w:cs="Arial"/>
                <w:sz w:val="20"/>
                <w:szCs w:val="20"/>
              </w:rPr>
            </w:pPr>
            <w:r>
              <w:rPr>
                <w:rFonts w:ascii="Arial" w:hAnsi="Arial" w:cs="Arial"/>
                <w:sz w:val="20"/>
                <w:szCs w:val="20"/>
              </w:rPr>
              <w:t>5,051,367</w:t>
            </w:r>
          </w:p>
        </w:tc>
      </w:tr>
      <w:tr w:rsidR="003B0815" w14:paraId="6B4BE984"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2DB04F29" w14:textId="77777777">
            <w:pPr>
              <w:keepNext/>
              <w:jc w:val="center"/>
              <w:rPr>
                <w:rFonts w:ascii="Arial" w:hAnsi="Arial" w:cs="Arial"/>
                <w:sz w:val="20"/>
                <w:szCs w:val="20"/>
              </w:rPr>
            </w:pPr>
            <w:r>
              <w:rPr>
                <w:rFonts w:ascii="Arial" w:hAnsi="Arial"/>
                <w:sz w:val="20"/>
                <w:szCs w:val="20"/>
              </w:rPr>
              <w:t>3</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FD9B015"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D450DD0"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D2FCBE4"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DADAFD0"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B3E8B11"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969D01C"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B61A034" w14:textId="77777777">
            <w:pPr>
              <w:keepNext/>
              <w:jc w:val="right"/>
              <w:rPr>
                <w:rFonts w:ascii="Arial" w:hAnsi="Arial" w:cs="Arial"/>
                <w:sz w:val="20"/>
                <w:szCs w:val="20"/>
              </w:rPr>
            </w:pPr>
            <w:r>
              <w:rPr>
                <w:rFonts w:ascii="Arial" w:hAnsi="Arial" w:cs="Arial"/>
                <w:sz w:val="20"/>
                <w:szCs w:val="20"/>
              </w:rPr>
              <w:t>5,051,367</w:t>
            </w:r>
          </w:p>
        </w:tc>
      </w:tr>
      <w:tr w:rsidR="003B0815" w14:paraId="73A5E180"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5A4A6C41" w14:textId="77777777">
            <w:pPr>
              <w:keepNext/>
              <w:jc w:val="center"/>
              <w:rPr>
                <w:rFonts w:ascii="Arial" w:hAnsi="Arial" w:cs="Arial"/>
                <w:sz w:val="20"/>
                <w:szCs w:val="20"/>
              </w:rPr>
            </w:pPr>
            <w:r>
              <w:rPr>
                <w:rFonts w:ascii="Arial" w:hAnsi="Arial"/>
                <w:sz w:val="20"/>
                <w:szCs w:val="20"/>
              </w:rPr>
              <w:t>4</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427EAD4"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A68B277"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D9344FD"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5CA7BDE"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3FEEB4E"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59612B0"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3957AD73" w14:textId="77777777">
            <w:pPr>
              <w:keepNext/>
              <w:jc w:val="right"/>
              <w:rPr>
                <w:rFonts w:ascii="Arial" w:hAnsi="Arial" w:cs="Arial"/>
                <w:sz w:val="20"/>
                <w:szCs w:val="20"/>
              </w:rPr>
            </w:pPr>
            <w:r>
              <w:rPr>
                <w:rFonts w:ascii="Arial" w:hAnsi="Arial" w:cs="Arial"/>
                <w:sz w:val="20"/>
                <w:szCs w:val="20"/>
              </w:rPr>
              <w:t>5,051,367</w:t>
            </w:r>
          </w:p>
        </w:tc>
      </w:tr>
      <w:tr w:rsidR="003B0815" w14:paraId="58EA8D8D"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3DC8EBB4" w14:textId="77777777">
            <w:pPr>
              <w:keepNext/>
              <w:jc w:val="center"/>
              <w:rPr>
                <w:rFonts w:ascii="Arial" w:hAnsi="Arial" w:cs="Arial"/>
                <w:sz w:val="20"/>
                <w:szCs w:val="20"/>
              </w:rPr>
            </w:pPr>
            <w:r>
              <w:rPr>
                <w:rFonts w:ascii="Arial" w:hAnsi="Arial"/>
                <w:sz w:val="20"/>
                <w:szCs w:val="20"/>
              </w:rPr>
              <w:t>5</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0072A23"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DE86113"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6E0E002"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BFE78DB"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C6F3205"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0DE8FBB"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153CCF54" w14:textId="77777777">
            <w:pPr>
              <w:keepNext/>
              <w:jc w:val="right"/>
              <w:rPr>
                <w:rFonts w:ascii="Arial" w:hAnsi="Arial" w:cs="Arial"/>
                <w:sz w:val="20"/>
                <w:szCs w:val="20"/>
              </w:rPr>
            </w:pPr>
            <w:r>
              <w:rPr>
                <w:rFonts w:ascii="Arial" w:hAnsi="Arial" w:cs="Arial"/>
                <w:sz w:val="20"/>
                <w:szCs w:val="20"/>
              </w:rPr>
              <w:t>5,051,367</w:t>
            </w:r>
          </w:p>
        </w:tc>
      </w:tr>
      <w:tr w:rsidR="003B0815" w14:paraId="730091B5"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3945315D" w14:textId="77777777">
            <w:pPr>
              <w:keepNext/>
              <w:jc w:val="center"/>
              <w:rPr>
                <w:rFonts w:ascii="Arial" w:hAnsi="Arial" w:cs="Arial"/>
                <w:sz w:val="20"/>
                <w:szCs w:val="20"/>
              </w:rPr>
            </w:pPr>
            <w:r>
              <w:rPr>
                <w:rFonts w:ascii="Arial" w:hAnsi="Arial"/>
                <w:sz w:val="20"/>
                <w:szCs w:val="20"/>
              </w:rPr>
              <w:t>6</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E83A024"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AA35960"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7A8789D"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527F67A"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9277F2F"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B47183F"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17A118F" w14:textId="77777777">
            <w:pPr>
              <w:keepNext/>
              <w:jc w:val="right"/>
              <w:rPr>
                <w:rFonts w:ascii="Arial" w:hAnsi="Arial" w:cs="Arial"/>
                <w:sz w:val="20"/>
                <w:szCs w:val="20"/>
              </w:rPr>
            </w:pPr>
            <w:r>
              <w:rPr>
                <w:rFonts w:ascii="Arial" w:hAnsi="Arial" w:cs="Arial"/>
                <w:sz w:val="20"/>
                <w:szCs w:val="20"/>
              </w:rPr>
              <w:t>5,051,367</w:t>
            </w:r>
          </w:p>
        </w:tc>
      </w:tr>
      <w:tr w:rsidR="003B0815" w14:paraId="7D55C178"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7E2C935" w14:textId="77777777">
            <w:pPr>
              <w:keepNext/>
              <w:jc w:val="center"/>
              <w:rPr>
                <w:rFonts w:ascii="Arial" w:hAnsi="Arial" w:cs="Arial"/>
                <w:sz w:val="20"/>
                <w:szCs w:val="20"/>
              </w:rPr>
            </w:pPr>
            <w:r>
              <w:rPr>
                <w:rFonts w:ascii="Arial" w:hAnsi="Arial"/>
                <w:sz w:val="20"/>
                <w:szCs w:val="20"/>
              </w:rPr>
              <w:t>7</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24DEB37"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2458BA7"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10B4403"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83CDF5C"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251B612"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3C2AEE0"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EBB9526" w14:textId="77777777">
            <w:pPr>
              <w:keepNext/>
              <w:jc w:val="right"/>
              <w:rPr>
                <w:rFonts w:ascii="Arial" w:hAnsi="Arial" w:cs="Arial"/>
                <w:sz w:val="20"/>
                <w:szCs w:val="20"/>
              </w:rPr>
            </w:pPr>
            <w:r>
              <w:rPr>
                <w:rFonts w:ascii="Arial" w:hAnsi="Arial" w:cs="Arial"/>
                <w:sz w:val="20"/>
                <w:szCs w:val="20"/>
              </w:rPr>
              <w:t>5,051,367</w:t>
            </w:r>
          </w:p>
        </w:tc>
      </w:tr>
      <w:tr w:rsidR="003B0815" w14:paraId="3E01D889"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5DEC23BC" w14:textId="77777777">
            <w:pPr>
              <w:keepNext/>
              <w:jc w:val="center"/>
              <w:rPr>
                <w:rFonts w:ascii="Arial" w:hAnsi="Arial" w:cs="Arial"/>
                <w:sz w:val="20"/>
                <w:szCs w:val="20"/>
              </w:rPr>
            </w:pPr>
            <w:r>
              <w:rPr>
                <w:rFonts w:ascii="Arial" w:hAnsi="Arial"/>
                <w:sz w:val="20"/>
                <w:szCs w:val="20"/>
              </w:rPr>
              <w:t>8</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723C8F9"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2E1E4F4"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F193F14"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695C552"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ABFB9BA"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844CD5E"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22875CDA" w14:textId="77777777">
            <w:pPr>
              <w:keepNext/>
              <w:jc w:val="right"/>
              <w:rPr>
                <w:rFonts w:ascii="Arial" w:hAnsi="Arial" w:cs="Arial"/>
                <w:sz w:val="20"/>
                <w:szCs w:val="20"/>
              </w:rPr>
            </w:pPr>
            <w:r>
              <w:rPr>
                <w:rFonts w:ascii="Arial" w:hAnsi="Arial" w:cs="Arial"/>
                <w:sz w:val="20"/>
                <w:szCs w:val="20"/>
              </w:rPr>
              <w:t>5,051,367</w:t>
            </w:r>
          </w:p>
        </w:tc>
      </w:tr>
      <w:tr w:rsidR="003B0815" w14:paraId="71920E7B"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67DCC23B" w14:textId="77777777">
            <w:pPr>
              <w:keepNext/>
              <w:jc w:val="center"/>
              <w:rPr>
                <w:rFonts w:ascii="Arial" w:hAnsi="Arial" w:cs="Arial"/>
                <w:sz w:val="20"/>
                <w:szCs w:val="20"/>
              </w:rPr>
            </w:pPr>
            <w:r>
              <w:rPr>
                <w:rFonts w:ascii="Arial" w:hAnsi="Arial"/>
                <w:sz w:val="20"/>
                <w:szCs w:val="20"/>
              </w:rPr>
              <w:t>9</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B142FB2"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0768678"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E119C63"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4A93FEE"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C066F9D"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DF4D84B"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551A6B45" w14:textId="77777777">
            <w:pPr>
              <w:keepNext/>
              <w:jc w:val="right"/>
              <w:rPr>
                <w:rFonts w:ascii="Arial" w:hAnsi="Arial" w:cs="Arial"/>
                <w:sz w:val="20"/>
                <w:szCs w:val="20"/>
              </w:rPr>
            </w:pPr>
            <w:r>
              <w:rPr>
                <w:rFonts w:ascii="Arial" w:hAnsi="Arial" w:cs="Arial"/>
                <w:sz w:val="20"/>
                <w:szCs w:val="20"/>
              </w:rPr>
              <w:t>5,051,367</w:t>
            </w:r>
          </w:p>
        </w:tc>
      </w:tr>
      <w:tr w:rsidR="003B0815" w14:paraId="429F1897"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0B426B6A" w14:textId="77777777">
            <w:pPr>
              <w:keepNext/>
              <w:jc w:val="center"/>
              <w:rPr>
                <w:rFonts w:ascii="Arial" w:hAnsi="Arial" w:cs="Arial"/>
                <w:sz w:val="20"/>
                <w:szCs w:val="20"/>
              </w:rPr>
            </w:pPr>
            <w:r>
              <w:rPr>
                <w:rFonts w:ascii="Arial" w:hAnsi="Arial"/>
                <w:sz w:val="20"/>
                <w:szCs w:val="20"/>
              </w:rPr>
              <w:t>10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E1F7630" w14:textId="77777777">
            <w:pPr>
              <w:keepNext/>
              <w:jc w:val="right"/>
              <w:rPr>
                <w:rFonts w:ascii="Arial" w:hAnsi="Arial" w:cs="Arial"/>
                <w:sz w:val="20"/>
                <w:szCs w:val="20"/>
              </w:rPr>
            </w:pPr>
            <w:r>
              <w:rPr>
                <w:rFonts w:ascii="Arial" w:hAnsi="Arial" w:cs="Arial"/>
                <w:sz w:val="20"/>
                <w:szCs w:val="20"/>
              </w:rPr>
              <w:t>2,415</w:t>
            </w:r>
          </w:p>
        </w:tc>
        <w:tc>
          <w:tcPr>
            <w:tcW w:w="144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805B726" w14:textId="77777777">
            <w:pPr>
              <w:keepNext/>
              <w:jc w:val="right"/>
              <w:rPr>
                <w:rFonts w:ascii="Arial" w:hAnsi="Arial" w:cs="Arial"/>
                <w:sz w:val="20"/>
                <w:szCs w:val="20"/>
              </w:rPr>
            </w:pPr>
            <w:r>
              <w:rPr>
                <w:rFonts w:ascii="Arial" w:hAnsi="Arial" w:cs="Arial"/>
                <w:sz w:val="20"/>
                <w:szCs w:val="20"/>
              </w:rPr>
              <w:t>$1,710,617</w:t>
            </w:r>
          </w:p>
        </w:tc>
        <w:tc>
          <w:tcPr>
            <w:tcW w:w="122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E5010FC" w14:textId="77777777">
            <w:pPr>
              <w:keepNext/>
              <w:jc w:val="right"/>
              <w:rPr>
                <w:rFonts w:ascii="Arial" w:hAnsi="Arial" w:cs="Arial"/>
                <w:sz w:val="20"/>
                <w:szCs w:val="20"/>
              </w:rPr>
            </w:pPr>
            <w:r>
              <w:rPr>
                <w:rFonts w:ascii="Arial" w:hAnsi="Arial" w:cs="Arial"/>
                <w:sz w:val="20"/>
                <w:szCs w:val="20"/>
              </w:rPr>
              <w:t>403</w:t>
            </w:r>
          </w:p>
        </w:tc>
        <w:tc>
          <w:tcPr>
            <w:tcW w:w="121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0A867C5" w14:textId="77777777">
            <w:pPr>
              <w:keepNext/>
              <w:jc w:val="right"/>
              <w:rPr>
                <w:rFonts w:ascii="Arial" w:hAnsi="Arial" w:cs="Arial"/>
                <w:sz w:val="20"/>
                <w:szCs w:val="20"/>
              </w:rPr>
            </w:pPr>
            <w:r>
              <w:rPr>
                <w:rFonts w:ascii="Arial" w:hAnsi="Arial" w:cs="Arial"/>
                <w:sz w:val="20"/>
                <w:szCs w:val="20"/>
              </w:rPr>
              <w:t>$120,750</w:t>
            </w:r>
          </w:p>
        </w:tc>
        <w:tc>
          <w:tcPr>
            <w:tcW w:w="1207"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7A1AA55" w14:textId="77777777">
            <w:pPr>
              <w:keepNext/>
              <w:jc w:val="right"/>
              <w:rPr>
                <w:rFonts w:ascii="Arial" w:hAnsi="Arial" w:cs="Arial"/>
                <w:sz w:val="20"/>
                <w:szCs w:val="20"/>
              </w:rPr>
            </w:pPr>
            <w:r>
              <w:rPr>
                <w:rFonts w:ascii="Arial" w:hAnsi="Arial" w:cs="Arial"/>
                <w:sz w:val="20"/>
                <w:szCs w:val="20"/>
              </w:rPr>
              <w:t>403</w:t>
            </w:r>
          </w:p>
        </w:tc>
        <w:tc>
          <w:tcPr>
            <w:tcW w:w="1329"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01080CF" w14:textId="77777777">
            <w:pPr>
              <w:keepNext/>
              <w:jc w:val="right"/>
              <w:rPr>
                <w:rFonts w:ascii="Arial" w:hAnsi="Arial" w:cs="Arial"/>
                <w:sz w:val="20"/>
                <w:szCs w:val="20"/>
              </w:rPr>
            </w:pPr>
            <w:r>
              <w:rPr>
                <w:rFonts w:ascii="Arial" w:hAnsi="Arial" w:cs="Arial"/>
                <w:sz w:val="20"/>
                <w:szCs w:val="20"/>
              </w:rPr>
              <w:t>$3,220,000</w:t>
            </w:r>
          </w:p>
        </w:tc>
        <w:tc>
          <w:tcPr>
            <w:tcW w:w="1479"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642A3779" w14:textId="77777777">
            <w:pPr>
              <w:keepNext/>
              <w:jc w:val="right"/>
              <w:rPr>
                <w:rFonts w:ascii="Arial" w:hAnsi="Arial" w:cs="Arial"/>
                <w:sz w:val="20"/>
                <w:szCs w:val="20"/>
              </w:rPr>
            </w:pPr>
            <w:r>
              <w:rPr>
                <w:rFonts w:ascii="Arial" w:hAnsi="Arial" w:cs="Arial"/>
                <w:sz w:val="20"/>
                <w:szCs w:val="20"/>
              </w:rPr>
              <w:t>$5,051,367</w:t>
            </w:r>
          </w:p>
        </w:tc>
      </w:tr>
      <w:tr w:rsidR="003B0815" w14:paraId="64461090" w14:textId="77777777">
        <w:trPr>
          <w:trHeight w:val="270"/>
          <w:jc w:val="center"/>
        </w:trPr>
        <w:tc>
          <w:tcPr>
            <w:tcW w:w="694" w:type="dxa"/>
            <w:tcBorders>
              <w:top w:val="single" w:color="auto" w:sz="4" w:space="0"/>
              <w:left w:val="single" w:color="auto" w:sz="12" w:space="0"/>
              <w:bottom w:val="single" w:color="auto" w:sz="12" w:space="0"/>
              <w:right w:val="nil"/>
            </w:tcBorders>
            <w:noWrap/>
            <w:vAlign w:val="bottom"/>
          </w:tcPr>
          <w:p w:rsidR="003B0815" w:rsidRDefault="003B0815" w14:paraId="6C7F2774" w14:textId="77777777">
            <w:pPr>
              <w:jc w:val="center"/>
              <w:rPr>
                <w:rFonts w:ascii="Arial" w:hAnsi="Arial" w:cs="Arial"/>
                <w:b/>
                <w:sz w:val="20"/>
                <w:szCs w:val="20"/>
              </w:rPr>
            </w:pPr>
            <w:r>
              <w:rPr>
                <w:rFonts w:ascii="Arial" w:hAnsi="Arial" w:cs="Arial"/>
                <w:b/>
                <w:sz w:val="20"/>
                <w:szCs w:val="20"/>
              </w:rPr>
              <w:t>Total</w:t>
            </w:r>
          </w:p>
        </w:tc>
        <w:tc>
          <w:tcPr>
            <w:tcW w:w="1207" w:type="dxa"/>
            <w:tcBorders>
              <w:top w:val="single" w:color="auto" w:sz="4" w:space="0"/>
              <w:left w:val="nil"/>
              <w:bottom w:val="single" w:color="auto" w:sz="12" w:space="0"/>
              <w:right w:val="nil"/>
            </w:tcBorders>
            <w:noWrap/>
            <w:vAlign w:val="bottom"/>
          </w:tcPr>
          <w:p w:rsidR="003B0815" w:rsidRDefault="003B0815" w14:paraId="65197BBC" w14:textId="77777777">
            <w:pPr>
              <w:jc w:val="right"/>
              <w:rPr>
                <w:rFonts w:ascii="Arial" w:hAnsi="Arial" w:cs="Arial"/>
                <w:sz w:val="20"/>
                <w:szCs w:val="20"/>
              </w:rPr>
            </w:pPr>
            <w:r>
              <w:rPr>
                <w:rFonts w:ascii="Arial" w:hAnsi="Arial" w:cs="Arial"/>
                <w:sz w:val="20"/>
                <w:szCs w:val="20"/>
              </w:rPr>
              <w:t>24,150</w:t>
            </w:r>
          </w:p>
        </w:tc>
        <w:tc>
          <w:tcPr>
            <w:tcW w:w="1449" w:type="dxa"/>
            <w:tcBorders>
              <w:top w:val="single" w:color="auto" w:sz="4" w:space="0"/>
              <w:left w:val="nil"/>
              <w:bottom w:val="single" w:color="auto" w:sz="12" w:space="0"/>
              <w:right w:val="nil"/>
            </w:tcBorders>
            <w:noWrap/>
            <w:vAlign w:val="bottom"/>
          </w:tcPr>
          <w:p w:rsidR="003B0815" w:rsidRDefault="003B0815" w14:paraId="1DACB909" w14:textId="77777777">
            <w:pPr>
              <w:jc w:val="right"/>
              <w:rPr>
                <w:rFonts w:ascii="Arial" w:hAnsi="Arial" w:cs="Arial"/>
                <w:b/>
                <w:sz w:val="20"/>
                <w:szCs w:val="20"/>
              </w:rPr>
            </w:pPr>
            <w:r>
              <w:rPr>
                <w:rFonts w:ascii="Arial" w:hAnsi="Arial" w:cs="Arial"/>
                <w:b/>
                <w:sz w:val="20"/>
                <w:szCs w:val="20"/>
              </w:rPr>
              <w:t>$17,106,170</w:t>
            </w:r>
          </w:p>
        </w:tc>
        <w:tc>
          <w:tcPr>
            <w:tcW w:w="1221" w:type="dxa"/>
            <w:tcBorders>
              <w:top w:val="single" w:color="auto" w:sz="4" w:space="0"/>
              <w:left w:val="nil"/>
              <w:bottom w:val="single" w:color="auto" w:sz="12" w:space="0"/>
              <w:right w:val="nil"/>
            </w:tcBorders>
            <w:noWrap/>
            <w:vAlign w:val="bottom"/>
          </w:tcPr>
          <w:p w:rsidR="003B0815" w:rsidRDefault="003B0815" w14:paraId="06434AAA" w14:textId="77777777">
            <w:pPr>
              <w:jc w:val="right"/>
              <w:rPr>
                <w:rFonts w:ascii="Arial" w:hAnsi="Arial" w:cs="Arial"/>
                <w:sz w:val="20"/>
                <w:szCs w:val="20"/>
              </w:rPr>
            </w:pPr>
            <w:r>
              <w:rPr>
                <w:rFonts w:ascii="Arial" w:hAnsi="Arial" w:cs="Arial"/>
                <w:sz w:val="20"/>
                <w:szCs w:val="20"/>
              </w:rPr>
              <w:t>4,428</w:t>
            </w:r>
          </w:p>
        </w:tc>
        <w:tc>
          <w:tcPr>
            <w:tcW w:w="1217" w:type="dxa"/>
            <w:tcBorders>
              <w:top w:val="single" w:color="auto" w:sz="4" w:space="0"/>
              <w:left w:val="nil"/>
              <w:bottom w:val="single" w:color="auto" w:sz="12" w:space="0"/>
              <w:right w:val="nil"/>
            </w:tcBorders>
            <w:noWrap/>
            <w:vAlign w:val="bottom"/>
          </w:tcPr>
          <w:p w:rsidR="003B0815" w:rsidRDefault="003B0815" w14:paraId="5E941EAB" w14:textId="77777777">
            <w:pPr>
              <w:jc w:val="right"/>
              <w:rPr>
                <w:rFonts w:ascii="Arial" w:hAnsi="Arial" w:cs="Arial"/>
                <w:b/>
                <w:sz w:val="20"/>
                <w:szCs w:val="20"/>
              </w:rPr>
            </w:pPr>
            <w:r>
              <w:rPr>
                <w:rFonts w:ascii="Arial" w:hAnsi="Arial" w:cs="Arial"/>
                <w:b/>
                <w:sz w:val="20"/>
                <w:szCs w:val="20"/>
              </w:rPr>
              <w:t>$1,328,250</w:t>
            </w:r>
          </w:p>
        </w:tc>
        <w:tc>
          <w:tcPr>
            <w:tcW w:w="1207" w:type="dxa"/>
            <w:tcBorders>
              <w:top w:val="single" w:color="auto" w:sz="4" w:space="0"/>
              <w:left w:val="nil"/>
              <w:bottom w:val="single" w:color="auto" w:sz="12" w:space="0"/>
              <w:right w:val="nil"/>
            </w:tcBorders>
            <w:noWrap/>
            <w:vAlign w:val="bottom"/>
          </w:tcPr>
          <w:p w:rsidR="003B0815" w:rsidRDefault="003B0815" w14:paraId="736967D3" w14:textId="77777777">
            <w:pPr>
              <w:jc w:val="right"/>
              <w:rPr>
                <w:rFonts w:ascii="Arial" w:hAnsi="Arial" w:cs="Arial"/>
                <w:sz w:val="20"/>
                <w:szCs w:val="20"/>
              </w:rPr>
            </w:pPr>
            <w:r>
              <w:rPr>
                <w:rFonts w:ascii="Arial" w:hAnsi="Arial" w:cs="Arial"/>
                <w:sz w:val="20"/>
                <w:szCs w:val="20"/>
              </w:rPr>
              <w:t>4,428</w:t>
            </w:r>
          </w:p>
        </w:tc>
        <w:tc>
          <w:tcPr>
            <w:tcW w:w="1329" w:type="dxa"/>
            <w:tcBorders>
              <w:top w:val="single" w:color="auto" w:sz="4" w:space="0"/>
              <w:left w:val="nil"/>
              <w:bottom w:val="single" w:color="auto" w:sz="12" w:space="0"/>
              <w:right w:val="nil"/>
            </w:tcBorders>
            <w:noWrap/>
            <w:vAlign w:val="bottom"/>
          </w:tcPr>
          <w:p w:rsidR="003B0815" w:rsidRDefault="003B0815" w14:paraId="2DC10476" w14:textId="77777777">
            <w:pPr>
              <w:jc w:val="right"/>
              <w:rPr>
                <w:rFonts w:ascii="Arial" w:hAnsi="Arial" w:cs="Arial"/>
                <w:b/>
                <w:sz w:val="20"/>
                <w:szCs w:val="20"/>
              </w:rPr>
            </w:pPr>
            <w:r>
              <w:rPr>
                <w:rFonts w:ascii="Arial" w:hAnsi="Arial" w:cs="Arial"/>
                <w:b/>
                <w:sz w:val="20"/>
                <w:szCs w:val="20"/>
              </w:rPr>
              <w:t>$35,420,000</w:t>
            </w:r>
          </w:p>
        </w:tc>
        <w:tc>
          <w:tcPr>
            <w:tcW w:w="1479" w:type="dxa"/>
            <w:tcBorders>
              <w:top w:val="single" w:color="auto" w:sz="4" w:space="0"/>
              <w:left w:val="nil"/>
              <w:bottom w:val="single" w:color="auto" w:sz="12" w:space="0"/>
              <w:right w:val="single" w:color="auto" w:sz="12" w:space="0"/>
            </w:tcBorders>
            <w:noWrap/>
            <w:vAlign w:val="bottom"/>
          </w:tcPr>
          <w:p w:rsidR="003B0815" w:rsidRDefault="003B0815" w14:paraId="60D4F19D" w14:textId="77777777">
            <w:pPr>
              <w:jc w:val="right"/>
              <w:rPr>
                <w:rFonts w:ascii="Arial" w:hAnsi="Arial" w:cs="Arial"/>
                <w:b/>
                <w:sz w:val="20"/>
                <w:szCs w:val="20"/>
              </w:rPr>
            </w:pPr>
            <w:r>
              <w:rPr>
                <w:rFonts w:ascii="Arial" w:hAnsi="Arial" w:cs="Arial"/>
                <w:b/>
                <w:sz w:val="20"/>
                <w:szCs w:val="20"/>
              </w:rPr>
              <w:t>$53,854,420</w:t>
            </w:r>
          </w:p>
        </w:tc>
      </w:tr>
    </w:tbl>
    <w:p w:rsidR="003B0815" w:rsidRDefault="003B0815" w14:paraId="6EF6602B" w14:textId="77777777">
      <w:pPr>
        <w:spacing w:line="360" w:lineRule="auto"/>
        <w:ind w:firstLine="720"/>
      </w:pPr>
    </w:p>
    <w:p w:rsidR="003B0815" w:rsidRDefault="003B0815" w14:paraId="7CD4351F" w14:textId="77777777">
      <w:pPr>
        <w:spacing w:line="360" w:lineRule="auto"/>
        <w:ind w:firstLine="720"/>
      </w:pPr>
      <w:r>
        <w:t>The primary estimate assumes that scanners perform a “dumb” verification; that is, any information needed for the transaction is already contained in the scanner or the barcode.  Typically, this process requires the scanner to read the barcode and verify its legitimacy based on an algorithm stored in the scanner’s software.  In this scenario, the scanners need periodic synchronization to ensure that they contain updated encryption information.  If synchronization is performed once per day and takes one minute of employee time, synchronizing the 2,400 operating scanners require 14,700 labor hours per year.  If the security personnel checking boarding passes and passenger identification perform the synchronization, the total annual cost to synchronize all scanners will be $319,000 based on a $21.73 hourly rate for security personnel.</w:t>
      </w:r>
      <w:r>
        <w:rPr>
          <w:rStyle w:val="FootnoteReference"/>
        </w:rPr>
        <w:footnoteReference w:id="37"/>
      </w:r>
      <w:r>
        <w:t xml:space="preserve">  Over ten years, the cost will reach $3.2 million. Table 1.6.5.d shows the detailed calculation.</w:t>
      </w:r>
    </w:p>
    <w:tbl>
      <w:tblPr>
        <w:tblW w:w="6257" w:type="dxa"/>
        <w:jc w:val="center"/>
        <w:tblLook w:val="0000" w:firstRow="0" w:lastRow="0" w:firstColumn="0" w:lastColumn="0" w:noHBand="0" w:noVBand="0"/>
      </w:tblPr>
      <w:tblGrid>
        <w:gridCol w:w="328"/>
        <w:gridCol w:w="4712"/>
        <w:gridCol w:w="1217"/>
      </w:tblGrid>
      <w:tr w:rsidR="003B0815" w14:paraId="4906267E" w14:textId="77777777">
        <w:trPr>
          <w:trHeight w:val="270"/>
          <w:jc w:val="center"/>
        </w:trPr>
        <w:tc>
          <w:tcPr>
            <w:tcW w:w="6257" w:type="dxa"/>
            <w:gridSpan w:val="3"/>
            <w:tcBorders>
              <w:top w:val="nil"/>
              <w:left w:val="nil"/>
              <w:bottom w:val="single" w:color="auto" w:sz="12" w:space="0"/>
              <w:right w:val="nil"/>
            </w:tcBorders>
            <w:noWrap/>
            <w:vAlign w:val="bottom"/>
          </w:tcPr>
          <w:p w:rsidR="003B0815" w:rsidRDefault="003B0815" w14:paraId="7406EEDA" w14:textId="77777777">
            <w:pPr>
              <w:pStyle w:val="RegEvalTableHeader"/>
              <w:keepNext/>
            </w:pPr>
            <w:bookmarkStart w:name="_Toc165278395" w:id="342"/>
            <w:bookmarkStart w:name="_Toc174438397" w:id="343"/>
            <w:bookmarkStart w:name="_Toc207109534" w:id="344"/>
            <w:r>
              <w:t>Table 1.6.5.d Cost to Synchronize Scanners</w:t>
            </w:r>
            <w:bookmarkEnd w:id="342"/>
            <w:bookmarkEnd w:id="343"/>
            <w:bookmarkEnd w:id="344"/>
          </w:p>
        </w:tc>
      </w:tr>
      <w:tr w:rsidR="003B0815" w14:paraId="6B8B2243" w14:textId="77777777">
        <w:trPr>
          <w:trHeight w:val="255"/>
          <w:jc w:val="center"/>
        </w:trPr>
        <w:tc>
          <w:tcPr>
            <w:tcW w:w="328" w:type="dxa"/>
            <w:tcBorders>
              <w:top w:val="single" w:color="auto" w:sz="12" w:space="0"/>
              <w:left w:val="single" w:color="auto" w:sz="12" w:space="0"/>
              <w:bottom w:val="nil"/>
              <w:right w:val="nil"/>
            </w:tcBorders>
            <w:noWrap/>
            <w:vAlign w:val="bottom"/>
          </w:tcPr>
          <w:p w:rsidR="003B0815" w:rsidRDefault="003B0815" w14:paraId="0BFF8F03" w14:textId="77777777">
            <w:pPr>
              <w:keepNext/>
              <w:rPr>
                <w:rFonts w:ascii="Arial" w:hAnsi="Arial" w:cs="Arial"/>
                <w:sz w:val="20"/>
                <w:szCs w:val="20"/>
              </w:rPr>
            </w:pPr>
            <w:r>
              <w:rPr>
                <w:rFonts w:ascii="Arial" w:hAnsi="Arial" w:cs="Arial"/>
                <w:sz w:val="20"/>
                <w:szCs w:val="20"/>
              </w:rPr>
              <w:t>a</w:t>
            </w:r>
          </w:p>
        </w:tc>
        <w:tc>
          <w:tcPr>
            <w:tcW w:w="4712" w:type="dxa"/>
            <w:tcBorders>
              <w:top w:val="single" w:color="auto" w:sz="12" w:space="0"/>
              <w:left w:val="nil"/>
              <w:bottom w:val="nil"/>
              <w:right w:val="nil"/>
            </w:tcBorders>
            <w:noWrap/>
            <w:vAlign w:val="bottom"/>
          </w:tcPr>
          <w:p w:rsidR="003B0815" w:rsidRDefault="003B0815" w14:paraId="661E1465" w14:textId="77777777">
            <w:pPr>
              <w:keepNext/>
              <w:rPr>
                <w:rFonts w:ascii="Arial" w:hAnsi="Arial" w:cs="Arial"/>
                <w:sz w:val="20"/>
                <w:szCs w:val="20"/>
              </w:rPr>
            </w:pPr>
            <w:r>
              <w:rPr>
                <w:rFonts w:ascii="Arial" w:hAnsi="Arial" w:cs="Arial"/>
                <w:sz w:val="20"/>
                <w:szCs w:val="20"/>
              </w:rPr>
              <w:t>Hours per synchronization</w:t>
            </w:r>
          </w:p>
        </w:tc>
        <w:tc>
          <w:tcPr>
            <w:tcW w:w="1217" w:type="dxa"/>
            <w:tcBorders>
              <w:top w:val="single" w:color="auto" w:sz="12" w:space="0"/>
              <w:left w:val="nil"/>
              <w:bottom w:val="nil"/>
              <w:right w:val="single" w:color="auto" w:sz="12" w:space="0"/>
            </w:tcBorders>
            <w:noWrap/>
            <w:vAlign w:val="bottom"/>
          </w:tcPr>
          <w:p w:rsidR="003B0815" w:rsidRDefault="003B0815" w14:paraId="2B014A46" w14:textId="77777777">
            <w:pPr>
              <w:keepNext/>
              <w:jc w:val="right"/>
              <w:rPr>
                <w:rFonts w:ascii="Arial" w:hAnsi="Arial" w:cs="Arial"/>
                <w:sz w:val="20"/>
                <w:szCs w:val="20"/>
              </w:rPr>
            </w:pPr>
            <w:r>
              <w:rPr>
                <w:rFonts w:ascii="Arial" w:hAnsi="Arial" w:cs="Arial"/>
                <w:sz w:val="20"/>
                <w:szCs w:val="20"/>
              </w:rPr>
              <w:t>0.0167</w:t>
            </w:r>
          </w:p>
        </w:tc>
      </w:tr>
      <w:tr w:rsidR="003B0815" w14:paraId="2F8CF6A4" w14:textId="77777777">
        <w:trPr>
          <w:trHeight w:val="255"/>
          <w:jc w:val="center"/>
        </w:trPr>
        <w:tc>
          <w:tcPr>
            <w:tcW w:w="328" w:type="dxa"/>
            <w:tcBorders>
              <w:top w:val="nil"/>
              <w:left w:val="single" w:color="auto" w:sz="12" w:space="0"/>
              <w:bottom w:val="nil"/>
              <w:right w:val="nil"/>
            </w:tcBorders>
            <w:noWrap/>
            <w:vAlign w:val="bottom"/>
          </w:tcPr>
          <w:p w:rsidR="003B0815" w:rsidRDefault="003B0815" w14:paraId="53AE6571" w14:textId="77777777">
            <w:pPr>
              <w:keepNext/>
              <w:rPr>
                <w:rFonts w:ascii="Arial" w:hAnsi="Arial" w:cs="Arial"/>
                <w:sz w:val="20"/>
                <w:szCs w:val="20"/>
              </w:rPr>
            </w:pPr>
            <w:r>
              <w:rPr>
                <w:rFonts w:ascii="Arial" w:hAnsi="Arial" w:cs="Arial"/>
                <w:sz w:val="20"/>
                <w:szCs w:val="20"/>
              </w:rPr>
              <w:t>b</w:t>
            </w:r>
          </w:p>
        </w:tc>
        <w:tc>
          <w:tcPr>
            <w:tcW w:w="4712" w:type="dxa"/>
            <w:tcBorders>
              <w:top w:val="nil"/>
              <w:left w:val="nil"/>
              <w:bottom w:val="nil"/>
              <w:right w:val="nil"/>
            </w:tcBorders>
            <w:noWrap/>
            <w:vAlign w:val="bottom"/>
          </w:tcPr>
          <w:p w:rsidR="003B0815" w:rsidRDefault="003B0815" w14:paraId="647678B0" w14:textId="77777777">
            <w:pPr>
              <w:keepNext/>
              <w:rPr>
                <w:rFonts w:ascii="Arial" w:hAnsi="Arial" w:cs="Arial"/>
                <w:sz w:val="20"/>
                <w:szCs w:val="20"/>
              </w:rPr>
            </w:pPr>
            <w:r>
              <w:rPr>
                <w:rFonts w:ascii="Arial" w:hAnsi="Arial" w:cs="Arial"/>
                <w:sz w:val="20"/>
                <w:szCs w:val="20"/>
              </w:rPr>
              <w:t>Synchs per year per scanner</w:t>
            </w:r>
          </w:p>
        </w:tc>
        <w:tc>
          <w:tcPr>
            <w:tcW w:w="1217" w:type="dxa"/>
            <w:tcBorders>
              <w:top w:val="nil"/>
              <w:left w:val="nil"/>
              <w:bottom w:val="nil"/>
              <w:right w:val="single" w:color="auto" w:sz="12" w:space="0"/>
            </w:tcBorders>
            <w:noWrap/>
            <w:vAlign w:val="bottom"/>
          </w:tcPr>
          <w:p w:rsidR="003B0815" w:rsidRDefault="003B0815" w14:paraId="3000F392" w14:textId="77777777">
            <w:pPr>
              <w:keepNext/>
              <w:jc w:val="right"/>
              <w:rPr>
                <w:rFonts w:ascii="Arial" w:hAnsi="Arial" w:cs="Arial"/>
                <w:sz w:val="20"/>
                <w:szCs w:val="20"/>
              </w:rPr>
            </w:pPr>
            <w:r>
              <w:rPr>
                <w:rFonts w:ascii="Arial" w:hAnsi="Arial" w:cs="Arial"/>
                <w:sz w:val="20"/>
                <w:szCs w:val="20"/>
              </w:rPr>
              <w:t>365</w:t>
            </w:r>
          </w:p>
        </w:tc>
      </w:tr>
      <w:tr w:rsidR="003B0815" w14:paraId="10962D31" w14:textId="77777777">
        <w:trPr>
          <w:trHeight w:val="255"/>
          <w:jc w:val="center"/>
        </w:trPr>
        <w:tc>
          <w:tcPr>
            <w:tcW w:w="328" w:type="dxa"/>
            <w:tcBorders>
              <w:top w:val="nil"/>
              <w:left w:val="single" w:color="auto" w:sz="12" w:space="0"/>
              <w:bottom w:val="single" w:color="auto" w:sz="8" w:space="0"/>
              <w:right w:val="nil"/>
            </w:tcBorders>
            <w:noWrap/>
            <w:vAlign w:val="bottom"/>
          </w:tcPr>
          <w:p w:rsidR="003B0815" w:rsidRDefault="003B0815" w14:paraId="4DDEB9CF" w14:textId="77777777">
            <w:pPr>
              <w:keepNext/>
              <w:rPr>
                <w:rFonts w:ascii="Arial" w:hAnsi="Arial" w:cs="Arial"/>
                <w:sz w:val="20"/>
                <w:szCs w:val="20"/>
              </w:rPr>
            </w:pPr>
            <w:r>
              <w:rPr>
                <w:rFonts w:ascii="Arial" w:hAnsi="Arial" w:cs="Arial"/>
                <w:sz w:val="20"/>
                <w:szCs w:val="20"/>
              </w:rPr>
              <w:t>c</w:t>
            </w:r>
          </w:p>
        </w:tc>
        <w:tc>
          <w:tcPr>
            <w:tcW w:w="4712" w:type="dxa"/>
            <w:tcBorders>
              <w:top w:val="nil"/>
              <w:left w:val="nil"/>
              <w:bottom w:val="single" w:color="auto" w:sz="8" w:space="0"/>
              <w:right w:val="nil"/>
            </w:tcBorders>
            <w:noWrap/>
            <w:vAlign w:val="bottom"/>
          </w:tcPr>
          <w:p w:rsidR="003B0815" w:rsidRDefault="003B0815" w14:paraId="748B17EE" w14:textId="77777777">
            <w:pPr>
              <w:keepNext/>
              <w:rPr>
                <w:rFonts w:ascii="Arial" w:hAnsi="Arial" w:cs="Arial"/>
                <w:sz w:val="20"/>
                <w:szCs w:val="20"/>
              </w:rPr>
            </w:pPr>
            <w:r>
              <w:rPr>
                <w:rFonts w:ascii="Arial" w:hAnsi="Arial" w:cs="Arial"/>
                <w:sz w:val="20"/>
                <w:szCs w:val="20"/>
              </w:rPr>
              <w:t>Total operational scanners</w:t>
            </w:r>
          </w:p>
        </w:tc>
        <w:tc>
          <w:tcPr>
            <w:tcW w:w="1217" w:type="dxa"/>
            <w:tcBorders>
              <w:top w:val="nil"/>
              <w:left w:val="nil"/>
              <w:bottom w:val="single" w:color="auto" w:sz="8" w:space="0"/>
              <w:right w:val="single" w:color="auto" w:sz="12" w:space="0"/>
            </w:tcBorders>
            <w:noWrap/>
            <w:vAlign w:val="bottom"/>
          </w:tcPr>
          <w:p w:rsidR="003B0815" w:rsidRDefault="003B0815" w14:paraId="17220E95" w14:textId="77777777">
            <w:pPr>
              <w:keepNext/>
              <w:jc w:val="right"/>
              <w:rPr>
                <w:rFonts w:ascii="Arial" w:hAnsi="Arial" w:cs="Arial"/>
                <w:sz w:val="20"/>
                <w:szCs w:val="20"/>
              </w:rPr>
            </w:pPr>
            <w:r>
              <w:rPr>
                <w:rFonts w:ascii="Arial" w:hAnsi="Arial" w:cs="Arial"/>
                <w:sz w:val="20"/>
                <w:szCs w:val="20"/>
              </w:rPr>
              <w:t>2,415</w:t>
            </w:r>
          </w:p>
        </w:tc>
      </w:tr>
      <w:tr w:rsidR="003B0815" w14:paraId="7C5DB3DC" w14:textId="77777777">
        <w:trPr>
          <w:trHeight w:val="255"/>
          <w:jc w:val="center"/>
        </w:trPr>
        <w:tc>
          <w:tcPr>
            <w:tcW w:w="328" w:type="dxa"/>
            <w:tcBorders>
              <w:top w:val="single" w:color="auto" w:sz="8" w:space="0"/>
              <w:left w:val="single" w:color="auto" w:sz="12" w:space="0"/>
              <w:bottom w:val="nil"/>
              <w:right w:val="nil"/>
            </w:tcBorders>
            <w:noWrap/>
            <w:vAlign w:val="bottom"/>
          </w:tcPr>
          <w:p w:rsidR="003B0815" w:rsidRDefault="003B0815" w14:paraId="6C507A14" w14:textId="77777777">
            <w:pPr>
              <w:keepNext/>
              <w:rPr>
                <w:rFonts w:ascii="Arial" w:hAnsi="Arial" w:cs="Arial"/>
                <w:sz w:val="20"/>
                <w:szCs w:val="20"/>
              </w:rPr>
            </w:pPr>
            <w:r>
              <w:rPr>
                <w:rFonts w:ascii="Arial" w:hAnsi="Arial" w:cs="Arial"/>
                <w:sz w:val="20"/>
                <w:szCs w:val="20"/>
              </w:rPr>
              <w:t>d</w:t>
            </w:r>
          </w:p>
        </w:tc>
        <w:tc>
          <w:tcPr>
            <w:tcW w:w="4712" w:type="dxa"/>
            <w:tcBorders>
              <w:top w:val="single" w:color="auto" w:sz="8" w:space="0"/>
              <w:left w:val="nil"/>
              <w:bottom w:val="nil"/>
              <w:right w:val="nil"/>
            </w:tcBorders>
            <w:noWrap/>
            <w:vAlign w:val="bottom"/>
          </w:tcPr>
          <w:p w:rsidR="003B0815" w:rsidRDefault="003B0815" w14:paraId="666843D4" w14:textId="77777777">
            <w:pPr>
              <w:keepNext/>
              <w:rPr>
                <w:rFonts w:ascii="Arial" w:hAnsi="Arial" w:cs="Arial"/>
                <w:sz w:val="20"/>
                <w:szCs w:val="20"/>
              </w:rPr>
            </w:pPr>
            <w:r>
              <w:rPr>
                <w:rFonts w:ascii="Arial" w:hAnsi="Arial" w:cs="Arial"/>
                <w:sz w:val="20"/>
                <w:szCs w:val="20"/>
              </w:rPr>
              <w:t>Total Synch hours (= a * b * c )</w:t>
            </w:r>
          </w:p>
        </w:tc>
        <w:tc>
          <w:tcPr>
            <w:tcW w:w="1217" w:type="dxa"/>
            <w:tcBorders>
              <w:top w:val="single" w:color="auto" w:sz="8" w:space="0"/>
              <w:left w:val="nil"/>
              <w:bottom w:val="nil"/>
              <w:right w:val="single" w:color="auto" w:sz="12" w:space="0"/>
            </w:tcBorders>
            <w:noWrap/>
            <w:vAlign w:val="bottom"/>
          </w:tcPr>
          <w:p w:rsidR="003B0815" w:rsidRDefault="003B0815" w14:paraId="48FF11E1" w14:textId="77777777">
            <w:pPr>
              <w:keepNext/>
              <w:jc w:val="right"/>
              <w:rPr>
                <w:rFonts w:ascii="Arial" w:hAnsi="Arial" w:cs="Arial"/>
                <w:sz w:val="20"/>
                <w:szCs w:val="20"/>
              </w:rPr>
            </w:pPr>
            <w:r>
              <w:rPr>
                <w:rFonts w:ascii="Arial" w:hAnsi="Arial" w:cs="Arial"/>
                <w:sz w:val="20"/>
                <w:szCs w:val="20"/>
              </w:rPr>
              <w:t>14,691</w:t>
            </w:r>
          </w:p>
        </w:tc>
      </w:tr>
      <w:tr w:rsidR="003B0815" w14:paraId="17788DA7" w14:textId="77777777">
        <w:trPr>
          <w:trHeight w:val="255"/>
          <w:jc w:val="center"/>
        </w:trPr>
        <w:tc>
          <w:tcPr>
            <w:tcW w:w="328" w:type="dxa"/>
            <w:tcBorders>
              <w:top w:val="nil"/>
              <w:left w:val="single" w:color="auto" w:sz="12" w:space="0"/>
              <w:bottom w:val="single" w:color="auto" w:sz="8" w:space="0"/>
              <w:right w:val="nil"/>
            </w:tcBorders>
            <w:noWrap/>
            <w:vAlign w:val="bottom"/>
          </w:tcPr>
          <w:p w:rsidR="003B0815" w:rsidRDefault="003B0815" w14:paraId="31C9F7EF" w14:textId="77777777">
            <w:pPr>
              <w:keepNext/>
              <w:rPr>
                <w:rFonts w:ascii="Arial" w:hAnsi="Arial" w:cs="Arial"/>
                <w:sz w:val="20"/>
                <w:szCs w:val="20"/>
              </w:rPr>
            </w:pPr>
            <w:r>
              <w:rPr>
                <w:rFonts w:ascii="Arial" w:hAnsi="Arial" w:cs="Arial"/>
                <w:sz w:val="20"/>
                <w:szCs w:val="20"/>
              </w:rPr>
              <w:t>e</w:t>
            </w:r>
          </w:p>
        </w:tc>
        <w:tc>
          <w:tcPr>
            <w:tcW w:w="4712" w:type="dxa"/>
            <w:tcBorders>
              <w:top w:val="nil"/>
              <w:left w:val="nil"/>
              <w:bottom w:val="single" w:color="auto" w:sz="8" w:space="0"/>
              <w:right w:val="nil"/>
            </w:tcBorders>
            <w:noWrap/>
            <w:vAlign w:val="bottom"/>
          </w:tcPr>
          <w:p w:rsidR="003B0815" w:rsidRDefault="003B0815" w14:paraId="2C394CCA" w14:textId="77777777">
            <w:pPr>
              <w:keepNext/>
              <w:rPr>
                <w:rFonts w:ascii="Arial" w:hAnsi="Arial" w:cs="Arial"/>
                <w:sz w:val="20"/>
                <w:szCs w:val="20"/>
              </w:rPr>
            </w:pPr>
            <w:r>
              <w:rPr>
                <w:rFonts w:ascii="Arial" w:hAnsi="Arial" w:cs="Arial"/>
                <w:sz w:val="20"/>
                <w:szCs w:val="20"/>
              </w:rPr>
              <w:t>Security personnel wage</w:t>
            </w:r>
          </w:p>
        </w:tc>
        <w:tc>
          <w:tcPr>
            <w:tcW w:w="1217" w:type="dxa"/>
            <w:tcBorders>
              <w:top w:val="nil"/>
              <w:left w:val="nil"/>
              <w:bottom w:val="single" w:color="auto" w:sz="8" w:space="0"/>
              <w:right w:val="single" w:color="auto" w:sz="12" w:space="0"/>
            </w:tcBorders>
            <w:noWrap/>
            <w:vAlign w:val="bottom"/>
          </w:tcPr>
          <w:p w:rsidR="003B0815" w:rsidRDefault="003B0815" w14:paraId="2D43A75E" w14:textId="77777777">
            <w:pPr>
              <w:keepNext/>
              <w:jc w:val="right"/>
              <w:rPr>
                <w:rFonts w:ascii="Arial" w:hAnsi="Arial" w:cs="Arial"/>
                <w:sz w:val="20"/>
                <w:szCs w:val="20"/>
              </w:rPr>
            </w:pPr>
            <w:r>
              <w:rPr>
                <w:rFonts w:ascii="Arial" w:hAnsi="Arial" w:cs="Arial"/>
                <w:sz w:val="20"/>
                <w:szCs w:val="20"/>
              </w:rPr>
              <w:t xml:space="preserve">$21.73 </w:t>
            </w:r>
          </w:p>
        </w:tc>
      </w:tr>
      <w:tr w:rsidR="003B0815" w14:paraId="4A70E291" w14:textId="77777777">
        <w:trPr>
          <w:trHeight w:val="255"/>
          <w:jc w:val="center"/>
        </w:trPr>
        <w:tc>
          <w:tcPr>
            <w:tcW w:w="328" w:type="dxa"/>
            <w:tcBorders>
              <w:top w:val="single" w:color="auto" w:sz="8" w:space="0"/>
              <w:left w:val="single" w:color="auto" w:sz="12" w:space="0"/>
              <w:bottom w:val="single" w:color="auto" w:sz="8" w:space="0"/>
              <w:right w:val="nil"/>
            </w:tcBorders>
            <w:noWrap/>
            <w:vAlign w:val="bottom"/>
          </w:tcPr>
          <w:p w:rsidR="003B0815" w:rsidRDefault="003B0815" w14:paraId="06DF049B" w14:textId="77777777">
            <w:pPr>
              <w:keepNext/>
              <w:rPr>
                <w:rFonts w:ascii="Arial" w:hAnsi="Arial" w:cs="Arial"/>
                <w:sz w:val="20"/>
                <w:szCs w:val="20"/>
              </w:rPr>
            </w:pPr>
            <w:r>
              <w:rPr>
                <w:rFonts w:ascii="Arial" w:hAnsi="Arial" w:cs="Arial"/>
                <w:sz w:val="20"/>
                <w:szCs w:val="20"/>
              </w:rPr>
              <w:t>f</w:t>
            </w:r>
          </w:p>
        </w:tc>
        <w:tc>
          <w:tcPr>
            <w:tcW w:w="4712" w:type="dxa"/>
            <w:tcBorders>
              <w:top w:val="single" w:color="auto" w:sz="8" w:space="0"/>
              <w:left w:val="nil"/>
              <w:bottom w:val="single" w:color="auto" w:sz="8" w:space="0"/>
              <w:right w:val="nil"/>
            </w:tcBorders>
            <w:noWrap/>
            <w:vAlign w:val="bottom"/>
          </w:tcPr>
          <w:p w:rsidR="003B0815" w:rsidRDefault="003B0815" w14:paraId="34C065FB" w14:textId="77777777">
            <w:pPr>
              <w:keepNext/>
              <w:rPr>
                <w:rFonts w:ascii="Arial" w:hAnsi="Arial" w:cs="Arial"/>
                <w:sz w:val="20"/>
                <w:szCs w:val="20"/>
              </w:rPr>
            </w:pPr>
            <w:r>
              <w:rPr>
                <w:rFonts w:ascii="Arial" w:hAnsi="Arial" w:cs="Arial"/>
                <w:sz w:val="20"/>
                <w:szCs w:val="20"/>
              </w:rPr>
              <w:t>Total cost to synchronize scanner / year (= d * e )</w:t>
            </w:r>
          </w:p>
        </w:tc>
        <w:tc>
          <w:tcPr>
            <w:tcW w:w="1217" w:type="dxa"/>
            <w:tcBorders>
              <w:top w:val="single" w:color="auto" w:sz="8" w:space="0"/>
              <w:left w:val="nil"/>
              <w:bottom w:val="single" w:color="auto" w:sz="8" w:space="0"/>
              <w:right w:val="single" w:color="auto" w:sz="12" w:space="0"/>
            </w:tcBorders>
            <w:noWrap/>
            <w:vAlign w:val="bottom"/>
          </w:tcPr>
          <w:p w:rsidR="003B0815" w:rsidRDefault="003B0815" w14:paraId="54152673" w14:textId="77777777">
            <w:pPr>
              <w:keepNext/>
              <w:jc w:val="right"/>
              <w:rPr>
                <w:rFonts w:ascii="Arial" w:hAnsi="Arial" w:cs="Arial"/>
                <w:sz w:val="20"/>
                <w:szCs w:val="20"/>
              </w:rPr>
            </w:pPr>
            <w:r>
              <w:rPr>
                <w:rFonts w:ascii="Arial" w:hAnsi="Arial" w:cs="Arial"/>
                <w:sz w:val="20"/>
                <w:szCs w:val="20"/>
              </w:rPr>
              <w:t>$319,241</w:t>
            </w:r>
          </w:p>
        </w:tc>
      </w:tr>
      <w:tr w:rsidR="003B0815" w14:paraId="0806ED87" w14:textId="77777777">
        <w:trPr>
          <w:trHeight w:val="270"/>
          <w:jc w:val="center"/>
        </w:trPr>
        <w:tc>
          <w:tcPr>
            <w:tcW w:w="328" w:type="dxa"/>
            <w:tcBorders>
              <w:top w:val="single" w:color="auto" w:sz="8" w:space="0"/>
              <w:left w:val="single" w:color="auto" w:sz="12" w:space="0"/>
              <w:bottom w:val="single" w:color="auto" w:sz="12" w:space="0"/>
              <w:right w:val="nil"/>
            </w:tcBorders>
            <w:noWrap/>
            <w:vAlign w:val="bottom"/>
          </w:tcPr>
          <w:p w:rsidR="003B0815" w:rsidRDefault="003B0815" w14:paraId="67B0B7E1" w14:textId="77777777">
            <w:pPr>
              <w:rPr>
                <w:rFonts w:ascii="Arial" w:hAnsi="Arial" w:cs="Arial"/>
                <w:sz w:val="20"/>
                <w:szCs w:val="20"/>
              </w:rPr>
            </w:pPr>
            <w:r>
              <w:rPr>
                <w:rFonts w:ascii="Arial" w:hAnsi="Arial" w:cs="Arial"/>
                <w:sz w:val="20"/>
                <w:szCs w:val="20"/>
              </w:rPr>
              <w:t>g</w:t>
            </w:r>
          </w:p>
        </w:tc>
        <w:tc>
          <w:tcPr>
            <w:tcW w:w="4712" w:type="dxa"/>
            <w:tcBorders>
              <w:top w:val="single" w:color="auto" w:sz="8" w:space="0"/>
              <w:left w:val="nil"/>
              <w:bottom w:val="single" w:color="auto" w:sz="12" w:space="0"/>
              <w:right w:val="nil"/>
            </w:tcBorders>
            <w:noWrap/>
            <w:vAlign w:val="bottom"/>
          </w:tcPr>
          <w:p w:rsidR="003B0815" w:rsidRDefault="003B0815" w14:paraId="018B1F77" w14:textId="77777777">
            <w:pPr>
              <w:rPr>
                <w:rFonts w:ascii="Arial" w:hAnsi="Arial" w:cs="Arial"/>
                <w:b/>
                <w:bCs/>
                <w:sz w:val="20"/>
                <w:szCs w:val="20"/>
              </w:rPr>
            </w:pPr>
            <w:r>
              <w:rPr>
                <w:rFonts w:ascii="Arial" w:hAnsi="Arial" w:cs="Arial"/>
                <w:b/>
                <w:bCs/>
                <w:sz w:val="20"/>
                <w:szCs w:val="20"/>
              </w:rPr>
              <w:t>Ten-year total (= f * 10 )</w:t>
            </w:r>
          </w:p>
        </w:tc>
        <w:tc>
          <w:tcPr>
            <w:tcW w:w="1217" w:type="dxa"/>
            <w:tcBorders>
              <w:top w:val="single" w:color="auto" w:sz="8" w:space="0"/>
              <w:left w:val="nil"/>
              <w:bottom w:val="single" w:color="auto" w:sz="12" w:space="0"/>
              <w:right w:val="single" w:color="auto" w:sz="12" w:space="0"/>
            </w:tcBorders>
            <w:noWrap/>
            <w:vAlign w:val="bottom"/>
          </w:tcPr>
          <w:p w:rsidR="003B0815" w:rsidRDefault="003B0815" w14:paraId="5142BAD9" w14:textId="77777777">
            <w:pPr>
              <w:jc w:val="right"/>
              <w:rPr>
                <w:rFonts w:ascii="Arial" w:hAnsi="Arial" w:cs="Arial"/>
                <w:b/>
                <w:bCs/>
                <w:sz w:val="20"/>
                <w:szCs w:val="20"/>
              </w:rPr>
            </w:pPr>
            <w:r>
              <w:rPr>
                <w:rFonts w:ascii="Arial" w:hAnsi="Arial" w:cs="Arial"/>
                <w:b/>
                <w:bCs/>
                <w:sz w:val="20"/>
                <w:szCs w:val="20"/>
              </w:rPr>
              <w:t>$3,192,409</w:t>
            </w:r>
          </w:p>
        </w:tc>
      </w:tr>
    </w:tbl>
    <w:p w:rsidR="003B0815" w:rsidRDefault="003B0815" w14:paraId="0CD3190E" w14:textId="77777777">
      <w:pPr>
        <w:spacing w:line="360" w:lineRule="auto"/>
        <w:ind w:firstLine="720"/>
      </w:pPr>
    </w:p>
    <w:p w:rsidR="003B0815" w:rsidRDefault="003B0815" w14:paraId="1974ECBB" w14:textId="77777777">
      <w:pPr>
        <w:spacing w:line="360" w:lineRule="auto"/>
        <w:ind w:firstLine="720"/>
      </w:pPr>
      <w:r>
        <w:t>Adding inventory costs to synchronization costs yields a 10-year primary estimate of $57.0 million. Annual detail is in Table 1.6.5.e.</w:t>
      </w:r>
    </w:p>
    <w:tbl>
      <w:tblPr>
        <w:tblW w:w="3940" w:type="dxa"/>
        <w:jc w:val="center"/>
        <w:tblLook w:val="0000" w:firstRow="0" w:lastRow="0" w:firstColumn="0" w:lastColumn="0" w:noHBand="0" w:noVBand="0"/>
      </w:tblPr>
      <w:tblGrid>
        <w:gridCol w:w="810"/>
        <w:gridCol w:w="1466"/>
        <w:gridCol w:w="753"/>
        <w:gridCol w:w="911"/>
      </w:tblGrid>
      <w:tr w:rsidR="003B0815" w14:paraId="668C98A5" w14:textId="77777777">
        <w:trPr>
          <w:trHeight w:val="525"/>
          <w:jc w:val="center"/>
        </w:trPr>
        <w:tc>
          <w:tcPr>
            <w:tcW w:w="3940" w:type="dxa"/>
            <w:gridSpan w:val="4"/>
            <w:tcBorders>
              <w:top w:val="nil"/>
              <w:left w:val="nil"/>
              <w:bottom w:val="single" w:color="auto" w:sz="12" w:space="0"/>
              <w:right w:val="nil"/>
            </w:tcBorders>
            <w:vAlign w:val="bottom"/>
          </w:tcPr>
          <w:p w:rsidR="003B0815" w:rsidRDefault="003B0815" w14:paraId="35AA6FB7" w14:textId="77777777">
            <w:pPr>
              <w:pStyle w:val="RegEvalTableHeader"/>
              <w:keepNext/>
            </w:pPr>
            <w:bookmarkStart w:name="_Toc165278396" w:id="345"/>
            <w:bookmarkStart w:name="_Toc174438398" w:id="346"/>
            <w:bookmarkStart w:name="_Toc207109535" w:id="347"/>
            <w:r>
              <w:t>Table 1.6.5.e Cost to Scan Barcodes with Synchronized Scanners, Primary Scenario (Millions)</w:t>
            </w:r>
            <w:bookmarkEnd w:id="345"/>
            <w:bookmarkEnd w:id="346"/>
            <w:bookmarkEnd w:id="347"/>
          </w:p>
        </w:tc>
      </w:tr>
      <w:tr w:rsidR="003B0815" w14:paraId="0A41C3C4" w14:textId="77777777">
        <w:trPr>
          <w:trHeight w:val="255"/>
          <w:jc w:val="center"/>
        </w:trPr>
        <w:tc>
          <w:tcPr>
            <w:tcW w:w="810" w:type="dxa"/>
            <w:tcBorders>
              <w:top w:val="single" w:color="auto" w:sz="12" w:space="0"/>
              <w:left w:val="single" w:color="auto" w:sz="12" w:space="0"/>
              <w:bottom w:val="single" w:color="auto" w:sz="4" w:space="0"/>
              <w:right w:val="single" w:color="auto" w:sz="4" w:space="0"/>
            </w:tcBorders>
            <w:noWrap/>
            <w:vAlign w:val="bottom"/>
          </w:tcPr>
          <w:p w:rsidR="003B0815" w:rsidRDefault="003B0815" w14:paraId="3AC8D1A0" w14:textId="77777777">
            <w:pPr>
              <w:keepNext/>
              <w:jc w:val="center"/>
              <w:rPr>
                <w:rFonts w:ascii="Arial" w:hAnsi="Arial" w:cs="Arial"/>
                <w:b/>
                <w:sz w:val="20"/>
                <w:szCs w:val="20"/>
              </w:rPr>
            </w:pPr>
            <w:r>
              <w:rPr>
                <w:rFonts w:ascii="Arial" w:hAnsi="Arial" w:cs="Arial"/>
                <w:b/>
                <w:sz w:val="20"/>
                <w:szCs w:val="20"/>
              </w:rPr>
              <w:t>Year</w:t>
            </w:r>
          </w:p>
        </w:tc>
        <w:tc>
          <w:tcPr>
            <w:tcW w:w="1466"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451EBF3E" w14:textId="77777777">
            <w:pPr>
              <w:keepNext/>
              <w:jc w:val="center"/>
              <w:rPr>
                <w:rFonts w:ascii="Arial" w:hAnsi="Arial" w:cs="Arial"/>
                <w:b/>
                <w:sz w:val="20"/>
                <w:szCs w:val="20"/>
              </w:rPr>
            </w:pPr>
            <w:r>
              <w:rPr>
                <w:rFonts w:ascii="Arial" w:hAnsi="Arial" w:cs="Arial"/>
                <w:b/>
                <w:sz w:val="20"/>
                <w:szCs w:val="20"/>
              </w:rPr>
              <w:t>Inventory</w:t>
            </w:r>
          </w:p>
        </w:tc>
        <w:tc>
          <w:tcPr>
            <w:tcW w:w="753"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479B7860" w14:textId="77777777">
            <w:pPr>
              <w:keepNext/>
              <w:jc w:val="center"/>
              <w:rPr>
                <w:rFonts w:ascii="Arial" w:hAnsi="Arial" w:cs="Arial"/>
                <w:b/>
                <w:sz w:val="20"/>
                <w:szCs w:val="20"/>
              </w:rPr>
            </w:pPr>
            <w:r>
              <w:rPr>
                <w:rFonts w:ascii="Arial" w:hAnsi="Arial" w:cs="Arial"/>
                <w:b/>
                <w:sz w:val="20"/>
                <w:szCs w:val="20"/>
              </w:rPr>
              <w:t>Data</w:t>
            </w:r>
          </w:p>
        </w:tc>
        <w:tc>
          <w:tcPr>
            <w:tcW w:w="911" w:type="dxa"/>
            <w:tcBorders>
              <w:top w:val="single" w:color="auto" w:sz="12" w:space="0"/>
              <w:left w:val="single" w:color="auto" w:sz="4" w:space="0"/>
              <w:bottom w:val="single" w:color="auto" w:sz="4" w:space="0"/>
              <w:right w:val="single" w:color="auto" w:sz="12" w:space="0"/>
            </w:tcBorders>
            <w:noWrap/>
            <w:vAlign w:val="bottom"/>
          </w:tcPr>
          <w:p w:rsidR="003B0815" w:rsidRDefault="003B0815" w14:paraId="3265E653" w14:textId="77777777">
            <w:pPr>
              <w:keepNext/>
              <w:jc w:val="center"/>
              <w:rPr>
                <w:rFonts w:ascii="Arial" w:hAnsi="Arial" w:cs="Arial"/>
                <w:b/>
                <w:sz w:val="20"/>
                <w:szCs w:val="20"/>
              </w:rPr>
            </w:pPr>
            <w:r>
              <w:rPr>
                <w:rFonts w:ascii="Arial" w:hAnsi="Arial" w:cs="Arial"/>
                <w:b/>
                <w:sz w:val="20"/>
                <w:szCs w:val="20"/>
              </w:rPr>
              <w:t>Total</w:t>
            </w:r>
          </w:p>
        </w:tc>
      </w:tr>
      <w:tr w:rsidR="003B0815" w14:paraId="27B8E27E"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7FFDFDE" w14:textId="77777777">
            <w:pPr>
              <w:keepNext/>
              <w:jc w:val="center"/>
              <w:rPr>
                <w:rFonts w:ascii="Arial" w:hAnsi="Arial" w:cs="Arial"/>
                <w:sz w:val="20"/>
                <w:szCs w:val="20"/>
              </w:rPr>
            </w:pPr>
            <w:r>
              <w:rPr>
                <w:rFonts w:ascii="Arial" w:hAnsi="Arial"/>
                <w:sz w:val="20"/>
                <w:szCs w:val="20"/>
              </w:rPr>
              <w:t>1</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E3BFAD3" w14:textId="77777777">
            <w:pPr>
              <w:keepNext/>
              <w:jc w:val="right"/>
              <w:rPr>
                <w:rFonts w:ascii="Arial" w:hAnsi="Arial" w:cs="Arial"/>
                <w:sz w:val="20"/>
                <w:szCs w:val="20"/>
              </w:rPr>
            </w:pPr>
            <w:r>
              <w:rPr>
                <w:rFonts w:ascii="Arial" w:hAnsi="Arial" w:cs="Arial"/>
                <w:sz w:val="20"/>
                <w:szCs w:val="20"/>
              </w:rPr>
              <w:t>$8.4</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E124CD0"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4F19B170" w14:textId="77777777">
            <w:pPr>
              <w:keepNext/>
              <w:jc w:val="right"/>
              <w:rPr>
                <w:rFonts w:ascii="Arial" w:hAnsi="Arial" w:cs="Arial"/>
                <w:b/>
                <w:sz w:val="20"/>
                <w:szCs w:val="20"/>
              </w:rPr>
            </w:pPr>
            <w:r>
              <w:rPr>
                <w:rFonts w:ascii="Arial" w:hAnsi="Arial" w:cs="Arial"/>
                <w:b/>
                <w:sz w:val="20"/>
                <w:szCs w:val="20"/>
              </w:rPr>
              <w:t>$8.7</w:t>
            </w:r>
          </w:p>
        </w:tc>
      </w:tr>
      <w:tr w:rsidR="003B0815" w14:paraId="4102A907"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AD5B637" w14:textId="77777777">
            <w:pPr>
              <w:keepNext/>
              <w:jc w:val="center"/>
              <w:rPr>
                <w:rFonts w:ascii="Arial" w:hAnsi="Arial" w:cs="Arial"/>
                <w:sz w:val="20"/>
                <w:szCs w:val="20"/>
              </w:rPr>
            </w:pPr>
            <w:r>
              <w:rPr>
                <w:rFonts w:ascii="Arial" w:hAnsi="Arial"/>
                <w:sz w:val="20"/>
                <w:szCs w:val="20"/>
              </w:rPr>
              <w:t>2</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3BC4FE4"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A51DE08"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51BFAAA7" w14:textId="77777777">
            <w:pPr>
              <w:keepNext/>
              <w:jc w:val="right"/>
              <w:rPr>
                <w:rFonts w:ascii="Arial" w:hAnsi="Arial" w:cs="Arial"/>
                <w:b/>
                <w:sz w:val="20"/>
                <w:szCs w:val="20"/>
              </w:rPr>
            </w:pPr>
            <w:r>
              <w:rPr>
                <w:rFonts w:ascii="Arial" w:hAnsi="Arial" w:cs="Arial"/>
                <w:b/>
                <w:sz w:val="20"/>
                <w:szCs w:val="20"/>
              </w:rPr>
              <w:t>5.4</w:t>
            </w:r>
          </w:p>
        </w:tc>
      </w:tr>
      <w:tr w:rsidR="003B0815" w14:paraId="0D409C38"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E1B3BA6" w14:textId="77777777">
            <w:pPr>
              <w:keepNext/>
              <w:jc w:val="center"/>
              <w:rPr>
                <w:rFonts w:ascii="Arial" w:hAnsi="Arial" w:cs="Arial"/>
                <w:sz w:val="20"/>
                <w:szCs w:val="20"/>
              </w:rPr>
            </w:pPr>
            <w:r>
              <w:rPr>
                <w:rFonts w:ascii="Arial" w:hAnsi="Arial"/>
                <w:sz w:val="20"/>
                <w:szCs w:val="20"/>
              </w:rPr>
              <w:t>3</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5CC1B6F"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24539C7"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44C679EF" w14:textId="77777777">
            <w:pPr>
              <w:keepNext/>
              <w:jc w:val="right"/>
              <w:rPr>
                <w:rFonts w:ascii="Arial" w:hAnsi="Arial" w:cs="Arial"/>
                <w:b/>
                <w:sz w:val="20"/>
                <w:szCs w:val="20"/>
              </w:rPr>
            </w:pPr>
            <w:r>
              <w:rPr>
                <w:rFonts w:ascii="Arial" w:hAnsi="Arial" w:cs="Arial"/>
                <w:b/>
                <w:sz w:val="20"/>
                <w:szCs w:val="20"/>
              </w:rPr>
              <w:t>5.4</w:t>
            </w:r>
          </w:p>
        </w:tc>
      </w:tr>
      <w:tr w:rsidR="003B0815" w14:paraId="480F0FFD"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02B5D462" w14:textId="77777777">
            <w:pPr>
              <w:keepNext/>
              <w:jc w:val="center"/>
              <w:rPr>
                <w:rFonts w:ascii="Arial" w:hAnsi="Arial" w:cs="Arial"/>
                <w:sz w:val="20"/>
                <w:szCs w:val="20"/>
              </w:rPr>
            </w:pPr>
            <w:r>
              <w:rPr>
                <w:rFonts w:ascii="Arial" w:hAnsi="Arial"/>
                <w:sz w:val="20"/>
                <w:szCs w:val="20"/>
              </w:rPr>
              <w:t>4</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4A16462"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E94C099"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BAD7283" w14:textId="77777777">
            <w:pPr>
              <w:keepNext/>
              <w:jc w:val="right"/>
              <w:rPr>
                <w:rFonts w:ascii="Arial" w:hAnsi="Arial" w:cs="Arial"/>
                <w:b/>
                <w:sz w:val="20"/>
                <w:szCs w:val="20"/>
              </w:rPr>
            </w:pPr>
            <w:r>
              <w:rPr>
                <w:rFonts w:ascii="Arial" w:hAnsi="Arial" w:cs="Arial"/>
                <w:b/>
                <w:sz w:val="20"/>
                <w:szCs w:val="20"/>
              </w:rPr>
              <w:t>5.4</w:t>
            </w:r>
          </w:p>
        </w:tc>
      </w:tr>
      <w:tr w:rsidR="003B0815" w14:paraId="0BEC6E12"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04E53541" w14:textId="77777777">
            <w:pPr>
              <w:keepNext/>
              <w:jc w:val="center"/>
              <w:rPr>
                <w:rFonts w:ascii="Arial" w:hAnsi="Arial" w:cs="Arial"/>
                <w:sz w:val="20"/>
                <w:szCs w:val="20"/>
              </w:rPr>
            </w:pPr>
            <w:r>
              <w:rPr>
                <w:rFonts w:ascii="Arial" w:hAnsi="Arial"/>
                <w:sz w:val="20"/>
                <w:szCs w:val="20"/>
              </w:rPr>
              <w:t>5</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838B802"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2F803CF"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5FB7094B" w14:textId="77777777">
            <w:pPr>
              <w:keepNext/>
              <w:jc w:val="right"/>
              <w:rPr>
                <w:rFonts w:ascii="Arial" w:hAnsi="Arial" w:cs="Arial"/>
                <w:b/>
                <w:sz w:val="20"/>
                <w:szCs w:val="20"/>
              </w:rPr>
            </w:pPr>
            <w:r>
              <w:rPr>
                <w:rFonts w:ascii="Arial" w:hAnsi="Arial" w:cs="Arial"/>
                <w:b/>
                <w:sz w:val="20"/>
                <w:szCs w:val="20"/>
              </w:rPr>
              <w:t>5.4</w:t>
            </w:r>
          </w:p>
        </w:tc>
      </w:tr>
      <w:tr w:rsidR="003B0815" w14:paraId="07A016EC"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08476AA1" w14:textId="77777777">
            <w:pPr>
              <w:keepNext/>
              <w:jc w:val="center"/>
              <w:rPr>
                <w:rFonts w:ascii="Arial" w:hAnsi="Arial" w:cs="Arial"/>
                <w:sz w:val="20"/>
                <w:szCs w:val="20"/>
              </w:rPr>
            </w:pPr>
            <w:r>
              <w:rPr>
                <w:rFonts w:ascii="Arial" w:hAnsi="Arial"/>
                <w:sz w:val="20"/>
                <w:szCs w:val="20"/>
              </w:rPr>
              <w:t>6</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6D25DE8"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F6968B2"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49E23F38" w14:textId="77777777">
            <w:pPr>
              <w:keepNext/>
              <w:jc w:val="right"/>
              <w:rPr>
                <w:rFonts w:ascii="Arial" w:hAnsi="Arial" w:cs="Arial"/>
                <w:b/>
                <w:sz w:val="20"/>
                <w:szCs w:val="20"/>
              </w:rPr>
            </w:pPr>
            <w:r>
              <w:rPr>
                <w:rFonts w:ascii="Arial" w:hAnsi="Arial" w:cs="Arial"/>
                <w:b/>
                <w:sz w:val="20"/>
                <w:szCs w:val="20"/>
              </w:rPr>
              <w:t>5.4</w:t>
            </w:r>
          </w:p>
        </w:tc>
      </w:tr>
      <w:tr w:rsidR="003B0815" w14:paraId="43316356"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239C0B77" w14:textId="77777777">
            <w:pPr>
              <w:keepNext/>
              <w:jc w:val="center"/>
              <w:rPr>
                <w:rFonts w:ascii="Arial" w:hAnsi="Arial" w:cs="Arial"/>
                <w:sz w:val="20"/>
                <w:szCs w:val="20"/>
              </w:rPr>
            </w:pPr>
            <w:r>
              <w:rPr>
                <w:rFonts w:ascii="Arial" w:hAnsi="Arial"/>
                <w:sz w:val="20"/>
                <w:szCs w:val="20"/>
              </w:rPr>
              <w:t>7</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470A2C2"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020ADBD"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60B60D84" w14:textId="77777777">
            <w:pPr>
              <w:keepNext/>
              <w:jc w:val="right"/>
              <w:rPr>
                <w:rFonts w:ascii="Arial" w:hAnsi="Arial" w:cs="Arial"/>
                <w:b/>
                <w:sz w:val="20"/>
                <w:szCs w:val="20"/>
              </w:rPr>
            </w:pPr>
            <w:r>
              <w:rPr>
                <w:rFonts w:ascii="Arial" w:hAnsi="Arial" w:cs="Arial"/>
                <w:b/>
                <w:sz w:val="20"/>
                <w:szCs w:val="20"/>
              </w:rPr>
              <w:t>5.4</w:t>
            </w:r>
          </w:p>
        </w:tc>
      </w:tr>
      <w:tr w:rsidR="003B0815" w14:paraId="4F3DE246"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58BCA0AC" w14:textId="77777777">
            <w:pPr>
              <w:keepNext/>
              <w:jc w:val="center"/>
              <w:rPr>
                <w:rFonts w:ascii="Arial" w:hAnsi="Arial" w:cs="Arial"/>
                <w:sz w:val="20"/>
                <w:szCs w:val="20"/>
              </w:rPr>
            </w:pPr>
            <w:r>
              <w:rPr>
                <w:rFonts w:ascii="Arial" w:hAnsi="Arial"/>
                <w:sz w:val="20"/>
                <w:szCs w:val="20"/>
              </w:rPr>
              <w:t>8</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76CDCCC"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65F50AF"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11A7037F" w14:textId="77777777">
            <w:pPr>
              <w:keepNext/>
              <w:jc w:val="right"/>
              <w:rPr>
                <w:rFonts w:ascii="Arial" w:hAnsi="Arial" w:cs="Arial"/>
                <w:b/>
                <w:sz w:val="20"/>
                <w:szCs w:val="20"/>
              </w:rPr>
            </w:pPr>
            <w:r>
              <w:rPr>
                <w:rFonts w:ascii="Arial" w:hAnsi="Arial" w:cs="Arial"/>
                <w:b/>
                <w:sz w:val="20"/>
                <w:szCs w:val="20"/>
              </w:rPr>
              <w:t>5.4</w:t>
            </w:r>
          </w:p>
        </w:tc>
      </w:tr>
      <w:tr w:rsidR="003B0815" w14:paraId="3F78BBAB"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41E67AE" w14:textId="77777777">
            <w:pPr>
              <w:keepNext/>
              <w:jc w:val="center"/>
              <w:rPr>
                <w:rFonts w:ascii="Arial" w:hAnsi="Arial" w:cs="Arial"/>
                <w:sz w:val="20"/>
                <w:szCs w:val="20"/>
              </w:rPr>
            </w:pPr>
            <w:r>
              <w:rPr>
                <w:rFonts w:ascii="Arial" w:hAnsi="Arial"/>
                <w:sz w:val="20"/>
                <w:szCs w:val="20"/>
              </w:rPr>
              <w:t>9</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D7C464A"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3A17B0B"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4FA4011" w14:textId="77777777">
            <w:pPr>
              <w:keepNext/>
              <w:jc w:val="right"/>
              <w:rPr>
                <w:rFonts w:ascii="Arial" w:hAnsi="Arial" w:cs="Arial"/>
                <w:b/>
                <w:sz w:val="20"/>
                <w:szCs w:val="20"/>
              </w:rPr>
            </w:pPr>
            <w:r>
              <w:rPr>
                <w:rFonts w:ascii="Arial" w:hAnsi="Arial" w:cs="Arial"/>
                <w:b/>
                <w:sz w:val="20"/>
                <w:szCs w:val="20"/>
              </w:rPr>
              <w:t>5.4</w:t>
            </w:r>
          </w:p>
        </w:tc>
      </w:tr>
      <w:tr w:rsidR="003B0815" w14:paraId="50221EAB" w14:textId="77777777">
        <w:trPr>
          <w:trHeight w:val="255"/>
          <w:jc w:val="center"/>
        </w:trPr>
        <w:tc>
          <w:tcPr>
            <w:tcW w:w="810"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5C473C1" w14:textId="77777777">
            <w:pPr>
              <w:keepNext/>
              <w:jc w:val="center"/>
              <w:rPr>
                <w:rFonts w:ascii="Arial" w:hAnsi="Arial" w:cs="Arial"/>
                <w:sz w:val="20"/>
                <w:szCs w:val="20"/>
              </w:rPr>
            </w:pPr>
            <w:r>
              <w:rPr>
                <w:rFonts w:ascii="Arial" w:hAnsi="Arial"/>
                <w:sz w:val="20"/>
                <w:szCs w:val="20"/>
              </w:rPr>
              <w:t>10</w:t>
            </w:r>
          </w:p>
        </w:tc>
        <w:tc>
          <w:tcPr>
            <w:tcW w:w="1466"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C99646B" w14:textId="77777777">
            <w:pPr>
              <w:keepNext/>
              <w:jc w:val="right"/>
              <w:rPr>
                <w:rFonts w:ascii="Arial" w:hAnsi="Arial" w:cs="Arial"/>
                <w:sz w:val="20"/>
                <w:szCs w:val="20"/>
              </w:rPr>
            </w:pPr>
            <w:r>
              <w:rPr>
                <w:rFonts w:ascii="Arial" w:hAnsi="Arial" w:cs="Arial"/>
                <w:sz w:val="20"/>
                <w:szCs w:val="20"/>
              </w:rPr>
              <w:t>$5.1</w:t>
            </w:r>
          </w:p>
        </w:tc>
        <w:tc>
          <w:tcPr>
            <w:tcW w:w="753"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3AE2448" w14:textId="77777777">
            <w:pPr>
              <w:keepNext/>
              <w:jc w:val="right"/>
              <w:rPr>
                <w:rFonts w:ascii="Arial" w:hAnsi="Arial" w:cs="Arial"/>
                <w:sz w:val="20"/>
                <w:szCs w:val="20"/>
              </w:rPr>
            </w:pPr>
            <w:r>
              <w:rPr>
                <w:rFonts w:ascii="Arial" w:hAnsi="Arial" w:cs="Arial"/>
                <w:sz w:val="20"/>
                <w:szCs w:val="20"/>
              </w:rPr>
              <w:t>$0.3</w:t>
            </w:r>
          </w:p>
        </w:tc>
        <w:tc>
          <w:tcPr>
            <w:tcW w:w="911"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1AB2959B" w14:textId="77777777">
            <w:pPr>
              <w:keepNext/>
              <w:jc w:val="right"/>
              <w:rPr>
                <w:rFonts w:ascii="Arial" w:hAnsi="Arial" w:cs="Arial"/>
                <w:b/>
                <w:sz w:val="20"/>
                <w:szCs w:val="20"/>
              </w:rPr>
            </w:pPr>
            <w:r>
              <w:rPr>
                <w:rFonts w:ascii="Arial" w:hAnsi="Arial" w:cs="Arial"/>
                <w:b/>
                <w:sz w:val="20"/>
                <w:szCs w:val="20"/>
              </w:rPr>
              <w:t>$5.4</w:t>
            </w:r>
          </w:p>
        </w:tc>
      </w:tr>
      <w:tr w:rsidR="003B0815" w14:paraId="1A0CA941" w14:textId="77777777">
        <w:trPr>
          <w:trHeight w:val="270"/>
          <w:jc w:val="center"/>
        </w:trPr>
        <w:tc>
          <w:tcPr>
            <w:tcW w:w="810" w:type="dxa"/>
            <w:tcBorders>
              <w:top w:val="single" w:color="auto" w:sz="4" w:space="0"/>
              <w:left w:val="single" w:color="auto" w:sz="12" w:space="0"/>
              <w:bottom w:val="single" w:color="auto" w:sz="12" w:space="0"/>
            </w:tcBorders>
            <w:noWrap/>
            <w:vAlign w:val="bottom"/>
          </w:tcPr>
          <w:p w:rsidR="003B0815" w:rsidRDefault="003B0815" w14:paraId="47FF6B46" w14:textId="77777777">
            <w:pPr>
              <w:jc w:val="center"/>
              <w:rPr>
                <w:rFonts w:ascii="Arial" w:hAnsi="Arial" w:cs="Arial"/>
                <w:b/>
                <w:sz w:val="20"/>
                <w:szCs w:val="20"/>
              </w:rPr>
            </w:pPr>
            <w:r>
              <w:rPr>
                <w:rFonts w:ascii="Arial" w:hAnsi="Arial" w:cs="Arial"/>
                <w:b/>
                <w:sz w:val="20"/>
                <w:szCs w:val="20"/>
              </w:rPr>
              <w:t>Total</w:t>
            </w:r>
          </w:p>
        </w:tc>
        <w:tc>
          <w:tcPr>
            <w:tcW w:w="1466" w:type="dxa"/>
            <w:tcBorders>
              <w:top w:val="single" w:color="auto" w:sz="4" w:space="0"/>
              <w:bottom w:val="single" w:color="auto" w:sz="12" w:space="0"/>
            </w:tcBorders>
            <w:noWrap/>
            <w:vAlign w:val="bottom"/>
          </w:tcPr>
          <w:p w:rsidR="003B0815" w:rsidRDefault="003B0815" w14:paraId="2CC33E83" w14:textId="77777777">
            <w:pPr>
              <w:jc w:val="right"/>
              <w:rPr>
                <w:rFonts w:ascii="Arial" w:hAnsi="Arial" w:cs="Arial"/>
                <w:sz w:val="20"/>
                <w:szCs w:val="20"/>
              </w:rPr>
            </w:pPr>
            <w:r>
              <w:rPr>
                <w:rFonts w:ascii="Arial" w:hAnsi="Arial" w:cs="Arial"/>
                <w:sz w:val="20"/>
                <w:szCs w:val="20"/>
              </w:rPr>
              <w:t>$53.9</w:t>
            </w:r>
          </w:p>
        </w:tc>
        <w:tc>
          <w:tcPr>
            <w:tcW w:w="753" w:type="dxa"/>
            <w:tcBorders>
              <w:top w:val="single" w:color="auto" w:sz="4" w:space="0"/>
              <w:bottom w:val="single" w:color="auto" w:sz="12" w:space="0"/>
            </w:tcBorders>
            <w:noWrap/>
            <w:vAlign w:val="bottom"/>
          </w:tcPr>
          <w:p w:rsidR="003B0815" w:rsidRDefault="003B0815" w14:paraId="5941F883" w14:textId="77777777">
            <w:pPr>
              <w:jc w:val="right"/>
              <w:rPr>
                <w:rFonts w:ascii="Arial" w:hAnsi="Arial" w:cs="Arial"/>
                <w:sz w:val="20"/>
                <w:szCs w:val="20"/>
              </w:rPr>
            </w:pPr>
            <w:r>
              <w:rPr>
                <w:rFonts w:ascii="Arial" w:hAnsi="Arial" w:cs="Arial"/>
                <w:sz w:val="20"/>
                <w:szCs w:val="20"/>
              </w:rPr>
              <w:t>$3.2</w:t>
            </w:r>
          </w:p>
        </w:tc>
        <w:tc>
          <w:tcPr>
            <w:tcW w:w="911" w:type="dxa"/>
            <w:tcBorders>
              <w:top w:val="single" w:color="auto" w:sz="4" w:space="0"/>
              <w:bottom w:val="single" w:color="auto" w:sz="12" w:space="0"/>
              <w:right w:val="single" w:color="auto" w:sz="12" w:space="0"/>
            </w:tcBorders>
            <w:noWrap/>
            <w:vAlign w:val="bottom"/>
          </w:tcPr>
          <w:p w:rsidR="003B0815" w:rsidRDefault="003B0815" w14:paraId="52E79A06" w14:textId="77777777">
            <w:pPr>
              <w:jc w:val="right"/>
              <w:rPr>
                <w:rFonts w:ascii="Arial" w:hAnsi="Arial" w:cs="Arial"/>
                <w:b/>
                <w:sz w:val="20"/>
                <w:szCs w:val="20"/>
              </w:rPr>
            </w:pPr>
            <w:r>
              <w:rPr>
                <w:rFonts w:ascii="Arial" w:hAnsi="Arial" w:cs="Arial"/>
                <w:b/>
                <w:sz w:val="20"/>
                <w:szCs w:val="20"/>
              </w:rPr>
              <w:t>$57.0</w:t>
            </w:r>
          </w:p>
        </w:tc>
      </w:tr>
    </w:tbl>
    <w:p w:rsidR="003B0815" w:rsidRDefault="003B0815" w14:paraId="72C5EA9E" w14:textId="77777777">
      <w:pPr>
        <w:spacing w:line="360" w:lineRule="auto"/>
        <w:ind w:firstLine="720"/>
      </w:pPr>
    </w:p>
    <w:p w:rsidR="003B0815" w:rsidRDefault="003B0815" w14:paraId="2DC69E98" w14:textId="77777777">
      <w:pPr>
        <w:spacing w:line="360" w:lineRule="auto"/>
        <w:ind w:firstLine="720"/>
      </w:pPr>
      <w:r>
        <w:t>In the high cost scenario, TSA requires the scanner to query the Secure Flight database with a passenger record locator read from the barcode.  Secure Flight then returns information back to the scanner that security staff can use to verify the authenticity of the boarding pass and whether the information on the boarding or gate pass of the person attempting to enter the sterile area matches the information submitted to TSA for watch list matching.</w:t>
      </w:r>
      <w:r>
        <w:rPr>
          <w:rStyle w:val="FootnoteReference"/>
        </w:rPr>
        <w:footnoteReference w:id="38"/>
      </w:r>
      <w:r>
        <w:t xml:space="preserve">  Because the operational details have yet to be defined, TSA cannot provide an exact estimate of the cost of such an operation.  However, other Federal government programs provide query-style data verification.  TSA has estimated these costs using the Social Security Administration’s Social Security Online Verification (SSOLV) program as a proxy.</w:t>
      </w:r>
      <w:r>
        <w:rPr>
          <w:rStyle w:val="FootnoteReference"/>
        </w:rPr>
        <w:footnoteReference w:id="39"/>
      </w:r>
      <w:r>
        <w:t xml:space="preserve">  SSOLV charges $0.03 for each real-time verification.  If that fee is representative of their unit transaction cost and that cost is similar for Secure Flight transactions, verifying 8.4 billion boarding passes</w:t>
      </w:r>
      <w:r>
        <w:rPr>
          <w:rStyle w:val="FootnoteReference"/>
        </w:rPr>
        <w:footnoteReference w:id="40"/>
      </w:r>
      <w:r>
        <w:t xml:space="preserve"> over 10 years will cost an estimated $251.0 million.  See Table 1.6.5.f for year-by-year estimates.</w:t>
      </w:r>
    </w:p>
    <w:tbl>
      <w:tblPr>
        <w:tblW w:w="3972" w:type="dxa"/>
        <w:jc w:val="center"/>
        <w:tblLook w:val="0000" w:firstRow="0" w:lastRow="0" w:firstColumn="0" w:lastColumn="0" w:noHBand="0" w:noVBand="0"/>
      </w:tblPr>
      <w:tblGrid>
        <w:gridCol w:w="694"/>
        <w:gridCol w:w="1228"/>
        <w:gridCol w:w="2050"/>
      </w:tblGrid>
      <w:tr w:rsidR="003B0815" w14:paraId="33EF399C" w14:textId="77777777">
        <w:trPr>
          <w:trHeight w:val="525"/>
          <w:jc w:val="center"/>
        </w:trPr>
        <w:tc>
          <w:tcPr>
            <w:tcW w:w="3972" w:type="dxa"/>
            <w:gridSpan w:val="3"/>
            <w:tcBorders>
              <w:top w:val="nil"/>
              <w:left w:val="nil"/>
              <w:bottom w:val="single" w:color="auto" w:sz="12" w:space="0"/>
              <w:right w:val="nil"/>
            </w:tcBorders>
            <w:vAlign w:val="bottom"/>
          </w:tcPr>
          <w:p w:rsidR="003B0815" w:rsidRDefault="003B0815" w14:paraId="37BEF5FA" w14:textId="77777777">
            <w:pPr>
              <w:pStyle w:val="RegEvalTableHeader"/>
            </w:pPr>
            <w:bookmarkStart w:name="_Toc165278397" w:id="348"/>
            <w:bookmarkStart w:name="_Toc174438399" w:id="349"/>
            <w:bookmarkStart w:name="_Toc207109536" w:id="350"/>
            <w:r>
              <w:t>Table 1.6.5.f  Cost of Real Time Communication (millions)</w:t>
            </w:r>
            <w:bookmarkEnd w:id="348"/>
            <w:bookmarkEnd w:id="349"/>
            <w:bookmarkEnd w:id="350"/>
          </w:p>
        </w:tc>
      </w:tr>
      <w:tr w:rsidR="003B0815" w14:paraId="6282EB39" w14:textId="77777777">
        <w:trPr>
          <w:trHeight w:val="510"/>
          <w:jc w:val="center"/>
        </w:trPr>
        <w:tc>
          <w:tcPr>
            <w:tcW w:w="694" w:type="dxa"/>
            <w:tcBorders>
              <w:top w:val="single" w:color="auto" w:sz="12" w:space="0"/>
              <w:left w:val="single" w:color="auto" w:sz="12" w:space="0"/>
              <w:bottom w:val="single" w:color="auto" w:sz="4" w:space="0"/>
              <w:right w:val="single" w:color="auto" w:sz="4" w:space="0"/>
            </w:tcBorders>
            <w:vAlign w:val="center"/>
          </w:tcPr>
          <w:p w:rsidR="003B0815" w:rsidRDefault="003B0815" w14:paraId="7B81DB94" w14:textId="77777777">
            <w:pPr>
              <w:keepNext/>
              <w:jc w:val="center"/>
              <w:rPr>
                <w:rFonts w:ascii="Arial" w:hAnsi="Arial" w:cs="Arial"/>
                <w:b/>
                <w:sz w:val="20"/>
                <w:szCs w:val="20"/>
              </w:rPr>
            </w:pPr>
            <w:r>
              <w:rPr>
                <w:rFonts w:ascii="Arial" w:hAnsi="Arial" w:cs="Arial"/>
                <w:b/>
                <w:sz w:val="20"/>
                <w:szCs w:val="20"/>
              </w:rPr>
              <w:t>Year</w:t>
            </w:r>
          </w:p>
        </w:tc>
        <w:tc>
          <w:tcPr>
            <w:tcW w:w="1228" w:type="dxa"/>
            <w:tcBorders>
              <w:top w:val="single" w:color="auto" w:sz="12" w:space="0"/>
              <w:left w:val="single" w:color="auto" w:sz="4" w:space="0"/>
              <w:bottom w:val="single" w:color="auto" w:sz="4" w:space="0"/>
              <w:right w:val="single" w:color="auto" w:sz="4" w:space="0"/>
            </w:tcBorders>
            <w:vAlign w:val="center"/>
          </w:tcPr>
          <w:p w:rsidR="003B0815" w:rsidRDefault="003B0815" w14:paraId="3FD1A8AA" w14:textId="77777777">
            <w:pPr>
              <w:keepNext/>
              <w:jc w:val="center"/>
              <w:rPr>
                <w:rFonts w:ascii="Arial" w:hAnsi="Arial" w:cs="Arial"/>
                <w:b/>
                <w:sz w:val="20"/>
                <w:szCs w:val="20"/>
              </w:rPr>
            </w:pPr>
            <w:r>
              <w:rPr>
                <w:rFonts w:ascii="Arial" w:hAnsi="Arial" w:cs="Arial"/>
                <w:b/>
                <w:sz w:val="20"/>
                <w:szCs w:val="20"/>
              </w:rPr>
              <w:t>Passenger Checks</w:t>
            </w:r>
          </w:p>
        </w:tc>
        <w:tc>
          <w:tcPr>
            <w:tcW w:w="2050" w:type="dxa"/>
            <w:tcBorders>
              <w:top w:val="single" w:color="auto" w:sz="12" w:space="0"/>
              <w:left w:val="single" w:color="auto" w:sz="4" w:space="0"/>
              <w:bottom w:val="single" w:color="auto" w:sz="4" w:space="0"/>
              <w:right w:val="single" w:color="auto" w:sz="12" w:space="0"/>
            </w:tcBorders>
            <w:vAlign w:val="center"/>
          </w:tcPr>
          <w:p w:rsidR="003B0815" w:rsidRDefault="003B0815" w14:paraId="69404AD0" w14:textId="77777777">
            <w:pPr>
              <w:keepNext/>
              <w:jc w:val="center"/>
              <w:rPr>
                <w:rFonts w:ascii="Arial" w:hAnsi="Arial" w:cs="Arial"/>
                <w:b/>
                <w:sz w:val="20"/>
                <w:szCs w:val="20"/>
              </w:rPr>
            </w:pPr>
            <w:r>
              <w:rPr>
                <w:rFonts w:ascii="Arial" w:hAnsi="Arial" w:cs="Arial"/>
                <w:b/>
                <w:sz w:val="20"/>
                <w:szCs w:val="20"/>
              </w:rPr>
              <w:t>Transaction cost ($0.03 each)</w:t>
            </w:r>
          </w:p>
        </w:tc>
      </w:tr>
      <w:tr w:rsidR="003B0815" w14:paraId="52B892AE"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5386C57E" w14:textId="77777777">
            <w:pPr>
              <w:keepNext/>
              <w:jc w:val="center"/>
              <w:rPr>
                <w:rFonts w:ascii="Arial" w:hAnsi="Arial" w:cs="Arial"/>
                <w:sz w:val="20"/>
                <w:szCs w:val="20"/>
              </w:rPr>
            </w:pPr>
            <w:r>
              <w:rPr>
                <w:rFonts w:ascii="Arial" w:hAnsi="Arial"/>
                <w:sz w:val="20"/>
                <w:szCs w:val="20"/>
              </w:rPr>
              <w:t>1</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453602A" w14:textId="77777777">
            <w:pPr>
              <w:keepNext/>
              <w:jc w:val="right"/>
              <w:rPr>
                <w:rFonts w:ascii="Arial" w:hAnsi="Arial" w:cs="Arial"/>
                <w:sz w:val="20"/>
                <w:szCs w:val="20"/>
              </w:rPr>
            </w:pPr>
            <w:r>
              <w:rPr>
                <w:rFonts w:ascii="Arial" w:hAnsi="Arial" w:cs="Arial"/>
                <w:sz w:val="20"/>
                <w:szCs w:val="20"/>
              </w:rPr>
              <w:t>720.4</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3D9D32F4" w14:textId="77777777">
            <w:pPr>
              <w:keepNext/>
              <w:jc w:val="right"/>
              <w:rPr>
                <w:rFonts w:ascii="Arial" w:hAnsi="Arial" w:cs="Arial"/>
                <w:b/>
                <w:sz w:val="20"/>
                <w:szCs w:val="20"/>
              </w:rPr>
            </w:pPr>
            <w:r>
              <w:rPr>
                <w:rFonts w:ascii="Arial" w:hAnsi="Arial" w:cs="Arial"/>
                <w:sz w:val="20"/>
                <w:szCs w:val="20"/>
              </w:rPr>
              <w:t>$21.6</w:t>
            </w:r>
          </w:p>
        </w:tc>
      </w:tr>
      <w:tr w:rsidR="003B0815" w14:paraId="228ED343"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0DE00776" w14:textId="77777777">
            <w:pPr>
              <w:keepNext/>
              <w:jc w:val="center"/>
              <w:rPr>
                <w:rFonts w:ascii="Arial" w:hAnsi="Arial" w:cs="Arial"/>
                <w:sz w:val="20"/>
                <w:szCs w:val="20"/>
              </w:rPr>
            </w:pPr>
            <w:r>
              <w:rPr>
                <w:rFonts w:ascii="Arial" w:hAnsi="Arial"/>
                <w:sz w:val="20"/>
                <w:szCs w:val="20"/>
              </w:rPr>
              <w:t>2</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68B0312" w14:textId="77777777">
            <w:pPr>
              <w:keepNext/>
              <w:jc w:val="right"/>
              <w:rPr>
                <w:rFonts w:ascii="Arial" w:hAnsi="Arial" w:cs="Arial"/>
                <w:sz w:val="20"/>
                <w:szCs w:val="20"/>
              </w:rPr>
            </w:pPr>
            <w:r>
              <w:rPr>
                <w:rFonts w:ascii="Arial" w:hAnsi="Arial" w:cs="Arial"/>
                <w:sz w:val="20"/>
                <w:szCs w:val="20"/>
              </w:rPr>
              <w:t>743.4</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E01B522" w14:textId="77777777">
            <w:pPr>
              <w:keepNext/>
              <w:jc w:val="right"/>
              <w:rPr>
                <w:rFonts w:ascii="Arial" w:hAnsi="Arial" w:cs="Arial"/>
                <w:b/>
                <w:sz w:val="20"/>
                <w:szCs w:val="20"/>
              </w:rPr>
            </w:pPr>
            <w:r>
              <w:rPr>
                <w:rFonts w:ascii="Arial" w:hAnsi="Arial" w:cs="Arial"/>
                <w:sz w:val="20"/>
                <w:szCs w:val="20"/>
              </w:rPr>
              <w:t>22.3</w:t>
            </w:r>
          </w:p>
        </w:tc>
      </w:tr>
      <w:tr w:rsidR="003B0815" w14:paraId="6FC1B2D5"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5C4B7932" w14:textId="77777777">
            <w:pPr>
              <w:keepNext/>
              <w:jc w:val="center"/>
              <w:rPr>
                <w:rFonts w:ascii="Arial" w:hAnsi="Arial" w:cs="Arial"/>
                <w:sz w:val="20"/>
                <w:szCs w:val="20"/>
              </w:rPr>
            </w:pPr>
            <w:r>
              <w:rPr>
                <w:rFonts w:ascii="Arial" w:hAnsi="Arial"/>
                <w:sz w:val="20"/>
                <w:szCs w:val="20"/>
              </w:rPr>
              <w:t>3</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675546C" w14:textId="77777777">
            <w:pPr>
              <w:keepNext/>
              <w:jc w:val="right"/>
              <w:rPr>
                <w:rFonts w:ascii="Arial" w:hAnsi="Arial" w:cs="Arial"/>
                <w:sz w:val="20"/>
                <w:szCs w:val="20"/>
              </w:rPr>
            </w:pPr>
            <w:r>
              <w:rPr>
                <w:rFonts w:ascii="Arial" w:hAnsi="Arial" w:cs="Arial"/>
                <w:sz w:val="20"/>
                <w:szCs w:val="20"/>
              </w:rPr>
              <w:t>767.6</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6E34843B" w14:textId="77777777">
            <w:pPr>
              <w:keepNext/>
              <w:jc w:val="right"/>
              <w:rPr>
                <w:rFonts w:ascii="Arial" w:hAnsi="Arial" w:cs="Arial"/>
                <w:b/>
                <w:sz w:val="20"/>
                <w:szCs w:val="20"/>
              </w:rPr>
            </w:pPr>
            <w:r>
              <w:rPr>
                <w:rFonts w:ascii="Arial" w:hAnsi="Arial" w:cs="Arial"/>
                <w:sz w:val="20"/>
                <w:szCs w:val="20"/>
              </w:rPr>
              <w:t>23.0</w:t>
            </w:r>
          </w:p>
        </w:tc>
      </w:tr>
      <w:tr w:rsidR="003B0815" w14:paraId="40ACF665"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4F688B1" w14:textId="77777777">
            <w:pPr>
              <w:keepNext/>
              <w:jc w:val="center"/>
              <w:rPr>
                <w:rFonts w:ascii="Arial" w:hAnsi="Arial" w:cs="Arial"/>
                <w:sz w:val="20"/>
                <w:szCs w:val="20"/>
              </w:rPr>
            </w:pPr>
            <w:r>
              <w:rPr>
                <w:rFonts w:ascii="Arial" w:hAnsi="Arial"/>
                <w:sz w:val="20"/>
                <w:szCs w:val="20"/>
              </w:rPr>
              <w:t>4</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0E6DD1F" w14:textId="77777777">
            <w:pPr>
              <w:keepNext/>
              <w:jc w:val="right"/>
              <w:rPr>
                <w:rFonts w:ascii="Arial" w:hAnsi="Arial" w:cs="Arial"/>
                <w:sz w:val="20"/>
                <w:szCs w:val="20"/>
              </w:rPr>
            </w:pPr>
            <w:r>
              <w:rPr>
                <w:rFonts w:ascii="Arial" w:hAnsi="Arial" w:cs="Arial"/>
                <w:sz w:val="20"/>
                <w:szCs w:val="20"/>
              </w:rPr>
              <w:t>792.5</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23BDBA9E" w14:textId="77777777">
            <w:pPr>
              <w:keepNext/>
              <w:jc w:val="right"/>
              <w:rPr>
                <w:rFonts w:ascii="Arial" w:hAnsi="Arial" w:cs="Arial"/>
                <w:b/>
                <w:sz w:val="20"/>
                <w:szCs w:val="20"/>
              </w:rPr>
            </w:pPr>
            <w:r>
              <w:rPr>
                <w:rFonts w:ascii="Arial" w:hAnsi="Arial" w:cs="Arial"/>
                <w:sz w:val="20"/>
                <w:szCs w:val="20"/>
              </w:rPr>
              <w:t>23.8</w:t>
            </w:r>
          </w:p>
        </w:tc>
      </w:tr>
      <w:tr w:rsidR="003B0815" w14:paraId="06C641EB"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467566F8" w14:textId="77777777">
            <w:pPr>
              <w:keepNext/>
              <w:jc w:val="center"/>
              <w:rPr>
                <w:rFonts w:ascii="Arial" w:hAnsi="Arial" w:cs="Arial"/>
                <w:sz w:val="20"/>
                <w:szCs w:val="20"/>
              </w:rPr>
            </w:pPr>
            <w:r>
              <w:rPr>
                <w:rFonts w:ascii="Arial" w:hAnsi="Arial"/>
                <w:sz w:val="20"/>
                <w:szCs w:val="20"/>
              </w:rPr>
              <w:t>5</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0FC0F9D" w14:textId="77777777">
            <w:pPr>
              <w:keepNext/>
              <w:jc w:val="right"/>
              <w:rPr>
                <w:rFonts w:ascii="Arial" w:hAnsi="Arial" w:cs="Arial"/>
                <w:sz w:val="20"/>
                <w:szCs w:val="20"/>
              </w:rPr>
            </w:pPr>
            <w:r>
              <w:rPr>
                <w:rFonts w:ascii="Arial" w:hAnsi="Arial" w:cs="Arial"/>
                <w:sz w:val="20"/>
                <w:szCs w:val="20"/>
              </w:rPr>
              <w:t>818.8</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00EFB382" w14:textId="77777777">
            <w:pPr>
              <w:keepNext/>
              <w:jc w:val="right"/>
              <w:rPr>
                <w:rFonts w:ascii="Arial" w:hAnsi="Arial" w:cs="Arial"/>
                <w:b/>
                <w:sz w:val="20"/>
                <w:szCs w:val="20"/>
              </w:rPr>
            </w:pPr>
            <w:r>
              <w:rPr>
                <w:rFonts w:ascii="Arial" w:hAnsi="Arial" w:cs="Arial"/>
                <w:sz w:val="20"/>
                <w:szCs w:val="20"/>
              </w:rPr>
              <w:t>24.6</w:t>
            </w:r>
          </w:p>
        </w:tc>
      </w:tr>
      <w:tr w:rsidR="003B0815" w14:paraId="2FE4A1F3"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EDB96FB" w14:textId="77777777">
            <w:pPr>
              <w:keepNext/>
              <w:jc w:val="center"/>
              <w:rPr>
                <w:rFonts w:ascii="Arial" w:hAnsi="Arial" w:cs="Arial"/>
                <w:sz w:val="20"/>
                <w:szCs w:val="20"/>
              </w:rPr>
            </w:pPr>
            <w:r>
              <w:rPr>
                <w:rFonts w:ascii="Arial" w:hAnsi="Arial"/>
                <w:sz w:val="20"/>
                <w:szCs w:val="20"/>
              </w:rPr>
              <w:t>6</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93C12E2" w14:textId="77777777">
            <w:pPr>
              <w:keepNext/>
              <w:jc w:val="right"/>
              <w:rPr>
                <w:rFonts w:ascii="Arial" w:hAnsi="Arial" w:cs="Arial"/>
                <w:sz w:val="20"/>
                <w:szCs w:val="20"/>
              </w:rPr>
            </w:pPr>
            <w:r>
              <w:rPr>
                <w:rFonts w:ascii="Arial" w:hAnsi="Arial" w:cs="Arial"/>
                <w:sz w:val="20"/>
                <w:szCs w:val="20"/>
              </w:rPr>
              <w:t>845.8</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20AD355B" w14:textId="77777777">
            <w:pPr>
              <w:keepNext/>
              <w:jc w:val="right"/>
              <w:rPr>
                <w:rFonts w:ascii="Arial" w:hAnsi="Arial" w:cs="Arial"/>
                <w:b/>
                <w:sz w:val="20"/>
                <w:szCs w:val="20"/>
              </w:rPr>
            </w:pPr>
            <w:r>
              <w:rPr>
                <w:rFonts w:ascii="Arial" w:hAnsi="Arial" w:cs="Arial"/>
                <w:sz w:val="20"/>
                <w:szCs w:val="20"/>
              </w:rPr>
              <w:t>25.4</w:t>
            </w:r>
          </w:p>
        </w:tc>
      </w:tr>
      <w:tr w:rsidR="003B0815" w14:paraId="59E114D6"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125C276" w14:textId="77777777">
            <w:pPr>
              <w:keepNext/>
              <w:jc w:val="center"/>
              <w:rPr>
                <w:rFonts w:ascii="Arial" w:hAnsi="Arial" w:cs="Arial"/>
                <w:sz w:val="20"/>
                <w:szCs w:val="20"/>
              </w:rPr>
            </w:pPr>
            <w:r>
              <w:rPr>
                <w:rFonts w:ascii="Arial" w:hAnsi="Arial"/>
                <w:sz w:val="20"/>
                <w:szCs w:val="20"/>
              </w:rPr>
              <w:t>7</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50A22B3E" w14:textId="77777777">
            <w:pPr>
              <w:keepNext/>
              <w:jc w:val="right"/>
              <w:rPr>
                <w:rFonts w:ascii="Arial" w:hAnsi="Arial" w:cs="Arial"/>
                <w:sz w:val="20"/>
                <w:szCs w:val="20"/>
              </w:rPr>
            </w:pPr>
            <w:r>
              <w:rPr>
                <w:rFonts w:ascii="Arial" w:hAnsi="Arial" w:cs="Arial"/>
                <w:sz w:val="20"/>
                <w:szCs w:val="20"/>
              </w:rPr>
              <w:t>874.2</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861C575" w14:textId="77777777">
            <w:pPr>
              <w:keepNext/>
              <w:jc w:val="right"/>
              <w:rPr>
                <w:rFonts w:ascii="Arial" w:hAnsi="Arial" w:cs="Arial"/>
                <w:b/>
                <w:sz w:val="20"/>
                <w:szCs w:val="20"/>
              </w:rPr>
            </w:pPr>
            <w:r>
              <w:rPr>
                <w:rFonts w:ascii="Arial" w:hAnsi="Arial" w:cs="Arial"/>
                <w:sz w:val="20"/>
                <w:szCs w:val="20"/>
              </w:rPr>
              <w:t>26.2</w:t>
            </w:r>
          </w:p>
        </w:tc>
      </w:tr>
      <w:tr w:rsidR="003B0815" w14:paraId="73540FE3"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2AE92EFC" w14:textId="77777777">
            <w:pPr>
              <w:keepNext/>
              <w:jc w:val="center"/>
              <w:rPr>
                <w:rFonts w:ascii="Arial" w:hAnsi="Arial" w:cs="Arial"/>
                <w:sz w:val="20"/>
                <w:szCs w:val="20"/>
              </w:rPr>
            </w:pPr>
            <w:r>
              <w:rPr>
                <w:rFonts w:ascii="Arial" w:hAnsi="Arial"/>
                <w:sz w:val="20"/>
                <w:szCs w:val="20"/>
              </w:rPr>
              <w:t>8</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EBC39D6" w14:textId="77777777">
            <w:pPr>
              <w:keepNext/>
              <w:jc w:val="right"/>
              <w:rPr>
                <w:rFonts w:ascii="Arial" w:hAnsi="Arial" w:cs="Arial"/>
                <w:sz w:val="20"/>
                <w:szCs w:val="20"/>
              </w:rPr>
            </w:pPr>
            <w:r>
              <w:rPr>
                <w:rFonts w:ascii="Arial" w:hAnsi="Arial" w:cs="Arial"/>
                <w:sz w:val="20"/>
                <w:szCs w:val="20"/>
              </w:rPr>
              <w:t>903.6</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26039ABD" w14:textId="77777777">
            <w:pPr>
              <w:keepNext/>
              <w:jc w:val="right"/>
              <w:rPr>
                <w:rFonts w:ascii="Arial" w:hAnsi="Arial" w:cs="Arial"/>
                <w:b/>
                <w:sz w:val="20"/>
                <w:szCs w:val="20"/>
              </w:rPr>
            </w:pPr>
            <w:r>
              <w:rPr>
                <w:rFonts w:ascii="Arial" w:hAnsi="Arial" w:cs="Arial"/>
                <w:sz w:val="20"/>
                <w:szCs w:val="20"/>
              </w:rPr>
              <w:t>27.1</w:t>
            </w:r>
          </w:p>
        </w:tc>
      </w:tr>
      <w:tr w:rsidR="003B0815" w14:paraId="120BF202"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AF25F63" w14:textId="77777777">
            <w:pPr>
              <w:keepNext/>
              <w:jc w:val="center"/>
              <w:rPr>
                <w:rFonts w:ascii="Arial" w:hAnsi="Arial" w:cs="Arial"/>
                <w:sz w:val="20"/>
                <w:szCs w:val="20"/>
              </w:rPr>
            </w:pPr>
            <w:r>
              <w:rPr>
                <w:rFonts w:ascii="Arial" w:hAnsi="Arial"/>
                <w:sz w:val="20"/>
                <w:szCs w:val="20"/>
              </w:rPr>
              <w:t>9</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F4256C5" w14:textId="77777777">
            <w:pPr>
              <w:keepNext/>
              <w:jc w:val="right"/>
              <w:rPr>
                <w:rFonts w:ascii="Arial" w:hAnsi="Arial" w:cs="Arial"/>
                <w:sz w:val="20"/>
                <w:szCs w:val="20"/>
              </w:rPr>
            </w:pPr>
            <w:r>
              <w:rPr>
                <w:rFonts w:ascii="Arial" w:hAnsi="Arial" w:cs="Arial"/>
                <w:sz w:val="20"/>
                <w:szCs w:val="20"/>
              </w:rPr>
              <w:t>934.4</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6F079C81" w14:textId="77777777">
            <w:pPr>
              <w:keepNext/>
              <w:jc w:val="right"/>
              <w:rPr>
                <w:rFonts w:ascii="Arial" w:hAnsi="Arial" w:cs="Arial"/>
                <w:b/>
                <w:sz w:val="20"/>
                <w:szCs w:val="20"/>
              </w:rPr>
            </w:pPr>
            <w:r>
              <w:rPr>
                <w:rFonts w:ascii="Arial" w:hAnsi="Arial" w:cs="Arial"/>
                <w:sz w:val="20"/>
                <w:szCs w:val="20"/>
              </w:rPr>
              <w:t>28.0</w:t>
            </w:r>
          </w:p>
        </w:tc>
      </w:tr>
      <w:tr w:rsidR="003B0815" w14:paraId="45844B8E" w14:textId="77777777">
        <w:trPr>
          <w:trHeight w:val="255"/>
          <w:jc w:val="center"/>
        </w:trPr>
        <w:tc>
          <w:tcPr>
            <w:tcW w:w="694"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6F4FF4FD" w14:textId="77777777">
            <w:pPr>
              <w:keepNext/>
              <w:jc w:val="center"/>
              <w:rPr>
                <w:rFonts w:ascii="Arial" w:hAnsi="Arial" w:cs="Arial"/>
                <w:sz w:val="20"/>
                <w:szCs w:val="20"/>
              </w:rPr>
            </w:pPr>
            <w:r>
              <w:rPr>
                <w:rFonts w:ascii="Arial" w:hAnsi="Arial"/>
                <w:sz w:val="20"/>
                <w:szCs w:val="20"/>
              </w:rPr>
              <w:t>10</w:t>
            </w:r>
          </w:p>
        </w:tc>
        <w:tc>
          <w:tcPr>
            <w:tcW w:w="1228"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9768BF0" w14:textId="77777777">
            <w:pPr>
              <w:keepNext/>
              <w:jc w:val="right"/>
              <w:rPr>
                <w:rFonts w:ascii="Arial" w:hAnsi="Arial" w:cs="Arial"/>
                <w:sz w:val="20"/>
                <w:szCs w:val="20"/>
              </w:rPr>
            </w:pPr>
            <w:r>
              <w:rPr>
                <w:rFonts w:ascii="Arial" w:hAnsi="Arial" w:cs="Arial"/>
                <w:sz w:val="20"/>
                <w:szCs w:val="20"/>
              </w:rPr>
              <w:t>966.8</w:t>
            </w:r>
          </w:p>
        </w:tc>
        <w:tc>
          <w:tcPr>
            <w:tcW w:w="2050"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03E3641C" w14:textId="77777777">
            <w:pPr>
              <w:keepNext/>
              <w:jc w:val="right"/>
              <w:rPr>
                <w:rFonts w:ascii="Arial" w:hAnsi="Arial" w:cs="Arial"/>
                <w:b/>
                <w:sz w:val="20"/>
                <w:szCs w:val="20"/>
              </w:rPr>
            </w:pPr>
            <w:r>
              <w:rPr>
                <w:rFonts w:ascii="Arial" w:hAnsi="Arial" w:cs="Arial"/>
                <w:sz w:val="20"/>
                <w:szCs w:val="20"/>
              </w:rPr>
              <w:t>$29.0</w:t>
            </w:r>
          </w:p>
        </w:tc>
      </w:tr>
      <w:tr w:rsidR="003B0815" w14:paraId="5C623A69" w14:textId="77777777">
        <w:trPr>
          <w:trHeight w:val="270"/>
          <w:jc w:val="center"/>
        </w:trPr>
        <w:tc>
          <w:tcPr>
            <w:tcW w:w="694" w:type="dxa"/>
            <w:tcBorders>
              <w:top w:val="single" w:color="auto" w:sz="4" w:space="0"/>
              <w:left w:val="single" w:color="auto" w:sz="12" w:space="0"/>
              <w:bottom w:val="single" w:color="auto" w:sz="12" w:space="0"/>
              <w:right w:val="nil"/>
            </w:tcBorders>
            <w:noWrap/>
            <w:vAlign w:val="bottom"/>
          </w:tcPr>
          <w:p w:rsidR="003B0815" w:rsidRDefault="003B0815" w14:paraId="7F536810" w14:textId="77777777">
            <w:pPr>
              <w:jc w:val="center"/>
              <w:rPr>
                <w:rFonts w:ascii="Arial" w:hAnsi="Arial" w:cs="Arial"/>
                <w:b/>
                <w:sz w:val="20"/>
                <w:szCs w:val="20"/>
              </w:rPr>
            </w:pPr>
            <w:r>
              <w:rPr>
                <w:rFonts w:ascii="Arial" w:hAnsi="Arial" w:cs="Arial"/>
                <w:b/>
                <w:bCs/>
                <w:sz w:val="20"/>
                <w:szCs w:val="20"/>
              </w:rPr>
              <w:t>Total</w:t>
            </w:r>
          </w:p>
        </w:tc>
        <w:tc>
          <w:tcPr>
            <w:tcW w:w="1228" w:type="dxa"/>
            <w:tcBorders>
              <w:top w:val="single" w:color="auto" w:sz="4" w:space="0"/>
              <w:left w:val="nil"/>
              <w:bottom w:val="single" w:color="auto" w:sz="12" w:space="0"/>
              <w:right w:val="nil"/>
            </w:tcBorders>
            <w:noWrap/>
            <w:vAlign w:val="bottom"/>
          </w:tcPr>
          <w:p w:rsidR="003B0815" w:rsidRDefault="003B0815" w14:paraId="3DCC3A14" w14:textId="77777777">
            <w:pPr>
              <w:jc w:val="right"/>
              <w:rPr>
                <w:rFonts w:ascii="Arial" w:hAnsi="Arial" w:cs="Arial"/>
                <w:sz w:val="20"/>
                <w:szCs w:val="20"/>
              </w:rPr>
            </w:pPr>
            <w:r>
              <w:rPr>
                <w:rFonts w:ascii="Arial" w:hAnsi="Arial" w:cs="Arial"/>
                <w:sz w:val="20"/>
                <w:szCs w:val="20"/>
              </w:rPr>
              <w:t>8,367.7</w:t>
            </w:r>
          </w:p>
        </w:tc>
        <w:tc>
          <w:tcPr>
            <w:tcW w:w="2050" w:type="dxa"/>
            <w:tcBorders>
              <w:top w:val="single" w:color="auto" w:sz="4" w:space="0"/>
              <w:left w:val="nil"/>
              <w:bottom w:val="single" w:color="auto" w:sz="12" w:space="0"/>
              <w:right w:val="single" w:color="auto" w:sz="12" w:space="0"/>
            </w:tcBorders>
            <w:noWrap/>
            <w:vAlign w:val="bottom"/>
          </w:tcPr>
          <w:p w:rsidR="003B0815" w:rsidRDefault="003B0815" w14:paraId="5EDCEC4D" w14:textId="77777777">
            <w:pPr>
              <w:jc w:val="right"/>
              <w:rPr>
                <w:rFonts w:ascii="Arial" w:hAnsi="Arial" w:cs="Arial"/>
                <w:b/>
                <w:sz w:val="20"/>
                <w:szCs w:val="20"/>
              </w:rPr>
            </w:pPr>
            <w:r>
              <w:rPr>
                <w:rFonts w:ascii="Arial" w:hAnsi="Arial" w:cs="Arial"/>
                <w:b/>
                <w:bCs/>
                <w:sz w:val="20"/>
                <w:szCs w:val="20"/>
              </w:rPr>
              <w:t>$251.0</w:t>
            </w:r>
          </w:p>
        </w:tc>
      </w:tr>
    </w:tbl>
    <w:p w:rsidR="003B0815" w:rsidRDefault="003B0815" w14:paraId="3F67B253" w14:textId="77777777">
      <w:pPr>
        <w:spacing w:line="360" w:lineRule="auto"/>
        <w:ind w:firstLine="720"/>
      </w:pPr>
    </w:p>
    <w:p w:rsidR="003B0815" w:rsidRDefault="003B0815" w14:paraId="0830EE60" w14:textId="77777777">
      <w:pPr>
        <w:spacing w:line="360" w:lineRule="auto"/>
        <w:ind w:firstLine="720"/>
      </w:pPr>
      <w:r>
        <w:t>TSA assessed the impact this additional check might have on checkpoint waiting times.  TSA found that a moderate lengthening of the ID verification process likely has no impact on wait times, as checkpoint throughput is presently determined by the time it takes passengers to prepare for screening (remove shoes, laptops, jackets, etc.), pass through the magnetometer, and await the X-ray screening of their carry-on luggage.  A draft study of TSA checkpoint processes recently completed by an independent reviewing consortium indicates there is a sufficient difference between the time it takes passengers to proceed through the screening process and the time it takes for document verification to accommodate an increase in the document verification time that ensues under this scenario.</w:t>
      </w:r>
    </w:p>
    <w:p w:rsidR="003B0815" w:rsidRDefault="003B0815" w14:paraId="583592A5" w14:textId="77777777">
      <w:pPr>
        <w:spacing w:line="360" w:lineRule="auto"/>
        <w:ind w:firstLine="720"/>
      </w:pPr>
      <w:r>
        <w:t>Adding inventory costs to the real-time transaction costs yields the high estimate of $304.9 million over 10 years. Table 1.6.5.g provides the annual detail.</w:t>
      </w:r>
    </w:p>
    <w:tbl>
      <w:tblPr>
        <w:tblW w:w="3940" w:type="dxa"/>
        <w:jc w:val="center"/>
        <w:tblLook w:val="0000" w:firstRow="0" w:lastRow="0" w:firstColumn="0" w:lastColumn="0" w:noHBand="0" w:noVBand="0"/>
      </w:tblPr>
      <w:tblGrid>
        <w:gridCol w:w="713"/>
        <w:gridCol w:w="1291"/>
        <w:gridCol w:w="960"/>
        <w:gridCol w:w="976"/>
      </w:tblGrid>
      <w:tr w:rsidR="003B0815" w14:paraId="48BEF05A" w14:textId="77777777">
        <w:trPr>
          <w:trHeight w:val="525"/>
          <w:jc w:val="center"/>
        </w:trPr>
        <w:tc>
          <w:tcPr>
            <w:tcW w:w="3940" w:type="dxa"/>
            <w:gridSpan w:val="4"/>
            <w:tcBorders>
              <w:top w:val="nil"/>
              <w:left w:val="nil"/>
              <w:bottom w:val="single" w:color="auto" w:sz="12" w:space="0"/>
              <w:right w:val="nil"/>
            </w:tcBorders>
            <w:vAlign w:val="bottom"/>
          </w:tcPr>
          <w:p w:rsidR="003B0815" w:rsidRDefault="003B0815" w14:paraId="1A479F82" w14:textId="77777777">
            <w:pPr>
              <w:pStyle w:val="RegEvalTableHeader"/>
              <w:keepNext/>
            </w:pPr>
            <w:bookmarkStart w:name="_Toc165278398" w:id="351"/>
            <w:bookmarkStart w:name="_Toc174438400" w:id="352"/>
            <w:bookmarkStart w:name="_Toc207109537" w:id="353"/>
            <w:r>
              <w:t>Table 1.6.5.g Cost to Scan Barcodes Against Secure Flight Database in Real Time (Millions)</w:t>
            </w:r>
            <w:bookmarkEnd w:id="351"/>
            <w:bookmarkEnd w:id="352"/>
            <w:bookmarkEnd w:id="353"/>
          </w:p>
        </w:tc>
      </w:tr>
      <w:tr w:rsidR="003B0815" w14:paraId="54C93454" w14:textId="77777777">
        <w:trPr>
          <w:trHeight w:val="255"/>
          <w:jc w:val="center"/>
        </w:trPr>
        <w:tc>
          <w:tcPr>
            <w:tcW w:w="713" w:type="dxa"/>
            <w:tcBorders>
              <w:top w:val="single" w:color="auto" w:sz="12" w:space="0"/>
              <w:left w:val="single" w:color="auto" w:sz="12" w:space="0"/>
              <w:bottom w:val="single" w:color="auto" w:sz="4" w:space="0"/>
              <w:right w:val="single" w:color="auto" w:sz="4" w:space="0"/>
            </w:tcBorders>
            <w:noWrap/>
            <w:vAlign w:val="bottom"/>
          </w:tcPr>
          <w:p w:rsidR="003B0815" w:rsidRDefault="003B0815" w14:paraId="60179A64" w14:textId="77777777">
            <w:pPr>
              <w:keepNext/>
              <w:jc w:val="center"/>
              <w:rPr>
                <w:rFonts w:ascii="Arial" w:hAnsi="Arial" w:cs="Arial"/>
                <w:b/>
                <w:sz w:val="20"/>
                <w:szCs w:val="20"/>
              </w:rPr>
            </w:pPr>
            <w:r>
              <w:rPr>
                <w:rFonts w:ascii="Arial" w:hAnsi="Arial" w:cs="Arial"/>
                <w:b/>
                <w:sz w:val="20"/>
                <w:szCs w:val="20"/>
              </w:rPr>
              <w:t>Year</w:t>
            </w:r>
          </w:p>
        </w:tc>
        <w:tc>
          <w:tcPr>
            <w:tcW w:w="1291"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048AC52D" w14:textId="77777777">
            <w:pPr>
              <w:keepNext/>
              <w:jc w:val="center"/>
              <w:rPr>
                <w:rFonts w:ascii="Arial" w:hAnsi="Arial" w:cs="Arial"/>
                <w:b/>
                <w:sz w:val="20"/>
                <w:szCs w:val="20"/>
              </w:rPr>
            </w:pPr>
            <w:r>
              <w:rPr>
                <w:rFonts w:ascii="Arial" w:hAnsi="Arial" w:cs="Arial"/>
                <w:b/>
                <w:sz w:val="20"/>
                <w:szCs w:val="20"/>
              </w:rPr>
              <w:t>Inventory</w:t>
            </w:r>
          </w:p>
        </w:tc>
        <w:tc>
          <w:tcPr>
            <w:tcW w:w="960" w:type="dxa"/>
            <w:tcBorders>
              <w:top w:val="single" w:color="auto" w:sz="12" w:space="0"/>
              <w:left w:val="single" w:color="auto" w:sz="4" w:space="0"/>
              <w:bottom w:val="single" w:color="auto" w:sz="4" w:space="0"/>
              <w:right w:val="single" w:color="auto" w:sz="4" w:space="0"/>
            </w:tcBorders>
            <w:noWrap/>
            <w:vAlign w:val="bottom"/>
          </w:tcPr>
          <w:p w:rsidR="003B0815" w:rsidRDefault="003B0815" w14:paraId="5ABAF077" w14:textId="77777777">
            <w:pPr>
              <w:keepNext/>
              <w:jc w:val="center"/>
              <w:rPr>
                <w:rFonts w:ascii="Arial" w:hAnsi="Arial" w:cs="Arial"/>
                <w:b/>
                <w:sz w:val="20"/>
                <w:szCs w:val="20"/>
              </w:rPr>
            </w:pPr>
            <w:r>
              <w:rPr>
                <w:rFonts w:ascii="Arial" w:hAnsi="Arial" w:cs="Arial"/>
                <w:b/>
                <w:sz w:val="20"/>
                <w:szCs w:val="20"/>
              </w:rPr>
              <w:t>Data</w:t>
            </w:r>
          </w:p>
        </w:tc>
        <w:tc>
          <w:tcPr>
            <w:tcW w:w="976" w:type="dxa"/>
            <w:tcBorders>
              <w:top w:val="single" w:color="auto" w:sz="12" w:space="0"/>
              <w:left w:val="single" w:color="auto" w:sz="4" w:space="0"/>
              <w:bottom w:val="single" w:color="auto" w:sz="4" w:space="0"/>
              <w:right w:val="single" w:color="auto" w:sz="12" w:space="0"/>
            </w:tcBorders>
            <w:noWrap/>
            <w:vAlign w:val="bottom"/>
          </w:tcPr>
          <w:p w:rsidR="003B0815" w:rsidRDefault="003B0815" w14:paraId="50A7EA02" w14:textId="77777777">
            <w:pPr>
              <w:keepNext/>
              <w:jc w:val="center"/>
              <w:rPr>
                <w:rFonts w:ascii="Arial" w:hAnsi="Arial" w:cs="Arial"/>
                <w:b/>
                <w:sz w:val="20"/>
                <w:szCs w:val="20"/>
              </w:rPr>
            </w:pPr>
            <w:r>
              <w:rPr>
                <w:rFonts w:ascii="Arial" w:hAnsi="Arial" w:cs="Arial"/>
                <w:b/>
                <w:sz w:val="20"/>
                <w:szCs w:val="20"/>
              </w:rPr>
              <w:t>Total</w:t>
            </w:r>
          </w:p>
        </w:tc>
      </w:tr>
      <w:tr w:rsidR="003B0815" w14:paraId="5FA6078D"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45E9600B" w14:textId="77777777">
            <w:pPr>
              <w:keepNext/>
              <w:jc w:val="center"/>
              <w:rPr>
                <w:rFonts w:ascii="Arial" w:hAnsi="Arial" w:cs="Arial"/>
                <w:sz w:val="20"/>
                <w:szCs w:val="20"/>
              </w:rPr>
            </w:pPr>
            <w:r>
              <w:rPr>
                <w:rFonts w:ascii="Arial" w:hAnsi="Arial"/>
                <w:sz w:val="20"/>
                <w:szCs w:val="20"/>
              </w:rPr>
              <w:t>1</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516648F" w14:textId="77777777">
            <w:pPr>
              <w:keepNext/>
              <w:jc w:val="right"/>
              <w:rPr>
                <w:rFonts w:ascii="Arial" w:hAnsi="Arial" w:cs="Arial"/>
                <w:sz w:val="20"/>
                <w:szCs w:val="20"/>
              </w:rPr>
            </w:pPr>
            <w:r>
              <w:rPr>
                <w:rFonts w:ascii="Arial" w:hAnsi="Arial" w:cs="Arial"/>
                <w:sz w:val="20"/>
                <w:szCs w:val="20"/>
              </w:rPr>
              <w:t>$8.4</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71C7E44" w14:textId="77777777">
            <w:pPr>
              <w:keepNext/>
              <w:jc w:val="right"/>
              <w:rPr>
                <w:rFonts w:ascii="Arial" w:hAnsi="Arial" w:cs="Arial"/>
                <w:sz w:val="20"/>
                <w:szCs w:val="20"/>
              </w:rPr>
            </w:pPr>
            <w:r>
              <w:rPr>
                <w:rFonts w:ascii="Arial" w:hAnsi="Arial" w:cs="Arial"/>
                <w:sz w:val="20"/>
                <w:szCs w:val="20"/>
              </w:rPr>
              <w:t>$21.6</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4B24D902" w14:textId="77777777">
            <w:pPr>
              <w:keepNext/>
              <w:jc w:val="right"/>
              <w:rPr>
                <w:rFonts w:ascii="Arial" w:hAnsi="Arial" w:cs="Arial"/>
                <w:b/>
                <w:sz w:val="20"/>
                <w:szCs w:val="20"/>
              </w:rPr>
            </w:pPr>
            <w:r>
              <w:rPr>
                <w:rFonts w:ascii="Arial" w:hAnsi="Arial" w:cs="Arial"/>
                <w:sz w:val="20"/>
                <w:szCs w:val="20"/>
              </w:rPr>
              <w:t>$30.0</w:t>
            </w:r>
          </w:p>
        </w:tc>
      </w:tr>
      <w:tr w:rsidR="003B0815" w14:paraId="4A857109"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F7CA6A7" w14:textId="77777777">
            <w:pPr>
              <w:keepNext/>
              <w:jc w:val="center"/>
              <w:rPr>
                <w:rFonts w:ascii="Arial" w:hAnsi="Arial" w:cs="Arial"/>
                <w:sz w:val="20"/>
                <w:szCs w:val="20"/>
              </w:rPr>
            </w:pPr>
            <w:r>
              <w:rPr>
                <w:rFonts w:ascii="Arial" w:hAnsi="Arial"/>
                <w:sz w:val="20"/>
                <w:szCs w:val="20"/>
              </w:rPr>
              <w:t>2</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C124D3A"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5298DF4" w14:textId="77777777">
            <w:pPr>
              <w:keepNext/>
              <w:jc w:val="right"/>
              <w:rPr>
                <w:rFonts w:ascii="Arial" w:hAnsi="Arial" w:cs="Arial"/>
                <w:sz w:val="20"/>
                <w:szCs w:val="20"/>
              </w:rPr>
            </w:pPr>
            <w:r>
              <w:rPr>
                <w:rFonts w:ascii="Arial" w:hAnsi="Arial" w:cs="Arial"/>
                <w:sz w:val="20"/>
                <w:szCs w:val="20"/>
              </w:rPr>
              <w:t>22.3</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637820F" w14:textId="77777777">
            <w:pPr>
              <w:keepNext/>
              <w:jc w:val="right"/>
              <w:rPr>
                <w:rFonts w:ascii="Arial" w:hAnsi="Arial" w:cs="Arial"/>
                <w:b/>
                <w:sz w:val="20"/>
                <w:szCs w:val="20"/>
              </w:rPr>
            </w:pPr>
            <w:r>
              <w:rPr>
                <w:rFonts w:ascii="Arial" w:hAnsi="Arial" w:cs="Arial"/>
                <w:sz w:val="20"/>
                <w:szCs w:val="20"/>
              </w:rPr>
              <w:t>27.4</w:t>
            </w:r>
          </w:p>
        </w:tc>
      </w:tr>
      <w:tr w:rsidR="003B0815" w14:paraId="4D62FE26"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7C4E3C35" w14:textId="77777777">
            <w:pPr>
              <w:keepNext/>
              <w:jc w:val="center"/>
              <w:rPr>
                <w:rFonts w:ascii="Arial" w:hAnsi="Arial" w:cs="Arial"/>
                <w:sz w:val="20"/>
                <w:szCs w:val="20"/>
              </w:rPr>
            </w:pPr>
            <w:r>
              <w:rPr>
                <w:rFonts w:ascii="Arial" w:hAnsi="Arial"/>
                <w:sz w:val="20"/>
                <w:szCs w:val="20"/>
              </w:rPr>
              <w:t>3</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068CA91"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2F300CB2" w14:textId="77777777">
            <w:pPr>
              <w:keepNext/>
              <w:jc w:val="right"/>
              <w:rPr>
                <w:rFonts w:ascii="Arial" w:hAnsi="Arial" w:cs="Arial"/>
                <w:sz w:val="20"/>
                <w:szCs w:val="20"/>
              </w:rPr>
            </w:pPr>
            <w:r>
              <w:rPr>
                <w:rFonts w:ascii="Arial" w:hAnsi="Arial" w:cs="Arial"/>
                <w:sz w:val="20"/>
                <w:szCs w:val="20"/>
              </w:rPr>
              <w:t>23.0</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6163D158" w14:textId="77777777">
            <w:pPr>
              <w:keepNext/>
              <w:jc w:val="right"/>
              <w:rPr>
                <w:rFonts w:ascii="Arial" w:hAnsi="Arial" w:cs="Arial"/>
                <w:b/>
                <w:sz w:val="20"/>
                <w:szCs w:val="20"/>
              </w:rPr>
            </w:pPr>
            <w:r>
              <w:rPr>
                <w:rFonts w:ascii="Arial" w:hAnsi="Arial" w:cs="Arial"/>
                <w:sz w:val="20"/>
                <w:szCs w:val="20"/>
              </w:rPr>
              <w:t>28.1</w:t>
            </w:r>
          </w:p>
        </w:tc>
      </w:tr>
      <w:tr w:rsidR="003B0815" w14:paraId="36121379"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69BCE832" w14:textId="77777777">
            <w:pPr>
              <w:keepNext/>
              <w:jc w:val="center"/>
              <w:rPr>
                <w:rFonts w:ascii="Arial" w:hAnsi="Arial" w:cs="Arial"/>
                <w:sz w:val="20"/>
                <w:szCs w:val="20"/>
              </w:rPr>
            </w:pPr>
            <w:r>
              <w:rPr>
                <w:rFonts w:ascii="Arial" w:hAnsi="Arial"/>
                <w:sz w:val="20"/>
                <w:szCs w:val="20"/>
              </w:rPr>
              <w:t>4</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F24B1B1"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DC17985" w14:textId="77777777">
            <w:pPr>
              <w:keepNext/>
              <w:jc w:val="right"/>
              <w:rPr>
                <w:rFonts w:ascii="Arial" w:hAnsi="Arial" w:cs="Arial"/>
                <w:sz w:val="20"/>
                <w:szCs w:val="20"/>
              </w:rPr>
            </w:pPr>
            <w:r>
              <w:rPr>
                <w:rFonts w:ascii="Arial" w:hAnsi="Arial" w:cs="Arial"/>
                <w:sz w:val="20"/>
                <w:szCs w:val="20"/>
              </w:rPr>
              <w:t>23.8</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525F88DB" w14:textId="77777777">
            <w:pPr>
              <w:keepNext/>
              <w:jc w:val="right"/>
              <w:rPr>
                <w:rFonts w:ascii="Arial" w:hAnsi="Arial" w:cs="Arial"/>
                <w:b/>
                <w:sz w:val="20"/>
                <w:szCs w:val="20"/>
              </w:rPr>
            </w:pPr>
            <w:r>
              <w:rPr>
                <w:rFonts w:ascii="Arial" w:hAnsi="Arial" w:cs="Arial"/>
                <w:sz w:val="20"/>
                <w:szCs w:val="20"/>
              </w:rPr>
              <w:t>28.8</w:t>
            </w:r>
          </w:p>
        </w:tc>
      </w:tr>
      <w:tr w:rsidR="003B0815" w14:paraId="6C9DE91F"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6E81E198" w14:textId="77777777">
            <w:pPr>
              <w:keepNext/>
              <w:jc w:val="center"/>
              <w:rPr>
                <w:rFonts w:ascii="Arial" w:hAnsi="Arial" w:cs="Arial"/>
                <w:sz w:val="20"/>
                <w:szCs w:val="20"/>
              </w:rPr>
            </w:pPr>
            <w:r>
              <w:rPr>
                <w:rFonts w:ascii="Arial" w:hAnsi="Arial"/>
                <w:sz w:val="20"/>
                <w:szCs w:val="20"/>
              </w:rPr>
              <w:t>5</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7B87FDB"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C0D9CF2" w14:textId="77777777">
            <w:pPr>
              <w:keepNext/>
              <w:jc w:val="right"/>
              <w:rPr>
                <w:rFonts w:ascii="Arial" w:hAnsi="Arial" w:cs="Arial"/>
                <w:sz w:val="20"/>
                <w:szCs w:val="20"/>
              </w:rPr>
            </w:pPr>
            <w:r>
              <w:rPr>
                <w:rFonts w:ascii="Arial" w:hAnsi="Arial" w:cs="Arial"/>
                <w:sz w:val="20"/>
                <w:szCs w:val="20"/>
              </w:rPr>
              <w:t>24.6</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414AC615" w14:textId="77777777">
            <w:pPr>
              <w:keepNext/>
              <w:jc w:val="right"/>
              <w:rPr>
                <w:rFonts w:ascii="Arial" w:hAnsi="Arial" w:cs="Arial"/>
                <w:b/>
                <w:sz w:val="20"/>
                <w:szCs w:val="20"/>
              </w:rPr>
            </w:pPr>
            <w:r>
              <w:rPr>
                <w:rFonts w:ascii="Arial" w:hAnsi="Arial" w:cs="Arial"/>
                <w:sz w:val="20"/>
                <w:szCs w:val="20"/>
              </w:rPr>
              <w:t>29.6</w:t>
            </w:r>
          </w:p>
        </w:tc>
      </w:tr>
      <w:tr w:rsidR="003B0815" w14:paraId="601190E3"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01052DC5" w14:textId="77777777">
            <w:pPr>
              <w:keepNext/>
              <w:jc w:val="center"/>
              <w:rPr>
                <w:rFonts w:ascii="Arial" w:hAnsi="Arial" w:cs="Arial"/>
                <w:sz w:val="20"/>
                <w:szCs w:val="20"/>
              </w:rPr>
            </w:pPr>
            <w:r>
              <w:rPr>
                <w:rFonts w:ascii="Arial" w:hAnsi="Arial"/>
                <w:sz w:val="20"/>
                <w:szCs w:val="20"/>
              </w:rPr>
              <w:t>6</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3EB99A6F"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166732F" w14:textId="77777777">
            <w:pPr>
              <w:keepNext/>
              <w:jc w:val="right"/>
              <w:rPr>
                <w:rFonts w:ascii="Arial" w:hAnsi="Arial" w:cs="Arial"/>
                <w:sz w:val="20"/>
                <w:szCs w:val="20"/>
              </w:rPr>
            </w:pPr>
            <w:r>
              <w:rPr>
                <w:rFonts w:ascii="Arial" w:hAnsi="Arial" w:cs="Arial"/>
                <w:sz w:val="20"/>
                <w:szCs w:val="20"/>
              </w:rPr>
              <w:t>25.4</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025DB5BC" w14:textId="77777777">
            <w:pPr>
              <w:keepNext/>
              <w:jc w:val="right"/>
              <w:rPr>
                <w:rFonts w:ascii="Arial" w:hAnsi="Arial" w:cs="Arial"/>
                <w:b/>
                <w:sz w:val="20"/>
                <w:szCs w:val="20"/>
              </w:rPr>
            </w:pPr>
            <w:r>
              <w:rPr>
                <w:rFonts w:ascii="Arial" w:hAnsi="Arial" w:cs="Arial"/>
                <w:sz w:val="20"/>
                <w:szCs w:val="20"/>
              </w:rPr>
              <w:t>30.4</w:t>
            </w:r>
          </w:p>
        </w:tc>
      </w:tr>
      <w:tr w:rsidR="003B0815" w14:paraId="4C27FA65"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CF03906" w14:textId="77777777">
            <w:pPr>
              <w:keepNext/>
              <w:jc w:val="center"/>
              <w:rPr>
                <w:rFonts w:ascii="Arial" w:hAnsi="Arial" w:cs="Arial"/>
                <w:sz w:val="20"/>
                <w:szCs w:val="20"/>
              </w:rPr>
            </w:pPr>
            <w:r>
              <w:rPr>
                <w:rFonts w:ascii="Arial" w:hAnsi="Arial"/>
                <w:sz w:val="20"/>
                <w:szCs w:val="20"/>
              </w:rPr>
              <w:t>7</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46C85C84"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F921CC8" w14:textId="77777777">
            <w:pPr>
              <w:keepNext/>
              <w:jc w:val="right"/>
              <w:rPr>
                <w:rFonts w:ascii="Arial" w:hAnsi="Arial" w:cs="Arial"/>
                <w:sz w:val="20"/>
                <w:szCs w:val="20"/>
              </w:rPr>
            </w:pPr>
            <w:r>
              <w:rPr>
                <w:rFonts w:ascii="Arial" w:hAnsi="Arial" w:cs="Arial"/>
                <w:sz w:val="20"/>
                <w:szCs w:val="20"/>
              </w:rPr>
              <w:t>26.2</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366DC8D" w14:textId="77777777">
            <w:pPr>
              <w:keepNext/>
              <w:jc w:val="right"/>
              <w:rPr>
                <w:rFonts w:ascii="Arial" w:hAnsi="Arial" w:cs="Arial"/>
                <w:b/>
                <w:sz w:val="20"/>
                <w:szCs w:val="20"/>
              </w:rPr>
            </w:pPr>
            <w:r>
              <w:rPr>
                <w:rFonts w:ascii="Arial" w:hAnsi="Arial" w:cs="Arial"/>
                <w:sz w:val="20"/>
                <w:szCs w:val="20"/>
              </w:rPr>
              <w:t>31.3</w:t>
            </w:r>
          </w:p>
        </w:tc>
      </w:tr>
      <w:tr w:rsidR="003B0815" w14:paraId="468FC3FE"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34BDC132" w14:textId="77777777">
            <w:pPr>
              <w:keepNext/>
              <w:jc w:val="center"/>
              <w:rPr>
                <w:rFonts w:ascii="Arial" w:hAnsi="Arial" w:cs="Arial"/>
                <w:sz w:val="20"/>
                <w:szCs w:val="20"/>
              </w:rPr>
            </w:pPr>
            <w:r>
              <w:rPr>
                <w:rFonts w:ascii="Arial" w:hAnsi="Arial"/>
                <w:sz w:val="20"/>
                <w:szCs w:val="20"/>
              </w:rPr>
              <w:t>8</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EA96018"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72D87D1D" w14:textId="77777777">
            <w:pPr>
              <w:keepNext/>
              <w:jc w:val="right"/>
              <w:rPr>
                <w:rFonts w:ascii="Arial" w:hAnsi="Arial" w:cs="Arial"/>
                <w:sz w:val="20"/>
                <w:szCs w:val="20"/>
              </w:rPr>
            </w:pPr>
            <w:r>
              <w:rPr>
                <w:rFonts w:ascii="Arial" w:hAnsi="Arial" w:cs="Arial"/>
                <w:sz w:val="20"/>
                <w:szCs w:val="20"/>
              </w:rPr>
              <w:t>27.1</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644C03C" w14:textId="77777777">
            <w:pPr>
              <w:keepNext/>
              <w:jc w:val="right"/>
              <w:rPr>
                <w:rFonts w:ascii="Arial" w:hAnsi="Arial" w:cs="Arial"/>
                <w:b/>
                <w:sz w:val="20"/>
                <w:szCs w:val="20"/>
              </w:rPr>
            </w:pPr>
            <w:r>
              <w:rPr>
                <w:rFonts w:ascii="Arial" w:hAnsi="Arial" w:cs="Arial"/>
                <w:sz w:val="20"/>
                <w:szCs w:val="20"/>
              </w:rPr>
              <w:t>32.2</w:t>
            </w:r>
          </w:p>
        </w:tc>
      </w:tr>
      <w:tr w:rsidR="003B0815" w14:paraId="0A8C9AE4"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145ECD67" w14:textId="77777777">
            <w:pPr>
              <w:keepNext/>
              <w:jc w:val="center"/>
              <w:rPr>
                <w:rFonts w:ascii="Arial" w:hAnsi="Arial" w:cs="Arial"/>
                <w:sz w:val="20"/>
                <w:szCs w:val="20"/>
              </w:rPr>
            </w:pPr>
            <w:r>
              <w:rPr>
                <w:rFonts w:ascii="Arial" w:hAnsi="Arial"/>
                <w:sz w:val="20"/>
                <w:szCs w:val="20"/>
              </w:rPr>
              <w:t>9</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3FAB200"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138B6BB7" w14:textId="77777777">
            <w:pPr>
              <w:keepNext/>
              <w:jc w:val="right"/>
              <w:rPr>
                <w:rFonts w:ascii="Arial" w:hAnsi="Arial" w:cs="Arial"/>
                <w:sz w:val="20"/>
                <w:szCs w:val="20"/>
              </w:rPr>
            </w:pPr>
            <w:r>
              <w:rPr>
                <w:rFonts w:ascii="Arial" w:hAnsi="Arial" w:cs="Arial"/>
                <w:sz w:val="20"/>
                <w:szCs w:val="20"/>
              </w:rPr>
              <w:t>28.0</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66B00A6B" w14:textId="77777777">
            <w:pPr>
              <w:keepNext/>
              <w:jc w:val="right"/>
              <w:rPr>
                <w:rFonts w:ascii="Arial" w:hAnsi="Arial" w:cs="Arial"/>
                <w:b/>
                <w:sz w:val="20"/>
                <w:szCs w:val="20"/>
              </w:rPr>
            </w:pPr>
            <w:r>
              <w:rPr>
                <w:rFonts w:ascii="Arial" w:hAnsi="Arial" w:cs="Arial"/>
                <w:sz w:val="20"/>
                <w:szCs w:val="20"/>
              </w:rPr>
              <w:t>33.1</w:t>
            </w:r>
          </w:p>
        </w:tc>
      </w:tr>
      <w:tr w:rsidR="003B0815" w14:paraId="72D9D5CD" w14:textId="77777777">
        <w:trPr>
          <w:trHeight w:val="255"/>
          <w:jc w:val="center"/>
        </w:trPr>
        <w:tc>
          <w:tcPr>
            <w:tcW w:w="713" w:type="dxa"/>
            <w:tcBorders>
              <w:top w:val="single" w:color="auto" w:sz="4" w:space="0"/>
              <w:left w:val="single" w:color="auto" w:sz="12" w:space="0"/>
              <w:bottom w:val="single" w:color="auto" w:sz="4" w:space="0"/>
              <w:right w:val="single" w:color="auto" w:sz="4" w:space="0"/>
            </w:tcBorders>
            <w:noWrap/>
            <w:vAlign w:val="bottom"/>
          </w:tcPr>
          <w:p w:rsidR="003B0815" w:rsidRDefault="003B0815" w14:paraId="4F1EE582" w14:textId="77777777">
            <w:pPr>
              <w:keepNext/>
              <w:jc w:val="center"/>
              <w:rPr>
                <w:rFonts w:ascii="Arial" w:hAnsi="Arial" w:cs="Arial"/>
                <w:sz w:val="20"/>
                <w:szCs w:val="20"/>
              </w:rPr>
            </w:pPr>
            <w:r>
              <w:rPr>
                <w:rFonts w:ascii="Arial" w:hAnsi="Arial"/>
                <w:sz w:val="20"/>
                <w:szCs w:val="20"/>
              </w:rPr>
              <w:t>10</w:t>
            </w:r>
          </w:p>
        </w:tc>
        <w:tc>
          <w:tcPr>
            <w:tcW w:w="1291"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6F578D68" w14:textId="77777777">
            <w:pPr>
              <w:keepNext/>
              <w:jc w:val="right"/>
              <w:rPr>
                <w:rFonts w:ascii="Arial" w:hAnsi="Arial" w:cs="Arial"/>
                <w:sz w:val="20"/>
                <w:szCs w:val="20"/>
              </w:rPr>
            </w:pPr>
            <w:r>
              <w:rPr>
                <w:rFonts w:ascii="Arial" w:hAnsi="Arial" w:cs="Arial"/>
                <w:sz w:val="20"/>
                <w:szCs w:val="20"/>
              </w:rPr>
              <w:t>5.1</w:t>
            </w:r>
          </w:p>
        </w:tc>
        <w:tc>
          <w:tcPr>
            <w:tcW w:w="960" w:type="dxa"/>
            <w:tcBorders>
              <w:top w:val="single" w:color="auto" w:sz="4" w:space="0"/>
              <w:left w:val="single" w:color="auto" w:sz="4" w:space="0"/>
              <w:bottom w:val="single" w:color="auto" w:sz="4" w:space="0"/>
              <w:right w:val="single" w:color="auto" w:sz="4" w:space="0"/>
            </w:tcBorders>
            <w:noWrap/>
            <w:vAlign w:val="bottom"/>
          </w:tcPr>
          <w:p w:rsidR="003B0815" w:rsidRDefault="003B0815" w14:paraId="0CD8BF2D" w14:textId="77777777">
            <w:pPr>
              <w:keepNext/>
              <w:jc w:val="right"/>
              <w:rPr>
                <w:rFonts w:ascii="Arial" w:hAnsi="Arial" w:cs="Arial"/>
                <w:sz w:val="20"/>
                <w:szCs w:val="20"/>
              </w:rPr>
            </w:pPr>
            <w:r>
              <w:rPr>
                <w:rFonts w:ascii="Arial" w:hAnsi="Arial" w:cs="Arial"/>
                <w:sz w:val="20"/>
                <w:szCs w:val="20"/>
              </w:rPr>
              <w:t>$29.0</w:t>
            </w:r>
          </w:p>
        </w:tc>
        <w:tc>
          <w:tcPr>
            <w:tcW w:w="976" w:type="dxa"/>
            <w:tcBorders>
              <w:top w:val="single" w:color="auto" w:sz="4" w:space="0"/>
              <w:left w:val="single" w:color="auto" w:sz="4" w:space="0"/>
              <w:bottom w:val="single" w:color="auto" w:sz="4" w:space="0"/>
              <w:right w:val="single" w:color="auto" w:sz="12" w:space="0"/>
            </w:tcBorders>
            <w:shd w:val="clear" w:color="auto" w:fill="CCCCCC"/>
            <w:noWrap/>
            <w:vAlign w:val="bottom"/>
          </w:tcPr>
          <w:p w:rsidR="003B0815" w:rsidRDefault="003B0815" w14:paraId="722AE681" w14:textId="77777777">
            <w:pPr>
              <w:keepNext/>
              <w:jc w:val="right"/>
              <w:rPr>
                <w:rFonts w:ascii="Arial" w:hAnsi="Arial" w:cs="Arial"/>
                <w:b/>
                <w:sz w:val="20"/>
                <w:szCs w:val="20"/>
              </w:rPr>
            </w:pPr>
            <w:r>
              <w:rPr>
                <w:rFonts w:ascii="Arial" w:hAnsi="Arial" w:cs="Arial"/>
                <w:sz w:val="20"/>
                <w:szCs w:val="20"/>
              </w:rPr>
              <w:t>$34.1</w:t>
            </w:r>
          </w:p>
        </w:tc>
      </w:tr>
      <w:tr w:rsidR="003B0815" w14:paraId="5C3B643E" w14:textId="77777777">
        <w:trPr>
          <w:trHeight w:val="270"/>
          <w:jc w:val="center"/>
        </w:trPr>
        <w:tc>
          <w:tcPr>
            <w:tcW w:w="713" w:type="dxa"/>
            <w:tcBorders>
              <w:top w:val="single" w:color="auto" w:sz="4" w:space="0"/>
              <w:left w:val="single" w:color="auto" w:sz="12" w:space="0"/>
              <w:bottom w:val="single" w:color="auto" w:sz="12" w:space="0"/>
            </w:tcBorders>
            <w:noWrap/>
            <w:vAlign w:val="bottom"/>
          </w:tcPr>
          <w:p w:rsidR="003B0815" w:rsidRDefault="003B0815" w14:paraId="29EC0BE4" w14:textId="77777777">
            <w:pPr>
              <w:jc w:val="center"/>
              <w:rPr>
                <w:rFonts w:ascii="Arial" w:hAnsi="Arial" w:cs="Arial"/>
                <w:b/>
                <w:sz w:val="20"/>
                <w:szCs w:val="20"/>
              </w:rPr>
            </w:pPr>
            <w:r>
              <w:rPr>
                <w:rFonts w:ascii="Arial" w:hAnsi="Arial" w:cs="Arial"/>
                <w:b/>
                <w:sz w:val="20"/>
                <w:szCs w:val="20"/>
              </w:rPr>
              <w:t>Total</w:t>
            </w:r>
          </w:p>
        </w:tc>
        <w:tc>
          <w:tcPr>
            <w:tcW w:w="1291" w:type="dxa"/>
            <w:tcBorders>
              <w:top w:val="single" w:color="auto" w:sz="4" w:space="0"/>
              <w:bottom w:val="single" w:color="auto" w:sz="12" w:space="0"/>
            </w:tcBorders>
            <w:noWrap/>
            <w:vAlign w:val="bottom"/>
          </w:tcPr>
          <w:p w:rsidR="003B0815" w:rsidRDefault="003B0815" w14:paraId="5F90EB64" w14:textId="77777777">
            <w:pPr>
              <w:jc w:val="right"/>
              <w:rPr>
                <w:rFonts w:ascii="Arial" w:hAnsi="Arial" w:cs="Arial"/>
                <w:sz w:val="20"/>
                <w:szCs w:val="20"/>
              </w:rPr>
            </w:pPr>
            <w:r>
              <w:rPr>
                <w:rFonts w:ascii="Arial" w:hAnsi="Arial" w:cs="Arial"/>
                <w:sz w:val="20"/>
                <w:szCs w:val="20"/>
              </w:rPr>
              <w:t>$53.9</w:t>
            </w:r>
          </w:p>
        </w:tc>
        <w:tc>
          <w:tcPr>
            <w:tcW w:w="960" w:type="dxa"/>
            <w:tcBorders>
              <w:top w:val="single" w:color="auto" w:sz="4" w:space="0"/>
              <w:bottom w:val="single" w:color="auto" w:sz="12" w:space="0"/>
            </w:tcBorders>
            <w:noWrap/>
            <w:vAlign w:val="bottom"/>
          </w:tcPr>
          <w:p w:rsidR="003B0815" w:rsidRDefault="003B0815" w14:paraId="55A332B2" w14:textId="77777777">
            <w:pPr>
              <w:jc w:val="right"/>
              <w:rPr>
                <w:rFonts w:ascii="Arial" w:hAnsi="Arial" w:cs="Arial"/>
                <w:sz w:val="20"/>
                <w:szCs w:val="20"/>
              </w:rPr>
            </w:pPr>
            <w:r>
              <w:rPr>
                <w:rFonts w:ascii="Arial" w:hAnsi="Arial" w:cs="Arial"/>
                <w:sz w:val="20"/>
                <w:szCs w:val="20"/>
              </w:rPr>
              <w:t>$251.0</w:t>
            </w:r>
          </w:p>
        </w:tc>
        <w:tc>
          <w:tcPr>
            <w:tcW w:w="976" w:type="dxa"/>
            <w:tcBorders>
              <w:top w:val="single" w:color="auto" w:sz="4" w:space="0"/>
              <w:bottom w:val="single" w:color="auto" w:sz="12" w:space="0"/>
              <w:right w:val="single" w:color="auto" w:sz="12" w:space="0"/>
            </w:tcBorders>
            <w:noWrap/>
            <w:vAlign w:val="bottom"/>
          </w:tcPr>
          <w:p w:rsidR="003B0815" w:rsidRDefault="003B0815" w14:paraId="70DCA88F" w14:textId="77777777">
            <w:pPr>
              <w:jc w:val="right"/>
              <w:rPr>
                <w:rFonts w:ascii="Arial" w:hAnsi="Arial" w:cs="Arial"/>
                <w:b/>
                <w:sz w:val="20"/>
                <w:szCs w:val="20"/>
              </w:rPr>
            </w:pPr>
            <w:r>
              <w:rPr>
                <w:rFonts w:ascii="Arial" w:hAnsi="Arial" w:cs="Arial"/>
                <w:b/>
                <w:bCs/>
                <w:sz w:val="20"/>
                <w:szCs w:val="20"/>
              </w:rPr>
              <w:t>$304.9</w:t>
            </w:r>
          </w:p>
        </w:tc>
      </w:tr>
    </w:tbl>
    <w:p w:rsidR="003B0815" w:rsidRDefault="003B0815" w14:paraId="6D8186BF" w14:textId="77777777">
      <w:pPr>
        <w:spacing w:line="360" w:lineRule="auto"/>
        <w:ind w:firstLine="720"/>
      </w:pPr>
    </w:p>
    <w:p w:rsidR="003B0815" w:rsidRDefault="003B0815" w14:paraId="1D1B40A1" w14:textId="77777777">
      <w:pPr>
        <w:spacing w:line="360" w:lineRule="auto"/>
        <w:ind w:firstLine="720"/>
      </w:pPr>
      <w:r>
        <w:t>Table 1.6.5.h summarizes the 10-year costs to verify boarding pass information at the checkpoint under the three scenarios.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929"/>
        <w:gridCol w:w="1294"/>
        <w:gridCol w:w="1268"/>
        <w:gridCol w:w="1072"/>
      </w:tblGrid>
      <w:tr w:rsidR="003B0815" w14:paraId="29A62417" w14:textId="77777777">
        <w:trPr>
          <w:jc w:val="center"/>
        </w:trPr>
        <w:tc>
          <w:tcPr>
            <w:tcW w:w="4563" w:type="dxa"/>
            <w:gridSpan w:val="4"/>
            <w:tcBorders>
              <w:top w:val="nil"/>
              <w:left w:val="nil"/>
              <w:bottom w:val="single" w:color="auto" w:sz="12" w:space="0"/>
              <w:right w:val="nil"/>
            </w:tcBorders>
            <w:vAlign w:val="center"/>
          </w:tcPr>
          <w:p w:rsidR="003B0815" w:rsidRDefault="003B0815" w14:paraId="398B220D" w14:textId="77777777">
            <w:pPr>
              <w:pStyle w:val="RegEvalTableHeader"/>
              <w:keepNext/>
            </w:pPr>
            <w:bookmarkStart w:name="_Toc165278399" w:id="354"/>
            <w:bookmarkStart w:name="_Toc174438401" w:id="355"/>
            <w:bookmarkStart w:name="_Toc207109538" w:id="356"/>
            <w:r>
              <w:t>Table 1.6.5.h  Total Costs to Verify Boarding Pass Information</w:t>
            </w:r>
            <w:bookmarkEnd w:id="354"/>
            <w:bookmarkEnd w:id="355"/>
            <w:bookmarkEnd w:id="356"/>
          </w:p>
        </w:tc>
      </w:tr>
      <w:tr w:rsidR="003B0815" w14:paraId="6130C867" w14:textId="77777777">
        <w:trPr>
          <w:jc w:val="center"/>
        </w:trPr>
        <w:tc>
          <w:tcPr>
            <w:tcW w:w="929" w:type="dxa"/>
            <w:tcBorders>
              <w:top w:val="single" w:color="auto" w:sz="12" w:space="0"/>
              <w:left w:val="single" w:color="auto" w:sz="12" w:space="0"/>
            </w:tcBorders>
            <w:vAlign w:val="center"/>
          </w:tcPr>
          <w:p w:rsidR="003B0815" w:rsidRDefault="003B0815" w14:paraId="65C35840" w14:textId="77777777">
            <w:pPr>
              <w:keepNext/>
              <w:jc w:val="center"/>
              <w:rPr>
                <w:b/>
              </w:rPr>
            </w:pPr>
            <w:r>
              <w:rPr>
                <w:rFonts w:ascii="Arial" w:hAnsi="Arial" w:cs="Arial"/>
                <w:b/>
                <w:sz w:val="20"/>
                <w:szCs w:val="20"/>
              </w:rPr>
              <w:t>Fiscal Year</w:t>
            </w:r>
          </w:p>
        </w:tc>
        <w:tc>
          <w:tcPr>
            <w:tcW w:w="1294" w:type="dxa"/>
            <w:tcBorders>
              <w:top w:val="single" w:color="auto" w:sz="12" w:space="0"/>
              <w:bottom w:val="single" w:color="auto" w:sz="4" w:space="0"/>
            </w:tcBorders>
            <w:vAlign w:val="center"/>
          </w:tcPr>
          <w:p w:rsidR="003B0815" w:rsidRDefault="003B0815" w14:paraId="121D7D8C" w14:textId="77777777">
            <w:pPr>
              <w:keepNext/>
              <w:jc w:val="center"/>
              <w:rPr>
                <w:b/>
              </w:rPr>
            </w:pPr>
            <w:r>
              <w:rPr>
                <w:rFonts w:ascii="Arial" w:hAnsi="Arial" w:cs="Arial"/>
                <w:b/>
                <w:sz w:val="20"/>
                <w:szCs w:val="20"/>
              </w:rPr>
              <w:t>Primary Scenario</w:t>
            </w:r>
          </w:p>
        </w:tc>
        <w:tc>
          <w:tcPr>
            <w:tcW w:w="1268" w:type="dxa"/>
            <w:tcBorders>
              <w:top w:val="single" w:color="auto" w:sz="12" w:space="0"/>
              <w:bottom w:val="single" w:color="auto" w:sz="4" w:space="0"/>
            </w:tcBorders>
            <w:vAlign w:val="center"/>
          </w:tcPr>
          <w:p w:rsidR="003B0815" w:rsidRDefault="003B0815" w14:paraId="106625B9" w14:textId="77777777">
            <w:pPr>
              <w:keepNext/>
              <w:jc w:val="center"/>
              <w:rPr>
                <w:b/>
              </w:rPr>
            </w:pPr>
            <w:r>
              <w:rPr>
                <w:rFonts w:ascii="Arial" w:hAnsi="Arial" w:cs="Arial"/>
                <w:b/>
                <w:sz w:val="20"/>
                <w:szCs w:val="20"/>
              </w:rPr>
              <w:t>Low Scenario</w:t>
            </w:r>
          </w:p>
        </w:tc>
        <w:tc>
          <w:tcPr>
            <w:tcW w:w="1072" w:type="dxa"/>
            <w:tcBorders>
              <w:top w:val="single" w:color="auto" w:sz="12" w:space="0"/>
              <w:bottom w:val="single" w:color="auto" w:sz="4" w:space="0"/>
              <w:right w:val="single" w:color="auto" w:sz="12" w:space="0"/>
            </w:tcBorders>
            <w:vAlign w:val="center"/>
          </w:tcPr>
          <w:p w:rsidR="003B0815" w:rsidRDefault="003B0815" w14:paraId="39C1F716" w14:textId="77777777">
            <w:pPr>
              <w:keepNext/>
              <w:jc w:val="center"/>
              <w:rPr>
                <w:b/>
              </w:rPr>
            </w:pPr>
            <w:r>
              <w:rPr>
                <w:rFonts w:ascii="Arial" w:hAnsi="Arial" w:cs="Arial"/>
                <w:b/>
                <w:sz w:val="20"/>
                <w:szCs w:val="20"/>
              </w:rPr>
              <w:t>High Scenario</w:t>
            </w:r>
          </w:p>
        </w:tc>
      </w:tr>
      <w:tr w:rsidR="003B0815" w14:paraId="704552B2" w14:textId="77777777">
        <w:trPr>
          <w:jc w:val="center"/>
        </w:trPr>
        <w:tc>
          <w:tcPr>
            <w:tcW w:w="929" w:type="dxa"/>
            <w:tcBorders>
              <w:left w:val="single" w:color="auto" w:sz="12" w:space="0"/>
            </w:tcBorders>
          </w:tcPr>
          <w:p w:rsidR="003B0815" w:rsidRDefault="003B0815" w14:paraId="27850736" w14:textId="77777777">
            <w:pPr>
              <w:keepNext/>
              <w:jc w:val="center"/>
            </w:pPr>
            <w:r>
              <w:t>2008</w:t>
            </w:r>
          </w:p>
        </w:tc>
        <w:tc>
          <w:tcPr>
            <w:tcW w:w="1294" w:type="dxa"/>
            <w:shd w:val="clear" w:color="auto" w:fill="CCCCCC"/>
            <w:vAlign w:val="bottom"/>
          </w:tcPr>
          <w:p w:rsidR="003B0815" w:rsidRDefault="003B0815" w14:paraId="35727CC2" w14:textId="77777777">
            <w:pPr>
              <w:keepNext/>
              <w:jc w:val="right"/>
            </w:pPr>
            <w:r>
              <w:rPr>
                <w:rFonts w:ascii="Arial" w:hAnsi="Arial" w:cs="Arial"/>
                <w:sz w:val="20"/>
                <w:szCs w:val="20"/>
              </w:rPr>
              <w:t>$8.7</w:t>
            </w:r>
          </w:p>
        </w:tc>
        <w:tc>
          <w:tcPr>
            <w:tcW w:w="1268" w:type="dxa"/>
            <w:shd w:val="clear" w:color="auto" w:fill="CCCCCC"/>
            <w:vAlign w:val="bottom"/>
          </w:tcPr>
          <w:p w:rsidR="003B0815" w:rsidRDefault="003B0815" w14:paraId="0428E5AA"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2FFF4D4D" w14:textId="77777777">
            <w:pPr>
              <w:keepNext/>
              <w:jc w:val="right"/>
            </w:pPr>
            <w:r>
              <w:rPr>
                <w:rFonts w:ascii="Arial" w:hAnsi="Arial" w:cs="Arial"/>
                <w:sz w:val="20"/>
                <w:szCs w:val="20"/>
              </w:rPr>
              <w:t>$30.0</w:t>
            </w:r>
          </w:p>
        </w:tc>
      </w:tr>
      <w:tr w:rsidR="003B0815" w14:paraId="787AA966" w14:textId="77777777">
        <w:trPr>
          <w:jc w:val="center"/>
        </w:trPr>
        <w:tc>
          <w:tcPr>
            <w:tcW w:w="929" w:type="dxa"/>
            <w:tcBorders>
              <w:left w:val="single" w:color="auto" w:sz="12" w:space="0"/>
            </w:tcBorders>
          </w:tcPr>
          <w:p w:rsidR="003B0815" w:rsidRDefault="003B0815" w14:paraId="2E825AB2" w14:textId="77777777">
            <w:pPr>
              <w:keepNext/>
              <w:jc w:val="center"/>
            </w:pPr>
            <w:r>
              <w:t>2009</w:t>
            </w:r>
          </w:p>
        </w:tc>
        <w:tc>
          <w:tcPr>
            <w:tcW w:w="1294" w:type="dxa"/>
            <w:shd w:val="clear" w:color="auto" w:fill="CCCCCC"/>
            <w:vAlign w:val="bottom"/>
          </w:tcPr>
          <w:p w:rsidR="003B0815" w:rsidRDefault="003B0815" w14:paraId="59DE2505"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3A3F2029"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22C19B97" w14:textId="77777777">
            <w:pPr>
              <w:keepNext/>
              <w:jc w:val="right"/>
            </w:pPr>
            <w:r>
              <w:rPr>
                <w:rFonts w:ascii="Arial" w:hAnsi="Arial" w:cs="Arial"/>
                <w:sz w:val="20"/>
                <w:szCs w:val="20"/>
              </w:rPr>
              <w:t>27.4</w:t>
            </w:r>
          </w:p>
        </w:tc>
      </w:tr>
      <w:tr w:rsidR="003B0815" w14:paraId="7B451251" w14:textId="77777777">
        <w:trPr>
          <w:jc w:val="center"/>
        </w:trPr>
        <w:tc>
          <w:tcPr>
            <w:tcW w:w="929" w:type="dxa"/>
            <w:tcBorders>
              <w:left w:val="single" w:color="auto" w:sz="12" w:space="0"/>
            </w:tcBorders>
          </w:tcPr>
          <w:p w:rsidR="003B0815" w:rsidRDefault="003B0815" w14:paraId="14C19B14" w14:textId="77777777">
            <w:pPr>
              <w:keepNext/>
              <w:jc w:val="center"/>
            </w:pPr>
            <w:r>
              <w:t>2010</w:t>
            </w:r>
          </w:p>
        </w:tc>
        <w:tc>
          <w:tcPr>
            <w:tcW w:w="1294" w:type="dxa"/>
            <w:shd w:val="clear" w:color="auto" w:fill="CCCCCC"/>
            <w:vAlign w:val="bottom"/>
          </w:tcPr>
          <w:p w:rsidR="003B0815" w:rsidRDefault="003B0815" w14:paraId="62670CD4"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2664148F"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687568DF" w14:textId="77777777">
            <w:pPr>
              <w:keepNext/>
              <w:jc w:val="right"/>
            </w:pPr>
            <w:r>
              <w:rPr>
                <w:rFonts w:ascii="Arial" w:hAnsi="Arial" w:cs="Arial"/>
                <w:sz w:val="20"/>
                <w:szCs w:val="20"/>
              </w:rPr>
              <w:t>28.1</w:t>
            </w:r>
          </w:p>
        </w:tc>
      </w:tr>
      <w:tr w:rsidR="003B0815" w14:paraId="705A5745" w14:textId="77777777">
        <w:trPr>
          <w:jc w:val="center"/>
        </w:trPr>
        <w:tc>
          <w:tcPr>
            <w:tcW w:w="929" w:type="dxa"/>
            <w:tcBorders>
              <w:left w:val="single" w:color="auto" w:sz="12" w:space="0"/>
            </w:tcBorders>
          </w:tcPr>
          <w:p w:rsidR="003B0815" w:rsidRDefault="003B0815" w14:paraId="23DCAF6E" w14:textId="77777777">
            <w:pPr>
              <w:keepNext/>
              <w:jc w:val="center"/>
            </w:pPr>
            <w:r>
              <w:t>2011</w:t>
            </w:r>
          </w:p>
        </w:tc>
        <w:tc>
          <w:tcPr>
            <w:tcW w:w="1294" w:type="dxa"/>
            <w:shd w:val="clear" w:color="auto" w:fill="CCCCCC"/>
            <w:vAlign w:val="bottom"/>
          </w:tcPr>
          <w:p w:rsidR="003B0815" w:rsidRDefault="003B0815" w14:paraId="6442C821"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71048A87"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56435680" w14:textId="77777777">
            <w:pPr>
              <w:keepNext/>
              <w:jc w:val="right"/>
            </w:pPr>
            <w:r>
              <w:rPr>
                <w:rFonts w:ascii="Arial" w:hAnsi="Arial" w:cs="Arial"/>
                <w:sz w:val="20"/>
                <w:szCs w:val="20"/>
              </w:rPr>
              <w:t>28.8</w:t>
            </w:r>
          </w:p>
        </w:tc>
      </w:tr>
      <w:tr w:rsidR="003B0815" w14:paraId="7D000866" w14:textId="77777777">
        <w:trPr>
          <w:jc w:val="center"/>
        </w:trPr>
        <w:tc>
          <w:tcPr>
            <w:tcW w:w="929" w:type="dxa"/>
            <w:tcBorders>
              <w:left w:val="single" w:color="auto" w:sz="12" w:space="0"/>
            </w:tcBorders>
          </w:tcPr>
          <w:p w:rsidR="003B0815" w:rsidRDefault="003B0815" w14:paraId="54D2EC0C" w14:textId="77777777">
            <w:pPr>
              <w:keepNext/>
              <w:jc w:val="center"/>
            </w:pPr>
            <w:r>
              <w:t>2012</w:t>
            </w:r>
          </w:p>
        </w:tc>
        <w:tc>
          <w:tcPr>
            <w:tcW w:w="1294" w:type="dxa"/>
            <w:shd w:val="clear" w:color="auto" w:fill="CCCCCC"/>
            <w:vAlign w:val="bottom"/>
          </w:tcPr>
          <w:p w:rsidR="003B0815" w:rsidRDefault="003B0815" w14:paraId="3AB67D79"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05F86121"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24B2DE1F" w14:textId="77777777">
            <w:pPr>
              <w:keepNext/>
              <w:jc w:val="right"/>
            </w:pPr>
            <w:r>
              <w:rPr>
                <w:rFonts w:ascii="Arial" w:hAnsi="Arial" w:cs="Arial"/>
                <w:sz w:val="20"/>
                <w:szCs w:val="20"/>
              </w:rPr>
              <w:t>29.6</w:t>
            </w:r>
          </w:p>
        </w:tc>
      </w:tr>
      <w:tr w:rsidR="003B0815" w14:paraId="35B79D1D" w14:textId="77777777">
        <w:trPr>
          <w:jc w:val="center"/>
        </w:trPr>
        <w:tc>
          <w:tcPr>
            <w:tcW w:w="929" w:type="dxa"/>
            <w:tcBorders>
              <w:left w:val="single" w:color="auto" w:sz="12" w:space="0"/>
            </w:tcBorders>
          </w:tcPr>
          <w:p w:rsidR="003B0815" w:rsidRDefault="003B0815" w14:paraId="054F39A7" w14:textId="77777777">
            <w:pPr>
              <w:keepNext/>
              <w:jc w:val="center"/>
            </w:pPr>
            <w:r>
              <w:t>2013</w:t>
            </w:r>
          </w:p>
        </w:tc>
        <w:tc>
          <w:tcPr>
            <w:tcW w:w="1294" w:type="dxa"/>
            <w:shd w:val="clear" w:color="auto" w:fill="CCCCCC"/>
            <w:vAlign w:val="bottom"/>
          </w:tcPr>
          <w:p w:rsidR="003B0815" w:rsidRDefault="003B0815" w14:paraId="4B63743D"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416F2752"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6044427D" w14:textId="77777777">
            <w:pPr>
              <w:keepNext/>
              <w:jc w:val="right"/>
            </w:pPr>
            <w:r>
              <w:rPr>
                <w:rFonts w:ascii="Arial" w:hAnsi="Arial" w:cs="Arial"/>
                <w:sz w:val="20"/>
                <w:szCs w:val="20"/>
              </w:rPr>
              <w:t>30.4</w:t>
            </w:r>
          </w:p>
        </w:tc>
      </w:tr>
      <w:tr w:rsidR="003B0815" w14:paraId="54E4ECF2" w14:textId="77777777">
        <w:trPr>
          <w:jc w:val="center"/>
        </w:trPr>
        <w:tc>
          <w:tcPr>
            <w:tcW w:w="929" w:type="dxa"/>
            <w:tcBorders>
              <w:left w:val="single" w:color="auto" w:sz="12" w:space="0"/>
            </w:tcBorders>
          </w:tcPr>
          <w:p w:rsidR="003B0815" w:rsidRDefault="003B0815" w14:paraId="601323FF" w14:textId="77777777">
            <w:pPr>
              <w:keepNext/>
              <w:jc w:val="center"/>
            </w:pPr>
            <w:r>
              <w:t>2014</w:t>
            </w:r>
          </w:p>
        </w:tc>
        <w:tc>
          <w:tcPr>
            <w:tcW w:w="1294" w:type="dxa"/>
            <w:shd w:val="clear" w:color="auto" w:fill="CCCCCC"/>
            <w:vAlign w:val="bottom"/>
          </w:tcPr>
          <w:p w:rsidR="003B0815" w:rsidRDefault="003B0815" w14:paraId="5958CBE5"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3E92FD5D"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280EA537" w14:textId="77777777">
            <w:pPr>
              <w:keepNext/>
              <w:jc w:val="right"/>
            </w:pPr>
            <w:r>
              <w:rPr>
                <w:rFonts w:ascii="Arial" w:hAnsi="Arial" w:cs="Arial"/>
                <w:sz w:val="20"/>
                <w:szCs w:val="20"/>
              </w:rPr>
              <w:t>31.3</w:t>
            </w:r>
          </w:p>
        </w:tc>
      </w:tr>
      <w:tr w:rsidR="003B0815" w14:paraId="3248881D" w14:textId="77777777">
        <w:trPr>
          <w:jc w:val="center"/>
        </w:trPr>
        <w:tc>
          <w:tcPr>
            <w:tcW w:w="929" w:type="dxa"/>
            <w:tcBorders>
              <w:left w:val="single" w:color="auto" w:sz="12" w:space="0"/>
            </w:tcBorders>
          </w:tcPr>
          <w:p w:rsidR="003B0815" w:rsidRDefault="003B0815" w14:paraId="6D62E211" w14:textId="77777777">
            <w:pPr>
              <w:keepNext/>
              <w:jc w:val="center"/>
            </w:pPr>
            <w:r>
              <w:t>2015</w:t>
            </w:r>
          </w:p>
        </w:tc>
        <w:tc>
          <w:tcPr>
            <w:tcW w:w="1294" w:type="dxa"/>
            <w:shd w:val="clear" w:color="auto" w:fill="CCCCCC"/>
            <w:vAlign w:val="bottom"/>
          </w:tcPr>
          <w:p w:rsidR="003B0815" w:rsidRDefault="003B0815" w14:paraId="0587A46F"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3FBBEC59"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2766EAC0" w14:textId="77777777">
            <w:pPr>
              <w:keepNext/>
              <w:jc w:val="right"/>
            </w:pPr>
            <w:r>
              <w:rPr>
                <w:rFonts w:ascii="Arial" w:hAnsi="Arial" w:cs="Arial"/>
                <w:sz w:val="20"/>
                <w:szCs w:val="20"/>
              </w:rPr>
              <w:t>32.2</w:t>
            </w:r>
          </w:p>
        </w:tc>
      </w:tr>
      <w:tr w:rsidR="003B0815" w14:paraId="451595AF" w14:textId="77777777">
        <w:trPr>
          <w:jc w:val="center"/>
        </w:trPr>
        <w:tc>
          <w:tcPr>
            <w:tcW w:w="929" w:type="dxa"/>
            <w:tcBorders>
              <w:left w:val="single" w:color="auto" w:sz="12" w:space="0"/>
            </w:tcBorders>
          </w:tcPr>
          <w:p w:rsidR="003B0815" w:rsidRDefault="003B0815" w14:paraId="239A9B80" w14:textId="77777777">
            <w:pPr>
              <w:keepNext/>
              <w:jc w:val="center"/>
            </w:pPr>
            <w:r>
              <w:t>2016</w:t>
            </w:r>
          </w:p>
        </w:tc>
        <w:tc>
          <w:tcPr>
            <w:tcW w:w="1294" w:type="dxa"/>
            <w:shd w:val="clear" w:color="auto" w:fill="CCCCCC"/>
            <w:vAlign w:val="bottom"/>
          </w:tcPr>
          <w:p w:rsidR="003B0815" w:rsidRDefault="003B0815" w14:paraId="7D4C449B" w14:textId="77777777">
            <w:pPr>
              <w:keepNext/>
              <w:jc w:val="right"/>
            </w:pPr>
            <w:r>
              <w:rPr>
                <w:rFonts w:ascii="Arial" w:hAnsi="Arial" w:cs="Arial"/>
                <w:sz w:val="20"/>
                <w:szCs w:val="20"/>
              </w:rPr>
              <w:t>5.4</w:t>
            </w:r>
          </w:p>
        </w:tc>
        <w:tc>
          <w:tcPr>
            <w:tcW w:w="1268" w:type="dxa"/>
            <w:shd w:val="clear" w:color="auto" w:fill="CCCCCC"/>
            <w:vAlign w:val="bottom"/>
          </w:tcPr>
          <w:p w:rsidR="003B0815" w:rsidRDefault="003B0815" w14:paraId="71F0D69B" w14:textId="77777777">
            <w:pPr>
              <w:keepNext/>
              <w:jc w:val="right"/>
            </w:pPr>
            <w:r>
              <w:rPr>
                <w:rFonts w:ascii="Arial" w:hAnsi="Arial" w:cs="Arial"/>
                <w:sz w:val="20"/>
                <w:szCs w:val="20"/>
              </w:rPr>
              <w:t>0.0</w:t>
            </w:r>
          </w:p>
        </w:tc>
        <w:tc>
          <w:tcPr>
            <w:tcW w:w="1072" w:type="dxa"/>
            <w:tcBorders>
              <w:right w:val="single" w:color="auto" w:sz="12" w:space="0"/>
            </w:tcBorders>
            <w:shd w:val="clear" w:color="auto" w:fill="C0C0C0"/>
            <w:vAlign w:val="bottom"/>
          </w:tcPr>
          <w:p w:rsidR="003B0815" w:rsidRDefault="003B0815" w14:paraId="3F65F284" w14:textId="77777777">
            <w:pPr>
              <w:keepNext/>
              <w:jc w:val="right"/>
            </w:pPr>
            <w:r>
              <w:rPr>
                <w:rFonts w:ascii="Arial" w:hAnsi="Arial" w:cs="Arial"/>
                <w:sz w:val="20"/>
                <w:szCs w:val="20"/>
              </w:rPr>
              <w:t>33.1</w:t>
            </w:r>
          </w:p>
        </w:tc>
      </w:tr>
      <w:tr w:rsidR="003B0815" w14:paraId="08ABF3AB" w14:textId="77777777">
        <w:trPr>
          <w:jc w:val="center"/>
        </w:trPr>
        <w:tc>
          <w:tcPr>
            <w:tcW w:w="929" w:type="dxa"/>
            <w:tcBorders>
              <w:left w:val="single" w:color="auto" w:sz="12" w:space="0"/>
              <w:bottom w:val="single" w:color="auto" w:sz="4" w:space="0"/>
            </w:tcBorders>
          </w:tcPr>
          <w:p w:rsidR="003B0815" w:rsidRDefault="003B0815" w14:paraId="681C2B58" w14:textId="77777777">
            <w:pPr>
              <w:keepNext/>
              <w:jc w:val="center"/>
            </w:pPr>
            <w:r>
              <w:t>2017</w:t>
            </w:r>
          </w:p>
        </w:tc>
        <w:tc>
          <w:tcPr>
            <w:tcW w:w="1294" w:type="dxa"/>
            <w:tcBorders>
              <w:bottom w:val="single" w:color="auto" w:sz="4" w:space="0"/>
            </w:tcBorders>
            <w:shd w:val="clear" w:color="auto" w:fill="CCCCCC"/>
            <w:vAlign w:val="bottom"/>
          </w:tcPr>
          <w:p w:rsidR="003B0815" w:rsidRDefault="003B0815" w14:paraId="1BB7C7D5" w14:textId="77777777">
            <w:pPr>
              <w:keepNext/>
              <w:jc w:val="right"/>
            </w:pPr>
            <w:r>
              <w:rPr>
                <w:rFonts w:ascii="Arial" w:hAnsi="Arial" w:cs="Arial"/>
                <w:sz w:val="20"/>
                <w:szCs w:val="20"/>
              </w:rPr>
              <w:t>$5.4</w:t>
            </w:r>
          </w:p>
        </w:tc>
        <w:tc>
          <w:tcPr>
            <w:tcW w:w="1268" w:type="dxa"/>
            <w:tcBorders>
              <w:bottom w:val="single" w:color="auto" w:sz="4" w:space="0"/>
            </w:tcBorders>
            <w:shd w:val="clear" w:color="auto" w:fill="CCCCCC"/>
            <w:vAlign w:val="bottom"/>
          </w:tcPr>
          <w:p w:rsidR="003B0815" w:rsidRDefault="003B0815" w14:paraId="7479E954" w14:textId="77777777">
            <w:pPr>
              <w:keepNext/>
              <w:jc w:val="right"/>
            </w:pPr>
            <w:r>
              <w:rPr>
                <w:rFonts w:ascii="Arial" w:hAnsi="Arial" w:cs="Arial"/>
                <w:sz w:val="20"/>
                <w:szCs w:val="20"/>
              </w:rPr>
              <w:t>$0.0</w:t>
            </w:r>
          </w:p>
        </w:tc>
        <w:tc>
          <w:tcPr>
            <w:tcW w:w="1072" w:type="dxa"/>
            <w:tcBorders>
              <w:bottom w:val="single" w:color="auto" w:sz="4" w:space="0"/>
              <w:right w:val="single" w:color="auto" w:sz="12" w:space="0"/>
            </w:tcBorders>
            <w:shd w:val="clear" w:color="auto" w:fill="C0C0C0"/>
            <w:vAlign w:val="bottom"/>
          </w:tcPr>
          <w:p w:rsidR="003B0815" w:rsidRDefault="003B0815" w14:paraId="03F92924" w14:textId="77777777">
            <w:pPr>
              <w:keepNext/>
              <w:jc w:val="right"/>
            </w:pPr>
            <w:r>
              <w:rPr>
                <w:rFonts w:ascii="Arial" w:hAnsi="Arial" w:cs="Arial"/>
                <w:sz w:val="20"/>
                <w:szCs w:val="20"/>
              </w:rPr>
              <w:t>$34.1</w:t>
            </w:r>
          </w:p>
        </w:tc>
      </w:tr>
      <w:tr w:rsidR="003B0815" w14:paraId="429379D1" w14:textId="77777777">
        <w:trPr>
          <w:jc w:val="center"/>
        </w:trPr>
        <w:tc>
          <w:tcPr>
            <w:tcW w:w="929" w:type="dxa"/>
            <w:tcBorders>
              <w:left w:val="single" w:color="auto" w:sz="12" w:space="0"/>
              <w:bottom w:val="single" w:color="auto" w:sz="12" w:space="0"/>
              <w:right w:val="nil"/>
            </w:tcBorders>
            <w:vAlign w:val="bottom"/>
          </w:tcPr>
          <w:p w:rsidR="003B0815" w:rsidRDefault="003B0815" w14:paraId="47AF9354" w14:textId="77777777">
            <w:pPr>
              <w:keepNext/>
              <w:jc w:val="center"/>
            </w:pPr>
            <w:r>
              <w:rPr>
                <w:rFonts w:ascii="Arial" w:hAnsi="Arial" w:cs="Arial"/>
                <w:b/>
                <w:bCs/>
                <w:sz w:val="20"/>
                <w:szCs w:val="20"/>
              </w:rPr>
              <w:t>Total</w:t>
            </w:r>
          </w:p>
        </w:tc>
        <w:tc>
          <w:tcPr>
            <w:tcW w:w="1294" w:type="dxa"/>
            <w:tcBorders>
              <w:left w:val="nil"/>
              <w:bottom w:val="single" w:color="auto" w:sz="12" w:space="0"/>
              <w:right w:val="nil"/>
            </w:tcBorders>
            <w:vAlign w:val="bottom"/>
          </w:tcPr>
          <w:p w:rsidR="003B0815" w:rsidRDefault="003B0815" w14:paraId="35B3DDCD" w14:textId="77777777">
            <w:pPr>
              <w:keepNext/>
              <w:jc w:val="right"/>
            </w:pPr>
            <w:r>
              <w:rPr>
                <w:rFonts w:ascii="Arial" w:hAnsi="Arial" w:cs="Arial"/>
                <w:b/>
                <w:bCs/>
                <w:sz w:val="20"/>
                <w:szCs w:val="20"/>
              </w:rPr>
              <w:t>$57.0</w:t>
            </w:r>
          </w:p>
        </w:tc>
        <w:tc>
          <w:tcPr>
            <w:tcW w:w="1268" w:type="dxa"/>
            <w:tcBorders>
              <w:left w:val="nil"/>
              <w:bottom w:val="single" w:color="auto" w:sz="12" w:space="0"/>
              <w:right w:val="nil"/>
            </w:tcBorders>
            <w:vAlign w:val="bottom"/>
          </w:tcPr>
          <w:p w:rsidR="003B0815" w:rsidRDefault="003B0815" w14:paraId="5050C49C" w14:textId="77777777">
            <w:pPr>
              <w:keepNext/>
              <w:jc w:val="right"/>
            </w:pPr>
            <w:r>
              <w:rPr>
                <w:rFonts w:ascii="Arial" w:hAnsi="Arial" w:cs="Arial"/>
                <w:b/>
                <w:bCs/>
                <w:sz w:val="20"/>
                <w:szCs w:val="20"/>
              </w:rPr>
              <w:t>$0.0</w:t>
            </w:r>
          </w:p>
        </w:tc>
        <w:tc>
          <w:tcPr>
            <w:tcW w:w="1072" w:type="dxa"/>
            <w:tcBorders>
              <w:left w:val="nil"/>
              <w:bottom w:val="single" w:color="auto" w:sz="12" w:space="0"/>
              <w:right w:val="single" w:color="auto" w:sz="12" w:space="0"/>
            </w:tcBorders>
            <w:vAlign w:val="bottom"/>
          </w:tcPr>
          <w:p w:rsidR="003B0815" w:rsidRDefault="003B0815" w14:paraId="459364EC" w14:textId="77777777">
            <w:pPr>
              <w:keepNext/>
              <w:jc w:val="right"/>
            </w:pPr>
            <w:r>
              <w:rPr>
                <w:rFonts w:ascii="Arial" w:hAnsi="Arial" w:cs="Arial"/>
                <w:b/>
                <w:bCs/>
                <w:sz w:val="20"/>
                <w:szCs w:val="20"/>
              </w:rPr>
              <w:t>$304.9</w:t>
            </w:r>
          </w:p>
        </w:tc>
      </w:tr>
      <w:bookmarkEnd w:id="320"/>
      <w:bookmarkEnd w:id="321"/>
      <w:bookmarkEnd w:id="327"/>
      <w:bookmarkEnd w:id="328"/>
      <w:bookmarkEnd w:id="329"/>
    </w:tbl>
    <w:p w:rsidR="003B0815" w:rsidRDefault="003B0815" w14:paraId="2EB516BA" w14:textId="77777777">
      <w:pPr>
        <w:spacing w:line="360" w:lineRule="auto"/>
        <w:rPr>
          <w:rStyle w:val="RegEvalTableHeaderChar"/>
          <w:b w:val="0"/>
          <w:sz w:val="20"/>
          <w:szCs w:val="20"/>
        </w:rPr>
      </w:pPr>
    </w:p>
    <w:p w:rsidR="003B0815" w:rsidRDefault="003B0815" w14:paraId="7435A234" w14:textId="77777777">
      <w:pPr>
        <w:spacing w:line="360" w:lineRule="auto"/>
        <w:ind w:firstLine="720"/>
      </w:pPr>
      <w:r>
        <w:t>Table 1.6.5.i presents the total direct costs to TSA from the preceding table and table 1.6.5.a.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929"/>
        <w:gridCol w:w="1294"/>
        <w:gridCol w:w="1268"/>
        <w:gridCol w:w="1072"/>
      </w:tblGrid>
      <w:tr w:rsidR="003B0815" w14:paraId="38EA0455" w14:textId="77777777">
        <w:trPr>
          <w:jc w:val="center"/>
        </w:trPr>
        <w:tc>
          <w:tcPr>
            <w:tcW w:w="4563" w:type="dxa"/>
            <w:gridSpan w:val="4"/>
            <w:tcBorders>
              <w:top w:val="nil"/>
              <w:left w:val="nil"/>
              <w:bottom w:val="single" w:color="auto" w:sz="12" w:space="0"/>
              <w:right w:val="nil"/>
            </w:tcBorders>
            <w:vAlign w:val="center"/>
          </w:tcPr>
          <w:p w:rsidR="003B0815" w:rsidRDefault="003B0815" w14:paraId="489C8D6A" w14:textId="77777777">
            <w:pPr>
              <w:pStyle w:val="RegEvalTableHeader"/>
              <w:keepNext/>
            </w:pPr>
            <w:bookmarkStart w:name="_Toc165278400" w:id="357"/>
            <w:bookmarkStart w:name="_Toc174438402" w:id="358"/>
            <w:bookmarkStart w:name="_Toc207109539" w:id="359"/>
            <w:r>
              <w:t>Table 1.6.5.i  Total Direct Costs to TSA</w:t>
            </w:r>
            <w:bookmarkEnd w:id="357"/>
            <w:bookmarkEnd w:id="358"/>
            <w:bookmarkEnd w:id="359"/>
          </w:p>
        </w:tc>
      </w:tr>
      <w:tr w:rsidR="003B0815" w14:paraId="4983B9B0" w14:textId="77777777">
        <w:trPr>
          <w:jc w:val="center"/>
        </w:trPr>
        <w:tc>
          <w:tcPr>
            <w:tcW w:w="929" w:type="dxa"/>
            <w:tcBorders>
              <w:top w:val="single" w:color="auto" w:sz="12" w:space="0"/>
              <w:left w:val="single" w:color="auto" w:sz="12" w:space="0"/>
            </w:tcBorders>
            <w:vAlign w:val="center"/>
          </w:tcPr>
          <w:p w:rsidR="003B0815" w:rsidRDefault="003B0815" w14:paraId="04B50F25" w14:textId="77777777">
            <w:pPr>
              <w:keepNext/>
              <w:jc w:val="center"/>
              <w:rPr>
                <w:b/>
              </w:rPr>
            </w:pPr>
            <w:r>
              <w:rPr>
                <w:rFonts w:ascii="Arial" w:hAnsi="Arial" w:cs="Arial"/>
                <w:b/>
                <w:sz w:val="20"/>
                <w:szCs w:val="20"/>
              </w:rPr>
              <w:t>Fiscal Year</w:t>
            </w:r>
          </w:p>
        </w:tc>
        <w:tc>
          <w:tcPr>
            <w:tcW w:w="1294" w:type="dxa"/>
            <w:tcBorders>
              <w:top w:val="single" w:color="auto" w:sz="12" w:space="0"/>
              <w:bottom w:val="single" w:color="auto" w:sz="4" w:space="0"/>
            </w:tcBorders>
            <w:vAlign w:val="center"/>
          </w:tcPr>
          <w:p w:rsidR="003B0815" w:rsidRDefault="003B0815" w14:paraId="31129EE3" w14:textId="77777777">
            <w:pPr>
              <w:keepNext/>
              <w:jc w:val="center"/>
              <w:rPr>
                <w:b/>
              </w:rPr>
            </w:pPr>
            <w:r>
              <w:rPr>
                <w:rFonts w:ascii="Arial" w:hAnsi="Arial" w:cs="Arial"/>
                <w:b/>
                <w:sz w:val="20"/>
                <w:szCs w:val="20"/>
              </w:rPr>
              <w:t>Primary Scenario</w:t>
            </w:r>
          </w:p>
        </w:tc>
        <w:tc>
          <w:tcPr>
            <w:tcW w:w="1268" w:type="dxa"/>
            <w:tcBorders>
              <w:top w:val="single" w:color="auto" w:sz="12" w:space="0"/>
              <w:bottom w:val="single" w:color="auto" w:sz="4" w:space="0"/>
            </w:tcBorders>
            <w:vAlign w:val="center"/>
          </w:tcPr>
          <w:p w:rsidR="003B0815" w:rsidRDefault="003B0815" w14:paraId="326636E5" w14:textId="77777777">
            <w:pPr>
              <w:keepNext/>
              <w:jc w:val="center"/>
              <w:rPr>
                <w:b/>
              </w:rPr>
            </w:pPr>
            <w:r>
              <w:rPr>
                <w:rFonts w:ascii="Arial" w:hAnsi="Arial" w:cs="Arial"/>
                <w:b/>
                <w:sz w:val="20"/>
                <w:szCs w:val="20"/>
              </w:rPr>
              <w:t>Low Scenario</w:t>
            </w:r>
          </w:p>
        </w:tc>
        <w:tc>
          <w:tcPr>
            <w:tcW w:w="1072" w:type="dxa"/>
            <w:tcBorders>
              <w:top w:val="single" w:color="auto" w:sz="12" w:space="0"/>
              <w:bottom w:val="single" w:color="auto" w:sz="4" w:space="0"/>
              <w:right w:val="single" w:color="auto" w:sz="12" w:space="0"/>
            </w:tcBorders>
            <w:vAlign w:val="center"/>
          </w:tcPr>
          <w:p w:rsidR="003B0815" w:rsidRDefault="003B0815" w14:paraId="1654AD29" w14:textId="77777777">
            <w:pPr>
              <w:keepNext/>
              <w:jc w:val="center"/>
              <w:rPr>
                <w:b/>
              </w:rPr>
            </w:pPr>
            <w:r>
              <w:rPr>
                <w:rFonts w:ascii="Arial" w:hAnsi="Arial" w:cs="Arial"/>
                <w:b/>
                <w:sz w:val="20"/>
                <w:szCs w:val="20"/>
              </w:rPr>
              <w:t>High Scenario</w:t>
            </w:r>
          </w:p>
        </w:tc>
      </w:tr>
      <w:tr w:rsidR="003B0815" w14:paraId="3471F092" w14:textId="77777777">
        <w:trPr>
          <w:jc w:val="center"/>
        </w:trPr>
        <w:tc>
          <w:tcPr>
            <w:tcW w:w="929" w:type="dxa"/>
            <w:tcBorders>
              <w:left w:val="single" w:color="auto" w:sz="12" w:space="0"/>
            </w:tcBorders>
          </w:tcPr>
          <w:p w:rsidR="003B0815" w:rsidRDefault="003B0815" w14:paraId="5D776CD4" w14:textId="77777777">
            <w:pPr>
              <w:keepNext/>
              <w:jc w:val="center"/>
            </w:pPr>
            <w:r>
              <w:t>2008</w:t>
            </w:r>
          </w:p>
        </w:tc>
        <w:tc>
          <w:tcPr>
            <w:tcW w:w="1294" w:type="dxa"/>
            <w:shd w:val="clear" w:color="auto" w:fill="CCCCCC"/>
            <w:vAlign w:val="bottom"/>
          </w:tcPr>
          <w:p w:rsidR="003B0815" w:rsidRDefault="003B0815" w14:paraId="4996DD54" w14:textId="77777777">
            <w:pPr>
              <w:keepNext/>
              <w:jc w:val="right"/>
            </w:pPr>
            <w:r>
              <w:rPr>
                <w:rFonts w:ascii="Arial" w:hAnsi="Arial" w:cs="Arial"/>
                <w:sz w:val="20"/>
                <w:szCs w:val="20"/>
              </w:rPr>
              <w:t>$61.5</w:t>
            </w:r>
          </w:p>
        </w:tc>
        <w:tc>
          <w:tcPr>
            <w:tcW w:w="1268" w:type="dxa"/>
            <w:shd w:val="clear" w:color="auto" w:fill="CCCCCC"/>
            <w:vAlign w:val="bottom"/>
          </w:tcPr>
          <w:p w:rsidR="003B0815" w:rsidRDefault="003B0815" w14:paraId="3BB5B0F7" w14:textId="77777777">
            <w:pPr>
              <w:keepNext/>
              <w:jc w:val="right"/>
            </w:pPr>
            <w:r>
              <w:rPr>
                <w:rFonts w:ascii="Arial" w:hAnsi="Arial" w:cs="Arial"/>
                <w:sz w:val="20"/>
                <w:szCs w:val="20"/>
              </w:rPr>
              <w:t>$52.8</w:t>
            </w:r>
          </w:p>
        </w:tc>
        <w:tc>
          <w:tcPr>
            <w:tcW w:w="1072" w:type="dxa"/>
            <w:tcBorders>
              <w:right w:val="single" w:color="auto" w:sz="12" w:space="0"/>
            </w:tcBorders>
            <w:shd w:val="clear" w:color="auto" w:fill="C0C0C0"/>
            <w:vAlign w:val="bottom"/>
          </w:tcPr>
          <w:p w:rsidR="003B0815" w:rsidRDefault="003B0815" w14:paraId="4452B837" w14:textId="77777777">
            <w:pPr>
              <w:keepNext/>
              <w:jc w:val="right"/>
            </w:pPr>
            <w:r>
              <w:rPr>
                <w:rFonts w:ascii="Arial" w:hAnsi="Arial" w:cs="Arial"/>
                <w:sz w:val="20"/>
                <w:szCs w:val="20"/>
              </w:rPr>
              <w:t>$82.8</w:t>
            </w:r>
          </w:p>
        </w:tc>
      </w:tr>
      <w:tr w:rsidR="003B0815" w14:paraId="3DB58F3A" w14:textId="77777777">
        <w:trPr>
          <w:jc w:val="center"/>
        </w:trPr>
        <w:tc>
          <w:tcPr>
            <w:tcW w:w="929" w:type="dxa"/>
            <w:tcBorders>
              <w:left w:val="single" w:color="auto" w:sz="12" w:space="0"/>
            </w:tcBorders>
          </w:tcPr>
          <w:p w:rsidR="003B0815" w:rsidRDefault="003B0815" w14:paraId="1226DBAC" w14:textId="77777777">
            <w:pPr>
              <w:keepNext/>
              <w:jc w:val="center"/>
            </w:pPr>
            <w:r>
              <w:t>2009</w:t>
            </w:r>
          </w:p>
        </w:tc>
        <w:tc>
          <w:tcPr>
            <w:tcW w:w="1294" w:type="dxa"/>
            <w:shd w:val="clear" w:color="auto" w:fill="CCCCCC"/>
            <w:vAlign w:val="bottom"/>
          </w:tcPr>
          <w:p w:rsidR="003B0815" w:rsidRDefault="003B0815" w14:paraId="77C605A9" w14:textId="77777777">
            <w:pPr>
              <w:keepNext/>
              <w:jc w:val="right"/>
            </w:pPr>
            <w:r>
              <w:rPr>
                <w:rFonts w:ascii="Arial" w:hAnsi="Arial" w:cs="Arial"/>
                <w:sz w:val="20"/>
                <w:szCs w:val="20"/>
              </w:rPr>
              <w:t>99.7</w:t>
            </w:r>
          </w:p>
        </w:tc>
        <w:tc>
          <w:tcPr>
            <w:tcW w:w="1268" w:type="dxa"/>
            <w:shd w:val="clear" w:color="auto" w:fill="CCCCCC"/>
            <w:vAlign w:val="bottom"/>
          </w:tcPr>
          <w:p w:rsidR="003B0815" w:rsidRDefault="003B0815" w14:paraId="02D41CBC" w14:textId="77777777">
            <w:pPr>
              <w:keepNext/>
              <w:jc w:val="right"/>
            </w:pPr>
            <w:r>
              <w:rPr>
                <w:rFonts w:ascii="Arial" w:hAnsi="Arial" w:cs="Arial"/>
                <w:sz w:val="20"/>
                <w:szCs w:val="20"/>
              </w:rPr>
              <w:t>94.3</w:t>
            </w:r>
          </w:p>
        </w:tc>
        <w:tc>
          <w:tcPr>
            <w:tcW w:w="1072" w:type="dxa"/>
            <w:tcBorders>
              <w:right w:val="single" w:color="auto" w:sz="12" w:space="0"/>
            </w:tcBorders>
            <w:shd w:val="clear" w:color="auto" w:fill="C0C0C0"/>
            <w:vAlign w:val="bottom"/>
          </w:tcPr>
          <w:p w:rsidR="003B0815" w:rsidRDefault="003B0815" w14:paraId="1E5F00FC" w14:textId="77777777">
            <w:pPr>
              <w:keepNext/>
              <w:jc w:val="right"/>
            </w:pPr>
            <w:r>
              <w:rPr>
                <w:rFonts w:ascii="Arial" w:hAnsi="Arial" w:cs="Arial"/>
                <w:sz w:val="20"/>
                <w:szCs w:val="20"/>
              </w:rPr>
              <w:t>121.6</w:t>
            </w:r>
          </w:p>
        </w:tc>
      </w:tr>
      <w:tr w:rsidR="003B0815" w14:paraId="6806A883" w14:textId="77777777">
        <w:trPr>
          <w:jc w:val="center"/>
        </w:trPr>
        <w:tc>
          <w:tcPr>
            <w:tcW w:w="929" w:type="dxa"/>
            <w:tcBorders>
              <w:left w:val="single" w:color="auto" w:sz="12" w:space="0"/>
            </w:tcBorders>
          </w:tcPr>
          <w:p w:rsidR="003B0815" w:rsidRDefault="003B0815" w14:paraId="79448014" w14:textId="77777777">
            <w:pPr>
              <w:keepNext/>
              <w:jc w:val="center"/>
            </w:pPr>
            <w:r>
              <w:t>2010</w:t>
            </w:r>
          </w:p>
        </w:tc>
        <w:tc>
          <w:tcPr>
            <w:tcW w:w="1294" w:type="dxa"/>
            <w:shd w:val="clear" w:color="auto" w:fill="CCCCCC"/>
            <w:vAlign w:val="bottom"/>
          </w:tcPr>
          <w:p w:rsidR="003B0815" w:rsidRDefault="003B0815" w14:paraId="53F28191" w14:textId="77777777">
            <w:pPr>
              <w:keepNext/>
              <w:jc w:val="right"/>
            </w:pPr>
            <w:r>
              <w:rPr>
                <w:rFonts w:ascii="Arial" w:hAnsi="Arial" w:cs="Arial"/>
                <w:sz w:val="20"/>
                <w:szCs w:val="20"/>
              </w:rPr>
              <w:t>105.5</w:t>
            </w:r>
          </w:p>
        </w:tc>
        <w:tc>
          <w:tcPr>
            <w:tcW w:w="1268" w:type="dxa"/>
            <w:shd w:val="clear" w:color="auto" w:fill="CCCCCC"/>
            <w:vAlign w:val="bottom"/>
          </w:tcPr>
          <w:p w:rsidR="003B0815" w:rsidRDefault="003B0815" w14:paraId="19616CB9" w14:textId="77777777">
            <w:pPr>
              <w:keepNext/>
              <w:jc w:val="right"/>
            </w:pPr>
            <w:r>
              <w:rPr>
                <w:rFonts w:ascii="Arial" w:hAnsi="Arial" w:cs="Arial"/>
                <w:sz w:val="20"/>
                <w:szCs w:val="20"/>
              </w:rPr>
              <w:t>100.1</w:t>
            </w:r>
          </w:p>
        </w:tc>
        <w:tc>
          <w:tcPr>
            <w:tcW w:w="1072" w:type="dxa"/>
            <w:tcBorders>
              <w:right w:val="single" w:color="auto" w:sz="12" w:space="0"/>
            </w:tcBorders>
            <w:shd w:val="clear" w:color="auto" w:fill="C0C0C0"/>
            <w:vAlign w:val="bottom"/>
          </w:tcPr>
          <w:p w:rsidR="003B0815" w:rsidRDefault="003B0815" w14:paraId="4994AEE7" w14:textId="77777777">
            <w:pPr>
              <w:keepNext/>
              <w:jc w:val="right"/>
            </w:pPr>
            <w:r>
              <w:rPr>
                <w:rFonts w:ascii="Arial" w:hAnsi="Arial" w:cs="Arial"/>
                <w:sz w:val="20"/>
                <w:szCs w:val="20"/>
              </w:rPr>
              <w:t>128.2</w:t>
            </w:r>
          </w:p>
        </w:tc>
      </w:tr>
      <w:tr w:rsidR="003B0815" w14:paraId="230AFE3B" w14:textId="77777777">
        <w:trPr>
          <w:jc w:val="center"/>
        </w:trPr>
        <w:tc>
          <w:tcPr>
            <w:tcW w:w="929" w:type="dxa"/>
            <w:tcBorders>
              <w:left w:val="single" w:color="auto" w:sz="12" w:space="0"/>
            </w:tcBorders>
          </w:tcPr>
          <w:p w:rsidR="003B0815" w:rsidRDefault="003B0815" w14:paraId="627B8633" w14:textId="77777777">
            <w:pPr>
              <w:keepNext/>
              <w:jc w:val="center"/>
            </w:pPr>
            <w:r>
              <w:t>2011</w:t>
            </w:r>
          </w:p>
        </w:tc>
        <w:tc>
          <w:tcPr>
            <w:tcW w:w="1294" w:type="dxa"/>
            <w:shd w:val="clear" w:color="auto" w:fill="CCCCCC"/>
            <w:vAlign w:val="bottom"/>
          </w:tcPr>
          <w:p w:rsidR="003B0815" w:rsidRDefault="003B0815" w14:paraId="37D83FD9" w14:textId="77777777">
            <w:pPr>
              <w:keepNext/>
              <w:jc w:val="right"/>
            </w:pPr>
            <w:r>
              <w:rPr>
                <w:rFonts w:ascii="Arial" w:hAnsi="Arial" w:cs="Arial"/>
                <w:sz w:val="20"/>
                <w:szCs w:val="20"/>
              </w:rPr>
              <w:t>94.0</w:t>
            </w:r>
          </w:p>
        </w:tc>
        <w:tc>
          <w:tcPr>
            <w:tcW w:w="1268" w:type="dxa"/>
            <w:shd w:val="clear" w:color="auto" w:fill="CCCCCC"/>
            <w:vAlign w:val="bottom"/>
          </w:tcPr>
          <w:p w:rsidR="003B0815" w:rsidRDefault="003B0815" w14:paraId="7E164231" w14:textId="77777777">
            <w:pPr>
              <w:keepNext/>
              <w:jc w:val="right"/>
            </w:pPr>
            <w:r>
              <w:rPr>
                <w:rFonts w:ascii="Arial" w:hAnsi="Arial" w:cs="Arial"/>
                <w:sz w:val="20"/>
                <w:szCs w:val="20"/>
              </w:rPr>
              <w:t>88.6</w:t>
            </w:r>
          </w:p>
        </w:tc>
        <w:tc>
          <w:tcPr>
            <w:tcW w:w="1072" w:type="dxa"/>
            <w:tcBorders>
              <w:right w:val="single" w:color="auto" w:sz="12" w:space="0"/>
            </w:tcBorders>
            <w:shd w:val="clear" w:color="auto" w:fill="C0C0C0"/>
            <w:vAlign w:val="bottom"/>
          </w:tcPr>
          <w:p w:rsidR="003B0815" w:rsidRDefault="003B0815" w14:paraId="36F65440" w14:textId="77777777">
            <w:pPr>
              <w:keepNext/>
              <w:jc w:val="right"/>
            </w:pPr>
            <w:r>
              <w:rPr>
                <w:rFonts w:ascii="Arial" w:hAnsi="Arial" w:cs="Arial"/>
                <w:sz w:val="20"/>
                <w:szCs w:val="20"/>
              </w:rPr>
              <w:t>117.4</w:t>
            </w:r>
          </w:p>
        </w:tc>
      </w:tr>
      <w:tr w:rsidR="003B0815" w14:paraId="36220BC6" w14:textId="77777777">
        <w:trPr>
          <w:jc w:val="center"/>
        </w:trPr>
        <w:tc>
          <w:tcPr>
            <w:tcW w:w="929" w:type="dxa"/>
            <w:tcBorders>
              <w:left w:val="single" w:color="auto" w:sz="12" w:space="0"/>
            </w:tcBorders>
          </w:tcPr>
          <w:p w:rsidR="003B0815" w:rsidRDefault="003B0815" w14:paraId="77C7F53F" w14:textId="77777777">
            <w:pPr>
              <w:keepNext/>
              <w:jc w:val="center"/>
            </w:pPr>
            <w:r>
              <w:t>2012</w:t>
            </w:r>
          </w:p>
        </w:tc>
        <w:tc>
          <w:tcPr>
            <w:tcW w:w="1294" w:type="dxa"/>
            <w:shd w:val="clear" w:color="auto" w:fill="CCCCCC"/>
            <w:vAlign w:val="bottom"/>
          </w:tcPr>
          <w:p w:rsidR="003B0815" w:rsidRDefault="003B0815" w14:paraId="4D186D98" w14:textId="77777777">
            <w:pPr>
              <w:keepNext/>
              <w:jc w:val="right"/>
            </w:pPr>
            <w:r>
              <w:rPr>
                <w:rFonts w:ascii="Arial" w:hAnsi="Arial" w:cs="Arial"/>
                <w:sz w:val="20"/>
                <w:szCs w:val="20"/>
              </w:rPr>
              <w:t>99.3</w:t>
            </w:r>
          </w:p>
        </w:tc>
        <w:tc>
          <w:tcPr>
            <w:tcW w:w="1268" w:type="dxa"/>
            <w:shd w:val="clear" w:color="auto" w:fill="CCCCCC"/>
            <w:vAlign w:val="bottom"/>
          </w:tcPr>
          <w:p w:rsidR="003B0815" w:rsidRDefault="003B0815" w14:paraId="3D3135DD" w14:textId="77777777">
            <w:pPr>
              <w:keepNext/>
              <w:jc w:val="right"/>
            </w:pPr>
            <w:r>
              <w:rPr>
                <w:rFonts w:ascii="Arial" w:hAnsi="Arial" w:cs="Arial"/>
                <w:sz w:val="20"/>
                <w:szCs w:val="20"/>
              </w:rPr>
              <w:t>93.9</w:t>
            </w:r>
          </w:p>
        </w:tc>
        <w:tc>
          <w:tcPr>
            <w:tcW w:w="1072" w:type="dxa"/>
            <w:tcBorders>
              <w:right w:val="single" w:color="auto" w:sz="12" w:space="0"/>
            </w:tcBorders>
            <w:shd w:val="clear" w:color="auto" w:fill="C0C0C0"/>
            <w:vAlign w:val="bottom"/>
          </w:tcPr>
          <w:p w:rsidR="003B0815" w:rsidRDefault="003B0815" w14:paraId="23EC2A5E" w14:textId="77777777">
            <w:pPr>
              <w:keepNext/>
              <w:jc w:val="right"/>
            </w:pPr>
            <w:r>
              <w:rPr>
                <w:rFonts w:ascii="Arial" w:hAnsi="Arial" w:cs="Arial"/>
                <w:sz w:val="20"/>
                <w:szCs w:val="20"/>
              </w:rPr>
              <w:t>123.6</w:t>
            </w:r>
          </w:p>
        </w:tc>
      </w:tr>
      <w:tr w:rsidR="003B0815" w14:paraId="12F6BDF2" w14:textId="77777777">
        <w:trPr>
          <w:jc w:val="center"/>
        </w:trPr>
        <w:tc>
          <w:tcPr>
            <w:tcW w:w="929" w:type="dxa"/>
            <w:tcBorders>
              <w:left w:val="single" w:color="auto" w:sz="12" w:space="0"/>
            </w:tcBorders>
          </w:tcPr>
          <w:p w:rsidR="003B0815" w:rsidRDefault="003B0815" w14:paraId="532A8A8A" w14:textId="77777777">
            <w:pPr>
              <w:keepNext/>
              <w:jc w:val="center"/>
            </w:pPr>
            <w:r>
              <w:t>2013</w:t>
            </w:r>
          </w:p>
        </w:tc>
        <w:tc>
          <w:tcPr>
            <w:tcW w:w="1294" w:type="dxa"/>
            <w:shd w:val="clear" w:color="auto" w:fill="CCCCCC"/>
            <w:vAlign w:val="bottom"/>
          </w:tcPr>
          <w:p w:rsidR="003B0815" w:rsidRDefault="003B0815" w14:paraId="2211A148" w14:textId="77777777">
            <w:pPr>
              <w:keepNext/>
              <w:jc w:val="right"/>
            </w:pPr>
            <w:r>
              <w:rPr>
                <w:rFonts w:ascii="Arial" w:hAnsi="Arial" w:cs="Arial"/>
                <w:sz w:val="20"/>
                <w:szCs w:val="20"/>
              </w:rPr>
              <w:t>103.0</w:t>
            </w:r>
          </w:p>
        </w:tc>
        <w:tc>
          <w:tcPr>
            <w:tcW w:w="1268" w:type="dxa"/>
            <w:shd w:val="clear" w:color="auto" w:fill="CCCCCC"/>
            <w:vAlign w:val="bottom"/>
          </w:tcPr>
          <w:p w:rsidR="003B0815" w:rsidRDefault="003B0815" w14:paraId="19651622" w14:textId="77777777">
            <w:pPr>
              <w:keepNext/>
              <w:jc w:val="right"/>
            </w:pPr>
            <w:r>
              <w:rPr>
                <w:rFonts w:ascii="Arial" w:hAnsi="Arial" w:cs="Arial"/>
                <w:sz w:val="20"/>
                <w:szCs w:val="20"/>
              </w:rPr>
              <w:t>97.6</w:t>
            </w:r>
          </w:p>
        </w:tc>
        <w:tc>
          <w:tcPr>
            <w:tcW w:w="1072" w:type="dxa"/>
            <w:tcBorders>
              <w:right w:val="single" w:color="auto" w:sz="12" w:space="0"/>
            </w:tcBorders>
            <w:shd w:val="clear" w:color="auto" w:fill="C0C0C0"/>
            <w:vAlign w:val="bottom"/>
          </w:tcPr>
          <w:p w:rsidR="003B0815" w:rsidRDefault="003B0815" w14:paraId="560EDB0F" w14:textId="77777777">
            <w:pPr>
              <w:keepNext/>
              <w:jc w:val="right"/>
            </w:pPr>
            <w:r>
              <w:rPr>
                <w:rFonts w:ascii="Arial" w:hAnsi="Arial" w:cs="Arial"/>
                <w:sz w:val="20"/>
                <w:szCs w:val="20"/>
              </w:rPr>
              <w:t>128.1</w:t>
            </w:r>
          </w:p>
        </w:tc>
      </w:tr>
      <w:tr w:rsidR="003B0815" w14:paraId="7709A179" w14:textId="77777777">
        <w:trPr>
          <w:jc w:val="center"/>
        </w:trPr>
        <w:tc>
          <w:tcPr>
            <w:tcW w:w="929" w:type="dxa"/>
            <w:tcBorders>
              <w:left w:val="single" w:color="auto" w:sz="12" w:space="0"/>
            </w:tcBorders>
          </w:tcPr>
          <w:p w:rsidR="003B0815" w:rsidRDefault="003B0815" w14:paraId="1EE1AB2F" w14:textId="77777777">
            <w:pPr>
              <w:keepNext/>
              <w:jc w:val="center"/>
            </w:pPr>
            <w:r>
              <w:t>2014</w:t>
            </w:r>
          </w:p>
        </w:tc>
        <w:tc>
          <w:tcPr>
            <w:tcW w:w="1294" w:type="dxa"/>
            <w:shd w:val="clear" w:color="auto" w:fill="CCCCCC"/>
            <w:vAlign w:val="bottom"/>
          </w:tcPr>
          <w:p w:rsidR="003B0815" w:rsidRDefault="003B0815" w14:paraId="5270DB60" w14:textId="77777777">
            <w:pPr>
              <w:keepNext/>
              <w:jc w:val="right"/>
            </w:pPr>
            <w:r>
              <w:rPr>
                <w:rFonts w:ascii="Arial" w:hAnsi="Arial" w:cs="Arial"/>
                <w:sz w:val="20"/>
                <w:szCs w:val="20"/>
              </w:rPr>
              <w:t>103.5</w:t>
            </w:r>
          </w:p>
        </w:tc>
        <w:tc>
          <w:tcPr>
            <w:tcW w:w="1268" w:type="dxa"/>
            <w:shd w:val="clear" w:color="auto" w:fill="CCCCCC"/>
            <w:vAlign w:val="bottom"/>
          </w:tcPr>
          <w:p w:rsidR="003B0815" w:rsidRDefault="003B0815" w14:paraId="4E9CDFA5" w14:textId="77777777">
            <w:pPr>
              <w:keepNext/>
              <w:jc w:val="right"/>
            </w:pPr>
            <w:r>
              <w:rPr>
                <w:rFonts w:ascii="Arial" w:hAnsi="Arial" w:cs="Arial"/>
                <w:sz w:val="20"/>
                <w:szCs w:val="20"/>
              </w:rPr>
              <w:t>98.1</w:t>
            </w:r>
          </w:p>
        </w:tc>
        <w:tc>
          <w:tcPr>
            <w:tcW w:w="1072" w:type="dxa"/>
            <w:tcBorders>
              <w:right w:val="single" w:color="auto" w:sz="12" w:space="0"/>
            </w:tcBorders>
            <w:shd w:val="clear" w:color="auto" w:fill="C0C0C0"/>
            <w:vAlign w:val="bottom"/>
          </w:tcPr>
          <w:p w:rsidR="003B0815" w:rsidRDefault="003B0815" w14:paraId="733C9AC0" w14:textId="77777777">
            <w:pPr>
              <w:keepNext/>
              <w:jc w:val="right"/>
            </w:pPr>
            <w:r>
              <w:rPr>
                <w:rFonts w:ascii="Arial" w:hAnsi="Arial" w:cs="Arial"/>
                <w:sz w:val="20"/>
                <w:szCs w:val="20"/>
              </w:rPr>
              <w:t>129.4</w:t>
            </w:r>
          </w:p>
        </w:tc>
      </w:tr>
      <w:tr w:rsidR="003B0815" w14:paraId="62613188" w14:textId="77777777">
        <w:trPr>
          <w:jc w:val="center"/>
        </w:trPr>
        <w:tc>
          <w:tcPr>
            <w:tcW w:w="929" w:type="dxa"/>
            <w:tcBorders>
              <w:left w:val="single" w:color="auto" w:sz="12" w:space="0"/>
            </w:tcBorders>
          </w:tcPr>
          <w:p w:rsidR="003B0815" w:rsidRDefault="003B0815" w14:paraId="4784842F" w14:textId="77777777">
            <w:pPr>
              <w:keepNext/>
              <w:jc w:val="center"/>
            </w:pPr>
            <w:r>
              <w:t>2015</w:t>
            </w:r>
          </w:p>
        </w:tc>
        <w:tc>
          <w:tcPr>
            <w:tcW w:w="1294" w:type="dxa"/>
            <w:shd w:val="clear" w:color="auto" w:fill="CCCCCC"/>
            <w:vAlign w:val="bottom"/>
          </w:tcPr>
          <w:p w:rsidR="003B0815" w:rsidRDefault="003B0815" w14:paraId="41CFE833" w14:textId="77777777">
            <w:pPr>
              <w:keepNext/>
              <w:jc w:val="right"/>
            </w:pPr>
            <w:r>
              <w:rPr>
                <w:rFonts w:ascii="Arial" w:hAnsi="Arial" w:cs="Arial"/>
                <w:sz w:val="20"/>
                <w:szCs w:val="20"/>
              </w:rPr>
              <w:t>105.2</w:t>
            </w:r>
          </w:p>
        </w:tc>
        <w:tc>
          <w:tcPr>
            <w:tcW w:w="1268" w:type="dxa"/>
            <w:shd w:val="clear" w:color="auto" w:fill="CCCCCC"/>
            <w:vAlign w:val="bottom"/>
          </w:tcPr>
          <w:p w:rsidR="003B0815" w:rsidRDefault="003B0815" w14:paraId="600BC04C" w14:textId="77777777">
            <w:pPr>
              <w:keepNext/>
              <w:jc w:val="right"/>
            </w:pPr>
            <w:r>
              <w:rPr>
                <w:rFonts w:ascii="Arial" w:hAnsi="Arial" w:cs="Arial"/>
                <w:sz w:val="20"/>
                <w:szCs w:val="20"/>
              </w:rPr>
              <w:t>99.8</w:t>
            </w:r>
          </w:p>
        </w:tc>
        <w:tc>
          <w:tcPr>
            <w:tcW w:w="1072" w:type="dxa"/>
            <w:tcBorders>
              <w:right w:val="single" w:color="auto" w:sz="12" w:space="0"/>
            </w:tcBorders>
            <w:shd w:val="clear" w:color="auto" w:fill="C0C0C0"/>
            <w:vAlign w:val="bottom"/>
          </w:tcPr>
          <w:p w:rsidR="003B0815" w:rsidRDefault="003B0815" w14:paraId="3DDD004C" w14:textId="77777777">
            <w:pPr>
              <w:keepNext/>
              <w:jc w:val="right"/>
            </w:pPr>
            <w:r>
              <w:rPr>
                <w:rFonts w:ascii="Arial" w:hAnsi="Arial" w:cs="Arial"/>
                <w:sz w:val="20"/>
                <w:szCs w:val="20"/>
              </w:rPr>
              <w:t>132.0</w:t>
            </w:r>
          </w:p>
        </w:tc>
      </w:tr>
      <w:tr w:rsidR="003B0815" w14:paraId="5A2B9E37" w14:textId="77777777">
        <w:trPr>
          <w:jc w:val="center"/>
        </w:trPr>
        <w:tc>
          <w:tcPr>
            <w:tcW w:w="929" w:type="dxa"/>
            <w:tcBorders>
              <w:left w:val="single" w:color="auto" w:sz="12" w:space="0"/>
            </w:tcBorders>
          </w:tcPr>
          <w:p w:rsidR="003B0815" w:rsidRDefault="003B0815" w14:paraId="45B62B03" w14:textId="77777777">
            <w:pPr>
              <w:keepNext/>
              <w:jc w:val="center"/>
            </w:pPr>
            <w:r>
              <w:t>2016</w:t>
            </w:r>
          </w:p>
        </w:tc>
        <w:tc>
          <w:tcPr>
            <w:tcW w:w="1294" w:type="dxa"/>
            <w:shd w:val="clear" w:color="auto" w:fill="CCCCCC"/>
            <w:vAlign w:val="bottom"/>
          </w:tcPr>
          <w:p w:rsidR="003B0815" w:rsidRDefault="003B0815" w14:paraId="789CEE8C" w14:textId="77777777">
            <w:pPr>
              <w:keepNext/>
              <w:jc w:val="right"/>
            </w:pPr>
            <w:r>
              <w:rPr>
                <w:rFonts w:ascii="Arial" w:hAnsi="Arial" w:cs="Arial"/>
                <w:sz w:val="20"/>
                <w:szCs w:val="20"/>
              </w:rPr>
              <w:t>109.8</w:t>
            </w:r>
          </w:p>
        </w:tc>
        <w:tc>
          <w:tcPr>
            <w:tcW w:w="1268" w:type="dxa"/>
            <w:shd w:val="clear" w:color="auto" w:fill="CCCCCC"/>
            <w:vAlign w:val="bottom"/>
          </w:tcPr>
          <w:p w:rsidR="003B0815" w:rsidRDefault="003B0815" w14:paraId="3778769B" w14:textId="77777777">
            <w:pPr>
              <w:keepNext/>
              <w:jc w:val="right"/>
            </w:pPr>
            <w:r>
              <w:rPr>
                <w:rFonts w:ascii="Arial" w:hAnsi="Arial" w:cs="Arial"/>
                <w:sz w:val="20"/>
                <w:szCs w:val="20"/>
              </w:rPr>
              <w:t>104.5</w:t>
            </w:r>
          </w:p>
        </w:tc>
        <w:tc>
          <w:tcPr>
            <w:tcW w:w="1072" w:type="dxa"/>
            <w:tcBorders>
              <w:right w:val="single" w:color="auto" w:sz="12" w:space="0"/>
            </w:tcBorders>
            <w:shd w:val="clear" w:color="auto" w:fill="C0C0C0"/>
            <w:vAlign w:val="bottom"/>
          </w:tcPr>
          <w:p w:rsidR="003B0815" w:rsidRDefault="003B0815" w14:paraId="236AFAFE" w14:textId="77777777">
            <w:pPr>
              <w:keepNext/>
              <w:jc w:val="right"/>
            </w:pPr>
            <w:r>
              <w:rPr>
                <w:rFonts w:ascii="Arial" w:hAnsi="Arial" w:cs="Arial"/>
                <w:sz w:val="20"/>
                <w:szCs w:val="20"/>
              </w:rPr>
              <w:t>137.6</w:t>
            </w:r>
          </w:p>
        </w:tc>
      </w:tr>
      <w:tr w:rsidR="003B0815" w14:paraId="5755000D" w14:textId="77777777">
        <w:trPr>
          <w:jc w:val="center"/>
        </w:trPr>
        <w:tc>
          <w:tcPr>
            <w:tcW w:w="929" w:type="dxa"/>
            <w:tcBorders>
              <w:left w:val="single" w:color="auto" w:sz="12" w:space="0"/>
              <w:bottom w:val="single" w:color="auto" w:sz="4" w:space="0"/>
            </w:tcBorders>
          </w:tcPr>
          <w:p w:rsidR="003B0815" w:rsidRDefault="003B0815" w14:paraId="566189CF" w14:textId="77777777">
            <w:pPr>
              <w:keepNext/>
              <w:jc w:val="center"/>
            </w:pPr>
            <w:r>
              <w:t>2017</w:t>
            </w:r>
          </w:p>
        </w:tc>
        <w:tc>
          <w:tcPr>
            <w:tcW w:w="1294" w:type="dxa"/>
            <w:tcBorders>
              <w:bottom w:val="single" w:color="auto" w:sz="4" w:space="0"/>
            </w:tcBorders>
            <w:shd w:val="clear" w:color="auto" w:fill="CCCCCC"/>
            <w:vAlign w:val="bottom"/>
          </w:tcPr>
          <w:p w:rsidR="003B0815" w:rsidRDefault="003B0815" w14:paraId="76F09E44" w14:textId="77777777">
            <w:pPr>
              <w:keepNext/>
              <w:jc w:val="right"/>
            </w:pPr>
            <w:r>
              <w:rPr>
                <w:rFonts w:ascii="Arial" w:hAnsi="Arial" w:cs="Arial"/>
                <w:sz w:val="20"/>
                <w:szCs w:val="20"/>
              </w:rPr>
              <w:t>$115.9</w:t>
            </w:r>
          </w:p>
        </w:tc>
        <w:tc>
          <w:tcPr>
            <w:tcW w:w="1268" w:type="dxa"/>
            <w:tcBorders>
              <w:bottom w:val="single" w:color="auto" w:sz="4" w:space="0"/>
            </w:tcBorders>
            <w:shd w:val="clear" w:color="auto" w:fill="CCCCCC"/>
            <w:vAlign w:val="bottom"/>
          </w:tcPr>
          <w:p w:rsidR="003B0815" w:rsidRDefault="003B0815" w14:paraId="07F48F44" w14:textId="77777777">
            <w:pPr>
              <w:keepNext/>
              <w:jc w:val="right"/>
            </w:pPr>
            <w:r>
              <w:rPr>
                <w:rFonts w:ascii="Arial" w:hAnsi="Arial" w:cs="Arial"/>
                <w:sz w:val="20"/>
                <w:szCs w:val="20"/>
              </w:rPr>
              <w:t>$110.5</w:t>
            </w:r>
          </w:p>
        </w:tc>
        <w:tc>
          <w:tcPr>
            <w:tcW w:w="1072" w:type="dxa"/>
            <w:tcBorders>
              <w:bottom w:val="single" w:color="auto" w:sz="4" w:space="0"/>
              <w:right w:val="single" w:color="auto" w:sz="12" w:space="0"/>
            </w:tcBorders>
            <w:shd w:val="clear" w:color="auto" w:fill="C0C0C0"/>
            <w:vAlign w:val="bottom"/>
          </w:tcPr>
          <w:p w:rsidR="003B0815" w:rsidRDefault="003B0815" w14:paraId="4C28E138" w14:textId="77777777">
            <w:pPr>
              <w:keepNext/>
              <w:jc w:val="right"/>
            </w:pPr>
            <w:r>
              <w:rPr>
                <w:rFonts w:ascii="Arial" w:hAnsi="Arial" w:cs="Arial"/>
                <w:sz w:val="20"/>
                <w:szCs w:val="20"/>
              </w:rPr>
              <w:t>$144.6</w:t>
            </w:r>
          </w:p>
        </w:tc>
      </w:tr>
      <w:tr w:rsidR="003B0815" w14:paraId="06F7B418" w14:textId="77777777">
        <w:trPr>
          <w:jc w:val="center"/>
        </w:trPr>
        <w:tc>
          <w:tcPr>
            <w:tcW w:w="929" w:type="dxa"/>
            <w:tcBorders>
              <w:left w:val="single" w:color="auto" w:sz="12" w:space="0"/>
              <w:bottom w:val="single" w:color="auto" w:sz="12" w:space="0"/>
              <w:right w:val="nil"/>
            </w:tcBorders>
            <w:vAlign w:val="bottom"/>
          </w:tcPr>
          <w:p w:rsidR="003B0815" w:rsidRDefault="003B0815" w14:paraId="72EFE356" w14:textId="77777777">
            <w:pPr>
              <w:keepNext/>
              <w:jc w:val="center"/>
            </w:pPr>
            <w:r>
              <w:rPr>
                <w:rFonts w:ascii="Arial" w:hAnsi="Arial" w:cs="Arial"/>
                <w:b/>
                <w:bCs/>
                <w:sz w:val="20"/>
                <w:szCs w:val="20"/>
              </w:rPr>
              <w:t>Total</w:t>
            </w:r>
          </w:p>
        </w:tc>
        <w:tc>
          <w:tcPr>
            <w:tcW w:w="1294" w:type="dxa"/>
            <w:tcBorders>
              <w:left w:val="nil"/>
              <w:bottom w:val="single" w:color="auto" w:sz="12" w:space="0"/>
              <w:right w:val="nil"/>
            </w:tcBorders>
            <w:vAlign w:val="bottom"/>
          </w:tcPr>
          <w:p w:rsidR="003B0815" w:rsidRDefault="003B0815" w14:paraId="77F15AAB" w14:textId="77777777">
            <w:pPr>
              <w:keepNext/>
              <w:jc w:val="right"/>
            </w:pPr>
            <w:r>
              <w:rPr>
                <w:rFonts w:ascii="Arial" w:hAnsi="Arial" w:cs="Arial"/>
                <w:b/>
                <w:bCs/>
                <w:sz w:val="20"/>
                <w:szCs w:val="20"/>
              </w:rPr>
              <w:t>$997.3</w:t>
            </w:r>
          </w:p>
        </w:tc>
        <w:tc>
          <w:tcPr>
            <w:tcW w:w="1268" w:type="dxa"/>
            <w:tcBorders>
              <w:left w:val="nil"/>
              <w:bottom w:val="single" w:color="auto" w:sz="12" w:space="0"/>
              <w:right w:val="nil"/>
            </w:tcBorders>
            <w:vAlign w:val="bottom"/>
          </w:tcPr>
          <w:p w:rsidR="003B0815" w:rsidRDefault="003B0815" w14:paraId="013038DA" w14:textId="77777777">
            <w:pPr>
              <w:keepNext/>
              <w:jc w:val="right"/>
            </w:pPr>
            <w:r>
              <w:rPr>
                <w:rFonts w:ascii="Arial" w:hAnsi="Arial" w:cs="Arial"/>
                <w:b/>
                <w:bCs/>
                <w:sz w:val="20"/>
                <w:szCs w:val="20"/>
              </w:rPr>
              <w:t>$940.3</w:t>
            </w:r>
          </w:p>
        </w:tc>
        <w:tc>
          <w:tcPr>
            <w:tcW w:w="1072" w:type="dxa"/>
            <w:tcBorders>
              <w:left w:val="nil"/>
              <w:bottom w:val="single" w:color="auto" w:sz="12" w:space="0"/>
              <w:right w:val="single" w:color="auto" w:sz="12" w:space="0"/>
            </w:tcBorders>
            <w:vAlign w:val="bottom"/>
          </w:tcPr>
          <w:p w:rsidR="003B0815" w:rsidRDefault="003B0815" w14:paraId="3201B7DF" w14:textId="77777777">
            <w:pPr>
              <w:keepNext/>
              <w:jc w:val="right"/>
            </w:pPr>
            <w:r>
              <w:rPr>
                <w:rFonts w:ascii="Arial" w:hAnsi="Arial" w:cs="Arial"/>
                <w:b/>
                <w:bCs/>
                <w:sz w:val="20"/>
                <w:szCs w:val="20"/>
              </w:rPr>
              <w:t>$1,245.1</w:t>
            </w:r>
          </w:p>
        </w:tc>
      </w:tr>
    </w:tbl>
    <w:p w:rsidR="003B0815" w:rsidRDefault="003B0815" w14:paraId="67C49FAC" w14:textId="77777777">
      <w:pPr>
        <w:spacing w:line="360" w:lineRule="auto"/>
        <w:ind w:firstLine="720"/>
      </w:pPr>
    </w:p>
    <w:p w:rsidR="003B0815" w:rsidRDefault="003B0815" w14:paraId="7D2E6C59" w14:textId="77777777">
      <w:pPr>
        <w:keepNext/>
        <w:spacing w:line="360" w:lineRule="auto"/>
      </w:pPr>
      <w:smartTag w:uri="urn:schemas-microsoft-com:office:smarttags" w:element="place">
        <w:smartTag w:uri="urn:schemas-microsoft-com:office:smarttags" w:element="PlaceName">
          <w:r>
            <w:rPr>
              <w:b/>
            </w:rPr>
            <w:t>Terrorist</w:t>
          </w:r>
        </w:smartTag>
        <w:r>
          <w:rPr>
            <w:b/>
          </w:rPr>
          <w:t xml:space="preserve"> </w:t>
        </w:r>
        <w:smartTag w:uri="urn:schemas-microsoft-com:office:smarttags" w:element="PlaceName">
          <w:r>
            <w:rPr>
              <w:b/>
            </w:rPr>
            <w:t>Screening</w:t>
          </w:r>
        </w:smartTag>
        <w:r>
          <w:rPr>
            <w:b/>
          </w:rPr>
          <w:t xml:space="preserve"> </w:t>
        </w:r>
        <w:smartTag w:uri="urn:schemas-microsoft-com:office:smarttags" w:element="PlaceType">
          <w:r>
            <w:rPr>
              <w:b/>
            </w:rPr>
            <w:t>Center</w:t>
          </w:r>
        </w:smartTag>
      </w:smartTag>
      <w:r>
        <w:rPr>
          <w:b/>
        </w:rPr>
        <w:t xml:space="preserve"> (TSC) Costs</w:t>
      </w:r>
    </w:p>
    <w:p w:rsidR="003B0815" w:rsidRDefault="003B0815" w14:paraId="78FF9933" w14:textId="77777777">
      <w:pPr>
        <w:spacing w:line="360" w:lineRule="auto"/>
        <w:ind w:firstLine="720"/>
      </w:pPr>
      <w:r>
        <w:t xml:space="preserve">In conformity with Homeland Security Presidential Directive 6 (HSPD-6), the Attorney General established the TSC in 2003 as an entity within the Department of Justice (DOJ).  The function of the TSC is to centralize and maintain the Federal Government’s terrorism watch lists and to coordinate Federal operations against suspected terrorist individuals when required.  </w:t>
      </w:r>
    </w:p>
    <w:p w:rsidR="003B0815" w:rsidRDefault="003B0815" w14:paraId="00A537F0" w14:textId="77777777">
      <w:pPr>
        <w:spacing w:line="360" w:lineRule="auto"/>
        <w:ind w:firstLine="720"/>
      </w:pPr>
      <w:r>
        <w:t>To enable Secure Flight to access appropriate records in the TSDB, the TSC has to make structural modifications to the database.  The TSC will make additional infrastructure changes to enable its analysts to receive SFPD information from TSA matching analysts in the case of close matches TSA analysts are unable to resolve.  The TSC needs to purchase additional hardware and software to communicate with Secure Flight and process these matching requests.  The TSC needs to hire additional technical staff to maintain its IT connection to Secure Flight and additional operational staff to support the anticipated increase in TSC call center volumes related to Secure Flight.</w:t>
      </w:r>
    </w:p>
    <w:p w:rsidR="003B0815" w:rsidRDefault="003B0815" w14:paraId="5D5F8FC8" w14:textId="77777777">
      <w:pPr>
        <w:spacing w:line="360" w:lineRule="auto"/>
        <w:ind w:firstLine="720"/>
      </w:pPr>
      <w:r>
        <w:t>In August of 2005 the Department of Justice, Office of Inspector General released a report examining the direct and indirect costs of the Secure Flight program at the TSC.</w:t>
      </w:r>
      <w:r>
        <w:rPr>
          <w:rStyle w:val="FootnoteReference"/>
        </w:rPr>
        <w:footnoteReference w:id="41"/>
      </w:r>
      <w:r>
        <w:t xml:space="preserve">  According to the report, the TSC estimated new hardware and software would cost $5,100,000 in fiscal year 2006.  The TSC projected IT contracts and reimbursable staff for that year would be $3,527,885, while it placed operational contracts and reimbursable staff at $2,789,984.  The report does not break down these cost estimates further.  Together, these figures sum to a fiscal year 2006 cost to the TSC of $11,417,869 directly attributable to Secure Flight.  </w:t>
      </w:r>
    </w:p>
    <w:p w:rsidR="003B0815" w:rsidRDefault="003B0815" w14:paraId="361BE232" w14:textId="77777777">
      <w:pPr>
        <w:spacing w:line="360" w:lineRule="auto"/>
        <w:ind w:firstLine="720"/>
      </w:pPr>
      <w:bookmarkStart w:name="OLE_LINK8" w:id="360"/>
      <w:r>
        <w:t>A significant portion of overall TSC costs in the report are for enhancements and infrastructure improvements that are not directly related to Secure Flight.  While the TSC did not initiate these modifications in response to Secure Flight’s requirements, the TSC stated the expenses will support all of its activities, including Secure Flight operations.  The TSC estimated additional fiscal year 2006 costs of $26,099,699 would be expended indirectly in support of Secure Flight.  These expenses included such cost items as leases, building requirements, and office supplies and equipment.  DOJ auditors noted in their report that they were unable to reach a conclusion about the accuracy of the financial information the TSC provided them explaining the projected direct and indirect costs of Secure Flight.</w:t>
      </w:r>
    </w:p>
    <w:p w:rsidR="003B0815" w:rsidRDefault="003B0815" w14:paraId="66C164BD" w14:textId="77777777">
      <w:pPr>
        <w:spacing w:line="360" w:lineRule="auto"/>
        <w:ind w:firstLine="720"/>
      </w:pPr>
      <w:r>
        <w:t>Accepting the estimates presented to the DOJ auditors, TSA included the reported figures with its internal program estimates.  Table 1.6.5.j divides the TSC’s projected costs of $11,417,869 directly attributable and $26,099,699 indirectly attributable to Secure Flight into separate columns.  TSA assumed these costs increase with growth in enplanements in conformity with its internal estimates for infrastructure and intelligence analysis discussed above.  Accordingly, consistent with its internal budget estimates, TSA applied a growth rate of 2.1% per year.  With this adjustment, estimated costs for fiscal year 2008 came to $11.9 million in direct costs and $27.2 million in indirect costs, for a total of $39.1 million.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929"/>
        <w:gridCol w:w="1294"/>
        <w:gridCol w:w="1268"/>
        <w:gridCol w:w="1072"/>
      </w:tblGrid>
      <w:tr w:rsidR="003B0815" w14:paraId="3414C9BB" w14:textId="77777777">
        <w:trPr>
          <w:jc w:val="center"/>
        </w:trPr>
        <w:tc>
          <w:tcPr>
            <w:tcW w:w="4563" w:type="dxa"/>
            <w:gridSpan w:val="4"/>
            <w:tcBorders>
              <w:top w:val="nil"/>
              <w:left w:val="nil"/>
              <w:bottom w:val="single" w:color="auto" w:sz="12" w:space="0"/>
              <w:right w:val="nil"/>
            </w:tcBorders>
          </w:tcPr>
          <w:p w:rsidR="003B0815" w:rsidRDefault="003B0815" w14:paraId="244298EE" w14:textId="77777777">
            <w:pPr>
              <w:pStyle w:val="RegEvalTableHeader"/>
              <w:keepNext/>
            </w:pPr>
            <w:bookmarkStart w:name="_Toc139943618" w:id="361"/>
            <w:bookmarkStart w:name="_Toc141001128" w:id="362"/>
            <w:bookmarkStart w:name="_Toc141000962" w:id="363"/>
            <w:bookmarkStart w:name="_Toc165278401" w:id="364"/>
            <w:bookmarkStart w:name="_Toc174438403" w:id="365"/>
            <w:bookmarkStart w:name="_Toc207109540" w:id="366"/>
            <w:r>
              <w:t>Table 1.6.5.j Estimated TSC Costs</w:t>
            </w:r>
            <w:bookmarkEnd w:id="361"/>
            <w:bookmarkEnd w:id="362"/>
            <w:bookmarkEnd w:id="363"/>
            <w:bookmarkEnd w:id="364"/>
            <w:bookmarkEnd w:id="365"/>
            <w:bookmarkEnd w:id="366"/>
          </w:p>
          <w:p w:rsidR="003B0815" w:rsidRDefault="003B0815" w14:paraId="29F19603" w14:textId="77777777">
            <w:pPr>
              <w:keepNext/>
              <w:jc w:val="center"/>
              <w:rPr>
                <w:rFonts w:ascii="Arial" w:hAnsi="Arial"/>
                <w:b/>
                <w:sz w:val="20"/>
              </w:rPr>
            </w:pPr>
            <w:r>
              <w:rPr>
                <w:rFonts w:ascii="Arial" w:hAnsi="Arial"/>
                <w:b/>
                <w:bCs/>
                <w:sz w:val="20"/>
              </w:rPr>
              <w:t>(millions of 2005 $)</w:t>
            </w:r>
          </w:p>
        </w:tc>
      </w:tr>
      <w:tr w:rsidR="003B0815" w14:paraId="2F026CD7" w14:textId="77777777">
        <w:trPr>
          <w:jc w:val="center"/>
        </w:trPr>
        <w:tc>
          <w:tcPr>
            <w:tcW w:w="929" w:type="dxa"/>
            <w:tcBorders>
              <w:top w:val="single" w:color="auto" w:sz="12" w:space="0"/>
              <w:left w:val="single" w:color="auto" w:sz="12" w:space="0"/>
            </w:tcBorders>
            <w:vAlign w:val="center"/>
          </w:tcPr>
          <w:p w:rsidR="003B0815" w:rsidRDefault="003B0815" w14:paraId="1C8BE034" w14:textId="77777777">
            <w:pPr>
              <w:keepNext/>
              <w:jc w:val="center"/>
              <w:rPr>
                <w:b/>
              </w:rPr>
            </w:pPr>
            <w:r>
              <w:rPr>
                <w:rFonts w:ascii="Arial" w:hAnsi="Arial" w:cs="Arial"/>
                <w:b/>
                <w:sz w:val="20"/>
                <w:szCs w:val="20"/>
              </w:rPr>
              <w:t>Fiscal Year</w:t>
            </w:r>
          </w:p>
        </w:tc>
        <w:tc>
          <w:tcPr>
            <w:tcW w:w="1294" w:type="dxa"/>
            <w:tcBorders>
              <w:top w:val="single" w:color="auto" w:sz="12" w:space="0"/>
            </w:tcBorders>
            <w:vAlign w:val="center"/>
          </w:tcPr>
          <w:p w:rsidR="003B0815" w:rsidRDefault="003B0815" w14:paraId="3D24F97E" w14:textId="77777777">
            <w:pPr>
              <w:keepNext/>
              <w:jc w:val="center"/>
              <w:rPr>
                <w:b/>
              </w:rPr>
            </w:pPr>
            <w:r>
              <w:rPr>
                <w:rFonts w:ascii="Arial" w:hAnsi="Arial" w:cs="Arial"/>
                <w:b/>
                <w:sz w:val="20"/>
                <w:szCs w:val="20"/>
              </w:rPr>
              <w:t>TSC Direct Costs</w:t>
            </w:r>
          </w:p>
        </w:tc>
        <w:tc>
          <w:tcPr>
            <w:tcW w:w="1268" w:type="dxa"/>
            <w:tcBorders>
              <w:top w:val="single" w:color="auto" w:sz="12" w:space="0"/>
            </w:tcBorders>
            <w:vAlign w:val="center"/>
          </w:tcPr>
          <w:p w:rsidR="003B0815" w:rsidRDefault="003B0815" w14:paraId="4E841F01" w14:textId="77777777">
            <w:pPr>
              <w:keepNext/>
              <w:jc w:val="center"/>
              <w:rPr>
                <w:b/>
              </w:rPr>
            </w:pPr>
            <w:r>
              <w:rPr>
                <w:rFonts w:ascii="Arial" w:hAnsi="Arial" w:cs="Arial"/>
                <w:b/>
                <w:sz w:val="20"/>
                <w:szCs w:val="20"/>
              </w:rPr>
              <w:t>TSC Indirect Costs</w:t>
            </w:r>
          </w:p>
        </w:tc>
        <w:tc>
          <w:tcPr>
            <w:tcW w:w="1072" w:type="dxa"/>
            <w:tcBorders>
              <w:top w:val="single" w:color="auto" w:sz="12" w:space="0"/>
              <w:bottom w:val="single" w:color="auto" w:sz="4" w:space="0"/>
              <w:right w:val="single" w:color="auto" w:sz="12" w:space="0"/>
            </w:tcBorders>
            <w:vAlign w:val="center"/>
          </w:tcPr>
          <w:p w:rsidR="003B0815" w:rsidRDefault="003B0815" w14:paraId="3DA64719" w14:textId="77777777">
            <w:pPr>
              <w:keepNext/>
              <w:jc w:val="center"/>
              <w:rPr>
                <w:b/>
              </w:rPr>
            </w:pPr>
            <w:r>
              <w:rPr>
                <w:rFonts w:ascii="Arial" w:hAnsi="Arial" w:cs="Arial"/>
                <w:b/>
                <w:sz w:val="20"/>
                <w:szCs w:val="20"/>
              </w:rPr>
              <w:t>TSC Subtotal</w:t>
            </w:r>
          </w:p>
        </w:tc>
      </w:tr>
      <w:tr w:rsidR="003B0815" w14:paraId="21E7C03A" w14:textId="77777777">
        <w:trPr>
          <w:jc w:val="center"/>
        </w:trPr>
        <w:tc>
          <w:tcPr>
            <w:tcW w:w="929" w:type="dxa"/>
            <w:tcBorders>
              <w:left w:val="single" w:color="auto" w:sz="12" w:space="0"/>
            </w:tcBorders>
          </w:tcPr>
          <w:p w:rsidR="003B0815" w:rsidRDefault="003B0815" w14:paraId="0B163705" w14:textId="77777777">
            <w:pPr>
              <w:keepNext/>
              <w:jc w:val="center"/>
            </w:pPr>
            <w:r>
              <w:t>2008</w:t>
            </w:r>
          </w:p>
        </w:tc>
        <w:tc>
          <w:tcPr>
            <w:tcW w:w="1294" w:type="dxa"/>
            <w:vAlign w:val="bottom"/>
          </w:tcPr>
          <w:p w:rsidR="003B0815" w:rsidRDefault="003B0815" w14:paraId="6E497628" w14:textId="77777777">
            <w:pPr>
              <w:keepNext/>
              <w:jc w:val="right"/>
            </w:pPr>
            <w:r>
              <w:rPr>
                <w:rFonts w:ascii="Arial" w:hAnsi="Arial" w:cs="Arial"/>
                <w:sz w:val="20"/>
                <w:szCs w:val="20"/>
              </w:rPr>
              <w:t>$11.9</w:t>
            </w:r>
          </w:p>
        </w:tc>
        <w:tc>
          <w:tcPr>
            <w:tcW w:w="1268" w:type="dxa"/>
            <w:vAlign w:val="bottom"/>
          </w:tcPr>
          <w:p w:rsidR="003B0815" w:rsidRDefault="003B0815" w14:paraId="1346D757" w14:textId="77777777">
            <w:pPr>
              <w:keepNext/>
              <w:jc w:val="right"/>
            </w:pPr>
            <w:r>
              <w:rPr>
                <w:rFonts w:ascii="Arial" w:hAnsi="Arial" w:cs="Arial"/>
                <w:sz w:val="20"/>
                <w:szCs w:val="20"/>
              </w:rPr>
              <w:t>$27.2</w:t>
            </w:r>
          </w:p>
        </w:tc>
        <w:tc>
          <w:tcPr>
            <w:tcW w:w="1072" w:type="dxa"/>
            <w:tcBorders>
              <w:right w:val="single" w:color="auto" w:sz="12" w:space="0"/>
            </w:tcBorders>
            <w:shd w:val="clear" w:color="auto" w:fill="C0C0C0"/>
            <w:vAlign w:val="bottom"/>
          </w:tcPr>
          <w:p w:rsidR="003B0815" w:rsidRDefault="003B0815" w14:paraId="1FBFF35B" w14:textId="77777777">
            <w:pPr>
              <w:keepNext/>
              <w:jc w:val="right"/>
            </w:pPr>
            <w:r>
              <w:rPr>
                <w:rFonts w:ascii="Arial" w:hAnsi="Arial" w:cs="Arial"/>
                <w:b/>
                <w:bCs/>
                <w:sz w:val="20"/>
                <w:szCs w:val="20"/>
              </w:rPr>
              <w:t>$39.1</w:t>
            </w:r>
          </w:p>
        </w:tc>
      </w:tr>
      <w:tr w:rsidR="003B0815" w14:paraId="258A6A85" w14:textId="77777777">
        <w:trPr>
          <w:jc w:val="center"/>
        </w:trPr>
        <w:tc>
          <w:tcPr>
            <w:tcW w:w="929" w:type="dxa"/>
            <w:tcBorders>
              <w:left w:val="single" w:color="auto" w:sz="12" w:space="0"/>
            </w:tcBorders>
          </w:tcPr>
          <w:p w:rsidR="003B0815" w:rsidRDefault="003B0815" w14:paraId="52C64690" w14:textId="77777777">
            <w:pPr>
              <w:keepNext/>
              <w:jc w:val="center"/>
            </w:pPr>
            <w:r>
              <w:t>2009</w:t>
            </w:r>
          </w:p>
        </w:tc>
        <w:tc>
          <w:tcPr>
            <w:tcW w:w="1294" w:type="dxa"/>
            <w:vAlign w:val="bottom"/>
          </w:tcPr>
          <w:p w:rsidR="003B0815" w:rsidRDefault="003B0815" w14:paraId="1B8DE5D2" w14:textId="77777777">
            <w:pPr>
              <w:keepNext/>
              <w:jc w:val="right"/>
            </w:pPr>
            <w:r>
              <w:rPr>
                <w:rFonts w:ascii="Arial" w:hAnsi="Arial" w:cs="Arial"/>
                <w:sz w:val="20"/>
                <w:szCs w:val="20"/>
              </w:rPr>
              <w:t>12.2</w:t>
            </w:r>
          </w:p>
        </w:tc>
        <w:tc>
          <w:tcPr>
            <w:tcW w:w="1268" w:type="dxa"/>
            <w:vAlign w:val="bottom"/>
          </w:tcPr>
          <w:p w:rsidR="003B0815" w:rsidRDefault="003B0815" w14:paraId="2DB66529" w14:textId="77777777">
            <w:pPr>
              <w:keepNext/>
              <w:jc w:val="right"/>
            </w:pPr>
            <w:r>
              <w:rPr>
                <w:rFonts w:ascii="Arial" w:hAnsi="Arial" w:cs="Arial"/>
                <w:sz w:val="20"/>
                <w:szCs w:val="20"/>
              </w:rPr>
              <w:t>27.8</w:t>
            </w:r>
          </w:p>
        </w:tc>
        <w:tc>
          <w:tcPr>
            <w:tcW w:w="1072" w:type="dxa"/>
            <w:tcBorders>
              <w:right w:val="single" w:color="auto" w:sz="12" w:space="0"/>
            </w:tcBorders>
            <w:shd w:val="clear" w:color="auto" w:fill="C0C0C0"/>
            <w:vAlign w:val="bottom"/>
          </w:tcPr>
          <w:p w:rsidR="003B0815" w:rsidRDefault="003B0815" w14:paraId="49538E64" w14:textId="77777777">
            <w:pPr>
              <w:keepNext/>
              <w:jc w:val="right"/>
            </w:pPr>
            <w:r>
              <w:rPr>
                <w:rFonts w:ascii="Arial" w:hAnsi="Arial" w:cs="Arial"/>
                <w:b/>
                <w:bCs/>
                <w:sz w:val="20"/>
                <w:szCs w:val="20"/>
              </w:rPr>
              <w:t>39.9</w:t>
            </w:r>
          </w:p>
        </w:tc>
      </w:tr>
      <w:tr w:rsidR="003B0815" w14:paraId="7D61ECDE" w14:textId="77777777">
        <w:trPr>
          <w:jc w:val="center"/>
        </w:trPr>
        <w:tc>
          <w:tcPr>
            <w:tcW w:w="929" w:type="dxa"/>
            <w:tcBorders>
              <w:left w:val="single" w:color="auto" w:sz="12" w:space="0"/>
            </w:tcBorders>
          </w:tcPr>
          <w:p w:rsidR="003B0815" w:rsidRDefault="003B0815" w14:paraId="4A254223" w14:textId="77777777">
            <w:pPr>
              <w:keepNext/>
              <w:jc w:val="center"/>
            </w:pPr>
            <w:r>
              <w:t>2010</w:t>
            </w:r>
          </w:p>
        </w:tc>
        <w:tc>
          <w:tcPr>
            <w:tcW w:w="1294" w:type="dxa"/>
            <w:vAlign w:val="bottom"/>
          </w:tcPr>
          <w:p w:rsidR="003B0815" w:rsidRDefault="003B0815" w14:paraId="1267200B" w14:textId="77777777">
            <w:pPr>
              <w:keepNext/>
              <w:jc w:val="right"/>
            </w:pPr>
            <w:r>
              <w:rPr>
                <w:rFonts w:ascii="Arial" w:hAnsi="Arial" w:cs="Arial"/>
                <w:sz w:val="20"/>
                <w:szCs w:val="20"/>
              </w:rPr>
              <w:t>12.4</w:t>
            </w:r>
          </w:p>
        </w:tc>
        <w:tc>
          <w:tcPr>
            <w:tcW w:w="1268" w:type="dxa"/>
            <w:vAlign w:val="bottom"/>
          </w:tcPr>
          <w:p w:rsidR="003B0815" w:rsidRDefault="003B0815" w14:paraId="19450BFB" w14:textId="77777777">
            <w:pPr>
              <w:keepNext/>
              <w:jc w:val="right"/>
            </w:pPr>
            <w:r>
              <w:rPr>
                <w:rFonts w:ascii="Arial" w:hAnsi="Arial" w:cs="Arial"/>
                <w:sz w:val="20"/>
                <w:szCs w:val="20"/>
              </w:rPr>
              <w:t>28.4</w:t>
            </w:r>
          </w:p>
        </w:tc>
        <w:tc>
          <w:tcPr>
            <w:tcW w:w="1072" w:type="dxa"/>
            <w:tcBorders>
              <w:right w:val="single" w:color="auto" w:sz="12" w:space="0"/>
            </w:tcBorders>
            <w:shd w:val="clear" w:color="auto" w:fill="C0C0C0"/>
            <w:vAlign w:val="bottom"/>
          </w:tcPr>
          <w:p w:rsidR="003B0815" w:rsidRDefault="003B0815" w14:paraId="08E968B0" w14:textId="77777777">
            <w:pPr>
              <w:keepNext/>
              <w:jc w:val="right"/>
            </w:pPr>
            <w:r>
              <w:rPr>
                <w:rFonts w:ascii="Arial" w:hAnsi="Arial" w:cs="Arial"/>
                <w:b/>
                <w:bCs/>
                <w:sz w:val="20"/>
                <w:szCs w:val="20"/>
              </w:rPr>
              <w:t>40.8</w:t>
            </w:r>
          </w:p>
        </w:tc>
      </w:tr>
      <w:tr w:rsidR="003B0815" w14:paraId="4281238B" w14:textId="77777777">
        <w:trPr>
          <w:jc w:val="center"/>
        </w:trPr>
        <w:tc>
          <w:tcPr>
            <w:tcW w:w="929" w:type="dxa"/>
            <w:tcBorders>
              <w:left w:val="single" w:color="auto" w:sz="12" w:space="0"/>
            </w:tcBorders>
          </w:tcPr>
          <w:p w:rsidR="003B0815" w:rsidRDefault="003B0815" w14:paraId="30C9050C" w14:textId="77777777">
            <w:pPr>
              <w:keepNext/>
              <w:jc w:val="center"/>
            </w:pPr>
            <w:r>
              <w:t>2011</w:t>
            </w:r>
          </w:p>
        </w:tc>
        <w:tc>
          <w:tcPr>
            <w:tcW w:w="1294" w:type="dxa"/>
            <w:vAlign w:val="bottom"/>
          </w:tcPr>
          <w:p w:rsidR="003B0815" w:rsidRDefault="003B0815" w14:paraId="2AD375B4" w14:textId="77777777">
            <w:pPr>
              <w:keepNext/>
              <w:jc w:val="right"/>
            </w:pPr>
            <w:r>
              <w:rPr>
                <w:rFonts w:ascii="Arial" w:hAnsi="Arial" w:cs="Arial"/>
                <w:sz w:val="20"/>
                <w:szCs w:val="20"/>
              </w:rPr>
              <w:t>12.7</w:t>
            </w:r>
          </w:p>
        </w:tc>
        <w:tc>
          <w:tcPr>
            <w:tcW w:w="1268" w:type="dxa"/>
            <w:vAlign w:val="bottom"/>
          </w:tcPr>
          <w:p w:rsidR="003B0815" w:rsidRDefault="003B0815" w14:paraId="0D5733CA" w14:textId="77777777">
            <w:pPr>
              <w:keepNext/>
              <w:jc w:val="right"/>
            </w:pPr>
            <w:r>
              <w:rPr>
                <w:rFonts w:ascii="Arial" w:hAnsi="Arial" w:cs="Arial"/>
                <w:sz w:val="20"/>
                <w:szCs w:val="20"/>
              </w:rPr>
              <w:t>29.0</w:t>
            </w:r>
          </w:p>
        </w:tc>
        <w:tc>
          <w:tcPr>
            <w:tcW w:w="1072" w:type="dxa"/>
            <w:tcBorders>
              <w:right w:val="single" w:color="auto" w:sz="12" w:space="0"/>
            </w:tcBorders>
            <w:shd w:val="clear" w:color="auto" w:fill="C0C0C0"/>
            <w:vAlign w:val="bottom"/>
          </w:tcPr>
          <w:p w:rsidR="003B0815" w:rsidRDefault="003B0815" w14:paraId="656A851A" w14:textId="77777777">
            <w:pPr>
              <w:keepNext/>
              <w:jc w:val="right"/>
            </w:pPr>
            <w:r>
              <w:rPr>
                <w:rFonts w:ascii="Arial" w:hAnsi="Arial" w:cs="Arial"/>
                <w:b/>
                <w:bCs/>
                <w:sz w:val="20"/>
                <w:szCs w:val="20"/>
              </w:rPr>
              <w:t>41.6</w:t>
            </w:r>
          </w:p>
        </w:tc>
      </w:tr>
      <w:tr w:rsidR="003B0815" w14:paraId="5CA1A352" w14:textId="77777777">
        <w:trPr>
          <w:jc w:val="center"/>
        </w:trPr>
        <w:tc>
          <w:tcPr>
            <w:tcW w:w="929" w:type="dxa"/>
            <w:tcBorders>
              <w:left w:val="single" w:color="auto" w:sz="12" w:space="0"/>
            </w:tcBorders>
          </w:tcPr>
          <w:p w:rsidR="003B0815" w:rsidRDefault="003B0815" w14:paraId="6F3D50F4" w14:textId="77777777">
            <w:pPr>
              <w:keepNext/>
              <w:jc w:val="center"/>
            </w:pPr>
            <w:r>
              <w:t>2012</w:t>
            </w:r>
          </w:p>
        </w:tc>
        <w:tc>
          <w:tcPr>
            <w:tcW w:w="1294" w:type="dxa"/>
            <w:vAlign w:val="bottom"/>
          </w:tcPr>
          <w:p w:rsidR="003B0815" w:rsidRDefault="003B0815" w14:paraId="1E578918" w14:textId="77777777">
            <w:pPr>
              <w:keepNext/>
              <w:jc w:val="right"/>
            </w:pPr>
            <w:r>
              <w:rPr>
                <w:rFonts w:ascii="Arial" w:hAnsi="Arial" w:cs="Arial"/>
                <w:sz w:val="20"/>
                <w:szCs w:val="20"/>
              </w:rPr>
              <w:t>12.9</w:t>
            </w:r>
          </w:p>
        </w:tc>
        <w:tc>
          <w:tcPr>
            <w:tcW w:w="1268" w:type="dxa"/>
            <w:vAlign w:val="bottom"/>
          </w:tcPr>
          <w:p w:rsidR="003B0815" w:rsidRDefault="003B0815" w14:paraId="1F33194A" w14:textId="77777777">
            <w:pPr>
              <w:keepNext/>
              <w:jc w:val="right"/>
            </w:pPr>
            <w:r>
              <w:rPr>
                <w:rFonts w:ascii="Arial" w:hAnsi="Arial" w:cs="Arial"/>
                <w:sz w:val="20"/>
                <w:szCs w:val="20"/>
              </w:rPr>
              <w:t>29.6</w:t>
            </w:r>
          </w:p>
        </w:tc>
        <w:tc>
          <w:tcPr>
            <w:tcW w:w="1072" w:type="dxa"/>
            <w:tcBorders>
              <w:right w:val="single" w:color="auto" w:sz="12" w:space="0"/>
            </w:tcBorders>
            <w:shd w:val="clear" w:color="auto" w:fill="C0C0C0"/>
            <w:vAlign w:val="bottom"/>
          </w:tcPr>
          <w:p w:rsidR="003B0815" w:rsidRDefault="003B0815" w14:paraId="065DEEDF" w14:textId="77777777">
            <w:pPr>
              <w:keepNext/>
              <w:jc w:val="right"/>
            </w:pPr>
            <w:r>
              <w:rPr>
                <w:rFonts w:ascii="Arial" w:hAnsi="Arial" w:cs="Arial"/>
                <w:b/>
                <w:bCs/>
                <w:sz w:val="20"/>
                <w:szCs w:val="20"/>
              </w:rPr>
              <w:t>42.5</w:t>
            </w:r>
          </w:p>
        </w:tc>
      </w:tr>
      <w:tr w:rsidR="003B0815" w14:paraId="710BF833" w14:textId="77777777">
        <w:trPr>
          <w:jc w:val="center"/>
        </w:trPr>
        <w:tc>
          <w:tcPr>
            <w:tcW w:w="929" w:type="dxa"/>
            <w:tcBorders>
              <w:left w:val="single" w:color="auto" w:sz="12" w:space="0"/>
            </w:tcBorders>
          </w:tcPr>
          <w:p w:rsidR="003B0815" w:rsidRDefault="003B0815" w14:paraId="4003777A" w14:textId="77777777">
            <w:pPr>
              <w:keepNext/>
              <w:jc w:val="center"/>
            </w:pPr>
            <w:r>
              <w:t>2013</w:t>
            </w:r>
          </w:p>
        </w:tc>
        <w:tc>
          <w:tcPr>
            <w:tcW w:w="1294" w:type="dxa"/>
            <w:vAlign w:val="bottom"/>
          </w:tcPr>
          <w:p w:rsidR="003B0815" w:rsidRDefault="003B0815" w14:paraId="600B525E" w14:textId="77777777">
            <w:pPr>
              <w:keepNext/>
              <w:jc w:val="right"/>
            </w:pPr>
            <w:r>
              <w:rPr>
                <w:rFonts w:ascii="Arial" w:hAnsi="Arial" w:cs="Arial"/>
                <w:sz w:val="20"/>
                <w:szCs w:val="20"/>
              </w:rPr>
              <w:t>13.2</w:t>
            </w:r>
          </w:p>
        </w:tc>
        <w:tc>
          <w:tcPr>
            <w:tcW w:w="1268" w:type="dxa"/>
            <w:vAlign w:val="bottom"/>
          </w:tcPr>
          <w:p w:rsidR="003B0815" w:rsidRDefault="003B0815" w14:paraId="2D63D231" w14:textId="77777777">
            <w:pPr>
              <w:keepNext/>
              <w:jc w:val="right"/>
            </w:pPr>
            <w:r>
              <w:rPr>
                <w:rFonts w:ascii="Arial" w:hAnsi="Arial" w:cs="Arial"/>
                <w:sz w:val="20"/>
                <w:szCs w:val="20"/>
              </w:rPr>
              <w:t>30.2</w:t>
            </w:r>
          </w:p>
        </w:tc>
        <w:tc>
          <w:tcPr>
            <w:tcW w:w="1072" w:type="dxa"/>
            <w:tcBorders>
              <w:right w:val="single" w:color="auto" w:sz="12" w:space="0"/>
            </w:tcBorders>
            <w:shd w:val="clear" w:color="auto" w:fill="C0C0C0"/>
            <w:vAlign w:val="bottom"/>
          </w:tcPr>
          <w:p w:rsidR="003B0815" w:rsidRDefault="003B0815" w14:paraId="698366CF" w14:textId="77777777">
            <w:pPr>
              <w:keepNext/>
              <w:jc w:val="right"/>
            </w:pPr>
            <w:r>
              <w:rPr>
                <w:rFonts w:ascii="Arial" w:hAnsi="Arial" w:cs="Arial"/>
                <w:b/>
                <w:bCs/>
                <w:sz w:val="20"/>
                <w:szCs w:val="20"/>
              </w:rPr>
              <w:t>43.4</w:t>
            </w:r>
          </w:p>
        </w:tc>
      </w:tr>
      <w:tr w:rsidR="003B0815" w14:paraId="035D6A6B" w14:textId="77777777">
        <w:trPr>
          <w:jc w:val="center"/>
        </w:trPr>
        <w:tc>
          <w:tcPr>
            <w:tcW w:w="929" w:type="dxa"/>
            <w:tcBorders>
              <w:left w:val="single" w:color="auto" w:sz="12" w:space="0"/>
            </w:tcBorders>
          </w:tcPr>
          <w:p w:rsidR="003B0815" w:rsidRDefault="003B0815" w14:paraId="733DB708" w14:textId="77777777">
            <w:pPr>
              <w:keepNext/>
              <w:jc w:val="center"/>
            </w:pPr>
            <w:r>
              <w:t>2014</w:t>
            </w:r>
          </w:p>
        </w:tc>
        <w:tc>
          <w:tcPr>
            <w:tcW w:w="1294" w:type="dxa"/>
            <w:vAlign w:val="bottom"/>
          </w:tcPr>
          <w:p w:rsidR="003B0815" w:rsidRDefault="003B0815" w14:paraId="21A3AD83" w14:textId="77777777">
            <w:pPr>
              <w:keepNext/>
              <w:jc w:val="right"/>
            </w:pPr>
            <w:r>
              <w:rPr>
                <w:rFonts w:ascii="Arial" w:hAnsi="Arial" w:cs="Arial"/>
                <w:sz w:val="20"/>
                <w:szCs w:val="20"/>
              </w:rPr>
              <w:t>13.5</w:t>
            </w:r>
          </w:p>
        </w:tc>
        <w:tc>
          <w:tcPr>
            <w:tcW w:w="1268" w:type="dxa"/>
            <w:vAlign w:val="bottom"/>
          </w:tcPr>
          <w:p w:rsidR="003B0815" w:rsidRDefault="003B0815" w14:paraId="1F443AF5" w14:textId="77777777">
            <w:pPr>
              <w:keepNext/>
              <w:jc w:val="right"/>
            </w:pPr>
            <w:r>
              <w:rPr>
                <w:rFonts w:ascii="Arial" w:hAnsi="Arial" w:cs="Arial"/>
                <w:sz w:val="20"/>
                <w:szCs w:val="20"/>
              </w:rPr>
              <w:t>30.8</w:t>
            </w:r>
          </w:p>
        </w:tc>
        <w:tc>
          <w:tcPr>
            <w:tcW w:w="1072" w:type="dxa"/>
            <w:tcBorders>
              <w:right w:val="single" w:color="auto" w:sz="12" w:space="0"/>
            </w:tcBorders>
            <w:shd w:val="clear" w:color="auto" w:fill="C0C0C0"/>
            <w:vAlign w:val="bottom"/>
          </w:tcPr>
          <w:p w:rsidR="003B0815" w:rsidRDefault="003B0815" w14:paraId="17967D9B" w14:textId="77777777">
            <w:pPr>
              <w:keepNext/>
              <w:jc w:val="right"/>
            </w:pPr>
            <w:r>
              <w:rPr>
                <w:rFonts w:ascii="Arial" w:hAnsi="Arial" w:cs="Arial"/>
                <w:b/>
                <w:bCs/>
                <w:sz w:val="20"/>
                <w:szCs w:val="20"/>
              </w:rPr>
              <w:t>44.3</w:t>
            </w:r>
          </w:p>
        </w:tc>
      </w:tr>
      <w:tr w:rsidR="003B0815" w14:paraId="24CD2251" w14:textId="77777777">
        <w:trPr>
          <w:jc w:val="center"/>
        </w:trPr>
        <w:tc>
          <w:tcPr>
            <w:tcW w:w="929" w:type="dxa"/>
            <w:tcBorders>
              <w:left w:val="single" w:color="auto" w:sz="12" w:space="0"/>
            </w:tcBorders>
          </w:tcPr>
          <w:p w:rsidR="003B0815" w:rsidRDefault="003B0815" w14:paraId="31C84CCF" w14:textId="77777777">
            <w:pPr>
              <w:keepNext/>
              <w:jc w:val="center"/>
            </w:pPr>
            <w:r>
              <w:t>2015</w:t>
            </w:r>
          </w:p>
        </w:tc>
        <w:tc>
          <w:tcPr>
            <w:tcW w:w="1294" w:type="dxa"/>
            <w:vAlign w:val="bottom"/>
          </w:tcPr>
          <w:p w:rsidR="003B0815" w:rsidRDefault="003B0815" w14:paraId="6C37750B" w14:textId="77777777">
            <w:pPr>
              <w:keepNext/>
              <w:jc w:val="right"/>
            </w:pPr>
            <w:r>
              <w:rPr>
                <w:rFonts w:ascii="Arial" w:hAnsi="Arial" w:cs="Arial"/>
                <w:sz w:val="20"/>
                <w:szCs w:val="20"/>
              </w:rPr>
              <w:t>13.8</w:t>
            </w:r>
          </w:p>
        </w:tc>
        <w:tc>
          <w:tcPr>
            <w:tcW w:w="1268" w:type="dxa"/>
            <w:vAlign w:val="bottom"/>
          </w:tcPr>
          <w:p w:rsidR="003B0815" w:rsidRDefault="003B0815" w14:paraId="26920AA7" w14:textId="77777777">
            <w:pPr>
              <w:keepNext/>
              <w:jc w:val="right"/>
            </w:pPr>
            <w:r>
              <w:rPr>
                <w:rFonts w:ascii="Arial" w:hAnsi="Arial" w:cs="Arial"/>
                <w:sz w:val="20"/>
                <w:szCs w:val="20"/>
              </w:rPr>
              <w:t>31.5</w:t>
            </w:r>
          </w:p>
        </w:tc>
        <w:tc>
          <w:tcPr>
            <w:tcW w:w="1072" w:type="dxa"/>
            <w:tcBorders>
              <w:right w:val="single" w:color="auto" w:sz="12" w:space="0"/>
            </w:tcBorders>
            <w:shd w:val="clear" w:color="auto" w:fill="C0C0C0"/>
            <w:vAlign w:val="bottom"/>
          </w:tcPr>
          <w:p w:rsidR="003B0815" w:rsidRDefault="003B0815" w14:paraId="4BAF729F" w14:textId="77777777">
            <w:pPr>
              <w:keepNext/>
              <w:jc w:val="right"/>
            </w:pPr>
            <w:r>
              <w:rPr>
                <w:rFonts w:ascii="Arial" w:hAnsi="Arial" w:cs="Arial"/>
                <w:b/>
                <w:bCs/>
                <w:sz w:val="20"/>
                <w:szCs w:val="20"/>
              </w:rPr>
              <w:t>45.2</w:t>
            </w:r>
          </w:p>
        </w:tc>
      </w:tr>
      <w:tr w:rsidR="003B0815" w14:paraId="225B4633" w14:textId="77777777">
        <w:trPr>
          <w:jc w:val="center"/>
        </w:trPr>
        <w:tc>
          <w:tcPr>
            <w:tcW w:w="929" w:type="dxa"/>
            <w:tcBorders>
              <w:left w:val="single" w:color="auto" w:sz="12" w:space="0"/>
            </w:tcBorders>
          </w:tcPr>
          <w:p w:rsidR="003B0815" w:rsidRDefault="003B0815" w14:paraId="6CAA4E1F" w14:textId="77777777">
            <w:pPr>
              <w:keepNext/>
              <w:jc w:val="center"/>
            </w:pPr>
            <w:r>
              <w:t>2016</w:t>
            </w:r>
          </w:p>
        </w:tc>
        <w:tc>
          <w:tcPr>
            <w:tcW w:w="1294" w:type="dxa"/>
            <w:vAlign w:val="bottom"/>
          </w:tcPr>
          <w:p w:rsidR="003B0815" w:rsidRDefault="003B0815" w14:paraId="5C83ED27" w14:textId="77777777">
            <w:pPr>
              <w:keepNext/>
              <w:jc w:val="right"/>
            </w:pPr>
            <w:r>
              <w:rPr>
                <w:rFonts w:ascii="Arial" w:hAnsi="Arial" w:cs="Arial"/>
                <w:sz w:val="20"/>
                <w:szCs w:val="20"/>
              </w:rPr>
              <w:t>14.1</w:t>
            </w:r>
          </w:p>
        </w:tc>
        <w:tc>
          <w:tcPr>
            <w:tcW w:w="1268" w:type="dxa"/>
            <w:vAlign w:val="bottom"/>
          </w:tcPr>
          <w:p w:rsidR="003B0815" w:rsidRDefault="003B0815" w14:paraId="4C2DCE9A" w14:textId="77777777">
            <w:pPr>
              <w:keepNext/>
              <w:jc w:val="right"/>
            </w:pPr>
            <w:r>
              <w:rPr>
                <w:rFonts w:ascii="Arial" w:hAnsi="Arial" w:cs="Arial"/>
                <w:sz w:val="20"/>
                <w:szCs w:val="20"/>
              </w:rPr>
              <w:t>32.1</w:t>
            </w:r>
          </w:p>
        </w:tc>
        <w:tc>
          <w:tcPr>
            <w:tcW w:w="1072" w:type="dxa"/>
            <w:tcBorders>
              <w:right w:val="single" w:color="auto" w:sz="12" w:space="0"/>
            </w:tcBorders>
            <w:shd w:val="clear" w:color="auto" w:fill="C0C0C0"/>
            <w:vAlign w:val="bottom"/>
          </w:tcPr>
          <w:p w:rsidR="003B0815" w:rsidRDefault="003B0815" w14:paraId="145BD732" w14:textId="77777777">
            <w:pPr>
              <w:keepNext/>
              <w:jc w:val="right"/>
            </w:pPr>
            <w:r>
              <w:rPr>
                <w:rFonts w:ascii="Arial" w:hAnsi="Arial" w:cs="Arial"/>
                <w:b/>
                <w:bCs/>
                <w:sz w:val="20"/>
                <w:szCs w:val="20"/>
              </w:rPr>
              <w:t>46.2</w:t>
            </w:r>
          </w:p>
        </w:tc>
      </w:tr>
      <w:tr w:rsidR="003B0815" w14:paraId="2147DEE2" w14:textId="77777777">
        <w:trPr>
          <w:jc w:val="center"/>
        </w:trPr>
        <w:tc>
          <w:tcPr>
            <w:tcW w:w="929" w:type="dxa"/>
            <w:tcBorders>
              <w:left w:val="single" w:color="auto" w:sz="12" w:space="0"/>
              <w:bottom w:val="single" w:color="auto" w:sz="4" w:space="0"/>
            </w:tcBorders>
          </w:tcPr>
          <w:p w:rsidR="003B0815" w:rsidRDefault="003B0815" w14:paraId="22A0CC60" w14:textId="77777777">
            <w:pPr>
              <w:keepNext/>
              <w:jc w:val="center"/>
            </w:pPr>
            <w:r>
              <w:t>2017</w:t>
            </w:r>
          </w:p>
        </w:tc>
        <w:tc>
          <w:tcPr>
            <w:tcW w:w="1294" w:type="dxa"/>
            <w:tcBorders>
              <w:bottom w:val="single" w:color="auto" w:sz="4" w:space="0"/>
            </w:tcBorders>
            <w:vAlign w:val="bottom"/>
          </w:tcPr>
          <w:p w:rsidR="003B0815" w:rsidRDefault="003B0815" w14:paraId="0DCD3B0C" w14:textId="77777777">
            <w:pPr>
              <w:keepNext/>
              <w:jc w:val="right"/>
            </w:pPr>
            <w:r>
              <w:rPr>
                <w:rFonts w:ascii="Arial" w:hAnsi="Arial" w:cs="Arial"/>
                <w:sz w:val="20"/>
                <w:szCs w:val="20"/>
              </w:rPr>
              <w:t>$14.4</w:t>
            </w:r>
          </w:p>
        </w:tc>
        <w:tc>
          <w:tcPr>
            <w:tcW w:w="1268" w:type="dxa"/>
            <w:tcBorders>
              <w:bottom w:val="single" w:color="auto" w:sz="4" w:space="0"/>
            </w:tcBorders>
            <w:vAlign w:val="bottom"/>
          </w:tcPr>
          <w:p w:rsidR="003B0815" w:rsidRDefault="003B0815" w14:paraId="155EE95E" w14:textId="77777777">
            <w:pPr>
              <w:keepNext/>
              <w:jc w:val="right"/>
            </w:pPr>
            <w:r>
              <w:rPr>
                <w:rFonts w:ascii="Arial" w:hAnsi="Arial" w:cs="Arial"/>
                <w:sz w:val="20"/>
                <w:szCs w:val="20"/>
              </w:rPr>
              <w:t>$32.8</w:t>
            </w:r>
          </w:p>
        </w:tc>
        <w:tc>
          <w:tcPr>
            <w:tcW w:w="1072" w:type="dxa"/>
            <w:tcBorders>
              <w:bottom w:val="single" w:color="auto" w:sz="4" w:space="0"/>
              <w:right w:val="single" w:color="auto" w:sz="12" w:space="0"/>
            </w:tcBorders>
            <w:shd w:val="clear" w:color="auto" w:fill="C0C0C0"/>
            <w:vAlign w:val="bottom"/>
          </w:tcPr>
          <w:p w:rsidR="003B0815" w:rsidRDefault="003B0815" w14:paraId="752B82DA" w14:textId="77777777">
            <w:pPr>
              <w:keepNext/>
              <w:jc w:val="right"/>
            </w:pPr>
            <w:r>
              <w:rPr>
                <w:rFonts w:ascii="Arial" w:hAnsi="Arial" w:cs="Arial"/>
                <w:b/>
                <w:bCs/>
                <w:sz w:val="20"/>
                <w:szCs w:val="20"/>
              </w:rPr>
              <w:t>$47.2</w:t>
            </w:r>
          </w:p>
        </w:tc>
      </w:tr>
      <w:tr w:rsidR="003B0815" w14:paraId="2FF57F93" w14:textId="77777777">
        <w:trPr>
          <w:jc w:val="center"/>
        </w:trPr>
        <w:tc>
          <w:tcPr>
            <w:tcW w:w="929" w:type="dxa"/>
            <w:tcBorders>
              <w:left w:val="single" w:color="auto" w:sz="12" w:space="0"/>
              <w:bottom w:val="single" w:color="auto" w:sz="12" w:space="0"/>
              <w:right w:val="nil"/>
            </w:tcBorders>
            <w:vAlign w:val="bottom"/>
          </w:tcPr>
          <w:p w:rsidR="003B0815" w:rsidRDefault="003B0815" w14:paraId="5D3E36FA" w14:textId="77777777">
            <w:pPr>
              <w:keepNext/>
              <w:jc w:val="center"/>
            </w:pPr>
            <w:r>
              <w:rPr>
                <w:rFonts w:ascii="Arial" w:hAnsi="Arial" w:cs="Arial"/>
                <w:b/>
                <w:bCs/>
                <w:sz w:val="20"/>
                <w:szCs w:val="20"/>
              </w:rPr>
              <w:t>Total</w:t>
            </w:r>
          </w:p>
        </w:tc>
        <w:tc>
          <w:tcPr>
            <w:tcW w:w="1294" w:type="dxa"/>
            <w:tcBorders>
              <w:left w:val="nil"/>
              <w:bottom w:val="single" w:color="auto" w:sz="12" w:space="0"/>
              <w:right w:val="nil"/>
            </w:tcBorders>
            <w:vAlign w:val="bottom"/>
          </w:tcPr>
          <w:p w:rsidR="003B0815" w:rsidRDefault="003B0815" w14:paraId="36CFFB79" w14:textId="77777777">
            <w:pPr>
              <w:keepNext/>
              <w:jc w:val="right"/>
            </w:pPr>
            <w:r>
              <w:rPr>
                <w:rFonts w:ascii="Arial" w:hAnsi="Arial" w:cs="Arial"/>
                <w:sz w:val="20"/>
                <w:szCs w:val="20"/>
              </w:rPr>
              <w:t> </w:t>
            </w:r>
          </w:p>
        </w:tc>
        <w:tc>
          <w:tcPr>
            <w:tcW w:w="1268" w:type="dxa"/>
            <w:tcBorders>
              <w:left w:val="nil"/>
              <w:bottom w:val="single" w:color="auto" w:sz="12" w:space="0"/>
              <w:right w:val="nil"/>
            </w:tcBorders>
            <w:vAlign w:val="bottom"/>
          </w:tcPr>
          <w:p w:rsidR="003B0815" w:rsidRDefault="003B0815" w14:paraId="63EF24F3" w14:textId="77777777">
            <w:pPr>
              <w:keepNext/>
              <w:jc w:val="right"/>
            </w:pPr>
            <w:r>
              <w:rPr>
                <w:rFonts w:ascii="Arial" w:hAnsi="Arial" w:cs="Arial"/>
                <w:sz w:val="20"/>
                <w:szCs w:val="20"/>
              </w:rPr>
              <w:t> </w:t>
            </w:r>
          </w:p>
        </w:tc>
        <w:tc>
          <w:tcPr>
            <w:tcW w:w="1072" w:type="dxa"/>
            <w:tcBorders>
              <w:left w:val="nil"/>
              <w:bottom w:val="single" w:color="auto" w:sz="12" w:space="0"/>
              <w:right w:val="single" w:color="auto" w:sz="12" w:space="0"/>
            </w:tcBorders>
            <w:vAlign w:val="bottom"/>
          </w:tcPr>
          <w:p w:rsidR="003B0815" w:rsidRDefault="003B0815" w14:paraId="68696FDE" w14:textId="77777777">
            <w:pPr>
              <w:keepNext/>
              <w:jc w:val="right"/>
            </w:pPr>
            <w:r>
              <w:rPr>
                <w:rFonts w:ascii="Arial" w:hAnsi="Arial" w:cs="Arial"/>
                <w:b/>
                <w:bCs/>
                <w:sz w:val="20"/>
                <w:szCs w:val="20"/>
              </w:rPr>
              <w:t>$430.2</w:t>
            </w:r>
          </w:p>
        </w:tc>
      </w:tr>
    </w:tbl>
    <w:p w:rsidR="003B0815" w:rsidRDefault="003B0815" w14:paraId="782C01C4" w14:textId="77777777">
      <w:pPr>
        <w:spacing w:line="360" w:lineRule="auto"/>
        <w:ind w:firstLine="720"/>
      </w:pPr>
    </w:p>
    <w:p w:rsidR="003B0815" w:rsidRDefault="003B0815" w14:paraId="4B4CB476" w14:textId="77777777">
      <w:pPr>
        <w:keepNext/>
        <w:spacing w:line="360" w:lineRule="auto"/>
        <w:rPr>
          <w:b/>
        </w:rPr>
      </w:pPr>
      <w:r>
        <w:rPr>
          <w:b/>
        </w:rPr>
        <w:t>Total Federal Government Costs</w:t>
      </w:r>
    </w:p>
    <w:p w:rsidR="003B0815" w:rsidRDefault="003B0815" w14:paraId="58B4013C" w14:textId="77777777">
      <w:pPr>
        <w:spacing w:line="360" w:lineRule="auto"/>
        <w:ind w:firstLine="720"/>
      </w:pPr>
      <w:r>
        <w:t>Adding the estimated total TSA and TSC costs, fiscal year 2008 costs to the Federal Government for Secure Flight are $100.6 million.</w:t>
      </w:r>
      <w:bookmarkEnd w:id="360"/>
      <w:r>
        <w:t xml:space="preserve">  Table 1.6.5.k shows the total government costs for fiscal years 2008 through 2017.</w:t>
      </w:r>
    </w:p>
    <w:tbl>
      <w:tblPr>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72"/>
        <w:gridCol w:w="976"/>
        <w:gridCol w:w="1004"/>
        <w:gridCol w:w="1080"/>
        <w:gridCol w:w="912"/>
        <w:gridCol w:w="1048"/>
        <w:gridCol w:w="1064"/>
        <w:gridCol w:w="1096"/>
      </w:tblGrid>
      <w:tr w:rsidR="003B0815" w14:paraId="7C435E07" w14:textId="77777777">
        <w:trPr>
          <w:jc w:val="center"/>
        </w:trPr>
        <w:tc>
          <w:tcPr>
            <w:tcW w:w="7952" w:type="dxa"/>
            <w:gridSpan w:val="8"/>
            <w:tcBorders>
              <w:top w:val="nil"/>
              <w:left w:val="nil"/>
              <w:bottom w:val="single" w:color="auto" w:sz="12" w:space="0"/>
              <w:right w:val="nil"/>
            </w:tcBorders>
            <w:vAlign w:val="center"/>
          </w:tcPr>
          <w:p w:rsidR="003B0815" w:rsidRDefault="003B0815" w14:paraId="0CA049FE" w14:textId="77777777">
            <w:pPr>
              <w:pStyle w:val="RegEvalTableHeader"/>
            </w:pPr>
            <w:bookmarkStart w:name="_Toc165278402" w:id="367"/>
            <w:bookmarkStart w:name="_Toc174438404" w:id="368"/>
            <w:bookmarkStart w:name="_Toc207109541" w:id="369"/>
            <w:r>
              <w:t>Table 1.6.5.k Estimated Total Federal Government Costs (millions of 2005 $)</w:t>
            </w:r>
            <w:bookmarkEnd w:id="367"/>
            <w:bookmarkEnd w:id="368"/>
            <w:bookmarkEnd w:id="369"/>
          </w:p>
        </w:tc>
      </w:tr>
      <w:tr w:rsidR="003B0815" w14:paraId="5BA3E867" w14:textId="77777777">
        <w:trPr>
          <w:cantSplit/>
          <w:jc w:val="center"/>
        </w:trPr>
        <w:tc>
          <w:tcPr>
            <w:tcW w:w="772" w:type="dxa"/>
            <w:vMerge w:val="restart"/>
            <w:tcBorders>
              <w:top w:val="single" w:color="auto" w:sz="12" w:space="0"/>
              <w:left w:val="single" w:color="auto" w:sz="12" w:space="0"/>
            </w:tcBorders>
            <w:vAlign w:val="center"/>
          </w:tcPr>
          <w:p w:rsidR="003B0815" w:rsidRDefault="003B0815" w14:paraId="3F7B1AB2" w14:textId="77777777">
            <w:pPr>
              <w:keepNext/>
              <w:jc w:val="center"/>
              <w:rPr>
                <w:rFonts w:ascii="Arial" w:hAnsi="Arial"/>
                <w:b/>
                <w:sz w:val="20"/>
              </w:rPr>
            </w:pPr>
            <w:r>
              <w:rPr>
                <w:rFonts w:ascii="Arial" w:hAnsi="Arial"/>
                <w:b/>
                <w:sz w:val="20"/>
              </w:rPr>
              <w:t>Fiscal Year</w:t>
            </w:r>
          </w:p>
        </w:tc>
        <w:tc>
          <w:tcPr>
            <w:tcW w:w="3060" w:type="dxa"/>
            <w:gridSpan w:val="3"/>
            <w:tcBorders>
              <w:top w:val="single" w:color="auto" w:sz="12" w:space="0"/>
              <w:bottom w:val="nil"/>
            </w:tcBorders>
            <w:vAlign w:val="center"/>
          </w:tcPr>
          <w:p w:rsidR="003B0815" w:rsidRDefault="003B0815" w14:paraId="70BBE4B8" w14:textId="77777777">
            <w:pPr>
              <w:keepNext/>
              <w:jc w:val="center"/>
              <w:rPr>
                <w:rFonts w:ascii="Arial" w:hAnsi="Arial"/>
                <w:b/>
                <w:sz w:val="20"/>
                <w:u w:val="single"/>
              </w:rPr>
            </w:pPr>
            <w:r>
              <w:rPr>
                <w:rFonts w:ascii="Arial" w:hAnsi="Arial"/>
                <w:b/>
                <w:sz w:val="20"/>
                <w:u w:val="single"/>
              </w:rPr>
              <w:t>TSA Subtotal</w:t>
            </w:r>
          </w:p>
        </w:tc>
        <w:tc>
          <w:tcPr>
            <w:tcW w:w="912" w:type="dxa"/>
            <w:vMerge w:val="restart"/>
            <w:tcBorders>
              <w:top w:val="single" w:color="auto" w:sz="12" w:space="0"/>
            </w:tcBorders>
            <w:vAlign w:val="center"/>
          </w:tcPr>
          <w:p w:rsidR="003B0815" w:rsidRDefault="003B0815" w14:paraId="734260AD" w14:textId="77777777">
            <w:pPr>
              <w:keepNext/>
              <w:jc w:val="center"/>
              <w:rPr>
                <w:rFonts w:ascii="Arial" w:hAnsi="Arial"/>
                <w:b/>
                <w:sz w:val="20"/>
              </w:rPr>
            </w:pPr>
            <w:r>
              <w:rPr>
                <w:rFonts w:ascii="Arial" w:hAnsi="Arial"/>
                <w:b/>
                <w:sz w:val="20"/>
              </w:rPr>
              <w:t>TSC Subtotal</w:t>
            </w:r>
          </w:p>
        </w:tc>
        <w:tc>
          <w:tcPr>
            <w:tcW w:w="3208" w:type="dxa"/>
            <w:gridSpan w:val="3"/>
            <w:tcBorders>
              <w:top w:val="single" w:color="auto" w:sz="12" w:space="0"/>
              <w:bottom w:val="nil"/>
              <w:right w:val="single" w:color="auto" w:sz="12" w:space="0"/>
            </w:tcBorders>
            <w:vAlign w:val="center"/>
          </w:tcPr>
          <w:p w:rsidR="003B0815" w:rsidRDefault="003B0815" w14:paraId="5483B42C" w14:textId="77777777">
            <w:pPr>
              <w:keepNext/>
              <w:jc w:val="center"/>
              <w:rPr>
                <w:rFonts w:ascii="Arial" w:hAnsi="Arial"/>
                <w:b/>
                <w:sz w:val="20"/>
                <w:u w:val="single"/>
              </w:rPr>
            </w:pPr>
            <w:r>
              <w:rPr>
                <w:rFonts w:ascii="Arial" w:hAnsi="Arial"/>
                <w:b/>
                <w:sz w:val="20"/>
                <w:u w:val="single"/>
              </w:rPr>
              <w:t>Total Costs</w:t>
            </w:r>
          </w:p>
        </w:tc>
      </w:tr>
      <w:tr w:rsidR="003B0815" w14:paraId="00F2F1FA" w14:textId="77777777">
        <w:trPr>
          <w:cantSplit/>
          <w:jc w:val="center"/>
        </w:trPr>
        <w:tc>
          <w:tcPr>
            <w:tcW w:w="772" w:type="dxa"/>
            <w:vMerge/>
            <w:tcBorders>
              <w:left w:val="single" w:color="auto" w:sz="12" w:space="0"/>
            </w:tcBorders>
            <w:vAlign w:val="center"/>
          </w:tcPr>
          <w:p w:rsidR="003B0815" w:rsidRDefault="003B0815" w14:paraId="3A17B141" w14:textId="77777777">
            <w:pPr>
              <w:keepNext/>
              <w:jc w:val="center"/>
              <w:rPr>
                <w:rFonts w:ascii="Arial" w:hAnsi="Arial"/>
                <w:b/>
                <w:sz w:val="20"/>
              </w:rPr>
            </w:pPr>
          </w:p>
        </w:tc>
        <w:tc>
          <w:tcPr>
            <w:tcW w:w="976" w:type="dxa"/>
            <w:tcBorders>
              <w:top w:val="nil"/>
              <w:right w:val="nil"/>
            </w:tcBorders>
            <w:vAlign w:val="center"/>
          </w:tcPr>
          <w:p w:rsidR="003B0815" w:rsidRDefault="003B0815" w14:paraId="39F7CB6D" w14:textId="77777777">
            <w:pPr>
              <w:keepNext/>
              <w:jc w:val="center"/>
              <w:rPr>
                <w:rFonts w:ascii="Arial" w:hAnsi="Arial"/>
                <w:sz w:val="20"/>
              </w:rPr>
            </w:pPr>
            <w:r>
              <w:rPr>
                <w:rFonts w:ascii="Arial" w:hAnsi="Arial"/>
                <w:sz w:val="20"/>
              </w:rPr>
              <w:t>Primary Scenario</w:t>
            </w:r>
          </w:p>
        </w:tc>
        <w:tc>
          <w:tcPr>
            <w:tcW w:w="1004" w:type="dxa"/>
            <w:tcBorders>
              <w:top w:val="nil"/>
              <w:left w:val="nil"/>
              <w:right w:val="nil"/>
            </w:tcBorders>
            <w:vAlign w:val="center"/>
          </w:tcPr>
          <w:p w:rsidR="003B0815" w:rsidRDefault="003B0815" w14:paraId="7243F301" w14:textId="77777777">
            <w:pPr>
              <w:keepNext/>
              <w:jc w:val="center"/>
              <w:rPr>
                <w:rFonts w:ascii="Arial" w:hAnsi="Arial"/>
                <w:sz w:val="20"/>
              </w:rPr>
            </w:pPr>
            <w:r>
              <w:rPr>
                <w:rFonts w:ascii="Arial" w:hAnsi="Arial"/>
                <w:sz w:val="20"/>
              </w:rPr>
              <w:t>Low Scenario</w:t>
            </w:r>
          </w:p>
        </w:tc>
        <w:tc>
          <w:tcPr>
            <w:tcW w:w="1080" w:type="dxa"/>
            <w:tcBorders>
              <w:top w:val="nil"/>
              <w:left w:val="nil"/>
            </w:tcBorders>
            <w:vAlign w:val="center"/>
          </w:tcPr>
          <w:p w:rsidR="003B0815" w:rsidRDefault="003B0815" w14:paraId="33CE6879" w14:textId="77777777">
            <w:pPr>
              <w:keepNext/>
              <w:jc w:val="center"/>
              <w:rPr>
                <w:rFonts w:ascii="Arial" w:hAnsi="Arial"/>
                <w:sz w:val="20"/>
              </w:rPr>
            </w:pPr>
            <w:r>
              <w:rPr>
                <w:rFonts w:ascii="Arial" w:hAnsi="Arial"/>
                <w:sz w:val="20"/>
              </w:rPr>
              <w:t>High Scenario</w:t>
            </w:r>
          </w:p>
        </w:tc>
        <w:tc>
          <w:tcPr>
            <w:tcW w:w="912" w:type="dxa"/>
            <w:vMerge/>
            <w:vAlign w:val="center"/>
          </w:tcPr>
          <w:p w:rsidR="003B0815" w:rsidRDefault="003B0815" w14:paraId="108AAE38" w14:textId="77777777">
            <w:pPr>
              <w:keepNext/>
              <w:jc w:val="center"/>
              <w:rPr>
                <w:rFonts w:ascii="Arial" w:hAnsi="Arial"/>
                <w:b/>
                <w:sz w:val="20"/>
              </w:rPr>
            </w:pPr>
          </w:p>
        </w:tc>
        <w:tc>
          <w:tcPr>
            <w:tcW w:w="1048" w:type="dxa"/>
            <w:tcBorders>
              <w:top w:val="nil"/>
              <w:bottom w:val="single" w:color="auto" w:sz="4" w:space="0"/>
              <w:right w:val="nil"/>
            </w:tcBorders>
            <w:vAlign w:val="center"/>
          </w:tcPr>
          <w:p w:rsidR="003B0815" w:rsidRDefault="003B0815" w14:paraId="334A6007" w14:textId="77777777">
            <w:pPr>
              <w:keepNext/>
              <w:jc w:val="center"/>
              <w:rPr>
                <w:rFonts w:ascii="Arial" w:hAnsi="Arial"/>
                <w:sz w:val="20"/>
              </w:rPr>
            </w:pPr>
            <w:r>
              <w:rPr>
                <w:rFonts w:ascii="Arial" w:hAnsi="Arial"/>
                <w:sz w:val="20"/>
              </w:rPr>
              <w:t>Primary Scenario</w:t>
            </w:r>
          </w:p>
        </w:tc>
        <w:tc>
          <w:tcPr>
            <w:tcW w:w="1064" w:type="dxa"/>
            <w:tcBorders>
              <w:top w:val="nil"/>
              <w:left w:val="nil"/>
              <w:bottom w:val="single" w:color="auto" w:sz="4" w:space="0"/>
              <w:right w:val="nil"/>
            </w:tcBorders>
            <w:vAlign w:val="center"/>
          </w:tcPr>
          <w:p w:rsidR="003B0815" w:rsidRDefault="003B0815" w14:paraId="4752C389" w14:textId="77777777">
            <w:pPr>
              <w:keepNext/>
              <w:jc w:val="center"/>
              <w:rPr>
                <w:rFonts w:ascii="Arial" w:hAnsi="Arial"/>
                <w:sz w:val="20"/>
              </w:rPr>
            </w:pPr>
            <w:r>
              <w:rPr>
                <w:rFonts w:ascii="Arial" w:hAnsi="Arial"/>
                <w:sz w:val="20"/>
              </w:rPr>
              <w:t>Low Scenario</w:t>
            </w:r>
          </w:p>
        </w:tc>
        <w:tc>
          <w:tcPr>
            <w:tcW w:w="1096" w:type="dxa"/>
            <w:tcBorders>
              <w:top w:val="nil"/>
              <w:left w:val="nil"/>
              <w:bottom w:val="single" w:color="auto" w:sz="4" w:space="0"/>
              <w:right w:val="single" w:color="auto" w:sz="12" w:space="0"/>
            </w:tcBorders>
            <w:vAlign w:val="center"/>
          </w:tcPr>
          <w:p w:rsidR="003B0815" w:rsidRDefault="003B0815" w14:paraId="4D243430" w14:textId="77777777">
            <w:pPr>
              <w:keepNext/>
              <w:jc w:val="center"/>
              <w:rPr>
                <w:rFonts w:ascii="Arial" w:hAnsi="Arial"/>
                <w:sz w:val="20"/>
              </w:rPr>
            </w:pPr>
            <w:r>
              <w:rPr>
                <w:rFonts w:ascii="Arial" w:hAnsi="Arial"/>
                <w:sz w:val="20"/>
              </w:rPr>
              <w:t>High Scenario</w:t>
            </w:r>
          </w:p>
        </w:tc>
      </w:tr>
      <w:tr w:rsidR="003B0815" w14:paraId="18873059" w14:textId="77777777">
        <w:trPr>
          <w:jc w:val="center"/>
        </w:trPr>
        <w:tc>
          <w:tcPr>
            <w:tcW w:w="772" w:type="dxa"/>
            <w:tcBorders>
              <w:left w:val="single" w:color="auto" w:sz="12" w:space="0"/>
            </w:tcBorders>
          </w:tcPr>
          <w:p w:rsidR="003B0815" w:rsidRDefault="003B0815" w14:paraId="0339C3D0" w14:textId="77777777">
            <w:pPr>
              <w:keepNext/>
              <w:jc w:val="center"/>
              <w:rPr>
                <w:rFonts w:ascii="Arial" w:hAnsi="Arial"/>
                <w:sz w:val="20"/>
              </w:rPr>
            </w:pPr>
            <w:r>
              <w:t>2008</w:t>
            </w:r>
          </w:p>
        </w:tc>
        <w:tc>
          <w:tcPr>
            <w:tcW w:w="976" w:type="dxa"/>
            <w:vAlign w:val="bottom"/>
          </w:tcPr>
          <w:p w:rsidR="003B0815" w:rsidRDefault="003B0815" w14:paraId="5A19BAAF" w14:textId="77777777">
            <w:pPr>
              <w:keepNext/>
              <w:jc w:val="right"/>
              <w:rPr>
                <w:rFonts w:ascii="Arial" w:hAnsi="Arial" w:cs="Arial"/>
                <w:sz w:val="20"/>
                <w:szCs w:val="20"/>
              </w:rPr>
            </w:pPr>
            <w:r>
              <w:rPr>
                <w:rFonts w:ascii="Arial" w:hAnsi="Arial" w:cs="Arial"/>
                <w:sz w:val="20"/>
                <w:szCs w:val="20"/>
              </w:rPr>
              <w:t>$61.5</w:t>
            </w:r>
          </w:p>
        </w:tc>
        <w:tc>
          <w:tcPr>
            <w:tcW w:w="1004" w:type="dxa"/>
            <w:vAlign w:val="bottom"/>
          </w:tcPr>
          <w:p w:rsidR="003B0815" w:rsidRDefault="003B0815" w14:paraId="281BB2CA" w14:textId="77777777">
            <w:pPr>
              <w:keepNext/>
              <w:jc w:val="right"/>
              <w:rPr>
                <w:rFonts w:ascii="Arial" w:hAnsi="Arial" w:cs="Arial"/>
                <w:sz w:val="20"/>
                <w:szCs w:val="20"/>
              </w:rPr>
            </w:pPr>
            <w:r>
              <w:rPr>
                <w:rFonts w:ascii="Arial" w:hAnsi="Arial" w:cs="Arial"/>
                <w:sz w:val="20"/>
                <w:szCs w:val="20"/>
              </w:rPr>
              <w:t>$52.8</w:t>
            </w:r>
          </w:p>
        </w:tc>
        <w:tc>
          <w:tcPr>
            <w:tcW w:w="1080" w:type="dxa"/>
            <w:vAlign w:val="bottom"/>
          </w:tcPr>
          <w:p w:rsidR="003B0815" w:rsidRDefault="003B0815" w14:paraId="49A6A721" w14:textId="77777777">
            <w:pPr>
              <w:keepNext/>
              <w:jc w:val="right"/>
              <w:rPr>
                <w:rFonts w:ascii="Arial" w:hAnsi="Arial" w:cs="Arial"/>
                <w:sz w:val="20"/>
                <w:szCs w:val="20"/>
              </w:rPr>
            </w:pPr>
            <w:r>
              <w:rPr>
                <w:rFonts w:ascii="Arial" w:hAnsi="Arial" w:cs="Arial"/>
                <w:sz w:val="20"/>
                <w:szCs w:val="20"/>
              </w:rPr>
              <w:t>$82.8</w:t>
            </w:r>
          </w:p>
        </w:tc>
        <w:tc>
          <w:tcPr>
            <w:tcW w:w="912" w:type="dxa"/>
            <w:vAlign w:val="bottom"/>
          </w:tcPr>
          <w:p w:rsidR="003B0815" w:rsidRDefault="003B0815" w14:paraId="19667C3A" w14:textId="77777777">
            <w:pPr>
              <w:keepNext/>
              <w:jc w:val="right"/>
              <w:rPr>
                <w:rFonts w:ascii="Arial" w:hAnsi="Arial"/>
                <w:sz w:val="20"/>
              </w:rPr>
            </w:pPr>
            <w:r>
              <w:rPr>
                <w:rFonts w:ascii="Arial" w:hAnsi="Arial" w:cs="Arial"/>
                <w:sz w:val="20"/>
                <w:szCs w:val="20"/>
              </w:rPr>
              <w:t>$39.1</w:t>
            </w:r>
          </w:p>
        </w:tc>
        <w:tc>
          <w:tcPr>
            <w:tcW w:w="1048" w:type="dxa"/>
            <w:shd w:val="clear" w:color="auto" w:fill="CCCCCC"/>
            <w:vAlign w:val="bottom"/>
          </w:tcPr>
          <w:p w:rsidR="003B0815" w:rsidRDefault="003B0815" w14:paraId="0BB86B61" w14:textId="77777777">
            <w:pPr>
              <w:keepNext/>
              <w:jc w:val="right"/>
              <w:rPr>
                <w:rFonts w:ascii="Arial" w:hAnsi="Arial" w:cs="Arial"/>
                <w:sz w:val="20"/>
                <w:szCs w:val="20"/>
              </w:rPr>
            </w:pPr>
            <w:r>
              <w:rPr>
                <w:rFonts w:ascii="Arial" w:hAnsi="Arial" w:cs="Arial"/>
                <w:sz w:val="20"/>
                <w:szCs w:val="20"/>
              </w:rPr>
              <w:t>$100.6</w:t>
            </w:r>
          </w:p>
        </w:tc>
        <w:tc>
          <w:tcPr>
            <w:tcW w:w="1064" w:type="dxa"/>
            <w:shd w:val="clear" w:color="auto" w:fill="CCCCCC"/>
            <w:vAlign w:val="bottom"/>
          </w:tcPr>
          <w:p w:rsidR="003B0815" w:rsidRDefault="003B0815" w14:paraId="3CFC2575" w14:textId="77777777">
            <w:pPr>
              <w:keepNext/>
              <w:jc w:val="right"/>
              <w:rPr>
                <w:rFonts w:ascii="Arial" w:hAnsi="Arial"/>
                <w:sz w:val="20"/>
              </w:rPr>
            </w:pPr>
            <w:r>
              <w:rPr>
                <w:rFonts w:ascii="Arial" w:hAnsi="Arial" w:cs="Arial"/>
                <w:sz w:val="20"/>
                <w:szCs w:val="20"/>
              </w:rPr>
              <w:t>$91.9</w:t>
            </w:r>
          </w:p>
        </w:tc>
        <w:tc>
          <w:tcPr>
            <w:tcW w:w="1096" w:type="dxa"/>
            <w:tcBorders>
              <w:right w:val="single" w:color="auto" w:sz="12" w:space="0"/>
            </w:tcBorders>
            <w:shd w:val="clear" w:color="auto" w:fill="CCCCCC"/>
            <w:vAlign w:val="bottom"/>
          </w:tcPr>
          <w:p w:rsidR="003B0815" w:rsidRDefault="003B0815" w14:paraId="3035BC57" w14:textId="77777777">
            <w:pPr>
              <w:keepNext/>
              <w:jc w:val="right"/>
              <w:rPr>
                <w:rFonts w:ascii="Arial" w:hAnsi="Arial"/>
                <w:b/>
                <w:sz w:val="20"/>
              </w:rPr>
            </w:pPr>
            <w:r>
              <w:rPr>
                <w:rFonts w:ascii="Arial" w:hAnsi="Arial" w:cs="Arial"/>
                <w:sz w:val="20"/>
                <w:szCs w:val="20"/>
              </w:rPr>
              <w:t>$121.9</w:t>
            </w:r>
          </w:p>
        </w:tc>
      </w:tr>
      <w:tr w:rsidR="003B0815" w14:paraId="0A462EF0" w14:textId="77777777">
        <w:trPr>
          <w:jc w:val="center"/>
        </w:trPr>
        <w:tc>
          <w:tcPr>
            <w:tcW w:w="772" w:type="dxa"/>
            <w:tcBorders>
              <w:left w:val="single" w:color="auto" w:sz="12" w:space="0"/>
            </w:tcBorders>
          </w:tcPr>
          <w:p w:rsidR="003B0815" w:rsidRDefault="003B0815" w14:paraId="15567889" w14:textId="77777777">
            <w:pPr>
              <w:keepNext/>
              <w:jc w:val="center"/>
              <w:rPr>
                <w:rFonts w:ascii="Arial" w:hAnsi="Arial"/>
                <w:sz w:val="20"/>
              </w:rPr>
            </w:pPr>
            <w:r>
              <w:t>2009</w:t>
            </w:r>
          </w:p>
        </w:tc>
        <w:tc>
          <w:tcPr>
            <w:tcW w:w="976" w:type="dxa"/>
            <w:vAlign w:val="bottom"/>
          </w:tcPr>
          <w:p w:rsidR="003B0815" w:rsidRDefault="003B0815" w14:paraId="315AEE12" w14:textId="77777777">
            <w:pPr>
              <w:keepNext/>
              <w:jc w:val="right"/>
              <w:rPr>
                <w:rFonts w:ascii="Arial" w:hAnsi="Arial" w:cs="Arial"/>
                <w:sz w:val="20"/>
                <w:szCs w:val="20"/>
              </w:rPr>
            </w:pPr>
            <w:r>
              <w:rPr>
                <w:rFonts w:ascii="Arial" w:hAnsi="Arial" w:cs="Arial"/>
                <w:sz w:val="20"/>
                <w:szCs w:val="20"/>
              </w:rPr>
              <w:t>99.7</w:t>
            </w:r>
          </w:p>
        </w:tc>
        <w:tc>
          <w:tcPr>
            <w:tcW w:w="1004" w:type="dxa"/>
            <w:vAlign w:val="bottom"/>
          </w:tcPr>
          <w:p w:rsidR="003B0815" w:rsidRDefault="003B0815" w14:paraId="086BFB43" w14:textId="77777777">
            <w:pPr>
              <w:keepNext/>
              <w:jc w:val="right"/>
              <w:rPr>
                <w:rFonts w:ascii="Arial" w:hAnsi="Arial" w:cs="Arial"/>
                <w:sz w:val="20"/>
                <w:szCs w:val="20"/>
              </w:rPr>
            </w:pPr>
            <w:r>
              <w:rPr>
                <w:rFonts w:ascii="Arial" w:hAnsi="Arial" w:cs="Arial"/>
                <w:sz w:val="20"/>
                <w:szCs w:val="20"/>
              </w:rPr>
              <w:t>94.3</w:t>
            </w:r>
          </w:p>
        </w:tc>
        <w:tc>
          <w:tcPr>
            <w:tcW w:w="1080" w:type="dxa"/>
            <w:vAlign w:val="bottom"/>
          </w:tcPr>
          <w:p w:rsidR="003B0815" w:rsidRDefault="003B0815" w14:paraId="31930133" w14:textId="77777777">
            <w:pPr>
              <w:keepNext/>
              <w:jc w:val="right"/>
              <w:rPr>
                <w:rFonts w:ascii="Arial" w:hAnsi="Arial" w:cs="Arial"/>
                <w:sz w:val="20"/>
                <w:szCs w:val="20"/>
              </w:rPr>
            </w:pPr>
            <w:r>
              <w:rPr>
                <w:rFonts w:ascii="Arial" w:hAnsi="Arial" w:cs="Arial"/>
                <w:sz w:val="20"/>
                <w:szCs w:val="20"/>
              </w:rPr>
              <w:t>121.6</w:t>
            </w:r>
          </w:p>
        </w:tc>
        <w:tc>
          <w:tcPr>
            <w:tcW w:w="912" w:type="dxa"/>
            <w:vAlign w:val="bottom"/>
          </w:tcPr>
          <w:p w:rsidR="003B0815" w:rsidRDefault="003B0815" w14:paraId="6FA1BC6B" w14:textId="77777777">
            <w:pPr>
              <w:keepNext/>
              <w:jc w:val="right"/>
              <w:rPr>
                <w:rFonts w:ascii="Arial" w:hAnsi="Arial"/>
                <w:sz w:val="20"/>
              </w:rPr>
            </w:pPr>
            <w:r>
              <w:rPr>
                <w:rFonts w:ascii="Arial" w:hAnsi="Arial" w:cs="Arial"/>
                <w:sz w:val="20"/>
                <w:szCs w:val="20"/>
              </w:rPr>
              <w:t>$39.9</w:t>
            </w:r>
          </w:p>
        </w:tc>
        <w:tc>
          <w:tcPr>
            <w:tcW w:w="1048" w:type="dxa"/>
            <w:shd w:val="clear" w:color="auto" w:fill="CCCCCC"/>
            <w:vAlign w:val="bottom"/>
          </w:tcPr>
          <w:p w:rsidR="003B0815" w:rsidRDefault="003B0815" w14:paraId="2AC64C3C" w14:textId="77777777">
            <w:pPr>
              <w:keepNext/>
              <w:jc w:val="right"/>
              <w:rPr>
                <w:rFonts w:ascii="Arial" w:hAnsi="Arial" w:cs="Arial"/>
                <w:sz w:val="20"/>
                <w:szCs w:val="20"/>
              </w:rPr>
            </w:pPr>
            <w:r>
              <w:rPr>
                <w:rFonts w:ascii="Arial" w:hAnsi="Arial" w:cs="Arial"/>
                <w:sz w:val="20"/>
                <w:szCs w:val="20"/>
              </w:rPr>
              <w:t>$139.6</w:t>
            </w:r>
          </w:p>
        </w:tc>
        <w:tc>
          <w:tcPr>
            <w:tcW w:w="1064" w:type="dxa"/>
            <w:shd w:val="clear" w:color="auto" w:fill="CCCCCC"/>
            <w:vAlign w:val="bottom"/>
          </w:tcPr>
          <w:p w:rsidR="003B0815" w:rsidRDefault="003B0815" w14:paraId="14675AEA" w14:textId="77777777">
            <w:pPr>
              <w:keepNext/>
              <w:jc w:val="right"/>
              <w:rPr>
                <w:rFonts w:ascii="Arial" w:hAnsi="Arial"/>
                <w:sz w:val="20"/>
              </w:rPr>
            </w:pPr>
            <w:r>
              <w:rPr>
                <w:rFonts w:ascii="Arial" w:hAnsi="Arial" w:cs="Arial"/>
                <w:sz w:val="20"/>
                <w:szCs w:val="20"/>
              </w:rPr>
              <w:t>$134.2</w:t>
            </w:r>
          </w:p>
        </w:tc>
        <w:tc>
          <w:tcPr>
            <w:tcW w:w="1096" w:type="dxa"/>
            <w:tcBorders>
              <w:right w:val="single" w:color="auto" w:sz="12" w:space="0"/>
            </w:tcBorders>
            <w:shd w:val="clear" w:color="auto" w:fill="CCCCCC"/>
            <w:vAlign w:val="bottom"/>
          </w:tcPr>
          <w:p w:rsidR="003B0815" w:rsidRDefault="003B0815" w14:paraId="5C177090" w14:textId="77777777">
            <w:pPr>
              <w:keepNext/>
              <w:jc w:val="right"/>
              <w:rPr>
                <w:rFonts w:ascii="Arial" w:hAnsi="Arial"/>
                <w:b/>
                <w:sz w:val="20"/>
              </w:rPr>
            </w:pPr>
            <w:r>
              <w:rPr>
                <w:rFonts w:ascii="Arial" w:hAnsi="Arial" w:cs="Arial"/>
                <w:sz w:val="20"/>
                <w:szCs w:val="20"/>
              </w:rPr>
              <w:t>$161.6</w:t>
            </w:r>
          </w:p>
        </w:tc>
      </w:tr>
      <w:tr w:rsidR="003B0815" w14:paraId="4C822036" w14:textId="77777777">
        <w:trPr>
          <w:jc w:val="center"/>
        </w:trPr>
        <w:tc>
          <w:tcPr>
            <w:tcW w:w="772" w:type="dxa"/>
            <w:tcBorders>
              <w:left w:val="single" w:color="auto" w:sz="12" w:space="0"/>
            </w:tcBorders>
          </w:tcPr>
          <w:p w:rsidR="003B0815" w:rsidRDefault="003B0815" w14:paraId="418372DF" w14:textId="77777777">
            <w:pPr>
              <w:keepNext/>
              <w:jc w:val="center"/>
              <w:rPr>
                <w:rFonts w:ascii="Arial" w:hAnsi="Arial"/>
                <w:sz w:val="20"/>
              </w:rPr>
            </w:pPr>
            <w:r>
              <w:t>2010</w:t>
            </w:r>
          </w:p>
        </w:tc>
        <w:tc>
          <w:tcPr>
            <w:tcW w:w="976" w:type="dxa"/>
            <w:vAlign w:val="bottom"/>
          </w:tcPr>
          <w:p w:rsidR="003B0815" w:rsidRDefault="003B0815" w14:paraId="6ADAAC00" w14:textId="77777777">
            <w:pPr>
              <w:keepNext/>
              <w:jc w:val="right"/>
              <w:rPr>
                <w:rFonts w:ascii="Arial" w:hAnsi="Arial" w:cs="Arial"/>
                <w:sz w:val="20"/>
                <w:szCs w:val="20"/>
              </w:rPr>
            </w:pPr>
            <w:r>
              <w:rPr>
                <w:rFonts w:ascii="Arial" w:hAnsi="Arial" w:cs="Arial"/>
                <w:sz w:val="20"/>
                <w:szCs w:val="20"/>
              </w:rPr>
              <w:t>105.5</w:t>
            </w:r>
          </w:p>
        </w:tc>
        <w:tc>
          <w:tcPr>
            <w:tcW w:w="1004" w:type="dxa"/>
            <w:vAlign w:val="bottom"/>
          </w:tcPr>
          <w:p w:rsidR="003B0815" w:rsidRDefault="003B0815" w14:paraId="620577C8" w14:textId="77777777">
            <w:pPr>
              <w:keepNext/>
              <w:jc w:val="right"/>
              <w:rPr>
                <w:rFonts w:ascii="Arial" w:hAnsi="Arial" w:cs="Arial"/>
                <w:sz w:val="20"/>
                <w:szCs w:val="20"/>
              </w:rPr>
            </w:pPr>
            <w:r>
              <w:rPr>
                <w:rFonts w:ascii="Arial" w:hAnsi="Arial" w:cs="Arial"/>
                <w:sz w:val="20"/>
                <w:szCs w:val="20"/>
              </w:rPr>
              <w:t>100.1</w:t>
            </w:r>
          </w:p>
        </w:tc>
        <w:tc>
          <w:tcPr>
            <w:tcW w:w="1080" w:type="dxa"/>
            <w:vAlign w:val="bottom"/>
          </w:tcPr>
          <w:p w:rsidR="003B0815" w:rsidRDefault="003B0815" w14:paraId="06D11032" w14:textId="77777777">
            <w:pPr>
              <w:keepNext/>
              <w:jc w:val="right"/>
              <w:rPr>
                <w:rFonts w:ascii="Arial" w:hAnsi="Arial" w:cs="Arial"/>
                <w:sz w:val="20"/>
                <w:szCs w:val="20"/>
              </w:rPr>
            </w:pPr>
            <w:r>
              <w:rPr>
                <w:rFonts w:ascii="Arial" w:hAnsi="Arial" w:cs="Arial"/>
                <w:sz w:val="20"/>
                <w:szCs w:val="20"/>
              </w:rPr>
              <w:t>128.2</w:t>
            </w:r>
          </w:p>
        </w:tc>
        <w:tc>
          <w:tcPr>
            <w:tcW w:w="912" w:type="dxa"/>
            <w:vAlign w:val="bottom"/>
          </w:tcPr>
          <w:p w:rsidR="003B0815" w:rsidRDefault="003B0815" w14:paraId="1D670E28" w14:textId="77777777">
            <w:pPr>
              <w:keepNext/>
              <w:jc w:val="right"/>
              <w:rPr>
                <w:rFonts w:ascii="Arial" w:hAnsi="Arial"/>
                <w:sz w:val="20"/>
              </w:rPr>
            </w:pPr>
            <w:r>
              <w:rPr>
                <w:rFonts w:ascii="Arial" w:hAnsi="Arial" w:cs="Arial"/>
                <w:sz w:val="20"/>
                <w:szCs w:val="20"/>
              </w:rPr>
              <w:t>$40.8</w:t>
            </w:r>
          </w:p>
        </w:tc>
        <w:tc>
          <w:tcPr>
            <w:tcW w:w="1048" w:type="dxa"/>
            <w:shd w:val="clear" w:color="auto" w:fill="CCCCCC"/>
            <w:vAlign w:val="bottom"/>
          </w:tcPr>
          <w:p w:rsidR="003B0815" w:rsidRDefault="003B0815" w14:paraId="1596CCA8" w14:textId="77777777">
            <w:pPr>
              <w:keepNext/>
              <w:jc w:val="right"/>
              <w:rPr>
                <w:rFonts w:ascii="Arial" w:hAnsi="Arial" w:cs="Arial"/>
                <w:sz w:val="20"/>
                <w:szCs w:val="20"/>
              </w:rPr>
            </w:pPr>
            <w:r>
              <w:rPr>
                <w:rFonts w:ascii="Arial" w:hAnsi="Arial" w:cs="Arial"/>
                <w:sz w:val="20"/>
                <w:szCs w:val="20"/>
              </w:rPr>
              <w:t>$146.2</w:t>
            </w:r>
          </w:p>
        </w:tc>
        <w:tc>
          <w:tcPr>
            <w:tcW w:w="1064" w:type="dxa"/>
            <w:shd w:val="clear" w:color="auto" w:fill="CCCCCC"/>
            <w:vAlign w:val="bottom"/>
          </w:tcPr>
          <w:p w:rsidR="003B0815" w:rsidRDefault="003B0815" w14:paraId="5535FE61" w14:textId="77777777">
            <w:pPr>
              <w:keepNext/>
              <w:jc w:val="right"/>
              <w:rPr>
                <w:rFonts w:ascii="Arial" w:hAnsi="Arial"/>
                <w:sz w:val="20"/>
              </w:rPr>
            </w:pPr>
            <w:r>
              <w:rPr>
                <w:rFonts w:ascii="Arial" w:hAnsi="Arial" w:cs="Arial"/>
                <w:sz w:val="20"/>
                <w:szCs w:val="20"/>
              </w:rPr>
              <w:t>$140.9</w:t>
            </w:r>
          </w:p>
        </w:tc>
        <w:tc>
          <w:tcPr>
            <w:tcW w:w="1096" w:type="dxa"/>
            <w:tcBorders>
              <w:right w:val="single" w:color="auto" w:sz="12" w:space="0"/>
            </w:tcBorders>
            <w:shd w:val="clear" w:color="auto" w:fill="CCCCCC"/>
            <w:vAlign w:val="bottom"/>
          </w:tcPr>
          <w:p w:rsidR="003B0815" w:rsidRDefault="003B0815" w14:paraId="136CB5AB" w14:textId="77777777">
            <w:pPr>
              <w:keepNext/>
              <w:jc w:val="right"/>
              <w:rPr>
                <w:rFonts w:ascii="Arial" w:hAnsi="Arial"/>
                <w:b/>
                <w:sz w:val="20"/>
              </w:rPr>
            </w:pPr>
            <w:r>
              <w:rPr>
                <w:rFonts w:ascii="Arial" w:hAnsi="Arial" w:cs="Arial"/>
                <w:sz w:val="20"/>
                <w:szCs w:val="20"/>
              </w:rPr>
              <w:t>$168.9</w:t>
            </w:r>
          </w:p>
        </w:tc>
      </w:tr>
      <w:tr w:rsidR="003B0815" w14:paraId="6247E8F1" w14:textId="77777777">
        <w:trPr>
          <w:jc w:val="center"/>
        </w:trPr>
        <w:tc>
          <w:tcPr>
            <w:tcW w:w="772" w:type="dxa"/>
            <w:tcBorders>
              <w:left w:val="single" w:color="auto" w:sz="12" w:space="0"/>
            </w:tcBorders>
          </w:tcPr>
          <w:p w:rsidR="003B0815" w:rsidRDefault="003B0815" w14:paraId="371A8F36" w14:textId="77777777">
            <w:pPr>
              <w:keepNext/>
              <w:jc w:val="center"/>
              <w:rPr>
                <w:rFonts w:ascii="Arial" w:hAnsi="Arial"/>
                <w:sz w:val="20"/>
              </w:rPr>
            </w:pPr>
            <w:r>
              <w:t>2011</w:t>
            </w:r>
          </w:p>
        </w:tc>
        <w:tc>
          <w:tcPr>
            <w:tcW w:w="976" w:type="dxa"/>
            <w:vAlign w:val="bottom"/>
          </w:tcPr>
          <w:p w:rsidR="003B0815" w:rsidRDefault="003B0815" w14:paraId="10F4CB0F" w14:textId="77777777">
            <w:pPr>
              <w:keepNext/>
              <w:jc w:val="right"/>
              <w:rPr>
                <w:rFonts w:ascii="Arial" w:hAnsi="Arial" w:cs="Arial"/>
                <w:sz w:val="20"/>
                <w:szCs w:val="20"/>
              </w:rPr>
            </w:pPr>
            <w:r>
              <w:rPr>
                <w:rFonts w:ascii="Arial" w:hAnsi="Arial" w:cs="Arial"/>
                <w:sz w:val="20"/>
                <w:szCs w:val="20"/>
              </w:rPr>
              <w:t>94.0</w:t>
            </w:r>
          </w:p>
        </w:tc>
        <w:tc>
          <w:tcPr>
            <w:tcW w:w="1004" w:type="dxa"/>
            <w:vAlign w:val="bottom"/>
          </w:tcPr>
          <w:p w:rsidR="003B0815" w:rsidRDefault="003B0815" w14:paraId="1A1EBA05" w14:textId="77777777">
            <w:pPr>
              <w:keepNext/>
              <w:jc w:val="right"/>
              <w:rPr>
                <w:rFonts w:ascii="Arial" w:hAnsi="Arial" w:cs="Arial"/>
                <w:sz w:val="20"/>
                <w:szCs w:val="20"/>
              </w:rPr>
            </w:pPr>
            <w:r>
              <w:rPr>
                <w:rFonts w:ascii="Arial" w:hAnsi="Arial" w:cs="Arial"/>
                <w:sz w:val="20"/>
                <w:szCs w:val="20"/>
              </w:rPr>
              <w:t>88.6</w:t>
            </w:r>
          </w:p>
        </w:tc>
        <w:tc>
          <w:tcPr>
            <w:tcW w:w="1080" w:type="dxa"/>
            <w:vAlign w:val="bottom"/>
          </w:tcPr>
          <w:p w:rsidR="003B0815" w:rsidRDefault="003B0815" w14:paraId="27D314CE" w14:textId="77777777">
            <w:pPr>
              <w:keepNext/>
              <w:jc w:val="right"/>
              <w:rPr>
                <w:rFonts w:ascii="Arial" w:hAnsi="Arial" w:cs="Arial"/>
                <w:sz w:val="20"/>
                <w:szCs w:val="20"/>
              </w:rPr>
            </w:pPr>
            <w:r>
              <w:rPr>
                <w:rFonts w:ascii="Arial" w:hAnsi="Arial" w:cs="Arial"/>
                <w:sz w:val="20"/>
                <w:szCs w:val="20"/>
              </w:rPr>
              <w:t>117.4</w:t>
            </w:r>
          </w:p>
        </w:tc>
        <w:tc>
          <w:tcPr>
            <w:tcW w:w="912" w:type="dxa"/>
            <w:vAlign w:val="bottom"/>
          </w:tcPr>
          <w:p w:rsidR="003B0815" w:rsidRDefault="003B0815" w14:paraId="67D1E525" w14:textId="77777777">
            <w:pPr>
              <w:keepNext/>
              <w:jc w:val="right"/>
              <w:rPr>
                <w:rFonts w:ascii="Arial" w:hAnsi="Arial"/>
                <w:sz w:val="20"/>
              </w:rPr>
            </w:pPr>
            <w:r>
              <w:rPr>
                <w:rFonts w:ascii="Arial" w:hAnsi="Arial" w:cs="Arial"/>
                <w:sz w:val="20"/>
                <w:szCs w:val="20"/>
              </w:rPr>
              <w:t>$41.6</w:t>
            </w:r>
          </w:p>
        </w:tc>
        <w:tc>
          <w:tcPr>
            <w:tcW w:w="1048" w:type="dxa"/>
            <w:shd w:val="clear" w:color="auto" w:fill="CCCCCC"/>
            <w:vAlign w:val="bottom"/>
          </w:tcPr>
          <w:p w:rsidR="003B0815" w:rsidRDefault="003B0815" w14:paraId="7A50B320" w14:textId="77777777">
            <w:pPr>
              <w:keepNext/>
              <w:jc w:val="right"/>
              <w:rPr>
                <w:rFonts w:ascii="Arial" w:hAnsi="Arial" w:cs="Arial"/>
                <w:sz w:val="20"/>
                <w:szCs w:val="20"/>
              </w:rPr>
            </w:pPr>
            <w:r>
              <w:rPr>
                <w:rFonts w:ascii="Arial" w:hAnsi="Arial" w:cs="Arial"/>
                <w:sz w:val="20"/>
                <w:szCs w:val="20"/>
              </w:rPr>
              <w:t>$135.6</w:t>
            </w:r>
          </w:p>
        </w:tc>
        <w:tc>
          <w:tcPr>
            <w:tcW w:w="1064" w:type="dxa"/>
            <w:shd w:val="clear" w:color="auto" w:fill="CCCCCC"/>
            <w:vAlign w:val="bottom"/>
          </w:tcPr>
          <w:p w:rsidR="003B0815" w:rsidRDefault="003B0815" w14:paraId="04F4C80B" w14:textId="77777777">
            <w:pPr>
              <w:keepNext/>
              <w:jc w:val="right"/>
              <w:rPr>
                <w:rFonts w:ascii="Arial" w:hAnsi="Arial"/>
                <w:sz w:val="20"/>
              </w:rPr>
            </w:pPr>
            <w:r>
              <w:rPr>
                <w:rFonts w:ascii="Arial" w:hAnsi="Arial" w:cs="Arial"/>
                <w:sz w:val="20"/>
                <w:szCs w:val="20"/>
              </w:rPr>
              <w:t>$130.2</w:t>
            </w:r>
          </w:p>
        </w:tc>
        <w:tc>
          <w:tcPr>
            <w:tcW w:w="1096" w:type="dxa"/>
            <w:tcBorders>
              <w:right w:val="single" w:color="auto" w:sz="12" w:space="0"/>
            </w:tcBorders>
            <w:shd w:val="clear" w:color="auto" w:fill="CCCCCC"/>
            <w:vAlign w:val="bottom"/>
          </w:tcPr>
          <w:p w:rsidR="003B0815" w:rsidRDefault="003B0815" w14:paraId="3DAAF363" w14:textId="77777777">
            <w:pPr>
              <w:keepNext/>
              <w:jc w:val="right"/>
              <w:rPr>
                <w:rFonts w:ascii="Arial" w:hAnsi="Arial"/>
                <w:b/>
                <w:sz w:val="20"/>
              </w:rPr>
            </w:pPr>
            <w:r>
              <w:rPr>
                <w:rFonts w:ascii="Arial" w:hAnsi="Arial" w:cs="Arial"/>
                <w:sz w:val="20"/>
                <w:szCs w:val="20"/>
              </w:rPr>
              <w:t>$159.0</w:t>
            </w:r>
          </w:p>
        </w:tc>
      </w:tr>
      <w:tr w:rsidR="003B0815" w14:paraId="0F4F6350" w14:textId="77777777">
        <w:trPr>
          <w:jc w:val="center"/>
        </w:trPr>
        <w:tc>
          <w:tcPr>
            <w:tcW w:w="772" w:type="dxa"/>
            <w:tcBorders>
              <w:left w:val="single" w:color="auto" w:sz="12" w:space="0"/>
            </w:tcBorders>
          </w:tcPr>
          <w:p w:rsidR="003B0815" w:rsidRDefault="003B0815" w14:paraId="7BC0466E" w14:textId="77777777">
            <w:pPr>
              <w:keepNext/>
              <w:jc w:val="center"/>
              <w:rPr>
                <w:rFonts w:ascii="Arial" w:hAnsi="Arial"/>
                <w:sz w:val="20"/>
              </w:rPr>
            </w:pPr>
            <w:r>
              <w:t>2012</w:t>
            </w:r>
          </w:p>
        </w:tc>
        <w:tc>
          <w:tcPr>
            <w:tcW w:w="976" w:type="dxa"/>
            <w:vAlign w:val="bottom"/>
          </w:tcPr>
          <w:p w:rsidR="003B0815" w:rsidRDefault="003B0815" w14:paraId="1A5AE4D9" w14:textId="77777777">
            <w:pPr>
              <w:keepNext/>
              <w:jc w:val="right"/>
              <w:rPr>
                <w:rFonts w:ascii="Arial" w:hAnsi="Arial" w:cs="Arial"/>
                <w:sz w:val="20"/>
                <w:szCs w:val="20"/>
              </w:rPr>
            </w:pPr>
            <w:r>
              <w:rPr>
                <w:rFonts w:ascii="Arial" w:hAnsi="Arial" w:cs="Arial"/>
                <w:sz w:val="20"/>
                <w:szCs w:val="20"/>
              </w:rPr>
              <w:t>99.3</w:t>
            </w:r>
          </w:p>
        </w:tc>
        <w:tc>
          <w:tcPr>
            <w:tcW w:w="1004" w:type="dxa"/>
            <w:vAlign w:val="bottom"/>
          </w:tcPr>
          <w:p w:rsidR="003B0815" w:rsidRDefault="003B0815" w14:paraId="2C0A081D" w14:textId="77777777">
            <w:pPr>
              <w:keepNext/>
              <w:jc w:val="right"/>
              <w:rPr>
                <w:rFonts w:ascii="Arial" w:hAnsi="Arial" w:cs="Arial"/>
                <w:sz w:val="20"/>
                <w:szCs w:val="20"/>
              </w:rPr>
            </w:pPr>
            <w:r>
              <w:rPr>
                <w:rFonts w:ascii="Arial" w:hAnsi="Arial" w:cs="Arial"/>
                <w:sz w:val="20"/>
                <w:szCs w:val="20"/>
              </w:rPr>
              <w:t>93.9</w:t>
            </w:r>
          </w:p>
        </w:tc>
        <w:tc>
          <w:tcPr>
            <w:tcW w:w="1080" w:type="dxa"/>
            <w:vAlign w:val="bottom"/>
          </w:tcPr>
          <w:p w:rsidR="003B0815" w:rsidRDefault="003B0815" w14:paraId="17E60B9E" w14:textId="77777777">
            <w:pPr>
              <w:keepNext/>
              <w:jc w:val="right"/>
              <w:rPr>
                <w:rFonts w:ascii="Arial" w:hAnsi="Arial" w:cs="Arial"/>
                <w:sz w:val="20"/>
                <w:szCs w:val="20"/>
              </w:rPr>
            </w:pPr>
            <w:r>
              <w:rPr>
                <w:rFonts w:ascii="Arial" w:hAnsi="Arial" w:cs="Arial"/>
                <w:sz w:val="20"/>
                <w:szCs w:val="20"/>
              </w:rPr>
              <w:t>123.6</w:t>
            </w:r>
          </w:p>
        </w:tc>
        <w:tc>
          <w:tcPr>
            <w:tcW w:w="912" w:type="dxa"/>
            <w:vAlign w:val="bottom"/>
          </w:tcPr>
          <w:p w:rsidR="003B0815" w:rsidRDefault="003B0815" w14:paraId="6F586005" w14:textId="77777777">
            <w:pPr>
              <w:keepNext/>
              <w:jc w:val="right"/>
              <w:rPr>
                <w:rFonts w:ascii="Arial" w:hAnsi="Arial"/>
                <w:sz w:val="20"/>
              </w:rPr>
            </w:pPr>
            <w:r>
              <w:rPr>
                <w:rFonts w:ascii="Arial" w:hAnsi="Arial" w:cs="Arial"/>
                <w:sz w:val="20"/>
                <w:szCs w:val="20"/>
              </w:rPr>
              <w:t>$42.5</w:t>
            </w:r>
          </w:p>
        </w:tc>
        <w:tc>
          <w:tcPr>
            <w:tcW w:w="1048" w:type="dxa"/>
            <w:shd w:val="clear" w:color="auto" w:fill="CCCCCC"/>
            <w:vAlign w:val="bottom"/>
          </w:tcPr>
          <w:p w:rsidR="003B0815" w:rsidRDefault="003B0815" w14:paraId="2C68A5CA" w14:textId="77777777">
            <w:pPr>
              <w:keepNext/>
              <w:jc w:val="right"/>
              <w:rPr>
                <w:rFonts w:ascii="Arial" w:hAnsi="Arial" w:cs="Arial"/>
                <w:sz w:val="20"/>
                <w:szCs w:val="20"/>
              </w:rPr>
            </w:pPr>
            <w:r>
              <w:rPr>
                <w:rFonts w:ascii="Arial" w:hAnsi="Arial" w:cs="Arial"/>
                <w:sz w:val="20"/>
                <w:szCs w:val="20"/>
              </w:rPr>
              <w:t>$141.8</w:t>
            </w:r>
          </w:p>
        </w:tc>
        <w:tc>
          <w:tcPr>
            <w:tcW w:w="1064" w:type="dxa"/>
            <w:shd w:val="clear" w:color="auto" w:fill="CCCCCC"/>
            <w:vAlign w:val="bottom"/>
          </w:tcPr>
          <w:p w:rsidR="003B0815" w:rsidRDefault="003B0815" w14:paraId="45AD0788" w14:textId="77777777">
            <w:pPr>
              <w:keepNext/>
              <w:jc w:val="right"/>
              <w:rPr>
                <w:rFonts w:ascii="Arial" w:hAnsi="Arial"/>
                <w:sz w:val="20"/>
              </w:rPr>
            </w:pPr>
            <w:r>
              <w:rPr>
                <w:rFonts w:ascii="Arial" w:hAnsi="Arial" w:cs="Arial"/>
                <w:sz w:val="20"/>
                <w:szCs w:val="20"/>
              </w:rPr>
              <w:t>$136.4</w:t>
            </w:r>
          </w:p>
        </w:tc>
        <w:tc>
          <w:tcPr>
            <w:tcW w:w="1096" w:type="dxa"/>
            <w:tcBorders>
              <w:right w:val="single" w:color="auto" w:sz="12" w:space="0"/>
            </w:tcBorders>
            <w:shd w:val="clear" w:color="auto" w:fill="CCCCCC"/>
            <w:vAlign w:val="bottom"/>
          </w:tcPr>
          <w:p w:rsidR="003B0815" w:rsidRDefault="003B0815" w14:paraId="1A06BB62" w14:textId="77777777">
            <w:pPr>
              <w:keepNext/>
              <w:jc w:val="right"/>
              <w:rPr>
                <w:rFonts w:ascii="Arial" w:hAnsi="Arial"/>
                <w:b/>
                <w:sz w:val="20"/>
              </w:rPr>
            </w:pPr>
            <w:r>
              <w:rPr>
                <w:rFonts w:ascii="Arial" w:hAnsi="Arial" w:cs="Arial"/>
                <w:sz w:val="20"/>
                <w:szCs w:val="20"/>
              </w:rPr>
              <w:t>$166.1</w:t>
            </w:r>
          </w:p>
        </w:tc>
      </w:tr>
      <w:tr w:rsidR="003B0815" w14:paraId="7CFFBDF0" w14:textId="77777777">
        <w:trPr>
          <w:jc w:val="center"/>
        </w:trPr>
        <w:tc>
          <w:tcPr>
            <w:tcW w:w="772" w:type="dxa"/>
            <w:tcBorders>
              <w:left w:val="single" w:color="auto" w:sz="12" w:space="0"/>
            </w:tcBorders>
          </w:tcPr>
          <w:p w:rsidR="003B0815" w:rsidRDefault="003B0815" w14:paraId="73A1BD31" w14:textId="77777777">
            <w:pPr>
              <w:keepNext/>
              <w:jc w:val="center"/>
              <w:rPr>
                <w:rFonts w:ascii="Arial" w:hAnsi="Arial"/>
                <w:sz w:val="20"/>
              </w:rPr>
            </w:pPr>
            <w:r>
              <w:t>2013</w:t>
            </w:r>
          </w:p>
        </w:tc>
        <w:tc>
          <w:tcPr>
            <w:tcW w:w="976" w:type="dxa"/>
            <w:vAlign w:val="bottom"/>
          </w:tcPr>
          <w:p w:rsidR="003B0815" w:rsidRDefault="003B0815" w14:paraId="1EE3E56F" w14:textId="77777777">
            <w:pPr>
              <w:keepNext/>
              <w:jc w:val="right"/>
              <w:rPr>
                <w:rFonts w:ascii="Arial" w:hAnsi="Arial" w:cs="Arial"/>
                <w:sz w:val="20"/>
                <w:szCs w:val="20"/>
              </w:rPr>
            </w:pPr>
            <w:r>
              <w:rPr>
                <w:rFonts w:ascii="Arial" w:hAnsi="Arial" w:cs="Arial"/>
                <w:sz w:val="20"/>
                <w:szCs w:val="20"/>
              </w:rPr>
              <w:t>103.0</w:t>
            </w:r>
          </w:p>
        </w:tc>
        <w:tc>
          <w:tcPr>
            <w:tcW w:w="1004" w:type="dxa"/>
            <w:vAlign w:val="bottom"/>
          </w:tcPr>
          <w:p w:rsidR="003B0815" w:rsidRDefault="003B0815" w14:paraId="27E584B4" w14:textId="77777777">
            <w:pPr>
              <w:keepNext/>
              <w:jc w:val="right"/>
              <w:rPr>
                <w:rFonts w:ascii="Arial" w:hAnsi="Arial" w:cs="Arial"/>
                <w:sz w:val="20"/>
                <w:szCs w:val="20"/>
              </w:rPr>
            </w:pPr>
            <w:r>
              <w:rPr>
                <w:rFonts w:ascii="Arial" w:hAnsi="Arial" w:cs="Arial"/>
                <w:sz w:val="20"/>
                <w:szCs w:val="20"/>
              </w:rPr>
              <w:t>97.6</w:t>
            </w:r>
          </w:p>
        </w:tc>
        <w:tc>
          <w:tcPr>
            <w:tcW w:w="1080" w:type="dxa"/>
            <w:vAlign w:val="bottom"/>
          </w:tcPr>
          <w:p w:rsidR="003B0815" w:rsidRDefault="003B0815" w14:paraId="2B20BBC4" w14:textId="77777777">
            <w:pPr>
              <w:keepNext/>
              <w:jc w:val="right"/>
              <w:rPr>
                <w:rFonts w:ascii="Arial" w:hAnsi="Arial" w:cs="Arial"/>
                <w:sz w:val="20"/>
                <w:szCs w:val="20"/>
              </w:rPr>
            </w:pPr>
            <w:r>
              <w:rPr>
                <w:rFonts w:ascii="Arial" w:hAnsi="Arial" w:cs="Arial"/>
                <w:sz w:val="20"/>
                <w:szCs w:val="20"/>
              </w:rPr>
              <w:t>128.1</w:t>
            </w:r>
          </w:p>
        </w:tc>
        <w:tc>
          <w:tcPr>
            <w:tcW w:w="912" w:type="dxa"/>
            <w:vAlign w:val="bottom"/>
          </w:tcPr>
          <w:p w:rsidR="003B0815" w:rsidRDefault="003B0815" w14:paraId="21D027E5" w14:textId="77777777">
            <w:pPr>
              <w:keepNext/>
              <w:jc w:val="right"/>
              <w:rPr>
                <w:rFonts w:ascii="Arial" w:hAnsi="Arial"/>
                <w:sz w:val="20"/>
              </w:rPr>
            </w:pPr>
            <w:r>
              <w:rPr>
                <w:rFonts w:ascii="Arial" w:hAnsi="Arial" w:cs="Arial"/>
                <w:sz w:val="20"/>
                <w:szCs w:val="20"/>
              </w:rPr>
              <w:t>$43.4</w:t>
            </w:r>
          </w:p>
        </w:tc>
        <w:tc>
          <w:tcPr>
            <w:tcW w:w="1048" w:type="dxa"/>
            <w:shd w:val="clear" w:color="auto" w:fill="CCCCCC"/>
            <w:vAlign w:val="bottom"/>
          </w:tcPr>
          <w:p w:rsidR="003B0815" w:rsidRDefault="003B0815" w14:paraId="49973FED" w14:textId="77777777">
            <w:pPr>
              <w:keepNext/>
              <w:jc w:val="right"/>
              <w:rPr>
                <w:rFonts w:ascii="Arial" w:hAnsi="Arial" w:cs="Arial"/>
                <w:sz w:val="20"/>
                <w:szCs w:val="20"/>
              </w:rPr>
            </w:pPr>
            <w:r>
              <w:rPr>
                <w:rFonts w:ascii="Arial" w:hAnsi="Arial" w:cs="Arial"/>
                <w:sz w:val="20"/>
                <w:szCs w:val="20"/>
              </w:rPr>
              <w:t>$146.4</w:t>
            </w:r>
          </w:p>
        </w:tc>
        <w:tc>
          <w:tcPr>
            <w:tcW w:w="1064" w:type="dxa"/>
            <w:shd w:val="clear" w:color="auto" w:fill="CCCCCC"/>
            <w:vAlign w:val="bottom"/>
          </w:tcPr>
          <w:p w:rsidR="003B0815" w:rsidRDefault="003B0815" w14:paraId="4A7C48BB" w14:textId="77777777">
            <w:pPr>
              <w:keepNext/>
              <w:jc w:val="right"/>
              <w:rPr>
                <w:rFonts w:ascii="Arial" w:hAnsi="Arial"/>
                <w:sz w:val="20"/>
              </w:rPr>
            </w:pPr>
            <w:r>
              <w:rPr>
                <w:rFonts w:ascii="Arial" w:hAnsi="Arial" w:cs="Arial"/>
                <w:sz w:val="20"/>
                <w:szCs w:val="20"/>
              </w:rPr>
              <w:t>$141.0</w:t>
            </w:r>
          </w:p>
        </w:tc>
        <w:tc>
          <w:tcPr>
            <w:tcW w:w="1096" w:type="dxa"/>
            <w:tcBorders>
              <w:right w:val="single" w:color="auto" w:sz="12" w:space="0"/>
            </w:tcBorders>
            <w:shd w:val="clear" w:color="auto" w:fill="CCCCCC"/>
            <w:vAlign w:val="bottom"/>
          </w:tcPr>
          <w:p w:rsidR="003B0815" w:rsidRDefault="003B0815" w14:paraId="1CFEFB69" w14:textId="77777777">
            <w:pPr>
              <w:keepNext/>
              <w:jc w:val="right"/>
              <w:rPr>
                <w:rFonts w:ascii="Arial" w:hAnsi="Arial"/>
                <w:b/>
                <w:sz w:val="20"/>
              </w:rPr>
            </w:pPr>
            <w:r>
              <w:rPr>
                <w:rFonts w:ascii="Arial" w:hAnsi="Arial" w:cs="Arial"/>
                <w:sz w:val="20"/>
                <w:szCs w:val="20"/>
              </w:rPr>
              <w:t>$171.5</w:t>
            </w:r>
          </w:p>
        </w:tc>
      </w:tr>
      <w:tr w:rsidR="003B0815" w14:paraId="342ACF31" w14:textId="77777777">
        <w:trPr>
          <w:jc w:val="center"/>
        </w:trPr>
        <w:tc>
          <w:tcPr>
            <w:tcW w:w="772" w:type="dxa"/>
            <w:tcBorders>
              <w:left w:val="single" w:color="auto" w:sz="12" w:space="0"/>
            </w:tcBorders>
          </w:tcPr>
          <w:p w:rsidR="003B0815" w:rsidRDefault="003B0815" w14:paraId="7A26955F" w14:textId="77777777">
            <w:pPr>
              <w:keepNext/>
              <w:jc w:val="center"/>
              <w:rPr>
                <w:rFonts w:ascii="Arial" w:hAnsi="Arial"/>
                <w:sz w:val="20"/>
              </w:rPr>
            </w:pPr>
            <w:r>
              <w:t>2014</w:t>
            </w:r>
          </w:p>
        </w:tc>
        <w:tc>
          <w:tcPr>
            <w:tcW w:w="976" w:type="dxa"/>
            <w:vAlign w:val="bottom"/>
          </w:tcPr>
          <w:p w:rsidR="003B0815" w:rsidRDefault="003B0815" w14:paraId="353D6103" w14:textId="77777777">
            <w:pPr>
              <w:keepNext/>
              <w:jc w:val="right"/>
              <w:rPr>
                <w:rFonts w:ascii="Arial" w:hAnsi="Arial" w:cs="Arial"/>
                <w:sz w:val="20"/>
                <w:szCs w:val="20"/>
              </w:rPr>
            </w:pPr>
            <w:r>
              <w:rPr>
                <w:rFonts w:ascii="Arial" w:hAnsi="Arial" w:cs="Arial"/>
                <w:sz w:val="20"/>
                <w:szCs w:val="20"/>
              </w:rPr>
              <w:t>103.5</w:t>
            </w:r>
          </w:p>
        </w:tc>
        <w:tc>
          <w:tcPr>
            <w:tcW w:w="1004" w:type="dxa"/>
            <w:vAlign w:val="bottom"/>
          </w:tcPr>
          <w:p w:rsidR="003B0815" w:rsidRDefault="003B0815" w14:paraId="0EBF818A" w14:textId="77777777">
            <w:pPr>
              <w:keepNext/>
              <w:jc w:val="right"/>
              <w:rPr>
                <w:rFonts w:ascii="Arial" w:hAnsi="Arial" w:cs="Arial"/>
                <w:sz w:val="20"/>
                <w:szCs w:val="20"/>
              </w:rPr>
            </w:pPr>
            <w:r>
              <w:rPr>
                <w:rFonts w:ascii="Arial" w:hAnsi="Arial" w:cs="Arial"/>
                <w:sz w:val="20"/>
                <w:szCs w:val="20"/>
              </w:rPr>
              <w:t>98.1</w:t>
            </w:r>
          </w:p>
        </w:tc>
        <w:tc>
          <w:tcPr>
            <w:tcW w:w="1080" w:type="dxa"/>
            <w:vAlign w:val="bottom"/>
          </w:tcPr>
          <w:p w:rsidR="003B0815" w:rsidRDefault="003B0815" w14:paraId="63D94F9E" w14:textId="77777777">
            <w:pPr>
              <w:keepNext/>
              <w:jc w:val="right"/>
              <w:rPr>
                <w:rFonts w:ascii="Arial" w:hAnsi="Arial" w:cs="Arial"/>
                <w:sz w:val="20"/>
                <w:szCs w:val="20"/>
              </w:rPr>
            </w:pPr>
            <w:r>
              <w:rPr>
                <w:rFonts w:ascii="Arial" w:hAnsi="Arial" w:cs="Arial"/>
                <w:sz w:val="20"/>
                <w:szCs w:val="20"/>
              </w:rPr>
              <w:t>129.4</w:t>
            </w:r>
          </w:p>
        </w:tc>
        <w:tc>
          <w:tcPr>
            <w:tcW w:w="912" w:type="dxa"/>
            <w:vAlign w:val="bottom"/>
          </w:tcPr>
          <w:p w:rsidR="003B0815" w:rsidRDefault="003B0815" w14:paraId="22D03AFD" w14:textId="77777777">
            <w:pPr>
              <w:keepNext/>
              <w:jc w:val="right"/>
              <w:rPr>
                <w:rFonts w:ascii="Arial" w:hAnsi="Arial"/>
                <w:sz w:val="20"/>
              </w:rPr>
            </w:pPr>
            <w:r>
              <w:rPr>
                <w:rFonts w:ascii="Arial" w:hAnsi="Arial" w:cs="Arial"/>
                <w:sz w:val="20"/>
                <w:szCs w:val="20"/>
              </w:rPr>
              <w:t>$44.3</w:t>
            </w:r>
          </w:p>
        </w:tc>
        <w:tc>
          <w:tcPr>
            <w:tcW w:w="1048" w:type="dxa"/>
            <w:shd w:val="clear" w:color="auto" w:fill="CCCCCC"/>
            <w:vAlign w:val="bottom"/>
          </w:tcPr>
          <w:p w:rsidR="003B0815" w:rsidRDefault="003B0815" w14:paraId="2973C68A" w14:textId="77777777">
            <w:pPr>
              <w:keepNext/>
              <w:jc w:val="right"/>
              <w:rPr>
                <w:rFonts w:ascii="Arial" w:hAnsi="Arial" w:cs="Arial"/>
                <w:sz w:val="20"/>
                <w:szCs w:val="20"/>
              </w:rPr>
            </w:pPr>
            <w:r>
              <w:rPr>
                <w:rFonts w:ascii="Arial" w:hAnsi="Arial" w:cs="Arial"/>
                <w:sz w:val="20"/>
                <w:szCs w:val="20"/>
              </w:rPr>
              <w:t>$147.8</w:t>
            </w:r>
          </w:p>
        </w:tc>
        <w:tc>
          <w:tcPr>
            <w:tcW w:w="1064" w:type="dxa"/>
            <w:shd w:val="clear" w:color="auto" w:fill="CCCCCC"/>
            <w:vAlign w:val="bottom"/>
          </w:tcPr>
          <w:p w:rsidR="003B0815" w:rsidRDefault="003B0815" w14:paraId="599472AC" w14:textId="77777777">
            <w:pPr>
              <w:keepNext/>
              <w:jc w:val="right"/>
              <w:rPr>
                <w:rFonts w:ascii="Arial" w:hAnsi="Arial"/>
                <w:sz w:val="20"/>
              </w:rPr>
            </w:pPr>
            <w:r>
              <w:rPr>
                <w:rFonts w:ascii="Arial" w:hAnsi="Arial" w:cs="Arial"/>
                <w:sz w:val="20"/>
                <w:szCs w:val="20"/>
              </w:rPr>
              <w:t>$142.4</w:t>
            </w:r>
          </w:p>
        </w:tc>
        <w:tc>
          <w:tcPr>
            <w:tcW w:w="1096" w:type="dxa"/>
            <w:tcBorders>
              <w:right w:val="single" w:color="auto" w:sz="12" w:space="0"/>
            </w:tcBorders>
            <w:shd w:val="clear" w:color="auto" w:fill="CCCCCC"/>
            <w:vAlign w:val="bottom"/>
          </w:tcPr>
          <w:p w:rsidR="003B0815" w:rsidRDefault="003B0815" w14:paraId="2F0028D2" w14:textId="77777777">
            <w:pPr>
              <w:keepNext/>
              <w:jc w:val="right"/>
              <w:rPr>
                <w:rFonts w:ascii="Arial" w:hAnsi="Arial"/>
                <w:b/>
                <w:sz w:val="20"/>
              </w:rPr>
            </w:pPr>
            <w:r>
              <w:rPr>
                <w:rFonts w:ascii="Arial" w:hAnsi="Arial" w:cs="Arial"/>
                <w:sz w:val="20"/>
                <w:szCs w:val="20"/>
              </w:rPr>
              <w:t>$173.7</w:t>
            </w:r>
          </w:p>
        </w:tc>
      </w:tr>
      <w:tr w:rsidR="003B0815" w14:paraId="7571C114" w14:textId="77777777">
        <w:trPr>
          <w:jc w:val="center"/>
        </w:trPr>
        <w:tc>
          <w:tcPr>
            <w:tcW w:w="772" w:type="dxa"/>
            <w:tcBorders>
              <w:left w:val="single" w:color="auto" w:sz="12" w:space="0"/>
            </w:tcBorders>
          </w:tcPr>
          <w:p w:rsidR="003B0815" w:rsidRDefault="003B0815" w14:paraId="695B488A" w14:textId="77777777">
            <w:pPr>
              <w:keepNext/>
              <w:jc w:val="center"/>
              <w:rPr>
                <w:rFonts w:ascii="Arial" w:hAnsi="Arial"/>
                <w:sz w:val="20"/>
              </w:rPr>
            </w:pPr>
            <w:r>
              <w:t>2015</w:t>
            </w:r>
          </w:p>
        </w:tc>
        <w:tc>
          <w:tcPr>
            <w:tcW w:w="976" w:type="dxa"/>
            <w:vAlign w:val="bottom"/>
          </w:tcPr>
          <w:p w:rsidR="003B0815" w:rsidRDefault="003B0815" w14:paraId="6DFAC9BF" w14:textId="77777777">
            <w:pPr>
              <w:keepNext/>
              <w:jc w:val="right"/>
              <w:rPr>
                <w:rFonts w:ascii="Arial" w:hAnsi="Arial" w:cs="Arial"/>
                <w:sz w:val="20"/>
                <w:szCs w:val="20"/>
              </w:rPr>
            </w:pPr>
            <w:r>
              <w:rPr>
                <w:rFonts w:ascii="Arial" w:hAnsi="Arial" w:cs="Arial"/>
                <w:sz w:val="20"/>
                <w:szCs w:val="20"/>
              </w:rPr>
              <w:t>105.2</w:t>
            </w:r>
          </w:p>
        </w:tc>
        <w:tc>
          <w:tcPr>
            <w:tcW w:w="1004" w:type="dxa"/>
            <w:vAlign w:val="bottom"/>
          </w:tcPr>
          <w:p w:rsidR="003B0815" w:rsidRDefault="003B0815" w14:paraId="491A88A4" w14:textId="77777777">
            <w:pPr>
              <w:keepNext/>
              <w:jc w:val="right"/>
              <w:rPr>
                <w:rFonts w:ascii="Arial" w:hAnsi="Arial" w:cs="Arial"/>
                <w:sz w:val="20"/>
                <w:szCs w:val="20"/>
              </w:rPr>
            </w:pPr>
            <w:r>
              <w:rPr>
                <w:rFonts w:ascii="Arial" w:hAnsi="Arial" w:cs="Arial"/>
                <w:sz w:val="20"/>
                <w:szCs w:val="20"/>
              </w:rPr>
              <w:t>99.8</w:t>
            </w:r>
          </w:p>
        </w:tc>
        <w:tc>
          <w:tcPr>
            <w:tcW w:w="1080" w:type="dxa"/>
            <w:vAlign w:val="bottom"/>
          </w:tcPr>
          <w:p w:rsidR="003B0815" w:rsidRDefault="003B0815" w14:paraId="19F8D6EB" w14:textId="77777777">
            <w:pPr>
              <w:keepNext/>
              <w:jc w:val="right"/>
              <w:rPr>
                <w:rFonts w:ascii="Arial" w:hAnsi="Arial" w:cs="Arial"/>
                <w:sz w:val="20"/>
                <w:szCs w:val="20"/>
              </w:rPr>
            </w:pPr>
            <w:r>
              <w:rPr>
                <w:rFonts w:ascii="Arial" w:hAnsi="Arial" w:cs="Arial"/>
                <w:sz w:val="20"/>
                <w:szCs w:val="20"/>
              </w:rPr>
              <w:t>132.0</w:t>
            </w:r>
          </w:p>
        </w:tc>
        <w:tc>
          <w:tcPr>
            <w:tcW w:w="912" w:type="dxa"/>
            <w:vAlign w:val="bottom"/>
          </w:tcPr>
          <w:p w:rsidR="003B0815" w:rsidRDefault="003B0815" w14:paraId="7A59B8F4" w14:textId="77777777">
            <w:pPr>
              <w:keepNext/>
              <w:jc w:val="right"/>
              <w:rPr>
                <w:rFonts w:ascii="Arial" w:hAnsi="Arial"/>
                <w:sz w:val="20"/>
              </w:rPr>
            </w:pPr>
            <w:r>
              <w:rPr>
                <w:rFonts w:ascii="Arial" w:hAnsi="Arial" w:cs="Arial"/>
                <w:sz w:val="20"/>
                <w:szCs w:val="20"/>
              </w:rPr>
              <w:t>$45.2</w:t>
            </w:r>
          </w:p>
        </w:tc>
        <w:tc>
          <w:tcPr>
            <w:tcW w:w="1048" w:type="dxa"/>
            <w:shd w:val="clear" w:color="auto" w:fill="CCCCCC"/>
            <w:vAlign w:val="bottom"/>
          </w:tcPr>
          <w:p w:rsidR="003B0815" w:rsidRDefault="003B0815" w14:paraId="5F1962B2" w14:textId="77777777">
            <w:pPr>
              <w:keepNext/>
              <w:jc w:val="right"/>
              <w:rPr>
                <w:rFonts w:ascii="Arial" w:hAnsi="Arial" w:cs="Arial"/>
                <w:sz w:val="20"/>
                <w:szCs w:val="20"/>
              </w:rPr>
            </w:pPr>
            <w:r>
              <w:rPr>
                <w:rFonts w:ascii="Arial" w:hAnsi="Arial" w:cs="Arial"/>
                <w:sz w:val="20"/>
                <w:szCs w:val="20"/>
              </w:rPr>
              <w:t>$150.4</w:t>
            </w:r>
          </w:p>
        </w:tc>
        <w:tc>
          <w:tcPr>
            <w:tcW w:w="1064" w:type="dxa"/>
            <w:shd w:val="clear" w:color="auto" w:fill="CCCCCC"/>
            <w:vAlign w:val="bottom"/>
          </w:tcPr>
          <w:p w:rsidR="003B0815" w:rsidRDefault="003B0815" w14:paraId="6BEC42D1" w14:textId="77777777">
            <w:pPr>
              <w:keepNext/>
              <w:jc w:val="right"/>
              <w:rPr>
                <w:rFonts w:ascii="Arial" w:hAnsi="Arial"/>
                <w:sz w:val="20"/>
              </w:rPr>
            </w:pPr>
            <w:r>
              <w:rPr>
                <w:rFonts w:ascii="Arial" w:hAnsi="Arial" w:cs="Arial"/>
                <w:sz w:val="20"/>
                <w:szCs w:val="20"/>
              </w:rPr>
              <w:t>$145.1</w:t>
            </w:r>
          </w:p>
        </w:tc>
        <w:tc>
          <w:tcPr>
            <w:tcW w:w="1096" w:type="dxa"/>
            <w:tcBorders>
              <w:right w:val="single" w:color="auto" w:sz="12" w:space="0"/>
            </w:tcBorders>
            <w:shd w:val="clear" w:color="auto" w:fill="CCCCCC"/>
            <w:vAlign w:val="bottom"/>
          </w:tcPr>
          <w:p w:rsidR="003B0815" w:rsidRDefault="003B0815" w14:paraId="61CC4B4D" w14:textId="77777777">
            <w:pPr>
              <w:keepNext/>
              <w:jc w:val="right"/>
              <w:rPr>
                <w:rFonts w:ascii="Arial" w:hAnsi="Arial"/>
                <w:b/>
                <w:sz w:val="20"/>
              </w:rPr>
            </w:pPr>
            <w:r>
              <w:rPr>
                <w:rFonts w:ascii="Arial" w:hAnsi="Arial" w:cs="Arial"/>
                <w:sz w:val="20"/>
                <w:szCs w:val="20"/>
              </w:rPr>
              <w:t>$177.2</w:t>
            </w:r>
          </w:p>
        </w:tc>
      </w:tr>
      <w:tr w:rsidR="003B0815" w14:paraId="4EFF5930" w14:textId="77777777">
        <w:trPr>
          <w:jc w:val="center"/>
        </w:trPr>
        <w:tc>
          <w:tcPr>
            <w:tcW w:w="772" w:type="dxa"/>
            <w:tcBorders>
              <w:left w:val="single" w:color="auto" w:sz="12" w:space="0"/>
            </w:tcBorders>
          </w:tcPr>
          <w:p w:rsidR="003B0815" w:rsidRDefault="003B0815" w14:paraId="280922FD" w14:textId="77777777">
            <w:pPr>
              <w:keepNext/>
              <w:jc w:val="center"/>
              <w:rPr>
                <w:rFonts w:ascii="Arial" w:hAnsi="Arial"/>
                <w:sz w:val="20"/>
              </w:rPr>
            </w:pPr>
            <w:r>
              <w:t>2016</w:t>
            </w:r>
          </w:p>
        </w:tc>
        <w:tc>
          <w:tcPr>
            <w:tcW w:w="976" w:type="dxa"/>
            <w:vAlign w:val="bottom"/>
          </w:tcPr>
          <w:p w:rsidR="003B0815" w:rsidRDefault="003B0815" w14:paraId="01900E2B" w14:textId="77777777">
            <w:pPr>
              <w:keepNext/>
              <w:jc w:val="right"/>
              <w:rPr>
                <w:rFonts w:ascii="Arial" w:hAnsi="Arial" w:cs="Arial"/>
                <w:sz w:val="20"/>
                <w:szCs w:val="20"/>
              </w:rPr>
            </w:pPr>
            <w:r>
              <w:rPr>
                <w:rFonts w:ascii="Arial" w:hAnsi="Arial" w:cs="Arial"/>
                <w:sz w:val="20"/>
                <w:szCs w:val="20"/>
              </w:rPr>
              <w:t>109.8</w:t>
            </w:r>
          </w:p>
        </w:tc>
        <w:tc>
          <w:tcPr>
            <w:tcW w:w="1004" w:type="dxa"/>
            <w:vAlign w:val="bottom"/>
          </w:tcPr>
          <w:p w:rsidR="003B0815" w:rsidRDefault="003B0815" w14:paraId="0E7C3B53" w14:textId="77777777">
            <w:pPr>
              <w:keepNext/>
              <w:jc w:val="right"/>
              <w:rPr>
                <w:rFonts w:ascii="Arial" w:hAnsi="Arial" w:cs="Arial"/>
                <w:sz w:val="20"/>
                <w:szCs w:val="20"/>
              </w:rPr>
            </w:pPr>
            <w:r>
              <w:rPr>
                <w:rFonts w:ascii="Arial" w:hAnsi="Arial" w:cs="Arial"/>
                <w:sz w:val="20"/>
                <w:szCs w:val="20"/>
              </w:rPr>
              <w:t>104.5</w:t>
            </w:r>
          </w:p>
        </w:tc>
        <w:tc>
          <w:tcPr>
            <w:tcW w:w="1080" w:type="dxa"/>
            <w:vAlign w:val="bottom"/>
          </w:tcPr>
          <w:p w:rsidR="003B0815" w:rsidRDefault="003B0815" w14:paraId="4EFC9F5E" w14:textId="77777777">
            <w:pPr>
              <w:keepNext/>
              <w:jc w:val="right"/>
              <w:rPr>
                <w:rFonts w:ascii="Arial" w:hAnsi="Arial" w:cs="Arial"/>
                <w:sz w:val="20"/>
                <w:szCs w:val="20"/>
              </w:rPr>
            </w:pPr>
            <w:r>
              <w:rPr>
                <w:rFonts w:ascii="Arial" w:hAnsi="Arial" w:cs="Arial"/>
                <w:sz w:val="20"/>
                <w:szCs w:val="20"/>
              </w:rPr>
              <w:t>137.6</w:t>
            </w:r>
          </w:p>
        </w:tc>
        <w:tc>
          <w:tcPr>
            <w:tcW w:w="912" w:type="dxa"/>
            <w:vAlign w:val="bottom"/>
          </w:tcPr>
          <w:p w:rsidR="003B0815" w:rsidRDefault="003B0815" w14:paraId="4C7AB1AD" w14:textId="77777777">
            <w:pPr>
              <w:keepNext/>
              <w:jc w:val="right"/>
              <w:rPr>
                <w:rFonts w:ascii="Arial" w:hAnsi="Arial"/>
                <w:sz w:val="20"/>
              </w:rPr>
            </w:pPr>
            <w:r>
              <w:rPr>
                <w:rFonts w:ascii="Arial" w:hAnsi="Arial" w:cs="Arial"/>
                <w:sz w:val="20"/>
                <w:szCs w:val="20"/>
              </w:rPr>
              <w:t>$46.2</w:t>
            </w:r>
          </w:p>
        </w:tc>
        <w:tc>
          <w:tcPr>
            <w:tcW w:w="1048" w:type="dxa"/>
            <w:shd w:val="clear" w:color="auto" w:fill="CCCCCC"/>
            <w:vAlign w:val="bottom"/>
          </w:tcPr>
          <w:p w:rsidR="003B0815" w:rsidRDefault="003B0815" w14:paraId="19FF17CF" w14:textId="77777777">
            <w:pPr>
              <w:keepNext/>
              <w:jc w:val="right"/>
              <w:rPr>
                <w:rFonts w:ascii="Arial" w:hAnsi="Arial" w:cs="Arial"/>
                <w:sz w:val="20"/>
                <w:szCs w:val="20"/>
              </w:rPr>
            </w:pPr>
            <w:r>
              <w:rPr>
                <w:rFonts w:ascii="Arial" w:hAnsi="Arial" w:cs="Arial"/>
                <w:sz w:val="20"/>
                <w:szCs w:val="20"/>
              </w:rPr>
              <w:t>$156.0</w:t>
            </w:r>
          </w:p>
        </w:tc>
        <w:tc>
          <w:tcPr>
            <w:tcW w:w="1064" w:type="dxa"/>
            <w:shd w:val="clear" w:color="auto" w:fill="CCCCCC"/>
            <w:vAlign w:val="bottom"/>
          </w:tcPr>
          <w:p w:rsidR="003B0815" w:rsidRDefault="003B0815" w14:paraId="6A41317F" w14:textId="77777777">
            <w:pPr>
              <w:keepNext/>
              <w:jc w:val="right"/>
              <w:rPr>
                <w:rFonts w:ascii="Arial" w:hAnsi="Arial"/>
                <w:sz w:val="20"/>
              </w:rPr>
            </w:pPr>
            <w:r>
              <w:rPr>
                <w:rFonts w:ascii="Arial" w:hAnsi="Arial" w:cs="Arial"/>
                <w:sz w:val="20"/>
                <w:szCs w:val="20"/>
              </w:rPr>
              <w:t>$150.7</w:t>
            </w:r>
          </w:p>
        </w:tc>
        <w:tc>
          <w:tcPr>
            <w:tcW w:w="1096" w:type="dxa"/>
            <w:tcBorders>
              <w:right w:val="single" w:color="auto" w:sz="12" w:space="0"/>
            </w:tcBorders>
            <w:shd w:val="clear" w:color="auto" w:fill="CCCCCC"/>
            <w:vAlign w:val="bottom"/>
          </w:tcPr>
          <w:p w:rsidR="003B0815" w:rsidRDefault="003B0815" w14:paraId="6214B20C" w14:textId="77777777">
            <w:pPr>
              <w:keepNext/>
              <w:jc w:val="right"/>
              <w:rPr>
                <w:rFonts w:ascii="Arial" w:hAnsi="Arial"/>
                <w:b/>
                <w:sz w:val="20"/>
              </w:rPr>
            </w:pPr>
            <w:r>
              <w:rPr>
                <w:rFonts w:ascii="Arial" w:hAnsi="Arial" w:cs="Arial"/>
                <w:sz w:val="20"/>
                <w:szCs w:val="20"/>
              </w:rPr>
              <w:t>$183.7</w:t>
            </w:r>
          </w:p>
        </w:tc>
      </w:tr>
      <w:tr w:rsidR="003B0815" w14:paraId="1ADF9EA1" w14:textId="77777777">
        <w:trPr>
          <w:jc w:val="center"/>
        </w:trPr>
        <w:tc>
          <w:tcPr>
            <w:tcW w:w="772" w:type="dxa"/>
            <w:tcBorders>
              <w:left w:val="single" w:color="auto" w:sz="12" w:space="0"/>
              <w:bottom w:val="single" w:color="auto" w:sz="4" w:space="0"/>
            </w:tcBorders>
          </w:tcPr>
          <w:p w:rsidR="003B0815" w:rsidRDefault="003B0815" w14:paraId="350D76AE" w14:textId="77777777">
            <w:pPr>
              <w:keepNext/>
              <w:jc w:val="center"/>
              <w:rPr>
                <w:rFonts w:ascii="Arial" w:hAnsi="Arial"/>
                <w:sz w:val="20"/>
              </w:rPr>
            </w:pPr>
            <w:r>
              <w:t>2017</w:t>
            </w:r>
          </w:p>
        </w:tc>
        <w:tc>
          <w:tcPr>
            <w:tcW w:w="976" w:type="dxa"/>
            <w:tcBorders>
              <w:bottom w:val="single" w:color="auto" w:sz="4" w:space="0"/>
            </w:tcBorders>
            <w:vAlign w:val="bottom"/>
          </w:tcPr>
          <w:p w:rsidR="003B0815" w:rsidRDefault="003B0815" w14:paraId="608ECECB" w14:textId="77777777">
            <w:pPr>
              <w:keepNext/>
              <w:jc w:val="right"/>
              <w:rPr>
                <w:rFonts w:ascii="Arial" w:hAnsi="Arial" w:cs="Arial"/>
                <w:sz w:val="20"/>
                <w:szCs w:val="20"/>
              </w:rPr>
            </w:pPr>
            <w:r>
              <w:rPr>
                <w:rFonts w:ascii="Arial" w:hAnsi="Arial" w:cs="Arial"/>
                <w:sz w:val="20"/>
                <w:szCs w:val="20"/>
              </w:rPr>
              <w:t>$115.9</w:t>
            </w:r>
          </w:p>
        </w:tc>
        <w:tc>
          <w:tcPr>
            <w:tcW w:w="1004" w:type="dxa"/>
            <w:tcBorders>
              <w:bottom w:val="single" w:color="auto" w:sz="4" w:space="0"/>
            </w:tcBorders>
            <w:vAlign w:val="bottom"/>
          </w:tcPr>
          <w:p w:rsidR="003B0815" w:rsidRDefault="003B0815" w14:paraId="61A03CED" w14:textId="77777777">
            <w:pPr>
              <w:keepNext/>
              <w:jc w:val="right"/>
              <w:rPr>
                <w:rFonts w:ascii="Arial" w:hAnsi="Arial" w:cs="Arial"/>
                <w:sz w:val="20"/>
                <w:szCs w:val="20"/>
              </w:rPr>
            </w:pPr>
            <w:r>
              <w:rPr>
                <w:rFonts w:ascii="Arial" w:hAnsi="Arial" w:cs="Arial"/>
                <w:sz w:val="20"/>
                <w:szCs w:val="20"/>
              </w:rPr>
              <w:t>$110.5</w:t>
            </w:r>
          </w:p>
        </w:tc>
        <w:tc>
          <w:tcPr>
            <w:tcW w:w="1080" w:type="dxa"/>
            <w:tcBorders>
              <w:bottom w:val="single" w:color="auto" w:sz="4" w:space="0"/>
            </w:tcBorders>
            <w:vAlign w:val="bottom"/>
          </w:tcPr>
          <w:p w:rsidR="003B0815" w:rsidRDefault="003B0815" w14:paraId="5B4E419D" w14:textId="77777777">
            <w:pPr>
              <w:keepNext/>
              <w:jc w:val="right"/>
              <w:rPr>
                <w:rFonts w:ascii="Arial" w:hAnsi="Arial" w:cs="Arial"/>
                <w:sz w:val="20"/>
                <w:szCs w:val="20"/>
              </w:rPr>
            </w:pPr>
            <w:r>
              <w:rPr>
                <w:rFonts w:ascii="Arial" w:hAnsi="Arial" w:cs="Arial"/>
                <w:sz w:val="20"/>
                <w:szCs w:val="20"/>
              </w:rPr>
              <w:t>$144.6</w:t>
            </w:r>
          </w:p>
        </w:tc>
        <w:tc>
          <w:tcPr>
            <w:tcW w:w="912" w:type="dxa"/>
            <w:tcBorders>
              <w:bottom w:val="single" w:color="auto" w:sz="4" w:space="0"/>
            </w:tcBorders>
            <w:vAlign w:val="bottom"/>
          </w:tcPr>
          <w:p w:rsidR="003B0815" w:rsidRDefault="003B0815" w14:paraId="643804FE" w14:textId="77777777">
            <w:pPr>
              <w:keepNext/>
              <w:jc w:val="right"/>
              <w:rPr>
                <w:rFonts w:ascii="Arial" w:hAnsi="Arial"/>
                <w:sz w:val="20"/>
              </w:rPr>
            </w:pPr>
            <w:r>
              <w:rPr>
                <w:rFonts w:ascii="Arial" w:hAnsi="Arial" w:cs="Arial"/>
                <w:sz w:val="20"/>
                <w:szCs w:val="20"/>
              </w:rPr>
              <w:t>$47.2</w:t>
            </w:r>
          </w:p>
        </w:tc>
        <w:tc>
          <w:tcPr>
            <w:tcW w:w="1048" w:type="dxa"/>
            <w:tcBorders>
              <w:bottom w:val="single" w:color="auto" w:sz="4" w:space="0"/>
            </w:tcBorders>
            <w:shd w:val="clear" w:color="auto" w:fill="CCCCCC"/>
            <w:vAlign w:val="bottom"/>
          </w:tcPr>
          <w:p w:rsidR="003B0815" w:rsidRDefault="003B0815" w14:paraId="54245FC3" w14:textId="77777777">
            <w:pPr>
              <w:keepNext/>
              <w:jc w:val="right"/>
              <w:rPr>
                <w:rFonts w:ascii="Arial" w:hAnsi="Arial" w:cs="Arial"/>
                <w:sz w:val="20"/>
                <w:szCs w:val="20"/>
              </w:rPr>
            </w:pPr>
            <w:r>
              <w:rPr>
                <w:rFonts w:ascii="Arial" w:hAnsi="Arial" w:cs="Arial"/>
                <w:sz w:val="20"/>
                <w:szCs w:val="20"/>
              </w:rPr>
              <w:t>$163.0</w:t>
            </w:r>
          </w:p>
        </w:tc>
        <w:tc>
          <w:tcPr>
            <w:tcW w:w="1064" w:type="dxa"/>
            <w:tcBorders>
              <w:bottom w:val="single" w:color="auto" w:sz="4" w:space="0"/>
            </w:tcBorders>
            <w:shd w:val="clear" w:color="auto" w:fill="CCCCCC"/>
            <w:vAlign w:val="bottom"/>
          </w:tcPr>
          <w:p w:rsidR="003B0815" w:rsidRDefault="003B0815" w14:paraId="127A8D5D" w14:textId="77777777">
            <w:pPr>
              <w:keepNext/>
              <w:jc w:val="right"/>
              <w:rPr>
                <w:rFonts w:ascii="Arial" w:hAnsi="Arial"/>
                <w:sz w:val="20"/>
              </w:rPr>
            </w:pPr>
            <w:r>
              <w:rPr>
                <w:rFonts w:ascii="Arial" w:hAnsi="Arial" w:cs="Arial"/>
                <w:sz w:val="20"/>
                <w:szCs w:val="20"/>
              </w:rPr>
              <w:t>$157.7</w:t>
            </w:r>
          </w:p>
        </w:tc>
        <w:tc>
          <w:tcPr>
            <w:tcW w:w="1096" w:type="dxa"/>
            <w:tcBorders>
              <w:bottom w:val="single" w:color="auto" w:sz="4" w:space="0"/>
              <w:right w:val="single" w:color="auto" w:sz="12" w:space="0"/>
            </w:tcBorders>
            <w:shd w:val="clear" w:color="auto" w:fill="CCCCCC"/>
            <w:vAlign w:val="bottom"/>
          </w:tcPr>
          <w:p w:rsidR="003B0815" w:rsidRDefault="003B0815" w14:paraId="028DF43E" w14:textId="77777777">
            <w:pPr>
              <w:keepNext/>
              <w:jc w:val="right"/>
              <w:rPr>
                <w:rFonts w:ascii="Arial" w:hAnsi="Arial"/>
                <w:b/>
                <w:sz w:val="20"/>
              </w:rPr>
            </w:pPr>
            <w:r>
              <w:rPr>
                <w:rFonts w:ascii="Arial" w:hAnsi="Arial" w:cs="Arial"/>
                <w:sz w:val="20"/>
                <w:szCs w:val="20"/>
              </w:rPr>
              <w:t>$191.7</w:t>
            </w:r>
          </w:p>
        </w:tc>
      </w:tr>
      <w:tr w:rsidR="003B0815" w14:paraId="41AF9C6B" w14:textId="77777777">
        <w:trPr>
          <w:jc w:val="center"/>
        </w:trPr>
        <w:tc>
          <w:tcPr>
            <w:tcW w:w="772" w:type="dxa"/>
            <w:tcBorders>
              <w:left w:val="single" w:color="auto" w:sz="12" w:space="0"/>
              <w:bottom w:val="single" w:color="auto" w:sz="12" w:space="0"/>
              <w:right w:val="nil"/>
            </w:tcBorders>
            <w:vAlign w:val="bottom"/>
          </w:tcPr>
          <w:p w:rsidR="003B0815" w:rsidRDefault="003B0815" w14:paraId="0FD5517F" w14:textId="77777777">
            <w:pPr>
              <w:keepNext/>
              <w:jc w:val="center"/>
              <w:rPr>
                <w:rFonts w:ascii="Arial" w:hAnsi="Arial"/>
                <w:b/>
                <w:sz w:val="20"/>
              </w:rPr>
            </w:pPr>
            <w:r>
              <w:rPr>
                <w:rFonts w:ascii="Arial" w:hAnsi="Arial"/>
                <w:b/>
                <w:sz w:val="20"/>
              </w:rPr>
              <w:t>Total</w:t>
            </w:r>
          </w:p>
        </w:tc>
        <w:tc>
          <w:tcPr>
            <w:tcW w:w="976" w:type="dxa"/>
            <w:tcBorders>
              <w:left w:val="nil"/>
              <w:bottom w:val="single" w:color="auto" w:sz="12" w:space="0"/>
              <w:right w:val="nil"/>
            </w:tcBorders>
            <w:vAlign w:val="bottom"/>
          </w:tcPr>
          <w:p w:rsidR="003B0815" w:rsidRDefault="003B0815" w14:paraId="05A438CD" w14:textId="77777777">
            <w:pPr>
              <w:keepNext/>
              <w:jc w:val="right"/>
              <w:rPr>
                <w:rFonts w:ascii="Arial" w:hAnsi="Arial" w:cs="Arial"/>
                <w:b/>
                <w:sz w:val="20"/>
                <w:szCs w:val="20"/>
              </w:rPr>
            </w:pPr>
            <w:r>
              <w:rPr>
                <w:rFonts w:ascii="Arial" w:hAnsi="Arial" w:cs="Arial"/>
                <w:sz w:val="20"/>
                <w:szCs w:val="20"/>
              </w:rPr>
              <w:t>$997.3</w:t>
            </w:r>
          </w:p>
        </w:tc>
        <w:tc>
          <w:tcPr>
            <w:tcW w:w="1004" w:type="dxa"/>
            <w:tcBorders>
              <w:left w:val="nil"/>
              <w:bottom w:val="single" w:color="auto" w:sz="12" w:space="0"/>
              <w:right w:val="nil"/>
            </w:tcBorders>
            <w:vAlign w:val="bottom"/>
          </w:tcPr>
          <w:p w:rsidR="003B0815" w:rsidRDefault="003B0815" w14:paraId="0823C4C7" w14:textId="77777777">
            <w:pPr>
              <w:keepNext/>
              <w:jc w:val="right"/>
              <w:rPr>
                <w:rFonts w:ascii="Arial" w:hAnsi="Arial" w:cs="Arial"/>
                <w:b/>
                <w:sz w:val="20"/>
                <w:szCs w:val="20"/>
              </w:rPr>
            </w:pPr>
            <w:r>
              <w:rPr>
                <w:rFonts w:ascii="Arial" w:hAnsi="Arial" w:cs="Arial"/>
                <w:sz w:val="20"/>
                <w:szCs w:val="20"/>
              </w:rPr>
              <w:t>$940.3</w:t>
            </w:r>
          </w:p>
        </w:tc>
        <w:tc>
          <w:tcPr>
            <w:tcW w:w="1080" w:type="dxa"/>
            <w:tcBorders>
              <w:left w:val="nil"/>
              <w:bottom w:val="single" w:color="auto" w:sz="12" w:space="0"/>
              <w:right w:val="nil"/>
            </w:tcBorders>
            <w:vAlign w:val="bottom"/>
          </w:tcPr>
          <w:p w:rsidR="003B0815" w:rsidRDefault="003B0815" w14:paraId="5F40B186" w14:textId="77777777">
            <w:pPr>
              <w:keepNext/>
              <w:jc w:val="right"/>
              <w:rPr>
                <w:rFonts w:ascii="Arial" w:hAnsi="Arial" w:cs="Arial"/>
                <w:b/>
                <w:sz w:val="20"/>
                <w:szCs w:val="20"/>
              </w:rPr>
            </w:pPr>
            <w:r>
              <w:rPr>
                <w:rFonts w:ascii="Arial" w:hAnsi="Arial" w:cs="Arial"/>
                <w:sz w:val="20"/>
                <w:szCs w:val="20"/>
              </w:rPr>
              <w:t>$1,245.1</w:t>
            </w:r>
          </w:p>
        </w:tc>
        <w:tc>
          <w:tcPr>
            <w:tcW w:w="912" w:type="dxa"/>
            <w:tcBorders>
              <w:left w:val="nil"/>
              <w:bottom w:val="single" w:color="auto" w:sz="12" w:space="0"/>
              <w:right w:val="nil"/>
            </w:tcBorders>
            <w:vAlign w:val="bottom"/>
          </w:tcPr>
          <w:p w:rsidR="003B0815" w:rsidRDefault="003B0815" w14:paraId="4FE75A77" w14:textId="77777777">
            <w:pPr>
              <w:keepNext/>
              <w:jc w:val="right"/>
              <w:rPr>
                <w:rFonts w:ascii="Arial" w:hAnsi="Arial"/>
                <w:b/>
                <w:sz w:val="20"/>
              </w:rPr>
            </w:pPr>
            <w:r>
              <w:rPr>
                <w:rFonts w:ascii="Arial" w:hAnsi="Arial" w:cs="Arial"/>
                <w:sz w:val="20"/>
                <w:szCs w:val="20"/>
              </w:rPr>
              <w:t>$430.2</w:t>
            </w:r>
          </w:p>
        </w:tc>
        <w:tc>
          <w:tcPr>
            <w:tcW w:w="1048" w:type="dxa"/>
            <w:tcBorders>
              <w:left w:val="nil"/>
              <w:bottom w:val="single" w:color="auto" w:sz="12" w:space="0"/>
              <w:right w:val="nil"/>
            </w:tcBorders>
            <w:vAlign w:val="bottom"/>
          </w:tcPr>
          <w:p w:rsidR="003B0815" w:rsidRDefault="003B0815" w14:paraId="79865993" w14:textId="77777777">
            <w:pPr>
              <w:keepNext/>
              <w:jc w:val="right"/>
              <w:rPr>
                <w:rFonts w:ascii="Arial" w:hAnsi="Arial" w:cs="Arial"/>
                <w:b/>
                <w:sz w:val="20"/>
                <w:szCs w:val="20"/>
              </w:rPr>
            </w:pPr>
            <w:r>
              <w:rPr>
                <w:rFonts w:ascii="Arial" w:hAnsi="Arial" w:cs="Arial"/>
                <w:b/>
                <w:bCs/>
                <w:sz w:val="20"/>
                <w:szCs w:val="20"/>
              </w:rPr>
              <w:t>$1,427.5</w:t>
            </w:r>
          </w:p>
        </w:tc>
        <w:tc>
          <w:tcPr>
            <w:tcW w:w="1064" w:type="dxa"/>
            <w:tcBorders>
              <w:left w:val="nil"/>
              <w:bottom w:val="single" w:color="auto" w:sz="12" w:space="0"/>
              <w:right w:val="nil"/>
            </w:tcBorders>
            <w:vAlign w:val="bottom"/>
          </w:tcPr>
          <w:p w:rsidR="003B0815" w:rsidRDefault="003B0815" w14:paraId="32274E25" w14:textId="77777777">
            <w:pPr>
              <w:keepNext/>
              <w:jc w:val="right"/>
              <w:rPr>
                <w:rFonts w:ascii="Arial" w:hAnsi="Arial"/>
                <w:b/>
                <w:sz w:val="20"/>
              </w:rPr>
            </w:pPr>
            <w:r>
              <w:rPr>
                <w:rFonts w:ascii="Arial" w:hAnsi="Arial" w:cs="Arial"/>
                <w:b/>
                <w:bCs/>
                <w:sz w:val="20"/>
                <w:szCs w:val="20"/>
              </w:rPr>
              <w:t>$1,370.5</w:t>
            </w:r>
          </w:p>
        </w:tc>
        <w:tc>
          <w:tcPr>
            <w:tcW w:w="1096" w:type="dxa"/>
            <w:tcBorders>
              <w:left w:val="nil"/>
              <w:bottom w:val="single" w:color="auto" w:sz="12" w:space="0"/>
              <w:right w:val="single" w:color="auto" w:sz="12" w:space="0"/>
            </w:tcBorders>
            <w:vAlign w:val="bottom"/>
          </w:tcPr>
          <w:p w:rsidR="003B0815" w:rsidRDefault="003B0815" w14:paraId="28EDB118" w14:textId="77777777">
            <w:pPr>
              <w:jc w:val="right"/>
              <w:rPr>
                <w:rFonts w:ascii="Arial" w:hAnsi="Arial" w:cs="Arial"/>
                <w:b/>
                <w:bCs/>
                <w:sz w:val="20"/>
                <w:szCs w:val="20"/>
              </w:rPr>
            </w:pPr>
            <w:r>
              <w:rPr>
                <w:rFonts w:ascii="Arial" w:hAnsi="Arial" w:cs="Arial"/>
                <w:b/>
                <w:bCs/>
                <w:sz w:val="20"/>
                <w:szCs w:val="20"/>
              </w:rPr>
              <w:t>$1,675.4</w:t>
            </w:r>
          </w:p>
        </w:tc>
      </w:tr>
    </w:tbl>
    <w:p w:rsidR="003B0815" w:rsidRDefault="003B0815" w14:paraId="09107F47" w14:textId="77777777">
      <w:pPr>
        <w:spacing w:line="360" w:lineRule="auto"/>
        <w:ind w:firstLine="720"/>
      </w:pPr>
    </w:p>
    <w:p w:rsidR="003B0815" w:rsidRDefault="003B0815" w14:paraId="58EF886E" w14:textId="77777777">
      <w:pPr>
        <w:pStyle w:val="RegEvalSectionSubheader"/>
        <w:keepNext/>
        <w:spacing w:line="360" w:lineRule="auto"/>
      </w:pPr>
      <w:bookmarkStart w:name="_Toc141001093" w:id="370"/>
      <w:bookmarkStart w:name="_Toc141000922" w:id="371"/>
      <w:bookmarkStart w:name="_Toc165278448" w:id="372"/>
      <w:bookmarkStart w:name="_Toc202683398" w:id="373"/>
      <w:r>
        <w:t xml:space="preserve">1.6.6 </w:t>
      </w:r>
      <w:smartTag w:uri="urn:schemas-microsoft-com:office:smarttags" w:element="place">
        <w:r>
          <w:t>Opportunity</w:t>
        </w:r>
      </w:smartTag>
      <w:r>
        <w:t xml:space="preserve"> Costs to Travelers</w:t>
      </w:r>
      <w:bookmarkEnd w:id="325"/>
      <w:bookmarkEnd w:id="326"/>
      <w:bookmarkEnd w:id="370"/>
      <w:bookmarkEnd w:id="371"/>
      <w:bookmarkEnd w:id="372"/>
      <w:bookmarkEnd w:id="373"/>
    </w:p>
    <w:p w:rsidR="003B0815" w:rsidRDefault="003B0815" w14:paraId="7851C24B" w14:textId="77777777">
      <w:pPr>
        <w:spacing w:line="360" w:lineRule="auto"/>
        <w:ind w:firstLine="720"/>
      </w:pPr>
      <w:r>
        <w:t>This regulation imposes opportunity costs on all air passengers in the form of additional time required when making reservations.  Further, as now, some passengers will experience delays because the information they provide when making a reservation will be insufficient for Secure Flight to clearly distinguish them from a name on a watch list.  Some individuals will participate in a redress process when they believed they have been incorrectly delayed or denied boarding as a result of the watch list matching process.  Where sufficient data was available, TSA attempted to quantify these additional opportunity costs.</w:t>
      </w:r>
    </w:p>
    <w:p w:rsidR="003B0815" w:rsidRDefault="003B0815" w14:paraId="7397AB62" w14:textId="77777777">
      <w:pPr>
        <w:spacing w:line="360" w:lineRule="auto"/>
        <w:ind w:firstLine="720"/>
      </w:pPr>
      <w:r>
        <w:t>TSA anticipated that all flying passengers will experience an increase in the time needed to make their reservations due to the requirement that airlines request new information from passengers.  As discussed in Section 1.4.2, TSA assumed in its primary scenario that travelers making reservations online incur an opportunity cost of 10 seconds, while travelers making telephone or in-person reservations incur an opportunity cost of 20 seconds to provide the additional information airlines and travel agents will be required to collect.  These costs are presented in Table 1.6.6.a.  TSA did not anticipate the privacy notice impact on travelers making reservations because reservation providers can incorporate the notice into existing privacy notice pages.</w:t>
      </w:r>
    </w:p>
    <w:p w:rsidR="003B0815" w:rsidRDefault="003B0815" w14:paraId="1C96BD6C" w14:textId="77777777">
      <w:pPr>
        <w:spacing w:line="360" w:lineRule="auto"/>
        <w:ind w:firstLine="720"/>
      </w:pPr>
      <w:r>
        <w:t xml:space="preserve">For this analysis, passengers have been divided into two categories: domestic and international. TSA was unable to determine the nationality of travelers and their geographic location at the moment they make their reservation. Consequently, some portion of the estimate occurs outside of the </w:t>
      </w:r>
      <w:smartTag w:uri="urn:schemas-microsoft-com:office:smarttags" w:element="country-region">
        <w:smartTag w:uri="urn:schemas-microsoft-com:office:smarttags" w:element="place">
          <w:r>
            <w:t>U.S.</w:t>
          </w:r>
        </w:smartTag>
      </w:smartTag>
      <w:r>
        <w:t xml:space="preserve"> economy.</w:t>
      </w:r>
    </w:p>
    <w:p w:rsidR="003B0815" w:rsidRDefault="003B0815" w14:paraId="5DEDA496" w14:textId="77777777">
      <w:pPr>
        <w:keepNext/>
        <w:spacing w:line="360" w:lineRule="auto"/>
      </w:pPr>
      <w:r>
        <w:rPr>
          <w:b/>
        </w:rPr>
        <w:t>Domestic Passengers</w:t>
      </w:r>
    </w:p>
    <w:p w:rsidR="003B0815" w:rsidRDefault="003B0815" w14:paraId="00CFEBDB" w14:textId="77777777">
      <w:pPr>
        <w:spacing w:line="360" w:lineRule="auto"/>
        <w:ind w:firstLine="720"/>
      </w:pPr>
      <w:r>
        <w:t>A 2000 Department of Transportation memorandum “Revised Departmental Guidance: Valuation of Travel Time in Economic Analysis” recommends an average hourly cost of $28.60 for evaluating opportunity costs to air travelers.  TSA adopted this estimate for the purposes of this evaluation (column A).  Columns B through D calculate the estimated opportunity cost to passengers booking reservations through an airline call center or travel agency.  Column B sums the projected 2008 reservations for airline call centers and traditional travel agents from Table 1.4.2.b (58,100,000 + 139,500,000), presenting the total annual reservations placed through a reservation agent.  Column C converts the additional 25 seconds per reservation into hours (20 seconds/reservation ÷ 3600 seconds/hour ≈ 0.007 hours/reservation).  Multiplying the number of reservations by the hourly value of passenger time and incremental hours per reservation, Column D presents the estimated opportunity costs for passengers booking air travel through a reservation agent.</w:t>
      </w:r>
    </w:p>
    <w:p w:rsidR="003B0815" w:rsidRDefault="003B0815" w14:paraId="4397F079" w14:textId="77777777">
      <w:pPr>
        <w:spacing w:line="360" w:lineRule="auto"/>
        <w:ind w:firstLine="720"/>
      </w:pPr>
      <w:r>
        <w:t>Columns E through G repeat the process for passengers making reservations via the Internet.  As above, the incremental 10 seconds have been converted to hours (10 seconds/reservation ÷ 3600 seconds/hour ≈ 0.003 hours/reservation).  Adding the subtotals in Columns D and G, TSA calculated a first-year opportunity cost to passengers of $55.9 million in the primary scenario, and a total ten-year opportunity cost to passengers of $645.6 million.</w:t>
      </w:r>
    </w:p>
    <w:tbl>
      <w:tblP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31"/>
        <w:gridCol w:w="828"/>
        <w:gridCol w:w="1008"/>
        <w:gridCol w:w="1080"/>
        <w:gridCol w:w="1260"/>
        <w:gridCol w:w="1080"/>
        <w:gridCol w:w="1080"/>
        <w:gridCol w:w="1260"/>
        <w:gridCol w:w="1260"/>
      </w:tblGrid>
      <w:tr w:rsidR="003B0815" w14:paraId="5CD0F241" w14:textId="77777777">
        <w:trPr>
          <w:jc w:val="center"/>
        </w:trPr>
        <w:tc>
          <w:tcPr>
            <w:tcW w:w="9587" w:type="dxa"/>
            <w:gridSpan w:val="9"/>
            <w:tcBorders>
              <w:top w:val="nil"/>
              <w:left w:val="nil"/>
              <w:bottom w:val="single" w:color="auto" w:sz="12" w:space="0"/>
              <w:right w:val="nil"/>
            </w:tcBorders>
          </w:tcPr>
          <w:p w:rsidR="003B0815" w:rsidRDefault="003B0815" w14:paraId="36F1297A" w14:textId="77777777">
            <w:pPr>
              <w:pStyle w:val="RegEvalTableHeader"/>
              <w:keepNext/>
            </w:pPr>
            <w:bookmarkStart w:name="_Toc139943620" w:id="374"/>
            <w:bookmarkStart w:name="_Toc141001130" w:id="375"/>
            <w:bookmarkStart w:name="_Toc141000964" w:id="376"/>
            <w:bookmarkStart w:name="_Toc165278403" w:id="377"/>
            <w:bookmarkStart w:name="_Toc174438405" w:id="378"/>
            <w:bookmarkStart w:name="_Toc207109542" w:id="379"/>
            <w:r>
              <w:t xml:space="preserve">Table 1.6.6.a Domestic Passenger Reservation </w:t>
            </w:r>
            <w:smartTag w:uri="urn:schemas-microsoft-com:office:smarttags" w:element="place">
              <w:r>
                <w:t>Opportunity</w:t>
              </w:r>
            </w:smartTag>
            <w:r>
              <w:t xml:space="preserve"> Costs (Primary Scenario)</w:t>
            </w:r>
            <w:bookmarkEnd w:id="374"/>
            <w:bookmarkEnd w:id="375"/>
            <w:bookmarkEnd w:id="376"/>
            <w:bookmarkEnd w:id="377"/>
            <w:bookmarkEnd w:id="378"/>
            <w:bookmarkEnd w:id="379"/>
          </w:p>
        </w:tc>
      </w:tr>
      <w:tr w:rsidR="003B0815" w14:paraId="29A1E518" w14:textId="77777777">
        <w:trPr>
          <w:jc w:val="center"/>
        </w:trPr>
        <w:tc>
          <w:tcPr>
            <w:tcW w:w="731" w:type="dxa"/>
            <w:tcBorders>
              <w:top w:val="single" w:color="auto" w:sz="12" w:space="0"/>
              <w:left w:val="single" w:color="auto" w:sz="12" w:space="0"/>
            </w:tcBorders>
            <w:vAlign w:val="center"/>
          </w:tcPr>
          <w:p w:rsidR="003B0815" w:rsidRDefault="003B0815" w14:paraId="56EA85A6" w14:textId="77777777">
            <w:pPr>
              <w:keepNext/>
              <w:jc w:val="center"/>
              <w:rPr>
                <w:rFonts w:ascii="Arial" w:hAnsi="Arial"/>
                <w:sz w:val="20"/>
                <w:szCs w:val="20"/>
              </w:rPr>
            </w:pPr>
            <w:r>
              <w:rPr>
                <w:rFonts w:ascii="Arial" w:hAnsi="Arial" w:cs="Arial"/>
                <w:b/>
                <w:bCs/>
                <w:sz w:val="20"/>
                <w:szCs w:val="20"/>
              </w:rPr>
              <w:t>Fiscal Year</w:t>
            </w:r>
          </w:p>
        </w:tc>
        <w:tc>
          <w:tcPr>
            <w:tcW w:w="828" w:type="dxa"/>
            <w:tcBorders>
              <w:top w:val="single" w:color="auto" w:sz="12" w:space="0"/>
            </w:tcBorders>
            <w:vAlign w:val="center"/>
          </w:tcPr>
          <w:p w:rsidR="003B0815" w:rsidRDefault="003B0815" w14:paraId="7E160991" w14:textId="77777777">
            <w:pPr>
              <w:keepNext/>
              <w:jc w:val="center"/>
              <w:rPr>
                <w:rFonts w:ascii="Arial" w:hAnsi="Arial"/>
                <w:sz w:val="20"/>
                <w:szCs w:val="20"/>
              </w:rPr>
            </w:pPr>
            <w:r>
              <w:rPr>
                <w:rFonts w:ascii="Arial" w:hAnsi="Arial" w:cs="Arial"/>
                <w:b/>
                <w:bCs/>
                <w:sz w:val="20"/>
                <w:szCs w:val="20"/>
              </w:rPr>
              <w:t>Hourly Value of Pass. Time</w:t>
            </w:r>
          </w:p>
        </w:tc>
        <w:tc>
          <w:tcPr>
            <w:tcW w:w="1008" w:type="dxa"/>
            <w:tcBorders>
              <w:top w:val="single" w:color="auto" w:sz="12" w:space="0"/>
            </w:tcBorders>
            <w:vAlign w:val="center"/>
          </w:tcPr>
          <w:p w:rsidR="003B0815" w:rsidRDefault="003B0815" w14:paraId="2E79FED5" w14:textId="77777777">
            <w:pPr>
              <w:keepNext/>
              <w:jc w:val="center"/>
              <w:rPr>
                <w:rFonts w:ascii="Arial" w:hAnsi="Arial"/>
                <w:sz w:val="20"/>
                <w:szCs w:val="20"/>
              </w:rPr>
            </w:pPr>
            <w:r>
              <w:rPr>
                <w:rFonts w:ascii="Arial" w:hAnsi="Arial" w:cs="Arial"/>
                <w:b/>
                <w:bCs/>
                <w:sz w:val="20"/>
                <w:szCs w:val="20"/>
              </w:rPr>
              <w:t>Number of Offline Bookings (millions)</w:t>
            </w:r>
          </w:p>
        </w:tc>
        <w:tc>
          <w:tcPr>
            <w:tcW w:w="1080" w:type="dxa"/>
            <w:tcBorders>
              <w:top w:val="single" w:color="auto" w:sz="12" w:space="0"/>
            </w:tcBorders>
            <w:vAlign w:val="center"/>
          </w:tcPr>
          <w:p w:rsidR="003B0815" w:rsidRDefault="003B0815" w14:paraId="1931EE4C"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2B8FA6F0" w14:textId="77777777">
            <w:pPr>
              <w:keepNext/>
              <w:jc w:val="center"/>
              <w:rPr>
                <w:rFonts w:ascii="Arial" w:hAnsi="Arial"/>
                <w:sz w:val="20"/>
                <w:szCs w:val="20"/>
              </w:rPr>
            </w:pPr>
            <w:r>
              <w:rPr>
                <w:rFonts w:ascii="Arial" w:hAnsi="Arial" w:cs="Arial"/>
                <w:b/>
                <w:bCs/>
                <w:sz w:val="20"/>
                <w:szCs w:val="20"/>
              </w:rPr>
              <w:t xml:space="preserve">Subtotal Offline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080" w:type="dxa"/>
            <w:tcBorders>
              <w:top w:val="single" w:color="auto" w:sz="12" w:space="0"/>
              <w:left w:val="double" w:color="auto" w:sz="4" w:space="0"/>
            </w:tcBorders>
            <w:vAlign w:val="center"/>
          </w:tcPr>
          <w:p w:rsidR="003B0815" w:rsidRDefault="003B0815" w14:paraId="41040A0C" w14:textId="77777777">
            <w:pPr>
              <w:keepNext/>
              <w:jc w:val="center"/>
              <w:rPr>
                <w:rFonts w:ascii="Arial" w:hAnsi="Arial" w:cs="Arial"/>
                <w:b/>
                <w:bCs/>
                <w:sz w:val="20"/>
                <w:szCs w:val="20"/>
              </w:rPr>
            </w:pPr>
            <w:r>
              <w:rPr>
                <w:rFonts w:ascii="Arial" w:hAnsi="Arial" w:cs="Arial"/>
                <w:b/>
                <w:bCs/>
                <w:sz w:val="20"/>
                <w:szCs w:val="20"/>
              </w:rPr>
              <w:t>Number of Internet Bookings (millions)</w:t>
            </w:r>
          </w:p>
        </w:tc>
        <w:tc>
          <w:tcPr>
            <w:tcW w:w="1080" w:type="dxa"/>
            <w:tcBorders>
              <w:top w:val="single" w:color="auto" w:sz="12" w:space="0"/>
            </w:tcBorders>
            <w:vAlign w:val="center"/>
          </w:tcPr>
          <w:p w:rsidR="003B0815" w:rsidRDefault="003B0815" w14:paraId="5302456D"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192E42FD" w14:textId="77777777">
            <w:pPr>
              <w:keepNext/>
              <w:jc w:val="center"/>
              <w:rPr>
                <w:rFonts w:ascii="Arial" w:hAnsi="Arial"/>
                <w:sz w:val="20"/>
                <w:szCs w:val="20"/>
              </w:rPr>
            </w:pPr>
            <w:r>
              <w:rPr>
                <w:rFonts w:ascii="Arial" w:hAnsi="Arial" w:cs="Arial"/>
                <w:b/>
                <w:bCs/>
                <w:sz w:val="20"/>
                <w:szCs w:val="20"/>
              </w:rPr>
              <w:t xml:space="preserve">Subtotal Internet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260" w:type="dxa"/>
            <w:tcBorders>
              <w:top w:val="single" w:color="auto" w:sz="12" w:space="0"/>
              <w:left w:val="double" w:color="auto" w:sz="4" w:space="0"/>
              <w:right w:val="single" w:color="auto" w:sz="12" w:space="0"/>
            </w:tcBorders>
            <w:vAlign w:val="center"/>
          </w:tcPr>
          <w:p w:rsidR="003B0815" w:rsidRDefault="003B0815" w14:paraId="1ECC95F7" w14:textId="77777777">
            <w:pPr>
              <w:keepNext/>
              <w:jc w:val="center"/>
              <w:rPr>
                <w:rFonts w:ascii="Arial" w:hAnsi="Arial"/>
                <w:sz w:val="20"/>
                <w:szCs w:val="20"/>
              </w:rPr>
            </w:pPr>
            <w:r>
              <w:rPr>
                <w:rFonts w:ascii="Arial" w:hAnsi="Arial" w:cs="Arial"/>
                <w:b/>
                <w:bCs/>
                <w:sz w:val="20"/>
                <w:szCs w:val="20"/>
              </w:rPr>
              <w:t xml:space="preserve">Total Booking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(millions)</w:t>
            </w:r>
          </w:p>
        </w:tc>
      </w:tr>
      <w:tr w:rsidR="003B0815" w14:paraId="3F806503" w14:textId="77777777">
        <w:trPr>
          <w:jc w:val="center"/>
        </w:trPr>
        <w:tc>
          <w:tcPr>
            <w:tcW w:w="731" w:type="dxa"/>
            <w:tcBorders>
              <w:left w:val="single" w:color="auto" w:sz="12" w:space="0"/>
            </w:tcBorders>
            <w:vAlign w:val="center"/>
          </w:tcPr>
          <w:p w:rsidR="003B0815" w:rsidRDefault="003B0815" w14:paraId="42DEA4AF" w14:textId="77777777">
            <w:pPr>
              <w:keepNext/>
              <w:jc w:val="center"/>
              <w:rPr>
                <w:rFonts w:ascii="Arial" w:hAnsi="Arial"/>
                <w:sz w:val="20"/>
                <w:szCs w:val="20"/>
              </w:rPr>
            </w:pPr>
          </w:p>
        </w:tc>
        <w:tc>
          <w:tcPr>
            <w:tcW w:w="828" w:type="dxa"/>
            <w:vAlign w:val="center"/>
          </w:tcPr>
          <w:p w:rsidR="003B0815" w:rsidRDefault="003B0815" w14:paraId="726094AE" w14:textId="77777777">
            <w:pPr>
              <w:keepNext/>
              <w:jc w:val="center"/>
              <w:rPr>
                <w:rFonts w:ascii="Arial" w:hAnsi="Arial"/>
                <w:sz w:val="20"/>
                <w:szCs w:val="20"/>
              </w:rPr>
            </w:pPr>
            <w:r>
              <w:rPr>
                <w:rFonts w:ascii="Arial" w:hAnsi="Arial" w:cs="Arial"/>
                <w:b/>
                <w:bCs/>
                <w:sz w:val="20"/>
                <w:szCs w:val="20"/>
              </w:rPr>
              <w:t>(A)</w:t>
            </w:r>
          </w:p>
        </w:tc>
        <w:tc>
          <w:tcPr>
            <w:tcW w:w="1008" w:type="dxa"/>
            <w:vAlign w:val="center"/>
          </w:tcPr>
          <w:p w:rsidR="003B0815" w:rsidRDefault="003B0815" w14:paraId="7E34BF82"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48A3D86F" w14:textId="77777777">
            <w:pPr>
              <w:keepNext/>
              <w:jc w:val="center"/>
              <w:rPr>
                <w:rFonts w:ascii="Arial" w:hAnsi="Arial"/>
                <w:sz w:val="20"/>
                <w:szCs w:val="20"/>
              </w:rPr>
            </w:pPr>
            <w:r>
              <w:rPr>
                <w:rFonts w:ascii="Arial" w:hAnsi="Arial" w:cs="Arial"/>
                <w:b/>
                <w:bCs/>
                <w:sz w:val="20"/>
                <w:szCs w:val="20"/>
              </w:rPr>
              <w:t>(C)</w:t>
            </w:r>
          </w:p>
        </w:tc>
        <w:tc>
          <w:tcPr>
            <w:tcW w:w="1260" w:type="dxa"/>
            <w:tcBorders>
              <w:bottom w:val="single" w:color="auto" w:sz="4" w:space="0"/>
              <w:right w:val="double" w:color="auto" w:sz="4" w:space="0"/>
            </w:tcBorders>
            <w:vAlign w:val="center"/>
          </w:tcPr>
          <w:p w:rsidR="003B0815" w:rsidRDefault="003B0815" w14:paraId="50B2FE0E" w14:textId="77777777">
            <w:pPr>
              <w:keepNext/>
              <w:jc w:val="center"/>
              <w:rPr>
                <w:rFonts w:ascii="Arial" w:hAnsi="Arial" w:cs="Arial"/>
                <w:b/>
                <w:bCs/>
                <w:sz w:val="20"/>
                <w:szCs w:val="20"/>
              </w:rPr>
            </w:pPr>
            <w:r>
              <w:rPr>
                <w:rFonts w:ascii="Arial" w:hAnsi="Arial" w:cs="Arial"/>
                <w:b/>
                <w:bCs/>
                <w:sz w:val="20"/>
                <w:szCs w:val="20"/>
              </w:rPr>
              <w:t>(D) =</w:t>
            </w:r>
          </w:p>
          <w:p w:rsidR="003B0815" w:rsidRDefault="003B0815" w14:paraId="7DC92FDB" w14:textId="77777777">
            <w:pPr>
              <w:keepNext/>
              <w:jc w:val="center"/>
              <w:rPr>
                <w:rFonts w:ascii="Arial" w:hAnsi="Arial"/>
                <w:sz w:val="20"/>
                <w:szCs w:val="20"/>
              </w:rPr>
            </w:pPr>
            <w:r>
              <w:rPr>
                <w:rFonts w:ascii="Arial" w:hAnsi="Arial" w:cs="Arial"/>
                <w:b/>
                <w:bCs/>
                <w:sz w:val="20"/>
                <w:szCs w:val="20"/>
              </w:rPr>
              <w:t>A x B x C</w:t>
            </w:r>
          </w:p>
        </w:tc>
        <w:tc>
          <w:tcPr>
            <w:tcW w:w="1080" w:type="dxa"/>
            <w:tcBorders>
              <w:left w:val="double" w:color="auto" w:sz="4" w:space="0"/>
            </w:tcBorders>
            <w:vAlign w:val="center"/>
          </w:tcPr>
          <w:p w:rsidR="003B0815" w:rsidRDefault="003B0815" w14:paraId="2A3DDD6B" w14:textId="77777777">
            <w:pPr>
              <w:keepNext/>
              <w:jc w:val="center"/>
              <w:rPr>
                <w:rFonts w:ascii="Arial" w:hAnsi="Arial"/>
                <w:sz w:val="20"/>
                <w:szCs w:val="20"/>
              </w:rPr>
            </w:pPr>
            <w:r>
              <w:rPr>
                <w:rFonts w:ascii="Arial" w:hAnsi="Arial" w:cs="Arial"/>
                <w:b/>
                <w:bCs/>
                <w:sz w:val="20"/>
                <w:szCs w:val="20"/>
              </w:rPr>
              <w:t>(E)</w:t>
            </w:r>
          </w:p>
        </w:tc>
        <w:tc>
          <w:tcPr>
            <w:tcW w:w="1080" w:type="dxa"/>
            <w:vAlign w:val="center"/>
          </w:tcPr>
          <w:p w:rsidR="003B0815" w:rsidRDefault="003B0815" w14:paraId="22642B43" w14:textId="77777777">
            <w:pPr>
              <w:keepNext/>
              <w:jc w:val="center"/>
              <w:rPr>
                <w:rFonts w:ascii="Arial" w:hAnsi="Arial"/>
                <w:sz w:val="20"/>
                <w:szCs w:val="20"/>
              </w:rPr>
            </w:pPr>
            <w:r>
              <w:rPr>
                <w:rFonts w:ascii="Arial" w:hAnsi="Arial" w:cs="Arial"/>
                <w:b/>
                <w:bCs/>
                <w:sz w:val="20"/>
                <w:szCs w:val="20"/>
              </w:rPr>
              <w:t>(F)</w:t>
            </w:r>
          </w:p>
        </w:tc>
        <w:tc>
          <w:tcPr>
            <w:tcW w:w="1260" w:type="dxa"/>
            <w:tcBorders>
              <w:bottom w:val="single" w:color="auto" w:sz="4" w:space="0"/>
              <w:right w:val="double" w:color="auto" w:sz="4" w:space="0"/>
            </w:tcBorders>
            <w:vAlign w:val="center"/>
          </w:tcPr>
          <w:p w:rsidR="003B0815" w:rsidRDefault="003B0815" w14:paraId="77DC7790" w14:textId="77777777">
            <w:pPr>
              <w:keepNext/>
              <w:jc w:val="center"/>
              <w:rPr>
                <w:rFonts w:ascii="Arial" w:hAnsi="Arial"/>
                <w:sz w:val="20"/>
                <w:szCs w:val="20"/>
              </w:rPr>
            </w:pPr>
            <w:r>
              <w:rPr>
                <w:rFonts w:ascii="Arial" w:hAnsi="Arial" w:cs="Arial"/>
                <w:b/>
                <w:bCs/>
                <w:sz w:val="20"/>
                <w:szCs w:val="20"/>
              </w:rPr>
              <w:t xml:space="preserve">(G) = </w:t>
            </w:r>
            <w:r>
              <w:rPr>
                <w:rFonts w:ascii="Arial" w:hAnsi="Arial" w:cs="Arial"/>
                <w:b/>
                <w:bCs/>
                <w:sz w:val="20"/>
                <w:szCs w:val="20"/>
              </w:rPr>
              <w:br/>
              <w:t>A x E x F</w:t>
            </w:r>
          </w:p>
        </w:tc>
        <w:tc>
          <w:tcPr>
            <w:tcW w:w="1260" w:type="dxa"/>
            <w:tcBorders>
              <w:left w:val="double" w:color="auto" w:sz="4" w:space="0"/>
              <w:bottom w:val="single" w:color="auto" w:sz="4" w:space="0"/>
              <w:right w:val="single" w:color="auto" w:sz="12" w:space="0"/>
            </w:tcBorders>
            <w:vAlign w:val="center"/>
          </w:tcPr>
          <w:p w:rsidR="003B0815" w:rsidRDefault="003B0815" w14:paraId="5FE3C16D" w14:textId="77777777">
            <w:pPr>
              <w:keepNext/>
              <w:jc w:val="center"/>
              <w:rPr>
                <w:rFonts w:ascii="Arial" w:hAnsi="Arial"/>
                <w:sz w:val="20"/>
                <w:szCs w:val="20"/>
              </w:rPr>
            </w:pPr>
            <w:r>
              <w:rPr>
                <w:rFonts w:ascii="Arial" w:hAnsi="Arial" w:cs="Arial"/>
                <w:b/>
                <w:bCs/>
                <w:sz w:val="20"/>
                <w:szCs w:val="20"/>
              </w:rPr>
              <w:t>(H) = D + G</w:t>
            </w:r>
          </w:p>
        </w:tc>
      </w:tr>
      <w:tr w:rsidR="003B0815" w14:paraId="5D1DDEBC" w14:textId="77777777">
        <w:trPr>
          <w:jc w:val="center"/>
        </w:trPr>
        <w:tc>
          <w:tcPr>
            <w:tcW w:w="731" w:type="dxa"/>
            <w:tcBorders>
              <w:left w:val="single" w:color="auto" w:sz="12" w:space="0"/>
            </w:tcBorders>
          </w:tcPr>
          <w:p w:rsidR="003B0815" w:rsidRDefault="003B0815" w14:paraId="3BB00BF1" w14:textId="77777777">
            <w:pPr>
              <w:keepNext/>
              <w:jc w:val="center"/>
              <w:rPr>
                <w:rFonts w:ascii="Arial" w:hAnsi="Arial"/>
                <w:sz w:val="20"/>
                <w:szCs w:val="20"/>
              </w:rPr>
            </w:pPr>
            <w:r>
              <w:t>2008</w:t>
            </w:r>
          </w:p>
        </w:tc>
        <w:tc>
          <w:tcPr>
            <w:tcW w:w="828" w:type="dxa"/>
            <w:vAlign w:val="bottom"/>
          </w:tcPr>
          <w:p w:rsidR="003B0815" w:rsidRDefault="003B0815" w14:paraId="6BC6ECF2"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497CFC4B" w14:textId="77777777">
            <w:pPr>
              <w:keepNext/>
              <w:jc w:val="right"/>
              <w:rPr>
                <w:rFonts w:ascii="Arial" w:hAnsi="Arial"/>
                <w:sz w:val="20"/>
                <w:szCs w:val="20"/>
              </w:rPr>
            </w:pPr>
            <w:r>
              <w:rPr>
                <w:rFonts w:ascii="Arial" w:hAnsi="Arial" w:cs="Arial"/>
                <w:sz w:val="20"/>
                <w:szCs w:val="20"/>
              </w:rPr>
              <w:t xml:space="preserve">197.6 </w:t>
            </w:r>
          </w:p>
        </w:tc>
        <w:tc>
          <w:tcPr>
            <w:tcW w:w="1080" w:type="dxa"/>
            <w:vAlign w:val="bottom"/>
          </w:tcPr>
          <w:p w:rsidR="003B0815" w:rsidRDefault="003B0815" w14:paraId="5AE7B72A"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066AB202" w14:textId="77777777">
            <w:pPr>
              <w:keepNext/>
              <w:jc w:val="right"/>
              <w:rPr>
                <w:rFonts w:ascii="Arial" w:hAnsi="Arial"/>
                <w:sz w:val="20"/>
                <w:szCs w:val="20"/>
              </w:rPr>
            </w:pPr>
            <w:r>
              <w:rPr>
                <w:rFonts w:ascii="Arial" w:hAnsi="Arial" w:cs="Arial"/>
                <w:sz w:val="20"/>
                <w:szCs w:val="20"/>
              </w:rPr>
              <w:t>$39.6</w:t>
            </w:r>
          </w:p>
        </w:tc>
        <w:tc>
          <w:tcPr>
            <w:tcW w:w="1080" w:type="dxa"/>
            <w:tcBorders>
              <w:left w:val="double" w:color="auto" w:sz="4" w:space="0"/>
            </w:tcBorders>
            <w:vAlign w:val="bottom"/>
          </w:tcPr>
          <w:p w:rsidR="003B0815" w:rsidRDefault="003B0815" w14:paraId="463BB1D8" w14:textId="77777777">
            <w:pPr>
              <w:keepNext/>
              <w:jc w:val="right"/>
              <w:rPr>
                <w:rFonts w:ascii="Arial" w:hAnsi="Arial"/>
                <w:sz w:val="20"/>
                <w:szCs w:val="20"/>
              </w:rPr>
            </w:pPr>
            <w:r>
              <w:rPr>
                <w:rFonts w:ascii="Arial" w:hAnsi="Arial" w:cs="Arial"/>
                <w:sz w:val="20"/>
                <w:szCs w:val="20"/>
              </w:rPr>
              <w:t>189.8</w:t>
            </w:r>
          </w:p>
        </w:tc>
        <w:tc>
          <w:tcPr>
            <w:tcW w:w="1080" w:type="dxa"/>
            <w:vAlign w:val="bottom"/>
          </w:tcPr>
          <w:p w:rsidR="003B0815" w:rsidRDefault="003B0815" w14:paraId="7B22915E"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782FC48C" w14:textId="77777777">
            <w:pPr>
              <w:keepNext/>
              <w:jc w:val="right"/>
              <w:rPr>
                <w:rFonts w:ascii="Arial" w:hAnsi="Arial"/>
                <w:sz w:val="20"/>
                <w:szCs w:val="20"/>
              </w:rPr>
            </w:pPr>
            <w:r>
              <w:rPr>
                <w:rFonts w:ascii="Arial" w:hAnsi="Arial" w:cs="Arial"/>
                <w:sz w:val="20"/>
                <w:szCs w:val="20"/>
              </w:rPr>
              <w:t>$16.3</w:t>
            </w:r>
          </w:p>
        </w:tc>
        <w:tc>
          <w:tcPr>
            <w:tcW w:w="1260" w:type="dxa"/>
            <w:tcBorders>
              <w:left w:val="double" w:color="auto" w:sz="4" w:space="0"/>
              <w:right w:val="single" w:color="auto" w:sz="12" w:space="0"/>
            </w:tcBorders>
            <w:shd w:val="clear" w:color="auto" w:fill="C0C0C0"/>
            <w:vAlign w:val="bottom"/>
          </w:tcPr>
          <w:p w:rsidR="003B0815" w:rsidRDefault="003B0815" w14:paraId="5B94235F" w14:textId="77777777">
            <w:pPr>
              <w:keepNext/>
              <w:jc w:val="right"/>
              <w:rPr>
                <w:rFonts w:ascii="Arial" w:hAnsi="Arial"/>
                <w:sz w:val="20"/>
                <w:szCs w:val="20"/>
              </w:rPr>
            </w:pPr>
            <w:r>
              <w:rPr>
                <w:rFonts w:ascii="Arial" w:hAnsi="Arial" w:cs="Arial"/>
                <w:b/>
                <w:bCs/>
                <w:sz w:val="20"/>
                <w:szCs w:val="20"/>
              </w:rPr>
              <w:t xml:space="preserve">$55.9 </w:t>
            </w:r>
          </w:p>
        </w:tc>
      </w:tr>
      <w:tr w:rsidR="003B0815" w14:paraId="20960502" w14:textId="77777777">
        <w:trPr>
          <w:jc w:val="center"/>
        </w:trPr>
        <w:tc>
          <w:tcPr>
            <w:tcW w:w="731" w:type="dxa"/>
            <w:tcBorders>
              <w:left w:val="single" w:color="auto" w:sz="12" w:space="0"/>
            </w:tcBorders>
          </w:tcPr>
          <w:p w:rsidR="003B0815" w:rsidRDefault="003B0815" w14:paraId="5DF6A95D" w14:textId="77777777">
            <w:pPr>
              <w:keepNext/>
              <w:jc w:val="center"/>
              <w:rPr>
                <w:rFonts w:ascii="Arial" w:hAnsi="Arial"/>
                <w:sz w:val="20"/>
                <w:szCs w:val="20"/>
              </w:rPr>
            </w:pPr>
            <w:r>
              <w:t>2009</w:t>
            </w:r>
          </w:p>
        </w:tc>
        <w:tc>
          <w:tcPr>
            <w:tcW w:w="828" w:type="dxa"/>
            <w:vAlign w:val="bottom"/>
          </w:tcPr>
          <w:p w:rsidR="003B0815" w:rsidRDefault="003B0815" w14:paraId="5ACC312C"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66873D66" w14:textId="77777777">
            <w:pPr>
              <w:keepNext/>
              <w:jc w:val="right"/>
              <w:rPr>
                <w:rFonts w:ascii="Arial" w:hAnsi="Arial"/>
                <w:sz w:val="20"/>
                <w:szCs w:val="20"/>
              </w:rPr>
            </w:pPr>
            <w:r>
              <w:rPr>
                <w:rFonts w:ascii="Arial" w:hAnsi="Arial" w:cs="Arial"/>
                <w:sz w:val="20"/>
                <w:szCs w:val="20"/>
              </w:rPr>
              <w:t xml:space="preserve">203.7 </w:t>
            </w:r>
          </w:p>
        </w:tc>
        <w:tc>
          <w:tcPr>
            <w:tcW w:w="1080" w:type="dxa"/>
            <w:vAlign w:val="bottom"/>
          </w:tcPr>
          <w:p w:rsidR="003B0815" w:rsidRDefault="003B0815" w14:paraId="6D4B58C7"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7E99CB9E" w14:textId="77777777">
            <w:pPr>
              <w:keepNext/>
              <w:jc w:val="right"/>
              <w:rPr>
                <w:rFonts w:ascii="Arial" w:hAnsi="Arial"/>
                <w:sz w:val="20"/>
                <w:szCs w:val="20"/>
              </w:rPr>
            </w:pPr>
            <w:r>
              <w:rPr>
                <w:rFonts w:ascii="Arial" w:hAnsi="Arial" w:cs="Arial"/>
                <w:sz w:val="20"/>
                <w:szCs w:val="20"/>
              </w:rPr>
              <w:t>40.8</w:t>
            </w:r>
          </w:p>
        </w:tc>
        <w:tc>
          <w:tcPr>
            <w:tcW w:w="1080" w:type="dxa"/>
            <w:tcBorders>
              <w:left w:val="double" w:color="auto" w:sz="4" w:space="0"/>
            </w:tcBorders>
            <w:vAlign w:val="bottom"/>
          </w:tcPr>
          <w:p w:rsidR="003B0815" w:rsidRDefault="003B0815" w14:paraId="6D255A04" w14:textId="77777777">
            <w:pPr>
              <w:keepNext/>
              <w:jc w:val="right"/>
              <w:rPr>
                <w:rFonts w:ascii="Arial" w:hAnsi="Arial"/>
                <w:sz w:val="20"/>
                <w:szCs w:val="20"/>
              </w:rPr>
            </w:pPr>
            <w:r>
              <w:rPr>
                <w:rFonts w:ascii="Arial" w:hAnsi="Arial" w:cs="Arial"/>
                <w:sz w:val="20"/>
                <w:szCs w:val="20"/>
              </w:rPr>
              <w:t>195.7</w:t>
            </w:r>
          </w:p>
        </w:tc>
        <w:tc>
          <w:tcPr>
            <w:tcW w:w="1080" w:type="dxa"/>
            <w:vAlign w:val="bottom"/>
          </w:tcPr>
          <w:p w:rsidR="003B0815" w:rsidRDefault="003B0815" w14:paraId="4CFB41C4"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5E16CED9" w14:textId="77777777">
            <w:pPr>
              <w:keepNext/>
              <w:jc w:val="right"/>
              <w:rPr>
                <w:rFonts w:ascii="Arial" w:hAnsi="Arial"/>
                <w:sz w:val="20"/>
                <w:szCs w:val="20"/>
              </w:rPr>
            </w:pPr>
            <w:r>
              <w:rPr>
                <w:rFonts w:ascii="Arial" w:hAnsi="Arial" w:cs="Arial"/>
                <w:sz w:val="20"/>
                <w:szCs w:val="20"/>
              </w:rPr>
              <w:t>16.8</w:t>
            </w:r>
          </w:p>
        </w:tc>
        <w:tc>
          <w:tcPr>
            <w:tcW w:w="1260" w:type="dxa"/>
            <w:tcBorders>
              <w:left w:val="double" w:color="auto" w:sz="4" w:space="0"/>
              <w:right w:val="single" w:color="auto" w:sz="12" w:space="0"/>
            </w:tcBorders>
            <w:shd w:val="clear" w:color="auto" w:fill="C0C0C0"/>
            <w:vAlign w:val="bottom"/>
          </w:tcPr>
          <w:p w:rsidR="003B0815" w:rsidRDefault="003B0815" w14:paraId="2C0A4216" w14:textId="77777777">
            <w:pPr>
              <w:keepNext/>
              <w:jc w:val="right"/>
              <w:rPr>
                <w:rFonts w:ascii="Arial" w:hAnsi="Arial"/>
                <w:sz w:val="20"/>
                <w:szCs w:val="20"/>
              </w:rPr>
            </w:pPr>
            <w:r>
              <w:rPr>
                <w:rFonts w:ascii="Arial" w:hAnsi="Arial" w:cs="Arial"/>
                <w:b/>
                <w:bCs/>
                <w:sz w:val="20"/>
                <w:szCs w:val="20"/>
              </w:rPr>
              <w:t xml:space="preserve">57.6 </w:t>
            </w:r>
          </w:p>
        </w:tc>
      </w:tr>
      <w:tr w:rsidR="003B0815" w14:paraId="08437042" w14:textId="77777777">
        <w:trPr>
          <w:jc w:val="center"/>
        </w:trPr>
        <w:tc>
          <w:tcPr>
            <w:tcW w:w="731" w:type="dxa"/>
            <w:tcBorders>
              <w:left w:val="single" w:color="auto" w:sz="12" w:space="0"/>
            </w:tcBorders>
          </w:tcPr>
          <w:p w:rsidR="003B0815" w:rsidRDefault="003B0815" w14:paraId="364AEE5A" w14:textId="77777777">
            <w:pPr>
              <w:keepNext/>
              <w:jc w:val="center"/>
              <w:rPr>
                <w:rFonts w:ascii="Arial" w:hAnsi="Arial"/>
                <w:sz w:val="20"/>
                <w:szCs w:val="20"/>
              </w:rPr>
            </w:pPr>
            <w:r>
              <w:t>2010</w:t>
            </w:r>
          </w:p>
        </w:tc>
        <w:tc>
          <w:tcPr>
            <w:tcW w:w="828" w:type="dxa"/>
            <w:vAlign w:val="bottom"/>
          </w:tcPr>
          <w:p w:rsidR="003B0815" w:rsidRDefault="003B0815" w14:paraId="73A6B740"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DD11A2B" w14:textId="77777777">
            <w:pPr>
              <w:keepNext/>
              <w:jc w:val="right"/>
              <w:rPr>
                <w:rFonts w:ascii="Arial" w:hAnsi="Arial"/>
                <w:sz w:val="20"/>
                <w:szCs w:val="20"/>
              </w:rPr>
            </w:pPr>
            <w:r>
              <w:rPr>
                <w:rFonts w:ascii="Arial" w:hAnsi="Arial" w:cs="Arial"/>
                <w:sz w:val="20"/>
                <w:szCs w:val="20"/>
              </w:rPr>
              <w:t xml:space="preserve">210.1 </w:t>
            </w:r>
          </w:p>
        </w:tc>
        <w:tc>
          <w:tcPr>
            <w:tcW w:w="1080" w:type="dxa"/>
            <w:vAlign w:val="bottom"/>
          </w:tcPr>
          <w:p w:rsidR="003B0815" w:rsidRDefault="003B0815" w14:paraId="39E5D0A4"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4082086F" w14:textId="77777777">
            <w:pPr>
              <w:keepNext/>
              <w:jc w:val="right"/>
              <w:rPr>
                <w:rFonts w:ascii="Arial" w:hAnsi="Arial"/>
                <w:sz w:val="20"/>
                <w:szCs w:val="20"/>
              </w:rPr>
            </w:pPr>
            <w:r>
              <w:rPr>
                <w:rFonts w:ascii="Arial" w:hAnsi="Arial" w:cs="Arial"/>
                <w:sz w:val="20"/>
                <w:szCs w:val="20"/>
              </w:rPr>
              <w:t>42.1</w:t>
            </w:r>
          </w:p>
        </w:tc>
        <w:tc>
          <w:tcPr>
            <w:tcW w:w="1080" w:type="dxa"/>
            <w:tcBorders>
              <w:left w:val="double" w:color="auto" w:sz="4" w:space="0"/>
            </w:tcBorders>
            <w:vAlign w:val="bottom"/>
          </w:tcPr>
          <w:p w:rsidR="003B0815" w:rsidRDefault="003B0815" w14:paraId="578A5088" w14:textId="77777777">
            <w:pPr>
              <w:keepNext/>
              <w:jc w:val="right"/>
              <w:rPr>
                <w:rFonts w:ascii="Arial" w:hAnsi="Arial"/>
                <w:sz w:val="20"/>
                <w:szCs w:val="20"/>
              </w:rPr>
            </w:pPr>
            <w:r>
              <w:rPr>
                <w:rFonts w:ascii="Arial" w:hAnsi="Arial" w:cs="Arial"/>
                <w:sz w:val="20"/>
                <w:szCs w:val="20"/>
              </w:rPr>
              <w:t>201.9</w:t>
            </w:r>
          </w:p>
        </w:tc>
        <w:tc>
          <w:tcPr>
            <w:tcW w:w="1080" w:type="dxa"/>
            <w:vAlign w:val="bottom"/>
          </w:tcPr>
          <w:p w:rsidR="003B0815" w:rsidRDefault="003B0815" w14:paraId="704052CF"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EB5D47E" w14:textId="77777777">
            <w:pPr>
              <w:keepNext/>
              <w:jc w:val="right"/>
              <w:rPr>
                <w:rFonts w:ascii="Arial" w:hAnsi="Arial"/>
                <w:sz w:val="20"/>
                <w:szCs w:val="20"/>
              </w:rPr>
            </w:pPr>
            <w:r>
              <w:rPr>
                <w:rFonts w:ascii="Arial" w:hAnsi="Arial" w:cs="Arial"/>
                <w:sz w:val="20"/>
                <w:szCs w:val="20"/>
              </w:rPr>
              <w:t>17.3</w:t>
            </w:r>
          </w:p>
        </w:tc>
        <w:tc>
          <w:tcPr>
            <w:tcW w:w="1260" w:type="dxa"/>
            <w:tcBorders>
              <w:left w:val="double" w:color="auto" w:sz="4" w:space="0"/>
              <w:right w:val="single" w:color="auto" w:sz="12" w:space="0"/>
            </w:tcBorders>
            <w:shd w:val="clear" w:color="auto" w:fill="C0C0C0"/>
            <w:vAlign w:val="bottom"/>
          </w:tcPr>
          <w:p w:rsidR="003B0815" w:rsidRDefault="003B0815" w14:paraId="50A5EB5F" w14:textId="77777777">
            <w:pPr>
              <w:keepNext/>
              <w:jc w:val="right"/>
              <w:rPr>
                <w:rFonts w:ascii="Arial" w:hAnsi="Arial"/>
                <w:sz w:val="20"/>
                <w:szCs w:val="20"/>
              </w:rPr>
            </w:pPr>
            <w:r>
              <w:rPr>
                <w:rFonts w:ascii="Arial" w:hAnsi="Arial" w:cs="Arial"/>
                <w:b/>
                <w:bCs/>
                <w:sz w:val="20"/>
                <w:szCs w:val="20"/>
              </w:rPr>
              <w:t xml:space="preserve">59.4 </w:t>
            </w:r>
          </w:p>
        </w:tc>
      </w:tr>
      <w:tr w:rsidR="003B0815" w14:paraId="65CB8689" w14:textId="77777777">
        <w:trPr>
          <w:jc w:val="center"/>
        </w:trPr>
        <w:tc>
          <w:tcPr>
            <w:tcW w:w="731" w:type="dxa"/>
            <w:tcBorders>
              <w:left w:val="single" w:color="auto" w:sz="12" w:space="0"/>
            </w:tcBorders>
          </w:tcPr>
          <w:p w:rsidR="003B0815" w:rsidRDefault="003B0815" w14:paraId="1E36582A" w14:textId="77777777">
            <w:pPr>
              <w:keepNext/>
              <w:jc w:val="center"/>
              <w:rPr>
                <w:rFonts w:ascii="Arial" w:hAnsi="Arial"/>
                <w:sz w:val="20"/>
                <w:szCs w:val="20"/>
              </w:rPr>
            </w:pPr>
            <w:r>
              <w:t>2011</w:t>
            </w:r>
          </w:p>
        </w:tc>
        <w:tc>
          <w:tcPr>
            <w:tcW w:w="828" w:type="dxa"/>
            <w:vAlign w:val="bottom"/>
          </w:tcPr>
          <w:p w:rsidR="003B0815" w:rsidRDefault="003B0815" w14:paraId="25E101FA"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44158892" w14:textId="77777777">
            <w:pPr>
              <w:keepNext/>
              <w:jc w:val="right"/>
              <w:rPr>
                <w:rFonts w:ascii="Arial" w:hAnsi="Arial"/>
                <w:sz w:val="20"/>
                <w:szCs w:val="20"/>
              </w:rPr>
            </w:pPr>
            <w:r>
              <w:rPr>
                <w:rFonts w:ascii="Arial" w:hAnsi="Arial" w:cs="Arial"/>
                <w:sz w:val="20"/>
                <w:szCs w:val="20"/>
              </w:rPr>
              <w:t xml:space="preserve">216.7 </w:t>
            </w:r>
          </w:p>
        </w:tc>
        <w:tc>
          <w:tcPr>
            <w:tcW w:w="1080" w:type="dxa"/>
            <w:vAlign w:val="bottom"/>
          </w:tcPr>
          <w:p w:rsidR="003B0815" w:rsidRDefault="003B0815" w14:paraId="09251E16"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6FFFEBAF" w14:textId="77777777">
            <w:pPr>
              <w:keepNext/>
              <w:jc w:val="right"/>
              <w:rPr>
                <w:rFonts w:ascii="Arial" w:hAnsi="Arial"/>
                <w:sz w:val="20"/>
                <w:szCs w:val="20"/>
              </w:rPr>
            </w:pPr>
            <w:r>
              <w:rPr>
                <w:rFonts w:ascii="Arial" w:hAnsi="Arial" w:cs="Arial"/>
                <w:sz w:val="20"/>
                <w:szCs w:val="20"/>
              </w:rPr>
              <w:t>43.4</w:t>
            </w:r>
          </w:p>
        </w:tc>
        <w:tc>
          <w:tcPr>
            <w:tcW w:w="1080" w:type="dxa"/>
            <w:tcBorders>
              <w:left w:val="double" w:color="auto" w:sz="4" w:space="0"/>
            </w:tcBorders>
            <w:vAlign w:val="bottom"/>
          </w:tcPr>
          <w:p w:rsidR="003B0815" w:rsidRDefault="003B0815" w14:paraId="48019388" w14:textId="77777777">
            <w:pPr>
              <w:keepNext/>
              <w:jc w:val="right"/>
              <w:rPr>
                <w:rFonts w:ascii="Arial" w:hAnsi="Arial"/>
                <w:sz w:val="20"/>
                <w:szCs w:val="20"/>
              </w:rPr>
            </w:pPr>
            <w:r>
              <w:rPr>
                <w:rFonts w:ascii="Arial" w:hAnsi="Arial" w:cs="Arial"/>
                <w:sz w:val="20"/>
                <w:szCs w:val="20"/>
              </w:rPr>
              <w:t>208.2</w:t>
            </w:r>
          </w:p>
        </w:tc>
        <w:tc>
          <w:tcPr>
            <w:tcW w:w="1080" w:type="dxa"/>
            <w:vAlign w:val="bottom"/>
          </w:tcPr>
          <w:p w:rsidR="003B0815" w:rsidRDefault="003B0815" w14:paraId="7F85A517"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451B57A5" w14:textId="77777777">
            <w:pPr>
              <w:keepNext/>
              <w:jc w:val="right"/>
              <w:rPr>
                <w:rFonts w:ascii="Arial" w:hAnsi="Arial"/>
                <w:sz w:val="20"/>
                <w:szCs w:val="20"/>
              </w:rPr>
            </w:pPr>
            <w:r>
              <w:rPr>
                <w:rFonts w:ascii="Arial" w:hAnsi="Arial" w:cs="Arial"/>
                <w:sz w:val="20"/>
                <w:szCs w:val="20"/>
              </w:rPr>
              <w:t>17.9</w:t>
            </w:r>
          </w:p>
        </w:tc>
        <w:tc>
          <w:tcPr>
            <w:tcW w:w="1260" w:type="dxa"/>
            <w:tcBorders>
              <w:left w:val="double" w:color="auto" w:sz="4" w:space="0"/>
              <w:right w:val="single" w:color="auto" w:sz="12" w:space="0"/>
            </w:tcBorders>
            <w:shd w:val="clear" w:color="auto" w:fill="C0C0C0"/>
            <w:vAlign w:val="bottom"/>
          </w:tcPr>
          <w:p w:rsidR="003B0815" w:rsidRDefault="003B0815" w14:paraId="44FE2B2F" w14:textId="77777777">
            <w:pPr>
              <w:keepNext/>
              <w:jc w:val="right"/>
              <w:rPr>
                <w:rFonts w:ascii="Arial" w:hAnsi="Arial"/>
                <w:sz w:val="20"/>
                <w:szCs w:val="20"/>
              </w:rPr>
            </w:pPr>
            <w:r>
              <w:rPr>
                <w:rFonts w:ascii="Arial" w:hAnsi="Arial" w:cs="Arial"/>
                <w:b/>
                <w:bCs/>
                <w:sz w:val="20"/>
                <w:szCs w:val="20"/>
              </w:rPr>
              <w:t xml:space="preserve">61.3 </w:t>
            </w:r>
          </w:p>
        </w:tc>
      </w:tr>
      <w:tr w:rsidR="003B0815" w14:paraId="511534D7" w14:textId="77777777">
        <w:trPr>
          <w:jc w:val="center"/>
        </w:trPr>
        <w:tc>
          <w:tcPr>
            <w:tcW w:w="731" w:type="dxa"/>
            <w:tcBorders>
              <w:left w:val="single" w:color="auto" w:sz="12" w:space="0"/>
            </w:tcBorders>
          </w:tcPr>
          <w:p w:rsidR="003B0815" w:rsidRDefault="003B0815" w14:paraId="4BF51527" w14:textId="77777777">
            <w:pPr>
              <w:keepNext/>
              <w:jc w:val="center"/>
              <w:rPr>
                <w:rFonts w:ascii="Arial" w:hAnsi="Arial"/>
                <w:sz w:val="20"/>
                <w:szCs w:val="20"/>
              </w:rPr>
            </w:pPr>
            <w:r>
              <w:t>2012</w:t>
            </w:r>
          </w:p>
        </w:tc>
        <w:tc>
          <w:tcPr>
            <w:tcW w:w="828" w:type="dxa"/>
            <w:vAlign w:val="bottom"/>
          </w:tcPr>
          <w:p w:rsidR="003B0815" w:rsidRDefault="003B0815" w14:paraId="14395BC7"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7829644" w14:textId="77777777">
            <w:pPr>
              <w:keepNext/>
              <w:jc w:val="right"/>
              <w:rPr>
                <w:rFonts w:ascii="Arial" w:hAnsi="Arial"/>
                <w:sz w:val="20"/>
                <w:szCs w:val="20"/>
              </w:rPr>
            </w:pPr>
            <w:r>
              <w:rPr>
                <w:rFonts w:ascii="Arial" w:hAnsi="Arial" w:cs="Arial"/>
                <w:sz w:val="20"/>
                <w:szCs w:val="20"/>
              </w:rPr>
              <w:t xml:space="preserve">223.7 </w:t>
            </w:r>
          </w:p>
        </w:tc>
        <w:tc>
          <w:tcPr>
            <w:tcW w:w="1080" w:type="dxa"/>
            <w:vAlign w:val="bottom"/>
          </w:tcPr>
          <w:p w:rsidR="003B0815" w:rsidRDefault="003B0815" w14:paraId="67CB98A6"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08AC1284" w14:textId="77777777">
            <w:pPr>
              <w:keepNext/>
              <w:jc w:val="right"/>
              <w:rPr>
                <w:rFonts w:ascii="Arial" w:hAnsi="Arial"/>
                <w:sz w:val="20"/>
                <w:szCs w:val="20"/>
              </w:rPr>
            </w:pPr>
            <w:r>
              <w:rPr>
                <w:rFonts w:ascii="Arial" w:hAnsi="Arial" w:cs="Arial"/>
                <w:sz w:val="20"/>
                <w:szCs w:val="20"/>
              </w:rPr>
              <w:t>44.8</w:t>
            </w:r>
          </w:p>
        </w:tc>
        <w:tc>
          <w:tcPr>
            <w:tcW w:w="1080" w:type="dxa"/>
            <w:tcBorders>
              <w:left w:val="double" w:color="auto" w:sz="4" w:space="0"/>
            </w:tcBorders>
            <w:vAlign w:val="bottom"/>
          </w:tcPr>
          <w:p w:rsidR="003B0815" w:rsidRDefault="003B0815" w14:paraId="4C4F0F3E" w14:textId="77777777">
            <w:pPr>
              <w:keepNext/>
              <w:jc w:val="right"/>
              <w:rPr>
                <w:rFonts w:ascii="Arial" w:hAnsi="Arial"/>
                <w:sz w:val="20"/>
                <w:szCs w:val="20"/>
              </w:rPr>
            </w:pPr>
            <w:r>
              <w:rPr>
                <w:rFonts w:ascii="Arial" w:hAnsi="Arial" w:cs="Arial"/>
                <w:sz w:val="20"/>
                <w:szCs w:val="20"/>
              </w:rPr>
              <w:t>214.9</w:t>
            </w:r>
          </w:p>
        </w:tc>
        <w:tc>
          <w:tcPr>
            <w:tcW w:w="1080" w:type="dxa"/>
            <w:vAlign w:val="bottom"/>
          </w:tcPr>
          <w:p w:rsidR="003B0815" w:rsidRDefault="003B0815" w14:paraId="1008ADB2"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37FC35EB" w14:textId="77777777">
            <w:pPr>
              <w:keepNext/>
              <w:jc w:val="right"/>
              <w:rPr>
                <w:rFonts w:ascii="Arial" w:hAnsi="Arial"/>
                <w:sz w:val="20"/>
                <w:szCs w:val="20"/>
              </w:rPr>
            </w:pPr>
            <w:r>
              <w:rPr>
                <w:rFonts w:ascii="Arial" w:hAnsi="Arial" w:cs="Arial"/>
                <w:sz w:val="20"/>
                <w:szCs w:val="20"/>
              </w:rPr>
              <w:t>18.4</w:t>
            </w:r>
          </w:p>
        </w:tc>
        <w:tc>
          <w:tcPr>
            <w:tcW w:w="1260" w:type="dxa"/>
            <w:tcBorders>
              <w:left w:val="double" w:color="auto" w:sz="4" w:space="0"/>
              <w:right w:val="single" w:color="auto" w:sz="12" w:space="0"/>
            </w:tcBorders>
            <w:shd w:val="clear" w:color="auto" w:fill="C0C0C0"/>
            <w:vAlign w:val="bottom"/>
          </w:tcPr>
          <w:p w:rsidR="003B0815" w:rsidRDefault="003B0815" w14:paraId="61AD514F" w14:textId="77777777">
            <w:pPr>
              <w:keepNext/>
              <w:jc w:val="right"/>
              <w:rPr>
                <w:rFonts w:ascii="Arial" w:hAnsi="Arial"/>
                <w:sz w:val="20"/>
                <w:szCs w:val="20"/>
              </w:rPr>
            </w:pPr>
            <w:r>
              <w:rPr>
                <w:rFonts w:ascii="Arial" w:hAnsi="Arial" w:cs="Arial"/>
                <w:b/>
                <w:bCs/>
                <w:sz w:val="20"/>
                <w:szCs w:val="20"/>
              </w:rPr>
              <w:t xml:space="preserve">63.2 </w:t>
            </w:r>
          </w:p>
        </w:tc>
      </w:tr>
      <w:tr w:rsidR="003B0815" w14:paraId="17E0059B" w14:textId="77777777">
        <w:trPr>
          <w:jc w:val="center"/>
        </w:trPr>
        <w:tc>
          <w:tcPr>
            <w:tcW w:w="731" w:type="dxa"/>
            <w:tcBorders>
              <w:left w:val="single" w:color="auto" w:sz="12" w:space="0"/>
            </w:tcBorders>
          </w:tcPr>
          <w:p w:rsidR="003B0815" w:rsidRDefault="003B0815" w14:paraId="35990096" w14:textId="77777777">
            <w:pPr>
              <w:keepNext/>
              <w:jc w:val="center"/>
              <w:rPr>
                <w:rFonts w:ascii="Arial" w:hAnsi="Arial"/>
                <w:sz w:val="20"/>
                <w:szCs w:val="20"/>
              </w:rPr>
            </w:pPr>
            <w:r>
              <w:t>2013</w:t>
            </w:r>
          </w:p>
        </w:tc>
        <w:tc>
          <w:tcPr>
            <w:tcW w:w="828" w:type="dxa"/>
            <w:vAlign w:val="bottom"/>
          </w:tcPr>
          <w:p w:rsidR="003B0815" w:rsidRDefault="003B0815" w14:paraId="49B84439"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D1E0E5B" w14:textId="77777777">
            <w:pPr>
              <w:keepNext/>
              <w:jc w:val="right"/>
              <w:rPr>
                <w:rFonts w:ascii="Arial" w:hAnsi="Arial"/>
                <w:sz w:val="20"/>
                <w:szCs w:val="20"/>
              </w:rPr>
            </w:pPr>
            <w:r>
              <w:rPr>
                <w:rFonts w:ascii="Arial" w:hAnsi="Arial" w:cs="Arial"/>
                <w:sz w:val="20"/>
                <w:szCs w:val="20"/>
              </w:rPr>
              <w:t xml:space="preserve">230.7 </w:t>
            </w:r>
          </w:p>
        </w:tc>
        <w:tc>
          <w:tcPr>
            <w:tcW w:w="1080" w:type="dxa"/>
            <w:vAlign w:val="bottom"/>
          </w:tcPr>
          <w:p w:rsidR="003B0815" w:rsidRDefault="003B0815" w14:paraId="4519961F"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01A0EDAB" w14:textId="77777777">
            <w:pPr>
              <w:keepNext/>
              <w:jc w:val="right"/>
              <w:rPr>
                <w:rFonts w:ascii="Arial" w:hAnsi="Arial"/>
                <w:sz w:val="20"/>
                <w:szCs w:val="20"/>
              </w:rPr>
            </w:pPr>
            <w:r>
              <w:rPr>
                <w:rFonts w:ascii="Arial" w:hAnsi="Arial" w:cs="Arial"/>
                <w:sz w:val="20"/>
                <w:szCs w:val="20"/>
              </w:rPr>
              <w:t>46.2</w:t>
            </w:r>
          </w:p>
        </w:tc>
        <w:tc>
          <w:tcPr>
            <w:tcW w:w="1080" w:type="dxa"/>
            <w:tcBorders>
              <w:left w:val="double" w:color="auto" w:sz="4" w:space="0"/>
            </w:tcBorders>
            <w:vAlign w:val="bottom"/>
          </w:tcPr>
          <w:p w:rsidR="003B0815" w:rsidRDefault="003B0815" w14:paraId="15CA7AC3" w14:textId="77777777">
            <w:pPr>
              <w:keepNext/>
              <w:jc w:val="right"/>
              <w:rPr>
                <w:rFonts w:ascii="Arial" w:hAnsi="Arial"/>
                <w:sz w:val="20"/>
                <w:szCs w:val="20"/>
              </w:rPr>
            </w:pPr>
            <w:r>
              <w:rPr>
                <w:rFonts w:ascii="Arial" w:hAnsi="Arial" w:cs="Arial"/>
                <w:sz w:val="20"/>
                <w:szCs w:val="20"/>
              </w:rPr>
              <w:t>221.7</w:t>
            </w:r>
          </w:p>
        </w:tc>
        <w:tc>
          <w:tcPr>
            <w:tcW w:w="1080" w:type="dxa"/>
            <w:vAlign w:val="bottom"/>
          </w:tcPr>
          <w:p w:rsidR="003B0815" w:rsidRDefault="003B0815" w14:paraId="13D442D1"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5113FED7" w14:textId="77777777">
            <w:pPr>
              <w:keepNext/>
              <w:jc w:val="right"/>
              <w:rPr>
                <w:rFonts w:ascii="Arial" w:hAnsi="Arial"/>
                <w:sz w:val="20"/>
                <w:szCs w:val="20"/>
              </w:rPr>
            </w:pPr>
            <w:r>
              <w:rPr>
                <w:rFonts w:ascii="Arial" w:hAnsi="Arial" w:cs="Arial"/>
                <w:sz w:val="20"/>
                <w:szCs w:val="20"/>
              </w:rPr>
              <w:t>19.0</w:t>
            </w:r>
          </w:p>
        </w:tc>
        <w:tc>
          <w:tcPr>
            <w:tcW w:w="1260" w:type="dxa"/>
            <w:tcBorders>
              <w:left w:val="double" w:color="auto" w:sz="4" w:space="0"/>
              <w:right w:val="single" w:color="auto" w:sz="12" w:space="0"/>
            </w:tcBorders>
            <w:shd w:val="clear" w:color="auto" w:fill="C0C0C0"/>
            <w:vAlign w:val="bottom"/>
          </w:tcPr>
          <w:p w:rsidR="003B0815" w:rsidRDefault="003B0815" w14:paraId="07245510" w14:textId="77777777">
            <w:pPr>
              <w:keepNext/>
              <w:jc w:val="right"/>
              <w:rPr>
                <w:rFonts w:ascii="Arial" w:hAnsi="Arial"/>
                <w:sz w:val="20"/>
                <w:szCs w:val="20"/>
              </w:rPr>
            </w:pPr>
            <w:r>
              <w:rPr>
                <w:rFonts w:ascii="Arial" w:hAnsi="Arial" w:cs="Arial"/>
                <w:b/>
                <w:bCs/>
                <w:sz w:val="20"/>
                <w:szCs w:val="20"/>
              </w:rPr>
              <w:t xml:space="preserve">65.2 </w:t>
            </w:r>
          </w:p>
        </w:tc>
      </w:tr>
      <w:tr w:rsidR="003B0815" w14:paraId="689F652D" w14:textId="77777777">
        <w:trPr>
          <w:jc w:val="center"/>
        </w:trPr>
        <w:tc>
          <w:tcPr>
            <w:tcW w:w="731" w:type="dxa"/>
            <w:tcBorders>
              <w:left w:val="single" w:color="auto" w:sz="12" w:space="0"/>
            </w:tcBorders>
          </w:tcPr>
          <w:p w:rsidR="003B0815" w:rsidRDefault="003B0815" w14:paraId="0843C708" w14:textId="77777777">
            <w:pPr>
              <w:keepNext/>
              <w:jc w:val="center"/>
              <w:rPr>
                <w:rFonts w:ascii="Arial" w:hAnsi="Arial"/>
                <w:sz w:val="20"/>
                <w:szCs w:val="20"/>
              </w:rPr>
            </w:pPr>
            <w:r>
              <w:t>2014</w:t>
            </w:r>
          </w:p>
        </w:tc>
        <w:tc>
          <w:tcPr>
            <w:tcW w:w="828" w:type="dxa"/>
            <w:vAlign w:val="bottom"/>
          </w:tcPr>
          <w:p w:rsidR="003B0815" w:rsidRDefault="003B0815" w14:paraId="2B372878"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E183DA9" w14:textId="77777777">
            <w:pPr>
              <w:keepNext/>
              <w:jc w:val="right"/>
              <w:rPr>
                <w:rFonts w:ascii="Arial" w:hAnsi="Arial"/>
                <w:sz w:val="20"/>
                <w:szCs w:val="20"/>
              </w:rPr>
            </w:pPr>
            <w:r>
              <w:rPr>
                <w:rFonts w:ascii="Arial" w:hAnsi="Arial" w:cs="Arial"/>
                <w:sz w:val="20"/>
                <w:szCs w:val="20"/>
              </w:rPr>
              <w:t xml:space="preserve">238.2 </w:t>
            </w:r>
          </w:p>
        </w:tc>
        <w:tc>
          <w:tcPr>
            <w:tcW w:w="1080" w:type="dxa"/>
            <w:vAlign w:val="bottom"/>
          </w:tcPr>
          <w:p w:rsidR="003B0815" w:rsidRDefault="003B0815" w14:paraId="030273D6"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10227A8A" w14:textId="77777777">
            <w:pPr>
              <w:keepNext/>
              <w:jc w:val="right"/>
              <w:rPr>
                <w:rFonts w:ascii="Arial" w:hAnsi="Arial"/>
                <w:sz w:val="20"/>
                <w:szCs w:val="20"/>
              </w:rPr>
            </w:pPr>
            <w:r>
              <w:rPr>
                <w:rFonts w:ascii="Arial" w:hAnsi="Arial" w:cs="Arial"/>
                <w:sz w:val="20"/>
                <w:szCs w:val="20"/>
              </w:rPr>
              <w:t>47.7</w:t>
            </w:r>
          </w:p>
        </w:tc>
        <w:tc>
          <w:tcPr>
            <w:tcW w:w="1080" w:type="dxa"/>
            <w:tcBorders>
              <w:left w:val="double" w:color="auto" w:sz="4" w:space="0"/>
            </w:tcBorders>
            <w:vAlign w:val="bottom"/>
          </w:tcPr>
          <w:p w:rsidR="003B0815" w:rsidRDefault="003B0815" w14:paraId="15C3B08B" w14:textId="77777777">
            <w:pPr>
              <w:keepNext/>
              <w:jc w:val="right"/>
              <w:rPr>
                <w:rFonts w:ascii="Arial" w:hAnsi="Arial"/>
                <w:sz w:val="20"/>
                <w:szCs w:val="20"/>
              </w:rPr>
            </w:pPr>
            <w:r>
              <w:rPr>
                <w:rFonts w:ascii="Arial" w:hAnsi="Arial" w:cs="Arial"/>
                <w:sz w:val="20"/>
                <w:szCs w:val="20"/>
              </w:rPr>
              <w:t>228.9</w:t>
            </w:r>
          </w:p>
        </w:tc>
        <w:tc>
          <w:tcPr>
            <w:tcW w:w="1080" w:type="dxa"/>
            <w:vAlign w:val="bottom"/>
          </w:tcPr>
          <w:p w:rsidR="003B0815" w:rsidRDefault="003B0815" w14:paraId="0F5875A7"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4FA64123" w14:textId="77777777">
            <w:pPr>
              <w:keepNext/>
              <w:jc w:val="right"/>
              <w:rPr>
                <w:rFonts w:ascii="Arial" w:hAnsi="Arial"/>
                <w:sz w:val="20"/>
                <w:szCs w:val="20"/>
              </w:rPr>
            </w:pPr>
            <w:r>
              <w:rPr>
                <w:rFonts w:ascii="Arial" w:hAnsi="Arial" w:cs="Arial"/>
                <w:sz w:val="20"/>
                <w:szCs w:val="20"/>
              </w:rPr>
              <w:t>19.6</w:t>
            </w:r>
          </w:p>
        </w:tc>
        <w:tc>
          <w:tcPr>
            <w:tcW w:w="1260" w:type="dxa"/>
            <w:tcBorders>
              <w:left w:val="double" w:color="auto" w:sz="4" w:space="0"/>
              <w:right w:val="single" w:color="auto" w:sz="12" w:space="0"/>
            </w:tcBorders>
            <w:shd w:val="clear" w:color="auto" w:fill="C0C0C0"/>
            <w:vAlign w:val="bottom"/>
          </w:tcPr>
          <w:p w:rsidR="003B0815" w:rsidRDefault="003B0815" w14:paraId="381DC1C5" w14:textId="77777777">
            <w:pPr>
              <w:keepNext/>
              <w:jc w:val="right"/>
              <w:rPr>
                <w:rFonts w:ascii="Arial" w:hAnsi="Arial"/>
                <w:sz w:val="20"/>
                <w:szCs w:val="20"/>
              </w:rPr>
            </w:pPr>
            <w:r>
              <w:rPr>
                <w:rFonts w:ascii="Arial" w:hAnsi="Arial" w:cs="Arial"/>
                <w:b/>
                <w:bCs/>
                <w:sz w:val="20"/>
                <w:szCs w:val="20"/>
              </w:rPr>
              <w:t xml:space="preserve">67.3 </w:t>
            </w:r>
          </w:p>
        </w:tc>
      </w:tr>
      <w:tr w:rsidR="003B0815" w14:paraId="4343155F" w14:textId="77777777">
        <w:trPr>
          <w:jc w:val="center"/>
        </w:trPr>
        <w:tc>
          <w:tcPr>
            <w:tcW w:w="731" w:type="dxa"/>
            <w:tcBorders>
              <w:left w:val="single" w:color="auto" w:sz="12" w:space="0"/>
            </w:tcBorders>
          </w:tcPr>
          <w:p w:rsidR="003B0815" w:rsidRDefault="003B0815" w14:paraId="45F95B8B" w14:textId="77777777">
            <w:pPr>
              <w:keepNext/>
              <w:jc w:val="center"/>
              <w:rPr>
                <w:rFonts w:ascii="Arial" w:hAnsi="Arial"/>
                <w:sz w:val="20"/>
                <w:szCs w:val="20"/>
              </w:rPr>
            </w:pPr>
            <w:r>
              <w:t>2015</w:t>
            </w:r>
          </w:p>
        </w:tc>
        <w:tc>
          <w:tcPr>
            <w:tcW w:w="828" w:type="dxa"/>
            <w:vAlign w:val="bottom"/>
          </w:tcPr>
          <w:p w:rsidR="003B0815" w:rsidRDefault="003B0815" w14:paraId="0A39C86E"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65CACAC6" w14:textId="77777777">
            <w:pPr>
              <w:keepNext/>
              <w:jc w:val="right"/>
              <w:rPr>
                <w:rFonts w:ascii="Arial" w:hAnsi="Arial"/>
                <w:sz w:val="20"/>
                <w:szCs w:val="20"/>
              </w:rPr>
            </w:pPr>
            <w:r>
              <w:rPr>
                <w:rFonts w:ascii="Arial" w:hAnsi="Arial" w:cs="Arial"/>
                <w:sz w:val="20"/>
                <w:szCs w:val="20"/>
              </w:rPr>
              <w:t xml:space="preserve">246.0 </w:t>
            </w:r>
          </w:p>
        </w:tc>
        <w:tc>
          <w:tcPr>
            <w:tcW w:w="1080" w:type="dxa"/>
            <w:vAlign w:val="bottom"/>
          </w:tcPr>
          <w:p w:rsidR="003B0815" w:rsidRDefault="003B0815" w14:paraId="2FD1EB37"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23397C4B" w14:textId="77777777">
            <w:pPr>
              <w:keepNext/>
              <w:jc w:val="right"/>
              <w:rPr>
                <w:rFonts w:ascii="Arial" w:hAnsi="Arial"/>
                <w:sz w:val="20"/>
                <w:szCs w:val="20"/>
              </w:rPr>
            </w:pPr>
            <w:r>
              <w:rPr>
                <w:rFonts w:ascii="Arial" w:hAnsi="Arial" w:cs="Arial"/>
                <w:sz w:val="20"/>
                <w:szCs w:val="20"/>
              </w:rPr>
              <w:t>49.2</w:t>
            </w:r>
          </w:p>
        </w:tc>
        <w:tc>
          <w:tcPr>
            <w:tcW w:w="1080" w:type="dxa"/>
            <w:tcBorders>
              <w:left w:val="double" w:color="auto" w:sz="4" w:space="0"/>
            </w:tcBorders>
            <w:vAlign w:val="bottom"/>
          </w:tcPr>
          <w:p w:rsidR="003B0815" w:rsidRDefault="003B0815" w14:paraId="6F61FE84" w14:textId="77777777">
            <w:pPr>
              <w:keepNext/>
              <w:jc w:val="right"/>
              <w:rPr>
                <w:rFonts w:ascii="Arial" w:hAnsi="Arial"/>
                <w:sz w:val="20"/>
                <w:szCs w:val="20"/>
              </w:rPr>
            </w:pPr>
            <w:r>
              <w:rPr>
                <w:rFonts w:ascii="Arial" w:hAnsi="Arial" w:cs="Arial"/>
                <w:sz w:val="20"/>
                <w:szCs w:val="20"/>
              </w:rPr>
              <w:t>236.3</w:t>
            </w:r>
          </w:p>
        </w:tc>
        <w:tc>
          <w:tcPr>
            <w:tcW w:w="1080" w:type="dxa"/>
            <w:vAlign w:val="bottom"/>
          </w:tcPr>
          <w:p w:rsidR="003B0815" w:rsidRDefault="003B0815" w14:paraId="1D6E13C7"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22F97CA8" w14:textId="77777777">
            <w:pPr>
              <w:keepNext/>
              <w:jc w:val="right"/>
              <w:rPr>
                <w:rFonts w:ascii="Arial" w:hAnsi="Arial"/>
                <w:sz w:val="20"/>
                <w:szCs w:val="20"/>
              </w:rPr>
            </w:pPr>
            <w:r>
              <w:rPr>
                <w:rFonts w:ascii="Arial" w:hAnsi="Arial" w:cs="Arial"/>
                <w:sz w:val="20"/>
                <w:szCs w:val="20"/>
              </w:rPr>
              <w:t>20.3</w:t>
            </w:r>
          </w:p>
        </w:tc>
        <w:tc>
          <w:tcPr>
            <w:tcW w:w="1260" w:type="dxa"/>
            <w:tcBorders>
              <w:left w:val="double" w:color="auto" w:sz="4" w:space="0"/>
              <w:right w:val="single" w:color="auto" w:sz="12" w:space="0"/>
            </w:tcBorders>
            <w:shd w:val="clear" w:color="auto" w:fill="C0C0C0"/>
            <w:vAlign w:val="bottom"/>
          </w:tcPr>
          <w:p w:rsidR="003B0815" w:rsidRDefault="003B0815" w14:paraId="582FF7D2" w14:textId="77777777">
            <w:pPr>
              <w:keepNext/>
              <w:jc w:val="right"/>
              <w:rPr>
                <w:rFonts w:ascii="Arial" w:hAnsi="Arial"/>
                <w:sz w:val="20"/>
                <w:szCs w:val="20"/>
              </w:rPr>
            </w:pPr>
            <w:r>
              <w:rPr>
                <w:rFonts w:ascii="Arial" w:hAnsi="Arial" w:cs="Arial"/>
                <w:b/>
                <w:bCs/>
                <w:sz w:val="20"/>
                <w:szCs w:val="20"/>
              </w:rPr>
              <w:t xml:space="preserve">69.5 </w:t>
            </w:r>
          </w:p>
        </w:tc>
      </w:tr>
      <w:tr w:rsidR="003B0815" w14:paraId="1966AC21" w14:textId="77777777">
        <w:trPr>
          <w:jc w:val="center"/>
        </w:trPr>
        <w:tc>
          <w:tcPr>
            <w:tcW w:w="731" w:type="dxa"/>
            <w:tcBorders>
              <w:left w:val="single" w:color="auto" w:sz="12" w:space="0"/>
            </w:tcBorders>
          </w:tcPr>
          <w:p w:rsidR="003B0815" w:rsidRDefault="003B0815" w14:paraId="7F97AE6E" w14:textId="77777777">
            <w:pPr>
              <w:keepNext/>
              <w:jc w:val="center"/>
              <w:rPr>
                <w:rFonts w:ascii="Arial" w:hAnsi="Arial"/>
                <w:sz w:val="20"/>
                <w:szCs w:val="20"/>
              </w:rPr>
            </w:pPr>
            <w:r>
              <w:t>2016</w:t>
            </w:r>
          </w:p>
        </w:tc>
        <w:tc>
          <w:tcPr>
            <w:tcW w:w="828" w:type="dxa"/>
            <w:vAlign w:val="bottom"/>
          </w:tcPr>
          <w:p w:rsidR="003B0815" w:rsidRDefault="003B0815" w14:paraId="790BB8C1"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1BBBBA0" w14:textId="77777777">
            <w:pPr>
              <w:keepNext/>
              <w:jc w:val="right"/>
              <w:rPr>
                <w:rFonts w:ascii="Arial" w:hAnsi="Arial"/>
                <w:sz w:val="20"/>
                <w:szCs w:val="20"/>
              </w:rPr>
            </w:pPr>
            <w:r>
              <w:rPr>
                <w:rFonts w:ascii="Arial" w:hAnsi="Arial" w:cs="Arial"/>
                <w:sz w:val="20"/>
                <w:szCs w:val="20"/>
              </w:rPr>
              <w:t xml:space="preserve">254.1 </w:t>
            </w:r>
          </w:p>
        </w:tc>
        <w:tc>
          <w:tcPr>
            <w:tcW w:w="1080" w:type="dxa"/>
            <w:vAlign w:val="bottom"/>
          </w:tcPr>
          <w:p w:rsidR="003B0815" w:rsidRDefault="003B0815" w14:paraId="2A19B82D"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37BB6207" w14:textId="77777777">
            <w:pPr>
              <w:keepNext/>
              <w:jc w:val="right"/>
              <w:rPr>
                <w:rFonts w:ascii="Arial" w:hAnsi="Arial"/>
                <w:sz w:val="20"/>
                <w:szCs w:val="20"/>
              </w:rPr>
            </w:pPr>
            <w:r>
              <w:rPr>
                <w:rFonts w:ascii="Arial" w:hAnsi="Arial" w:cs="Arial"/>
                <w:sz w:val="20"/>
                <w:szCs w:val="20"/>
              </w:rPr>
              <w:t>50.9</w:t>
            </w:r>
          </w:p>
        </w:tc>
        <w:tc>
          <w:tcPr>
            <w:tcW w:w="1080" w:type="dxa"/>
            <w:tcBorders>
              <w:left w:val="double" w:color="auto" w:sz="4" w:space="0"/>
            </w:tcBorders>
            <w:vAlign w:val="bottom"/>
          </w:tcPr>
          <w:p w:rsidR="003B0815" w:rsidRDefault="003B0815" w14:paraId="2AAC6B8E" w14:textId="77777777">
            <w:pPr>
              <w:keepNext/>
              <w:jc w:val="right"/>
              <w:rPr>
                <w:rFonts w:ascii="Arial" w:hAnsi="Arial"/>
                <w:sz w:val="20"/>
                <w:szCs w:val="20"/>
              </w:rPr>
            </w:pPr>
            <w:r>
              <w:rPr>
                <w:rFonts w:ascii="Arial" w:hAnsi="Arial" w:cs="Arial"/>
                <w:sz w:val="20"/>
                <w:szCs w:val="20"/>
              </w:rPr>
              <w:t>244.2</w:t>
            </w:r>
          </w:p>
        </w:tc>
        <w:tc>
          <w:tcPr>
            <w:tcW w:w="1080" w:type="dxa"/>
            <w:vAlign w:val="bottom"/>
          </w:tcPr>
          <w:p w:rsidR="003B0815" w:rsidRDefault="003B0815" w14:paraId="33A6E53A"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24B4B637" w14:textId="77777777">
            <w:pPr>
              <w:keepNext/>
              <w:jc w:val="right"/>
              <w:rPr>
                <w:rFonts w:ascii="Arial" w:hAnsi="Arial"/>
                <w:sz w:val="20"/>
                <w:szCs w:val="20"/>
              </w:rPr>
            </w:pPr>
            <w:r>
              <w:rPr>
                <w:rFonts w:ascii="Arial" w:hAnsi="Arial" w:cs="Arial"/>
                <w:sz w:val="20"/>
                <w:szCs w:val="20"/>
              </w:rPr>
              <w:t>21.0</w:t>
            </w:r>
          </w:p>
        </w:tc>
        <w:tc>
          <w:tcPr>
            <w:tcW w:w="1260" w:type="dxa"/>
            <w:tcBorders>
              <w:left w:val="double" w:color="auto" w:sz="4" w:space="0"/>
              <w:right w:val="single" w:color="auto" w:sz="12" w:space="0"/>
            </w:tcBorders>
            <w:shd w:val="clear" w:color="auto" w:fill="C0C0C0"/>
            <w:vAlign w:val="bottom"/>
          </w:tcPr>
          <w:p w:rsidR="003B0815" w:rsidRDefault="003B0815" w14:paraId="43BF3525" w14:textId="77777777">
            <w:pPr>
              <w:keepNext/>
              <w:jc w:val="right"/>
              <w:rPr>
                <w:rFonts w:ascii="Arial" w:hAnsi="Arial"/>
                <w:sz w:val="20"/>
                <w:szCs w:val="20"/>
              </w:rPr>
            </w:pPr>
            <w:r>
              <w:rPr>
                <w:rFonts w:ascii="Arial" w:hAnsi="Arial" w:cs="Arial"/>
                <w:b/>
                <w:bCs/>
                <w:sz w:val="20"/>
                <w:szCs w:val="20"/>
              </w:rPr>
              <w:t xml:space="preserve">71.9 </w:t>
            </w:r>
          </w:p>
        </w:tc>
      </w:tr>
      <w:tr w:rsidR="003B0815" w14:paraId="245F37D5" w14:textId="77777777">
        <w:trPr>
          <w:jc w:val="center"/>
        </w:trPr>
        <w:tc>
          <w:tcPr>
            <w:tcW w:w="731" w:type="dxa"/>
            <w:tcBorders>
              <w:left w:val="single" w:color="auto" w:sz="12" w:space="0"/>
              <w:bottom w:val="single" w:color="auto" w:sz="4" w:space="0"/>
            </w:tcBorders>
          </w:tcPr>
          <w:p w:rsidR="003B0815" w:rsidRDefault="003B0815" w14:paraId="12E61FBE" w14:textId="77777777">
            <w:pPr>
              <w:keepNext/>
              <w:jc w:val="center"/>
              <w:rPr>
                <w:rFonts w:ascii="Arial" w:hAnsi="Arial"/>
                <w:sz w:val="20"/>
                <w:szCs w:val="20"/>
              </w:rPr>
            </w:pPr>
            <w:r>
              <w:t>2017</w:t>
            </w:r>
          </w:p>
        </w:tc>
        <w:tc>
          <w:tcPr>
            <w:tcW w:w="828" w:type="dxa"/>
            <w:tcBorders>
              <w:bottom w:val="single" w:color="auto" w:sz="4" w:space="0"/>
            </w:tcBorders>
            <w:vAlign w:val="bottom"/>
          </w:tcPr>
          <w:p w:rsidR="003B0815" w:rsidRDefault="003B0815" w14:paraId="215C86E1" w14:textId="77777777">
            <w:pPr>
              <w:keepNext/>
              <w:jc w:val="center"/>
              <w:rPr>
                <w:rFonts w:ascii="Arial" w:hAnsi="Arial"/>
                <w:sz w:val="20"/>
                <w:szCs w:val="20"/>
              </w:rPr>
            </w:pPr>
            <w:r>
              <w:rPr>
                <w:rFonts w:ascii="Arial" w:hAnsi="Arial" w:cs="Arial"/>
                <w:sz w:val="20"/>
                <w:szCs w:val="20"/>
              </w:rPr>
              <w:t xml:space="preserve">$28.60 </w:t>
            </w:r>
          </w:p>
        </w:tc>
        <w:tc>
          <w:tcPr>
            <w:tcW w:w="1008" w:type="dxa"/>
            <w:tcBorders>
              <w:bottom w:val="single" w:color="auto" w:sz="4" w:space="0"/>
            </w:tcBorders>
            <w:vAlign w:val="bottom"/>
          </w:tcPr>
          <w:p w:rsidR="003B0815" w:rsidRDefault="003B0815" w14:paraId="75AF2AD2" w14:textId="77777777">
            <w:pPr>
              <w:keepNext/>
              <w:jc w:val="right"/>
              <w:rPr>
                <w:rFonts w:ascii="Arial" w:hAnsi="Arial"/>
                <w:sz w:val="20"/>
                <w:szCs w:val="20"/>
              </w:rPr>
            </w:pPr>
            <w:r>
              <w:rPr>
                <w:rFonts w:ascii="Arial" w:hAnsi="Arial" w:cs="Arial"/>
                <w:sz w:val="20"/>
                <w:szCs w:val="20"/>
              </w:rPr>
              <w:t xml:space="preserve">262.7 </w:t>
            </w:r>
          </w:p>
        </w:tc>
        <w:tc>
          <w:tcPr>
            <w:tcW w:w="1080" w:type="dxa"/>
            <w:tcBorders>
              <w:bottom w:val="single" w:color="auto" w:sz="4" w:space="0"/>
            </w:tcBorders>
            <w:vAlign w:val="bottom"/>
          </w:tcPr>
          <w:p w:rsidR="003B0815" w:rsidRDefault="003B0815" w14:paraId="5C0AA642" w14:textId="77777777">
            <w:pPr>
              <w:keepNext/>
              <w:jc w:val="center"/>
              <w:rPr>
                <w:rFonts w:ascii="Arial" w:hAnsi="Arial"/>
                <w:sz w:val="20"/>
                <w:szCs w:val="20"/>
              </w:rPr>
            </w:pPr>
            <w:r>
              <w:rPr>
                <w:rFonts w:ascii="Arial" w:hAnsi="Arial" w:cs="Arial"/>
                <w:sz w:val="20"/>
                <w:szCs w:val="20"/>
              </w:rPr>
              <w:t>0.007</w:t>
            </w:r>
          </w:p>
        </w:tc>
        <w:tc>
          <w:tcPr>
            <w:tcW w:w="1260" w:type="dxa"/>
            <w:tcBorders>
              <w:bottom w:val="single" w:color="auto" w:sz="4" w:space="0"/>
              <w:right w:val="double" w:color="auto" w:sz="4" w:space="0"/>
            </w:tcBorders>
            <w:shd w:val="clear" w:color="auto" w:fill="C0C0C0"/>
            <w:vAlign w:val="bottom"/>
          </w:tcPr>
          <w:p w:rsidR="003B0815" w:rsidRDefault="003B0815" w14:paraId="1F992871" w14:textId="77777777">
            <w:pPr>
              <w:keepNext/>
              <w:jc w:val="right"/>
              <w:rPr>
                <w:rFonts w:ascii="Arial" w:hAnsi="Arial"/>
                <w:sz w:val="20"/>
                <w:szCs w:val="20"/>
              </w:rPr>
            </w:pPr>
            <w:r>
              <w:rPr>
                <w:rFonts w:ascii="Arial" w:hAnsi="Arial" w:cs="Arial"/>
                <w:sz w:val="20"/>
                <w:szCs w:val="20"/>
              </w:rPr>
              <w:t>$52.6</w:t>
            </w:r>
          </w:p>
        </w:tc>
        <w:tc>
          <w:tcPr>
            <w:tcW w:w="1080" w:type="dxa"/>
            <w:tcBorders>
              <w:left w:val="double" w:color="auto" w:sz="4" w:space="0"/>
              <w:bottom w:val="single" w:color="auto" w:sz="4" w:space="0"/>
            </w:tcBorders>
            <w:vAlign w:val="bottom"/>
          </w:tcPr>
          <w:p w:rsidR="003B0815" w:rsidRDefault="003B0815" w14:paraId="51B13132" w14:textId="77777777">
            <w:pPr>
              <w:keepNext/>
              <w:jc w:val="right"/>
              <w:rPr>
                <w:rFonts w:ascii="Arial" w:hAnsi="Arial"/>
                <w:sz w:val="20"/>
                <w:szCs w:val="20"/>
              </w:rPr>
            </w:pPr>
            <w:r>
              <w:rPr>
                <w:rFonts w:ascii="Arial" w:hAnsi="Arial" w:cs="Arial"/>
                <w:sz w:val="20"/>
                <w:szCs w:val="20"/>
              </w:rPr>
              <w:t>252.4</w:t>
            </w:r>
          </w:p>
        </w:tc>
        <w:tc>
          <w:tcPr>
            <w:tcW w:w="1080" w:type="dxa"/>
            <w:tcBorders>
              <w:bottom w:val="single" w:color="auto" w:sz="4" w:space="0"/>
            </w:tcBorders>
            <w:vAlign w:val="bottom"/>
          </w:tcPr>
          <w:p w:rsidR="003B0815" w:rsidRDefault="003B0815" w14:paraId="15B92335" w14:textId="77777777">
            <w:pPr>
              <w:keepNext/>
              <w:jc w:val="center"/>
              <w:rPr>
                <w:rFonts w:ascii="Arial" w:hAnsi="Arial"/>
                <w:sz w:val="20"/>
                <w:szCs w:val="20"/>
              </w:rPr>
            </w:pPr>
            <w:r>
              <w:rPr>
                <w:rFonts w:ascii="Arial" w:hAnsi="Arial" w:cs="Arial"/>
                <w:sz w:val="20"/>
                <w:szCs w:val="20"/>
              </w:rPr>
              <w:t>0.003</w:t>
            </w:r>
          </w:p>
        </w:tc>
        <w:tc>
          <w:tcPr>
            <w:tcW w:w="1260" w:type="dxa"/>
            <w:tcBorders>
              <w:bottom w:val="single" w:color="auto" w:sz="4" w:space="0"/>
              <w:right w:val="double" w:color="auto" w:sz="4" w:space="0"/>
            </w:tcBorders>
            <w:shd w:val="clear" w:color="auto" w:fill="C0C0C0"/>
            <w:vAlign w:val="bottom"/>
          </w:tcPr>
          <w:p w:rsidR="003B0815" w:rsidRDefault="003B0815" w14:paraId="7A886C23" w14:textId="77777777">
            <w:pPr>
              <w:keepNext/>
              <w:jc w:val="right"/>
              <w:rPr>
                <w:rFonts w:ascii="Arial" w:hAnsi="Arial"/>
                <w:sz w:val="20"/>
                <w:szCs w:val="20"/>
              </w:rPr>
            </w:pPr>
            <w:r>
              <w:rPr>
                <w:rFonts w:ascii="Arial" w:hAnsi="Arial" w:cs="Arial"/>
                <w:sz w:val="20"/>
                <w:szCs w:val="20"/>
              </w:rPr>
              <w:t>$21.7</w:t>
            </w:r>
          </w:p>
        </w:tc>
        <w:tc>
          <w:tcPr>
            <w:tcW w:w="1260" w:type="dxa"/>
            <w:tcBorders>
              <w:left w:val="double" w:color="auto" w:sz="4" w:space="0"/>
              <w:right w:val="single" w:color="auto" w:sz="12" w:space="0"/>
            </w:tcBorders>
            <w:shd w:val="clear" w:color="auto" w:fill="C0C0C0"/>
            <w:vAlign w:val="bottom"/>
          </w:tcPr>
          <w:p w:rsidR="003B0815" w:rsidRDefault="003B0815" w14:paraId="5EA96A48" w14:textId="77777777">
            <w:pPr>
              <w:keepNext/>
              <w:jc w:val="right"/>
              <w:rPr>
                <w:rFonts w:ascii="Arial" w:hAnsi="Arial"/>
                <w:sz w:val="20"/>
                <w:szCs w:val="20"/>
              </w:rPr>
            </w:pPr>
            <w:r>
              <w:rPr>
                <w:rFonts w:ascii="Arial" w:hAnsi="Arial" w:cs="Arial"/>
                <w:b/>
                <w:bCs/>
                <w:sz w:val="20"/>
                <w:szCs w:val="20"/>
              </w:rPr>
              <w:t xml:space="preserve">$74.3 </w:t>
            </w:r>
          </w:p>
        </w:tc>
      </w:tr>
      <w:tr w:rsidR="003B0815" w14:paraId="3645C8B4" w14:textId="77777777">
        <w:trPr>
          <w:jc w:val="center"/>
        </w:trPr>
        <w:tc>
          <w:tcPr>
            <w:tcW w:w="731" w:type="dxa"/>
            <w:tcBorders>
              <w:left w:val="single" w:color="auto" w:sz="12" w:space="0"/>
              <w:bottom w:val="single" w:color="auto" w:sz="12" w:space="0"/>
              <w:right w:val="nil"/>
            </w:tcBorders>
            <w:vAlign w:val="bottom"/>
          </w:tcPr>
          <w:p w:rsidR="003B0815" w:rsidRDefault="003B0815" w14:paraId="73ED9A87" w14:textId="77777777">
            <w:pPr>
              <w:keepNext/>
              <w:jc w:val="center"/>
              <w:rPr>
                <w:rFonts w:ascii="Arial" w:hAnsi="Arial" w:cs="Arial"/>
                <w:sz w:val="20"/>
                <w:szCs w:val="20"/>
              </w:rPr>
            </w:pPr>
            <w:r>
              <w:rPr>
                <w:rFonts w:ascii="Arial" w:hAnsi="Arial" w:cs="Arial"/>
                <w:b/>
                <w:bCs/>
                <w:sz w:val="20"/>
                <w:szCs w:val="20"/>
              </w:rPr>
              <w:t>Total</w:t>
            </w:r>
          </w:p>
        </w:tc>
        <w:tc>
          <w:tcPr>
            <w:tcW w:w="828" w:type="dxa"/>
            <w:tcBorders>
              <w:left w:val="nil"/>
              <w:bottom w:val="single" w:color="auto" w:sz="12" w:space="0"/>
              <w:right w:val="nil"/>
            </w:tcBorders>
            <w:vAlign w:val="bottom"/>
          </w:tcPr>
          <w:p w:rsidR="003B0815" w:rsidRDefault="003B0815" w14:paraId="7D4E1710" w14:textId="77777777">
            <w:pPr>
              <w:keepNext/>
              <w:jc w:val="center"/>
              <w:rPr>
                <w:rFonts w:ascii="Arial" w:hAnsi="Arial" w:cs="Arial"/>
                <w:sz w:val="20"/>
                <w:szCs w:val="20"/>
              </w:rPr>
            </w:pPr>
            <w:r>
              <w:rPr>
                <w:rFonts w:ascii="Arial" w:hAnsi="Arial" w:cs="Arial"/>
                <w:sz w:val="20"/>
                <w:szCs w:val="20"/>
              </w:rPr>
              <w:t> </w:t>
            </w:r>
          </w:p>
        </w:tc>
        <w:tc>
          <w:tcPr>
            <w:tcW w:w="1008" w:type="dxa"/>
            <w:tcBorders>
              <w:left w:val="nil"/>
              <w:bottom w:val="single" w:color="auto" w:sz="12" w:space="0"/>
              <w:right w:val="nil"/>
            </w:tcBorders>
            <w:vAlign w:val="bottom"/>
          </w:tcPr>
          <w:p w:rsidR="003B0815" w:rsidRDefault="003B0815" w14:paraId="37D7C1EA"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6B3706A5"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3906E393" w14:textId="77777777">
            <w:pPr>
              <w:keepNext/>
              <w:jc w:val="right"/>
              <w:rPr>
                <w:rFonts w:ascii="Arial" w:hAnsi="Arial" w:cs="Arial"/>
                <w:b/>
                <w:sz w:val="20"/>
                <w:szCs w:val="20"/>
              </w:rPr>
            </w:pPr>
            <w:r>
              <w:rPr>
                <w:rFonts w:ascii="Arial" w:hAnsi="Arial" w:cs="Arial"/>
                <w:sz w:val="20"/>
                <w:szCs w:val="20"/>
              </w:rPr>
              <w:t>$457.3</w:t>
            </w:r>
          </w:p>
        </w:tc>
        <w:tc>
          <w:tcPr>
            <w:tcW w:w="1080" w:type="dxa"/>
            <w:tcBorders>
              <w:left w:val="double" w:color="auto" w:sz="4" w:space="0"/>
              <w:bottom w:val="single" w:color="auto" w:sz="12" w:space="0"/>
              <w:right w:val="nil"/>
            </w:tcBorders>
            <w:vAlign w:val="bottom"/>
          </w:tcPr>
          <w:p w:rsidR="003B0815" w:rsidRDefault="003B0815" w14:paraId="58554D27"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5B7DA756"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7E8963BB" w14:textId="77777777">
            <w:pPr>
              <w:keepNext/>
              <w:jc w:val="right"/>
              <w:rPr>
                <w:rFonts w:ascii="Arial" w:hAnsi="Arial" w:cs="Arial"/>
                <w:b/>
                <w:sz w:val="20"/>
                <w:szCs w:val="20"/>
              </w:rPr>
            </w:pPr>
            <w:r>
              <w:rPr>
                <w:rFonts w:ascii="Arial" w:hAnsi="Arial" w:cs="Arial"/>
                <w:sz w:val="20"/>
                <w:szCs w:val="20"/>
              </w:rPr>
              <w:t>$188.3</w:t>
            </w:r>
          </w:p>
        </w:tc>
        <w:tc>
          <w:tcPr>
            <w:tcW w:w="1260" w:type="dxa"/>
            <w:tcBorders>
              <w:left w:val="double" w:color="auto" w:sz="4" w:space="0"/>
              <w:bottom w:val="single" w:color="auto" w:sz="12" w:space="0"/>
              <w:right w:val="single" w:color="auto" w:sz="12" w:space="0"/>
            </w:tcBorders>
            <w:vAlign w:val="bottom"/>
          </w:tcPr>
          <w:p w:rsidR="003B0815" w:rsidRDefault="003B0815" w14:paraId="77C406CC" w14:textId="77777777">
            <w:pPr>
              <w:keepNext/>
              <w:jc w:val="right"/>
              <w:rPr>
                <w:rFonts w:ascii="Arial" w:hAnsi="Arial" w:cs="Arial"/>
                <w:b/>
                <w:bCs/>
                <w:sz w:val="20"/>
                <w:szCs w:val="20"/>
              </w:rPr>
            </w:pPr>
            <w:r>
              <w:rPr>
                <w:rFonts w:ascii="Arial" w:hAnsi="Arial" w:cs="Arial"/>
                <w:b/>
                <w:bCs/>
                <w:sz w:val="20"/>
                <w:szCs w:val="20"/>
              </w:rPr>
              <w:t xml:space="preserve">$645.6 </w:t>
            </w:r>
          </w:p>
        </w:tc>
      </w:tr>
    </w:tbl>
    <w:p w:rsidR="003B0815" w:rsidRDefault="003B0815" w14:paraId="2E318054" w14:textId="77777777">
      <w:pPr>
        <w:spacing w:line="360" w:lineRule="auto"/>
        <w:ind w:firstLine="720"/>
      </w:pPr>
    </w:p>
    <w:p w:rsidR="003B0815" w:rsidRDefault="003B0815" w14:paraId="3C14CF50" w14:textId="77777777">
      <w:pPr>
        <w:spacing w:line="360" w:lineRule="auto"/>
        <w:ind w:firstLine="720"/>
      </w:pPr>
      <w:r>
        <w:t>Table 1.6.6.b duplicates the calculations in Table 1.6.6.a for the low scenario.  Accordingly, the opportunity costs for passengers booking online are unchanged.  As discussed in Section 1.4.2, however, in this scenario TSA assumed reservations agents will be able to collect the requested information from passengers in 20 seconds.</w:t>
      </w:r>
    </w:p>
    <w:tbl>
      <w:tblP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31"/>
        <w:gridCol w:w="828"/>
        <w:gridCol w:w="1008"/>
        <w:gridCol w:w="1080"/>
        <w:gridCol w:w="1260"/>
        <w:gridCol w:w="1080"/>
        <w:gridCol w:w="1080"/>
        <w:gridCol w:w="1260"/>
        <w:gridCol w:w="1260"/>
      </w:tblGrid>
      <w:tr w:rsidR="003B0815" w14:paraId="1B51098B" w14:textId="77777777">
        <w:trPr>
          <w:jc w:val="center"/>
        </w:trPr>
        <w:tc>
          <w:tcPr>
            <w:tcW w:w="9587" w:type="dxa"/>
            <w:gridSpan w:val="9"/>
            <w:tcBorders>
              <w:top w:val="nil"/>
              <w:left w:val="nil"/>
              <w:bottom w:val="single" w:color="auto" w:sz="12" w:space="0"/>
              <w:right w:val="nil"/>
            </w:tcBorders>
          </w:tcPr>
          <w:p w:rsidR="003B0815" w:rsidRDefault="003B0815" w14:paraId="0561FDC4" w14:textId="77777777">
            <w:pPr>
              <w:pStyle w:val="RegEvalTableHeader"/>
              <w:keepNext/>
            </w:pPr>
            <w:bookmarkStart w:name="_Toc139943621" w:id="380"/>
            <w:bookmarkStart w:name="_Toc141001131" w:id="381"/>
            <w:bookmarkStart w:name="_Toc141000965" w:id="382"/>
            <w:bookmarkStart w:name="_Toc165278404" w:id="383"/>
            <w:bookmarkStart w:name="_Toc174438406" w:id="384"/>
            <w:bookmarkStart w:name="_Toc207109543" w:id="385"/>
            <w:r>
              <w:t xml:space="preserve">Table 1.6.6.b Domestic Passenger Reservation </w:t>
            </w:r>
            <w:smartTag w:uri="urn:schemas-microsoft-com:office:smarttags" w:element="place">
              <w:r>
                <w:t>Opportunity</w:t>
              </w:r>
            </w:smartTag>
            <w:r>
              <w:t xml:space="preserve"> Costs (Low Scenario)</w:t>
            </w:r>
            <w:bookmarkEnd w:id="380"/>
            <w:bookmarkEnd w:id="381"/>
            <w:bookmarkEnd w:id="382"/>
            <w:bookmarkEnd w:id="383"/>
            <w:bookmarkEnd w:id="384"/>
            <w:bookmarkEnd w:id="385"/>
          </w:p>
        </w:tc>
      </w:tr>
      <w:tr w:rsidR="003B0815" w14:paraId="6CCD9546" w14:textId="77777777">
        <w:trPr>
          <w:jc w:val="center"/>
        </w:trPr>
        <w:tc>
          <w:tcPr>
            <w:tcW w:w="731" w:type="dxa"/>
            <w:tcBorders>
              <w:top w:val="single" w:color="auto" w:sz="12" w:space="0"/>
              <w:left w:val="single" w:color="auto" w:sz="12" w:space="0"/>
            </w:tcBorders>
            <w:vAlign w:val="center"/>
          </w:tcPr>
          <w:p w:rsidR="003B0815" w:rsidRDefault="003B0815" w14:paraId="0EE7DBF6" w14:textId="77777777">
            <w:pPr>
              <w:keepNext/>
              <w:jc w:val="center"/>
              <w:rPr>
                <w:rFonts w:ascii="Arial" w:hAnsi="Arial"/>
                <w:sz w:val="20"/>
                <w:szCs w:val="20"/>
              </w:rPr>
            </w:pPr>
            <w:r>
              <w:rPr>
                <w:rFonts w:ascii="Arial" w:hAnsi="Arial" w:cs="Arial"/>
                <w:b/>
                <w:bCs/>
                <w:sz w:val="20"/>
                <w:szCs w:val="20"/>
              </w:rPr>
              <w:t>Fiscal Year</w:t>
            </w:r>
          </w:p>
        </w:tc>
        <w:tc>
          <w:tcPr>
            <w:tcW w:w="828" w:type="dxa"/>
            <w:tcBorders>
              <w:top w:val="single" w:color="auto" w:sz="12" w:space="0"/>
            </w:tcBorders>
            <w:vAlign w:val="center"/>
          </w:tcPr>
          <w:p w:rsidR="003B0815" w:rsidRDefault="003B0815" w14:paraId="6FEE2443" w14:textId="77777777">
            <w:pPr>
              <w:keepNext/>
              <w:jc w:val="center"/>
              <w:rPr>
                <w:rFonts w:ascii="Arial" w:hAnsi="Arial"/>
                <w:sz w:val="20"/>
                <w:szCs w:val="20"/>
              </w:rPr>
            </w:pPr>
            <w:r>
              <w:rPr>
                <w:rFonts w:ascii="Arial" w:hAnsi="Arial" w:cs="Arial"/>
                <w:b/>
                <w:bCs/>
                <w:sz w:val="20"/>
                <w:szCs w:val="20"/>
              </w:rPr>
              <w:t>Hourly Value of Pass. Time</w:t>
            </w:r>
          </w:p>
        </w:tc>
        <w:tc>
          <w:tcPr>
            <w:tcW w:w="1008" w:type="dxa"/>
            <w:tcBorders>
              <w:top w:val="single" w:color="auto" w:sz="12" w:space="0"/>
            </w:tcBorders>
            <w:vAlign w:val="center"/>
          </w:tcPr>
          <w:p w:rsidR="003B0815" w:rsidRDefault="003B0815" w14:paraId="1DF20B83" w14:textId="77777777">
            <w:pPr>
              <w:keepNext/>
              <w:jc w:val="center"/>
              <w:rPr>
                <w:rFonts w:ascii="Arial" w:hAnsi="Arial"/>
                <w:sz w:val="20"/>
                <w:szCs w:val="20"/>
              </w:rPr>
            </w:pPr>
            <w:r>
              <w:rPr>
                <w:rFonts w:ascii="Arial" w:hAnsi="Arial" w:cs="Arial"/>
                <w:b/>
                <w:bCs/>
                <w:sz w:val="20"/>
                <w:szCs w:val="20"/>
              </w:rPr>
              <w:t>Number of Offline Bookings (millions)</w:t>
            </w:r>
          </w:p>
        </w:tc>
        <w:tc>
          <w:tcPr>
            <w:tcW w:w="1080" w:type="dxa"/>
            <w:tcBorders>
              <w:top w:val="single" w:color="auto" w:sz="12" w:space="0"/>
            </w:tcBorders>
            <w:vAlign w:val="center"/>
          </w:tcPr>
          <w:p w:rsidR="003B0815" w:rsidRDefault="003B0815" w14:paraId="69B06D17"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3055F6A7" w14:textId="77777777">
            <w:pPr>
              <w:keepNext/>
              <w:jc w:val="center"/>
              <w:rPr>
                <w:rFonts w:ascii="Arial" w:hAnsi="Arial"/>
                <w:sz w:val="20"/>
                <w:szCs w:val="20"/>
              </w:rPr>
            </w:pPr>
            <w:r>
              <w:rPr>
                <w:rFonts w:ascii="Arial" w:hAnsi="Arial" w:cs="Arial"/>
                <w:b/>
                <w:bCs/>
                <w:sz w:val="20"/>
                <w:szCs w:val="20"/>
              </w:rPr>
              <w:t xml:space="preserve">Subtotal Offline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080" w:type="dxa"/>
            <w:tcBorders>
              <w:top w:val="single" w:color="auto" w:sz="12" w:space="0"/>
              <w:left w:val="double" w:color="auto" w:sz="4" w:space="0"/>
            </w:tcBorders>
            <w:vAlign w:val="center"/>
          </w:tcPr>
          <w:p w:rsidR="003B0815" w:rsidRDefault="003B0815" w14:paraId="6CE442B3" w14:textId="77777777">
            <w:pPr>
              <w:keepNext/>
              <w:jc w:val="center"/>
              <w:rPr>
                <w:rFonts w:ascii="Arial" w:hAnsi="Arial" w:cs="Arial"/>
                <w:b/>
                <w:bCs/>
                <w:sz w:val="20"/>
                <w:szCs w:val="20"/>
              </w:rPr>
            </w:pPr>
            <w:r>
              <w:rPr>
                <w:rFonts w:ascii="Arial" w:hAnsi="Arial" w:cs="Arial"/>
                <w:b/>
                <w:bCs/>
                <w:sz w:val="20"/>
                <w:szCs w:val="20"/>
              </w:rPr>
              <w:t>Number of Internet Bookings (millions)</w:t>
            </w:r>
          </w:p>
        </w:tc>
        <w:tc>
          <w:tcPr>
            <w:tcW w:w="1080" w:type="dxa"/>
            <w:tcBorders>
              <w:top w:val="single" w:color="auto" w:sz="12" w:space="0"/>
            </w:tcBorders>
            <w:vAlign w:val="center"/>
          </w:tcPr>
          <w:p w:rsidR="003B0815" w:rsidRDefault="003B0815" w14:paraId="0BDFCBA9"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2394C4F9" w14:textId="77777777">
            <w:pPr>
              <w:keepNext/>
              <w:jc w:val="center"/>
              <w:rPr>
                <w:rFonts w:ascii="Arial" w:hAnsi="Arial"/>
                <w:sz w:val="20"/>
                <w:szCs w:val="20"/>
              </w:rPr>
            </w:pPr>
            <w:r>
              <w:rPr>
                <w:rFonts w:ascii="Arial" w:hAnsi="Arial" w:cs="Arial"/>
                <w:b/>
                <w:bCs/>
                <w:sz w:val="20"/>
                <w:szCs w:val="20"/>
              </w:rPr>
              <w:t xml:space="preserve">Subtotal Internet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260" w:type="dxa"/>
            <w:tcBorders>
              <w:top w:val="single" w:color="auto" w:sz="12" w:space="0"/>
              <w:left w:val="double" w:color="auto" w:sz="4" w:space="0"/>
              <w:bottom w:val="single" w:color="auto" w:sz="4" w:space="0"/>
              <w:right w:val="single" w:color="auto" w:sz="12" w:space="0"/>
            </w:tcBorders>
            <w:vAlign w:val="center"/>
          </w:tcPr>
          <w:p w:rsidR="003B0815" w:rsidRDefault="003B0815" w14:paraId="1D554F3D" w14:textId="77777777">
            <w:pPr>
              <w:keepNext/>
              <w:jc w:val="center"/>
              <w:rPr>
                <w:rFonts w:ascii="Arial" w:hAnsi="Arial"/>
                <w:sz w:val="20"/>
                <w:szCs w:val="20"/>
              </w:rPr>
            </w:pPr>
            <w:r>
              <w:rPr>
                <w:rFonts w:ascii="Arial" w:hAnsi="Arial" w:cs="Arial"/>
                <w:b/>
                <w:bCs/>
                <w:sz w:val="20"/>
                <w:szCs w:val="20"/>
              </w:rPr>
              <w:t xml:space="preserve">Total Booking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(millions)</w:t>
            </w:r>
          </w:p>
        </w:tc>
      </w:tr>
      <w:tr w:rsidR="003B0815" w14:paraId="02A50172" w14:textId="77777777">
        <w:trPr>
          <w:jc w:val="center"/>
        </w:trPr>
        <w:tc>
          <w:tcPr>
            <w:tcW w:w="731" w:type="dxa"/>
            <w:tcBorders>
              <w:left w:val="single" w:color="auto" w:sz="12" w:space="0"/>
            </w:tcBorders>
            <w:vAlign w:val="center"/>
          </w:tcPr>
          <w:p w:rsidR="003B0815" w:rsidRDefault="003B0815" w14:paraId="25E48E86" w14:textId="77777777">
            <w:pPr>
              <w:keepNext/>
              <w:jc w:val="center"/>
              <w:rPr>
                <w:rFonts w:ascii="Arial" w:hAnsi="Arial"/>
                <w:sz w:val="20"/>
                <w:szCs w:val="20"/>
              </w:rPr>
            </w:pPr>
          </w:p>
        </w:tc>
        <w:tc>
          <w:tcPr>
            <w:tcW w:w="828" w:type="dxa"/>
            <w:vAlign w:val="center"/>
          </w:tcPr>
          <w:p w:rsidR="003B0815" w:rsidRDefault="003B0815" w14:paraId="4C3C7A54" w14:textId="77777777">
            <w:pPr>
              <w:keepNext/>
              <w:jc w:val="center"/>
              <w:rPr>
                <w:rFonts w:ascii="Arial" w:hAnsi="Arial"/>
                <w:sz w:val="20"/>
                <w:szCs w:val="20"/>
              </w:rPr>
            </w:pPr>
            <w:r>
              <w:rPr>
                <w:rFonts w:ascii="Arial" w:hAnsi="Arial" w:cs="Arial"/>
                <w:b/>
                <w:bCs/>
                <w:sz w:val="20"/>
                <w:szCs w:val="20"/>
              </w:rPr>
              <w:t>(A)</w:t>
            </w:r>
          </w:p>
        </w:tc>
        <w:tc>
          <w:tcPr>
            <w:tcW w:w="1008" w:type="dxa"/>
            <w:vAlign w:val="center"/>
          </w:tcPr>
          <w:p w:rsidR="003B0815" w:rsidRDefault="003B0815" w14:paraId="472DC594"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4201892B" w14:textId="77777777">
            <w:pPr>
              <w:keepNext/>
              <w:jc w:val="center"/>
              <w:rPr>
                <w:rFonts w:ascii="Arial" w:hAnsi="Arial"/>
                <w:sz w:val="20"/>
                <w:szCs w:val="20"/>
              </w:rPr>
            </w:pPr>
            <w:r>
              <w:rPr>
                <w:rFonts w:ascii="Arial" w:hAnsi="Arial" w:cs="Arial"/>
                <w:b/>
                <w:bCs/>
                <w:sz w:val="20"/>
                <w:szCs w:val="20"/>
              </w:rPr>
              <w:t>(C)</w:t>
            </w:r>
          </w:p>
        </w:tc>
        <w:tc>
          <w:tcPr>
            <w:tcW w:w="1260" w:type="dxa"/>
            <w:tcBorders>
              <w:bottom w:val="single" w:color="auto" w:sz="4" w:space="0"/>
              <w:right w:val="double" w:color="auto" w:sz="4" w:space="0"/>
            </w:tcBorders>
            <w:vAlign w:val="center"/>
          </w:tcPr>
          <w:p w:rsidR="003B0815" w:rsidRDefault="003B0815" w14:paraId="4FF81E9F" w14:textId="77777777">
            <w:pPr>
              <w:keepNext/>
              <w:jc w:val="center"/>
              <w:rPr>
                <w:rFonts w:ascii="Arial" w:hAnsi="Arial" w:cs="Arial"/>
                <w:b/>
                <w:bCs/>
                <w:sz w:val="20"/>
                <w:szCs w:val="20"/>
              </w:rPr>
            </w:pPr>
            <w:r>
              <w:rPr>
                <w:rFonts w:ascii="Arial" w:hAnsi="Arial" w:cs="Arial"/>
                <w:b/>
                <w:bCs/>
                <w:sz w:val="20"/>
                <w:szCs w:val="20"/>
              </w:rPr>
              <w:t>(D) =</w:t>
            </w:r>
          </w:p>
          <w:p w:rsidR="003B0815" w:rsidRDefault="003B0815" w14:paraId="7CBB9818" w14:textId="77777777">
            <w:pPr>
              <w:keepNext/>
              <w:jc w:val="center"/>
              <w:rPr>
                <w:rFonts w:ascii="Arial" w:hAnsi="Arial"/>
                <w:sz w:val="20"/>
                <w:szCs w:val="20"/>
              </w:rPr>
            </w:pPr>
            <w:r>
              <w:rPr>
                <w:rFonts w:ascii="Arial" w:hAnsi="Arial" w:cs="Arial"/>
                <w:b/>
                <w:bCs/>
                <w:sz w:val="20"/>
                <w:szCs w:val="20"/>
              </w:rPr>
              <w:t>A x B x C</w:t>
            </w:r>
          </w:p>
        </w:tc>
        <w:tc>
          <w:tcPr>
            <w:tcW w:w="1080" w:type="dxa"/>
            <w:tcBorders>
              <w:left w:val="double" w:color="auto" w:sz="4" w:space="0"/>
            </w:tcBorders>
            <w:vAlign w:val="center"/>
          </w:tcPr>
          <w:p w:rsidR="003B0815" w:rsidRDefault="003B0815" w14:paraId="43C6C4DC" w14:textId="77777777">
            <w:pPr>
              <w:keepNext/>
              <w:jc w:val="center"/>
              <w:rPr>
                <w:rFonts w:ascii="Arial" w:hAnsi="Arial"/>
                <w:sz w:val="20"/>
                <w:szCs w:val="20"/>
              </w:rPr>
            </w:pPr>
            <w:r>
              <w:rPr>
                <w:rFonts w:ascii="Arial" w:hAnsi="Arial" w:cs="Arial"/>
                <w:b/>
                <w:bCs/>
                <w:sz w:val="20"/>
                <w:szCs w:val="20"/>
              </w:rPr>
              <w:t>(E)</w:t>
            </w:r>
          </w:p>
        </w:tc>
        <w:tc>
          <w:tcPr>
            <w:tcW w:w="1080" w:type="dxa"/>
            <w:vAlign w:val="center"/>
          </w:tcPr>
          <w:p w:rsidR="003B0815" w:rsidRDefault="003B0815" w14:paraId="3B7AF461" w14:textId="77777777">
            <w:pPr>
              <w:keepNext/>
              <w:jc w:val="center"/>
              <w:rPr>
                <w:rFonts w:ascii="Arial" w:hAnsi="Arial"/>
                <w:sz w:val="20"/>
                <w:szCs w:val="20"/>
              </w:rPr>
            </w:pPr>
            <w:r>
              <w:rPr>
                <w:rFonts w:ascii="Arial" w:hAnsi="Arial" w:cs="Arial"/>
                <w:b/>
                <w:bCs/>
                <w:sz w:val="20"/>
                <w:szCs w:val="20"/>
              </w:rPr>
              <w:t>(F)</w:t>
            </w:r>
          </w:p>
        </w:tc>
        <w:tc>
          <w:tcPr>
            <w:tcW w:w="1260" w:type="dxa"/>
            <w:tcBorders>
              <w:bottom w:val="single" w:color="auto" w:sz="4" w:space="0"/>
              <w:right w:val="double" w:color="auto" w:sz="4" w:space="0"/>
            </w:tcBorders>
            <w:vAlign w:val="center"/>
          </w:tcPr>
          <w:p w:rsidR="003B0815" w:rsidRDefault="003B0815" w14:paraId="76FDF983" w14:textId="77777777">
            <w:pPr>
              <w:keepNext/>
              <w:jc w:val="center"/>
              <w:rPr>
                <w:rFonts w:ascii="Arial" w:hAnsi="Arial"/>
                <w:sz w:val="20"/>
                <w:szCs w:val="20"/>
              </w:rPr>
            </w:pPr>
            <w:r>
              <w:rPr>
                <w:rFonts w:ascii="Arial" w:hAnsi="Arial" w:cs="Arial"/>
                <w:b/>
                <w:bCs/>
                <w:sz w:val="20"/>
                <w:szCs w:val="20"/>
              </w:rPr>
              <w:t xml:space="preserve">(G) = </w:t>
            </w:r>
            <w:r>
              <w:rPr>
                <w:rFonts w:ascii="Arial" w:hAnsi="Arial" w:cs="Arial"/>
                <w:b/>
                <w:bCs/>
                <w:sz w:val="20"/>
                <w:szCs w:val="20"/>
              </w:rPr>
              <w:br/>
              <w:t>A x E x F</w:t>
            </w:r>
          </w:p>
        </w:tc>
        <w:tc>
          <w:tcPr>
            <w:tcW w:w="1260" w:type="dxa"/>
            <w:tcBorders>
              <w:left w:val="double" w:color="auto" w:sz="4" w:space="0"/>
              <w:bottom w:val="single" w:color="auto" w:sz="4" w:space="0"/>
              <w:right w:val="single" w:color="auto" w:sz="12" w:space="0"/>
            </w:tcBorders>
            <w:vAlign w:val="center"/>
          </w:tcPr>
          <w:p w:rsidR="003B0815" w:rsidRDefault="003B0815" w14:paraId="085A1359" w14:textId="77777777">
            <w:pPr>
              <w:keepNext/>
              <w:jc w:val="center"/>
              <w:rPr>
                <w:rFonts w:ascii="Arial" w:hAnsi="Arial"/>
                <w:sz w:val="20"/>
                <w:szCs w:val="20"/>
              </w:rPr>
            </w:pPr>
            <w:r>
              <w:rPr>
                <w:rFonts w:ascii="Arial" w:hAnsi="Arial" w:cs="Arial"/>
                <w:b/>
                <w:bCs/>
                <w:sz w:val="20"/>
                <w:szCs w:val="20"/>
              </w:rPr>
              <w:t>(H) = D + G</w:t>
            </w:r>
          </w:p>
        </w:tc>
      </w:tr>
      <w:tr w:rsidR="003B0815" w14:paraId="791A1B91" w14:textId="77777777">
        <w:trPr>
          <w:jc w:val="center"/>
        </w:trPr>
        <w:tc>
          <w:tcPr>
            <w:tcW w:w="731" w:type="dxa"/>
            <w:tcBorders>
              <w:left w:val="single" w:color="auto" w:sz="12" w:space="0"/>
            </w:tcBorders>
          </w:tcPr>
          <w:p w:rsidR="003B0815" w:rsidRDefault="003B0815" w14:paraId="0F352A2A" w14:textId="77777777">
            <w:pPr>
              <w:keepNext/>
              <w:jc w:val="center"/>
              <w:rPr>
                <w:rFonts w:ascii="Arial" w:hAnsi="Arial"/>
                <w:sz w:val="20"/>
                <w:szCs w:val="20"/>
              </w:rPr>
            </w:pPr>
            <w:r>
              <w:t>2008</w:t>
            </w:r>
          </w:p>
        </w:tc>
        <w:tc>
          <w:tcPr>
            <w:tcW w:w="828" w:type="dxa"/>
            <w:vAlign w:val="bottom"/>
          </w:tcPr>
          <w:p w:rsidR="003B0815" w:rsidRDefault="003B0815" w14:paraId="059F4622"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4A524BA9" w14:textId="77777777">
            <w:pPr>
              <w:keepNext/>
              <w:jc w:val="right"/>
              <w:rPr>
                <w:rFonts w:ascii="Arial" w:hAnsi="Arial"/>
                <w:sz w:val="20"/>
                <w:szCs w:val="20"/>
              </w:rPr>
            </w:pPr>
            <w:r>
              <w:rPr>
                <w:rFonts w:ascii="Arial" w:hAnsi="Arial" w:cs="Arial"/>
                <w:sz w:val="20"/>
                <w:szCs w:val="20"/>
              </w:rPr>
              <w:t xml:space="preserve">197.6 </w:t>
            </w:r>
          </w:p>
        </w:tc>
        <w:tc>
          <w:tcPr>
            <w:tcW w:w="1080" w:type="dxa"/>
            <w:vAlign w:val="bottom"/>
          </w:tcPr>
          <w:p w:rsidR="003B0815" w:rsidRDefault="003B0815" w14:paraId="522D6CE8"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33B7EA4E" w14:textId="77777777">
            <w:pPr>
              <w:keepNext/>
              <w:jc w:val="right"/>
              <w:rPr>
                <w:rFonts w:ascii="Arial" w:hAnsi="Arial"/>
                <w:sz w:val="20"/>
                <w:szCs w:val="20"/>
              </w:rPr>
            </w:pPr>
            <w:r>
              <w:rPr>
                <w:rFonts w:ascii="Arial" w:hAnsi="Arial" w:cs="Arial"/>
                <w:sz w:val="20"/>
                <w:szCs w:val="20"/>
              </w:rPr>
              <w:t>$33.9</w:t>
            </w:r>
          </w:p>
        </w:tc>
        <w:tc>
          <w:tcPr>
            <w:tcW w:w="1080" w:type="dxa"/>
            <w:tcBorders>
              <w:left w:val="double" w:color="auto" w:sz="4" w:space="0"/>
            </w:tcBorders>
            <w:vAlign w:val="bottom"/>
          </w:tcPr>
          <w:p w:rsidR="003B0815" w:rsidRDefault="003B0815" w14:paraId="31A48D00" w14:textId="77777777">
            <w:pPr>
              <w:keepNext/>
              <w:jc w:val="right"/>
              <w:rPr>
                <w:rFonts w:ascii="Arial" w:hAnsi="Arial"/>
                <w:sz w:val="20"/>
                <w:szCs w:val="20"/>
              </w:rPr>
            </w:pPr>
            <w:r>
              <w:rPr>
                <w:rFonts w:ascii="Arial" w:hAnsi="Arial" w:cs="Arial"/>
                <w:sz w:val="20"/>
                <w:szCs w:val="20"/>
              </w:rPr>
              <w:t xml:space="preserve">189.8 </w:t>
            </w:r>
          </w:p>
        </w:tc>
        <w:tc>
          <w:tcPr>
            <w:tcW w:w="1080" w:type="dxa"/>
            <w:vAlign w:val="bottom"/>
          </w:tcPr>
          <w:p w:rsidR="003B0815" w:rsidRDefault="003B0815" w14:paraId="10C20A9A"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7F1D6200" w14:textId="77777777">
            <w:pPr>
              <w:keepNext/>
              <w:jc w:val="right"/>
              <w:rPr>
                <w:rFonts w:ascii="Arial" w:hAnsi="Arial"/>
                <w:sz w:val="20"/>
                <w:szCs w:val="20"/>
              </w:rPr>
            </w:pPr>
            <w:r>
              <w:rPr>
                <w:rFonts w:ascii="Arial" w:hAnsi="Arial" w:cs="Arial"/>
                <w:sz w:val="20"/>
                <w:szCs w:val="20"/>
              </w:rPr>
              <w:t xml:space="preserve">$16.3 </w:t>
            </w:r>
          </w:p>
        </w:tc>
        <w:tc>
          <w:tcPr>
            <w:tcW w:w="1260" w:type="dxa"/>
            <w:tcBorders>
              <w:left w:val="double" w:color="auto" w:sz="4" w:space="0"/>
              <w:right w:val="single" w:color="auto" w:sz="12" w:space="0"/>
            </w:tcBorders>
            <w:shd w:val="clear" w:color="auto" w:fill="C0C0C0"/>
            <w:vAlign w:val="bottom"/>
          </w:tcPr>
          <w:p w:rsidR="003B0815" w:rsidRDefault="003B0815" w14:paraId="254592B6" w14:textId="77777777">
            <w:pPr>
              <w:keepNext/>
              <w:jc w:val="right"/>
              <w:rPr>
                <w:rFonts w:ascii="Arial" w:hAnsi="Arial"/>
                <w:sz w:val="20"/>
                <w:szCs w:val="20"/>
              </w:rPr>
            </w:pPr>
            <w:r>
              <w:rPr>
                <w:rFonts w:ascii="Arial" w:hAnsi="Arial" w:cs="Arial"/>
                <w:b/>
                <w:bCs/>
                <w:sz w:val="20"/>
                <w:szCs w:val="20"/>
              </w:rPr>
              <w:t>$50.2</w:t>
            </w:r>
          </w:p>
        </w:tc>
      </w:tr>
      <w:tr w:rsidR="003B0815" w14:paraId="7FF0C6A9" w14:textId="77777777">
        <w:trPr>
          <w:jc w:val="center"/>
        </w:trPr>
        <w:tc>
          <w:tcPr>
            <w:tcW w:w="731" w:type="dxa"/>
            <w:tcBorders>
              <w:left w:val="single" w:color="auto" w:sz="12" w:space="0"/>
            </w:tcBorders>
          </w:tcPr>
          <w:p w:rsidR="003B0815" w:rsidRDefault="003B0815" w14:paraId="79A08681" w14:textId="77777777">
            <w:pPr>
              <w:keepNext/>
              <w:jc w:val="center"/>
              <w:rPr>
                <w:rFonts w:ascii="Arial" w:hAnsi="Arial"/>
                <w:sz w:val="20"/>
                <w:szCs w:val="20"/>
              </w:rPr>
            </w:pPr>
            <w:r>
              <w:t>2009</w:t>
            </w:r>
          </w:p>
        </w:tc>
        <w:tc>
          <w:tcPr>
            <w:tcW w:w="828" w:type="dxa"/>
            <w:vAlign w:val="bottom"/>
          </w:tcPr>
          <w:p w:rsidR="003B0815" w:rsidRDefault="003B0815" w14:paraId="1E54F462"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C300E45" w14:textId="77777777">
            <w:pPr>
              <w:keepNext/>
              <w:jc w:val="right"/>
              <w:rPr>
                <w:rFonts w:ascii="Arial" w:hAnsi="Arial"/>
                <w:sz w:val="20"/>
                <w:szCs w:val="20"/>
              </w:rPr>
            </w:pPr>
            <w:r>
              <w:rPr>
                <w:rFonts w:ascii="Arial" w:hAnsi="Arial" w:cs="Arial"/>
                <w:sz w:val="20"/>
                <w:szCs w:val="20"/>
              </w:rPr>
              <w:t xml:space="preserve">203.7 </w:t>
            </w:r>
          </w:p>
        </w:tc>
        <w:tc>
          <w:tcPr>
            <w:tcW w:w="1080" w:type="dxa"/>
            <w:vAlign w:val="bottom"/>
          </w:tcPr>
          <w:p w:rsidR="003B0815" w:rsidRDefault="003B0815" w14:paraId="1AA04F86"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13179515" w14:textId="77777777">
            <w:pPr>
              <w:keepNext/>
              <w:jc w:val="right"/>
              <w:rPr>
                <w:rFonts w:ascii="Arial" w:hAnsi="Arial"/>
                <w:sz w:val="20"/>
                <w:szCs w:val="20"/>
              </w:rPr>
            </w:pPr>
            <w:r>
              <w:rPr>
                <w:rFonts w:ascii="Arial" w:hAnsi="Arial" w:cs="Arial"/>
                <w:sz w:val="20"/>
                <w:szCs w:val="20"/>
              </w:rPr>
              <w:t>34.9</w:t>
            </w:r>
          </w:p>
        </w:tc>
        <w:tc>
          <w:tcPr>
            <w:tcW w:w="1080" w:type="dxa"/>
            <w:tcBorders>
              <w:left w:val="double" w:color="auto" w:sz="4" w:space="0"/>
            </w:tcBorders>
            <w:vAlign w:val="bottom"/>
          </w:tcPr>
          <w:p w:rsidR="003B0815" w:rsidRDefault="003B0815" w14:paraId="0ABF1276" w14:textId="77777777">
            <w:pPr>
              <w:keepNext/>
              <w:jc w:val="right"/>
              <w:rPr>
                <w:rFonts w:ascii="Arial" w:hAnsi="Arial"/>
                <w:sz w:val="20"/>
                <w:szCs w:val="20"/>
              </w:rPr>
            </w:pPr>
            <w:r>
              <w:rPr>
                <w:rFonts w:ascii="Arial" w:hAnsi="Arial" w:cs="Arial"/>
                <w:sz w:val="20"/>
                <w:szCs w:val="20"/>
              </w:rPr>
              <w:t xml:space="preserve">195.7 </w:t>
            </w:r>
          </w:p>
        </w:tc>
        <w:tc>
          <w:tcPr>
            <w:tcW w:w="1080" w:type="dxa"/>
            <w:vAlign w:val="bottom"/>
          </w:tcPr>
          <w:p w:rsidR="003B0815" w:rsidRDefault="003B0815" w14:paraId="5F33E573"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64F64989" w14:textId="77777777">
            <w:pPr>
              <w:keepNext/>
              <w:jc w:val="right"/>
              <w:rPr>
                <w:rFonts w:ascii="Arial" w:hAnsi="Arial"/>
                <w:sz w:val="20"/>
                <w:szCs w:val="20"/>
              </w:rPr>
            </w:pPr>
            <w:r>
              <w:rPr>
                <w:rFonts w:ascii="Arial" w:hAnsi="Arial" w:cs="Arial"/>
                <w:sz w:val="20"/>
                <w:szCs w:val="20"/>
              </w:rPr>
              <w:t xml:space="preserve">16.8 </w:t>
            </w:r>
          </w:p>
        </w:tc>
        <w:tc>
          <w:tcPr>
            <w:tcW w:w="1260" w:type="dxa"/>
            <w:tcBorders>
              <w:left w:val="double" w:color="auto" w:sz="4" w:space="0"/>
              <w:right w:val="single" w:color="auto" w:sz="12" w:space="0"/>
            </w:tcBorders>
            <w:shd w:val="clear" w:color="auto" w:fill="C0C0C0"/>
            <w:vAlign w:val="bottom"/>
          </w:tcPr>
          <w:p w:rsidR="003B0815" w:rsidRDefault="003B0815" w14:paraId="57700807" w14:textId="77777777">
            <w:pPr>
              <w:keepNext/>
              <w:jc w:val="right"/>
              <w:rPr>
                <w:rFonts w:ascii="Arial" w:hAnsi="Arial"/>
                <w:sz w:val="20"/>
                <w:szCs w:val="20"/>
              </w:rPr>
            </w:pPr>
            <w:r>
              <w:rPr>
                <w:rFonts w:ascii="Arial" w:hAnsi="Arial" w:cs="Arial"/>
                <w:b/>
                <w:bCs/>
                <w:sz w:val="20"/>
                <w:szCs w:val="20"/>
              </w:rPr>
              <w:t>51.7</w:t>
            </w:r>
          </w:p>
        </w:tc>
      </w:tr>
      <w:tr w:rsidR="003B0815" w14:paraId="55330D32" w14:textId="77777777">
        <w:trPr>
          <w:jc w:val="center"/>
        </w:trPr>
        <w:tc>
          <w:tcPr>
            <w:tcW w:w="731" w:type="dxa"/>
            <w:tcBorders>
              <w:left w:val="single" w:color="auto" w:sz="12" w:space="0"/>
            </w:tcBorders>
          </w:tcPr>
          <w:p w:rsidR="003B0815" w:rsidRDefault="003B0815" w14:paraId="53024498" w14:textId="77777777">
            <w:pPr>
              <w:keepNext/>
              <w:jc w:val="center"/>
              <w:rPr>
                <w:rFonts w:ascii="Arial" w:hAnsi="Arial"/>
                <w:sz w:val="20"/>
                <w:szCs w:val="20"/>
              </w:rPr>
            </w:pPr>
            <w:r>
              <w:t>2010</w:t>
            </w:r>
          </w:p>
        </w:tc>
        <w:tc>
          <w:tcPr>
            <w:tcW w:w="828" w:type="dxa"/>
            <w:vAlign w:val="bottom"/>
          </w:tcPr>
          <w:p w:rsidR="003B0815" w:rsidRDefault="003B0815" w14:paraId="190E5729"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6326E80" w14:textId="77777777">
            <w:pPr>
              <w:keepNext/>
              <w:jc w:val="right"/>
              <w:rPr>
                <w:rFonts w:ascii="Arial" w:hAnsi="Arial"/>
                <w:sz w:val="20"/>
                <w:szCs w:val="20"/>
              </w:rPr>
            </w:pPr>
            <w:r>
              <w:rPr>
                <w:rFonts w:ascii="Arial" w:hAnsi="Arial" w:cs="Arial"/>
                <w:sz w:val="20"/>
                <w:szCs w:val="20"/>
              </w:rPr>
              <w:t xml:space="preserve">210.1 </w:t>
            </w:r>
          </w:p>
        </w:tc>
        <w:tc>
          <w:tcPr>
            <w:tcW w:w="1080" w:type="dxa"/>
            <w:vAlign w:val="bottom"/>
          </w:tcPr>
          <w:p w:rsidR="003B0815" w:rsidRDefault="003B0815" w14:paraId="67C5FD96"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319E6292" w14:textId="77777777">
            <w:pPr>
              <w:keepNext/>
              <w:jc w:val="right"/>
              <w:rPr>
                <w:rFonts w:ascii="Arial" w:hAnsi="Arial"/>
                <w:sz w:val="20"/>
                <w:szCs w:val="20"/>
              </w:rPr>
            </w:pPr>
            <w:r>
              <w:rPr>
                <w:rFonts w:ascii="Arial" w:hAnsi="Arial" w:cs="Arial"/>
                <w:sz w:val="20"/>
                <w:szCs w:val="20"/>
              </w:rPr>
              <w:t>36.1</w:t>
            </w:r>
          </w:p>
        </w:tc>
        <w:tc>
          <w:tcPr>
            <w:tcW w:w="1080" w:type="dxa"/>
            <w:tcBorders>
              <w:left w:val="double" w:color="auto" w:sz="4" w:space="0"/>
            </w:tcBorders>
            <w:vAlign w:val="bottom"/>
          </w:tcPr>
          <w:p w:rsidR="003B0815" w:rsidRDefault="003B0815" w14:paraId="24385747" w14:textId="77777777">
            <w:pPr>
              <w:keepNext/>
              <w:jc w:val="right"/>
              <w:rPr>
                <w:rFonts w:ascii="Arial" w:hAnsi="Arial"/>
                <w:sz w:val="20"/>
                <w:szCs w:val="20"/>
              </w:rPr>
            </w:pPr>
            <w:r>
              <w:rPr>
                <w:rFonts w:ascii="Arial" w:hAnsi="Arial" w:cs="Arial"/>
                <w:sz w:val="20"/>
                <w:szCs w:val="20"/>
              </w:rPr>
              <w:t xml:space="preserve">201.9 </w:t>
            </w:r>
          </w:p>
        </w:tc>
        <w:tc>
          <w:tcPr>
            <w:tcW w:w="1080" w:type="dxa"/>
            <w:vAlign w:val="bottom"/>
          </w:tcPr>
          <w:p w:rsidR="003B0815" w:rsidRDefault="003B0815" w14:paraId="20790946"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5E658B09" w14:textId="77777777">
            <w:pPr>
              <w:keepNext/>
              <w:jc w:val="right"/>
              <w:rPr>
                <w:rFonts w:ascii="Arial" w:hAnsi="Arial"/>
                <w:sz w:val="20"/>
                <w:szCs w:val="20"/>
              </w:rPr>
            </w:pPr>
            <w:r>
              <w:rPr>
                <w:rFonts w:ascii="Arial" w:hAnsi="Arial" w:cs="Arial"/>
                <w:sz w:val="20"/>
                <w:szCs w:val="20"/>
              </w:rPr>
              <w:t xml:space="preserve">17.3 </w:t>
            </w:r>
          </w:p>
        </w:tc>
        <w:tc>
          <w:tcPr>
            <w:tcW w:w="1260" w:type="dxa"/>
            <w:tcBorders>
              <w:left w:val="double" w:color="auto" w:sz="4" w:space="0"/>
              <w:right w:val="single" w:color="auto" w:sz="12" w:space="0"/>
            </w:tcBorders>
            <w:shd w:val="clear" w:color="auto" w:fill="C0C0C0"/>
            <w:vAlign w:val="bottom"/>
          </w:tcPr>
          <w:p w:rsidR="003B0815" w:rsidRDefault="003B0815" w14:paraId="7893B27B" w14:textId="77777777">
            <w:pPr>
              <w:keepNext/>
              <w:jc w:val="right"/>
              <w:rPr>
                <w:rFonts w:ascii="Arial" w:hAnsi="Arial"/>
                <w:sz w:val="20"/>
                <w:szCs w:val="20"/>
              </w:rPr>
            </w:pPr>
            <w:r>
              <w:rPr>
                <w:rFonts w:ascii="Arial" w:hAnsi="Arial" w:cs="Arial"/>
                <w:b/>
                <w:bCs/>
                <w:sz w:val="20"/>
                <w:szCs w:val="20"/>
              </w:rPr>
              <w:t>53.4</w:t>
            </w:r>
          </w:p>
        </w:tc>
      </w:tr>
      <w:tr w:rsidR="003B0815" w14:paraId="1B918876" w14:textId="77777777">
        <w:trPr>
          <w:jc w:val="center"/>
        </w:trPr>
        <w:tc>
          <w:tcPr>
            <w:tcW w:w="731" w:type="dxa"/>
            <w:tcBorders>
              <w:left w:val="single" w:color="auto" w:sz="12" w:space="0"/>
            </w:tcBorders>
          </w:tcPr>
          <w:p w:rsidR="003B0815" w:rsidRDefault="003B0815" w14:paraId="228E2263" w14:textId="77777777">
            <w:pPr>
              <w:keepNext/>
              <w:jc w:val="center"/>
              <w:rPr>
                <w:rFonts w:ascii="Arial" w:hAnsi="Arial"/>
                <w:sz w:val="20"/>
                <w:szCs w:val="20"/>
              </w:rPr>
            </w:pPr>
            <w:r>
              <w:t>2011</w:t>
            </w:r>
          </w:p>
        </w:tc>
        <w:tc>
          <w:tcPr>
            <w:tcW w:w="828" w:type="dxa"/>
            <w:vAlign w:val="bottom"/>
          </w:tcPr>
          <w:p w:rsidR="003B0815" w:rsidRDefault="003B0815" w14:paraId="41CA0708"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E7C9A4A" w14:textId="77777777">
            <w:pPr>
              <w:keepNext/>
              <w:jc w:val="right"/>
              <w:rPr>
                <w:rFonts w:ascii="Arial" w:hAnsi="Arial"/>
                <w:sz w:val="20"/>
                <w:szCs w:val="20"/>
              </w:rPr>
            </w:pPr>
            <w:r>
              <w:rPr>
                <w:rFonts w:ascii="Arial" w:hAnsi="Arial" w:cs="Arial"/>
                <w:sz w:val="20"/>
                <w:szCs w:val="20"/>
              </w:rPr>
              <w:t xml:space="preserve">216.7 </w:t>
            </w:r>
          </w:p>
        </w:tc>
        <w:tc>
          <w:tcPr>
            <w:tcW w:w="1080" w:type="dxa"/>
            <w:vAlign w:val="bottom"/>
          </w:tcPr>
          <w:p w:rsidR="003B0815" w:rsidRDefault="003B0815" w14:paraId="0D3807AA"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398AC51F" w14:textId="77777777">
            <w:pPr>
              <w:keepNext/>
              <w:jc w:val="right"/>
              <w:rPr>
                <w:rFonts w:ascii="Arial" w:hAnsi="Arial"/>
                <w:sz w:val="20"/>
                <w:szCs w:val="20"/>
              </w:rPr>
            </w:pPr>
            <w:r>
              <w:rPr>
                <w:rFonts w:ascii="Arial" w:hAnsi="Arial" w:cs="Arial"/>
                <w:sz w:val="20"/>
                <w:szCs w:val="20"/>
              </w:rPr>
              <w:t>37.2</w:t>
            </w:r>
          </w:p>
        </w:tc>
        <w:tc>
          <w:tcPr>
            <w:tcW w:w="1080" w:type="dxa"/>
            <w:tcBorders>
              <w:left w:val="double" w:color="auto" w:sz="4" w:space="0"/>
            </w:tcBorders>
            <w:vAlign w:val="bottom"/>
          </w:tcPr>
          <w:p w:rsidR="003B0815" w:rsidRDefault="003B0815" w14:paraId="1BB9113A" w14:textId="77777777">
            <w:pPr>
              <w:keepNext/>
              <w:jc w:val="right"/>
              <w:rPr>
                <w:rFonts w:ascii="Arial" w:hAnsi="Arial"/>
                <w:sz w:val="20"/>
                <w:szCs w:val="20"/>
              </w:rPr>
            </w:pPr>
            <w:r>
              <w:rPr>
                <w:rFonts w:ascii="Arial" w:hAnsi="Arial" w:cs="Arial"/>
                <w:sz w:val="20"/>
                <w:szCs w:val="20"/>
              </w:rPr>
              <w:t xml:space="preserve">208.2 </w:t>
            </w:r>
          </w:p>
        </w:tc>
        <w:tc>
          <w:tcPr>
            <w:tcW w:w="1080" w:type="dxa"/>
            <w:vAlign w:val="bottom"/>
          </w:tcPr>
          <w:p w:rsidR="003B0815" w:rsidRDefault="003B0815" w14:paraId="25D6A52E"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368B97A6" w14:textId="77777777">
            <w:pPr>
              <w:keepNext/>
              <w:jc w:val="right"/>
              <w:rPr>
                <w:rFonts w:ascii="Arial" w:hAnsi="Arial"/>
                <w:sz w:val="20"/>
                <w:szCs w:val="20"/>
              </w:rPr>
            </w:pPr>
            <w:r>
              <w:rPr>
                <w:rFonts w:ascii="Arial" w:hAnsi="Arial" w:cs="Arial"/>
                <w:sz w:val="20"/>
                <w:szCs w:val="20"/>
              </w:rPr>
              <w:t xml:space="preserve">17.9 </w:t>
            </w:r>
          </w:p>
        </w:tc>
        <w:tc>
          <w:tcPr>
            <w:tcW w:w="1260" w:type="dxa"/>
            <w:tcBorders>
              <w:left w:val="double" w:color="auto" w:sz="4" w:space="0"/>
              <w:right w:val="single" w:color="auto" w:sz="12" w:space="0"/>
            </w:tcBorders>
            <w:shd w:val="clear" w:color="auto" w:fill="C0C0C0"/>
            <w:vAlign w:val="bottom"/>
          </w:tcPr>
          <w:p w:rsidR="003B0815" w:rsidRDefault="003B0815" w14:paraId="24458F27" w14:textId="77777777">
            <w:pPr>
              <w:keepNext/>
              <w:jc w:val="right"/>
              <w:rPr>
                <w:rFonts w:ascii="Arial" w:hAnsi="Arial"/>
                <w:sz w:val="20"/>
                <w:szCs w:val="20"/>
              </w:rPr>
            </w:pPr>
            <w:r>
              <w:rPr>
                <w:rFonts w:ascii="Arial" w:hAnsi="Arial" w:cs="Arial"/>
                <w:b/>
                <w:bCs/>
                <w:sz w:val="20"/>
                <w:szCs w:val="20"/>
              </w:rPr>
              <w:t>55.1</w:t>
            </w:r>
          </w:p>
        </w:tc>
      </w:tr>
      <w:tr w:rsidR="003B0815" w14:paraId="7AC56751" w14:textId="77777777">
        <w:trPr>
          <w:jc w:val="center"/>
        </w:trPr>
        <w:tc>
          <w:tcPr>
            <w:tcW w:w="731" w:type="dxa"/>
            <w:tcBorders>
              <w:left w:val="single" w:color="auto" w:sz="12" w:space="0"/>
            </w:tcBorders>
          </w:tcPr>
          <w:p w:rsidR="003B0815" w:rsidRDefault="003B0815" w14:paraId="392CE0AC" w14:textId="77777777">
            <w:pPr>
              <w:keepNext/>
              <w:jc w:val="center"/>
              <w:rPr>
                <w:rFonts w:ascii="Arial" w:hAnsi="Arial"/>
                <w:sz w:val="20"/>
                <w:szCs w:val="20"/>
              </w:rPr>
            </w:pPr>
            <w:r>
              <w:t>2012</w:t>
            </w:r>
          </w:p>
        </w:tc>
        <w:tc>
          <w:tcPr>
            <w:tcW w:w="828" w:type="dxa"/>
            <w:vAlign w:val="bottom"/>
          </w:tcPr>
          <w:p w:rsidR="003B0815" w:rsidRDefault="003B0815" w14:paraId="09B3FD1B"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901A762" w14:textId="77777777">
            <w:pPr>
              <w:keepNext/>
              <w:jc w:val="right"/>
              <w:rPr>
                <w:rFonts w:ascii="Arial" w:hAnsi="Arial"/>
                <w:sz w:val="20"/>
                <w:szCs w:val="20"/>
              </w:rPr>
            </w:pPr>
            <w:r>
              <w:rPr>
                <w:rFonts w:ascii="Arial" w:hAnsi="Arial" w:cs="Arial"/>
                <w:sz w:val="20"/>
                <w:szCs w:val="20"/>
              </w:rPr>
              <w:t xml:space="preserve">223.7 </w:t>
            </w:r>
          </w:p>
        </w:tc>
        <w:tc>
          <w:tcPr>
            <w:tcW w:w="1080" w:type="dxa"/>
            <w:vAlign w:val="bottom"/>
          </w:tcPr>
          <w:p w:rsidR="003B0815" w:rsidRDefault="003B0815" w14:paraId="2F7F4BBF"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41899C81" w14:textId="77777777">
            <w:pPr>
              <w:keepNext/>
              <w:jc w:val="right"/>
              <w:rPr>
                <w:rFonts w:ascii="Arial" w:hAnsi="Arial"/>
                <w:sz w:val="20"/>
                <w:szCs w:val="20"/>
              </w:rPr>
            </w:pPr>
            <w:r>
              <w:rPr>
                <w:rFonts w:ascii="Arial" w:hAnsi="Arial" w:cs="Arial"/>
                <w:sz w:val="20"/>
                <w:szCs w:val="20"/>
              </w:rPr>
              <w:t>38.4</w:t>
            </w:r>
          </w:p>
        </w:tc>
        <w:tc>
          <w:tcPr>
            <w:tcW w:w="1080" w:type="dxa"/>
            <w:tcBorders>
              <w:left w:val="double" w:color="auto" w:sz="4" w:space="0"/>
            </w:tcBorders>
            <w:vAlign w:val="bottom"/>
          </w:tcPr>
          <w:p w:rsidR="003B0815" w:rsidRDefault="003B0815" w14:paraId="5745CA97" w14:textId="77777777">
            <w:pPr>
              <w:keepNext/>
              <w:jc w:val="right"/>
              <w:rPr>
                <w:rFonts w:ascii="Arial" w:hAnsi="Arial"/>
                <w:sz w:val="20"/>
                <w:szCs w:val="20"/>
              </w:rPr>
            </w:pPr>
            <w:r>
              <w:rPr>
                <w:rFonts w:ascii="Arial" w:hAnsi="Arial" w:cs="Arial"/>
                <w:sz w:val="20"/>
                <w:szCs w:val="20"/>
              </w:rPr>
              <w:t xml:space="preserve">214.9 </w:t>
            </w:r>
          </w:p>
        </w:tc>
        <w:tc>
          <w:tcPr>
            <w:tcW w:w="1080" w:type="dxa"/>
            <w:vAlign w:val="bottom"/>
          </w:tcPr>
          <w:p w:rsidR="003B0815" w:rsidRDefault="003B0815" w14:paraId="2B79F8DE"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014D39B7" w14:textId="77777777">
            <w:pPr>
              <w:keepNext/>
              <w:jc w:val="right"/>
              <w:rPr>
                <w:rFonts w:ascii="Arial" w:hAnsi="Arial"/>
                <w:sz w:val="20"/>
                <w:szCs w:val="20"/>
              </w:rPr>
            </w:pPr>
            <w:r>
              <w:rPr>
                <w:rFonts w:ascii="Arial" w:hAnsi="Arial" w:cs="Arial"/>
                <w:sz w:val="20"/>
                <w:szCs w:val="20"/>
              </w:rPr>
              <w:t xml:space="preserve">18.4 </w:t>
            </w:r>
          </w:p>
        </w:tc>
        <w:tc>
          <w:tcPr>
            <w:tcW w:w="1260" w:type="dxa"/>
            <w:tcBorders>
              <w:left w:val="double" w:color="auto" w:sz="4" w:space="0"/>
              <w:right w:val="single" w:color="auto" w:sz="12" w:space="0"/>
            </w:tcBorders>
            <w:shd w:val="clear" w:color="auto" w:fill="C0C0C0"/>
            <w:vAlign w:val="bottom"/>
          </w:tcPr>
          <w:p w:rsidR="003B0815" w:rsidRDefault="003B0815" w14:paraId="0AABC586" w14:textId="77777777">
            <w:pPr>
              <w:keepNext/>
              <w:jc w:val="right"/>
              <w:rPr>
                <w:rFonts w:ascii="Arial" w:hAnsi="Arial"/>
                <w:sz w:val="20"/>
                <w:szCs w:val="20"/>
              </w:rPr>
            </w:pPr>
            <w:r>
              <w:rPr>
                <w:rFonts w:ascii="Arial" w:hAnsi="Arial" w:cs="Arial"/>
                <w:b/>
                <w:bCs/>
                <w:sz w:val="20"/>
                <w:szCs w:val="20"/>
              </w:rPr>
              <w:t>56.8</w:t>
            </w:r>
          </w:p>
        </w:tc>
      </w:tr>
      <w:tr w:rsidR="003B0815" w14:paraId="093844DE" w14:textId="77777777">
        <w:trPr>
          <w:jc w:val="center"/>
        </w:trPr>
        <w:tc>
          <w:tcPr>
            <w:tcW w:w="731" w:type="dxa"/>
            <w:tcBorders>
              <w:left w:val="single" w:color="auto" w:sz="12" w:space="0"/>
            </w:tcBorders>
          </w:tcPr>
          <w:p w:rsidR="003B0815" w:rsidRDefault="003B0815" w14:paraId="02197844" w14:textId="77777777">
            <w:pPr>
              <w:keepNext/>
              <w:jc w:val="center"/>
              <w:rPr>
                <w:rFonts w:ascii="Arial" w:hAnsi="Arial"/>
                <w:sz w:val="20"/>
                <w:szCs w:val="20"/>
              </w:rPr>
            </w:pPr>
            <w:r>
              <w:t>2013</w:t>
            </w:r>
          </w:p>
        </w:tc>
        <w:tc>
          <w:tcPr>
            <w:tcW w:w="828" w:type="dxa"/>
            <w:vAlign w:val="bottom"/>
          </w:tcPr>
          <w:p w:rsidR="003B0815" w:rsidRDefault="003B0815" w14:paraId="26277EE1"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43B3DBA" w14:textId="77777777">
            <w:pPr>
              <w:keepNext/>
              <w:jc w:val="right"/>
              <w:rPr>
                <w:rFonts w:ascii="Arial" w:hAnsi="Arial"/>
                <w:sz w:val="20"/>
                <w:szCs w:val="20"/>
              </w:rPr>
            </w:pPr>
            <w:r>
              <w:rPr>
                <w:rFonts w:ascii="Arial" w:hAnsi="Arial" w:cs="Arial"/>
                <w:sz w:val="20"/>
                <w:szCs w:val="20"/>
              </w:rPr>
              <w:t xml:space="preserve">230.7 </w:t>
            </w:r>
          </w:p>
        </w:tc>
        <w:tc>
          <w:tcPr>
            <w:tcW w:w="1080" w:type="dxa"/>
            <w:vAlign w:val="bottom"/>
          </w:tcPr>
          <w:p w:rsidR="003B0815" w:rsidRDefault="003B0815" w14:paraId="7FBBFE0E"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6A0E5818" w14:textId="77777777">
            <w:pPr>
              <w:keepNext/>
              <w:jc w:val="right"/>
              <w:rPr>
                <w:rFonts w:ascii="Arial" w:hAnsi="Arial"/>
                <w:sz w:val="20"/>
                <w:szCs w:val="20"/>
              </w:rPr>
            </w:pPr>
            <w:r>
              <w:rPr>
                <w:rFonts w:ascii="Arial" w:hAnsi="Arial" w:cs="Arial"/>
                <w:sz w:val="20"/>
                <w:szCs w:val="20"/>
              </w:rPr>
              <w:t>39.6</w:t>
            </w:r>
          </w:p>
        </w:tc>
        <w:tc>
          <w:tcPr>
            <w:tcW w:w="1080" w:type="dxa"/>
            <w:tcBorders>
              <w:left w:val="double" w:color="auto" w:sz="4" w:space="0"/>
            </w:tcBorders>
            <w:vAlign w:val="bottom"/>
          </w:tcPr>
          <w:p w:rsidR="003B0815" w:rsidRDefault="003B0815" w14:paraId="4356780C" w14:textId="77777777">
            <w:pPr>
              <w:keepNext/>
              <w:jc w:val="right"/>
              <w:rPr>
                <w:rFonts w:ascii="Arial" w:hAnsi="Arial"/>
                <w:sz w:val="20"/>
                <w:szCs w:val="20"/>
              </w:rPr>
            </w:pPr>
            <w:r>
              <w:rPr>
                <w:rFonts w:ascii="Arial" w:hAnsi="Arial" w:cs="Arial"/>
                <w:sz w:val="20"/>
                <w:szCs w:val="20"/>
              </w:rPr>
              <w:t xml:space="preserve">221.7 </w:t>
            </w:r>
          </w:p>
        </w:tc>
        <w:tc>
          <w:tcPr>
            <w:tcW w:w="1080" w:type="dxa"/>
            <w:vAlign w:val="bottom"/>
          </w:tcPr>
          <w:p w:rsidR="003B0815" w:rsidRDefault="003B0815" w14:paraId="67482A57"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568D3E78" w14:textId="77777777">
            <w:pPr>
              <w:keepNext/>
              <w:jc w:val="right"/>
              <w:rPr>
                <w:rFonts w:ascii="Arial" w:hAnsi="Arial"/>
                <w:sz w:val="20"/>
                <w:szCs w:val="20"/>
              </w:rPr>
            </w:pPr>
            <w:r>
              <w:rPr>
                <w:rFonts w:ascii="Arial" w:hAnsi="Arial" w:cs="Arial"/>
                <w:sz w:val="20"/>
                <w:szCs w:val="20"/>
              </w:rPr>
              <w:t xml:space="preserve">19.0 </w:t>
            </w:r>
          </w:p>
        </w:tc>
        <w:tc>
          <w:tcPr>
            <w:tcW w:w="1260" w:type="dxa"/>
            <w:tcBorders>
              <w:left w:val="double" w:color="auto" w:sz="4" w:space="0"/>
              <w:right w:val="single" w:color="auto" w:sz="12" w:space="0"/>
            </w:tcBorders>
            <w:shd w:val="clear" w:color="auto" w:fill="C0C0C0"/>
            <w:vAlign w:val="bottom"/>
          </w:tcPr>
          <w:p w:rsidR="003B0815" w:rsidRDefault="003B0815" w14:paraId="03A26CE5" w14:textId="77777777">
            <w:pPr>
              <w:keepNext/>
              <w:jc w:val="right"/>
              <w:rPr>
                <w:rFonts w:ascii="Arial" w:hAnsi="Arial"/>
                <w:sz w:val="20"/>
                <w:szCs w:val="20"/>
              </w:rPr>
            </w:pPr>
            <w:r>
              <w:rPr>
                <w:rFonts w:ascii="Arial" w:hAnsi="Arial" w:cs="Arial"/>
                <w:b/>
                <w:bCs/>
                <w:sz w:val="20"/>
                <w:szCs w:val="20"/>
              </w:rPr>
              <w:t>58.6</w:t>
            </w:r>
          </w:p>
        </w:tc>
      </w:tr>
      <w:tr w:rsidR="003B0815" w14:paraId="7E3F35C2" w14:textId="77777777">
        <w:trPr>
          <w:jc w:val="center"/>
        </w:trPr>
        <w:tc>
          <w:tcPr>
            <w:tcW w:w="731" w:type="dxa"/>
            <w:tcBorders>
              <w:left w:val="single" w:color="auto" w:sz="12" w:space="0"/>
            </w:tcBorders>
          </w:tcPr>
          <w:p w:rsidR="003B0815" w:rsidRDefault="003B0815" w14:paraId="4EB6AA8D" w14:textId="77777777">
            <w:pPr>
              <w:keepNext/>
              <w:jc w:val="center"/>
              <w:rPr>
                <w:rFonts w:ascii="Arial" w:hAnsi="Arial"/>
                <w:sz w:val="20"/>
                <w:szCs w:val="20"/>
              </w:rPr>
            </w:pPr>
            <w:r>
              <w:t>2014</w:t>
            </w:r>
          </w:p>
        </w:tc>
        <w:tc>
          <w:tcPr>
            <w:tcW w:w="828" w:type="dxa"/>
            <w:vAlign w:val="bottom"/>
          </w:tcPr>
          <w:p w:rsidR="003B0815" w:rsidRDefault="003B0815" w14:paraId="50B9BC03"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006EA24D" w14:textId="77777777">
            <w:pPr>
              <w:keepNext/>
              <w:jc w:val="right"/>
              <w:rPr>
                <w:rFonts w:ascii="Arial" w:hAnsi="Arial"/>
                <w:sz w:val="20"/>
                <w:szCs w:val="20"/>
              </w:rPr>
            </w:pPr>
            <w:r>
              <w:rPr>
                <w:rFonts w:ascii="Arial" w:hAnsi="Arial" w:cs="Arial"/>
                <w:sz w:val="20"/>
                <w:szCs w:val="20"/>
              </w:rPr>
              <w:t xml:space="preserve">238.2 </w:t>
            </w:r>
          </w:p>
        </w:tc>
        <w:tc>
          <w:tcPr>
            <w:tcW w:w="1080" w:type="dxa"/>
            <w:vAlign w:val="bottom"/>
          </w:tcPr>
          <w:p w:rsidR="003B0815" w:rsidRDefault="003B0815" w14:paraId="2F5503F8"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6B860A13" w14:textId="77777777">
            <w:pPr>
              <w:keepNext/>
              <w:jc w:val="right"/>
              <w:rPr>
                <w:rFonts w:ascii="Arial" w:hAnsi="Arial"/>
                <w:sz w:val="20"/>
                <w:szCs w:val="20"/>
              </w:rPr>
            </w:pPr>
            <w:r>
              <w:rPr>
                <w:rFonts w:ascii="Arial" w:hAnsi="Arial" w:cs="Arial"/>
                <w:sz w:val="20"/>
                <w:szCs w:val="20"/>
              </w:rPr>
              <w:t>40.9</w:t>
            </w:r>
          </w:p>
        </w:tc>
        <w:tc>
          <w:tcPr>
            <w:tcW w:w="1080" w:type="dxa"/>
            <w:tcBorders>
              <w:left w:val="double" w:color="auto" w:sz="4" w:space="0"/>
            </w:tcBorders>
            <w:vAlign w:val="bottom"/>
          </w:tcPr>
          <w:p w:rsidR="003B0815" w:rsidRDefault="003B0815" w14:paraId="103D5D19" w14:textId="77777777">
            <w:pPr>
              <w:keepNext/>
              <w:jc w:val="right"/>
              <w:rPr>
                <w:rFonts w:ascii="Arial" w:hAnsi="Arial"/>
                <w:sz w:val="20"/>
                <w:szCs w:val="20"/>
              </w:rPr>
            </w:pPr>
            <w:r>
              <w:rPr>
                <w:rFonts w:ascii="Arial" w:hAnsi="Arial" w:cs="Arial"/>
                <w:sz w:val="20"/>
                <w:szCs w:val="20"/>
              </w:rPr>
              <w:t xml:space="preserve">228.9 </w:t>
            </w:r>
          </w:p>
        </w:tc>
        <w:tc>
          <w:tcPr>
            <w:tcW w:w="1080" w:type="dxa"/>
            <w:vAlign w:val="bottom"/>
          </w:tcPr>
          <w:p w:rsidR="003B0815" w:rsidRDefault="003B0815" w14:paraId="1D295064"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54FDCAAB" w14:textId="77777777">
            <w:pPr>
              <w:keepNext/>
              <w:jc w:val="right"/>
              <w:rPr>
                <w:rFonts w:ascii="Arial" w:hAnsi="Arial"/>
                <w:sz w:val="20"/>
                <w:szCs w:val="20"/>
              </w:rPr>
            </w:pPr>
            <w:r>
              <w:rPr>
                <w:rFonts w:ascii="Arial" w:hAnsi="Arial" w:cs="Arial"/>
                <w:sz w:val="20"/>
                <w:szCs w:val="20"/>
              </w:rPr>
              <w:t xml:space="preserve">19.6 </w:t>
            </w:r>
          </w:p>
        </w:tc>
        <w:tc>
          <w:tcPr>
            <w:tcW w:w="1260" w:type="dxa"/>
            <w:tcBorders>
              <w:left w:val="double" w:color="auto" w:sz="4" w:space="0"/>
              <w:right w:val="single" w:color="auto" w:sz="12" w:space="0"/>
            </w:tcBorders>
            <w:shd w:val="clear" w:color="auto" w:fill="C0C0C0"/>
            <w:vAlign w:val="bottom"/>
          </w:tcPr>
          <w:p w:rsidR="003B0815" w:rsidRDefault="003B0815" w14:paraId="2754E0C2" w14:textId="77777777">
            <w:pPr>
              <w:keepNext/>
              <w:jc w:val="right"/>
              <w:rPr>
                <w:rFonts w:ascii="Arial" w:hAnsi="Arial"/>
                <w:sz w:val="20"/>
                <w:szCs w:val="20"/>
              </w:rPr>
            </w:pPr>
            <w:r>
              <w:rPr>
                <w:rFonts w:ascii="Arial" w:hAnsi="Arial" w:cs="Arial"/>
                <w:b/>
                <w:bCs/>
                <w:sz w:val="20"/>
                <w:szCs w:val="20"/>
              </w:rPr>
              <w:t>60.5</w:t>
            </w:r>
          </w:p>
        </w:tc>
      </w:tr>
      <w:tr w:rsidR="003B0815" w14:paraId="721FBA01" w14:textId="77777777">
        <w:trPr>
          <w:jc w:val="center"/>
        </w:trPr>
        <w:tc>
          <w:tcPr>
            <w:tcW w:w="731" w:type="dxa"/>
            <w:tcBorders>
              <w:left w:val="single" w:color="auto" w:sz="12" w:space="0"/>
            </w:tcBorders>
          </w:tcPr>
          <w:p w:rsidR="003B0815" w:rsidRDefault="003B0815" w14:paraId="59FE5806" w14:textId="77777777">
            <w:pPr>
              <w:keepNext/>
              <w:jc w:val="center"/>
              <w:rPr>
                <w:rFonts w:ascii="Arial" w:hAnsi="Arial"/>
                <w:sz w:val="20"/>
                <w:szCs w:val="20"/>
              </w:rPr>
            </w:pPr>
            <w:r>
              <w:t>2015</w:t>
            </w:r>
          </w:p>
        </w:tc>
        <w:tc>
          <w:tcPr>
            <w:tcW w:w="828" w:type="dxa"/>
            <w:vAlign w:val="bottom"/>
          </w:tcPr>
          <w:p w:rsidR="003B0815" w:rsidRDefault="003B0815" w14:paraId="0D83C476"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13149406" w14:textId="77777777">
            <w:pPr>
              <w:keepNext/>
              <w:jc w:val="right"/>
              <w:rPr>
                <w:rFonts w:ascii="Arial" w:hAnsi="Arial"/>
                <w:sz w:val="20"/>
                <w:szCs w:val="20"/>
              </w:rPr>
            </w:pPr>
            <w:r>
              <w:rPr>
                <w:rFonts w:ascii="Arial" w:hAnsi="Arial" w:cs="Arial"/>
                <w:sz w:val="20"/>
                <w:szCs w:val="20"/>
              </w:rPr>
              <w:t xml:space="preserve">246.0 </w:t>
            </w:r>
          </w:p>
        </w:tc>
        <w:tc>
          <w:tcPr>
            <w:tcW w:w="1080" w:type="dxa"/>
            <w:vAlign w:val="bottom"/>
          </w:tcPr>
          <w:p w:rsidR="003B0815" w:rsidRDefault="003B0815" w14:paraId="177F63A7"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0D1EBD5C" w14:textId="77777777">
            <w:pPr>
              <w:keepNext/>
              <w:jc w:val="right"/>
              <w:rPr>
                <w:rFonts w:ascii="Arial" w:hAnsi="Arial"/>
                <w:sz w:val="20"/>
                <w:szCs w:val="20"/>
              </w:rPr>
            </w:pPr>
            <w:r>
              <w:rPr>
                <w:rFonts w:ascii="Arial" w:hAnsi="Arial" w:cs="Arial"/>
                <w:sz w:val="20"/>
                <w:szCs w:val="20"/>
              </w:rPr>
              <w:t>42.2</w:t>
            </w:r>
          </w:p>
        </w:tc>
        <w:tc>
          <w:tcPr>
            <w:tcW w:w="1080" w:type="dxa"/>
            <w:tcBorders>
              <w:left w:val="double" w:color="auto" w:sz="4" w:space="0"/>
            </w:tcBorders>
            <w:vAlign w:val="bottom"/>
          </w:tcPr>
          <w:p w:rsidR="003B0815" w:rsidRDefault="003B0815" w14:paraId="6F533508" w14:textId="77777777">
            <w:pPr>
              <w:keepNext/>
              <w:jc w:val="right"/>
              <w:rPr>
                <w:rFonts w:ascii="Arial" w:hAnsi="Arial"/>
                <w:sz w:val="20"/>
                <w:szCs w:val="20"/>
              </w:rPr>
            </w:pPr>
            <w:r>
              <w:rPr>
                <w:rFonts w:ascii="Arial" w:hAnsi="Arial" w:cs="Arial"/>
                <w:sz w:val="20"/>
                <w:szCs w:val="20"/>
              </w:rPr>
              <w:t xml:space="preserve">236.3 </w:t>
            </w:r>
          </w:p>
        </w:tc>
        <w:tc>
          <w:tcPr>
            <w:tcW w:w="1080" w:type="dxa"/>
            <w:vAlign w:val="bottom"/>
          </w:tcPr>
          <w:p w:rsidR="003B0815" w:rsidRDefault="003B0815" w14:paraId="6626601A"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6941AA5F" w14:textId="77777777">
            <w:pPr>
              <w:keepNext/>
              <w:jc w:val="right"/>
              <w:rPr>
                <w:rFonts w:ascii="Arial" w:hAnsi="Arial"/>
                <w:sz w:val="20"/>
                <w:szCs w:val="20"/>
              </w:rPr>
            </w:pPr>
            <w:r>
              <w:rPr>
                <w:rFonts w:ascii="Arial" w:hAnsi="Arial" w:cs="Arial"/>
                <w:sz w:val="20"/>
                <w:szCs w:val="20"/>
              </w:rPr>
              <w:t xml:space="preserve">20.3 </w:t>
            </w:r>
          </w:p>
        </w:tc>
        <w:tc>
          <w:tcPr>
            <w:tcW w:w="1260" w:type="dxa"/>
            <w:tcBorders>
              <w:left w:val="double" w:color="auto" w:sz="4" w:space="0"/>
              <w:right w:val="single" w:color="auto" w:sz="12" w:space="0"/>
            </w:tcBorders>
            <w:shd w:val="clear" w:color="auto" w:fill="C0C0C0"/>
            <w:vAlign w:val="bottom"/>
          </w:tcPr>
          <w:p w:rsidR="003B0815" w:rsidRDefault="003B0815" w14:paraId="1731F20E" w14:textId="77777777">
            <w:pPr>
              <w:keepNext/>
              <w:jc w:val="right"/>
              <w:rPr>
                <w:rFonts w:ascii="Arial" w:hAnsi="Arial"/>
                <w:sz w:val="20"/>
                <w:szCs w:val="20"/>
              </w:rPr>
            </w:pPr>
            <w:r>
              <w:rPr>
                <w:rFonts w:ascii="Arial" w:hAnsi="Arial" w:cs="Arial"/>
                <w:b/>
                <w:bCs/>
                <w:sz w:val="20"/>
                <w:szCs w:val="20"/>
              </w:rPr>
              <w:t>62.5</w:t>
            </w:r>
          </w:p>
        </w:tc>
      </w:tr>
      <w:tr w:rsidR="003B0815" w14:paraId="29F62A63" w14:textId="77777777">
        <w:trPr>
          <w:jc w:val="center"/>
        </w:trPr>
        <w:tc>
          <w:tcPr>
            <w:tcW w:w="731" w:type="dxa"/>
            <w:tcBorders>
              <w:left w:val="single" w:color="auto" w:sz="12" w:space="0"/>
            </w:tcBorders>
          </w:tcPr>
          <w:p w:rsidR="003B0815" w:rsidRDefault="003B0815" w14:paraId="462FBE09" w14:textId="77777777">
            <w:pPr>
              <w:keepNext/>
              <w:jc w:val="center"/>
              <w:rPr>
                <w:rFonts w:ascii="Arial" w:hAnsi="Arial"/>
                <w:sz w:val="20"/>
                <w:szCs w:val="20"/>
              </w:rPr>
            </w:pPr>
            <w:r>
              <w:t>2016</w:t>
            </w:r>
          </w:p>
        </w:tc>
        <w:tc>
          <w:tcPr>
            <w:tcW w:w="828" w:type="dxa"/>
            <w:vAlign w:val="bottom"/>
          </w:tcPr>
          <w:p w:rsidR="003B0815" w:rsidRDefault="003B0815" w14:paraId="309A3AE8"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27D2B5BE" w14:textId="77777777">
            <w:pPr>
              <w:keepNext/>
              <w:jc w:val="right"/>
              <w:rPr>
                <w:rFonts w:ascii="Arial" w:hAnsi="Arial"/>
                <w:sz w:val="20"/>
                <w:szCs w:val="20"/>
              </w:rPr>
            </w:pPr>
            <w:r>
              <w:rPr>
                <w:rFonts w:ascii="Arial" w:hAnsi="Arial" w:cs="Arial"/>
                <w:sz w:val="20"/>
                <w:szCs w:val="20"/>
              </w:rPr>
              <w:t xml:space="preserve">254.1 </w:t>
            </w:r>
          </w:p>
        </w:tc>
        <w:tc>
          <w:tcPr>
            <w:tcW w:w="1080" w:type="dxa"/>
            <w:vAlign w:val="bottom"/>
          </w:tcPr>
          <w:p w:rsidR="003B0815" w:rsidRDefault="003B0815" w14:paraId="5992FD3C"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7709BE03" w14:textId="77777777">
            <w:pPr>
              <w:keepNext/>
              <w:jc w:val="right"/>
              <w:rPr>
                <w:rFonts w:ascii="Arial" w:hAnsi="Arial"/>
                <w:sz w:val="20"/>
                <w:szCs w:val="20"/>
              </w:rPr>
            </w:pPr>
            <w:r>
              <w:rPr>
                <w:rFonts w:ascii="Arial" w:hAnsi="Arial" w:cs="Arial"/>
                <w:sz w:val="20"/>
                <w:szCs w:val="20"/>
              </w:rPr>
              <w:t>43.6</w:t>
            </w:r>
          </w:p>
        </w:tc>
        <w:tc>
          <w:tcPr>
            <w:tcW w:w="1080" w:type="dxa"/>
            <w:tcBorders>
              <w:left w:val="double" w:color="auto" w:sz="4" w:space="0"/>
            </w:tcBorders>
            <w:vAlign w:val="bottom"/>
          </w:tcPr>
          <w:p w:rsidR="003B0815" w:rsidRDefault="003B0815" w14:paraId="4BCB636A" w14:textId="77777777">
            <w:pPr>
              <w:keepNext/>
              <w:jc w:val="right"/>
              <w:rPr>
                <w:rFonts w:ascii="Arial" w:hAnsi="Arial"/>
                <w:sz w:val="20"/>
                <w:szCs w:val="20"/>
              </w:rPr>
            </w:pPr>
            <w:r>
              <w:rPr>
                <w:rFonts w:ascii="Arial" w:hAnsi="Arial" w:cs="Arial"/>
                <w:sz w:val="20"/>
                <w:szCs w:val="20"/>
              </w:rPr>
              <w:t xml:space="preserve">244.2 </w:t>
            </w:r>
          </w:p>
        </w:tc>
        <w:tc>
          <w:tcPr>
            <w:tcW w:w="1080" w:type="dxa"/>
            <w:vAlign w:val="bottom"/>
          </w:tcPr>
          <w:p w:rsidR="003B0815" w:rsidRDefault="003B0815" w14:paraId="54B1A9C1"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3ECA3F8F" w14:textId="77777777">
            <w:pPr>
              <w:keepNext/>
              <w:jc w:val="right"/>
              <w:rPr>
                <w:rFonts w:ascii="Arial" w:hAnsi="Arial"/>
                <w:sz w:val="20"/>
                <w:szCs w:val="20"/>
              </w:rPr>
            </w:pPr>
            <w:r>
              <w:rPr>
                <w:rFonts w:ascii="Arial" w:hAnsi="Arial" w:cs="Arial"/>
                <w:sz w:val="20"/>
                <w:szCs w:val="20"/>
              </w:rPr>
              <w:t xml:space="preserve">21.0 </w:t>
            </w:r>
          </w:p>
        </w:tc>
        <w:tc>
          <w:tcPr>
            <w:tcW w:w="1260" w:type="dxa"/>
            <w:tcBorders>
              <w:left w:val="double" w:color="auto" w:sz="4" w:space="0"/>
              <w:right w:val="single" w:color="auto" w:sz="12" w:space="0"/>
            </w:tcBorders>
            <w:shd w:val="clear" w:color="auto" w:fill="C0C0C0"/>
            <w:vAlign w:val="bottom"/>
          </w:tcPr>
          <w:p w:rsidR="003B0815" w:rsidRDefault="003B0815" w14:paraId="6FF520BF" w14:textId="77777777">
            <w:pPr>
              <w:keepNext/>
              <w:jc w:val="right"/>
              <w:rPr>
                <w:rFonts w:ascii="Arial" w:hAnsi="Arial"/>
                <w:sz w:val="20"/>
                <w:szCs w:val="20"/>
              </w:rPr>
            </w:pPr>
            <w:r>
              <w:rPr>
                <w:rFonts w:ascii="Arial" w:hAnsi="Arial" w:cs="Arial"/>
                <w:b/>
                <w:bCs/>
                <w:sz w:val="20"/>
                <w:szCs w:val="20"/>
              </w:rPr>
              <w:t>64.6</w:t>
            </w:r>
          </w:p>
        </w:tc>
      </w:tr>
      <w:tr w:rsidR="003B0815" w14:paraId="2DE45009" w14:textId="77777777">
        <w:trPr>
          <w:jc w:val="center"/>
        </w:trPr>
        <w:tc>
          <w:tcPr>
            <w:tcW w:w="731" w:type="dxa"/>
            <w:tcBorders>
              <w:left w:val="single" w:color="auto" w:sz="12" w:space="0"/>
              <w:bottom w:val="single" w:color="auto" w:sz="4" w:space="0"/>
            </w:tcBorders>
          </w:tcPr>
          <w:p w:rsidR="003B0815" w:rsidRDefault="003B0815" w14:paraId="63C4DA20" w14:textId="77777777">
            <w:pPr>
              <w:keepNext/>
              <w:jc w:val="center"/>
              <w:rPr>
                <w:rFonts w:ascii="Arial" w:hAnsi="Arial"/>
                <w:sz w:val="20"/>
                <w:szCs w:val="20"/>
              </w:rPr>
            </w:pPr>
            <w:r>
              <w:t>2017</w:t>
            </w:r>
          </w:p>
        </w:tc>
        <w:tc>
          <w:tcPr>
            <w:tcW w:w="828" w:type="dxa"/>
            <w:tcBorders>
              <w:bottom w:val="single" w:color="auto" w:sz="4" w:space="0"/>
            </w:tcBorders>
            <w:vAlign w:val="bottom"/>
          </w:tcPr>
          <w:p w:rsidR="003B0815" w:rsidRDefault="003B0815" w14:paraId="11F0E661" w14:textId="77777777">
            <w:pPr>
              <w:keepNext/>
              <w:jc w:val="center"/>
              <w:rPr>
                <w:rFonts w:ascii="Arial" w:hAnsi="Arial"/>
                <w:sz w:val="20"/>
                <w:szCs w:val="20"/>
              </w:rPr>
            </w:pPr>
            <w:r>
              <w:rPr>
                <w:rFonts w:ascii="Arial" w:hAnsi="Arial" w:cs="Arial"/>
                <w:sz w:val="20"/>
                <w:szCs w:val="20"/>
              </w:rPr>
              <w:t xml:space="preserve">$28.60 </w:t>
            </w:r>
          </w:p>
        </w:tc>
        <w:tc>
          <w:tcPr>
            <w:tcW w:w="1008" w:type="dxa"/>
            <w:tcBorders>
              <w:bottom w:val="single" w:color="auto" w:sz="4" w:space="0"/>
            </w:tcBorders>
            <w:vAlign w:val="bottom"/>
          </w:tcPr>
          <w:p w:rsidR="003B0815" w:rsidRDefault="003B0815" w14:paraId="61C2C82A" w14:textId="77777777">
            <w:pPr>
              <w:keepNext/>
              <w:jc w:val="right"/>
              <w:rPr>
                <w:rFonts w:ascii="Arial" w:hAnsi="Arial"/>
                <w:sz w:val="20"/>
                <w:szCs w:val="20"/>
              </w:rPr>
            </w:pPr>
            <w:r>
              <w:rPr>
                <w:rFonts w:ascii="Arial" w:hAnsi="Arial" w:cs="Arial"/>
                <w:sz w:val="20"/>
                <w:szCs w:val="20"/>
              </w:rPr>
              <w:t xml:space="preserve">262.7 </w:t>
            </w:r>
          </w:p>
        </w:tc>
        <w:tc>
          <w:tcPr>
            <w:tcW w:w="1080" w:type="dxa"/>
            <w:tcBorders>
              <w:bottom w:val="single" w:color="auto" w:sz="4" w:space="0"/>
            </w:tcBorders>
            <w:vAlign w:val="bottom"/>
          </w:tcPr>
          <w:p w:rsidR="003B0815" w:rsidRDefault="003B0815" w14:paraId="0885E48E" w14:textId="77777777">
            <w:pPr>
              <w:keepNext/>
              <w:jc w:val="center"/>
              <w:rPr>
                <w:rFonts w:ascii="Arial" w:hAnsi="Arial"/>
                <w:sz w:val="20"/>
                <w:szCs w:val="20"/>
              </w:rPr>
            </w:pPr>
            <w:r>
              <w:rPr>
                <w:rFonts w:ascii="Arial" w:hAnsi="Arial" w:cs="Arial"/>
                <w:sz w:val="20"/>
                <w:szCs w:val="20"/>
              </w:rPr>
              <w:t>0.006</w:t>
            </w:r>
          </w:p>
        </w:tc>
        <w:tc>
          <w:tcPr>
            <w:tcW w:w="1260" w:type="dxa"/>
            <w:tcBorders>
              <w:bottom w:val="single" w:color="auto" w:sz="4" w:space="0"/>
              <w:right w:val="double" w:color="auto" w:sz="4" w:space="0"/>
            </w:tcBorders>
            <w:shd w:val="clear" w:color="auto" w:fill="C0C0C0"/>
            <w:vAlign w:val="bottom"/>
          </w:tcPr>
          <w:p w:rsidR="003B0815" w:rsidRDefault="003B0815" w14:paraId="139DC147" w14:textId="77777777">
            <w:pPr>
              <w:keepNext/>
              <w:jc w:val="right"/>
              <w:rPr>
                <w:rFonts w:ascii="Arial" w:hAnsi="Arial"/>
                <w:sz w:val="20"/>
                <w:szCs w:val="20"/>
              </w:rPr>
            </w:pPr>
            <w:r>
              <w:rPr>
                <w:rFonts w:ascii="Arial" w:hAnsi="Arial" w:cs="Arial"/>
                <w:sz w:val="20"/>
                <w:szCs w:val="20"/>
              </w:rPr>
              <w:t>$45</w:t>
            </w:r>
          </w:p>
        </w:tc>
        <w:tc>
          <w:tcPr>
            <w:tcW w:w="1080" w:type="dxa"/>
            <w:tcBorders>
              <w:left w:val="double" w:color="auto" w:sz="4" w:space="0"/>
              <w:bottom w:val="single" w:color="auto" w:sz="4" w:space="0"/>
            </w:tcBorders>
            <w:vAlign w:val="bottom"/>
          </w:tcPr>
          <w:p w:rsidR="003B0815" w:rsidRDefault="003B0815" w14:paraId="260C8248" w14:textId="77777777">
            <w:pPr>
              <w:keepNext/>
              <w:jc w:val="right"/>
              <w:rPr>
                <w:rFonts w:ascii="Arial" w:hAnsi="Arial"/>
                <w:sz w:val="20"/>
                <w:szCs w:val="20"/>
              </w:rPr>
            </w:pPr>
            <w:r>
              <w:rPr>
                <w:rFonts w:ascii="Arial" w:hAnsi="Arial" w:cs="Arial"/>
                <w:sz w:val="20"/>
                <w:szCs w:val="20"/>
              </w:rPr>
              <w:t xml:space="preserve">252.4 </w:t>
            </w:r>
          </w:p>
        </w:tc>
        <w:tc>
          <w:tcPr>
            <w:tcW w:w="1080" w:type="dxa"/>
            <w:tcBorders>
              <w:bottom w:val="single" w:color="auto" w:sz="4" w:space="0"/>
            </w:tcBorders>
            <w:vAlign w:val="bottom"/>
          </w:tcPr>
          <w:p w:rsidR="003B0815" w:rsidRDefault="003B0815" w14:paraId="48EED48E" w14:textId="77777777">
            <w:pPr>
              <w:keepNext/>
              <w:jc w:val="center"/>
              <w:rPr>
                <w:rFonts w:ascii="Arial" w:hAnsi="Arial"/>
                <w:sz w:val="20"/>
                <w:szCs w:val="20"/>
              </w:rPr>
            </w:pPr>
            <w:r>
              <w:rPr>
                <w:rFonts w:ascii="Arial" w:hAnsi="Arial" w:cs="Arial"/>
                <w:sz w:val="20"/>
                <w:szCs w:val="20"/>
              </w:rPr>
              <w:t xml:space="preserve">0.003 </w:t>
            </w:r>
          </w:p>
        </w:tc>
        <w:tc>
          <w:tcPr>
            <w:tcW w:w="1260" w:type="dxa"/>
            <w:tcBorders>
              <w:bottom w:val="single" w:color="auto" w:sz="4" w:space="0"/>
              <w:right w:val="double" w:color="auto" w:sz="4" w:space="0"/>
            </w:tcBorders>
            <w:shd w:val="clear" w:color="auto" w:fill="C0C0C0"/>
            <w:vAlign w:val="bottom"/>
          </w:tcPr>
          <w:p w:rsidR="003B0815" w:rsidRDefault="003B0815" w14:paraId="0D5D219B" w14:textId="77777777">
            <w:pPr>
              <w:keepNext/>
              <w:jc w:val="right"/>
              <w:rPr>
                <w:rFonts w:ascii="Arial" w:hAnsi="Arial"/>
                <w:sz w:val="20"/>
                <w:szCs w:val="20"/>
              </w:rPr>
            </w:pPr>
            <w:r>
              <w:rPr>
                <w:rFonts w:ascii="Arial" w:hAnsi="Arial" w:cs="Arial"/>
                <w:sz w:val="20"/>
                <w:szCs w:val="20"/>
              </w:rPr>
              <w:t xml:space="preserve">$21.7 </w:t>
            </w:r>
          </w:p>
        </w:tc>
        <w:tc>
          <w:tcPr>
            <w:tcW w:w="1260" w:type="dxa"/>
            <w:tcBorders>
              <w:left w:val="double" w:color="auto" w:sz="4" w:space="0"/>
              <w:right w:val="single" w:color="auto" w:sz="12" w:space="0"/>
            </w:tcBorders>
            <w:shd w:val="clear" w:color="auto" w:fill="C0C0C0"/>
            <w:vAlign w:val="bottom"/>
          </w:tcPr>
          <w:p w:rsidR="003B0815" w:rsidRDefault="003B0815" w14:paraId="48DEFEDD" w14:textId="77777777">
            <w:pPr>
              <w:keepNext/>
              <w:jc w:val="right"/>
              <w:rPr>
                <w:rFonts w:ascii="Arial" w:hAnsi="Arial"/>
                <w:sz w:val="20"/>
                <w:szCs w:val="20"/>
              </w:rPr>
            </w:pPr>
            <w:r>
              <w:rPr>
                <w:rFonts w:ascii="Arial" w:hAnsi="Arial" w:cs="Arial"/>
                <w:b/>
                <w:bCs/>
                <w:sz w:val="20"/>
                <w:szCs w:val="20"/>
              </w:rPr>
              <w:t>$66.8</w:t>
            </w:r>
          </w:p>
        </w:tc>
      </w:tr>
      <w:tr w:rsidR="003B0815" w14:paraId="38CA15CD" w14:textId="77777777">
        <w:trPr>
          <w:jc w:val="center"/>
        </w:trPr>
        <w:tc>
          <w:tcPr>
            <w:tcW w:w="731" w:type="dxa"/>
            <w:tcBorders>
              <w:left w:val="single" w:color="auto" w:sz="12" w:space="0"/>
              <w:bottom w:val="single" w:color="auto" w:sz="12" w:space="0"/>
              <w:right w:val="nil"/>
            </w:tcBorders>
            <w:vAlign w:val="bottom"/>
          </w:tcPr>
          <w:p w:rsidR="003B0815" w:rsidRDefault="003B0815" w14:paraId="2ADF2464" w14:textId="77777777">
            <w:pPr>
              <w:keepNext/>
              <w:jc w:val="center"/>
              <w:rPr>
                <w:rFonts w:ascii="Arial" w:hAnsi="Arial" w:cs="Arial"/>
                <w:sz w:val="20"/>
                <w:szCs w:val="20"/>
              </w:rPr>
            </w:pPr>
            <w:r>
              <w:rPr>
                <w:rFonts w:ascii="Arial" w:hAnsi="Arial" w:cs="Arial"/>
                <w:b/>
                <w:bCs/>
                <w:sz w:val="20"/>
                <w:szCs w:val="20"/>
              </w:rPr>
              <w:t>Total</w:t>
            </w:r>
          </w:p>
        </w:tc>
        <w:tc>
          <w:tcPr>
            <w:tcW w:w="828" w:type="dxa"/>
            <w:tcBorders>
              <w:left w:val="nil"/>
              <w:bottom w:val="single" w:color="auto" w:sz="12" w:space="0"/>
              <w:right w:val="nil"/>
            </w:tcBorders>
            <w:vAlign w:val="bottom"/>
          </w:tcPr>
          <w:p w:rsidR="003B0815" w:rsidRDefault="003B0815" w14:paraId="4D83CFDE" w14:textId="77777777">
            <w:pPr>
              <w:keepNext/>
              <w:jc w:val="center"/>
              <w:rPr>
                <w:rFonts w:ascii="Arial" w:hAnsi="Arial" w:cs="Arial"/>
                <w:sz w:val="20"/>
                <w:szCs w:val="20"/>
              </w:rPr>
            </w:pPr>
            <w:r>
              <w:rPr>
                <w:rFonts w:ascii="Arial" w:hAnsi="Arial" w:cs="Arial"/>
                <w:sz w:val="20"/>
                <w:szCs w:val="20"/>
              </w:rPr>
              <w:t> </w:t>
            </w:r>
          </w:p>
        </w:tc>
        <w:tc>
          <w:tcPr>
            <w:tcW w:w="1008" w:type="dxa"/>
            <w:tcBorders>
              <w:left w:val="nil"/>
              <w:bottom w:val="single" w:color="auto" w:sz="12" w:space="0"/>
              <w:right w:val="nil"/>
            </w:tcBorders>
            <w:vAlign w:val="bottom"/>
          </w:tcPr>
          <w:p w:rsidR="003B0815" w:rsidRDefault="003B0815" w14:paraId="54CA52AF"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70D2F803"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68816F44" w14:textId="77777777">
            <w:pPr>
              <w:keepNext/>
              <w:jc w:val="right"/>
              <w:rPr>
                <w:rFonts w:ascii="Arial" w:hAnsi="Arial" w:cs="Arial"/>
                <w:b/>
                <w:sz w:val="20"/>
                <w:szCs w:val="20"/>
              </w:rPr>
            </w:pPr>
            <w:r>
              <w:rPr>
                <w:rFonts w:ascii="Arial" w:hAnsi="Arial" w:cs="Arial"/>
                <w:sz w:val="20"/>
                <w:szCs w:val="20"/>
              </w:rPr>
              <w:t>$392</w:t>
            </w:r>
          </w:p>
        </w:tc>
        <w:tc>
          <w:tcPr>
            <w:tcW w:w="1080" w:type="dxa"/>
            <w:tcBorders>
              <w:left w:val="double" w:color="auto" w:sz="4" w:space="0"/>
              <w:bottom w:val="single" w:color="auto" w:sz="12" w:space="0"/>
              <w:right w:val="nil"/>
            </w:tcBorders>
            <w:vAlign w:val="bottom"/>
          </w:tcPr>
          <w:p w:rsidR="003B0815" w:rsidRDefault="003B0815" w14:paraId="48967E5C" w14:textId="77777777">
            <w:pPr>
              <w:keepNext/>
              <w:jc w:val="right"/>
              <w:rPr>
                <w:rFonts w:ascii="Arial" w:hAnsi="Arial" w:cs="Arial"/>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507A7686" w14:textId="77777777">
            <w:pPr>
              <w:keepNext/>
              <w:jc w:val="center"/>
              <w:rPr>
                <w:rFonts w:ascii="Arial" w:hAnsi="Arial" w:cs="Arial"/>
                <w:sz w:val="20"/>
                <w:szCs w:val="20"/>
              </w:rPr>
            </w:pPr>
            <w:r>
              <w:rPr>
                <w:rFonts w:ascii="Arial" w:hAnsi="Arial" w:cs="Arial"/>
                <w:b/>
                <w:bCs/>
                <w:sz w:val="20"/>
                <w:szCs w:val="20"/>
              </w:rPr>
              <w:t> </w:t>
            </w:r>
          </w:p>
        </w:tc>
        <w:tc>
          <w:tcPr>
            <w:tcW w:w="1260" w:type="dxa"/>
            <w:tcBorders>
              <w:left w:val="nil"/>
              <w:bottom w:val="single" w:color="auto" w:sz="12" w:space="0"/>
              <w:right w:val="double" w:color="auto" w:sz="4" w:space="0"/>
            </w:tcBorders>
            <w:vAlign w:val="bottom"/>
          </w:tcPr>
          <w:p w:rsidR="003B0815" w:rsidRDefault="003B0815" w14:paraId="0521CA20" w14:textId="77777777">
            <w:pPr>
              <w:keepNext/>
              <w:jc w:val="right"/>
              <w:rPr>
                <w:rFonts w:ascii="Arial" w:hAnsi="Arial" w:cs="Arial"/>
                <w:b/>
                <w:sz w:val="20"/>
                <w:szCs w:val="20"/>
              </w:rPr>
            </w:pPr>
            <w:r>
              <w:rPr>
                <w:rFonts w:ascii="Arial" w:hAnsi="Arial" w:cs="Arial"/>
                <w:sz w:val="20"/>
                <w:szCs w:val="20"/>
              </w:rPr>
              <w:t xml:space="preserve">$188.3 </w:t>
            </w:r>
          </w:p>
        </w:tc>
        <w:tc>
          <w:tcPr>
            <w:tcW w:w="1260" w:type="dxa"/>
            <w:tcBorders>
              <w:left w:val="double" w:color="auto" w:sz="4" w:space="0"/>
              <w:bottom w:val="single" w:color="auto" w:sz="12" w:space="0"/>
              <w:right w:val="single" w:color="auto" w:sz="12" w:space="0"/>
            </w:tcBorders>
            <w:vAlign w:val="bottom"/>
          </w:tcPr>
          <w:p w:rsidR="003B0815" w:rsidRDefault="003B0815" w14:paraId="7C53E020" w14:textId="77777777">
            <w:pPr>
              <w:keepNext/>
              <w:jc w:val="right"/>
              <w:rPr>
                <w:rFonts w:ascii="Arial" w:hAnsi="Arial" w:cs="Arial"/>
                <w:b/>
                <w:bCs/>
                <w:sz w:val="20"/>
                <w:szCs w:val="20"/>
              </w:rPr>
            </w:pPr>
            <w:r>
              <w:rPr>
                <w:rFonts w:ascii="Arial" w:hAnsi="Arial" w:cs="Arial"/>
                <w:b/>
                <w:bCs/>
                <w:sz w:val="20"/>
                <w:szCs w:val="20"/>
              </w:rPr>
              <w:t>$580.2</w:t>
            </w:r>
          </w:p>
        </w:tc>
      </w:tr>
    </w:tbl>
    <w:p w:rsidR="003B0815" w:rsidRDefault="003B0815" w14:paraId="3BB31BC9" w14:textId="77777777">
      <w:pPr>
        <w:spacing w:line="360" w:lineRule="auto"/>
        <w:ind w:firstLine="720"/>
      </w:pPr>
    </w:p>
    <w:p w:rsidR="003B0815" w:rsidRDefault="003B0815" w14:paraId="613DBE57" w14:textId="77777777">
      <w:pPr>
        <w:spacing w:line="360" w:lineRule="auto"/>
        <w:ind w:firstLine="720"/>
      </w:pPr>
      <w:r>
        <w:t>Finally, Table 1.6.6.c presents estimated passenger opportunity costs under the high scenario.  Again, opportunity costs associated with Internet reservations remain unchanged.  In this case, however, TSA assumed 30 seconds to be necessary to collect the requested passenger information.</w:t>
      </w:r>
      <w:bookmarkStart w:name="_Toc139943622" w:id="386"/>
      <w:bookmarkStart w:name="_Toc141001132" w:id="387"/>
    </w:p>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31"/>
        <w:gridCol w:w="828"/>
        <w:gridCol w:w="1040"/>
        <w:gridCol w:w="1080"/>
        <w:gridCol w:w="1260"/>
        <w:gridCol w:w="1080"/>
        <w:gridCol w:w="1080"/>
        <w:gridCol w:w="1260"/>
        <w:gridCol w:w="1281"/>
      </w:tblGrid>
      <w:tr w:rsidR="003B0815" w14:paraId="00195C80" w14:textId="77777777">
        <w:trPr>
          <w:jc w:val="center"/>
        </w:trPr>
        <w:tc>
          <w:tcPr>
            <w:tcW w:w="9640" w:type="dxa"/>
            <w:gridSpan w:val="9"/>
            <w:tcBorders>
              <w:top w:val="nil"/>
              <w:left w:val="nil"/>
              <w:bottom w:val="single" w:color="auto" w:sz="12" w:space="0"/>
              <w:right w:val="nil"/>
            </w:tcBorders>
          </w:tcPr>
          <w:p w:rsidR="003B0815" w:rsidRDefault="003B0815" w14:paraId="18BC0505" w14:textId="77777777">
            <w:pPr>
              <w:pStyle w:val="RegEvalTableHeader"/>
              <w:keepNext/>
            </w:pPr>
            <w:bookmarkStart w:name="_Toc141000966" w:id="388"/>
            <w:bookmarkStart w:name="_Toc165278405" w:id="389"/>
            <w:bookmarkStart w:name="_Toc174438407" w:id="390"/>
            <w:bookmarkStart w:name="_Toc207109544" w:id="391"/>
            <w:r>
              <w:t xml:space="preserve">Table 1.6.6.c Passenger Reservation </w:t>
            </w:r>
            <w:smartTag w:uri="urn:schemas-microsoft-com:office:smarttags" w:element="place">
              <w:r>
                <w:t>Opportunity</w:t>
              </w:r>
            </w:smartTag>
            <w:r>
              <w:t xml:space="preserve"> Costs, Domestic Passengers (High Scenario)</w:t>
            </w:r>
            <w:bookmarkEnd w:id="386"/>
            <w:bookmarkEnd w:id="387"/>
            <w:bookmarkEnd w:id="388"/>
            <w:bookmarkEnd w:id="389"/>
            <w:bookmarkEnd w:id="390"/>
            <w:bookmarkEnd w:id="391"/>
          </w:p>
        </w:tc>
      </w:tr>
      <w:tr w:rsidR="003B0815" w14:paraId="65EA92F4" w14:textId="77777777">
        <w:trPr>
          <w:jc w:val="center"/>
        </w:trPr>
        <w:tc>
          <w:tcPr>
            <w:tcW w:w="731" w:type="dxa"/>
            <w:tcBorders>
              <w:top w:val="single" w:color="auto" w:sz="12" w:space="0"/>
              <w:left w:val="single" w:color="auto" w:sz="12" w:space="0"/>
            </w:tcBorders>
            <w:vAlign w:val="center"/>
          </w:tcPr>
          <w:p w:rsidR="003B0815" w:rsidRDefault="003B0815" w14:paraId="67FE3925" w14:textId="77777777">
            <w:pPr>
              <w:keepNext/>
              <w:jc w:val="center"/>
              <w:rPr>
                <w:rFonts w:ascii="Arial" w:hAnsi="Arial"/>
                <w:sz w:val="20"/>
                <w:szCs w:val="20"/>
              </w:rPr>
            </w:pPr>
            <w:r>
              <w:rPr>
                <w:rFonts w:ascii="Arial" w:hAnsi="Arial" w:cs="Arial"/>
                <w:b/>
                <w:bCs/>
                <w:sz w:val="20"/>
                <w:szCs w:val="20"/>
              </w:rPr>
              <w:t>Fiscal Year</w:t>
            </w:r>
          </w:p>
        </w:tc>
        <w:tc>
          <w:tcPr>
            <w:tcW w:w="828" w:type="dxa"/>
            <w:tcBorders>
              <w:top w:val="single" w:color="auto" w:sz="12" w:space="0"/>
            </w:tcBorders>
            <w:vAlign w:val="center"/>
          </w:tcPr>
          <w:p w:rsidR="003B0815" w:rsidRDefault="003B0815" w14:paraId="1EE32573" w14:textId="77777777">
            <w:pPr>
              <w:keepNext/>
              <w:jc w:val="center"/>
              <w:rPr>
                <w:rFonts w:ascii="Arial" w:hAnsi="Arial"/>
                <w:sz w:val="20"/>
                <w:szCs w:val="20"/>
              </w:rPr>
            </w:pPr>
            <w:r>
              <w:rPr>
                <w:rFonts w:ascii="Arial" w:hAnsi="Arial" w:cs="Arial"/>
                <w:b/>
                <w:bCs/>
                <w:sz w:val="20"/>
                <w:szCs w:val="20"/>
              </w:rPr>
              <w:t>Hourly Value of Pass. Time</w:t>
            </w:r>
          </w:p>
        </w:tc>
        <w:tc>
          <w:tcPr>
            <w:tcW w:w="1040" w:type="dxa"/>
            <w:tcBorders>
              <w:top w:val="single" w:color="auto" w:sz="12" w:space="0"/>
            </w:tcBorders>
            <w:vAlign w:val="center"/>
          </w:tcPr>
          <w:p w:rsidR="003B0815" w:rsidRDefault="003B0815" w14:paraId="0B206833" w14:textId="77777777">
            <w:pPr>
              <w:keepNext/>
              <w:jc w:val="center"/>
              <w:rPr>
                <w:rFonts w:ascii="Arial" w:hAnsi="Arial"/>
                <w:sz w:val="20"/>
                <w:szCs w:val="20"/>
              </w:rPr>
            </w:pPr>
            <w:r>
              <w:rPr>
                <w:rFonts w:ascii="Arial" w:hAnsi="Arial" w:cs="Arial"/>
                <w:b/>
                <w:bCs/>
                <w:sz w:val="20"/>
                <w:szCs w:val="20"/>
              </w:rPr>
              <w:t>Number of Offline Bookings (millions)</w:t>
            </w:r>
          </w:p>
        </w:tc>
        <w:tc>
          <w:tcPr>
            <w:tcW w:w="1080" w:type="dxa"/>
            <w:tcBorders>
              <w:top w:val="single" w:color="auto" w:sz="12" w:space="0"/>
            </w:tcBorders>
            <w:vAlign w:val="center"/>
          </w:tcPr>
          <w:p w:rsidR="003B0815" w:rsidRDefault="003B0815" w14:paraId="754A2193"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37F6F552" w14:textId="77777777">
            <w:pPr>
              <w:keepNext/>
              <w:jc w:val="center"/>
              <w:rPr>
                <w:rFonts w:ascii="Arial" w:hAnsi="Arial"/>
                <w:sz w:val="20"/>
                <w:szCs w:val="20"/>
              </w:rPr>
            </w:pPr>
            <w:r>
              <w:rPr>
                <w:rFonts w:ascii="Arial" w:hAnsi="Arial" w:cs="Arial"/>
                <w:b/>
                <w:bCs/>
                <w:sz w:val="20"/>
                <w:szCs w:val="20"/>
              </w:rPr>
              <w:t xml:space="preserve">Subtotal Offline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080" w:type="dxa"/>
            <w:tcBorders>
              <w:top w:val="single" w:color="auto" w:sz="12" w:space="0"/>
              <w:left w:val="double" w:color="auto" w:sz="4" w:space="0"/>
            </w:tcBorders>
            <w:vAlign w:val="center"/>
          </w:tcPr>
          <w:p w:rsidR="003B0815" w:rsidRDefault="003B0815" w14:paraId="182E1A71" w14:textId="77777777">
            <w:pPr>
              <w:keepNext/>
              <w:jc w:val="center"/>
              <w:rPr>
                <w:rFonts w:ascii="Arial" w:hAnsi="Arial" w:cs="Arial"/>
                <w:b/>
                <w:bCs/>
                <w:sz w:val="20"/>
                <w:szCs w:val="20"/>
              </w:rPr>
            </w:pPr>
            <w:r>
              <w:rPr>
                <w:rFonts w:ascii="Arial" w:hAnsi="Arial" w:cs="Arial"/>
                <w:b/>
                <w:bCs/>
                <w:sz w:val="20"/>
                <w:szCs w:val="20"/>
              </w:rPr>
              <w:t>Number of Internet Bookings (millions)</w:t>
            </w:r>
          </w:p>
        </w:tc>
        <w:tc>
          <w:tcPr>
            <w:tcW w:w="1080" w:type="dxa"/>
            <w:tcBorders>
              <w:top w:val="single" w:color="auto" w:sz="12" w:space="0"/>
            </w:tcBorders>
            <w:vAlign w:val="center"/>
          </w:tcPr>
          <w:p w:rsidR="003B0815" w:rsidRDefault="003B0815" w14:paraId="3BB917C0"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46D0EB27" w14:textId="77777777">
            <w:pPr>
              <w:keepNext/>
              <w:jc w:val="center"/>
              <w:rPr>
                <w:rFonts w:ascii="Arial" w:hAnsi="Arial"/>
                <w:sz w:val="20"/>
                <w:szCs w:val="20"/>
              </w:rPr>
            </w:pPr>
            <w:r>
              <w:rPr>
                <w:rFonts w:ascii="Arial" w:hAnsi="Arial" w:cs="Arial"/>
                <w:b/>
                <w:bCs/>
                <w:sz w:val="20"/>
                <w:szCs w:val="20"/>
              </w:rPr>
              <w:t xml:space="preserve">Subtotal Internet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281" w:type="dxa"/>
            <w:tcBorders>
              <w:top w:val="single" w:color="auto" w:sz="12" w:space="0"/>
              <w:left w:val="double" w:color="auto" w:sz="4" w:space="0"/>
              <w:right w:val="single" w:color="auto" w:sz="12" w:space="0"/>
            </w:tcBorders>
            <w:vAlign w:val="center"/>
          </w:tcPr>
          <w:p w:rsidR="003B0815" w:rsidRDefault="003B0815" w14:paraId="57DA1F2B" w14:textId="77777777">
            <w:pPr>
              <w:keepNext/>
              <w:jc w:val="center"/>
              <w:rPr>
                <w:rFonts w:ascii="Arial" w:hAnsi="Arial"/>
                <w:sz w:val="20"/>
                <w:szCs w:val="20"/>
              </w:rPr>
            </w:pPr>
            <w:r>
              <w:rPr>
                <w:rFonts w:ascii="Arial" w:hAnsi="Arial" w:cs="Arial"/>
                <w:b/>
                <w:bCs/>
                <w:sz w:val="20"/>
                <w:szCs w:val="20"/>
              </w:rPr>
              <w:t xml:space="preserve">Total Booking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(millions)</w:t>
            </w:r>
          </w:p>
        </w:tc>
      </w:tr>
      <w:tr w:rsidR="003B0815" w14:paraId="33736E2A" w14:textId="77777777">
        <w:trPr>
          <w:jc w:val="center"/>
        </w:trPr>
        <w:tc>
          <w:tcPr>
            <w:tcW w:w="731" w:type="dxa"/>
            <w:tcBorders>
              <w:left w:val="single" w:color="auto" w:sz="12" w:space="0"/>
            </w:tcBorders>
            <w:vAlign w:val="center"/>
          </w:tcPr>
          <w:p w:rsidR="003B0815" w:rsidRDefault="003B0815" w14:paraId="73148EC7" w14:textId="77777777">
            <w:pPr>
              <w:keepNext/>
              <w:jc w:val="center"/>
              <w:rPr>
                <w:rFonts w:ascii="Arial" w:hAnsi="Arial"/>
                <w:sz w:val="20"/>
                <w:szCs w:val="20"/>
              </w:rPr>
            </w:pPr>
          </w:p>
        </w:tc>
        <w:tc>
          <w:tcPr>
            <w:tcW w:w="828" w:type="dxa"/>
            <w:vAlign w:val="center"/>
          </w:tcPr>
          <w:p w:rsidR="003B0815" w:rsidRDefault="003B0815" w14:paraId="76B656F6" w14:textId="77777777">
            <w:pPr>
              <w:keepNext/>
              <w:jc w:val="center"/>
              <w:rPr>
                <w:rFonts w:ascii="Arial" w:hAnsi="Arial"/>
                <w:sz w:val="20"/>
                <w:szCs w:val="20"/>
              </w:rPr>
            </w:pPr>
            <w:r>
              <w:rPr>
                <w:rFonts w:ascii="Arial" w:hAnsi="Arial" w:cs="Arial"/>
                <w:b/>
                <w:bCs/>
                <w:sz w:val="20"/>
                <w:szCs w:val="20"/>
              </w:rPr>
              <w:t>(A)</w:t>
            </w:r>
          </w:p>
        </w:tc>
        <w:tc>
          <w:tcPr>
            <w:tcW w:w="1040" w:type="dxa"/>
            <w:vAlign w:val="center"/>
          </w:tcPr>
          <w:p w:rsidR="003B0815" w:rsidRDefault="003B0815" w14:paraId="4C330025"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5B99711E" w14:textId="77777777">
            <w:pPr>
              <w:keepNext/>
              <w:jc w:val="center"/>
              <w:rPr>
                <w:rFonts w:ascii="Arial" w:hAnsi="Arial"/>
                <w:sz w:val="20"/>
                <w:szCs w:val="20"/>
              </w:rPr>
            </w:pPr>
            <w:r>
              <w:rPr>
                <w:rFonts w:ascii="Arial" w:hAnsi="Arial" w:cs="Arial"/>
                <w:b/>
                <w:bCs/>
                <w:sz w:val="20"/>
                <w:szCs w:val="20"/>
              </w:rPr>
              <w:t>(C)</w:t>
            </w:r>
          </w:p>
        </w:tc>
        <w:tc>
          <w:tcPr>
            <w:tcW w:w="1260" w:type="dxa"/>
            <w:tcBorders>
              <w:bottom w:val="single" w:color="auto" w:sz="4" w:space="0"/>
              <w:right w:val="double" w:color="auto" w:sz="4" w:space="0"/>
            </w:tcBorders>
            <w:vAlign w:val="center"/>
          </w:tcPr>
          <w:p w:rsidR="003B0815" w:rsidRDefault="003B0815" w14:paraId="28957865" w14:textId="77777777">
            <w:pPr>
              <w:keepNext/>
              <w:jc w:val="center"/>
              <w:rPr>
                <w:rFonts w:ascii="Arial" w:hAnsi="Arial" w:cs="Arial"/>
                <w:b/>
                <w:bCs/>
                <w:sz w:val="20"/>
                <w:szCs w:val="20"/>
              </w:rPr>
            </w:pPr>
            <w:r>
              <w:rPr>
                <w:rFonts w:ascii="Arial" w:hAnsi="Arial" w:cs="Arial"/>
                <w:b/>
                <w:bCs/>
                <w:sz w:val="20"/>
                <w:szCs w:val="20"/>
              </w:rPr>
              <w:t>(D) =</w:t>
            </w:r>
          </w:p>
          <w:p w:rsidR="003B0815" w:rsidRDefault="003B0815" w14:paraId="09389522" w14:textId="77777777">
            <w:pPr>
              <w:keepNext/>
              <w:jc w:val="center"/>
              <w:rPr>
                <w:rFonts w:ascii="Arial" w:hAnsi="Arial"/>
                <w:sz w:val="20"/>
                <w:szCs w:val="20"/>
              </w:rPr>
            </w:pPr>
            <w:r>
              <w:rPr>
                <w:rFonts w:ascii="Arial" w:hAnsi="Arial" w:cs="Arial"/>
                <w:b/>
                <w:bCs/>
                <w:sz w:val="20"/>
                <w:szCs w:val="20"/>
              </w:rPr>
              <w:t>A x B x C</w:t>
            </w:r>
          </w:p>
        </w:tc>
        <w:tc>
          <w:tcPr>
            <w:tcW w:w="1080" w:type="dxa"/>
            <w:tcBorders>
              <w:left w:val="double" w:color="auto" w:sz="4" w:space="0"/>
            </w:tcBorders>
            <w:vAlign w:val="center"/>
          </w:tcPr>
          <w:p w:rsidR="003B0815" w:rsidRDefault="003B0815" w14:paraId="5ABDF60B" w14:textId="77777777">
            <w:pPr>
              <w:keepNext/>
              <w:jc w:val="center"/>
              <w:rPr>
                <w:rFonts w:ascii="Arial" w:hAnsi="Arial"/>
                <w:sz w:val="20"/>
                <w:szCs w:val="20"/>
              </w:rPr>
            </w:pPr>
            <w:r>
              <w:rPr>
                <w:rFonts w:ascii="Arial" w:hAnsi="Arial" w:cs="Arial"/>
                <w:b/>
                <w:bCs/>
                <w:sz w:val="20"/>
                <w:szCs w:val="20"/>
              </w:rPr>
              <w:t>(E)</w:t>
            </w:r>
          </w:p>
        </w:tc>
        <w:tc>
          <w:tcPr>
            <w:tcW w:w="1080" w:type="dxa"/>
            <w:vAlign w:val="center"/>
          </w:tcPr>
          <w:p w:rsidR="003B0815" w:rsidRDefault="003B0815" w14:paraId="4494E2C8" w14:textId="77777777">
            <w:pPr>
              <w:keepNext/>
              <w:jc w:val="center"/>
              <w:rPr>
                <w:rFonts w:ascii="Arial" w:hAnsi="Arial"/>
                <w:sz w:val="20"/>
                <w:szCs w:val="20"/>
              </w:rPr>
            </w:pPr>
            <w:r>
              <w:rPr>
                <w:rFonts w:ascii="Arial" w:hAnsi="Arial" w:cs="Arial"/>
                <w:b/>
                <w:bCs/>
                <w:sz w:val="20"/>
                <w:szCs w:val="20"/>
              </w:rPr>
              <w:t>(F)</w:t>
            </w:r>
          </w:p>
        </w:tc>
        <w:tc>
          <w:tcPr>
            <w:tcW w:w="1260" w:type="dxa"/>
            <w:tcBorders>
              <w:bottom w:val="single" w:color="auto" w:sz="4" w:space="0"/>
              <w:right w:val="double" w:color="auto" w:sz="4" w:space="0"/>
            </w:tcBorders>
            <w:vAlign w:val="center"/>
          </w:tcPr>
          <w:p w:rsidR="003B0815" w:rsidRDefault="003B0815" w14:paraId="1ECCE3E2" w14:textId="77777777">
            <w:pPr>
              <w:keepNext/>
              <w:jc w:val="center"/>
              <w:rPr>
                <w:rFonts w:ascii="Arial" w:hAnsi="Arial"/>
                <w:sz w:val="20"/>
                <w:szCs w:val="20"/>
              </w:rPr>
            </w:pPr>
            <w:r>
              <w:rPr>
                <w:rFonts w:ascii="Arial" w:hAnsi="Arial" w:cs="Arial"/>
                <w:b/>
                <w:bCs/>
                <w:sz w:val="20"/>
                <w:szCs w:val="20"/>
              </w:rPr>
              <w:t xml:space="preserve">(G) = </w:t>
            </w:r>
            <w:r>
              <w:rPr>
                <w:rFonts w:ascii="Arial" w:hAnsi="Arial" w:cs="Arial"/>
                <w:b/>
                <w:bCs/>
                <w:sz w:val="20"/>
                <w:szCs w:val="20"/>
              </w:rPr>
              <w:br/>
              <w:t>A x E x F</w:t>
            </w:r>
          </w:p>
        </w:tc>
        <w:tc>
          <w:tcPr>
            <w:tcW w:w="1281" w:type="dxa"/>
            <w:tcBorders>
              <w:left w:val="double" w:color="auto" w:sz="4" w:space="0"/>
              <w:bottom w:val="single" w:color="auto" w:sz="4" w:space="0"/>
              <w:right w:val="single" w:color="auto" w:sz="12" w:space="0"/>
            </w:tcBorders>
            <w:vAlign w:val="center"/>
          </w:tcPr>
          <w:p w:rsidR="003B0815" w:rsidRDefault="003B0815" w14:paraId="354F04AF" w14:textId="77777777">
            <w:pPr>
              <w:keepNext/>
              <w:jc w:val="center"/>
              <w:rPr>
                <w:rFonts w:ascii="Arial" w:hAnsi="Arial"/>
                <w:sz w:val="20"/>
                <w:szCs w:val="20"/>
              </w:rPr>
            </w:pPr>
            <w:r>
              <w:rPr>
                <w:rFonts w:ascii="Arial" w:hAnsi="Arial" w:cs="Arial"/>
                <w:b/>
                <w:bCs/>
                <w:sz w:val="20"/>
                <w:szCs w:val="20"/>
              </w:rPr>
              <w:t>(H) = D + G</w:t>
            </w:r>
          </w:p>
        </w:tc>
      </w:tr>
      <w:tr w:rsidR="003B0815" w14:paraId="3E8A076A" w14:textId="77777777">
        <w:trPr>
          <w:jc w:val="center"/>
        </w:trPr>
        <w:tc>
          <w:tcPr>
            <w:tcW w:w="731" w:type="dxa"/>
            <w:tcBorders>
              <w:left w:val="single" w:color="auto" w:sz="12" w:space="0"/>
            </w:tcBorders>
          </w:tcPr>
          <w:p w:rsidR="003B0815" w:rsidRDefault="003B0815" w14:paraId="6E560AC3" w14:textId="77777777">
            <w:pPr>
              <w:keepNext/>
              <w:jc w:val="center"/>
              <w:rPr>
                <w:rFonts w:ascii="Arial" w:hAnsi="Arial"/>
                <w:sz w:val="20"/>
                <w:szCs w:val="20"/>
              </w:rPr>
            </w:pPr>
            <w:r>
              <w:t>2008</w:t>
            </w:r>
          </w:p>
        </w:tc>
        <w:tc>
          <w:tcPr>
            <w:tcW w:w="828" w:type="dxa"/>
            <w:vAlign w:val="bottom"/>
          </w:tcPr>
          <w:p w:rsidR="003B0815" w:rsidRDefault="003B0815" w14:paraId="75E7BBF2"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56221C56" w14:textId="77777777">
            <w:pPr>
              <w:keepNext/>
              <w:jc w:val="right"/>
              <w:rPr>
                <w:rFonts w:ascii="Arial" w:hAnsi="Arial"/>
                <w:sz w:val="20"/>
                <w:szCs w:val="20"/>
              </w:rPr>
            </w:pPr>
            <w:r>
              <w:rPr>
                <w:rFonts w:ascii="Arial" w:hAnsi="Arial" w:cs="Arial"/>
                <w:sz w:val="20"/>
                <w:szCs w:val="20"/>
              </w:rPr>
              <w:t xml:space="preserve">197.6 </w:t>
            </w:r>
          </w:p>
        </w:tc>
        <w:tc>
          <w:tcPr>
            <w:tcW w:w="1080" w:type="dxa"/>
            <w:vAlign w:val="bottom"/>
          </w:tcPr>
          <w:p w:rsidR="003B0815" w:rsidRDefault="003B0815" w14:paraId="75A5FEF5"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7C32F689" w14:textId="77777777">
            <w:pPr>
              <w:keepNext/>
              <w:jc w:val="right"/>
              <w:rPr>
                <w:rFonts w:ascii="Arial" w:hAnsi="Arial"/>
                <w:sz w:val="20"/>
                <w:szCs w:val="20"/>
              </w:rPr>
            </w:pPr>
            <w:r>
              <w:rPr>
                <w:rFonts w:ascii="Arial" w:hAnsi="Arial" w:cs="Arial"/>
                <w:sz w:val="20"/>
                <w:szCs w:val="20"/>
              </w:rPr>
              <w:t>$45.2</w:t>
            </w:r>
          </w:p>
        </w:tc>
        <w:tc>
          <w:tcPr>
            <w:tcW w:w="1080" w:type="dxa"/>
            <w:tcBorders>
              <w:left w:val="double" w:color="auto" w:sz="4" w:space="0"/>
            </w:tcBorders>
            <w:vAlign w:val="bottom"/>
          </w:tcPr>
          <w:p w:rsidR="003B0815" w:rsidRDefault="003B0815" w14:paraId="4A28D796" w14:textId="77777777">
            <w:pPr>
              <w:keepNext/>
              <w:jc w:val="right"/>
              <w:rPr>
                <w:rFonts w:ascii="Arial" w:hAnsi="Arial"/>
                <w:sz w:val="20"/>
                <w:szCs w:val="20"/>
              </w:rPr>
            </w:pPr>
            <w:r>
              <w:rPr>
                <w:rFonts w:ascii="Arial" w:hAnsi="Arial" w:cs="Arial"/>
                <w:sz w:val="20"/>
                <w:szCs w:val="20"/>
              </w:rPr>
              <w:t xml:space="preserve">189.8 </w:t>
            </w:r>
          </w:p>
        </w:tc>
        <w:tc>
          <w:tcPr>
            <w:tcW w:w="1080" w:type="dxa"/>
            <w:vAlign w:val="bottom"/>
          </w:tcPr>
          <w:p w:rsidR="003B0815" w:rsidRDefault="003B0815" w14:paraId="1BE36C09"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7EB4673D" w14:textId="77777777">
            <w:pPr>
              <w:keepNext/>
              <w:jc w:val="right"/>
              <w:rPr>
                <w:rFonts w:ascii="Arial" w:hAnsi="Arial"/>
                <w:sz w:val="20"/>
                <w:szCs w:val="20"/>
              </w:rPr>
            </w:pPr>
            <w:r>
              <w:rPr>
                <w:rFonts w:ascii="Arial" w:hAnsi="Arial" w:cs="Arial"/>
                <w:sz w:val="20"/>
                <w:szCs w:val="20"/>
              </w:rPr>
              <w:t xml:space="preserve">$16.3 </w:t>
            </w:r>
          </w:p>
        </w:tc>
        <w:tc>
          <w:tcPr>
            <w:tcW w:w="1281" w:type="dxa"/>
            <w:tcBorders>
              <w:left w:val="double" w:color="auto" w:sz="4" w:space="0"/>
              <w:right w:val="single" w:color="auto" w:sz="12" w:space="0"/>
            </w:tcBorders>
            <w:shd w:val="clear" w:color="auto" w:fill="C0C0C0"/>
            <w:vAlign w:val="bottom"/>
          </w:tcPr>
          <w:p w:rsidR="003B0815" w:rsidRDefault="003B0815" w14:paraId="69E9846C" w14:textId="77777777">
            <w:pPr>
              <w:keepNext/>
              <w:jc w:val="right"/>
              <w:rPr>
                <w:rFonts w:ascii="Arial" w:hAnsi="Arial"/>
                <w:sz w:val="20"/>
                <w:szCs w:val="20"/>
              </w:rPr>
            </w:pPr>
            <w:r>
              <w:rPr>
                <w:rFonts w:ascii="Arial" w:hAnsi="Arial" w:cs="Arial"/>
                <w:b/>
                <w:bCs/>
                <w:sz w:val="20"/>
                <w:szCs w:val="20"/>
              </w:rPr>
              <w:t>$61.5</w:t>
            </w:r>
          </w:p>
        </w:tc>
      </w:tr>
      <w:tr w:rsidR="003B0815" w14:paraId="71E0EBFC" w14:textId="77777777">
        <w:trPr>
          <w:jc w:val="center"/>
        </w:trPr>
        <w:tc>
          <w:tcPr>
            <w:tcW w:w="731" w:type="dxa"/>
            <w:tcBorders>
              <w:left w:val="single" w:color="auto" w:sz="12" w:space="0"/>
            </w:tcBorders>
          </w:tcPr>
          <w:p w:rsidR="003B0815" w:rsidRDefault="003B0815" w14:paraId="504B41BA" w14:textId="77777777">
            <w:pPr>
              <w:keepNext/>
              <w:jc w:val="center"/>
              <w:rPr>
                <w:rFonts w:ascii="Arial" w:hAnsi="Arial"/>
                <w:sz w:val="20"/>
                <w:szCs w:val="20"/>
              </w:rPr>
            </w:pPr>
            <w:r>
              <w:t>2009</w:t>
            </w:r>
          </w:p>
        </w:tc>
        <w:tc>
          <w:tcPr>
            <w:tcW w:w="828" w:type="dxa"/>
            <w:vAlign w:val="bottom"/>
          </w:tcPr>
          <w:p w:rsidR="003B0815" w:rsidRDefault="003B0815" w14:paraId="72255CB3"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1E6240F5" w14:textId="77777777">
            <w:pPr>
              <w:keepNext/>
              <w:jc w:val="right"/>
              <w:rPr>
                <w:rFonts w:ascii="Arial" w:hAnsi="Arial"/>
                <w:sz w:val="20"/>
                <w:szCs w:val="20"/>
              </w:rPr>
            </w:pPr>
            <w:r>
              <w:rPr>
                <w:rFonts w:ascii="Arial" w:hAnsi="Arial" w:cs="Arial"/>
                <w:sz w:val="20"/>
                <w:szCs w:val="20"/>
              </w:rPr>
              <w:t xml:space="preserve">203.7 </w:t>
            </w:r>
          </w:p>
        </w:tc>
        <w:tc>
          <w:tcPr>
            <w:tcW w:w="1080" w:type="dxa"/>
            <w:vAlign w:val="bottom"/>
          </w:tcPr>
          <w:p w:rsidR="003B0815" w:rsidRDefault="003B0815" w14:paraId="3A62A948"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7605046C" w14:textId="77777777">
            <w:pPr>
              <w:keepNext/>
              <w:jc w:val="right"/>
              <w:rPr>
                <w:rFonts w:ascii="Arial" w:hAnsi="Arial"/>
                <w:sz w:val="20"/>
                <w:szCs w:val="20"/>
              </w:rPr>
            </w:pPr>
            <w:r>
              <w:rPr>
                <w:rFonts w:ascii="Arial" w:hAnsi="Arial" w:cs="Arial"/>
                <w:sz w:val="20"/>
                <w:szCs w:val="20"/>
              </w:rPr>
              <w:t>46.6</w:t>
            </w:r>
          </w:p>
        </w:tc>
        <w:tc>
          <w:tcPr>
            <w:tcW w:w="1080" w:type="dxa"/>
            <w:tcBorders>
              <w:left w:val="double" w:color="auto" w:sz="4" w:space="0"/>
            </w:tcBorders>
            <w:vAlign w:val="bottom"/>
          </w:tcPr>
          <w:p w:rsidR="003B0815" w:rsidRDefault="003B0815" w14:paraId="39879833" w14:textId="77777777">
            <w:pPr>
              <w:keepNext/>
              <w:jc w:val="right"/>
              <w:rPr>
                <w:rFonts w:ascii="Arial" w:hAnsi="Arial"/>
                <w:sz w:val="20"/>
                <w:szCs w:val="20"/>
              </w:rPr>
            </w:pPr>
            <w:r>
              <w:rPr>
                <w:rFonts w:ascii="Arial" w:hAnsi="Arial" w:cs="Arial"/>
                <w:sz w:val="20"/>
                <w:szCs w:val="20"/>
              </w:rPr>
              <w:t xml:space="preserve">195.7 </w:t>
            </w:r>
          </w:p>
        </w:tc>
        <w:tc>
          <w:tcPr>
            <w:tcW w:w="1080" w:type="dxa"/>
            <w:vAlign w:val="bottom"/>
          </w:tcPr>
          <w:p w:rsidR="003B0815" w:rsidRDefault="003B0815" w14:paraId="21E6A4D6"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284E6416" w14:textId="77777777">
            <w:pPr>
              <w:keepNext/>
              <w:jc w:val="right"/>
              <w:rPr>
                <w:rFonts w:ascii="Arial" w:hAnsi="Arial"/>
                <w:sz w:val="20"/>
                <w:szCs w:val="20"/>
              </w:rPr>
            </w:pPr>
            <w:r>
              <w:rPr>
                <w:rFonts w:ascii="Arial" w:hAnsi="Arial" w:cs="Arial"/>
                <w:sz w:val="20"/>
                <w:szCs w:val="20"/>
              </w:rPr>
              <w:t xml:space="preserve">16.8 </w:t>
            </w:r>
          </w:p>
        </w:tc>
        <w:tc>
          <w:tcPr>
            <w:tcW w:w="1281" w:type="dxa"/>
            <w:tcBorders>
              <w:left w:val="double" w:color="auto" w:sz="4" w:space="0"/>
              <w:right w:val="single" w:color="auto" w:sz="12" w:space="0"/>
            </w:tcBorders>
            <w:shd w:val="clear" w:color="auto" w:fill="C0C0C0"/>
            <w:vAlign w:val="bottom"/>
          </w:tcPr>
          <w:p w:rsidR="003B0815" w:rsidRDefault="003B0815" w14:paraId="62625843" w14:textId="77777777">
            <w:pPr>
              <w:keepNext/>
              <w:jc w:val="right"/>
              <w:rPr>
                <w:rFonts w:ascii="Arial" w:hAnsi="Arial"/>
                <w:sz w:val="20"/>
                <w:szCs w:val="20"/>
              </w:rPr>
            </w:pPr>
            <w:r>
              <w:rPr>
                <w:rFonts w:ascii="Arial" w:hAnsi="Arial" w:cs="Arial"/>
                <w:b/>
                <w:bCs/>
                <w:sz w:val="20"/>
                <w:szCs w:val="20"/>
              </w:rPr>
              <w:t>63.4</w:t>
            </w:r>
          </w:p>
        </w:tc>
      </w:tr>
      <w:tr w:rsidR="003B0815" w14:paraId="0E9B4E73" w14:textId="77777777">
        <w:trPr>
          <w:jc w:val="center"/>
        </w:trPr>
        <w:tc>
          <w:tcPr>
            <w:tcW w:w="731" w:type="dxa"/>
            <w:tcBorders>
              <w:left w:val="single" w:color="auto" w:sz="12" w:space="0"/>
            </w:tcBorders>
          </w:tcPr>
          <w:p w:rsidR="003B0815" w:rsidRDefault="003B0815" w14:paraId="5CCA2718" w14:textId="77777777">
            <w:pPr>
              <w:keepNext/>
              <w:jc w:val="center"/>
              <w:rPr>
                <w:rFonts w:ascii="Arial" w:hAnsi="Arial"/>
                <w:sz w:val="20"/>
                <w:szCs w:val="20"/>
              </w:rPr>
            </w:pPr>
            <w:r>
              <w:t>2010</w:t>
            </w:r>
          </w:p>
        </w:tc>
        <w:tc>
          <w:tcPr>
            <w:tcW w:w="828" w:type="dxa"/>
            <w:vAlign w:val="bottom"/>
          </w:tcPr>
          <w:p w:rsidR="003B0815" w:rsidRDefault="003B0815" w14:paraId="524AA9FF"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15687328" w14:textId="77777777">
            <w:pPr>
              <w:keepNext/>
              <w:jc w:val="right"/>
              <w:rPr>
                <w:rFonts w:ascii="Arial" w:hAnsi="Arial"/>
                <w:sz w:val="20"/>
                <w:szCs w:val="20"/>
              </w:rPr>
            </w:pPr>
            <w:r>
              <w:rPr>
                <w:rFonts w:ascii="Arial" w:hAnsi="Arial" w:cs="Arial"/>
                <w:sz w:val="20"/>
                <w:szCs w:val="20"/>
              </w:rPr>
              <w:t xml:space="preserve">210.1 </w:t>
            </w:r>
          </w:p>
        </w:tc>
        <w:tc>
          <w:tcPr>
            <w:tcW w:w="1080" w:type="dxa"/>
            <w:vAlign w:val="bottom"/>
          </w:tcPr>
          <w:p w:rsidR="003B0815" w:rsidRDefault="003B0815" w14:paraId="63167F00"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7113090D" w14:textId="77777777">
            <w:pPr>
              <w:keepNext/>
              <w:jc w:val="right"/>
              <w:rPr>
                <w:rFonts w:ascii="Arial" w:hAnsi="Arial"/>
                <w:sz w:val="20"/>
                <w:szCs w:val="20"/>
              </w:rPr>
            </w:pPr>
            <w:r>
              <w:rPr>
                <w:rFonts w:ascii="Arial" w:hAnsi="Arial" w:cs="Arial"/>
                <w:sz w:val="20"/>
                <w:szCs w:val="20"/>
              </w:rPr>
              <w:t>48.1</w:t>
            </w:r>
          </w:p>
        </w:tc>
        <w:tc>
          <w:tcPr>
            <w:tcW w:w="1080" w:type="dxa"/>
            <w:tcBorders>
              <w:left w:val="double" w:color="auto" w:sz="4" w:space="0"/>
            </w:tcBorders>
            <w:vAlign w:val="bottom"/>
          </w:tcPr>
          <w:p w:rsidR="003B0815" w:rsidRDefault="003B0815" w14:paraId="024F20B4" w14:textId="77777777">
            <w:pPr>
              <w:keepNext/>
              <w:jc w:val="right"/>
              <w:rPr>
                <w:rFonts w:ascii="Arial" w:hAnsi="Arial"/>
                <w:sz w:val="20"/>
                <w:szCs w:val="20"/>
              </w:rPr>
            </w:pPr>
            <w:r>
              <w:rPr>
                <w:rFonts w:ascii="Arial" w:hAnsi="Arial" w:cs="Arial"/>
                <w:sz w:val="20"/>
                <w:szCs w:val="20"/>
              </w:rPr>
              <w:t xml:space="preserve">201.9 </w:t>
            </w:r>
          </w:p>
        </w:tc>
        <w:tc>
          <w:tcPr>
            <w:tcW w:w="1080" w:type="dxa"/>
            <w:vAlign w:val="bottom"/>
          </w:tcPr>
          <w:p w:rsidR="003B0815" w:rsidRDefault="003B0815" w14:paraId="30A638F0"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73E314B8" w14:textId="77777777">
            <w:pPr>
              <w:keepNext/>
              <w:jc w:val="right"/>
              <w:rPr>
                <w:rFonts w:ascii="Arial" w:hAnsi="Arial"/>
                <w:sz w:val="20"/>
                <w:szCs w:val="20"/>
              </w:rPr>
            </w:pPr>
            <w:r>
              <w:rPr>
                <w:rFonts w:ascii="Arial" w:hAnsi="Arial" w:cs="Arial"/>
                <w:sz w:val="20"/>
                <w:szCs w:val="20"/>
              </w:rPr>
              <w:t xml:space="preserve">17.3 </w:t>
            </w:r>
          </w:p>
        </w:tc>
        <w:tc>
          <w:tcPr>
            <w:tcW w:w="1281" w:type="dxa"/>
            <w:tcBorders>
              <w:left w:val="double" w:color="auto" w:sz="4" w:space="0"/>
              <w:right w:val="single" w:color="auto" w:sz="12" w:space="0"/>
            </w:tcBorders>
            <w:shd w:val="clear" w:color="auto" w:fill="C0C0C0"/>
            <w:vAlign w:val="bottom"/>
          </w:tcPr>
          <w:p w:rsidR="003B0815" w:rsidRDefault="003B0815" w14:paraId="699EDD43" w14:textId="77777777">
            <w:pPr>
              <w:keepNext/>
              <w:jc w:val="right"/>
              <w:rPr>
                <w:rFonts w:ascii="Arial" w:hAnsi="Arial"/>
                <w:sz w:val="20"/>
                <w:szCs w:val="20"/>
              </w:rPr>
            </w:pPr>
            <w:r>
              <w:rPr>
                <w:rFonts w:ascii="Arial" w:hAnsi="Arial" w:cs="Arial"/>
                <w:b/>
                <w:bCs/>
                <w:sz w:val="20"/>
                <w:szCs w:val="20"/>
              </w:rPr>
              <w:t>65.4</w:t>
            </w:r>
          </w:p>
        </w:tc>
      </w:tr>
      <w:tr w:rsidR="003B0815" w14:paraId="2399885B" w14:textId="77777777">
        <w:trPr>
          <w:jc w:val="center"/>
        </w:trPr>
        <w:tc>
          <w:tcPr>
            <w:tcW w:w="731" w:type="dxa"/>
            <w:tcBorders>
              <w:left w:val="single" w:color="auto" w:sz="12" w:space="0"/>
            </w:tcBorders>
          </w:tcPr>
          <w:p w:rsidR="003B0815" w:rsidRDefault="003B0815" w14:paraId="771D55F6" w14:textId="77777777">
            <w:pPr>
              <w:keepNext/>
              <w:jc w:val="center"/>
              <w:rPr>
                <w:rFonts w:ascii="Arial" w:hAnsi="Arial"/>
                <w:sz w:val="20"/>
                <w:szCs w:val="20"/>
              </w:rPr>
            </w:pPr>
            <w:r>
              <w:t>2011</w:t>
            </w:r>
          </w:p>
        </w:tc>
        <w:tc>
          <w:tcPr>
            <w:tcW w:w="828" w:type="dxa"/>
            <w:vAlign w:val="bottom"/>
          </w:tcPr>
          <w:p w:rsidR="003B0815" w:rsidRDefault="003B0815" w14:paraId="3B77A372"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77C62799" w14:textId="77777777">
            <w:pPr>
              <w:keepNext/>
              <w:jc w:val="right"/>
              <w:rPr>
                <w:rFonts w:ascii="Arial" w:hAnsi="Arial"/>
                <w:sz w:val="20"/>
                <w:szCs w:val="20"/>
              </w:rPr>
            </w:pPr>
            <w:r>
              <w:rPr>
                <w:rFonts w:ascii="Arial" w:hAnsi="Arial" w:cs="Arial"/>
                <w:sz w:val="20"/>
                <w:szCs w:val="20"/>
              </w:rPr>
              <w:t xml:space="preserve">216.7 </w:t>
            </w:r>
          </w:p>
        </w:tc>
        <w:tc>
          <w:tcPr>
            <w:tcW w:w="1080" w:type="dxa"/>
            <w:vAlign w:val="bottom"/>
          </w:tcPr>
          <w:p w:rsidR="003B0815" w:rsidRDefault="003B0815" w14:paraId="07EA1AF6"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3B1904F1" w14:textId="77777777">
            <w:pPr>
              <w:keepNext/>
              <w:jc w:val="right"/>
              <w:rPr>
                <w:rFonts w:ascii="Arial" w:hAnsi="Arial"/>
                <w:sz w:val="20"/>
                <w:szCs w:val="20"/>
              </w:rPr>
            </w:pPr>
            <w:r>
              <w:rPr>
                <w:rFonts w:ascii="Arial" w:hAnsi="Arial" w:cs="Arial"/>
                <w:sz w:val="20"/>
                <w:szCs w:val="20"/>
              </w:rPr>
              <w:t>49.6</w:t>
            </w:r>
          </w:p>
        </w:tc>
        <w:tc>
          <w:tcPr>
            <w:tcW w:w="1080" w:type="dxa"/>
            <w:tcBorders>
              <w:left w:val="double" w:color="auto" w:sz="4" w:space="0"/>
            </w:tcBorders>
            <w:vAlign w:val="bottom"/>
          </w:tcPr>
          <w:p w:rsidR="003B0815" w:rsidRDefault="003B0815" w14:paraId="49DF6685" w14:textId="77777777">
            <w:pPr>
              <w:keepNext/>
              <w:jc w:val="right"/>
              <w:rPr>
                <w:rFonts w:ascii="Arial" w:hAnsi="Arial"/>
                <w:sz w:val="20"/>
                <w:szCs w:val="20"/>
              </w:rPr>
            </w:pPr>
            <w:r>
              <w:rPr>
                <w:rFonts w:ascii="Arial" w:hAnsi="Arial" w:cs="Arial"/>
                <w:sz w:val="20"/>
                <w:szCs w:val="20"/>
              </w:rPr>
              <w:t xml:space="preserve">208.2 </w:t>
            </w:r>
          </w:p>
        </w:tc>
        <w:tc>
          <w:tcPr>
            <w:tcW w:w="1080" w:type="dxa"/>
            <w:vAlign w:val="bottom"/>
          </w:tcPr>
          <w:p w:rsidR="003B0815" w:rsidRDefault="003B0815" w14:paraId="1A6CD569"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5C43CF7F" w14:textId="77777777">
            <w:pPr>
              <w:keepNext/>
              <w:jc w:val="right"/>
              <w:rPr>
                <w:rFonts w:ascii="Arial" w:hAnsi="Arial"/>
                <w:sz w:val="20"/>
                <w:szCs w:val="20"/>
              </w:rPr>
            </w:pPr>
            <w:r>
              <w:rPr>
                <w:rFonts w:ascii="Arial" w:hAnsi="Arial" w:cs="Arial"/>
                <w:sz w:val="20"/>
                <w:szCs w:val="20"/>
              </w:rPr>
              <w:t xml:space="preserve">17.9 </w:t>
            </w:r>
          </w:p>
        </w:tc>
        <w:tc>
          <w:tcPr>
            <w:tcW w:w="1281" w:type="dxa"/>
            <w:tcBorders>
              <w:left w:val="double" w:color="auto" w:sz="4" w:space="0"/>
              <w:right w:val="single" w:color="auto" w:sz="12" w:space="0"/>
            </w:tcBorders>
            <w:shd w:val="clear" w:color="auto" w:fill="C0C0C0"/>
            <w:vAlign w:val="bottom"/>
          </w:tcPr>
          <w:p w:rsidR="003B0815" w:rsidRDefault="003B0815" w14:paraId="307C1760" w14:textId="77777777">
            <w:pPr>
              <w:keepNext/>
              <w:jc w:val="right"/>
              <w:rPr>
                <w:rFonts w:ascii="Arial" w:hAnsi="Arial"/>
                <w:sz w:val="20"/>
                <w:szCs w:val="20"/>
              </w:rPr>
            </w:pPr>
            <w:r>
              <w:rPr>
                <w:rFonts w:ascii="Arial" w:hAnsi="Arial" w:cs="Arial"/>
                <w:b/>
                <w:bCs/>
                <w:sz w:val="20"/>
                <w:szCs w:val="20"/>
              </w:rPr>
              <w:t>67.5</w:t>
            </w:r>
          </w:p>
        </w:tc>
      </w:tr>
      <w:tr w:rsidR="003B0815" w14:paraId="361139EB" w14:textId="77777777">
        <w:trPr>
          <w:jc w:val="center"/>
        </w:trPr>
        <w:tc>
          <w:tcPr>
            <w:tcW w:w="731" w:type="dxa"/>
            <w:tcBorders>
              <w:left w:val="single" w:color="auto" w:sz="12" w:space="0"/>
            </w:tcBorders>
          </w:tcPr>
          <w:p w:rsidR="003B0815" w:rsidRDefault="003B0815" w14:paraId="5410D3AA" w14:textId="77777777">
            <w:pPr>
              <w:keepNext/>
              <w:jc w:val="center"/>
              <w:rPr>
                <w:rFonts w:ascii="Arial" w:hAnsi="Arial"/>
                <w:sz w:val="20"/>
                <w:szCs w:val="20"/>
              </w:rPr>
            </w:pPr>
            <w:r>
              <w:t>2012</w:t>
            </w:r>
          </w:p>
        </w:tc>
        <w:tc>
          <w:tcPr>
            <w:tcW w:w="828" w:type="dxa"/>
            <w:vAlign w:val="bottom"/>
          </w:tcPr>
          <w:p w:rsidR="003B0815" w:rsidRDefault="003B0815" w14:paraId="2494FAF9"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026CF09C" w14:textId="77777777">
            <w:pPr>
              <w:keepNext/>
              <w:jc w:val="right"/>
              <w:rPr>
                <w:rFonts w:ascii="Arial" w:hAnsi="Arial"/>
                <w:sz w:val="20"/>
                <w:szCs w:val="20"/>
              </w:rPr>
            </w:pPr>
            <w:r>
              <w:rPr>
                <w:rFonts w:ascii="Arial" w:hAnsi="Arial" w:cs="Arial"/>
                <w:sz w:val="20"/>
                <w:szCs w:val="20"/>
              </w:rPr>
              <w:t xml:space="preserve">223.7 </w:t>
            </w:r>
          </w:p>
        </w:tc>
        <w:tc>
          <w:tcPr>
            <w:tcW w:w="1080" w:type="dxa"/>
            <w:vAlign w:val="bottom"/>
          </w:tcPr>
          <w:p w:rsidR="003B0815" w:rsidRDefault="003B0815" w14:paraId="28575575"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3976399B" w14:textId="77777777">
            <w:pPr>
              <w:keepNext/>
              <w:jc w:val="right"/>
              <w:rPr>
                <w:rFonts w:ascii="Arial" w:hAnsi="Arial"/>
                <w:sz w:val="20"/>
                <w:szCs w:val="20"/>
              </w:rPr>
            </w:pPr>
            <w:r>
              <w:rPr>
                <w:rFonts w:ascii="Arial" w:hAnsi="Arial" w:cs="Arial"/>
                <w:sz w:val="20"/>
                <w:szCs w:val="20"/>
              </w:rPr>
              <w:t>51.2</w:t>
            </w:r>
          </w:p>
        </w:tc>
        <w:tc>
          <w:tcPr>
            <w:tcW w:w="1080" w:type="dxa"/>
            <w:tcBorders>
              <w:left w:val="double" w:color="auto" w:sz="4" w:space="0"/>
            </w:tcBorders>
            <w:vAlign w:val="bottom"/>
          </w:tcPr>
          <w:p w:rsidR="003B0815" w:rsidRDefault="003B0815" w14:paraId="078CC076" w14:textId="77777777">
            <w:pPr>
              <w:keepNext/>
              <w:jc w:val="right"/>
              <w:rPr>
                <w:rFonts w:ascii="Arial" w:hAnsi="Arial"/>
                <w:sz w:val="20"/>
                <w:szCs w:val="20"/>
              </w:rPr>
            </w:pPr>
            <w:r>
              <w:rPr>
                <w:rFonts w:ascii="Arial" w:hAnsi="Arial" w:cs="Arial"/>
                <w:sz w:val="20"/>
                <w:szCs w:val="20"/>
              </w:rPr>
              <w:t xml:space="preserve">214.9 </w:t>
            </w:r>
          </w:p>
        </w:tc>
        <w:tc>
          <w:tcPr>
            <w:tcW w:w="1080" w:type="dxa"/>
            <w:vAlign w:val="bottom"/>
          </w:tcPr>
          <w:p w:rsidR="003B0815" w:rsidRDefault="003B0815" w14:paraId="3DC0177B"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0D518E65" w14:textId="77777777">
            <w:pPr>
              <w:keepNext/>
              <w:jc w:val="right"/>
              <w:rPr>
                <w:rFonts w:ascii="Arial" w:hAnsi="Arial"/>
                <w:sz w:val="20"/>
                <w:szCs w:val="20"/>
              </w:rPr>
            </w:pPr>
            <w:r>
              <w:rPr>
                <w:rFonts w:ascii="Arial" w:hAnsi="Arial" w:cs="Arial"/>
                <w:sz w:val="20"/>
                <w:szCs w:val="20"/>
              </w:rPr>
              <w:t xml:space="preserve">18.4 </w:t>
            </w:r>
          </w:p>
        </w:tc>
        <w:tc>
          <w:tcPr>
            <w:tcW w:w="1281" w:type="dxa"/>
            <w:tcBorders>
              <w:left w:val="double" w:color="auto" w:sz="4" w:space="0"/>
              <w:right w:val="single" w:color="auto" w:sz="12" w:space="0"/>
            </w:tcBorders>
            <w:shd w:val="clear" w:color="auto" w:fill="C0C0C0"/>
            <w:vAlign w:val="bottom"/>
          </w:tcPr>
          <w:p w:rsidR="003B0815" w:rsidRDefault="003B0815" w14:paraId="0CD081D3" w14:textId="77777777">
            <w:pPr>
              <w:keepNext/>
              <w:jc w:val="right"/>
              <w:rPr>
                <w:rFonts w:ascii="Arial" w:hAnsi="Arial"/>
                <w:sz w:val="20"/>
                <w:szCs w:val="20"/>
              </w:rPr>
            </w:pPr>
            <w:r>
              <w:rPr>
                <w:rFonts w:ascii="Arial" w:hAnsi="Arial" w:cs="Arial"/>
                <w:b/>
                <w:bCs/>
                <w:sz w:val="20"/>
                <w:szCs w:val="20"/>
              </w:rPr>
              <w:t>69.6</w:t>
            </w:r>
          </w:p>
        </w:tc>
      </w:tr>
      <w:tr w:rsidR="003B0815" w14:paraId="62B485C6" w14:textId="77777777">
        <w:trPr>
          <w:jc w:val="center"/>
        </w:trPr>
        <w:tc>
          <w:tcPr>
            <w:tcW w:w="731" w:type="dxa"/>
            <w:tcBorders>
              <w:left w:val="single" w:color="auto" w:sz="12" w:space="0"/>
            </w:tcBorders>
          </w:tcPr>
          <w:p w:rsidR="003B0815" w:rsidRDefault="003B0815" w14:paraId="4DE7C409" w14:textId="77777777">
            <w:pPr>
              <w:keepNext/>
              <w:jc w:val="center"/>
              <w:rPr>
                <w:rFonts w:ascii="Arial" w:hAnsi="Arial"/>
                <w:sz w:val="20"/>
                <w:szCs w:val="20"/>
              </w:rPr>
            </w:pPr>
            <w:r>
              <w:t>2013</w:t>
            </w:r>
          </w:p>
        </w:tc>
        <w:tc>
          <w:tcPr>
            <w:tcW w:w="828" w:type="dxa"/>
            <w:vAlign w:val="bottom"/>
          </w:tcPr>
          <w:p w:rsidR="003B0815" w:rsidRDefault="003B0815" w14:paraId="4F587B0A"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10750C72" w14:textId="77777777">
            <w:pPr>
              <w:keepNext/>
              <w:jc w:val="right"/>
              <w:rPr>
                <w:rFonts w:ascii="Arial" w:hAnsi="Arial"/>
                <w:sz w:val="20"/>
                <w:szCs w:val="20"/>
              </w:rPr>
            </w:pPr>
            <w:r>
              <w:rPr>
                <w:rFonts w:ascii="Arial" w:hAnsi="Arial" w:cs="Arial"/>
                <w:sz w:val="20"/>
                <w:szCs w:val="20"/>
              </w:rPr>
              <w:t xml:space="preserve">230.7 </w:t>
            </w:r>
          </w:p>
        </w:tc>
        <w:tc>
          <w:tcPr>
            <w:tcW w:w="1080" w:type="dxa"/>
            <w:vAlign w:val="bottom"/>
          </w:tcPr>
          <w:p w:rsidR="003B0815" w:rsidRDefault="003B0815" w14:paraId="756B34C6"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2CD47516" w14:textId="77777777">
            <w:pPr>
              <w:keepNext/>
              <w:jc w:val="right"/>
              <w:rPr>
                <w:rFonts w:ascii="Arial" w:hAnsi="Arial"/>
                <w:sz w:val="20"/>
                <w:szCs w:val="20"/>
              </w:rPr>
            </w:pPr>
            <w:r>
              <w:rPr>
                <w:rFonts w:ascii="Arial" w:hAnsi="Arial" w:cs="Arial"/>
                <w:sz w:val="20"/>
                <w:szCs w:val="20"/>
              </w:rPr>
              <w:t>52.8</w:t>
            </w:r>
          </w:p>
        </w:tc>
        <w:tc>
          <w:tcPr>
            <w:tcW w:w="1080" w:type="dxa"/>
            <w:tcBorders>
              <w:left w:val="double" w:color="auto" w:sz="4" w:space="0"/>
            </w:tcBorders>
            <w:vAlign w:val="bottom"/>
          </w:tcPr>
          <w:p w:rsidR="003B0815" w:rsidRDefault="003B0815" w14:paraId="6D9C88DC" w14:textId="77777777">
            <w:pPr>
              <w:keepNext/>
              <w:jc w:val="right"/>
              <w:rPr>
                <w:rFonts w:ascii="Arial" w:hAnsi="Arial"/>
                <w:sz w:val="20"/>
                <w:szCs w:val="20"/>
              </w:rPr>
            </w:pPr>
            <w:r>
              <w:rPr>
                <w:rFonts w:ascii="Arial" w:hAnsi="Arial" w:cs="Arial"/>
                <w:sz w:val="20"/>
                <w:szCs w:val="20"/>
              </w:rPr>
              <w:t xml:space="preserve">221.7 </w:t>
            </w:r>
          </w:p>
        </w:tc>
        <w:tc>
          <w:tcPr>
            <w:tcW w:w="1080" w:type="dxa"/>
            <w:vAlign w:val="bottom"/>
          </w:tcPr>
          <w:p w:rsidR="003B0815" w:rsidRDefault="003B0815" w14:paraId="293B3EC8"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60E456FF" w14:textId="77777777">
            <w:pPr>
              <w:keepNext/>
              <w:jc w:val="right"/>
              <w:rPr>
                <w:rFonts w:ascii="Arial" w:hAnsi="Arial"/>
                <w:sz w:val="20"/>
                <w:szCs w:val="20"/>
              </w:rPr>
            </w:pPr>
            <w:r>
              <w:rPr>
                <w:rFonts w:ascii="Arial" w:hAnsi="Arial" w:cs="Arial"/>
                <w:sz w:val="20"/>
                <w:szCs w:val="20"/>
              </w:rPr>
              <w:t xml:space="preserve">19.0 </w:t>
            </w:r>
          </w:p>
        </w:tc>
        <w:tc>
          <w:tcPr>
            <w:tcW w:w="1281" w:type="dxa"/>
            <w:tcBorders>
              <w:left w:val="double" w:color="auto" w:sz="4" w:space="0"/>
              <w:right w:val="single" w:color="auto" w:sz="12" w:space="0"/>
            </w:tcBorders>
            <w:shd w:val="clear" w:color="auto" w:fill="C0C0C0"/>
            <w:vAlign w:val="bottom"/>
          </w:tcPr>
          <w:p w:rsidR="003B0815" w:rsidRDefault="003B0815" w14:paraId="32EA5465" w14:textId="77777777">
            <w:pPr>
              <w:keepNext/>
              <w:jc w:val="right"/>
              <w:rPr>
                <w:rFonts w:ascii="Arial" w:hAnsi="Arial"/>
                <w:sz w:val="20"/>
                <w:szCs w:val="20"/>
              </w:rPr>
            </w:pPr>
            <w:r>
              <w:rPr>
                <w:rFonts w:ascii="Arial" w:hAnsi="Arial" w:cs="Arial"/>
                <w:b/>
                <w:bCs/>
                <w:sz w:val="20"/>
                <w:szCs w:val="20"/>
              </w:rPr>
              <w:t>71.8</w:t>
            </w:r>
          </w:p>
        </w:tc>
      </w:tr>
      <w:tr w:rsidR="003B0815" w14:paraId="37DDB3F4" w14:textId="77777777">
        <w:trPr>
          <w:jc w:val="center"/>
        </w:trPr>
        <w:tc>
          <w:tcPr>
            <w:tcW w:w="731" w:type="dxa"/>
            <w:tcBorders>
              <w:left w:val="single" w:color="auto" w:sz="12" w:space="0"/>
            </w:tcBorders>
          </w:tcPr>
          <w:p w:rsidR="003B0815" w:rsidRDefault="003B0815" w14:paraId="427CEA07" w14:textId="77777777">
            <w:pPr>
              <w:keepNext/>
              <w:jc w:val="center"/>
              <w:rPr>
                <w:rFonts w:ascii="Arial" w:hAnsi="Arial"/>
                <w:sz w:val="20"/>
                <w:szCs w:val="20"/>
              </w:rPr>
            </w:pPr>
            <w:r>
              <w:t>2014</w:t>
            </w:r>
          </w:p>
        </w:tc>
        <w:tc>
          <w:tcPr>
            <w:tcW w:w="828" w:type="dxa"/>
            <w:vAlign w:val="bottom"/>
          </w:tcPr>
          <w:p w:rsidR="003B0815" w:rsidRDefault="003B0815" w14:paraId="4D2AD400"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7F13EC72" w14:textId="77777777">
            <w:pPr>
              <w:keepNext/>
              <w:jc w:val="right"/>
              <w:rPr>
                <w:rFonts w:ascii="Arial" w:hAnsi="Arial"/>
                <w:sz w:val="20"/>
                <w:szCs w:val="20"/>
              </w:rPr>
            </w:pPr>
            <w:r>
              <w:rPr>
                <w:rFonts w:ascii="Arial" w:hAnsi="Arial" w:cs="Arial"/>
                <w:sz w:val="20"/>
                <w:szCs w:val="20"/>
              </w:rPr>
              <w:t xml:space="preserve">238.2 </w:t>
            </w:r>
          </w:p>
        </w:tc>
        <w:tc>
          <w:tcPr>
            <w:tcW w:w="1080" w:type="dxa"/>
            <w:vAlign w:val="bottom"/>
          </w:tcPr>
          <w:p w:rsidR="003B0815" w:rsidRDefault="003B0815" w14:paraId="3A62D98F"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7D411E6F" w14:textId="77777777">
            <w:pPr>
              <w:keepNext/>
              <w:jc w:val="right"/>
              <w:rPr>
                <w:rFonts w:ascii="Arial" w:hAnsi="Arial"/>
                <w:sz w:val="20"/>
                <w:szCs w:val="20"/>
              </w:rPr>
            </w:pPr>
            <w:r>
              <w:rPr>
                <w:rFonts w:ascii="Arial" w:hAnsi="Arial" w:cs="Arial"/>
                <w:sz w:val="20"/>
                <w:szCs w:val="20"/>
              </w:rPr>
              <w:t>54.5</w:t>
            </w:r>
          </w:p>
        </w:tc>
        <w:tc>
          <w:tcPr>
            <w:tcW w:w="1080" w:type="dxa"/>
            <w:tcBorders>
              <w:left w:val="double" w:color="auto" w:sz="4" w:space="0"/>
            </w:tcBorders>
            <w:vAlign w:val="bottom"/>
          </w:tcPr>
          <w:p w:rsidR="003B0815" w:rsidRDefault="003B0815" w14:paraId="46398036" w14:textId="77777777">
            <w:pPr>
              <w:keepNext/>
              <w:jc w:val="right"/>
              <w:rPr>
                <w:rFonts w:ascii="Arial" w:hAnsi="Arial"/>
                <w:sz w:val="20"/>
                <w:szCs w:val="20"/>
              </w:rPr>
            </w:pPr>
            <w:r>
              <w:rPr>
                <w:rFonts w:ascii="Arial" w:hAnsi="Arial" w:cs="Arial"/>
                <w:sz w:val="20"/>
                <w:szCs w:val="20"/>
              </w:rPr>
              <w:t xml:space="preserve">228.9 </w:t>
            </w:r>
          </w:p>
        </w:tc>
        <w:tc>
          <w:tcPr>
            <w:tcW w:w="1080" w:type="dxa"/>
            <w:vAlign w:val="bottom"/>
          </w:tcPr>
          <w:p w:rsidR="003B0815" w:rsidRDefault="003B0815" w14:paraId="26F86312"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21FD8002" w14:textId="77777777">
            <w:pPr>
              <w:keepNext/>
              <w:jc w:val="right"/>
              <w:rPr>
                <w:rFonts w:ascii="Arial" w:hAnsi="Arial"/>
                <w:sz w:val="20"/>
                <w:szCs w:val="20"/>
              </w:rPr>
            </w:pPr>
            <w:r>
              <w:rPr>
                <w:rFonts w:ascii="Arial" w:hAnsi="Arial" w:cs="Arial"/>
                <w:sz w:val="20"/>
                <w:szCs w:val="20"/>
              </w:rPr>
              <w:t xml:space="preserve">19.6 </w:t>
            </w:r>
          </w:p>
        </w:tc>
        <w:tc>
          <w:tcPr>
            <w:tcW w:w="1281" w:type="dxa"/>
            <w:tcBorders>
              <w:left w:val="double" w:color="auto" w:sz="4" w:space="0"/>
              <w:right w:val="single" w:color="auto" w:sz="12" w:space="0"/>
            </w:tcBorders>
            <w:shd w:val="clear" w:color="auto" w:fill="C0C0C0"/>
            <w:vAlign w:val="bottom"/>
          </w:tcPr>
          <w:p w:rsidR="003B0815" w:rsidRDefault="003B0815" w14:paraId="152497BC" w14:textId="77777777">
            <w:pPr>
              <w:keepNext/>
              <w:jc w:val="right"/>
              <w:rPr>
                <w:rFonts w:ascii="Arial" w:hAnsi="Arial"/>
                <w:sz w:val="20"/>
                <w:szCs w:val="20"/>
              </w:rPr>
            </w:pPr>
            <w:r>
              <w:rPr>
                <w:rFonts w:ascii="Arial" w:hAnsi="Arial" w:cs="Arial"/>
                <w:b/>
                <w:bCs/>
                <w:sz w:val="20"/>
                <w:szCs w:val="20"/>
              </w:rPr>
              <w:t>74.1</w:t>
            </w:r>
          </w:p>
        </w:tc>
      </w:tr>
      <w:tr w:rsidR="003B0815" w14:paraId="3F2E347D" w14:textId="77777777">
        <w:trPr>
          <w:jc w:val="center"/>
        </w:trPr>
        <w:tc>
          <w:tcPr>
            <w:tcW w:w="731" w:type="dxa"/>
            <w:tcBorders>
              <w:left w:val="single" w:color="auto" w:sz="12" w:space="0"/>
            </w:tcBorders>
          </w:tcPr>
          <w:p w:rsidR="003B0815" w:rsidRDefault="003B0815" w14:paraId="4F4D7B5F" w14:textId="77777777">
            <w:pPr>
              <w:keepNext/>
              <w:jc w:val="center"/>
              <w:rPr>
                <w:rFonts w:ascii="Arial" w:hAnsi="Arial"/>
                <w:sz w:val="20"/>
                <w:szCs w:val="20"/>
              </w:rPr>
            </w:pPr>
            <w:r>
              <w:t>2015</w:t>
            </w:r>
          </w:p>
        </w:tc>
        <w:tc>
          <w:tcPr>
            <w:tcW w:w="828" w:type="dxa"/>
            <w:vAlign w:val="bottom"/>
          </w:tcPr>
          <w:p w:rsidR="003B0815" w:rsidRDefault="003B0815" w14:paraId="6A82BC48"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347E0F04" w14:textId="77777777">
            <w:pPr>
              <w:keepNext/>
              <w:jc w:val="right"/>
              <w:rPr>
                <w:rFonts w:ascii="Arial" w:hAnsi="Arial"/>
                <w:sz w:val="20"/>
                <w:szCs w:val="20"/>
              </w:rPr>
            </w:pPr>
            <w:r>
              <w:rPr>
                <w:rFonts w:ascii="Arial" w:hAnsi="Arial" w:cs="Arial"/>
                <w:sz w:val="20"/>
                <w:szCs w:val="20"/>
              </w:rPr>
              <w:t xml:space="preserve">246.0 </w:t>
            </w:r>
          </w:p>
        </w:tc>
        <w:tc>
          <w:tcPr>
            <w:tcW w:w="1080" w:type="dxa"/>
            <w:vAlign w:val="bottom"/>
          </w:tcPr>
          <w:p w:rsidR="003B0815" w:rsidRDefault="003B0815" w14:paraId="6312E5C4"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67057DD2" w14:textId="77777777">
            <w:pPr>
              <w:keepNext/>
              <w:jc w:val="right"/>
              <w:rPr>
                <w:rFonts w:ascii="Arial" w:hAnsi="Arial"/>
                <w:sz w:val="20"/>
                <w:szCs w:val="20"/>
              </w:rPr>
            </w:pPr>
            <w:r>
              <w:rPr>
                <w:rFonts w:ascii="Arial" w:hAnsi="Arial" w:cs="Arial"/>
                <w:sz w:val="20"/>
                <w:szCs w:val="20"/>
              </w:rPr>
              <w:t>56.3</w:t>
            </w:r>
          </w:p>
        </w:tc>
        <w:tc>
          <w:tcPr>
            <w:tcW w:w="1080" w:type="dxa"/>
            <w:tcBorders>
              <w:left w:val="double" w:color="auto" w:sz="4" w:space="0"/>
            </w:tcBorders>
            <w:vAlign w:val="bottom"/>
          </w:tcPr>
          <w:p w:rsidR="003B0815" w:rsidRDefault="003B0815" w14:paraId="58B8D786" w14:textId="77777777">
            <w:pPr>
              <w:keepNext/>
              <w:jc w:val="right"/>
              <w:rPr>
                <w:rFonts w:ascii="Arial" w:hAnsi="Arial"/>
                <w:sz w:val="20"/>
                <w:szCs w:val="20"/>
              </w:rPr>
            </w:pPr>
            <w:r>
              <w:rPr>
                <w:rFonts w:ascii="Arial" w:hAnsi="Arial" w:cs="Arial"/>
                <w:sz w:val="20"/>
                <w:szCs w:val="20"/>
              </w:rPr>
              <w:t xml:space="preserve">236.3 </w:t>
            </w:r>
          </w:p>
        </w:tc>
        <w:tc>
          <w:tcPr>
            <w:tcW w:w="1080" w:type="dxa"/>
            <w:vAlign w:val="bottom"/>
          </w:tcPr>
          <w:p w:rsidR="003B0815" w:rsidRDefault="003B0815" w14:paraId="463121A5"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65E49B58" w14:textId="77777777">
            <w:pPr>
              <w:keepNext/>
              <w:jc w:val="right"/>
              <w:rPr>
                <w:rFonts w:ascii="Arial" w:hAnsi="Arial"/>
                <w:sz w:val="20"/>
                <w:szCs w:val="20"/>
              </w:rPr>
            </w:pPr>
            <w:r>
              <w:rPr>
                <w:rFonts w:ascii="Arial" w:hAnsi="Arial" w:cs="Arial"/>
                <w:sz w:val="20"/>
                <w:szCs w:val="20"/>
              </w:rPr>
              <w:t xml:space="preserve">20.3 </w:t>
            </w:r>
          </w:p>
        </w:tc>
        <w:tc>
          <w:tcPr>
            <w:tcW w:w="1281" w:type="dxa"/>
            <w:tcBorders>
              <w:left w:val="double" w:color="auto" w:sz="4" w:space="0"/>
              <w:right w:val="single" w:color="auto" w:sz="12" w:space="0"/>
            </w:tcBorders>
            <w:shd w:val="clear" w:color="auto" w:fill="C0C0C0"/>
            <w:vAlign w:val="bottom"/>
          </w:tcPr>
          <w:p w:rsidR="003B0815" w:rsidRDefault="003B0815" w14:paraId="0E286819" w14:textId="77777777">
            <w:pPr>
              <w:keepNext/>
              <w:jc w:val="right"/>
              <w:rPr>
                <w:rFonts w:ascii="Arial" w:hAnsi="Arial"/>
                <w:sz w:val="20"/>
                <w:szCs w:val="20"/>
              </w:rPr>
            </w:pPr>
            <w:r>
              <w:rPr>
                <w:rFonts w:ascii="Arial" w:hAnsi="Arial" w:cs="Arial"/>
                <w:b/>
                <w:bCs/>
                <w:sz w:val="20"/>
                <w:szCs w:val="20"/>
              </w:rPr>
              <w:t>76.6</w:t>
            </w:r>
          </w:p>
        </w:tc>
      </w:tr>
      <w:tr w:rsidR="003B0815" w14:paraId="7D48DF6C" w14:textId="77777777">
        <w:trPr>
          <w:jc w:val="center"/>
        </w:trPr>
        <w:tc>
          <w:tcPr>
            <w:tcW w:w="731" w:type="dxa"/>
            <w:tcBorders>
              <w:left w:val="single" w:color="auto" w:sz="12" w:space="0"/>
            </w:tcBorders>
          </w:tcPr>
          <w:p w:rsidR="003B0815" w:rsidRDefault="003B0815" w14:paraId="6AA07C18" w14:textId="77777777">
            <w:pPr>
              <w:keepNext/>
              <w:jc w:val="center"/>
              <w:rPr>
                <w:rFonts w:ascii="Arial" w:hAnsi="Arial"/>
                <w:sz w:val="20"/>
                <w:szCs w:val="20"/>
              </w:rPr>
            </w:pPr>
            <w:r>
              <w:t>2016</w:t>
            </w:r>
          </w:p>
        </w:tc>
        <w:tc>
          <w:tcPr>
            <w:tcW w:w="828" w:type="dxa"/>
            <w:vAlign w:val="bottom"/>
          </w:tcPr>
          <w:p w:rsidR="003B0815" w:rsidRDefault="003B0815" w14:paraId="29C59902" w14:textId="77777777">
            <w:pPr>
              <w:keepNext/>
              <w:jc w:val="center"/>
              <w:rPr>
                <w:rFonts w:ascii="Arial" w:hAnsi="Arial"/>
                <w:sz w:val="20"/>
                <w:szCs w:val="20"/>
              </w:rPr>
            </w:pPr>
            <w:r>
              <w:rPr>
                <w:rFonts w:ascii="Arial" w:hAnsi="Arial" w:cs="Arial"/>
                <w:sz w:val="20"/>
                <w:szCs w:val="20"/>
              </w:rPr>
              <w:t xml:space="preserve">28.60 </w:t>
            </w:r>
          </w:p>
        </w:tc>
        <w:tc>
          <w:tcPr>
            <w:tcW w:w="1040" w:type="dxa"/>
            <w:vAlign w:val="bottom"/>
          </w:tcPr>
          <w:p w:rsidR="003B0815" w:rsidRDefault="003B0815" w14:paraId="1C8BB7F9" w14:textId="77777777">
            <w:pPr>
              <w:keepNext/>
              <w:jc w:val="right"/>
              <w:rPr>
                <w:rFonts w:ascii="Arial" w:hAnsi="Arial"/>
                <w:sz w:val="20"/>
                <w:szCs w:val="20"/>
              </w:rPr>
            </w:pPr>
            <w:r>
              <w:rPr>
                <w:rFonts w:ascii="Arial" w:hAnsi="Arial" w:cs="Arial"/>
                <w:sz w:val="20"/>
                <w:szCs w:val="20"/>
              </w:rPr>
              <w:t xml:space="preserve">254.1 </w:t>
            </w:r>
          </w:p>
        </w:tc>
        <w:tc>
          <w:tcPr>
            <w:tcW w:w="1080" w:type="dxa"/>
            <w:vAlign w:val="bottom"/>
          </w:tcPr>
          <w:p w:rsidR="003B0815" w:rsidRDefault="003B0815" w14:paraId="371D818E"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020003F9" w14:textId="77777777">
            <w:pPr>
              <w:keepNext/>
              <w:jc w:val="right"/>
              <w:rPr>
                <w:rFonts w:ascii="Arial" w:hAnsi="Arial"/>
                <w:sz w:val="20"/>
                <w:szCs w:val="20"/>
              </w:rPr>
            </w:pPr>
            <w:r>
              <w:rPr>
                <w:rFonts w:ascii="Arial" w:hAnsi="Arial" w:cs="Arial"/>
                <w:sz w:val="20"/>
                <w:szCs w:val="20"/>
              </w:rPr>
              <w:t>58.1</w:t>
            </w:r>
          </w:p>
        </w:tc>
        <w:tc>
          <w:tcPr>
            <w:tcW w:w="1080" w:type="dxa"/>
            <w:tcBorders>
              <w:left w:val="double" w:color="auto" w:sz="4" w:space="0"/>
            </w:tcBorders>
            <w:vAlign w:val="bottom"/>
          </w:tcPr>
          <w:p w:rsidR="003B0815" w:rsidRDefault="003B0815" w14:paraId="55A523B3" w14:textId="77777777">
            <w:pPr>
              <w:keepNext/>
              <w:jc w:val="right"/>
              <w:rPr>
                <w:rFonts w:ascii="Arial" w:hAnsi="Arial"/>
                <w:sz w:val="20"/>
                <w:szCs w:val="20"/>
              </w:rPr>
            </w:pPr>
            <w:r>
              <w:rPr>
                <w:rFonts w:ascii="Arial" w:hAnsi="Arial" w:cs="Arial"/>
                <w:sz w:val="20"/>
                <w:szCs w:val="20"/>
              </w:rPr>
              <w:t xml:space="preserve">244.2 </w:t>
            </w:r>
          </w:p>
        </w:tc>
        <w:tc>
          <w:tcPr>
            <w:tcW w:w="1080" w:type="dxa"/>
            <w:vAlign w:val="bottom"/>
          </w:tcPr>
          <w:p w:rsidR="003B0815" w:rsidRDefault="003B0815" w14:paraId="3B57655E" w14:textId="77777777">
            <w:pPr>
              <w:keepNext/>
              <w:jc w:val="center"/>
              <w:rPr>
                <w:rFonts w:ascii="Arial" w:hAnsi="Arial"/>
                <w:sz w:val="20"/>
                <w:szCs w:val="20"/>
              </w:rPr>
            </w:pPr>
            <w:r>
              <w:rPr>
                <w:rFonts w:ascii="Arial" w:hAnsi="Arial" w:cs="Arial"/>
                <w:sz w:val="20"/>
                <w:szCs w:val="20"/>
              </w:rPr>
              <w:t xml:space="preserve">0.003 </w:t>
            </w:r>
          </w:p>
        </w:tc>
        <w:tc>
          <w:tcPr>
            <w:tcW w:w="1260" w:type="dxa"/>
            <w:tcBorders>
              <w:right w:val="double" w:color="auto" w:sz="4" w:space="0"/>
            </w:tcBorders>
            <w:shd w:val="clear" w:color="auto" w:fill="C0C0C0"/>
            <w:vAlign w:val="bottom"/>
          </w:tcPr>
          <w:p w:rsidR="003B0815" w:rsidRDefault="003B0815" w14:paraId="22D8A1BD" w14:textId="77777777">
            <w:pPr>
              <w:keepNext/>
              <w:jc w:val="right"/>
              <w:rPr>
                <w:rFonts w:ascii="Arial" w:hAnsi="Arial"/>
                <w:sz w:val="20"/>
                <w:szCs w:val="20"/>
              </w:rPr>
            </w:pPr>
            <w:r>
              <w:rPr>
                <w:rFonts w:ascii="Arial" w:hAnsi="Arial" w:cs="Arial"/>
                <w:sz w:val="20"/>
                <w:szCs w:val="20"/>
              </w:rPr>
              <w:t xml:space="preserve">21.0 </w:t>
            </w:r>
          </w:p>
        </w:tc>
        <w:tc>
          <w:tcPr>
            <w:tcW w:w="1281" w:type="dxa"/>
            <w:tcBorders>
              <w:left w:val="double" w:color="auto" w:sz="4" w:space="0"/>
              <w:right w:val="single" w:color="auto" w:sz="12" w:space="0"/>
            </w:tcBorders>
            <w:shd w:val="clear" w:color="auto" w:fill="C0C0C0"/>
            <w:vAlign w:val="bottom"/>
          </w:tcPr>
          <w:p w:rsidR="003B0815" w:rsidRDefault="003B0815" w14:paraId="6BC19A49" w14:textId="77777777">
            <w:pPr>
              <w:keepNext/>
              <w:jc w:val="right"/>
              <w:rPr>
                <w:rFonts w:ascii="Arial" w:hAnsi="Arial"/>
                <w:sz w:val="20"/>
                <w:szCs w:val="20"/>
              </w:rPr>
            </w:pPr>
            <w:r>
              <w:rPr>
                <w:rFonts w:ascii="Arial" w:hAnsi="Arial" w:cs="Arial"/>
                <w:b/>
                <w:bCs/>
                <w:sz w:val="20"/>
                <w:szCs w:val="20"/>
              </w:rPr>
              <w:t>79.1</w:t>
            </w:r>
          </w:p>
        </w:tc>
      </w:tr>
      <w:tr w:rsidR="003B0815" w14:paraId="17C5A2BA" w14:textId="77777777">
        <w:trPr>
          <w:jc w:val="center"/>
        </w:trPr>
        <w:tc>
          <w:tcPr>
            <w:tcW w:w="731" w:type="dxa"/>
            <w:tcBorders>
              <w:left w:val="single" w:color="auto" w:sz="12" w:space="0"/>
              <w:bottom w:val="single" w:color="auto" w:sz="4" w:space="0"/>
            </w:tcBorders>
          </w:tcPr>
          <w:p w:rsidR="003B0815" w:rsidRDefault="003B0815" w14:paraId="6FB02AA4" w14:textId="77777777">
            <w:pPr>
              <w:keepNext/>
              <w:jc w:val="center"/>
              <w:rPr>
                <w:rFonts w:ascii="Arial" w:hAnsi="Arial"/>
                <w:sz w:val="20"/>
                <w:szCs w:val="20"/>
              </w:rPr>
            </w:pPr>
            <w:r>
              <w:t>2017</w:t>
            </w:r>
          </w:p>
        </w:tc>
        <w:tc>
          <w:tcPr>
            <w:tcW w:w="828" w:type="dxa"/>
            <w:tcBorders>
              <w:bottom w:val="single" w:color="auto" w:sz="4" w:space="0"/>
            </w:tcBorders>
            <w:vAlign w:val="bottom"/>
          </w:tcPr>
          <w:p w:rsidR="003B0815" w:rsidRDefault="003B0815" w14:paraId="5460D1E2" w14:textId="77777777">
            <w:pPr>
              <w:keepNext/>
              <w:jc w:val="center"/>
              <w:rPr>
                <w:rFonts w:ascii="Arial" w:hAnsi="Arial"/>
                <w:sz w:val="20"/>
                <w:szCs w:val="20"/>
              </w:rPr>
            </w:pPr>
            <w:r>
              <w:rPr>
                <w:rFonts w:ascii="Arial" w:hAnsi="Arial" w:cs="Arial"/>
                <w:sz w:val="20"/>
                <w:szCs w:val="20"/>
              </w:rPr>
              <w:t xml:space="preserve">$28.60 </w:t>
            </w:r>
          </w:p>
        </w:tc>
        <w:tc>
          <w:tcPr>
            <w:tcW w:w="1040" w:type="dxa"/>
            <w:tcBorders>
              <w:bottom w:val="single" w:color="auto" w:sz="4" w:space="0"/>
            </w:tcBorders>
            <w:vAlign w:val="bottom"/>
          </w:tcPr>
          <w:p w:rsidR="003B0815" w:rsidRDefault="003B0815" w14:paraId="2160B221" w14:textId="77777777">
            <w:pPr>
              <w:keepNext/>
              <w:jc w:val="right"/>
              <w:rPr>
                <w:rFonts w:ascii="Arial" w:hAnsi="Arial"/>
                <w:sz w:val="20"/>
                <w:szCs w:val="20"/>
              </w:rPr>
            </w:pPr>
            <w:r>
              <w:rPr>
                <w:rFonts w:ascii="Arial" w:hAnsi="Arial" w:cs="Arial"/>
                <w:sz w:val="20"/>
                <w:szCs w:val="20"/>
              </w:rPr>
              <w:t xml:space="preserve">262.7 </w:t>
            </w:r>
          </w:p>
        </w:tc>
        <w:tc>
          <w:tcPr>
            <w:tcW w:w="1080" w:type="dxa"/>
            <w:tcBorders>
              <w:bottom w:val="single" w:color="auto" w:sz="4" w:space="0"/>
            </w:tcBorders>
            <w:vAlign w:val="bottom"/>
          </w:tcPr>
          <w:p w:rsidR="003B0815" w:rsidRDefault="003B0815" w14:paraId="159E6C77" w14:textId="77777777">
            <w:pPr>
              <w:keepNext/>
              <w:jc w:val="center"/>
              <w:rPr>
                <w:rFonts w:ascii="Arial" w:hAnsi="Arial"/>
                <w:sz w:val="20"/>
                <w:szCs w:val="20"/>
              </w:rPr>
            </w:pPr>
            <w:r>
              <w:rPr>
                <w:rFonts w:ascii="Arial" w:hAnsi="Arial" w:cs="Arial"/>
                <w:sz w:val="20"/>
                <w:szCs w:val="20"/>
              </w:rPr>
              <w:t>0.008</w:t>
            </w:r>
          </w:p>
        </w:tc>
        <w:tc>
          <w:tcPr>
            <w:tcW w:w="1260" w:type="dxa"/>
            <w:tcBorders>
              <w:bottom w:val="single" w:color="auto" w:sz="4" w:space="0"/>
              <w:right w:val="double" w:color="auto" w:sz="4" w:space="0"/>
            </w:tcBorders>
            <w:shd w:val="clear" w:color="auto" w:fill="C0C0C0"/>
            <w:vAlign w:val="bottom"/>
          </w:tcPr>
          <w:p w:rsidR="003B0815" w:rsidRDefault="003B0815" w14:paraId="79B3C7DA" w14:textId="77777777">
            <w:pPr>
              <w:keepNext/>
              <w:jc w:val="right"/>
              <w:rPr>
                <w:rFonts w:ascii="Arial" w:hAnsi="Arial"/>
                <w:sz w:val="20"/>
                <w:szCs w:val="20"/>
              </w:rPr>
            </w:pPr>
            <w:r>
              <w:rPr>
                <w:rFonts w:ascii="Arial" w:hAnsi="Arial" w:cs="Arial"/>
                <w:sz w:val="20"/>
                <w:szCs w:val="20"/>
              </w:rPr>
              <w:t>$60.1</w:t>
            </w:r>
          </w:p>
        </w:tc>
        <w:tc>
          <w:tcPr>
            <w:tcW w:w="1080" w:type="dxa"/>
            <w:tcBorders>
              <w:left w:val="double" w:color="auto" w:sz="4" w:space="0"/>
              <w:bottom w:val="single" w:color="auto" w:sz="4" w:space="0"/>
            </w:tcBorders>
            <w:vAlign w:val="bottom"/>
          </w:tcPr>
          <w:p w:rsidR="003B0815" w:rsidRDefault="003B0815" w14:paraId="0106E000" w14:textId="77777777">
            <w:pPr>
              <w:keepNext/>
              <w:jc w:val="right"/>
              <w:rPr>
                <w:rFonts w:ascii="Arial" w:hAnsi="Arial"/>
                <w:sz w:val="20"/>
                <w:szCs w:val="20"/>
              </w:rPr>
            </w:pPr>
            <w:r>
              <w:rPr>
                <w:rFonts w:ascii="Arial" w:hAnsi="Arial" w:cs="Arial"/>
                <w:sz w:val="20"/>
                <w:szCs w:val="20"/>
              </w:rPr>
              <w:t xml:space="preserve">252.4 </w:t>
            </w:r>
          </w:p>
        </w:tc>
        <w:tc>
          <w:tcPr>
            <w:tcW w:w="1080" w:type="dxa"/>
            <w:tcBorders>
              <w:bottom w:val="single" w:color="auto" w:sz="4" w:space="0"/>
            </w:tcBorders>
            <w:vAlign w:val="bottom"/>
          </w:tcPr>
          <w:p w:rsidR="003B0815" w:rsidRDefault="003B0815" w14:paraId="7FCBFF64" w14:textId="77777777">
            <w:pPr>
              <w:keepNext/>
              <w:jc w:val="center"/>
              <w:rPr>
                <w:rFonts w:ascii="Arial" w:hAnsi="Arial"/>
                <w:sz w:val="20"/>
                <w:szCs w:val="20"/>
              </w:rPr>
            </w:pPr>
            <w:r>
              <w:rPr>
                <w:rFonts w:ascii="Arial" w:hAnsi="Arial" w:cs="Arial"/>
                <w:sz w:val="20"/>
                <w:szCs w:val="20"/>
              </w:rPr>
              <w:t xml:space="preserve">0.003 </w:t>
            </w:r>
          </w:p>
        </w:tc>
        <w:tc>
          <w:tcPr>
            <w:tcW w:w="1260" w:type="dxa"/>
            <w:tcBorders>
              <w:bottom w:val="single" w:color="auto" w:sz="4" w:space="0"/>
              <w:right w:val="double" w:color="auto" w:sz="4" w:space="0"/>
            </w:tcBorders>
            <w:shd w:val="clear" w:color="auto" w:fill="C0C0C0"/>
            <w:vAlign w:val="bottom"/>
          </w:tcPr>
          <w:p w:rsidR="003B0815" w:rsidRDefault="003B0815" w14:paraId="5011A3A7" w14:textId="77777777">
            <w:pPr>
              <w:keepNext/>
              <w:jc w:val="right"/>
              <w:rPr>
                <w:rFonts w:ascii="Arial" w:hAnsi="Arial"/>
                <w:sz w:val="20"/>
                <w:szCs w:val="20"/>
              </w:rPr>
            </w:pPr>
            <w:r>
              <w:rPr>
                <w:rFonts w:ascii="Arial" w:hAnsi="Arial" w:cs="Arial"/>
                <w:sz w:val="20"/>
                <w:szCs w:val="20"/>
              </w:rPr>
              <w:t xml:space="preserve">$21.7 </w:t>
            </w:r>
          </w:p>
        </w:tc>
        <w:tc>
          <w:tcPr>
            <w:tcW w:w="1281" w:type="dxa"/>
            <w:tcBorders>
              <w:left w:val="double" w:color="auto" w:sz="4" w:space="0"/>
              <w:right w:val="single" w:color="auto" w:sz="12" w:space="0"/>
            </w:tcBorders>
            <w:shd w:val="clear" w:color="auto" w:fill="C0C0C0"/>
            <w:vAlign w:val="bottom"/>
          </w:tcPr>
          <w:p w:rsidR="003B0815" w:rsidRDefault="003B0815" w14:paraId="4FC01A81" w14:textId="77777777">
            <w:pPr>
              <w:keepNext/>
              <w:jc w:val="right"/>
              <w:rPr>
                <w:rFonts w:ascii="Arial" w:hAnsi="Arial"/>
                <w:sz w:val="20"/>
                <w:szCs w:val="20"/>
              </w:rPr>
            </w:pPr>
            <w:r>
              <w:rPr>
                <w:rFonts w:ascii="Arial" w:hAnsi="Arial" w:cs="Arial"/>
                <w:b/>
                <w:bCs/>
                <w:sz w:val="20"/>
                <w:szCs w:val="20"/>
              </w:rPr>
              <w:t>$81.8</w:t>
            </w:r>
          </w:p>
        </w:tc>
      </w:tr>
      <w:tr w:rsidR="003B0815" w14:paraId="310276E5" w14:textId="77777777">
        <w:trPr>
          <w:jc w:val="center"/>
        </w:trPr>
        <w:tc>
          <w:tcPr>
            <w:tcW w:w="731" w:type="dxa"/>
            <w:tcBorders>
              <w:left w:val="single" w:color="auto" w:sz="12" w:space="0"/>
              <w:bottom w:val="single" w:color="auto" w:sz="12" w:space="0"/>
              <w:right w:val="nil"/>
            </w:tcBorders>
            <w:vAlign w:val="bottom"/>
          </w:tcPr>
          <w:p w:rsidR="003B0815" w:rsidRDefault="003B0815" w14:paraId="14008793" w14:textId="77777777">
            <w:pPr>
              <w:keepNext/>
              <w:jc w:val="center"/>
              <w:rPr>
                <w:rFonts w:ascii="Arial" w:hAnsi="Arial" w:cs="Arial"/>
                <w:sz w:val="20"/>
                <w:szCs w:val="20"/>
              </w:rPr>
            </w:pPr>
            <w:r>
              <w:rPr>
                <w:rFonts w:ascii="Arial" w:hAnsi="Arial" w:cs="Arial"/>
                <w:b/>
                <w:bCs/>
                <w:sz w:val="20"/>
                <w:szCs w:val="20"/>
              </w:rPr>
              <w:t>Total</w:t>
            </w:r>
          </w:p>
        </w:tc>
        <w:tc>
          <w:tcPr>
            <w:tcW w:w="828" w:type="dxa"/>
            <w:tcBorders>
              <w:left w:val="nil"/>
              <w:bottom w:val="single" w:color="auto" w:sz="12" w:space="0"/>
              <w:right w:val="nil"/>
            </w:tcBorders>
            <w:vAlign w:val="bottom"/>
          </w:tcPr>
          <w:p w:rsidR="003B0815" w:rsidRDefault="003B0815" w14:paraId="735DC93F" w14:textId="77777777">
            <w:pPr>
              <w:keepNext/>
              <w:jc w:val="center"/>
              <w:rPr>
                <w:rFonts w:ascii="Arial" w:hAnsi="Arial" w:cs="Arial"/>
                <w:sz w:val="20"/>
                <w:szCs w:val="20"/>
              </w:rPr>
            </w:pPr>
            <w:r>
              <w:rPr>
                <w:rFonts w:ascii="Arial" w:hAnsi="Arial" w:cs="Arial"/>
                <w:sz w:val="20"/>
                <w:szCs w:val="20"/>
              </w:rPr>
              <w:t> </w:t>
            </w:r>
          </w:p>
        </w:tc>
        <w:tc>
          <w:tcPr>
            <w:tcW w:w="1040" w:type="dxa"/>
            <w:tcBorders>
              <w:left w:val="nil"/>
              <w:bottom w:val="single" w:color="auto" w:sz="12" w:space="0"/>
              <w:right w:val="nil"/>
            </w:tcBorders>
            <w:vAlign w:val="bottom"/>
          </w:tcPr>
          <w:p w:rsidR="003B0815" w:rsidRDefault="003B0815" w14:paraId="6FFE7496"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0FCBA4B1"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1279DA11" w14:textId="77777777">
            <w:pPr>
              <w:keepNext/>
              <w:jc w:val="right"/>
              <w:rPr>
                <w:rFonts w:ascii="Arial" w:hAnsi="Arial" w:cs="Arial"/>
                <w:b/>
                <w:sz w:val="20"/>
                <w:szCs w:val="20"/>
              </w:rPr>
            </w:pPr>
            <w:r>
              <w:rPr>
                <w:rFonts w:ascii="Arial" w:hAnsi="Arial" w:cs="Arial"/>
                <w:b/>
                <w:sz w:val="20"/>
                <w:szCs w:val="20"/>
              </w:rPr>
              <w:t>$522.5</w:t>
            </w:r>
          </w:p>
        </w:tc>
        <w:tc>
          <w:tcPr>
            <w:tcW w:w="1080" w:type="dxa"/>
            <w:tcBorders>
              <w:left w:val="double" w:color="auto" w:sz="4" w:space="0"/>
              <w:bottom w:val="single" w:color="auto" w:sz="12" w:space="0"/>
              <w:right w:val="nil"/>
            </w:tcBorders>
            <w:vAlign w:val="bottom"/>
          </w:tcPr>
          <w:p w:rsidR="003B0815" w:rsidRDefault="003B0815" w14:paraId="67AF87C1" w14:textId="77777777">
            <w:pPr>
              <w:keepNext/>
              <w:jc w:val="right"/>
              <w:rPr>
                <w:rFonts w:ascii="Arial" w:hAnsi="Arial" w:cs="Arial"/>
                <w:sz w:val="20"/>
                <w:szCs w:val="20"/>
              </w:rPr>
            </w:pPr>
            <w:r>
              <w:rPr>
                <w:rFonts w:ascii="Arial" w:hAnsi="Arial" w:cs="Arial"/>
                <w:b/>
                <w:bCs/>
                <w:sz w:val="20"/>
                <w:szCs w:val="20"/>
              </w:rPr>
              <w:t> </w:t>
            </w:r>
          </w:p>
        </w:tc>
        <w:tc>
          <w:tcPr>
            <w:tcW w:w="1080" w:type="dxa"/>
            <w:tcBorders>
              <w:left w:val="nil"/>
              <w:bottom w:val="single" w:color="auto" w:sz="12" w:space="0"/>
              <w:right w:val="nil"/>
            </w:tcBorders>
            <w:vAlign w:val="bottom"/>
          </w:tcPr>
          <w:p w:rsidR="003B0815" w:rsidRDefault="003B0815" w14:paraId="53F7DF30" w14:textId="77777777">
            <w:pPr>
              <w:keepNext/>
              <w:jc w:val="center"/>
              <w:rPr>
                <w:rFonts w:ascii="Arial" w:hAnsi="Arial" w:cs="Arial"/>
                <w:sz w:val="20"/>
                <w:szCs w:val="20"/>
              </w:rPr>
            </w:pPr>
            <w:r>
              <w:rPr>
                <w:rFonts w:ascii="Arial" w:hAnsi="Arial" w:cs="Arial"/>
                <w:b/>
                <w:bCs/>
                <w:sz w:val="20"/>
                <w:szCs w:val="20"/>
              </w:rPr>
              <w:t> </w:t>
            </w:r>
          </w:p>
        </w:tc>
        <w:tc>
          <w:tcPr>
            <w:tcW w:w="1260" w:type="dxa"/>
            <w:tcBorders>
              <w:left w:val="nil"/>
              <w:bottom w:val="single" w:color="auto" w:sz="12" w:space="0"/>
              <w:right w:val="double" w:color="auto" w:sz="4" w:space="0"/>
            </w:tcBorders>
            <w:vAlign w:val="bottom"/>
          </w:tcPr>
          <w:p w:rsidR="003B0815" w:rsidRDefault="003B0815" w14:paraId="673A19BD" w14:textId="77777777">
            <w:pPr>
              <w:keepNext/>
              <w:jc w:val="right"/>
              <w:rPr>
                <w:rFonts w:ascii="Arial" w:hAnsi="Arial" w:cs="Arial"/>
                <w:b/>
                <w:sz w:val="20"/>
                <w:szCs w:val="20"/>
              </w:rPr>
            </w:pPr>
            <w:r>
              <w:rPr>
                <w:rFonts w:ascii="Arial" w:hAnsi="Arial" w:cs="Arial"/>
                <w:b/>
                <w:sz w:val="20"/>
                <w:szCs w:val="20"/>
              </w:rPr>
              <w:t xml:space="preserve">$188.3 </w:t>
            </w:r>
          </w:p>
        </w:tc>
        <w:tc>
          <w:tcPr>
            <w:tcW w:w="1281" w:type="dxa"/>
            <w:tcBorders>
              <w:left w:val="double" w:color="auto" w:sz="4" w:space="0"/>
              <w:bottom w:val="single" w:color="auto" w:sz="12" w:space="0"/>
              <w:right w:val="single" w:color="auto" w:sz="12" w:space="0"/>
            </w:tcBorders>
            <w:vAlign w:val="bottom"/>
          </w:tcPr>
          <w:p w:rsidR="003B0815" w:rsidRDefault="003B0815" w14:paraId="3AFA57AE" w14:textId="77777777">
            <w:pPr>
              <w:keepNext/>
              <w:jc w:val="right"/>
              <w:rPr>
                <w:rFonts w:ascii="Arial" w:hAnsi="Arial" w:cs="Arial"/>
                <w:b/>
                <w:bCs/>
                <w:sz w:val="20"/>
                <w:szCs w:val="20"/>
              </w:rPr>
            </w:pPr>
            <w:r>
              <w:rPr>
                <w:rFonts w:ascii="Arial" w:hAnsi="Arial" w:cs="Arial"/>
                <w:b/>
                <w:bCs/>
                <w:sz w:val="20"/>
                <w:szCs w:val="20"/>
              </w:rPr>
              <w:t>$710.8</w:t>
            </w:r>
          </w:p>
        </w:tc>
      </w:tr>
    </w:tbl>
    <w:p w:rsidR="003B0815" w:rsidRDefault="003B0815" w14:paraId="4697EA03" w14:textId="77777777">
      <w:pPr>
        <w:spacing w:line="360" w:lineRule="auto"/>
        <w:ind w:firstLine="720"/>
      </w:pPr>
    </w:p>
    <w:p w:rsidR="003B0815" w:rsidRDefault="003B0815" w14:paraId="4CF93F1E" w14:textId="77777777">
      <w:pPr>
        <w:keepNext/>
        <w:spacing w:line="360" w:lineRule="auto"/>
        <w:ind w:firstLine="720"/>
      </w:pPr>
      <w:r>
        <w:t>Table 1.6.6.d. compiles the total reservations opportunity cost from each scenario for domestic passengers.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408"/>
        <w:gridCol w:w="1102"/>
        <w:gridCol w:w="1080"/>
        <w:gridCol w:w="1255"/>
      </w:tblGrid>
      <w:tr w:rsidR="003B0815" w14:paraId="1AF99B78" w14:textId="77777777">
        <w:trPr>
          <w:jc w:val="center"/>
        </w:trPr>
        <w:tc>
          <w:tcPr>
            <w:tcW w:w="4845" w:type="dxa"/>
            <w:gridSpan w:val="4"/>
            <w:tcBorders>
              <w:top w:val="nil"/>
              <w:left w:val="nil"/>
              <w:bottom w:val="single" w:color="auto" w:sz="12" w:space="0"/>
              <w:right w:val="nil"/>
            </w:tcBorders>
          </w:tcPr>
          <w:p w:rsidR="003B0815" w:rsidRDefault="003B0815" w14:paraId="10F74D6C" w14:textId="77777777">
            <w:pPr>
              <w:pStyle w:val="RegEvalTableHeader"/>
              <w:keepNext/>
            </w:pPr>
            <w:bookmarkStart w:name="_Toc114566449" w:id="392"/>
            <w:bookmarkStart w:name="_Toc135477012" w:id="393"/>
            <w:bookmarkStart w:name="_Toc139943623" w:id="394"/>
            <w:bookmarkStart w:name="_Toc141001133" w:id="395"/>
            <w:bookmarkStart w:name="_Toc141000967" w:id="396"/>
            <w:bookmarkStart w:name="_Toc165278406" w:id="397"/>
            <w:bookmarkStart w:name="_Toc174438408" w:id="398"/>
            <w:bookmarkStart w:name="_Toc207109545" w:id="399"/>
            <w:r>
              <w:t xml:space="preserve">Table 1.6.6.d Total Domestic Passenger </w:t>
            </w:r>
            <w:smartTag w:uri="urn:schemas-microsoft-com:office:smarttags" w:element="place">
              <w:r>
                <w:t>Opportunity</w:t>
              </w:r>
            </w:smartTag>
            <w:r>
              <w:t xml:space="preserve"> Costs</w:t>
            </w:r>
            <w:bookmarkEnd w:id="392"/>
            <w:bookmarkEnd w:id="393"/>
            <w:bookmarkEnd w:id="394"/>
            <w:bookmarkEnd w:id="395"/>
            <w:bookmarkEnd w:id="396"/>
            <w:bookmarkEnd w:id="397"/>
            <w:r>
              <w:t>, Groups 1 - 3</w:t>
            </w:r>
            <w:bookmarkEnd w:id="398"/>
            <w:bookmarkEnd w:id="399"/>
          </w:p>
          <w:p w:rsidR="003B0815" w:rsidRDefault="003B0815" w14:paraId="7A61F4CF" w14:textId="77777777">
            <w:pPr>
              <w:keepNext/>
              <w:jc w:val="center"/>
              <w:rPr>
                <w:rFonts w:ascii="Arial" w:hAnsi="Arial"/>
                <w:b/>
                <w:sz w:val="20"/>
              </w:rPr>
            </w:pPr>
            <w:r>
              <w:rPr>
                <w:rFonts w:ascii="Arial" w:hAnsi="Arial"/>
                <w:b/>
                <w:bCs/>
                <w:sz w:val="20"/>
              </w:rPr>
              <w:t>(millions of 2005 $)</w:t>
            </w:r>
          </w:p>
        </w:tc>
      </w:tr>
      <w:tr w:rsidR="003B0815" w14:paraId="64F28957" w14:textId="77777777">
        <w:trPr>
          <w:jc w:val="center"/>
        </w:trPr>
        <w:tc>
          <w:tcPr>
            <w:tcW w:w="1408" w:type="dxa"/>
            <w:tcBorders>
              <w:top w:val="single" w:color="auto" w:sz="12" w:space="0"/>
              <w:left w:val="single" w:color="auto" w:sz="12" w:space="0"/>
            </w:tcBorders>
            <w:vAlign w:val="center"/>
          </w:tcPr>
          <w:p w:rsidR="003B0815" w:rsidRDefault="003B0815" w14:paraId="74CDFE37" w14:textId="77777777">
            <w:pPr>
              <w:keepNext/>
              <w:jc w:val="center"/>
              <w:rPr>
                <w:rFonts w:ascii="Arial" w:hAnsi="Arial"/>
                <w:b/>
                <w:sz w:val="20"/>
                <w:szCs w:val="20"/>
              </w:rPr>
            </w:pPr>
            <w:r>
              <w:rPr>
                <w:rFonts w:ascii="Arial" w:hAnsi="Arial"/>
                <w:b/>
                <w:sz w:val="20"/>
                <w:szCs w:val="20"/>
              </w:rPr>
              <w:t>Fiscal</w:t>
            </w:r>
          </w:p>
          <w:p w:rsidR="003B0815" w:rsidRDefault="003B0815" w14:paraId="1D9E89F4" w14:textId="77777777">
            <w:pPr>
              <w:keepNext/>
              <w:jc w:val="center"/>
              <w:rPr>
                <w:rFonts w:ascii="Arial" w:hAnsi="Arial"/>
                <w:b/>
                <w:sz w:val="20"/>
                <w:szCs w:val="20"/>
              </w:rPr>
            </w:pPr>
            <w:r>
              <w:rPr>
                <w:rFonts w:ascii="Arial" w:hAnsi="Arial"/>
                <w:b/>
                <w:sz w:val="20"/>
                <w:szCs w:val="20"/>
              </w:rPr>
              <w:t>Year</w:t>
            </w:r>
          </w:p>
        </w:tc>
        <w:tc>
          <w:tcPr>
            <w:tcW w:w="1102" w:type="dxa"/>
            <w:tcBorders>
              <w:top w:val="single" w:color="auto" w:sz="12" w:space="0"/>
              <w:bottom w:val="single" w:color="auto" w:sz="4" w:space="0"/>
            </w:tcBorders>
            <w:vAlign w:val="center"/>
          </w:tcPr>
          <w:p w:rsidR="003B0815" w:rsidRDefault="003B0815" w14:paraId="661F26C9" w14:textId="77777777">
            <w:pPr>
              <w:keepNext/>
              <w:jc w:val="center"/>
              <w:rPr>
                <w:rFonts w:ascii="Arial" w:hAnsi="Arial" w:cs="Arial"/>
                <w:b/>
                <w:bCs/>
                <w:sz w:val="20"/>
                <w:szCs w:val="20"/>
              </w:rPr>
            </w:pPr>
            <w:r>
              <w:rPr>
                <w:rFonts w:ascii="Arial" w:hAnsi="Arial" w:cs="Arial"/>
                <w:b/>
                <w:bCs/>
                <w:sz w:val="20"/>
                <w:szCs w:val="20"/>
              </w:rPr>
              <w:t>Primary</w:t>
            </w:r>
          </w:p>
          <w:p w:rsidR="003B0815" w:rsidRDefault="003B0815" w14:paraId="541FE25B" w14:textId="77777777">
            <w:pPr>
              <w:keepNext/>
              <w:jc w:val="center"/>
              <w:rPr>
                <w:rFonts w:ascii="Arial" w:hAnsi="Arial"/>
                <w:b/>
                <w:sz w:val="20"/>
                <w:szCs w:val="20"/>
              </w:rPr>
            </w:pPr>
            <w:r>
              <w:rPr>
                <w:rFonts w:ascii="Arial" w:hAnsi="Arial" w:cs="Arial"/>
                <w:b/>
                <w:bCs/>
                <w:sz w:val="20"/>
                <w:szCs w:val="20"/>
              </w:rPr>
              <w:t>Scenario</w:t>
            </w:r>
          </w:p>
        </w:tc>
        <w:tc>
          <w:tcPr>
            <w:tcW w:w="1080" w:type="dxa"/>
            <w:tcBorders>
              <w:top w:val="single" w:color="auto" w:sz="12" w:space="0"/>
              <w:bottom w:val="single" w:color="auto" w:sz="4" w:space="0"/>
            </w:tcBorders>
            <w:vAlign w:val="center"/>
          </w:tcPr>
          <w:p w:rsidR="003B0815" w:rsidRDefault="003B0815" w14:paraId="663BA821" w14:textId="77777777">
            <w:pPr>
              <w:keepNext/>
              <w:jc w:val="center"/>
              <w:rPr>
                <w:rFonts w:ascii="Arial" w:hAnsi="Arial" w:cs="Arial"/>
                <w:b/>
                <w:bCs/>
                <w:sz w:val="20"/>
                <w:szCs w:val="20"/>
              </w:rPr>
            </w:pPr>
            <w:r>
              <w:rPr>
                <w:rFonts w:ascii="Arial" w:hAnsi="Arial" w:cs="Arial"/>
                <w:b/>
                <w:bCs/>
                <w:sz w:val="20"/>
                <w:szCs w:val="20"/>
              </w:rPr>
              <w:t>Low</w:t>
            </w:r>
          </w:p>
          <w:p w:rsidR="003B0815" w:rsidRDefault="003B0815" w14:paraId="19ADE97C" w14:textId="77777777">
            <w:pPr>
              <w:keepNext/>
              <w:jc w:val="center"/>
              <w:rPr>
                <w:rFonts w:ascii="Arial" w:hAnsi="Arial"/>
                <w:b/>
                <w:sz w:val="20"/>
                <w:szCs w:val="20"/>
              </w:rPr>
            </w:pPr>
            <w:r>
              <w:rPr>
                <w:rFonts w:ascii="Arial" w:hAnsi="Arial" w:cs="Arial"/>
                <w:b/>
                <w:bCs/>
                <w:sz w:val="20"/>
                <w:szCs w:val="20"/>
              </w:rPr>
              <w:t>Scenario</w:t>
            </w:r>
          </w:p>
        </w:tc>
        <w:tc>
          <w:tcPr>
            <w:tcW w:w="1255" w:type="dxa"/>
            <w:tcBorders>
              <w:top w:val="single" w:color="auto" w:sz="12" w:space="0"/>
              <w:bottom w:val="single" w:color="auto" w:sz="4" w:space="0"/>
              <w:right w:val="single" w:color="auto" w:sz="12" w:space="0"/>
            </w:tcBorders>
            <w:vAlign w:val="center"/>
          </w:tcPr>
          <w:p w:rsidR="003B0815" w:rsidRDefault="003B0815" w14:paraId="3FE2F850" w14:textId="77777777">
            <w:pPr>
              <w:keepNext/>
              <w:jc w:val="center"/>
              <w:rPr>
                <w:rFonts w:ascii="Arial" w:hAnsi="Arial" w:cs="Arial"/>
                <w:b/>
                <w:bCs/>
                <w:sz w:val="20"/>
                <w:szCs w:val="20"/>
              </w:rPr>
            </w:pPr>
            <w:r>
              <w:rPr>
                <w:rFonts w:ascii="Arial" w:hAnsi="Arial" w:cs="Arial"/>
                <w:b/>
                <w:bCs/>
                <w:sz w:val="20"/>
                <w:szCs w:val="20"/>
              </w:rPr>
              <w:t>High</w:t>
            </w:r>
          </w:p>
          <w:p w:rsidR="003B0815" w:rsidRDefault="003B0815" w14:paraId="015CECBC" w14:textId="77777777">
            <w:pPr>
              <w:keepNext/>
              <w:jc w:val="center"/>
              <w:rPr>
                <w:rFonts w:ascii="Arial" w:hAnsi="Arial"/>
                <w:b/>
                <w:sz w:val="20"/>
                <w:szCs w:val="20"/>
              </w:rPr>
            </w:pPr>
            <w:r>
              <w:rPr>
                <w:rFonts w:ascii="Arial" w:hAnsi="Arial" w:cs="Arial"/>
                <w:b/>
                <w:bCs/>
                <w:sz w:val="20"/>
                <w:szCs w:val="20"/>
              </w:rPr>
              <w:t>Scenario</w:t>
            </w:r>
          </w:p>
        </w:tc>
      </w:tr>
      <w:tr w:rsidR="003B0815" w14:paraId="0947375A" w14:textId="77777777">
        <w:trPr>
          <w:jc w:val="center"/>
        </w:trPr>
        <w:tc>
          <w:tcPr>
            <w:tcW w:w="1408" w:type="dxa"/>
            <w:tcBorders>
              <w:left w:val="single" w:color="auto" w:sz="12" w:space="0"/>
            </w:tcBorders>
          </w:tcPr>
          <w:p w:rsidR="003B0815" w:rsidRDefault="003B0815" w14:paraId="478BAC6B" w14:textId="77777777">
            <w:pPr>
              <w:keepNext/>
              <w:jc w:val="center"/>
              <w:rPr>
                <w:rFonts w:ascii="Arial" w:hAnsi="Arial"/>
                <w:sz w:val="20"/>
                <w:szCs w:val="20"/>
              </w:rPr>
            </w:pPr>
            <w:r>
              <w:t>2008</w:t>
            </w:r>
          </w:p>
        </w:tc>
        <w:tc>
          <w:tcPr>
            <w:tcW w:w="1102" w:type="dxa"/>
            <w:shd w:val="clear" w:color="auto" w:fill="CCCCCC"/>
            <w:vAlign w:val="bottom"/>
          </w:tcPr>
          <w:p w:rsidR="003B0815" w:rsidRDefault="003B0815" w14:paraId="546253B2" w14:textId="77777777">
            <w:pPr>
              <w:keepNext/>
              <w:jc w:val="right"/>
              <w:rPr>
                <w:rFonts w:ascii="Arial" w:hAnsi="Arial"/>
                <w:sz w:val="20"/>
                <w:szCs w:val="20"/>
              </w:rPr>
            </w:pPr>
            <w:r>
              <w:rPr>
                <w:rFonts w:ascii="Arial" w:hAnsi="Arial" w:cs="Arial"/>
                <w:sz w:val="20"/>
                <w:szCs w:val="20"/>
              </w:rPr>
              <w:t xml:space="preserve">$55.9 </w:t>
            </w:r>
          </w:p>
        </w:tc>
        <w:tc>
          <w:tcPr>
            <w:tcW w:w="1080" w:type="dxa"/>
            <w:shd w:val="clear" w:color="auto" w:fill="CCCCCC"/>
            <w:vAlign w:val="bottom"/>
          </w:tcPr>
          <w:p w:rsidR="003B0815" w:rsidRDefault="003B0815" w14:paraId="5B31B0CC" w14:textId="77777777">
            <w:pPr>
              <w:keepNext/>
              <w:jc w:val="right"/>
              <w:rPr>
                <w:rFonts w:ascii="Arial" w:hAnsi="Arial"/>
                <w:sz w:val="20"/>
                <w:szCs w:val="20"/>
              </w:rPr>
            </w:pPr>
            <w:r>
              <w:rPr>
                <w:rFonts w:ascii="Arial" w:hAnsi="Arial" w:cs="Arial"/>
                <w:sz w:val="20"/>
                <w:szCs w:val="20"/>
              </w:rPr>
              <w:t xml:space="preserve">$50.2 </w:t>
            </w:r>
          </w:p>
        </w:tc>
        <w:tc>
          <w:tcPr>
            <w:tcW w:w="1255" w:type="dxa"/>
            <w:tcBorders>
              <w:right w:val="single" w:color="auto" w:sz="12" w:space="0"/>
            </w:tcBorders>
            <w:shd w:val="clear" w:color="auto" w:fill="CCCCCC"/>
            <w:vAlign w:val="bottom"/>
          </w:tcPr>
          <w:p w:rsidR="003B0815" w:rsidRDefault="003B0815" w14:paraId="1C5879D9" w14:textId="77777777">
            <w:pPr>
              <w:keepNext/>
              <w:jc w:val="right"/>
              <w:rPr>
                <w:rFonts w:ascii="Arial" w:hAnsi="Arial"/>
                <w:sz w:val="20"/>
                <w:szCs w:val="20"/>
              </w:rPr>
            </w:pPr>
            <w:r>
              <w:rPr>
                <w:rFonts w:ascii="Arial" w:hAnsi="Arial" w:cs="Arial"/>
                <w:sz w:val="20"/>
                <w:szCs w:val="20"/>
              </w:rPr>
              <w:t xml:space="preserve">$61.5 </w:t>
            </w:r>
          </w:p>
        </w:tc>
      </w:tr>
      <w:tr w:rsidR="003B0815" w14:paraId="79BFF09A" w14:textId="77777777">
        <w:trPr>
          <w:jc w:val="center"/>
        </w:trPr>
        <w:tc>
          <w:tcPr>
            <w:tcW w:w="1408" w:type="dxa"/>
            <w:tcBorders>
              <w:left w:val="single" w:color="auto" w:sz="12" w:space="0"/>
            </w:tcBorders>
          </w:tcPr>
          <w:p w:rsidR="003B0815" w:rsidRDefault="003B0815" w14:paraId="0C23300B" w14:textId="77777777">
            <w:pPr>
              <w:keepNext/>
              <w:jc w:val="center"/>
              <w:rPr>
                <w:rFonts w:ascii="Arial" w:hAnsi="Arial"/>
                <w:sz w:val="20"/>
                <w:szCs w:val="20"/>
              </w:rPr>
            </w:pPr>
            <w:r>
              <w:t>2009</w:t>
            </w:r>
          </w:p>
        </w:tc>
        <w:tc>
          <w:tcPr>
            <w:tcW w:w="1102" w:type="dxa"/>
            <w:shd w:val="clear" w:color="auto" w:fill="CCCCCC"/>
            <w:vAlign w:val="bottom"/>
          </w:tcPr>
          <w:p w:rsidR="003B0815" w:rsidRDefault="003B0815" w14:paraId="3CF6E040" w14:textId="77777777">
            <w:pPr>
              <w:keepNext/>
              <w:jc w:val="right"/>
              <w:rPr>
                <w:rFonts w:ascii="Arial" w:hAnsi="Arial"/>
                <w:sz w:val="20"/>
                <w:szCs w:val="20"/>
              </w:rPr>
            </w:pPr>
            <w:r>
              <w:rPr>
                <w:rFonts w:ascii="Arial" w:hAnsi="Arial" w:cs="Arial"/>
                <w:sz w:val="20"/>
                <w:szCs w:val="20"/>
              </w:rPr>
              <w:t xml:space="preserve">57.6 </w:t>
            </w:r>
          </w:p>
        </w:tc>
        <w:tc>
          <w:tcPr>
            <w:tcW w:w="1080" w:type="dxa"/>
            <w:shd w:val="clear" w:color="auto" w:fill="CCCCCC"/>
            <w:vAlign w:val="bottom"/>
          </w:tcPr>
          <w:p w:rsidR="003B0815" w:rsidRDefault="003B0815" w14:paraId="6605D150" w14:textId="77777777">
            <w:pPr>
              <w:keepNext/>
              <w:jc w:val="right"/>
              <w:rPr>
                <w:rFonts w:ascii="Arial" w:hAnsi="Arial"/>
                <w:sz w:val="20"/>
                <w:szCs w:val="20"/>
              </w:rPr>
            </w:pPr>
            <w:r>
              <w:rPr>
                <w:rFonts w:ascii="Arial" w:hAnsi="Arial" w:cs="Arial"/>
                <w:sz w:val="20"/>
                <w:szCs w:val="20"/>
              </w:rPr>
              <w:t xml:space="preserve">51.7 </w:t>
            </w:r>
          </w:p>
        </w:tc>
        <w:tc>
          <w:tcPr>
            <w:tcW w:w="1255" w:type="dxa"/>
            <w:tcBorders>
              <w:right w:val="single" w:color="auto" w:sz="12" w:space="0"/>
            </w:tcBorders>
            <w:shd w:val="clear" w:color="auto" w:fill="CCCCCC"/>
            <w:vAlign w:val="bottom"/>
          </w:tcPr>
          <w:p w:rsidR="003B0815" w:rsidRDefault="003B0815" w14:paraId="083BD0A5" w14:textId="77777777">
            <w:pPr>
              <w:keepNext/>
              <w:jc w:val="right"/>
              <w:rPr>
                <w:rFonts w:ascii="Arial" w:hAnsi="Arial"/>
                <w:sz w:val="20"/>
                <w:szCs w:val="20"/>
              </w:rPr>
            </w:pPr>
            <w:r>
              <w:rPr>
                <w:rFonts w:ascii="Arial" w:hAnsi="Arial" w:cs="Arial"/>
                <w:sz w:val="20"/>
                <w:szCs w:val="20"/>
              </w:rPr>
              <w:t xml:space="preserve">63.4 </w:t>
            </w:r>
          </w:p>
        </w:tc>
      </w:tr>
      <w:tr w:rsidR="003B0815" w14:paraId="22EBC444" w14:textId="77777777">
        <w:trPr>
          <w:jc w:val="center"/>
        </w:trPr>
        <w:tc>
          <w:tcPr>
            <w:tcW w:w="1408" w:type="dxa"/>
            <w:tcBorders>
              <w:left w:val="single" w:color="auto" w:sz="12" w:space="0"/>
            </w:tcBorders>
          </w:tcPr>
          <w:p w:rsidR="003B0815" w:rsidRDefault="003B0815" w14:paraId="537E39A8" w14:textId="77777777">
            <w:pPr>
              <w:keepNext/>
              <w:jc w:val="center"/>
              <w:rPr>
                <w:rFonts w:ascii="Arial" w:hAnsi="Arial"/>
                <w:sz w:val="20"/>
                <w:szCs w:val="20"/>
              </w:rPr>
            </w:pPr>
            <w:r>
              <w:t>2010</w:t>
            </w:r>
          </w:p>
        </w:tc>
        <w:tc>
          <w:tcPr>
            <w:tcW w:w="1102" w:type="dxa"/>
            <w:shd w:val="clear" w:color="auto" w:fill="CCCCCC"/>
            <w:vAlign w:val="bottom"/>
          </w:tcPr>
          <w:p w:rsidR="003B0815" w:rsidRDefault="003B0815" w14:paraId="2C76C9A9" w14:textId="77777777">
            <w:pPr>
              <w:keepNext/>
              <w:jc w:val="right"/>
              <w:rPr>
                <w:rFonts w:ascii="Arial" w:hAnsi="Arial"/>
                <w:sz w:val="20"/>
                <w:szCs w:val="20"/>
              </w:rPr>
            </w:pPr>
            <w:r>
              <w:rPr>
                <w:rFonts w:ascii="Arial" w:hAnsi="Arial" w:cs="Arial"/>
                <w:sz w:val="20"/>
                <w:szCs w:val="20"/>
              </w:rPr>
              <w:t xml:space="preserve">59.4 </w:t>
            </w:r>
          </w:p>
        </w:tc>
        <w:tc>
          <w:tcPr>
            <w:tcW w:w="1080" w:type="dxa"/>
            <w:shd w:val="clear" w:color="auto" w:fill="CCCCCC"/>
            <w:vAlign w:val="bottom"/>
          </w:tcPr>
          <w:p w:rsidR="003B0815" w:rsidRDefault="003B0815" w14:paraId="642313E3" w14:textId="77777777">
            <w:pPr>
              <w:keepNext/>
              <w:jc w:val="right"/>
              <w:rPr>
                <w:rFonts w:ascii="Arial" w:hAnsi="Arial"/>
                <w:sz w:val="20"/>
                <w:szCs w:val="20"/>
              </w:rPr>
            </w:pPr>
            <w:r>
              <w:rPr>
                <w:rFonts w:ascii="Arial" w:hAnsi="Arial" w:cs="Arial"/>
                <w:sz w:val="20"/>
                <w:szCs w:val="20"/>
              </w:rPr>
              <w:t xml:space="preserve">53.4 </w:t>
            </w:r>
          </w:p>
        </w:tc>
        <w:tc>
          <w:tcPr>
            <w:tcW w:w="1255" w:type="dxa"/>
            <w:tcBorders>
              <w:right w:val="single" w:color="auto" w:sz="12" w:space="0"/>
            </w:tcBorders>
            <w:shd w:val="clear" w:color="auto" w:fill="CCCCCC"/>
            <w:vAlign w:val="bottom"/>
          </w:tcPr>
          <w:p w:rsidR="003B0815" w:rsidRDefault="003B0815" w14:paraId="30BECDD9" w14:textId="77777777">
            <w:pPr>
              <w:keepNext/>
              <w:jc w:val="right"/>
              <w:rPr>
                <w:rFonts w:ascii="Arial" w:hAnsi="Arial"/>
                <w:sz w:val="20"/>
                <w:szCs w:val="20"/>
              </w:rPr>
            </w:pPr>
            <w:r>
              <w:rPr>
                <w:rFonts w:ascii="Arial" w:hAnsi="Arial" w:cs="Arial"/>
                <w:sz w:val="20"/>
                <w:szCs w:val="20"/>
              </w:rPr>
              <w:t xml:space="preserve">65.4 </w:t>
            </w:r>
          </w:p>
        </w:tc>
      </w:tr>
      <w:tr w:rsidR="003B0815" w14:paraId="67873E78" w14:textId="77777777">
        <w:trPr>
          <w:jc w:val="center"/>
        </w:trPr>
        <w:tc>
          <w:tcPr>
            <w:tcW w:w="1408" w:type="dxa"/>
            <w:tcBorders>
              <w:left w:val="single" w:color="auto" w:sz="12" w:space="0"/>
            </w:tcBorders>
          </w:tcPr>
          <w:p w:rsidR="003B0815" w:rsidRDefault="003B0815" w14:paraId="49D534A7" w14:textId="77777777">
            <w:pPr>
              <w:keepNext/>
              <w:jc w:val="center"/>
              <w:rPr>
                <w:rFonts w:ascii="Arial" w:hAnsi="Arial"/>
                <w:sz w:val="20"/>
                <w:szCs w:val="20"/>
              </w:rPr>
            </w:pPr>
            <w:r>
              <w:t>2011</w:t>
            </w:r>
          </w:p>
        </w:tc>
        <w:tc>
          <w:tcPr>
            <w:tcW w:w="1102" w:type="dxa"/>
            <w:shd w:val="clear" w:color="auto" w:fill="CCCCCC"/>
            <w:vAlign w:val="bottom"/>
          </w:tcPr>
          <w:p w:rsidR="003B0815" w:rsidRDefault="003B0815" w14:paraId="1351BD3E" w14:textId="77777777">
            <w:pPr>
              <w:keepNext/>
              <w:jc w:val="right"/>
              <w:rPr>
                <w:rFonts w:ascii="Arial" w:hAnsi="Arial"/>
                <w:sz w:val="20"/>
                <w:szCs w:val="20"/>
              </w:rPr>
            </w:pPr>
            <w:r>
              <w:rPr>
                <w:rFonts w:ascii="Arial" w:hAnsi="Arial" w:cs="Arial"/>
                <w:sz w:val="20"/>
                <w:szCs w:val="20"/>
              </w:rPr>
              <w:t xml:space="preserve">61.3 </w:t>
            </w:r>
          </w:p>
        </w:tc>
        <w:tc>
          <w:tcPr>
            <w:tcW w:w="1080" w:type="dxa"/>
            <w:shd w:val="clear" w:color="auto" w:fill="CCCCCC"/>
            <w:vAlign w:val="bottom"/>
          </w:tcPr>
          <w:p w:rsidR="003B0815" w:rsidRDefault="003B0815" w14:paraId="41D5AD71" w14:textId="77777777">
            <w:pPr>
              <w:keepNext/>
              <w:jc w:val="right"/>
              <w:rPr>
                <w:rFonts w:ascii="Arial" w:hAnsi="Arial"/>
                <w:sz w:val="20"/>
                <w:szCs w:val="20"/>
              </w:rPr>
            </w:pPr>
            <w:r>
              <w:rPr>
                <w:rFonts w:ascii="Arial" w:hAnsi="Arial" w:cs="Arial"/>
                <w:sz w:val="20"/>
                <w:szCs w:val="20"/>
              </w:rPr>
              <w:t xml:space="preserve">55.1 </w:t>
            </w:r>
          </w:p>
        </w:tc>
        <w:tc>
          <w:tcPr>
            <w:tcW w:w="1255" w:type="dxa"/>
            <w:tcBorders>
              <w:right w:val="single" w:color="auto" w:sz="12" w:space="0"/>
            </w:tcBorders>
            <w:shd w:val="clear" w:color="auto" w:fill="CCCCCC"/>
            <w:vAlign w:val="bottom"/>
          </w:tcPr>
          <w:p w:rsidR="003B0815" w:rsidRDefault="003B0815" w14:paraId="3D6BB18D" w14:textId="77777777">
            <w:pPr>
              <w:keepNext/>
              <w:jc w:val="right"/>
              <w:rPr>
                <w:rFonts w:ascii="Arial" w:hAnsi="Arial"/>
                <w:sz w:val="20"/>
                <w:szCs w:val="20"/>
              </w:rPr>
            </w:pPr>
            <w:r>
              <w:rPr>
                <w:rFonts w:ascii="Arial" w:hAnsi="Arial" w:cs="Arial"/>
                <w:sz w:val="20"/>
                <w:szCs w:val="20"/>
              </w:rPr>
              <w:t xml:space="preserve">67.5 </w:t>
            </w:r>
          </w:p>
        </w:tc>
      </w:tr>
      <w:tr w:rsidR="003B0815" w14:paraId="6643F7CA" w14:textId="77777777">
        <w:trPr>
          <w:jc w:val="center"/>
        </w:trPr>
        <w:tc>
          <w:tcPr>
            <w:tcW w:w="1408" w:type="dxa"/>
            <w:tcBorders>
              <w:left w:val="single" w:color="auto" w:sz="12" w:space="0"/>
            </w:tcBorders>
          </w:tcPr>
          <w:p w:rsidR="003B0815" w:rsidRDefault="003B0815" w14:paraId="4A74700A" w14:textId="77777777">
            <w:pPr>
              <w:keepNext/>
              <w:jc w:val="center"/>
              <w:rPr>
                <w:rFonts w:ascii="Arial" w:hAnsi="Arial"/>
                <w:sz w:val="20"/>
                <w:szCs w:val="20"/>
              </w:rPr>
            </w:pPr>
            <w:r>
              <w:t>2012</w:t>
            </w:r>
          </w:p>
        </w:tc>
        <w:tc>
          <w:tcPr>
            <w:tcW w:w="1102" w:type="dxa"/>
            <w:shd w:val="clear" w:color="auto" w:fill="CCCCCC"/>
            <w:vAlign w:val="bottom"/>
          </w:tcPr>
          <w:p w:rsidR="003B0815" w:rsidRDefault="003B0815" w14:paraId="6FFAFF6E" w14:textId="77777777">
            <w:pPr>
              <w:keepNext/>
              <w:jc w:val="right"/>
              <w:rPr>
                <w:rFonts w:ascii="Arial" w:hAnsi="Arial"/>
                <w:sz w:val="20"/>
                <w:szCs w:val="20"/>
              </w:rPr>
            </w:pPr>
            <w:r>
              <w:rPr>
                <w:rFonts w:ascii="Arial" w:hAnsi="Arial" w:cs="Arial"/>
                <w:sz w:val="20"/>
                <w:szCs w:val="20"/>
              </w:rPr>
              <w:t xml:space="preserve">63.2 </w:t>
            </w:r>
          </w:p>
        </w:tc>
        <w:tc>
          <w:tcPr>
            <w:tcW w:w="1080" w:type="dxa"/>
            <w:shd w:val="clear" w:color="auto" w:fill="CCCCCC"/>
            <w:vAlign w:val="bottom"/>
          </w:tcPr>
          <w:p w:rsidR="003B0815" w:rsidRDefault="003B0815" w14:paraId="0B2609F6" w14:textId="77777777">
            <w:pPr>
              <w:keepNext/>
              <w:jc w:val="right"/>
              <w:rPr>
                <w:rFonts w:ascii="Arial" w:hAnsi="Arial"/>
                <w:sz w:val="20"/>
                <w:szCs w:val="20"/>
              </w:rPr>
            </w:pPr>
            <w:r>
              <w:rPr>
                <w:rFonts w:ascii="Arial" w:hAnsi="Arial" w:cs="Arial"/>
                <w:sz w:val="20"/>
                <w:szCs w:val="20"/>
              </w:rPr>
              <w:t xml:space="preserve">56.8 </w:t>
            </w:r>
          </w:p>
        </w:tc>
        <w:tc>
          <w:tcPr>
            <w:tcW w:w="1255" w:type="dxa"/>
            <w:tcBorders>
              <w:right w:val="single" w:color="auto" w:sz="12" w:space="0"/>
            </w:tcBorders>
            <w:shd w:val="clear" w:color="auto" w:fill="CCCCCC"/>
            <w:vAlign w:val="bottom"/>
          </w:tcPr>
          <w:p w:rsidR="003B0815" w:rsidRDefault="003B0815" w14:paraId="4D58E487" w14:textId="77777777">
            <w:pPr>
              <w:keepNext/>
              <w:jc w:val="right"/>
              <w:rPr>
                <w:rFonts w:ascii="Arial" w:hAnsi="Arial"/>
                <w:sz w:val="20"/>
                <w:szCs w:val="20"/>
              </w:rPr>
            </w:pPr>
            <w:r>
              <w:rPr>
                <w:rFonts w:ascii="Arial" w:hAnsi="Arial" w:cs="Arial"/>
                <w:sz w:val="20"/>
                <w:szCs w:val="20"/>
              </w:rPr>
              <w:t xml:space="preserve">69.6 </w:t>
            </w:r>
          </w:p>
        </w:tc>
      </w:tr>
      <w:tr w:rsidR="003B0815" w14:paraId="5C5A88C3" w14:textId="77777777">
        <w:trPr>
          <w:jc w:val="center"/>
        </w:trPr>
        <w:tc>
          <w:tcPr>
            <w:tcW w:w="1408" w:type="dxa"/>
            <w:tcBorders>
              <w:left w:val="single" w:color="auto" w:sz="12" w:space="0"/>
            </w:tcBorders>
          </w:tcPr>
          <w:p w:rsidR="003B0815" w:rsidRDefault="003B0815" w14:paraId="5885FE09" w14:textId="77777777">
            <w:pPr>
              <w:keepNext/>
              <w:jc w:val="center"/>
              <w:rPr>
                <w:rFonts w:ascii="Arial" w:hAnsi="Arial"/>
                <w:sz w:val="20"/>
                <w:szCs w:val="20"/>
              </w:rPr>
            </w:pPr>
            <w:r>
              <w:t>2013</w:t>
            </w:r>
          </w:p>
        </w:tc>
        <w:tc>
          <w:tcPr>
            <w:tcW w:w="1102" w:type="dxa"/>
            <w:shd w:val="clear" w:color="auto" w:fill="CCCCCC"/>
            <w:vAlign w:val="bottom"/>
          </w:tcPr>
          <w:p w:rsidR="003B0815" w:rsidRDefault="003B0815" w14:paraId="276F9090" w14:textId="77777777">
            <w:pPr>
              <w:keepNext/>
              <w:jc w:val="right"/>
              <w:rPr>
                <w:rFonts w:ascii="Arial" w:hAnsi="Arial"/>
                <w:sz w:val="20"/>
                <w:szCs w:val="20"/>
              </w:rPr>
            </w:pPr>
            <w:r>
              <w:rPr>
                <w:rFonts w:ascii="Arial" w:hAnsi="Arial" w:cs="Arial"/>
                <w:sz w:val="20"/>
                <w:szCs w:val="20"/>
              </w:rPr>
              <w:t xml:space="preserve">65.2 </w:t>
            </w:r>
          </w:p>
        </w:tc>
        <w:tc>
          <w:tcPr>
            <w:tcW w:w="1080" w:type="dxa"/>
            <w:shd w:val="clear" w:color="auto" w:fill="CCCCCC"/>
            <w:vAlign w:val="bottom"/>
          </w:tcPr>
          <w:p w:rsidR="003B0815" w:rsidRDefault="003B0815" w14:paraId="7E09B05C" w14:textId="77777777">
            <w:pPr>
              <w:keepNext/>
              <w:jc w:val="right"/>
              <w:rPr>
                <w:rFonts w:ascii="Arial" w:hAnsi="Arial"/>
                <w:sz w:val="20"/>
                <w:szCs w:val="20"/>
              </w:rPr>
            </w:pPr>
            <w:r>
              <w:rPr>
                <w:rFonts w:ascii="Arial" w:hAnsi="Arial" w:cs="Arial"/>
                <w:sz w:val="20"/>
                <w:szCs w:val="20"/>
              </w:rPr>
              <w:t xml:space="preserve">58.6 </w:t>
            </w:r>
          </w:p>
        </w:tc>
        <w:tc>
          <w:tcPr>
            <w:tcW w:w="1255" w:type="dxa"/>
            <w:tcBorders>
              <w:right w:val="single" w:color="auto" w:sz="12" w:space="0"/>
            </w:tcBorders>
            <w:shd w:val="clear" w:color="auto" w:fill="CCCCCC"/>
            <w:vAlign w:val="bottom"/>
          </w:tcPr>
          <w:p w:rsidR="003B0815" w:rsidRDefault="003B0815" w14:paraId="54BFC7A3" w14:textId="77777777">
            <w:pPr>
              <w:keepNext/>
              <w:jc w:val="right"/>
              <w:rPr>
                <w:rFonts w:ascii="Arial" w:hAnsi="Arial"/>
                <w:sz w:val="20"/>
                <w:szCs w:val="20"/>
              </w:rPr>
            </w:pPr>
            <w:r>
              <w:rPr>
                <w:rFonts w:ascii="Arial" w:hAnsi="Arial" w:cs="Arial"/>
                <w:sz w:val="20"/>
                <w:szCs w:val="20"/>
              </w:rPr>
              <w:t xml:space="preserve">71.8 </w:t>
            </w:r>
          </w:p>
        </w:tc>
      </w:tr>
      <w:tr w:rsidR="003B0815" w14:paraId="22730B92" w14:textId="77777777">
        <w:trPr>
          <w:jc w:val="center"/>
        </w:trPr>
        <w:tc>
          <w:tcPr>
            <w:tcW w:w="1408" w:type="dxa"/>
            <w:tcBorders>
              <w:left w:val="single" w:color="auto" w:sz="12" w:space="0"/>
            </w:tcBorders>
          </w:tcPr>
          <w:p w:rsidR="003B0815" w:rsidRDefault="003B0815" w14:paraId="183D84CC" w14:textId="77777777">
            <w:pPr>
              <w:keepNext/>
              <w:jc w:val="center"/>
              <w:rPr>
                <w:rFonts w:ascii="Arial" w:hAnsi="Arial"/>
                <w:sz w:val="20"/>
                <w:szCs w:val="20"/>
              </w:rPr>
            </w:pPr>
            <w:r>
              <w:t>2014</w:t>
            </w:r>
          </w:p>
        </w:tc>
        <w:tc>
          <w:tcPr>
            <w:tcW w:w="1102" w:type="dxa"/>
            <w:shd w:val="clear" w:color="auto" w:fill="CCCCCC"/>
            <w:vAlign w:val="bottom"/>
          </w:tcPr>
          <w:p w:rsidR="003B0815" w:rsidRDefault="003B0815" w14:paraId="0B1C456D" w14:textId="77777777">
            <w:pPr>
              <w:keepNext/>
              <w:jc w:val="right"/>
              <w:rPr>
                <w:rFonts w:ascii="Arial" w:hAnsi="Arial"/>
                <w:sz w:val="20"/>
                <w:szCs w:val="20"/>
              </w:rPr>
            </w:pPr>
            <w:r>
              <w:rPr>
                <w:rFonts w:ascii="Arial" w:hAnsi="Arial" w:cs="Arial"/>
                <w:sz w:val="20"/>
                <w:szCs w:val="20"/>
              </w:rPr>
              <w:t xml:space="preserve">67.3 </w:t>
            </w:r>
          </w:p>
        </w:tc>
        <w:tc>
          <w:tcPr>
            <w:tcW w:w="1080" w:type="dxa"/>
            <w:shd w:val="clear" w:color="auto" w:fill="CCCCCC"/>
            <w:vAlign w:val="bottom"/>
          </w:tcPr>
          <w:p w:rsidR="003B0815" w:rsidRDefault="003B0815" w14:paraId="56A02CBB" w14:textId="77777777">
            <w:pPr>
              <w:keepNext/>
              <w:jc w:val="right"/>
              <w:rPr>
                <w:rFonts w:ascii="Arial" w:hAnsi="Arial"/>
                <w:sz w:val="20"/>
                <w:szCs w:val="20"/>
              </w:rPr>
            </w:pPr>
            <w:r>
              <w:rPr>
                <w:rFonts w:ascii="Arial" w:hAnsi="Arial" w:cs="Arial"/>
                <w:sz w:val="20"/>
                <w:szCs w:val="20"/>
              </w:rPr>
              <w:t xml:space="preserve">60.5 </w:t>
            </w:r>
          </w:p>
        </w:tc>
        <w:tc>
          <w:tcPr>
            <w:tcW w:w="1255" w:type="dxa"/>
            <w:tcBorders>
              <w:right w:val="single" w:color="auto" w:sz="12" w:space="0"/>
            </w:tcBorders>
            <w:shd w:val="clear" w:color="auto" w:fill="CCCCCC"/>
            <w:vAlign w:val="bottom"/>
          </w:tcPr>
          <w:p w:rsidR="003B0815" w:rsidRDefault="003B0815" w14:paraId="59E0DC5F" w14:textId="77777777">
            <w:pPr>
              <w:keepNext/>
              <w:jc w:val="right"/>
              <w:rPr>
                <w:rFonts w:ascii="Arial" w:hAnsi="Arial"/>
                <w:sz w:val="20"/>
                <w:szCs w:val="20"/>
              </w:rPr>
            </w:pPr>
            <w:r>
              <w:rPr>
                <w:rFonts w:ascii="Arial" w:hAnsi="Arial" w:cs="Arial"/>
                <w:sz w:val="20"/>
                <w:szCs w:val="20"/>
              </w:rPr>
              <w:t xml:space="preserve">74.1 </w:t>
            </w:r>
          </w:p>
        </w:tc>
      </w:tr>
      <w:tr w:rsidR="003B0815" w14:paraId="73DD5FD0" w14:textId="77777777">
        <w:trPr>
          <w:jc w:val="center"/>
        </w:trPr>
        <w:tc>
          <w:tcPr>
            <w:tcW w:w="1408" w:type="dxa"/>
            <w:tcBorders>
              <w:left w:val="single" w:color="auto" w:sz="12" w:space="0"/>
            </w:tcBorders>
          </w:tcPr>
          <w:p w:rsidR="003B0815" w:rsidRDefault="003B0815" w14:paraId="328F9876" w14:textId="77777777">
            <w:pPr>
              <w:keepNext/>
              <w:jc w:val="center"/>
              <w:rPr>
                <w:rFonts w:ascii="Arial" w:hAnsi="Arial"/>
                <w:sz w:val="20"/>
                <w:szCs w:val="20"/>
              </w:rPr>
            </w:pPr>
            <w:r>
              <w:t>2015</w:t>
            </w:r>
          </w:p>
        </w:tc>
        <w:tc>
          <w:tcPr>
            <w:tcW w:w="1102" w:type="dxa"/>
            <w:shd w:val="clear" w:color="auto" w:fill="CCCCCC"/>
            <w:vAlign w:val="bottom"/>
          </w:tcPr>
          <w:p w:rsidR="003B0815" w:rsidRDefault="003B0815" w14:paraId="49D8B817" w14:textId="77777777">
            <w:pPr>
              <w:keepNext/>
              <w:jc w:val="right"/>
              <w:rPr>
                <w:rFonts w:ascii="Arial" w:hAnsi="Arial"/>
                <w:sz w:val="20"/>
                <w:szCs w:val="20"/>
              </w:rPr>
            </w:pPr>
            <w:r>
              <w:rPr>
                <w:rFonts w:ascii="Arial" w:hAnsi="Arial" w:cs="Arial"/>
                <w:sz w:val="20"/>
                <w:szCs w:val="20"/>
              </w:rPr>
              <w:t xml:space="preserve">69.5 </w:t>
            </w:r>
          </w:p>
        </w:tc>
        <w:tc>
          <w:tcPr>
            <w:tcW w:w="1080" w:type="dxa"/>
            <w:shd w:val="clear" w:color="auto" w:fill="CCCCCC"/>
            <w:vAlign w:val="bottom"/>
          </w:tcPr>
          <w:p w:rsidR="003B0815" w:rsidRDefault="003B0815" w14:paraId="1A1B204D" w14:textId="77777777">
            <w:pPr>
              <w:keepNext/>
              <w:jc w:val="right"/>
              <w:rPr>
                <w:rFonts w:ascii="Arial" w:hAnsi="Arial"/>
                <w:sz w:val="20"/>
                <w:szCs w:val="20"/>
              </w:rPr>
            </w:pPr>
            <w:r>
              <w:rPr>
                <w:rFonts w:ascii="Arial" w:hAnsi="Arial" w:cs="Arial"/>
                <w:sz w:val="20"/>
                <w:szCs w:val="20"/>
              </w:rPr>
              <w:t xml:space="preserve">62.5 </w:t>
            </w:r>
          </w:p>
        </w:tc>
        <w:tc>
          <w:tcPr>
            <w:tcW w:w="1255" w:type="dxa"/>
            <w:tcBorders>
              <w:right w:val="single" w:color="auto" w:sz="12" w:space="0"/>
            </w:tcBorders>
            <w:shd w:val="clear" w:color="auto" w:fill="CCCCCC"/>
            <w:vAlign w:val="bottom"/>
          </w:tcPr>
          <w:p w:rsidR="003B0815" w:rsidRDefault="003B0815" w14:paraId="1DB2EA90" w14:textId="77777777">
            <w:pPr>
              <w:keepNext/>
              <w:jc w:val="right"/>
              <w:rPr>
                <w:rFonts w:ascii="Arial" w:hAnsi="Arial"/>
                <w:sz w:val="20"/>
                <w:szCs w:val="20"/>
              </w:rPr>
            </w:pPr>
            <w:r>
              <w:rPr>
                <w:rFonts w:ascii="Arial" w:hAnsi="Arial" w:cs="Arial"/>
                <w:sz w:val="20"/>
                <w:szCs w:val="20"/>
              </w:rPr>
              <w:t xml:space="preserve">76.6 </w:t>
            </w:r>
          </w:p>
        </w:tc>
      </w:tr>
      <w:tr w:rsidR="003B0815" w14:paraId="3A267382" w14:textId="77777777">
        <w:trPr>
          <w:jc w:val="center"/>
        </w:trPr>
        <w:tc>
          <w:tcPr>
            <w:tcW w:w="1408" w:type="dxa"/>
            <w:tcBorders>
              <w:left w:val="single" w:color="auto" w:sz="12" w:space="0"/>
            </w:tcBorders>
          </w:tcPr>
          <w:p w:rsidR="003B0815" w:rsidRDefault="003B0815" w14:paraId="0EB1B609" w14:textId="77777777">
            <w:pPr>
              <w:keepNext/>
              <w:jc w:val="center"/>
              <w:rPr>
                <w:rFonts w:ascii="Arial" w:hAnsi="Arial"/>
                <w:sz w:val="20"/>
                <w:szCs w:val="20"/>
              </w:rPr>
            </w:pPr>
            <w:r>
              <w:t>2016</w:t>
            </w:r>
          </w:p>
        </w:tc>
        <w:tc>
          <w:tcPr>
            <w:tcW w:w="1102" w:type="dxa"/>
            <w:shd w:val="clear" w:color="auto" w:fill="CCCCCC"/>
            <w:vAlign w:val="bottom"/>
          </w:tcPr>
          <w:p w:rsidR="003B0815" w:rsidRDefault="003B0815" w14:paraId="52A13A54" w14:textId="77777777">
            <w:pPr>
              <w:keepNext/>
              <w:jc w:val="right"/>
              <w:rPr>
                <w:rFonts w:ascii="Arial" w:hAnsi="Arial"/>
                <w:sz w:val="20"/>
                <w:szCs w:val="20"/>
              </w:rPr>
            </w:pPr>
            <w:r>
              <w:rPr>
                <w:rFonts w:ascii="Arial" w:hAnsi="Arial" w:cs="Arial"/>
                <w:sz w:val="20"/>
                <w:szCs w:val="20"/>
              </w:rPr>
              <w:t xml:space="preserve">71.9 </w:t>
            </w:r>
          </w:p>
        </w:tc>
        <w:tc>
          <w:tcPr>
            <w:tcW w:w="1080" w:type="dxa"/>
            <w:shd w:val="clear" w:color="auto" w:fill="CCCCCC"/>
            <w:vAlign w:val="bottom"/>
          </w:tcPr>
          <w:p w:rsidR="003B0815" w:rsidRDefault="003B0815" w14:paraId="0E47982A" w14:textId="77777777">
            <w:pPr>
              <w:keepNext/>
              <w:jc w:val="right"/>
              <w:rPr>
                <w:rFonts w:ascii="Arial" w:hAnsi="Arial"/>
                <w:sz w:val="20"/>
                <w:szCs w:val="20"/>
              </w:rPr>
            </w:pPr>
            <w:r>
              <w:rPr>
                <w:rFonts w:ascii="Arial" w:hAnsi="Arial" w:cs="Arial"/>
                <w:sz w:val="20"/>
                <w:szCs w:val="20"/>
              </w:rPr>
              <w:t xml:space="preserve">64.6 </w:t>
            </w:r>
          </w:p>
        </w:tc>
        <w:tc>
          <w:tcPr>
            <w:tcW w:w="1255" w:type="dxa"/>
            <w:tcBorders>
              <w:right w:val="single" w:color="auto" w:sz="12" w:space="0"/>
            </w:tcBorders>
            <w:shd w:val="clear" w:color="auto" w:fill="CCCCCC"/>
            <w:vAlign w:val="bottom"/>
          </w:tcPr>
          <w:p w:rsidR="003B0815" w:rsidRDefault="003B0815" w14:paraId="6BA52918" w14:textId="77777777">
            <w:pPr>
              <w:keepNext/>
              <w:jc w:val="right"/>
              <w:rPr>
                <w:rFonts w:ascii="Arial" w:hAnsi="Arial"/>
                <w:sz w:val="20"/>
                <w:szCs w:val="20"/>
              </w:rPr>
            </w:pPr>
            <w:r>
              <w:rPr>
                <w:rFonts w:ascii="Arial" w:hAnsi="Arial" w:cs="Arial"/>
                <w:sz w:val="20"/>
                <w:szCs w:val="20"/>
              </w:rPr>
              <w:t xml:space="preserve">79.1 </w:t>
            </w:r>
          </w:p>
        </w:tc>
      </w:tr>
      <w:tr w:rsidR="003B0815" w14:paraId="06E65847" w14:textId="77777777">
        <w:trPr>
          <w:jc w:val="center"/>
        </w:trPr>
        <w:tc>
          <w:tcPr>
            <w:tcW w:w="1408" w:type="dxa"/>
            <w:tcBorders>
              <w:left w:val="single" w:color="auto" w:sz="12" w:space="0"/>
              <w:bottom w:val="single" w:color="auto" w:sz="4" w:space="0"/>
            </w:tcBorders>
          </w:tcPr>
          <w:p w:rsidR="003B0815" w:rsidRDefault="003B0815" w14:paraId="702A0A61" w14:textId="77777777">
            <w:pPr>
              <w:keepNext/>
              <w:jc w:val="center"/>
              <w:rPr>
                <w:rFonts w:ascii="Arial" w:hAnsi="Arial"/>
                <w:sz w:val="20"/>
                <w:szCs w:val="20"/>
              </w:rPr>
            </w:pPr>
            <w:r>
              <w:t>2017</w:t>
            </w:r>
          </w:p>
        </w:tc>
        <w:tc>
          <w:tcPr>
            <w:tcW w:w="1102" w:type="dxa"/>
            <w:tcBorders>
              <w:bottom w:val="single" w:color="auto" w:sz="4" w:space="0"/>
            </w:tcBorders>
            <w:shd w:val="clear" w:color="auto" w:fill="CCCCCC"/>
            <w:vAlign w:val="bottom"/>
          </w:tcPr>
          <w:p w:rsidR="003B0815" w:rsidRDefault="003B0815" w14:paraId="17DD285F" w14:textId="77777777">
            <w:pPr>
              <w:keepNext/>
              <w:jc w:val="right"/>
              <w:rPr>
                <w:rFonts w:ascii="Arial" w:hAnsi="Arial"/>
                <w:sz w:val="20"/>
                <w:szCs w:val="20"/>
              </w:rPr>
            </w:pPr>
            <w:r>
              <w:rPr>
                <w:rFonts w:ascii="Arial" w:hAnsi="Arial" w:cs="Arial"/>
                <w:sz w:val="20"/>
                <w:szCs w:val="20"/>
              </w:rPr>
              <w:t xml:space="preserve">$74.3 </w:t>
            </w:r>
          </w:p>
        </w:tc>
        <w:tc>
          <w:tcPr>
            <w:tcW w:w="1080" w:type="dxa"/>
            <w:tcBorders>
              <w:bottom w:val="single" w:color="auto" w:sz="4" w:space="0"/>
            </w:tcBorders>
            <w:shd w:val="clear" w:color="auto" w:fill="CCCCCC"/>
            <w:vAlign w:val="bottom"/>
          </w:tcPr>
          <w:p w:rsidR="003B0815" w:rsidRDefault="003B0815" w14:paraId="1A62852D" w14:textId="77777777">
            <w:pPr>
              <w:keepNext/>
              <w:jc w:val="right"/>
              <w:rPr>
                <w:rFonts w:ascii="Arial" w:hAnsi="Arial"/>
                <w:sz w:val="20"/>
                <w:szCs w:val="20"/>
              </w:rPr>
            </w:pPr>
            <w:r>
              <w:rPr>
                <w:rFonts w:ascii="Arial" w:hAnsi="Arial" w:cs="Arial"/>
                <w:sz w:val="20"/>
                <w:szCs w:val="20"/>
              </w:rPr>
              <w:t xml:space="preserve">$66.8 </w:t>
            </w:r>
          </w:p>
        </w:tc>
        <w:tc>
          <w:tcPr>
            <w:tcW w:w="1255" w:type="dxa"/>
            <w:tcBorders>
              <w:bottom w:val="single" w:color="auto" w:sz="4" w:space="0"/>
              <w:right w:val="single" w:color="auto" w:sz="12" w:space="0"/>
            </w:tcBorders>
            <w:shd w:val="clear" w:color="auto" w:fill="CCCCCC"/>
            <w:vAlign w:val="bottom"/>
          </w:tcPr>
          <w:p w:rsidR="003B0815" w:rsidRDefault="003B0815" w14:paraId="509BDFD2" w14:textId="77777777">
            <w:pPr>
              <w:keepNext/>
              <w:jc w:val="right"/>
              <w:rPr>
                <w:rFonts w:ascii="Arial" w:hAnsi="Arial"/>
                <w:sz w:val="20"/>
                <w:szCs w:val="20"/>
              </w:rPr>
            </w:pPr>
            <w:r>
              <w:rPr>
                <w:rFonts w:ascii="Arial" w:hAnsi="Arial" w:cs="Arial"/>
                <w:sz w:val="20"/>
                <w:szCs w:val="20"/>
              </w:rPr>
              <w:t xml:space="preserve">$81.8 </w:t>
            </w:r>
          </w:p>
        </w:tc>
      </w:tr>
      <w:tr w:rsidR="003B0815" w14:paraId="0551FAA1" w14:textId="77777777">
        <w:trPr>
          <w:jc w:val="center"/>
        </w:trPr>
        <w:tc>
          <w:tcPr>
            <w:tcW w:w="1408" w:type="dxa"/>
            <w:tcBorders>
              <w:left w:val="single" w:color="auto" w:sz="12" w:space="0"/>
              <w:bottom w:val="single" w:color="auto" w:sz="12" w:space="0"/>
              <w:right w:val="nil"/>
            </w:tcBorders>
            <w:vAlign w:val="bottom"/>
          </w:tcPr>
          <w:p w:rsidR="003B0815" w:rsidRDefault="003B0815" w14:paraId="4DD55F3A" w14:textId="77777777">
            <w:pPr>
              <w:keepNext/>
              <w:jc w:val="center"/>
              <w:rPr>
                <w:rFonts w:ascii="Arial" w:hAnsi="Arial"/>
                <w:b/>
                <w:sz w:val="20"/>
                <w:szCs w:val="20"/>
              </w:rPr>
            </w:pPr>
            <w:r>
              <w:rPr>
                <w:rFonts w:ascii="Arial" w:hAnsi="Arial"/>
                <w:b/>
                <w:sz w:val="20"/>
                <w:szCs w:val="20"/>
              </w:rPr>
              <w:t>Total</w:t>
            </w:r>
          </w:p>
        </w:tc>
        <w:tc>
          <w:tcPr>
            <w:tcW w:w="1102" w:type="dxa"/>
            <w:tcBorders>
              <w:left w:val="nil"/>
              <w:bottom w:val="single" w:color="auto" w:sz="12" w:space="0"/>
              <w:right w:val="nil"/>
            </w:tcBorders>
            <w:vAlign w:val="bottom"/>
          </w:tcPr>
          <w:p w:rsidR="003B0815" w:rsidRDefault="003B0815" w14:paraId="0DB32032" w14:textId="77777777">
            <w:pPr>
              <w:keepNext/>
              <w:jc w:val="right"/>
              <w:rPr>
                <w:rFonts w:ascii="Arial" w:hAnsi="Arial"/>
                <w:b/>
                <w:sz w:val="20"/>
                <w:szCs w:val="20"/>
              </w:rPr>
            </w:pPr>
            <w:r>
              <w:rPr>
                <w:rFonts w:ascii="Arial" w:hAnsi="Arial" w:cs="Arial"/>
                <w:b/>
                <w:bCs/>
                <w:sz w:val="20"/>
                <w:szCs w:val="20"/>
              </w:rPr>
              <w:t xml:space="preserve">$645.6 </w:t>
            </w:r>
          </w:p>
        </w:tc>
        <w:tc>
          <w:tcPr>
            <w:tcW w:w="1080" w:type="dxa"/>
            <w:tcBorders>
              <w:left w:val="nil"/>
              <w:bottom w:val="single" w:color="auto" w:sz="12" w:space="0"/>
              <w:right w:val="nil"/>
            </w:tcBorders>
            <w:vAlign w:val="bottom"/>
          </w:tcPr>
          <w:p w:rsidR="003B0815" w:rsidRDefault="003B0815" w14:paraId="2BE6D5C3" w14:textId="77777777">
            <w:pPr>
              <w:keepNext/>
              <w:jc w:val="right"/>
              <w:rPr>
                <w:rFonts w:ascii="Arial" w:hAnsi="Arial"/>
                <w:b/>
                <w:sz w:val="20"/>
                <w:szCs w:val="20"/>
              </w:rPr>
            </w:pPr>
            <w:r>
              <w:rPr>
                <w:rFonts w:ascii="Arial" w:hAnsi="Arial" w:cs="Arial"/>
                <w:b/>
                <w:bCs/>
                <w:sz w:val="20"/>
                <w:szCs w:val="20"/>
              </w:rPr>
              <w:t xml:space="preserve">$580.2 </w:t>
            </w:r>
          </w:p>
        </w:tc>
        <w:tc>
          <w:tcPr>
            <w:tcW w:w="1255" w:type="dxa"/>
            <w:tcBorders>
              <w:left w:val="nil"/>
              <w:bottom w:val="single" w:color="auto" w:sz="12" w:space="0"/>
              <w:right w:val="single" w:color="auto" w:sz="12" w:space="0"/>
            </w:tcBorders>
            <w:vAlign w:val="bottom"/>
          </w:tcPr>
          <w:p w:rsidR="003B0815" w:rsidRDefault="003B0815" w14:paraId="51A36B23" w14:textId="77777777">
            <w:pPr>
              <w:keepNext/>
              <w:jc w:val="right"/>
              <w:rPr>
                <w:rFonts w:ascii="Arial" w:hAnsi="Arial"/>
                <w:b/>
                <w:sz w:val="20"/>
                <w:szCs w:val="20"/>
              </w:rPr>
            </w:pPr>
            <w:r>
              <w:rPr>
                <w:rFonts w:ascii="Arial" w:hAnsi="Arial" w:cs="Arial"/>
                <w:b/>
                <w:bCs/>
                <w:sz w:val="20"/>
                <w:szCs w:val="20"/>
              </w:rPr>
              <w:t xml:space="preserve">$710.8 </w:t>
            </w:r>
          </w:p>
        </w:tc>
      </w:tr>
    </w:tbl>
    <w:p w:rsidR="003B0815" w:rsidRDefault="003B0815" w14:paraId="3508AEF5" w14:textId="77777777">
      <w:pPr>
        <w:spacing w:line="360" w:lineRule="auto"/>
      </w:pPr>
    </w:p>
    <w:p w:rsidR="003B0815" w:rsidRDefault="003B0815" w14:paraId="292CB6E3" w14:textId="77777777">
      <w:pPr>
        <w:spacing w:line="360" w:lineRule="auto"/>
        <w:ind w:firstLine="720"/>
      </w:pPr>
      <w:r>
        <w:t>As discussed previously in Section 1.6.3, carriers in Group 4 will likely transmit passenger information to Secure Flight through a web interface.</w:t>
      </w:r>
      <w:r>
        <w:rPr>
          <w:rStyle w:val="FootnoteReference"/>
        </w:rPr>
        <w:t xml:space="preserve"> </w:t>
      </w:r>
      <w:r>
        <w:rPr>
          <w:rStyle w:val="FootnoteReference"/>
        </w:rPr>
        <w:footnoteReference w:id="42"/>
      </w:r>
      <w:r>
        <w:t xml:space="preserve">  Passengers making reservations through Group 4 carriers may experience different opportunity costs from the passengers described above because Group 4 carriers collect passenger information in a variety of manners.  TSA did not have baseline information on either the reservations process used by each of these carriers, including the distribution of reservations between available methods, or the number of reservations handled that is needed to formulate a reliable opportunity cost estimate.  Further, as the Secure Flight web application had not been developed at the time of writing, TSA could not say with certainty what impact the transition to this system will have on the reservation processes for these carriers and their passengers.  As a result, TSA calculated passenger opportunity costs for Group 4 reservations by estimating the cost if all passengers are able to provide the information in 25 seconds (primary scenario), 20 seconds (low scenario), or 30 seconds (high scenario).  Table 1.6.6.e presents the results of these assumptions.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408"/>
        <w:gridCol w:w="1102"/>
        <w:gridCol w:w="1080"/>
        <w:gridCol w:w="1255"/>
      </w:tblGrid>
      <w:tr w:rsidR="003B0815" w14:paraId="64EF22A1" w14:textId="77777777">
        <w:trPr>
          <w:jc w:val="center"/>
        </w:trPr>
        <w:tc>
          <w:tcPr>
            <w:tcW w:w="4845" w:type="dxa"/>
            <w:gridSpan w:val="4"/>
            <w:tcBorders>
              <w:top w:val="nil"/>
              <w:left w:val="nil"/>
              <w:bottom w:val="single" w:color="auto" w:sz="12" w:space="0"/>
              <w:right w:val="nil"/>
            </w:tcBorders>
          </w:tcPr>
          <w:p w:rsidR="003B0815" w:rsidRDefault="003B0815" w14:paraId="3370D9B0" w14:textId="77777777">
            <w:pPr>
              <w:pStyle w:val="RegEvalTableHeader"/>
              <w:keepNext/>
            </w:pPr>
            <w:bookmarkStart w:name="_Toc174438409" w:id="400"/>
            <w:bookmarkStart w:name="_Toc207109546" w:id="401"/>
            <w:r>
              <w:t xml:space="preserve">Table 1.6.6.e Total Domestic Passenger </w:t>
            </w:r>
            <w:smartTag w:uri="urn:schemas-microsoft-com:office:smarttags" w:element="place">
              <w:r>
                <w:t>Opportunity</w:t>
              </w:r>
            </w:smartTag>
            <w:r>
              <w:t xml:space="preserve"> Costs, Group 4</w:t>
            </w:r>
            <w:bookmarkEnd w:id="400"/>
            <w:bookmarkEnd w:id="401"/>
          </w:p>
          <w:p w:rsidR="003B0815" w:rsidRDefault="003B0815" w14:paraId="0B5C09C3" w14:textId="77777777">
            <w:pPr>
              <w:keepNext/>
              <w:jc w:val="center"/>
              <w:rPr>
                <w:rFonts w:ascii="Arial" w:hAnsi="Arial"/>
                <w:b/>
                <w:sz w:val="20"/>
              </w:rPr>
            </w:pPr>
            <w:r>
              <w:rPr>
                <w:rFonts w:ascii="Arial" w:hAnsi="Arial"/>
                <w:b/>
                <w:bCs/>
                <w:sz w:val="20"/>
              </w:rPr>
              <w:t>(millions of 2005 $)</w:t>
            </w:r>
          </w:p>
        </w:tc>
      </w:tr>
      <w:tr w:rsidR="003B0815" w14:paraId="2C23F40C" w14:textId="77777777">
        <w:trPr>
          <w:jc w:val="center"/>
        </w:trPr>
        <w:tc>
          <w:tcPr>
            <w:tcW w:w="1408" w:type="dxa"/>
            <w:tcBorders>
              <w:top w:val="single" w:color="auto" w:sz="12" w:space="0"/>
              <w:left w:val="single" w:color="auto" w:sz="12" w:space="0"/>
            </w:tcBorders>
            <w:vAlign w:val="center"/>
          </w:tcPr>
          <w:p w:rsidR="003B0815" w:rsidRDefault="003B0815" w14:paraId="45105B72" w14:textId="77777777">
            <w:pPr>
              <w:keepNext/>
              <w:jc w:val="center"/>
              <w:rPr>
                <w:rFonts w:ascii="Arial" w:hAnsi="Arial"/>
                <w:b/>
                <w:sz w:val="20"/>
                <w:szCs w:val="20"/>
              </w:rPr>
            </w:pPr>
            <w:r>
              <w:rPr>
                <w:rFonts w:ascii="Arial" w:hAnsi="Arial"/>
                <w:b/>
                <w:sz w:val="20"/>
                <w:szCs w:val="20"/>
              </w:rPr>
              <w:t>Fiscal</w:t>
            </w:r>
          </w:p>
          <w:p w:rsidR="003B0815" w:rsidRDefault="003B0815" w14:paraId="1F90FFE7" w14:textId="77777777">
            <w:pPr>
              <w:keepNext/>
              <w:jc w:val="center"/>
              <w:rPr>
                <w:rFonts w:ascii="Arial" w:hAnsi="Arial"/>
                <w:b/>
                <w:sz w:val="20"/>
                <w:szCs w:val="20"/>
              </w:rPr>
            </w:pPr>
            <w:r>
              <w:rPr>
                <w:rFonts w:ascii="Arial" w:hAnsi="Arial"/>
                <w:b/>
                <w:sz w:val="20"/>
                <w:szCs w:val="20"/>
              </w:rPr>
              <w:t>Year</w:t>
            </w:r>
          </w:p>
        </w:tc>
        <w:tc>
          <w:tcPr>
            <w:tcW w:w="1102" w:type="dxa"/>
            <w:tcBorders>
              <w:top w:val="single" w:color="auto" w:sz="12" w:space="0"/>
              <w:bottom w:val="single" w:color="auto" w:sz="4" w:space="0"/>
            </w:tcBorders>
            <w:vAlign w:val="center"/>
          </w:tcPr>
          <w:p w:rsidR="003B0815" w:rsidRDefault="003B0815" w14:paraId="18B61271" w14:textId="77777777">
            <w:pPr>
              <w:keepNext/>
              <w:jc w:val="center"/>
              <w:rPr>
                <w:rFonts w:ascii="Arial" w:hAnsi="Arial" w:cs="Arial"/>
                <w:b/>
                <w:bCs/>
                <w:sz w:val="20"/>
                <w:szCs w:val="20"/>
              </w:rPr>
            </w:pPr>
            <w:r>
              <w:rPr>
                <w:rFonts w:ascii="Arial" w:hAnsi="Arial" w:cs="Arial"/>
                <w:b/>
                <w:bCs/>
                <w:sz w:val="20"/>
                <w:szCs w:val="20"/>
              </w:rPr>
              <w:t>Primary</w:t>
            </w:r>
          </w:p>
          <w:p w:rsidR="003B0815" w:rsidRDefault="003B0815" w14:paraId="1BEE4482" w14:textId="77777777">
            <w:pPr>
              <w:keepNext/>
              <w:jc w:val="center"/>
              <w:rPr>
                <w:rFonts w:ascii="Arial" w:hAnsi="Arial"/>
                <w:b/>
                <w:sz w:val="20"/>
                <w:szCs w:val="20"/>
              </w:rPr>
            </w:pPr>
            <w:r>
              <w:rPr>
                <w:rFonts w:ascii="Arial" w:hAnsi="Arial" w:cs="Arial"/>
                <w:b/>
                <w:bCs/>
                <w:sz w:val="20"/>
                <w:szCs w:val="20"/>
              </w:rPr>
              <w:t>Scenario</w:t>
            </w:r>
          </w:p>
        </w:tc>
        <w:tc>
          <w:tcPr>
            <w:tcW w:w="1080" w:type="dxa"/>
            <w:tcBorders>
              <w:top w:val="single" w:color="auto" w:sz="12" w:space="0"/>
              <w:bottom w:val="single" w:color="auto" w:sz="4" w:space="0"/>
            </w:tcBorders>
            <w:vAlign w:val="center"/>
          </w:tcPr>
          <w:p w:rsidR="003B0815" w:rsidRDefault="003B0815" w14:paraId="1EC6DF55" w14:textId="77777777">
            <w:pPr>
              <w:keepNext/>
              <w:jc w:val="center"/>
              <w:rPr>
                <w:rFonts w:ascii="Arial" w:hAnsi="Arial" w:cs="Arial"/>
                <w:b/>
                <w:bCs/>
                <w:sz w:val="20"/>
                <w:szCs w:val="20"/>
              </w:rPr>
            </w:pPr>
            <w:r>
              <w:rPr>
                <w:rFonts w:ascii="Arial" w:hAnsi="Arial" w:cs="Arial"/>
                <w:b/>
                <w:bCs/>
                <w:sz w:val="20"/>
                <w:szCs w:val="20"/>
              </w:rPr>
              <w:t>Low</w:t>
            </w:r>
          </w:p>
          <w:p w:rsidR="003B0815" w:rsidRDefault="003B0815" w14:paraId="4E728AE2" w14:textId="77777777">
            <w:pPr>
              <w:keepNext/>
              <w:jc w:val="center"/>
              <w:rPr>
                <w:rFonts w:ascii="Arial" w:hAnsi="Arial"/>
                <w:b/>
                <w:sz w:val="20"/>
                <w:szCs w:val="20"/>
              </w:rPr>
            </w:pPr>
            <w:r>
              <w:rPr>
                <w:rFonts w:ascii="Arial" w:hAnsi="Arial" w:cs="Arial"/>
                <w:b/>
                <w:bCs/>
                <w:sz w:val="20"/>
                <w:szCs w:val="20"/>
              </w:rPr>
              <w:t>Scenario</w:t>
            </w:r>
          </w:p>
        </w:tc>
        <w:tc>
          <w:tcPr>
            <w:tcW w:w="1255" w:type="dxa"/>
            <w:tcBorders>
              <w:top w:val="single" w:color="auto" w:sz="12" w:space="0"/>
              <w:bottom w:val="single" w:color="auto" w:sz="4" w:space="0"/>
              <w:right w:val="single" w:color="auto" w:sz="12" w:space="0"/>
            </w:tcBorders>
            <w:vAlign w:val="center"/>
          </w:tcPr>
          <w:p w:rsidR="003B0815" w:rsidRDefault="003B0815" w14:paraId="1B46D320" w14:textId="77777777">
            <w:pPr>
              <w:keepNext/>
              <w:jc w:val="center"/>
              <w:rPr>
                <w:rFonts w:ascii="Arial" w:hAnsi="Arial" w:cs="Arial"/>
                <w:b/>
                <w:bCs/>
                <w:sz w:val="20"/>
                <w:szCs w:val="20"/>
              </w:rPr>
            </w:pPr>
            <w:r>
              <w:rPr>
                <w:rFonts w:ascii="Arial" w:hAnsi="Arial" w:cs="Arial"/>
                <w:b/>
                <w:bCs/>
                <w:sz w:val="20"/>
                <w:szCs w:val="20"/>
              </w:rPr>
              <w:t>High</w:t>
            </w:r>
          </w:p>
          <w:p w:rsidR="003B0815" w:rsidRDefault="003B0815" w14:paraId="071E2FFF" w14:textId="77777777">
            <w:pPr>
              <w:keepNext/>
              <w:jc w:val="center"/>
              <w:rPr>
                <w:rFonts w:ascii="Arial" w:hAnsi="Arial"/>
                <w:b/>
                <w:sz w:val="20"/>
                <w:szCs w:val="20"/>
              </w:rPr>
            </w:pPr>
            <w:r>
              <w:rPr>
                <w:rFonts w:ascii="Arial" w:hAnsi="Arial" w:cs="Arial"/>
                <w:b/>
                <w:bCs/>
                <w:sz w:val="20"/>
                <w:szCs w:val="20"/>
              </w:rPr>
              <w:t>Scenario</w:t>
            </w:r>
          </w:p>
        </w:tc>
      </w:tr>
      <w:tr w:rsidR="003B0815" w14:paraId="56EEF52C" w14:textId="77777777">
        <w:trPr>
          <w:jc w:val="center"/>
        </w:trPr>
        <w:tc>
          <w:tcPr>
            <w:tcW w:w="1408" w:type="dxa"/>
            <w:tcBorders>
              <w:left w:val="single" w:color="auto" w:sz="12" w:space="0"/>
            </w:tcBorders>
            <w:vAlign w:val="bottom"/>
          </w:tcPr>
          <w:p w:rsidR="003B0815" w:rsidRDefault="003B0815" w14:paraId="7A5642DA" w14:textId="77777777">
            <w:pPr>
              <w:keepNext/>
              <w:jc w:val="center"/>
              <w:rPr>
                <w:rFonts w:ascii="Arial" w:hAnsi="Arial"/>
                <w:sz w:val="20"/>
                <w:szCs w:val="20"/>
              </w:rPr>
            </w:pPr>
            <w:r>
              <w:rPr>
                <w:rFonts w:ascii="Arial" w:hAnsi="Arial"/>
                <w:sz w:val="20"/>
                <w:szCs w:val="20"/>
              </w:rPr>
              <w:t>1</w:t>
            </w:r>
          </w:p>
        </w:tc>
        <w:tc>
          <w:tcPr>
            <w:tcW w:w="1102" w:type="dxa"/>
            <w:shd w:val="clear" w:color="auto" w:fill="CCCCCC"/>
            <w:vAlign w:val="bottom"/>
          </w:tcPr>
          <w:p w:rsidR="003B0815" w:rsidRDefault="003B0815" w14:paraId="5A4FA4DF" w14:textId="77777777">
            <w:pPr>
              <w:keepNext/>
              <w:jc w:val="right"/>
              <w:rPr>
                <w:rFonts w:ascii="Arial" w:hAnsi="Arial"/>
                <w:sz w:val="20"/>
                <w:szCs w:val="20"/>
              </w:rPr>
            </w:pPr>
            <w:r>
              <w:rPr>
                <w:rFonts w:ascii="Arial" w:hAnsi="Arial" w:cs="Arial"/>
                <w:sz w:val="20"/>
                <w:szCs w:val="20"/>
              </w:rPr>
              <w:t xml:space="preserve">$0.5 </w:t>
            </w:r>
          </w:p>
        </w:tc>
        <w:tc>
          <w:tcPr>
            <w:tcW w:w="1080" w:type="dxa"/>
            <w:shd w:val="clear" w:color="auto" w:fill="CCCCCC"/>
            <w:vAlign w:val="bottom"/>
          </w:tcPr>
          <w:p w:rsidR="003B0815" w:rsidRDefault="003B0815" w14:paraId="3C74ECA2" w14:textId="77777777">
            <w:pPr>
              <w:keepNext/>
              <w:jc w:val="right"/>
              <w:rPr>
                <w:rFonts w:ascii="Arial" w:hAnsi="Arial"/>
                <w:sz w:val="20"/>
                <w:szCs w:val="20"/>
              </w:rPr>
            </w:pPr>
            <w:r>
              <w:rPr>
                <w:rFonts w:ascii="Arial" w:hAnsi="Arial" w:cs="Arial"/>
                <w:sz w:val="20"/>
                <w:szCs w:val="20"/>
              </w:rPr>
              <w:t xml:space="preserve">$0.4 </w:t>
            </w:r>
          </w:p>
        </w:tc>
        <w:tc>
          <w:tcPr>
            <w:tcW w:w="1255" w:type="dxa"/>
            <w:tcBorders>
              <w:right w:val="single" w:color="auto" w:sz="12" w:space="0"/>
            </w:tcBorders>
            <w:shd w:val="clear" w:color="auto" w:fill="CCCCCC"/>
            <w:vAlign w:val="bottom"/>
          </w:tcPr>
          <w:p w:rsidR="003B0815" w:rsidRDefault="003B0815" w14:paraId="6CA6D2B9" w14:textId="77777777">
            <w:pPr>
              <w:keepNext/>
              <w:jc w:val="right"/>
              <w:rPr>
                <w:rFonts w:ascii="Arial" w:hAnsi="Arial"/>
                <w:sz w:val="20"/>
                <w:szCs w:val="20"/>
              </w:rPr>
            </w:pPr>
            <w:r>
              <w:rPr>
                <w:rFonts w:ascii="Arial" w:hAnsi="Arial" w:cs="Arial"/>
                <w:sz w:val="20"/>
                <w:szCs w:val="20"/>
              </w:rPr>
              <w:t xml:space="preserve">$0.6 </w:t>
            </w:r>
          </w:p>
        </w:tc>
      </w:tr>
      <w:tr w:rsidR="003B0815" w14:paraId="243C6882" w14:textId="77777777">
        <w:trPr>
          <w:jc w:val="center"/>
        </w:trPr>
        <w:tc>
          <w:tcPr>
            <w:tcW w:w="1408" w:type="dxa"/>
            <w:tcBorders>
              <w:left w:val="single" w:color="auto" w:sz="12" w:space="0"/>
            </w:tcBorders>
            <w:vAlign w:val="bottom"/>
          </w:tcPr>
          <w:p w:rsidR="003B0815" w:rsidRDefault="003B0815" w14:paraId="28407D77" w14:textId="77777777">
            <w:pPr>
              <w:keepNext/>
              <w:jc w:val="center"/>
              <w:rPr>
                <w:rFonts w:ascii="Arial" w:hAnsi="Arial"/>
                <w:sz w:val="20"/>
                <w:szCs w:val="20"/>
              </w:rPr>
            </w:pPr>
            <w:r>
              <w:rPr>
                <w:rFonts w:ascii="Arial" w:hAnsi="Arial"/>
                <w:sz w:val="20"/>
                <w:szCs w:val="20"/>
              </w:rPr>
              <w:t>2</w:t>
            </w:r>
          </w:p>
        </w:tc>
        <w:tc>
          <w:tcPr>
            <w:tcW w:w="1102" w:type="dxa"/>
            <w:shd w:val="clear" w:color="auto" w:fill="CCCCCC"/>
            <w:vAlign w:val="bottom"/>
          </w:tcPr>
          <w:p w:rsidR="003B0815" w:rsidRDefault="003B0815" w14:paraId="4D1A07F6" w14:textId="77777777">
            <w:pPr>
              <w:keepNext/>
              <w:jc w:val="right"/>
              <w:rPr>
                <w:rFonts w:ascii="Arial" w:hAnsi="Arial"/>
                <w:sz w:val="20"/>
                <w:szCs w:val="20"/>
              </w:rPr>
            </w:pPr>
            <w:r>
              <w:rPr>
                <w:rFonts w:ascii="Arial" w:hAnsi="Arial" w:cs="Arial"/>
                <w:sz w:val="20"/>
                <w:szCs w:val="20"/>
              </w:rPr>
              <w:t xml:space="preserve">0.5 </w:t>
            </w:r>
          </w:p>
        </w:tc>
        <w:tc>
          <w:tcPr>
            <w:tcW w:w="1080" w:type="dxa"/>
            <w:shd w:val="clear" w:color="auto" w:fill="CCCCCC"/>
            <w:vAlign w:val="bottom"/>
          </w:tcPr>
          <w:p w:rsidR="003B0815" w:rsidRDefault="003B0815" w14:paraId="7AB03803" w14:textId="77777777">
            <w:pPr>
              <w:keepNext/>
              <w:jc w:val="right"/>
              <w:rPr>
                <w:rFonts w:ascii="Arial" w:hAnsi="Arial"/>
                <w:sz w:val="20"/>
                <w:szCs w:val="20"/>
              </w:rPr>
            </w:pPr>
            <w:r>
              <w:rPr>
                <w:rFonts w:ascii="Arial" w:hAnsi="Arial" w:cs="Arial"/>
                <w:sz w:val="20"/>
                <w:szCs w:val="20"/>
              </w:rPr>
              <w:t xml:space="preserve">0.4 </w:t>
            </w:r>
          </w:p>
        </w:tc>
        <w:tc>
          <w:tcPr>
            <w:tcW w:w="1255" w:type="dxa"/>
            <w:tcBorders>
              <w:right w:val="single" w:color="auto" w:sz="12" w:space="0"/>
            </w:tcBorders>
            <w:shd w:val="clear" w:color="auto" w:fill="CCCCCC"/>
            <w:vAlign w:val="bottom"/>
          </w:tcPr>
          <w:p w:rsidR="003B0815" w:rsidRDefault="003B0815" w14:paraId="5561CE83" w14:textId="77777777">
            <w:pPr>
              <w:keepNext/>
              <w:jc w:val="right"/>
              <w:rPr>
                <w:rFonts w:ascii="Arial" w:hAnsi="Arial"/>
                <w:sz w:val="20"/>
                <w:szCs w:val="20"/>
              </w:rPr>
            </w:pPr>
            <w:r>
              <w:rPr>
                <w:rFonts w:ascii="Arial" w:hAnsi="Arial" w:cs="Arial"/>
                <w:sz w:val="20"/>
                <w:szCs w:val="20"/>
              </w:rPr>
              <w:t xml:space="preserve">0.6 </w:t>
            </w:r>
          </w:p>
        </w:tc>
      </w:tr>
      <w:tr w:rsidR="003B0815" w14:paraId="16CC9F07" w14:textId="77777777">
        <w:trPr>
          <w:jc w:val="center"/>
        </w:trPr>
        <w:tc>
          <w:tcPr>
            <w:tcW w:w="1408" w:type="dxa"/>
            <w:tcBorders>
              <w:left w:val="single" w:color="auto" w:sz="12" w:space="0"/>
            </w:tcBorders>
            <w:vAlign w:val="bottom"/>
          </w:tcPr>
          <w:p w:rsidR="003B0815" w:rsidRDefault="003B0815" w14:paraId="3C8212CD" w14:textId="77777777">
            <w:pPr>
              <w:keepNext/>
              <w:jc w:val="center"/>
              <w:rPr>
                <w:rFonts w:ascii="Arial" w:hAnsi="Arial"/>
                <w:sz w:val="20"/>
                <w:szCs w:val="20"/>
              </w:rPr>
            </w:pPr>
            <w:r>
              <w:rPr>
                <w:rFonts w:ascii="Arial" w:hAnsi="Arial"/>
                <w:sz w:val="20"/>
                <w:szCs w:val="20"/>
              </w:rPr>
              <w:t>3</w:t>
            </w:r>
          </w:p>
        </w:tc>
        <w:tc>
          <w:tcPr>
            <w:tcW w:w="1102" w:type="dxa"/>
            <w:shd w:val="clear" w:color="auto" w:fill="CCCCCC"/>
            <w:vAlign w:val="bottom"/>
          </w:tcPr>
          <w:p w:rsidR="003B0815" w:rsidRDefault="003B0815" w14:paraId="65181890" w14:textId="77777777">
            <w:pPr>
              <w:keepNext/>
              <w:jc w:val="right"/>
              <w:rPr>
                <w:rFonts w:ascii="Arial" w:hAnsi="Arial"/>
                <w:sz w:val="20"/>
                <w:szCs w:val="20"/>
              </w:rPr>
            </w:pPr>
            <w:r>
              <w:rPr>
                <w:rFonts w:ascii="Arial" w:hAnsi="Arial" w:cs="Arial"/>
                <w:sz w:val="20"/>
                <w:szCs w:val="20"/>
              </w:rPr>
              <w:t xml:space="preserve">0.5 </w:t>
            </w:r>
          </w:p>
        </w:tc>
        <w:tc>
          <w:tcPr>
            <w:tcW w:w="1080" w:type="dxa"/>
            <w:shd w:val="clear" w:color="auto" w:fill="CCCCCC"/>
            <w:vAlign w:val="bottom"/>
          </w:tcPr>
          <w:p w:rsidR="003B0815" w:rsidRDefault="003B0815" w14:paraId="68734133" w14:textId="77777777">
            <w:pPr>
              <w:keepNext/>
              <w:jc w:val="right"/>
              <w:rPr>
                <w:rFonts w:ascii="Arial" w:hAnsi="Arial"/>
                <w:sz w:val="20"/>
                <w:szCs w:val="20"/>
              </w:rPr>
            </w:pPr>
            <w:r>
              <w:rPr>
                <w:rFonts w:ascii="Arial" w:hAnsi="Arial" w:cs="Arial"/>
                <w:sz w:val="20"/>
                <w:szCs w:val="20"/>
              </w:rPr>
              <w:t xml:space="preserve">0.4 </w:t>
            </w:r>
          </w:p>
        </w:tc>
        <w:tc>
          <w:tcPr>
            <w:tcW w:w="1255" w:type="dxa"/>
            <w:tcBorders>
              <w:right w:val="single" w:color="auto" w:sz="12" w:space="0"/>
            </w:tcBorders>
            <w:shd w:val="clear" w:color="auto" w:fill="CCCCCC"/>
            <w:vAlign w:val="bottom"/>
          </w:tcPr>
          <w:p w:rsidR="003B0815" w:rsidRDefault="003B0815" w14:paraId="28992928" w14:textId="77777777">
            <w:pPr>
              <w:keepNext/>
              <w:jc w:val="right"/>
              <w:rPr>
                <w:rFonts w:ascii="Arial" w:hAnsi="Arial"/>
                <w:sz w:val="20"/>
                <w:szCs w:val="20"/>
              </w:rPr>
            </w:pPr>
            <w:r>
              <w:rPr>
                <w:rFonts w:ascii="Arial" w:hAnsi="Arial" w:cs="Arial"/>
                <w:sz w:val="20"/>
                <w:szCs w:val="20"/>
              </w:rPr>
              <w:t xml:space="preserve">0.6 </w:t>
            </w:r>
          </w:p>
        </w:tc>
      </w:tr>
      <w:tr w:rsidR="003B0815" w14:paraId="1FC330D9" w14:textId="77777777">
        <w:trPr>
          <w:jc w:val="center"/>
        </w:trPr>
        <w:tc>
          <w:tcPr>
            <w:tcW w:w="1408" w:type="dxa"/>
            <w:tcBorders>
              <w:left w:val="single" w:color="auto" w:sz="12" w:space="0"/>
            </w:tcBorders>
            <w:vAlign w:val="bottom"/>
          </w:tcPr>
          <w:p w:rsidR="003B0815" w:rsidRDefault="003B0815" w14:paraId="42FD8B90" w14:textId="77777777">
            <w:pPr>
              <w:keepNext/>
              <w:jc w:val="center"/>
              <w:rPr>
                <w:rFonts w:ascii="Arial" w:hAnsi="Arial"/>
                <w:sz w:val="20"/>
                <w:szCs w:val="20"/>
              </w:rPr>
            </w:pPr>
            <w:r>
              <w:rPr>
                <w:rFonts w:ascii="Arial" w:hAnsi="Arial"/>
                <w:sz w:val="20"/>
                <w:szCs w:val="20"/>
              </w:rPr>
              <w:t>4</w:t>
            </w:r>
          </w:p>
        </w:tc>
        <w:tc>
          <w:tcPr>
            <w:tcW w:w="1102" w:type="dxa"/>
            <w:shd w:val="clear" w:color="auto" w:fill="CCCCCC"/>
            <w:vAlign w:val="bottom"/>
          </w:tcPr>
          <w:p w:rsidR="003B0815" w:rsidRDefault="003B0815" w14:paraId="13DFD9C0" w14:textId="77777777">
            <w:pPr>
              <w:keepNext/>
              <w:jc w:val="right"/>
              <w:rPr>
                <w:rFonts w:ascii="Arial" w:hAnsi="Arial"/>
                <w:sz w:val="20"/>
                <w:szCs w:val="20"/>
              </w:rPr>
            </w:pPr>
            <w:r>
              <w:rPr>
                <w:rFonts w:ascii="Arial" w:hAnsi="Arial" w:cs="Arial"/>
                <w:sz w:val="20"/>
                <w:szCs w:val="20"/>
              </w:rPr>
              <w:t xml:space="preserve">0.5 </w:t>
            </w:r>
          </w:p>
        </w:tc>
        <w:tc>
          <w:tcPr>
            <w:tcW w:w="1080" w:type="dxa"/>
            <w:shd w:val="clear" w:color="auto" w:fill="CCCCCC"/>
            <w:vAlign w:val="bottom"/>
          </w:tcPr>
          <w:p w:rsidR="003B0815" w:rsidRDefault="003B0815" w14:paraId="0DB14457" w14:textId="77777777">
            <w:pPr>
              <w:keepNext/>
              <w:jc w:val="right"/>
              <w:rPr>
                <w:rFonts w:ascii="Arial" w:hAnsi="Arial"/>
                <w:sz w:val="20"/>
                <w:szCs w:val="20"/>
              </w:rPr>
            </w:pPr>
            <w:r>
              <w:rPr>
                <w:rFonts w:ascii="Arial" w:hAnsi="Arial" w:cs="Arial"/>
                <w:sz w:val="20"/>
                <w:szCs w:val="20"/>
              </w:rPr>
              <w:t xml:space="preserve">0.4 </w:t>
            </w:r>
          </w:p>
        </w:tc>
        <w:tc>
          <w:tcPr>
            <w:tcW w:w="1255" w:type="dxa"/>
            <w:tcBorders>
              <w:right w:val="single" w:color="auto" w:sz="12" w:space="0"/>
            </w:tcBorders>
            <w:shd w:val="clear" w:color="auto" w:fill="CCCCCC"/>
            <w:vAlign w:val="bottom"/>
          </w:tcPr>
          <w:p w:rsidR="003B0815" w:rsidRDefault="003B0815" w14:paraId="649769D0" w14:textId="77777777">
            <w:pPr>
              <w:keepNext/>
              <w:jc w:val="right"/>
              <w:rPr>
                <w:rFonts w:ascii="Arial" w:hAnsi="Arial"/>
                <w:sz w:val="20"/>
                <w:szCs w:val="20"/>
              </w:rPr>
            </w:pPr>
            <w:r>
              <w:rPr>
                <w:rFonts w:ascii="Arial" w:hAnsi="Arial" w:cs="Arial"/>
                <w:sz w:val="20"/>
                <w:szCs w:val="20"/>
              </w:rPr>
              <w:t xml:space="preserve">0.6 </w:t>
            </w:r>
          </w:p>
        </w:tc>
      </w:tr>
      <w:tr w:rsidR="003B0815" w14:paraId="638A5450" w14:textId="77777777">
        <w:trPr>
          <w:jc w:val="center"/>
        </w:trPr>
        <w:tc>
          <w:tcPr>
            <w:tcW w:w="1408" w:type="dxa"/>
            <w:tcBorders>
              <w:left w:val="single" w:color="auto" w:sz="12" w:space="0"/>
            </w:tcBorders>
            <w:vAlign w:val="bottom"/>
          </w:tcPr>
          <w:p w:rsidR="003B0815" w:rsidRDefault="003B0815" w14:paraId="1E35B7F8" w14:textId="77777777">
            <w:pPr>
              <w:keepNext/>
              <w:jc w:val="center"/>
              <w:rPr>
                <w:rFonts w:ascii="Arial" w:hAnsi="Arial"/>
                <w:sz w:val="20"/>
                <w:szCs w:val="20"/>
              </w:rPr>
            </w:pPr>
            <w:r>
              <w:rPr>
                <w:rFonts w:ascii="Arial" w:hAnsi="Arial"/>
                <w:sz w:val="20"/>
                <w:szCs w:val="20"/>
              </w:rPr>
              <w:t>5</w:t>
            </w:r>
          </w:p>
        </w:tc>
        <w:tc>
          <w:tcPr>
            <w:tcW w:w="1102" w:type="dxa"/>
            <w:shd w:val="clear" w:color="auto" w:fill="CCCCCC"/>
            <w:vAlign w:val="bottom"/>
          </w:tcPr>
          <w:p w:rsidR="003B0815" w:rsidRDefault="003B0815" w14:paraId="0DDF7558" w14:textId="77777777">
            <w:pPr>
              <w:keepNext/>
              <w:jc w:val="right"/>
              <w:rPr>
                <w:rFonts w:ascii="Arial" w:hAnsi="Arial"/>
                <w:sz w:val="20"/>
                <w:szCs w:val="20"/>
              </w:rPr>
            </w:pPr>
            <w:r>
              <w:rPr>
                <w:rFonts w:ascii="Arial" w:hAnsi="Arial" w:cs="Arial"/>
                <w:sz w:val="20"/>
                <w:szCs w:val="20"/>
              </w:rPr>
              <w:t xml:space="preserve">0.5 </w:t>
            </w:r>
          </w:p>
        </w:tc>
        <w:tc>
          <w:tcPr>
            <w:tcW w:w="1080" w:type="dxa"/>
            <w:shd w:val="clear" w:color="auto" w:fill="CCCCCC"/>
            <w:vAlign w:val="bottom"/>
          </w:tcPr>
          <w:p w:rsidR="003B0815" w:rsidRDefault="003B0815" w14:paraId="50A5790D" w14:textId="77777777">
            <w:pPr>
              <w:keepNext/>
              <w:jc w:val="right"/>
              <w:rPr>
                <w:rFonts w:ascii="Arial" w:hAnsi="Arial"/>
                <w:sz w:val="20"/>
                <w:szCs w:val="20"/>
              </w:rPr>
            </w:pPr>
            <w:r>
              <w:rPr>
                <w:rFonts w:ascii="Arial" w:hAnsi="Arial" w:cs="Arial"/>
                <w:sz w:val="20"/>
                <w:szCs w:val="20"/>
              </w:rPr>
              <w:t xml:space="preserve">0.4 </w:t>
            </w:r>
          </w:p>
        </w:tc>
        <w:tc>
          <w:tcPr>
            <w:tcW w:w="1255" w:type="dxa"/>
            <w:tcBorders>
              <w:right w:val="single" w:color="auto" w:sz="12" w:space="0"/>
            </w:tcBorders>
            <w:shd w:val="clear" w:color="auto" w:fill="CCCCCC"/>
            <w:vAlign w:val="bottom"/>
          </w:tcPr>
          <w:p w:rsidR="003B0815" w:rsidRDefault="003B0815" w14:paraId="7721B785" w14:textId="77777777">
            <w:pPr>
              <w:keepNext/>
              <w:jc w:val="right"/>
              <w:rPr>
                <w:rFonts w:ascii="Arial" w:hAnsi="Arial"/>
                <w:sz w:val="20"/>
                <w:szCs w:val="20"/>
              </w:rPr>
            </w:pPr>
            <w:r>
              <w:rPr>
                <w:rFonts w:ascii="Arial" w:hAnsi="Arial" w:cs="Arial"/>
                <w:sz w:val="20"/>
                <w:szCs w:val="20"/>
              </w:rPr>
              <w:t xml:space="preserve">0.6 </w:t>
            </w:r>
          </w:p>
        </w:tc>
      </w:tr>
      <w:tr w:rsidR="003B0815" w14:paraId="1E575A9D" w14:textId="77777777">
        <w:trPr>
          <w:jc w:val="center"/>
        </w:trPr>
        <w:tc>
          <w:tcPr>
            <w:tcW w:w="1408" w:type="dxa"/>
            <w:tcBorders>
              <w:left w:val="single" w:color="auto" w:sz="12" w:space="0"/>
            </w:tcBorders>
            <w:vAlign w:val="bottom"/>
          </w:tcPr>
          <w:p w:rsidR="003B0815" w:rsidRDefault="003B0815" w14:paraId="4CD16996" w14:textId="77777777">
            <w:pPr>
              <w:keepNext/>
              <w:jc w:val="center"/>
              <w:rPr>
                <w:rFonts w:ascii="Arial" w:hAnsi="Arial"/>
                <w:sz w:val="20"/>
                <w:szCs w:val="20"/>
              </w:rPr>
            </w:pPr>
            <w:r>
              <w:rPr>
                <w:rFonts w:ascii="Arial" w:hAnsi="Arial"/>
                <w:sz w:val="20"/>
                <w:szCs w:val="20"/>
              </w:rPr>
              <w:t>6</w:t>
            </w:r>
          </w:p>
        </w:tc>
        <w:tc>
          <w:tcPr>
            <w:tcW w:w="1102" w:type="dxa"/>
            <w:shd w:val="clear" w:color="auto" w:fill="CCCCCC"/>
            <w:vAlign w:val="bottom"/>
          </w:tcPr>
          <w:p w:rsidR="003B0815" w:rsidRDefault="003B0815" w14:paraId="18CC883F" w14:textId="77777777">
            <w:pPr>
              <w:keepNext/>
              <w:jc w:val="right"/>
              <w:rPr>
                <w:rFonts w:ascii="Arial" w:hAnsi="Arial"/>
                <w:sz w:val="20"/>
                <w:szCs w:val="20"/>
              </w:rPr>
            </w:pPr>
            <w:r>
              <w:rPr>
                <w:rFonts w:ascii="Arial" w:hAnsi="Arial" w:cs="Arial"/>
                <w:sz w:val="20"/>
                <w:szCs w:val="20"/>
              </w:rPr>
              <w:t xml:space="preserve">0.6 </w:t>
            </w:r>
          </w:p>
        </w:tc>
        <w:tc>
          <w:tcPr>
            <w:tcW w:w="1080" w:type="dxa"/>
            <w:shd w:val="clear" w:color="auto" w:fill="CCCCCC"/>
            <w:vAlign w:val="bottom"/>
          </w:tcPr>
          <w:p w:rsidR="003B0815" w:rsidRDefault="003B0815" w14:paraId="799389D0" w14:textId="77777777">
            <w:pPr>
              <w:keepNext/>
              <w:jc w:val="right"/>
              <w:rPr>
                <w:rFonts w:ascii="Arial" w:hAnsi="Arial"/>
                <w:sz w:val="20"/>
                <w:szCs w:val="20"/>
              </w:rPr>
            </w:pPr>
            <w:r>
              <w:rPr>
                <w:rFonts w:ascii="Arial" w:hAnsi="Arial" w:cs="Arial"/>
                <w:sz w:val="20"/>
                <w:szCs w:val="20"/>
              </w:rPr>
              <w:t xml:space="preserve">0.4 </w:t>
            </w:r>
          </w:p>
        </w:tc>
        <w:tc>
          <w:tcPr>
            <w:tcW w:w="1255" w:type="dxa"/>
            <w:tcBorders>
              <w:right w:val="single" w:color="auto" w:sz="12" w:space="0"/>
            </w:tcBorders>
            <w:shd w:val="clear" w:color="auto" w:fill="CCCCCC"/>
            <w:vAlign w:val="bottom"/>
          </w:tcPr>
          <w:p w:rsidR="003B0815" w:rsidRDefault="003B0815" w14:paraId="2C1AE1DB" w14:textId="77777777">
            <w:pPr>
              <w:keepNext/>
              <w:jc w:val="right"/>
              <w:rPr>
                <w:rFonts w:ascii="Arial" w:hAnsi="Arial"/>
                <w:sz w:val="20"/>
                <w:szCs w:val="20"/>
              </w:rPr>
            </w:pPr>
            <w:r>
              <w:rPr>
                <w:rFonts w:ascii="Arial" w:hAnsi="Arial" w:cs="Arial"/>
                <w:sz w:val="20"/>
                <w:szCs w:val="20"/>
              </w:rPr>
              <w:t xml:space="preserve">0.7 </w:t>
            </w:r>
          </w:p>
        </w:tc>
      </w:tr>
      <w:tr w:rsidR="003B0815" w14:paraId="76C66CA5" w14:textId="77777777">
        <w:trPr>
          <w:jc w:val="center"/>
        </w:trPr>
        <w:tc>
          <w:tcPr>
            <w:tcW w:w="1408" w:type="dxa"/>
            <w:tcBorders>
              <w:left w:val="single" w:color="auto" w:sz="12" w:space="0"/>
            </w:tcBorders>
            <w:vAlign w:val="bottom"/>
          </w:tcPr>
          <w:p w:rsidR="003B0815" w:rsidRDefault="003B0815" w14:paraId="183BFA86" w14:textId="77777777">
            <w:pPr>
              <w:keepNext/>
              <w:jc w:val="center"/>
              <w:rPr>
                <w:rFonts w:ascii="Arial" w:hAnsi="Arial"/>
                <w:sz w:val="20"/>
                <w:szCs w:val="20"/>
              </w:rPr>
            </w:pPr>
            <w:r>
              <w:rPr>
                <w:rFonts w:ascii="Arial" w:hAnsi="Arial"/>
                <w:sz w:val="20"/>
                <w:szCs w:val="20"/>
              </w:rPr>
              <w:t>7</w:t>
            </w:r>
          </w:p>
        </w:tc>
        <w:tc>
          <w:tcPr>
            <w:tcW w:w="1102" w:type="dxa"/>
            <w:shd w:val="clear" w:color="auto" w:fill="CCCCCC"/>
            <w:vAlign w:val="bottom"/>
          </w:tcPr>
          <w:p w:rsidR="003B0815" w:rsidRDefault="003B0815" w14:paraId="5006B714" w14:textId="77777777">
            <w:pPr>
              <w:keepNext/>
              <w:jc w:val="right"/>
              <w:rPr>
                <w:rFonts w:ascii="Arial" w:hAnsi="Arial"/>
                <w:sz w:val="20"/>
                <w:szCs w:val="20"/>
              </w:rPr>
            </w:pPr>
            <w:r>
              <w:rPr>
                <w:rFonts w:ascii="Arial" w:hAnsi="Arial" w:cs="Arial"/>
                <w:sz w:val="20"/>
                <w:szCs w:val="20"/>
              </w:rPr>
              <w:t xml:space="preserve">0.6 </w:t>
            </w:r>
          </w:p>
        </w:tc>
        <w:tc>
          <w:tcPr>
            <w:tcW w:w="1080" w:type="dxa"/>
            <w:shd w:val="clear" w:color="auto" w:fill="CCCCCC"/>
            <w:vAlign w:val="bottom"/>
          </w:tcPr>
          <w:p w:rsidR="003B0815" w:rsidRDefault="003B0815" w14:paraId="2CAA5049" w14:textId="77777777">
            <w:pPr>
              <w:keepNext/>
              <w:jc w:val="right"/>
              <w:rPr>
                <w:rFonts w:ascii="Arial" w:hAnsi="Arial"/>
                <w:sz w:val="20"/>
                <w:szCs w:val="20"/>
              </w:rPr>
            </w:pPr>
            <w:r>
              <w:rPr>
                <w:rFonts w:ascii="Arial" w:hAnsi="Arial" w:cs="Arial"/>
                <w:sz w:val="20"/>
                <w:szCs w:val="20"/>
              </w:rPr>
              <w:t xml:space="preserve">0.4 </w:t>
            </w:r>
          </w:p>
        </w:tc>
        <w:tc>
          <w:tcPr>
            <w:tcW w:w="1255" w:type="dxa"/>
            <w:tcBorders>
              <w:right w:val="single" w:color="auto" w:sz="12" w:space="0"/>
            </w:tcBorders>
            <w:shd w:val="clear" w:color="auto" w:fill="CCCCCC"/>
            <w:vAlign w:val="bottom"/>
          </w:tcPr>
          <w:p w:rsidR="003B0815" w:rsidRDefault="003B0815" w14:paraId="1CD6C814" w14:textId="77777777">
            <w:pPr>
              <w:keepNext/>
              <w:jc w:val="right"/>
              <w:rPr>
                <w:rFonts w:ascii="Arial" w:hAnsi="Arial"/>
                <w:sz w:val="20"/>
                <w:szCs w:val="20"/>
              </w:rPr>
            </w:pPr>
            <w:r>
              <w:rPr>
                <w:rFonts w:ascii="Arial" w:hAnsi="Arial" w:cs="Arial"/>
                <w:sz w:val="20"/>
                <w:szCs w:val="20"/>
              </w:rPr>
              <w:t xml:space="preserve">0.7 </w:t>
            </w:r>
          </w:p>
        </w:tc>
      </w:tr>
      <w:tr w:rsidR="003B0815" w14:paraId="038A45C0" w14:textId="77777777">
        <w:trPr>
          <w:jc w:val="center"/>
        </w:trPr>
        <w:tc>
          <w:tcPr>
            <w:tcW w:w="1408" w:type="dxa"/>
            <w:tcBorders>
              <w:left w:val="single" w:color="auto" w:sz="12" w:space="0"/>
            </w:tcBorders>
            <w:vAlign w:val="bottom"/>
          </w:tcPr>
          <w:p w:rsidR="003B0815" w:rsidRDefault="003B0815" w14:paraId="3542FDCA" w14:textId="77777777">
            <w:pPr>
              <w:keepNext/>
              <w:jc w:val="center"/>
              <w:rPr>
                <w:rFonts w:ascii="Arial" w:hAnsi="Arial"/>
                <w:sz w:val="20"/>
                <w:szCs w:val="20"/>
              </w:rPr>
            </w:pPr>
            <w:r>
              <w:rPr>
                <w:rFonts w:ascii="Arial" w:hAnsi="Arial"/>
                <w:sz w:val="20"/>
                <w:szCs w:val="20"/>
              </w:rPr>
              <w:t>8</w:t>
            </w:r>
          </w:p>
        </w:tc>
        <w:tc>
          <w:tcPr>
            <w:tcW w:w="1102" w:type="dxa"/>
            <w:shd w:val="clear" w:color="auto" w:fill="CCCCCC"/>
            <w:vAlign w:val="bottom"/>
          </w:tcPr>
          <w:p w:rsidR="003B0815" w:rsidRDefault="003B0815" w14:paraId="660EEDFF" w14:textId="77777777">
            <w:pPr>
              <w:keepNext/>
              <w:jc w:val="right"/>
              <w:rPr>
                <w:rFonts w:ascii="Arial" w:hAnsi="Arial"/>
                <w:sz w:val="20"/>
                <w:szCs w:val="20"/>
              </w:rPr>
            </w:pPr>
            <w:r>
              <w:rPr>
                <w:rFonts w:ascii="Arial" w:hAnsi="Arial" w:cs="Arial"/>
                <w:sz w:val="20"/>
                <w:szCs w:val="20"/>
              </w:rPr>
              <w:t xml:space="preserve">0.6 </w:t>
            </w:r>
          </w:p>
        </w:tc>
        <w:tc>
          <w:tcPr>
            <w:tcW w:w="1080" w:type="dxa"/>
            <w:shd w:val="clear" w:color="auto" w:fill="CCCCCC"/>
            <w:vAlign w:val="bottom"/>
          </w:tcPr>
          <w:p w:rsidR="003B0815" w:rsidRDefault="003B0815" w14:paraId="65CD31A4" w14:textId="77777777">
            <w:pPr>
              <w:keepNext/>
              <w:jc w:val="right"/>
              <w:rPr>
                <w:rFonts w:ascii="Arial" w:hAnsi="Arial"/>
                <w:sz w:val="20"/>
                <w:szCs w:val="20"/>
              </w:rPr>
            </w:pPr>
            <w:r>
              <w:rPr>
                <w:rFonts w:ascii="Arial" w:hAnsi="Arial" w:cs="Arial"/>
                <w:sz w:val="20"/>
                <w:szCs w:val="20"/>
              </w:rPr>
              <w:t xml:space="preserve">0.5 </w:t>
            </w:r>
          </w:p>
        </w:tc>
        <w:tc>
          <w:tcPr>
            <w:tcW w:w="1255" w:type="dxa"/>
            <w:tcBorders>
              <w:right w:val="single" w:color="auto" w:sz="12" w:space="0"/>
            </w:tcBorders>
            <w:shd w:val="clear" w:color="auto" w:fill="CCCCCC"/>
            <w:vAlign w:val="bottom"/>
          </w:tcPr>
          <w:p w:rsidR="003B0815" w:rsidRDefault="003B0815" w14:paraId="0BF650E6" w14:textId="77777777">
            <w:pPr>
              <w:keepNext/>
              <w:jc w:val="right"/>
              <w:rPr>
                <w:rFonts w:ascii="Arial" w:hAnsi="Arial"/>
                <w:sz w:val="20"/>
                <w:szCs w:val="20"/>
              </w:rPr>
            </w:pPr>
            <w:r>
              <w:rPr>
                <w:rFonts w:ascii="Arial" w:hAnsi="Arial" w:cs="Arial"/>
                <w:sz w:val="20"/>
                <w:szCs w:val="20"/>
              </w:rPr>
              <w:t xml:space="preserve">0.7 </w:t>
            </w:r>
          </w:p>
        </w:tc>
      </w:tr>
      <w:tr w:rsidR="003B0815" w14:paraId="4040BAE7" w14:textId="77777777">
        <w:trPr>
          <w:jc w:val="center"/>
        </w:trPr>
        <w:tc>
          <w:tcPr>
            <w:tcW w:w="1408" w:type="dxa"/>
            <w:tcBorders>
              <w:left w:val="single" w:color="auto" w:sz="12" w:space="0"/>
            </w:tcBorders>
            <w:vAlign w:val="bottom"/>
          </w:tcPr>
          <w:p w:rsidR="003B0815" w:rsidRDefault="003B0815" w14:paraId="6AA28115" w14:textId="77777777">
            <w:pPr>
              <w:keepNext/>
              <w:jc w:val="center"/>
              <w:rPr>
                <w:rFonts w:ascii="Arial" w:hAnsi="Arial"/>
                <w:sz w:val="20"/>
                <w:szCs w:val="20"/>
              </w:rPr>
            </w:pPr>
            <w:r>
              <w:rPr>
                <w:rFonts w:ascii="Arial" w:hAnsi="Arial"/>
                <w:sz w:val="20"/>
                <w:szCs w:val="20"/>
              </w:rPr>
              <w:t>9</w:t>
            </w:r>
          </w:p>
        </w:tc>
        <w:tc>
          <w:tcPr>
            <w:tcW w:w="1102" w:type="dxa"/>
            <w:shd w:val="clear" w:color="auto" w:fill="CCCCCC"/>
            <w:vAlign w:val="bottom"/>
          </w:tcPr>
          <w:p w:rsidR="003B0815" w:rsidRDefault="003B0815" w14:paraId="773EF484" w14:textId="77777777">
            <w:pPr>
              <w:keepNext/>
              <w:jc w:val="right"/>
              <w:rPr>
                <w:rFonts w:ascii="Arial" w:hAnsi="Arial"/>
                <w:sz w:val="20"/>
                <w:szCs w:val="20"/>
              </w:rPr>
            </w:pPr>
            <w:r>
              <w:rPr>
                <w:rFonts w:ascii="Arial" w:hAnsi="Arial" w:cs="Arial"/>
                <w:sz w:val="20"/>
                <w:szCs w:val="20"/>
              </w:rPr>
              <w:t xml:space="preserve">0.6 </w:t>
            </w:r>
          </w:p>
        </w:tc>
        <w:tc>
          <w:tcPr>
            <w:tcW w:w="1080" w:type="dxa"/>
            <w:shd w:val="clear" w:color="auto" w:fill="CCCCCC"/>
            <w:vAlign w:val="bottom"/>
          </w:tcPr>
          <w:p w:rsidR="003B0815" w:rsidRDefault="003B0815" w14:paraId="45376FC1" w14:textId="77777777">
            <w:pPr>
              <w:keepNext/>
              <w:jc w:val="right"/>
              <w:rPr>
                <w:rFonts w:ascii="Arial" w:hAnsi="Arial"/>
                <w:sz w:val="20"/>
                <w:szCs w:val="20"/>
              </w:rPr>
            </w:pPr>
            <w:r>
              <w:rPr>
                <w:rFonts w:ascii="Arial" w:hAnsi="Arial" w:cs="Arial"/>
                <w:sz w:val="20"/>
                <w:szCs w:val="20"/>
              </w:rPr>
              <w:t xml:space="preserve">0.5 </w:t>
            </w:r>
          </w:p>
        </w:tc>
        <w:tc>
          <w:tcPr>
            <w:tcW w:w="1255" w:type="dxa"/>
            <w:tcBorders>
              <w:right w:val="single" w:color="auto" w:sz="12" w:space="0"/>
            </w:tcBorders>
            <w:shd w:val="clear" w:color="auto" w:fill="CCCCCC"/>
            <w:vAlign w:val="bottom"/>
          </w:tcPr>
          <w:p w:rsidR="003B0815" w:rsidRDefault="003B0815" w14:paraId="7AC70611" w14:textId="77777777">
            <w:pPr>
              <w:keepNext/>
              <w:jc w:val="right"/>
              <w:rPr>
                <w:rFonts w:ascii="Arial" w:hAnsi="Arial"/>
                <w:sz w:val="20"/>
                <w:szCs w:val="20"/>
              </w:rPr>
            </w:pPr>
            <w:r>
              <w:rPr>
                <w:rFonts w:ascii="Arial" w:hAnsi="Arial" w:cs="Arial"/>
                <w:sz w:val="20"/>
                <w:szCs w:val="20"/>
              </w:rPr>
              <w:t xml:space="preserve">0.7 </w:t>
            </w:r>
          </w:p>
        </w:tc>
      </w:tr>
      <w:tr w:rsidR="003B0815" w14:paraId="39233FE4" w14:textId="77777777">
        <w:trPr>
          <w:jc w:val="center"/>
        </w:trPr>
        <w:tc>
          <w:tcPr>
            <w:tcW w:w="1408" w:type="dxa"/>
            <w:tcBorders>
              <w:left w:val="single" w:color="auto" w:sz="12" w:space="0"/>
              <w:bottom w:val="single" w:color="auto" w:sz="4" w:space="0"/>
            </w:tcBorders>
            <w:vAlign w:val="bottom"/>
          </w:tcPr>
          <w:p w:rsidR="003B0815" w:rsidRDefault="003B0815" w14:paraId="0E4F0C28" w14:textId="77777777">
            <w:pPr>
              <w:keepNext/>
              <w:jc w:val="center"/>
              <w:rPr>
                <w:rFonts w:ascii="Arial" w:hAnsi="Arial"/>
                <w:sz w:val="20"/>
                <w:szCs w:val="20"/>
              </w:rPr>
            </w:pPr>
            <w:r>
              <w:rPr>
                <w:rFonts w:ascii="Arial" w:hAnsi="Arial"/>
                <w:sz w:val="20"/>
                <w:szCs w:val="20"/>
              </w:rPr>
              <w:t>10</w:t>
            </w:r>
          </w:p>
        </w:tc>
        <w:tc>
          <w:tcPr>
            <w:tcW w:w="1102" w:type="dxa"/>
            <w:tcBorders>
              <w:bottom w:val="single" w:color="auto" w:sz="4" w:space="0"/>
            </w:tcBorders>
            <w:shd w:val="clear" w:color="auto" w:fill="CCCCCC"/>
            <w:vAlign w:val="bottom"/>
          </w:tcPr>
          <w:p w:rsidR="003B0815" w:rsidRDefault="003B0815" w14:paraId="09922503" w14:textId="77777777">
            <w:pPr>
              <w:keepNext/>
              <w:jc w:val="right"/>
              <w:rPr>
                <w:rFonts w:ascii="Arial" w:hAnsi="Arial"/>
                <w:sz w:val="20"/>
                <w:szCs w:val="20"/>
              </w:rPr>
            </w:pPr>
            <w:r>
              <w:rPr>
                <w:rFonts w:ascii="Arial" w:hAnsi="Arial" w:cs="Arial"/>
                <w:sz w:val="20"/>
                <w:szCs w:val="20"/>
              </w:rPr>
              <w:t xml:space="preserve">$0.6 </w:t>
            </w:r>
          </w:p>
        </w:tc>
        <w:tc>
          <w:tcPr>
            <w:tcW w:w="1080" w:type="dxa"/>
            <w:tcBorders>
              <w:bottom w:val="single" w:color="auto" w:sz="4" w:space="0"/>
            </w:tcBorders>
            <w:shd w:val="clear" w:color="auto" w:fill="CCCCCC"/>
            <w:vAlign w:val="bottom"/>
          </w:tcPr>
          <w:p w:rsidR="003B0815" w:rsidRDefault="003B0815" w14:paraId="46A2ACB2" w14:textId="77777777">
            <w:pPr>
              <w:keepNext/>
              <w:jc w:val="right"/>
              <w:rPr>
                <w:rFonts w:ascii="Arial" w:hAnsi="Arial"/>
                <w:sz w:val="20"/>
                <w:szCs w:val="20"/>
              </w:rPr>
            </w:pPr>
            <w:r>
              <w:rPr>
                <w:rFonts w:ascii="Arial" w:hAnsi="Arial" w:cs="Arial"/>
                <w:sz w:val="20"/>
                <w:szCs w:val="20"/>
              </w:rPr>
              <w:t xml:space="preserve">$0.5 </w:t>
            </w:r>
          </w:p>
        </w:tc>
        <w:tc>
          <w:tcPr>
            <w:tcW w:w="1255" w:type="dxa"/>
            <w:tcBorders>
              <w:bottom w:val="single" w:color="auto" w:sz="4" w:space="0"/>
              <w:right w:val="single" w:color="auto" w:sz="12" w:space="0"/>
            </w:tcBorders>
            <w:shd w:val="clear" w:color="auto" w:fill="CCCCCC"/>
            <w:vAlign w:val="bottom"/>
          </w:tcPr>
          <w:p w:rsidR="003B0815" w:rsidRDefault="003B0815" w14:paraId="69C802E0" w14:textId="77777777">
            <w:pPr>
              <w:keepNext/>
              <w:jc w:val="right"/>
              <w:rPr>
                <w:rFonts w:ascii="Arial" w:hAnsi="Arial"/>
                <w:sz w:val="20"/>
                <w:szCs w:val="20"/>
              </w:rPr>
            </w:pPr>
            <w:r>
              <w:rPr>
                <w:rFonts w:ascii="Arial" w:hAnsi="Arial" w:cs="Arial"/>
                <w:sz w:val="20"/>
                <w:szCs w:val="20"/>
              </w:rPr>
              <w:t xml:space="preserve">$0.7 </w:t>
            </w:r>
          </w:p>
        </w:tc>
      </w:tr>
      <w:tr w:rsidR="003B0815" w14:paraId="02D0D79F" w14:textId="77777777">
        <w:trPr>
          <w:jc w:val="center"/>
        </w:trPr>
        <w:tc>
          <w:tcPr>
            <w:tcW w:w="1408" w:type="dxa"/>
            <w:tcBorders>
              <w:left w:val="single" w:color="auto" w:sz="12" w:space="0"/>
              <w:bottom w:val="single" w:color="auto" w:sz="12" w:space="0"/>
              <w:right w:val="nil"/>
            </w:tcBorders>
            <w:vAlign w:val="bottom"/>
          </w:tcPr>
          <w:p w:rsidR="003B0815" w:rsidRDefault="003B0815" w14:paraId="1856D29D" w14:textId="77777777">
            <w:pPr>
              <w:keepNext/>
              <w:jc w:val="center"/>
              <w:rPr>
                <w:rFonts w:ascii="Arial" w:hAnsi="Arial"/>
                <w:b/>
                <w:sz w:val="20"/>
                <w:szCs w:val="20"/>
              </w:rPr>
            </w:pPr>
            <w:r>
              <w:rPr>
                <w:rFonts w:ascii="Arial" w:hAnsi="Arial"/>
                <w:b/>
                <w:sz w:val="20"/>
                <w:szCs w:val="20"/>
              </w:rPr>
              <w:t>Total</w:t>
            </w:r>
          </w:p>
        </w:tc>
        <w:tc>
          <w:tcPr>
            <w:tcW w:w="1102" w:type="dxa"/>
            <w:tcBorders>
              <w:left w:val="nil"/>
              <w:bottom w:val="single" w:color="auto" w:sz="12" w:space="0"/>
              <w:right w:val="nil"/>
            </w:tcBorders>
            <w:vAlign w:val="bottom"/>
          </w:tcPr>
          <w:p w:rsidR="003B0815" w:rsidRDefault="003B0815" w14:paraId="55DAA122" w14:textId="77777777">
            <w:pPr>
              <w:keepNext/>
              <w:jc w:val="right"/>
              <w:rPr>
                <w:rFonts w:ascii="Arial" w:hAnsi="Arial"/>
                <w:b/>
                <w:sz w:val="20"/>
                <w:szCs w:val="20"/>
              </w:rPr>
            </w:pPr>
            <w:r>
              <w:rPr>
                <w:rFonts w:ascii="Arial" w:hAnsi="Arial" w:cs="Arial"/>
                <w:b/>
                <w:bCs/>
                <w:sz w:val="20"/>
                <w:szCs w:val="20"/>
              </w:rPr>
              <w:t xml:space="preserve">$5.4 </w:t>
            </w:r>
          </w:p>
        </w:tc>
        <w:tc>
          <w:tcPr>
            <w:tcW w:w="1080" w:type="dxa"/>
            <w:tcBorders>
              <w:left w:val="nil"/>
              <w:bottom w:val="single" w:color="auto" w:sz="12" w:space="0"/>
              <w:right w:val="nil"/>
            </w:tcBorders>
            <w:vAlign w:val="bottom"/>
          </w:tcPr>
          <w:p w:rsidR="003B0815" w:rsidRDefault="003B0815" w14:paraId="3F6475DC" w14:textId="77777777">
            <w:pPr>
              <w:keepNext/>
              <w:jc w:val="right"/>
              <w:rPr>
                <w:rFonts w:ascii="Arial" w:hAnsi="Arial"/>
                <w:b/>
                <w:sz w:val="20"/>
                <w:szCs w:val="20"/>
              </w:rPr>
            </w:pPr>
            <w:r>
              <w:rPr>
                <w:rFonts w:ascii="Arial" w:hAnsi="Arial" w:cs="Arial"/>
                <w:b/>
                <w:bCs/>
                <w:sz w:val="20"/>
                <w:szCs w:val="20"/>
              </w:rPr>
              <w:t xml:space="preserve">$4.3 </w:t>
            </w:r>
          </w:p>
        </w:tc>
        <w:tc>
          <w:tcPr>
            <w:tcW w:w="1255" w:type="dxa"/>
            <w:tcBorders>
              <w:left w:val="nil"/>
              <w:bottom w:val="single" w:color="auto" w:sz="12" w:space="0"/>
              <w:right w:val="single" w:color="auto" w:sz="12" w:space="0"/>
            </w:tcBorders>
            <w:vAlign w:val="bottom"/>
          </w:tcPr>
          <w:p w:rsidR="003B0815" w:rsidRDefault="003B0815" w14:paraId="0C0A50F7" w14:textId="77777777">
            <w:pPr>
              <w:keepNext/>
              <w:jc w:val="right"/>
              <w:rPr>
                <w:rFonts w:ascii="Arial" w:hAnsi="Arial"/>
                <w:b/>
                <w:sz w:val="20"/>
                <w:szCs w:val="20"/>
              </w:rPr>
            </w:pPr>
            <w:r>
              <w:rPr>
                <w:rFonts w:ascii="Arial" w:hAnsi="Arial" w:cs="Arial"/>
                <w:b/>
                <w:bCs/>
                <w:sz w:val="20"/>
                <w:szCs w:val="20"/>
              </w:rPr>
              <w:t xml:space="preserve">$6.5 </w:t>
            </w:r>
          </w:p>
        </w:tc>
      </w:tr>
    </w:tbl>
    <w:p w:rsidR="003B0815" w:rsidRDefault="003B0815" w14:paraId="20EC919B" w14:textId="77777777">
      <w:pPr>
        <w:spacing w:line="360" w:lineRule="auto"/>
        <w:ind w:firstLine="720"/>
      </w:pPr>
    </w:p>
    <w:p w:rsidR="003B0815" w:rsidRDefault="003B0815" w14:paraId="2E9AAC8C" w14:textId="77777777">
      <w:pPr>
        <w:spacing w:line="360" w:lineRule="auto"/>
        <w:ind w:firstLine="720"/>
      </w:pPr>
      <w:r>
        <w:t>Table 1.6.6.f thus presents total domestic passenger opportunity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408"/>
        <w:gridCol w:w="1102"/>
        <w:gridCol w:w="1080"/>
        <w:gridCol w:w="1255"/>
      </w:tblGrid>
      <w:tr w:rsidR="003B0815" w14:paraId="53E18617" w14:textId="77777777">
        <w:trPr>
          <w:jc w:val="center"/>
        </w:trPr>
        <w:tc>
          <w:tcPr>
            <w:tcW w:w="4845" w:type="dxa"/>
            <w:gridSpan w:val="4"/>
            <w:tcBorders>
              <w:top w:val="nil"/>
              <w:left w:val="nil"/>
              <w:bottom w:val="single" w:color="auto" w:sz="12" w:space="0"/>
              <w:right w:val="nil"/>
            </w:tcBorders>
          </w:tcPr>
          <w:p w:rsidR="003B0815" w:rsidRDefault="003B0815" w14:paraId="7EDA3B0A" w14:textId="77777777">
            <w:pPr>
              <w:pStyle w:val="RegEvalTableHeader"/>
              <w:keepNext/>
            </w:pPr>
            <w:bookmarkStart w:name="_Toc174438410" w:id="402"/>
            <w:bookmarkStart w:name="_Toc207109547" w:id="403"/>
            <w:r>
              <w:t xml:space="preserve">Table 1.6.6.f Total Domestic Passenger </w:t>
            </w:r>
            <w:smartTag w:uri="urn:schemas-microsoft-com:office:smarttags" w:element="place">
              <w:r>
                <w:t>Opportunity</w:t>
              </w:r>
            </w:smartTag>
            <w:r>
              <w:t xml:space="preserve"> Costs</w:t>
            </w:r>
            <w:bookmarkEnd w:id="402"/>
            <w:bookmarkEnd w:id="403"/>
          </w:p>
          <w:p w:rsidR="003B0815" w:rsidRDefault="003B0815" w14:paraId="1517FA14" w14:textId="77777777">
            <w:pPr>
              <w:keepNext/>
              <w:jc w:val="center"/>
              <w:rPr>
                <w:rFonts w:ascii="Arial" w:hAnsi="Arial"/>
                <w:b/>
                <w:sz w:val="20"/>
              </w:rPr>
            </w:pPr>
            <w:r>
              <w:rPr>
                <w:rFonts w:ascii="Arial" w:hAnsi="Arial"/>
                <w:b/>
                <w:bCs/>
                <w:sz w:val="20"/>
              </w:rPr>
              <w:t>(millions of 2005 $)</w:t>
            </w:r>
          </w:p>
        </w:tc>
      </w:tr>
      <w:tr w:rsidR="003B0815" w14:paraId="202B5602" w14:textId="77777777">
        <w:trPr>
          <w:jc w:val="center"/>
        </w:trPr>
        <w:tc>
          <w:tcPr>
            <w:tcW w:w="1408" w:type="dxa"/>
            <w:tcBorders>
              <w:top w:val="single" w:color="auto" w:sz="12" w:space="0"/>
              <w:left w:val="single" w:color="auto" w:sz="12" w:space="0"/>
            </w:tcBorders>
            <w:vAlign w:val="center"/>
          </w:tcPr>
          <w:p w:rsidR="003B0815" w:rsidRDefault="003B0815" w14:paraId="0DE1FC5F" w14:textId="77777777">
            <w:pPr>
              <w:keepNext/>
              <w:jc w:val="center"/>
              <w:rPr>
                <w:rFonts w:ascii="Arial" w:hAnsi="Arial"/>
                <w:b/>
                <w:sz w:val="20"/>
                <w:szCs w:val="20"/>
              </w:rPr>
            </w:pPr>
            <w:r>
              <w:rPr>
                <w:rFonts w:ascii="Arial" w:hAnsi="Arial"/>
                <w:b/>
                <w:sz w:val="20"/>
                <w:szCs w:val="20"/>
              </w:rPr>
              <w:t>Fiscal</w:t>
            </w:r>
          </w:p>
          <w:p w:rsidR="003B0815" w:rsidRDefault="003B0815" w14:paraId="319B7E16" w14:textId="77777777">
            <w:pPr>
              <w:keepNext/>
              <w:jc w:val="center"/>
              <w:rPr>
                <w:rFonts w:ascii="Arial" w:hAnsi="Arial"/>
                <w:b/>
                <w:sz w:val="20"/>
                <w:szCs w:val="20"/>
              </w:rPr>
            </w:pPr>
            <w:r>
              <w:rPr>
                <w:rFonts w:ascii="Arial" w:hAnsi="Arial"/>
                <w:b/>
                <w:sz w:val="20"/>
                <w:szCs w:val="20"/>
              </w:rPr>
              <w:t>Year</w:t>
            </w:r>
          </w:p>
        </w:tc>
        <w:tc>
          <w:tcPr>
            <w:tcW w:w="1102" w:type="dxa"/>
            <w:tcBorders>
              <w:top w:val="single" w:color="auto" w:sz="12" w:space="0"/>
              <w:bottom w:val="single" w:color="auto" w:sz="4" w:space="0"/>
            </w:tcBorders>
            <w:vAlign w:val="center"/>
          </w:tcPr>
          <w:p w:rsidR="003B0815" w:rsidRDefault="003B0815" w14:paraId="3540E6F6" w14:textId="77777777">
            <w:pPr>
              <w:keepNext/>
              <w:jc w:val="center"/>
              <w:rPr>
                <w:rFonts w:ascii="Arial" w:hAnsi="Arial" w:cs="Arial"/>
                <w:b/>
                <w:bCs/>
                <w:sz w:val="20"/>
                <w:szCs w:val="20"/>
              </w:rPr>
            </w:pPr>
            <w:r>
              <w:rPr>
                <w:rFonts w:ascii="Arial" w:hAnsi="Arial" w:cs="Arial"/>
                <w:b/>
                <w:bCs/>
                <w:sz w:val="20"/>
                <w:szCs w:val="20"/>
              </w:rPr>
              <w:t>Primary</w:t>
            </w:r>
          </w:p>
          <w:p w:rsidR="003B0815" w:rsidRDefault="003B0815" w14:paraId="15E94476" w14:textId="77777777">
            <w:pPr>
              <w:keepNext/>
              <w:jc w:val="center"/>
              <w:rPr>
                <w:rFonts w:ascii="Arial" w:hAnsi="Arial"/>
                <w:b/>
                <w:sz w:val="20"/>
                <w:szCs w:val="20"/>
              </w:rPr>
            </w:pPr>
            <w:r>
              <w:rPr>
                <w:rFonts w:ascii="Arial" w:hAnsi="Arial" w:cs="Arial"/>
                <w:b/>
                <w:bCs/>
                <w:sz w:val="20"/>
                <w:szCs w:val="20"/>
              </w:rPr>
              <w:t>Scenario</w:t>
            </w:r>
          </w:p>
        </w:tc>
        <w:tc>
          <w:tcPr>
            <w:tcW w:w="1080" w:type="dxa"/>
            <w:tcBorders>
              <w:top w:val="single" w:color="auto" w:sz="12" w:space="0"/>
              <w:bottom w:val="single" w:color="auto" w:sz="4" w:space="0"/>
            </w:tcBorders>
            <w:vAlign w:val="center"/>
          </w:tcPr>
          <w:p w:rsidR="003B0815" w:rsidRDefault="003B0815" w14:paraId="30F41538" w14:textId="77777777">
            <w:pPr>
              <w:keepNext/>
              <w:jc w:val="center"/>
              <w:rPr>
                <w:rFonts w:ascii="Arial" w:hAnsi="Arial" w:cs="Arial"/>
                <w:b/>
                <w:bCs/>
                <w:sz w:val="20"/>
                <w:szCs w:val="20"/>
              </w:rPr>
            </w:pPr>
            <w:r>
              <w:rPr>
                <w:rFonts w:ascii="Arial" w:hAnsi="Arial" w:cs="Arial"/>
                <w:b/>
                <w:bCs/>
                <w:sz w:val="20"/>
                <w:szCs w:val="20"/>
              </w:rPr>
              <w:t>Low</w:t>
            </w:r>
          </w:p>
          <w:p w:rsidR="003B0815" w:rsidRDefault="003B0815" w14:paraId="1EDEE195" w14:textId="77777777">
            <w:pPr>
              <w:keepNext/>
              <w:jc w:val="center"/>
              <w:rPr>
                <w:rFonts w:ascii="Arial" w:hAnsi="Arial"/>
                <w:b/>
                <w:sz w:val="20"/>
                <w:szCs w:val="20"/>
              </w:rPr>
            </w:pPr>
            <w:r>
              <w:rPr>
                <w:rFonts w:ascii="Arial" w:hAnsi="Arial" w:cs="Arial"/>
                <w:b/>
                <w:bCs/>
                <w:sz w:val="20"/>
                <w:szCs w:val="20"/>
              </w:rPr>
              <w:t>Scenario</w:t>
            </w:r>
          </w:p>
        </w:tc>
        <w:tc>
          <w:tcPr>
            <w:tcW w:w="1255" w:type="dxa"/>
            <w:tcBorders>
              <w:top w:val="single" w:color="auto" w:sz="12" w:space="0"/>
              <w:bottom w:val="single" w:color="auto" w:sz="4" w:space="0"/>
              <w:right w:val="single" w:color="auto" w:sz="12" w:space="0"/>
            </w:tcBorders>
            <w:vAlign w:val="center"/>
          </w:tcPr>
          <w:p w:rsidR="003B0815" w:rsidRDefault="003B0815" w14:paraId="6780DB9B" w14:textId="77777777">
            <w:pPr>
              <w:keepNext/>
              <w:jc w:val="center"/>
              <w:rPr>
                <w:rFonts w:ascii="Arial" w:hAnsi="Arial" w:cs="Arial"/>
                <w:b/>
                <w:bCs/>
                <w:sz w:val="20"/>
                <w:szCs w:val="20"/>
              </w:rPr>
            </w:pPr>
            <w:r>
              <w:rPr>
                <w:rFonts w:ascii="Arial" w:hAnsi="Arial" w:cs="Arial"/>
                <w:b/>
                <w:bCs/>
                <w:sz w:val="20"/>
                <w:szCs w:val="20"/>
              </w:rPr>
              <w:t>High</w:t>
            </w:r>
          </w:p>
          <w:p w:rsidR="003B0815" w:rsidRDefault="003B0815" w14:paraId="5575B847" w14:textId="77777777">
            <w:pPr>
              <w:keepNext/>
              <w:jc w:val="center"/>
              <w:rPr>
                <w:rFonts w:ascii="Arial" w:hAnsi="Arial"/>
                <w:b/>
                <w:sz w:val="20"/>
                <w:szCs w:val="20"/>
              </w:rPr>
            </w:pPr>
            <w:r>
              <w:rPr>
                <w:rFonts w:ascii="Arial" w:hAnsi="Arial" w:cs="Arial"/>
                <w:b/>
                <w:bCs/>
                <w:sz w:val="20"/>
                <w:szCs w:val="20"/>
              </w:rPr>
              <w:t>Scenario</w:t>
            </w:r>
          </w:p>
        </w:tc>
      </w:tr>
      <w:tr w:rsidR="003B0815" w14:paraId="38788284" w14:textId="77777777">
        <w:trPr>
          <w:jc w:val="center"/>
        </w:trPr>
        <w:tc>
          <w:tcPr>
            <w:tcW w:w="1408" w:type="dxa"/>
            <w:tcBorders>
              <w:left w:val="single" w:color="auto" w:sz="12" w:space="0"/>
            </w:tcBorders>
            <w:vAlign w:val="bottom"/>
          </w:tcPr>
          <w:p w:rsidR="003B0815" w:rsidRDefault="003B0815" w14:paraId="398F58E1" w14:textId="77777777">
            <w:pPr>
              <w:keepNext/>
              <w:jc w:val="center"/>
              <w:rPr>
                <w:rFonts w:ascii="Arial" w:hAnsi="Arial"/>
                <w:sz w:val="20"/>
                <w:szCs w:val="20"/>
              </w:rPr>
            </w:pPr>
            <w:r>
              <w:rPr>
                <w:rFonts w:ascii="Arial" w:hAnsi="Arial"/>
                <w:sz w:val="20"/>
                <w:szCs w:val="20"/>
              </w:rPr>
              <w:t>1</w:t>
            </w:r>
          </w:p>
        </w:tc>
        <w:tc>
          <w:tcPr>
            <w:tcW w:w="1102" w:type="dxa"/>
            <w:shd w:val="clear" w:color="auto" w:fill="CCCCCC"/>
            <w:vAlign w:val="bottom"/>
          </w:tcPr>
          <w:p w:rsidR="003B0815" w:rsidRDefault="003B0815" w14:paraId="4B517486" w14:textId="77777777">
            <w:pPr>
              <w:keepNext/>
              <w:jc w:val="right"/>
              <w:rPr>
                <w:rFonts w:ascii="Arial" w:hAnsi="Arial"/>
                <w:sz w:val="20"/>
                <w:szCs w:val="20"/>
              </w:rPr>
            </w:pPr>
            <w:r>
              <w:rPr>
                <w:rFonts w:ascii="Arial" w:hAnsi="Arial" w:cs="Arial"/>
                <w:sz w:val="20"/>
                <w:szCs w:val="20"/>
              </w:rPr>
              <w:t xml:space="preserve">$56.4 </w:t>
            </w:r>
          </w:p>
        </w:tc>
        <w:tc>
          <w:tcPr>
            <w:tcW w:w="1080" w:type="dxa"/>
            <w:shd w:val="clear" w:color="auto" w:fill="CCCCCC"/>
            <w:vAlign w:val="bottom"/>
          </w:tcPr>
          <w:p w:rsidR="003B0815" w:rsidRDefault="003B0815" w14:paraId="0EF008C8" w14:textId="77777777">
            <w:pPr>
              <w:keepNext/>
              <w:jc w:val="right"/>
              <w:rPr>
                <w:rFonts w:ascii="Arial" w:hAnsi="Arial"/>
                <w:sz w:val="20"/>
                <w:szCs w:val="20"/>
              </w:rPr>
            </w:pPr>
            <w:r>
              <w:rPr>
                <w:rFonts w:ascii="Arial" w:hAnsi="Arial" w:cs="Arial"/>
                <w:sz w:val="20"/>
                <w:szCs w:val="20"/>
              </w:rPr>
              <w:t xml:space="preserve">$50.6 </w:t>
            </w:r>
          </w:p>
        </w:tc>
        <w:tc>
          <w:tcPr>
            <w:tcW w:w="1255" w:type="dxa"/>
            <w:tcBorders>
              <w:right w:val="single" w:color="auto" w:sz="12" w:space="0"/>
            </w:tcBorders>
            <w:shd w:val="clear" w:color="auto" w:fill="CCCCCC"/>
            <w:vAlign w:val="bottom"/>
          </w:tcPr>
          <w:p w:rsidR="003B0815" w:rsidRDefault="003B0815" w14:paraId="298D9ACD" w14:textId="77777777">
            <w:pPr>
              <w:keepNext/>
              <w:jc w:val="right"/>
              <w:rPr>
                <w:rFonts w:ascii="Arial" w:hAnsi="Arial"/>
                <w:sz w:val="20"/>
                <w:szCs w:val="20"/>
              </w:rPr>
            </w:pPr>
            <w:r>
              <w:rPr>
                <w:rFonts w:ascii="Arial" w:hAnsi="Arial" w:cs="Arial"/>
                <w:sz w:val="20"/>
                <w:szCs w:val="20"/>
              </w:rPr>
              <w:t xml:space="preserve">$62.1 </w:t>
            </w:r>
          </w:p>
        </w:tc>
      </w:tr>
      <w:tr w:rsidR="003B0815" w14:paraId="1E55659D" w14:textId="77777777">
        <w:trPr>
          <w:jc w:val="center"/>
        </w:trPr>
        <w:tc>
          <w:tcPr>
            <w:tcW w:w="1408" w:type="dxa"/>
            <w:tcBorders>
              <w:left w:val="single" w:color="auto" w:sz="12" w:space="0"/>
            </w:tcBorders>
            <w:vAlign w:val="bottom"/>
          </w:tcPr>
          <w:p w:rsidR="003B0815" w:rsidRDefault="003B0815" w14:paraId="0233C5D8" w14:textId="77777777">
            <w:pPr>
              <w:keepNext/>
              <w:jc w:val="center"/>
              <w:rPr>
                <w:rFonts w:ascii="Arial" w:hAnsi="Arial"/>
                <w:sz w:val="20"/>
                <w:szCs w:val="20"/>
              </w:rPr>
            </w:pPr>
            <w:r>
              <w:rPr>
                <w:rFonts w:ascii="Arial" w:hAnsi="Arial"/>
                <w:sz w:val="20"/>
                <w:szCs w:val="20"/>
              </w:rPr>
              <w:t>2</w:t>
            </w:r>
          </w:p>
        </w:tc>
        <w:tc>
          <w:tcPr>
            <w:tcW w:w="1102" w:type="dxa"/>
            <w:shd w:val="clear" w:color="auto" w:fill="CCCCCC"/>
            <w:vAlign w:val="bottom"/>
          </w:tcPr>
          <w:p w:rsidR="003B0815" w:rsidRDefault="003B0815" w14:paraId="17399250" w14:textId="77777777">
            <w:pPr>
              <w:keepNext/>
              <w:jc w:val="right"/>
              <w:rPr>
                <w:rFonts w:ascii="Arial" w:hAnsi="Arial"/>
                <w:sz w:val="20"/>
                <w:szCs w:val="20"/>
              </w:rPr>
            </w:pPr>
            <w:r>
              <w:rPr>
                <w:rFonts w:ascii="Arial" w:hAnsi="Arial" w:cs="Arial"/>
                <w:sz w:val="20"/>
                <w:szCs w:val="20"/>
              </w:rPr>
              <w:t xml:space="preserve">58.1 </w:t>
            </w:r>
          </w:p>
        </w:tc>
        <w:tc>
          <w:tcPr>
            <w:tcW w:w="1080" w:type="dxa"/>
            <w:shd w:val="clear" w:color="auto" w:fill="CCCCCC"/>
            <w:vAlign w:val="bottom"/>
          </w:tcPr>
          <w:p w:rsidR="003B0815" w:rsidRDefault="003B0815" w14:paraId="16AECC4D" w14:textId="77777777">
            <w:pPr>
              <w:keepNext/>
              <w:jc w:val="right"/>
              <w:rPr>
                <w:rFonts w:ascii="Arial" w:hAnsi="Arial"/>
                <w:sz w:val="20"/>
                <w:szCs w:val="20"/>
              </w:rPr>
            </w:pPr>
            <w:r>
              <w:rPr>
                <w:rFonts w:ascii="Arial" w:hAnsi="Arial" w:cs="Arial"/>
                <w:sz w:val="20"/>
                <w:szCs w:val="20"/>
              </w:rPr>
              <w:t xml:space="preserve">52.1 </w:t>
            </w:r>
          </w:p>
        </w:tc>
        <w:tc>
          <w:tcPr>
            <w:tcW w:w="1255" w:type="dxa"/>
            <w:tcBorders>
              <w:right w:val="single" w:color="auto" w:sz="12" w:space="0"/>
            </w:tcBorders>
            <w:shd w:val="clear" w:color="auto" w:fill="CCCCCC"/>
            <w:vAlign w:val="bottom"/>
          </w:tcPr>
          <w:p w:rsidR="003B0815" w:rsidRDefault="003B0815" w14:paraId="4AE06A28" w14:textId="77777777">
            <w:pPr>
              <w:keepNext/>
              <w:jc w:val="right"/>
              <w:rPr>
                <w:rFonts w:ascii="Arial" w:hAnsi="Arial"/>
                <w:sz w:val="20"/>
                <w:szCs w:val="20"/>
              </w:rPr>
            </w:pPr>
            <w:r>
              <w:rPr>
                <w:rFonts w:ascii="Arial" w:hAnsi="Arial" w:cs="Arial"/>
                <w:sz w:val="20"/>
                <w:szCs w:val="20"/>
              </w:rPr>
              <w:t xml:space="preserve">64.0 </w:t>
            </w:r>
          </w:p>
        </w:tc>
      </w:tr>
      <w:tr w:rsidR="003B0815" w14:paraId="183B96FF" w14:textId="77777777">
        <w:trPr>
          <w:jc w:val="center"/>
        </w:trPr>
        <w:tc>
          <w:tcPr>
            <w:tcW w:w="1408" w:type="dxa"/>
            <w:tcBorders>
              <w:left w:val="single" w:color="auto" w:sz="12" w:space="0"/>
            </w:tcBorders>
            <w:vAlign w:val="bottom"/>
          </w:tcPr>
          <w:p w:rsidR="003B0815" w:rsidRDefault="003B0815" w14:paraId="4D27ECC9" w14:textId="77777777">
            <w:pPr>
              <w:keepNext/>
              <w:jc w:val="center"/>
              <w:rPr>
                <w:rFonts w:ascii="Arial" w:hAnsi="Arial"/>
                <w:sz w:val="20"/>
                <w:szCs w:val="20"/>
              </w:rPr>
            </w:pPr>
            <w:r>
              <w:rPr>
                <w:rFonts w:ascii="Arial" w:hAnsi="Arial"/>
                <w:sz w:val="20"/>
                <w:szCs w:val="20"/>
              </w:rPr>
              <w:t>3</w:t>
            </w:r>
          </w:p>
        </w:tc>
        <w:tc>
          <w:tcPr>
            <w:tcW w:w="1102" w:type="dxa"/>
            <w:shd w:val="clear" w:color="auto" w:fill="CCCCCC"/>
            <w:vAlign w:val="bottom"/>
          </w:tcPr>
          <w:p w:rsidR="003B0815" w:rsidRDefault="003B0815" w14:paraId="0FB3B011" w14:textId="77777777">
            <w:pPr>
              <w:keepNext/>
              <w:jc w:val="right"/>
              <w:rPr>
                <w:rFonts w:ascii="Arial" w:hAnsi="Arial"/>
                <w:sz w:val="20"/>
                <w:szCs w:val="20"/>
              </w:rPr>
            </w:pPr>
            <w:r>
              <w:rPr>
                <w:rFonts w:ascii="Arial" w:hAnsi="Arial" w:cs="Arial"/>
                <w:sz w:val="20"/>
                <w:szCs w:val="20"/>
              </w:rPr>
              <w:t xml:space="preserve">59.9 </w:t>
            </w:r>
          </w:p>
        </w:tc>
        <w:tc>
          <w:tcPr>
            <w:tcW w:w="1080" w:type="dxa"/>
            <w:shd w:val="clear" w:color="auto" w:fill="CCCCCC"/>
            <w:vAlign w:val="bottom"/>
          </w:tcPr>
          <w:p w:rsidR="003B0815" w:rsidRDefault="003B0815" w14:paraId="7B7635DE" w14:textId="77777777">
            <w:pPr>
              <w:keepNext/>
              <w:jc w:val="right"/>
              <w:rPr>
                <w:rFonts w:ascii="Arial" w:hAnsi="Arial"/>
                <w:sz w:val="20"/>
                <w:szCs w:val="20"/>
              </w:rPr>
            </w:pPr>
            <w:r>
              <w:rPr>
                <w:rFonts w:ascii="Arial" w:hAnsi="Arial" w:cs="Arial"/>
                <w:sz w:val="20"/>
                <w:szCs w:val="20"/>
              </w:rPr>
              <w:t xml:space="preserve">53.8 </w:t>
            </w:r>
          </w:p>
        </w:tc>
        <w:tc>
          <w:tcPr>
            <w:tcW w:w="1255" w:type="dxa"/>
            <w:tcBorders>
              <w:right w:val="single" w:color="auto" w:sz="12" w:space="0"/>
            </w:tcBorders>
            <w:shd w:val="clear" w:color="auto" w:fill="CCCCCC"/>
            <w:vAlign w:val="bottom"/>
          </w:tcPr>
          <w:p w:rsidR="003B0815" w:rsidRDefault="003B0815" w14:paraId="00FD809C" w14:textId="77777777">
            <w:pPr>
              <w:keepNext/>
              <w:jc w:val="right"/>
              <w:rPr>
                <w:rFonts w:ascii="Arial" w:hAnsi="Arial"/>
                <w:sz w:val="20"/>
                <w:szCs w:val="20"/>
              </w:rPr>
            </w:pPr>
            <w:r>
              <w:rPr>
                <w:rFonts w:ascii="Arial" w:hAnsi="Arial" w:cs="Arial"/>
                <w:sz w:val="20"/>
                <w:szCs w:val="20"/>
              </w:rPr>
              <w:t xml:space="preserve">66.0 </w:t>
            </w:r>
          </w:p>
        </w:tc>
      </w:tr>
      <w:tr w:rsidR="003B0815" w14:paraId="15BCFE71" w14:textId="77777777">
        <w:trPr>
          <w:jc w:val="center"/>
        </w:trPr>
        <w:tc>
          <w:tcPr>
            <w:tcW w:w="1408" w:type="dxa"/>
            <w:tcBorders>
              <w:left w:val="single" w:color="auto" w:sz="12" w:space="0"/>
            </w:tcBorders>
            <w:vAlign w:val="bottom"/>
          </w:tcPr>
          <w:p w:rsidR="003B0815" w:rsidRDefault="003B0815" w14:paraId="411C8290" w14:textId="77777777">
            <w:pPr>
              <w:keepNext/>
              <w:jc w:val="center"/>
              <w:rPr>
                <w:rFonts w:ascii="Arial" w:hAnsi="Arial"/>
                <w:sz w:val="20"/>
                <w:szCs w:val="20"/>
              </w:rPr>
            </w:pPr>
            <w:r>
              <w:rPr>
                <w:rFonts w:ascii="Arial" w:hAnsi="Arial"/>
                <w:sz w:val="20"/>
                <w:szCs w:val="20"/>
              </w:rPr>
              <w:t>4</w:t>
            </w:r>
          </w:p>
        </w:tc>
        <w:tc>
          <w:tcPr>
            <w:tcW w:w="1102" w:type="dxa"/>
            <w:shd w:val="clear" w:color="auto" w:fill="CCCCCC"/>
            <w:vAlign w:val="bottom"/>
          </w:tcPr>
          <w:p w:rsidR="003B0815" w:rsidRDefault="003B0815" w14:paraId="7DC9B00E" w14:textId="77777777">
            <w:pPr>
              <w:keepNext/>
              <w:jc w:val="right"/>
              <w:rPr>
                <w:rFonts w:ascii="Arial" w:hAnsi="Arial"/>
                <w:sz w:val="20"/>
                <w:szCs w:val="20"/>
              </w:rPr>
            </w:pPr>
            <w:r>
              <w:rPr>
                <w:rFonts w:ascii="Arial" w:hAnsi="Arial" w:cs="Arial"/>
                <w:sz w:val="20"/>
                <w:szCs w:val="20"/>
              </w:rPr>
              <w:t xml:space="preserve">61.8 </w:t>
            </w:r>
          </w:p>
        </w:tc>
        <w:tc>
          <w:tcPr>
            <w:tcW w:w="1080" w:type="dxa"/>
            <w:shd w:val="clear" w:color="auto" w:fill="CCCCCC"/>
            <w:vAlign w:val="bottom"/>
          </w:tcPr>
          <w:p w:rsidR="003B0815" w:rsidRDefault="003B0815" w14:paraId="3D73F43C" w14:textId="77777777">
            <w:pPr>
              <w:keepNext/>
              <w:jc w:val="right"/>
              <w:rPr>
                <w:rFonts w:ascii="Arial" w:hAnsi="Arial"/>
                <w:sz w:val="20"/>
                <w:szCs w:val="20"/>
              </w:rPr>
            </w:pPr>
            <w:r>
              <w:rPr>
                <w:rFonts w:ascii="Arial" w:hAnsi="Arial" w:cs="Arial"/>
                <w:sz w:val="20"/>
                <w:szCs w:val="20"/>
              </w:rPr>
              <w:t xml:space="preserve">55.5 </w:t>
            </w:r>
          </w:p>
        </w:tc>
        <w:tc>
          <w:tcPr>
            <w:tcW w:w="1255" w:type="dxa"/>
            <w:tcBorders>
              <w:right w:val="single" w:color="auto" w:sz="12" w:space="0"/>
            </w:tcBorders>
            <w:shd w:val="clear" w:color="auto" w:fill="CCCCCC"/>
            <w:vAlign w:val="bottom"/>
          </w:tcPr>
          <w:p w:rsidR="003B0815" w:rsidRDefault="003B0815" w14:paraId="246D720C" w14:textId="77777777">
            <w:pPr>
              <w:keepNext/>
              <w:jc w:val="right"/>
              <w:rPr>
                <w:rFonts w:ascii="Arial" w:hAnsi="Arial"/>
                <w:sz w:val="20"/>
                <w:szCs w:val="20"/>
              </w:rPr>
            </w:pPr>
            <w:r>
              <w:rPr>
                <w:rFonts w:ascii="Arial" w:hAnsi="Arial" w:cs="Arial"/>
                <w:sz w:val="20"/>
                <w:szCs w:val="20"/>
              </w:rPr>
              <w:t xml:space="preserve">68.1 </w:t>
            </w:r>
          </w:p>
        </w:tc>
      </w:tr>
      <w:tr w:rsidR="003B0815" w14:paraId="444A5744" w14:textId="77777777">
        <w:trPr>
          <w:jc w:val="center"/>
        </w:trPr>
        <w:tc>
          <w:tcPr>
            <w:tcW w:w="1408" w:type="dxa"/>
            <w:tcBorders>
              <w:left w:val="single" w:color="auto" w:sz="12" w:space="0"/>
            </w:tcBorders>
            <w:vAlign w:val="bottom"/>
          </w:tcPr>
          <w:p w:rsidR="003B0815" w:rsidRDefault="003B0815" w14:paraId="0E7A04DA" w14:textId="77777777">
            <w:pPr>
              <w:keepNext/>
              <w:jc w:val="center"/>
              <w:rPr>
                <w:rFonts w:ascii="Arial" w:hAnsi="Arial"/>
                <w:sz w:val="20"/>
                <w:szCs w:val="20"/>
              </w:rPr>
            </w:pPr>
            <w:r>
              <w:rPr>
                <w:rFonts w:ascii="Arial" w:hAnsi="Arial"/>
                <w:sz w:val="20"/>
                <w:szCs w:val="20"/>
              </w:rPr>
              <w:t>5</w:t>
            </w:r>
          </w:p>
        </w:tc>
        <w:tc>
          <w:tcPr>
            <w:tcW w:w="1102" w:type="dxa"/>
            <w:shd w:val="clear" w:color="auto" w:fill="CCCCCC"/>
            <w:vAlign w:val="bottom"/>
          </w:tcPr>
          <w:p w:rsidR="003B0815" w:rsidRDefault="003B0815" w14:paraId="7A18E3D4" w14:textId="77777777">
            <w:pPr>
              <w:keepNext/>
              <w:jc w:val="right"/>
              <w:rPr>
                <w:rFonts w:ascii="Arial" w:hAnsi="Arial"/>
                <w:sz w:val="20"/>
                <w:szCs w:val="20"/>
              </w:rPr>
            </w:pPr>
            <w:r>
              <w:rPr>
                <w:rFonts w:ascii="Arial" w:hAnsi="Arial" w:cs="Arial"/>
                <w:sz w:val="20"/>
                <w:szCs w:val="20"/>
              </w:rPr>
              <w:t xml:space="preserve">63.7 </w:t>
            </w:r>
          </w:p>
        </w:tc>
        <w:tc>
          <w:tcPr>
            <w:tcW w:w="1080" w:type="dxa"/>
            <w:shd w:val="clear" w:color="auto" w:fill="CCCCCC"/>
            <w:vAlign w:val="bottom"/>
          </w:tcPr>
          <w:p w:rsidR="003B0815" w:rsidRDefault="003B0815" w14:paraId="27E9248B" w14:textId="77777777">
            <w:pPr>
              <w:keepNext/>
              <w:jc w:val="right"/>
              <w:rPr>
                <w:rFonts w:ascii="Arial" w:hAnsi="Arial"/>
                <w:sz w:val="20"/>
                <w:szCs w:val="20"/>
              </w:rPr>
            </w:pPr>
            <w:r>
              <w:rPr>
                <w:rFonts w:ascii="Arial" w:hAnsi="Arial" w:cs="Arial"/>
                <w:sz w:val="20"/>
                <w:szCs w:val="20"/>
              </w:rPr>
              <w:t xml:space="preserve">57.2 </w:t>
            </w:r>
          </w:p>
        </w:tc>
        <w:tc>
          <w:tcPr>
            <w:tcW w:w="1255" w:type="dxa"/>
            <w:tcBorders>
              <w:right w:val="single" w:color="auto" w:sz="12" w:space="0"/>
            </w:tcBorders>
            <w:shd w:val="clear" w:color="auto" w:fill="CCCCCC"/>
            <w:vAlign w:val="bottom"/>
          </w:tcPr>
          <w:p w:rsidR="003B0815" w:rsidRDefault="003B0815" w14:paraId="362BAAF5" w14:textId="77777777">
            <w:pPr>
              <w:keepNext/>
              <w:jc w:val="right"/>
              <w:rPr>
                <w:rFonts w:ascii="Arial" w:hAnsi="Arial"/>
                <w:sz w:val="20"/>
                <w:szCs w:val="20"/>
              </w:rPr>
            </w:pPr>
            <w:r>
              <w:rPr>
                <w:rFonts w:ascii="Arial" w:hAnsi="Arial" w:cs="Arial"/>
                <w:sz w:val="20"/>
                <w:szCs w:val="20"/>
              </w:rPr>
              <w:t xml:space="preserve">70.2 </w:t>
            </w:r>
          </w:p>
        </w:tc>
      </w:tr>
      <w:tr w:rsidR="003B0815" w14:paraId="0162B275" w14:textId="77777777">
        <w:trPr>
          <w:jc w:val="center"/>
        </w:trPr>
        <w:tc>
          <w:tcPr>
            <w:tcW w:w="1408" w:type="dxa"/>
            <w:tcBorders>
              <w:left w:val="single" w:color="auto" w:sz="12" w:space="0"/>
            </w:tcBorders>
            <w:vAlign w:val="bottom"/>
          </w:tcPr>
          <w:p w:rsidR="003B0815" w:rsidRDefault="003B0815" w14:paraId="73029282" w14:textId="77777777">
            <w:pPr>
              <w:keepNext/>
              <w:jc w:val="center"/>
              <w:rPr>
                <w:rFonts w:ascii="Arial" w:hAnsi="Arial"/>
                <w:sz w:val="20"/>
                <w:szCs w:val="20"/>
              </w:rPr>
            </w:pPr>
            <w:r>
              <w:rPr>
                <w:rFonts w:ascii="Arial" w:hAnsi="Arial"/>
                <w:sz w:val="20"/>
                <w:szCs w:val="20"/>
              </w:rPr>
              <w:t>6</w:t>
            </w:r>
          </w:p>
        </w:tc>
        <w:tc>
          <w:tcPr>
            <w:tcW w:w="1102" w:type="dxa"/>
            <w:shd w:val="clear" w:color="auto" w:fill="CCCCCC"/>
            <w:vAlign w:val="bottom"/>
          </w:tcPr>
          <w:p w:rsidR="003B0815" w:rsidRDefault="003B0815" w14:paraId="44BB7804" w14:textId="77777777">
            <w:pPr>
              <w:keepNext/>
              <w:jc w:val="right"/>
              <w:rPr>
                <w:rFonts w:ascii="Arial" w:hAnsi="Arial"/>
                <w:sz w:val="20"/>
                <w:szCs w:val="20"/>
              </w:rPr>
            </w:pPr>
            <w:r>
              <w:rPr>
                <w:rFonts w:ascii="Arial" w:hAnsi="Arial" w:cs="Arial"/>
                <w:sz w:val="20"/>
                <w:szCs w:val="20"/>
              </w:rPr>
              <w:t xml:space="preserve">65.8 </w:t>
            </w:r>
          </w:p>
        </w:tc>
        <w:tc>
          <w:tcPr>
            <w:tcW w:w="1080" w:type="dxa"/>
            <w:shd w:val="clear" w:color="auto" w:fill="CCCCCC"/>
            <w:vAlign w:val="bottom"/>
          </w:tcPr>
          <w:p w:rsidR="003B0815" w:rsidRDefault="003B0815" w14:paraId="66F815C8" w14:textId="77777777">
            <w:pPr>
              <w:keepNext/>
              <w:jc w:val="right"/>
              <w:rPr>
                <w:rFonts w:ascii="Arial" w:hAnsi="Arial"/>
                <w:sz w:val="20"/>
                <w:szCs w:val="20"/>
              </w:rPr>
            </w:pPr>
            <w:r>
              <w:rPr>
                <w:rFonts w:ascii="Arial" w:hAnsi="Arial" w:cs="Arial"/>
                <w:sz w:val="20"/>
                <w:szCs w:val="20"/>
              </w:rPr>
              <w:t xml:space="preserve">59.0 </w:t>
            </w:r>
          </w:p>
        </w:tc>
        <w:tc>
          <w:tcPr>
            <w:tcW w:w="1255" w:type="dxa"/>
            <w:tcBorders>
              <w:right w:val="single" w:color="auto" w:sz="12" w:space="0"/>
            </w:tcBorders>
            <w:shd w:val="clear" w:color="auto" w:fill="CCCCCC"/>
            <w:vAlign w:val="bottom"/>
          </w:tcPr>
          <w:p w:rsidR="003B0815" w:rsidRDefault="003B0815" w14:paraId="56687BD0" w14:textId="77777777">
            <w:pPr>
              <w:keepNext/>
              <w:jc w:val="right"/>
              <w:rPr>
                <w:rFonts w:ascii="Arial" w:hAnsi="Arial"/>
                <w:sz w:val="20"/>
                <w:szCs w:val="20"/>
              </w:rPr>
            </w:pPr>
            <w:r>
              <w:rPr>
                <w:rFonts w:ascii="Arial" w:hAnsi="Arial" w:cs="Arial"/>
                <w:sz w:val="20"/>
                <w:szCs w:val="20"/>
              </w:rPr>
              <w:t xml:space="preserve">72.5 </w:t>
            </w:r>
          </w:p>
        </w:tc>
      </w:tr>
      <w:tr w:rsidR="003B0815" w14:paraId="74ED1A10" w14:textId="77777777">
        <w:trPr>
          <w:jc w:val="center"/>
        </w:trPr>
        <w:tc>
          <w:tcPr>
            <w:tcW w:w="1408" w:type="dxa"/>
            <w:tcBorders>
              <w:left w:val="single" w:color="auto" w:sz="12" w:space="0"/>
            </w:tcBorders>
            <w:vAlign w:val="bottom"/>
          </w:tcPr>
          <w:p w:rsidR="003B0815" w:rsidRDefault="003B0815" w14:paraId="4264E874" w14:textId="77777777">
            <w:pPr>
              <w:keepNext/>
              <w:jc w:val="center"/>
              <w:rPr>
                <w:rFonts w:ascii="Arial" w:hAnsi="Arial"/>
                <w:sz w:val="20"/>
                <w:szCs w:val="20"/>
              </w:rPr>
            </w:pPr>
            <w:r>
              <w:rPr>
                <w:rFonts w:ascii="Arial" w:hAnsi="Arial"/>
                <w:sz w:val="20"/>
                <w:szCs w:val="20"/>
              </w:rPr>
              <w:t>7</w:t>
            </w:r>
          </w:p>
        </w:tc>
        <w:tc>
          <w:tcPr>
            <w:tcW w:w="1102" w:type="dxa"/>
            <w:shd w:val="clear" w:color="auto" w:fill="CCCCCC"/>
            <w:vAlign w:val="bottom"/>
          </w:tcPr>
          <w:p w:rsidR="003B0815" w:rsidRDefault="003B0815" w14:paraId="34367B97" w14:textId="77777777">
            <w:pPr>
              <w:keepNext/>
              <w:jc w:val="right"/>
              <w:rPr>
                <w:rFonts w:ascii="Arial" w:hAnsi="Arial"/>
                <w:sz w:val="20"/>
                <w:szCs w:val="20"/>
              </w:rPr>
            </w:pPr>
            <w:r>
              <w:rPr>
                <w:rFonts w:ascii="Arial" w:hAnsi="Arial" w:cs="Arial"/>
                <w:sz w:val="20"/>
                <w:szCs w:val="20"/>
              </w:rPr>
              <w:t xml:space="preserve">67.9 </w:t>
            </w:r>
          </w:p>
        </w:tc>
        <w:tc>
          <w:tcPr>
            <w:tcW w:w="1080" w:type="dxa"/>
            <w:shd w:val="clear" w:color="auto" w:fill="CCCCCC"/>
            <w:vAlign w:val="bottom"/>
          </w:tcPr>
          <w:p w:rsidR="003B0815" w:rsidRDefault="003B0815" w14:paraId="29301FCE" w14:textId="77777777">
            <w:pPr>
              <w:keepNext/>
              <w:jc w:val="right"/>
              <w:rPr>
                <w:rFonts w:ascii="Arial" w:hAnsi="Arial"/>
                <w:sz w:val="20"/>
                <w:szCs w:val="20"/>
              </w:rPr>
            </w:pPr>
            <w:r>
              <w:rPr>
                <w:rFonts w:ascii="Arial" w:hAnsi="Arial" w:cs="Arial"/>
                <w:sz w:val="20"/>
                <w:szCs w:val="20"/>
              </w:rPr>
              <w:t xml:space="preserve">60.9 </w:t>
            </w:r>
          </w:p>
        </w:tc>
        <w:tc>
          <w:tcPr>
            <w:tcW w:w="1255" w:type="dxa"/>
            <w:tcBorders>
              <w:right w:val="single" w:color="auto" w:sz="12" w:space="0"/>
            </w:tcBorders>
            <w:shd w:val="clear" w:color="auto" w:fill="CCCCCC"/>
            <w:vAlign w:val="bottom"/>
          </w:tcPr>
          <w:p w:rsidR="003B0815" w:rsidRDefault="003B0815" w14:paraId="3640F468" w14:textId="77777777">
            <w:pPr>
              <w:keepNext/>
              <w:jc w:val="right"/>
              <w:rPr>
                <w:rFonts w:ascii="Arial" w:hAnsi="Arial"/>
                <w:sz w:val="20"/>
                <w:szCs w:val="20"/>
              </w:rPr>
            </w:pPr>
            <w:r>
              <w:rPr>
                <w:rFonts w:ascii="Arial" w:hAnsi="Arial" w:cs="Arial"/>
                <w:sz w:val="20"/>
                <w:szCs w:val="20"/>
              </w:rPr>
              <w:t xml:space="preserve">74.8 </w:t>
            </w:r>
          </w:p>
        </w:tc>
      </w:tr>
      <w:tr w:rsidR="003B0815" w14:paraId="3EB21CE6" w14:textId="77777777">
        <w:trPr>
          <w:jc w:val="center"/>
        </w:trPr>
        <w:tc>
          <w:tcPr>
            <w:tcW w:w="1408" w:type="dxa"/>
            <w:tcBorders>
              <w:left w:val="single" w:color="auto" w:sz="12" w:space="0"/>
            </w:tcBorders>
            <w:vAlign w:val="bottom"/>
          </w:tcPr>
          <w:p w:rsidR="003B0815" w:rsidRDefault="003B0815" w14:paraId="470DC150" w14:textId="77777777">
            <w:pPr>
              <w:keepNext/>
              <w:jc w:val="center"/>
              <w:rPr>
                <w:rFonts w:ascii="Arial" w:hAnsi="Arial"/>
                <w:sz w:val="20"/>
                <w:szCs w:val="20"/>
              </w:rPr>
            </w:pPr>
            <w:r>
              <w:rPr>
                <w:rFonts w:ascii="Arial" w:hAnsi="Arial"/>
                <w:sz w:val="20"/>
                <w:szCs w:val="20"/>
              </w:rPr>
              <w:t>8</w:t>
            </w:r>
          </w:p>
        </w:tc>
        <w:tc>
          <w:tcPr>
            <w:tcW w:w="1102" w:type="dxa"/>
            <w:shd w:val="clear" w:color="auto" w:fill="CCCCCC"/>
            <w:vAlign w:val="bottom"/>
          </w:tcPr>
          <w:p w:rsidR="003B0815" w:rsidRDefault="003B0815" w14:paraId="75BDEA4F" w14:textId="77777777">
            <w:pPr>
              <w:keepNext/>
              <w:jc w:val="right"/>
              <w:rPr>
                <w:rFonts w:ascii="Arial" w:hAnsi="Arial"/>
                <w:sz w:val="20"/>
                <w:szCs w:val="20"/>
              </w:rPr>
            </w:pPr>
            <w:r>
              <w:rPr>
                <w:rFonts w:ascii="Arial" w:hAnsi="Arial" w:cs="Arial"/>
                <w:sz w:val="20"/>
                <w:szCs w:val="20"/>
              </w:rPr>
              <w:t xml:space="preserve">70.1 </w:t>
            </w:r>
          </w:p>
        </w:tc>
        <w:tc>
          <w:tcPr>
            <w:tcW w:w="1080" w:type="dxa"/>
            <w:shd w:val="clear" w:color="auto" w:fill="CCCCCC"/>
            <w:vAlign w:val="bottom"/>
          </w:tcPr>
          <w:p w:rsidR="003B0815" w:rsidRDefault="003B0815" w14:paraId="11D2C726" w14:textId="77777777">
            <w:pPr>
              <w:keepNext/>
              <w:jc w:val="right"/>
              <w:rPr>
                <w:rFonts w:ascii="Arial" w:hAnsi="Arial"/>
                <w:sz w:val="20"/>
                <w:szCs w:val="20"/>
              </w:rPr>
            </w:pPr>
            <w:r>
              <w:rPr>
                <w:rFonts w:ascii="Arial" w:hAnsi="Arial" w:cs="Arial"/>
                <w:sz w:val="20"/>
                <w:szCs w:val="20"/>
              </w:rPr>
              <w:t xml:space="preserve">63.0 </w:t>
            </w:r>
          </w:p>
        </w:tc>
        <w:tc>
          <w:tcPr>
            <w:tcW w:w="1255" w:type="dxa"/>
            <w:tcBorders>
              <w:right w:val="single" w:color="auto" w:sz="12" w:space="0"/>
            </w:tcBorders>
            <w:shd w:val="clear" w:color="auto" w:fill="CCCCCC"/>
            <w:vAlign w:val="bottom"/>
          </w:tcPr>
          <w:p w:rsidR="003B0815" w:rsidRDefault="003B0815" w14:paraId="5E2EA663" w14:textId="77777777">
            <w:pPr>
              <w:keepNext/>
              <w:jc w:val="right"/>
              <w:rPr>
                <w:rFonts w:ascii="Arial" w:hAnsi="Arial"/>
                <w:sz w:val="20"/>
                <w:szCs w:val="20"/>
              </w:rPr>
            </w:pPr>
            <w:r>
              <w:rPr>
                <w:rFonts w:ascii="Arial" w:hAnsi="Arial" w:cs="Arial"/>
                <w:sz w:val="20"/>
                <w:szCs w:val="20"/>
              </w:rPr>
              <w:t xml:space="preserve">77.3 </w:t>
            </w:r>
          </w:p>
        </w:tc>
      </w:tr>
      <w:tr w:rsidR="003B0815" w14:paraId="4C51AAE3" w14:textId="77777777">
        <w:trPr>
          <w:jc w:val="center"/>
        </w:trPr>
        <w:tc>
          <w:tcPr>
            <w:tcW w:w="1408" w:type="dxa"/>
            <w:tcBorders>
              <w:left w:val="single" w:color="auto" w:sz="12" w:space="0"/>
            </w:tcBorders>
            <w:vAlign w:val="bottom"/>
          </w:tcPr>
          <w:p w:rsidR="003B0815" w:rsidRDefault="003B0815" w14:paraId="520B83D6" w14:textId="77777777">
            <w:pPr>
              <w:keepNext/>
              <w:jc w:val="center"/>
              <w:rPr>
                <w:rFonts w:ascii="Arial" w:hAnsi="Arial"/>
                <w:sz w:val="20"/>
                <w:szCs w:val="20"/>
              </w:rPr>
            </w:pPr>
            <w:r>
              <w:rPr>
                <w:rFonts w:ascii="Arial" w:hAnsi="Arial"/>
                <w:sz w:val="20"/>
                <w:szCs w:val="20"/>
              </w:rPr>
              <w:t>9</w:t>
            </w:r>
          </w:p>
        </w:tc>
        <w:tc>
          <w:tcPr>
            <w:tcW w:w="1102" w:type="dxa"/>
            <w:shd w:val="clear" w:color="auto" w:fill="CCCCCC"/>
            <w:vAlign w:val="bottom"/>
          </w:tcPr>
          <w:p w:rsidR="003B0815" w:rsidRDefault="003B0815" w14:paraId="1ECD923E" w14:textId="77777777">
            <w:pPr>
              <w:keepNext/>
              <w:jc w:val="right"/>
              <w:rPr>
                <w:rFonts w:ascii="Arial" w:hAnsi="Arial"/>
                <w:sz w:val="20"/>
                <w:szCs w:val="20"/>
              </w:rPr>
            </w:pPr>
            <w:r>
              <w:rPr>
                <w:rFonts w:ascii="Arial" w:hAnsi="Arial" w:cs="Arial"/>
                <w:sz w:val="20"/>
                <w:szCs w:val="20"/>
              </w:rPr>
              <w:t xml:space="preserve">72.5 </w:t>
            </w:r>
          </w:p>
        </w:tc>
        <w:tc>
          <w:tcPr>
            <w:tcW w:w="1080" w:type="dxa"/>
            <w:shd w:val="clear" w:color="auto" w:fill="CCCCCC"/>
            <w:vAlign w:val="bottom"/>
          </w:tcPr>
          <w:p w:rsidR="003B0815" w:rsidRDefault="003B0815" w14:paraId="4F7024C5" w14:textId="77777777">
            <w:pPr>
              <w:keepNext/>
              <w:jc w:val="right"/>
              <w:rPr>
                <w:rFonts w:ascii="Arial" w:hAnsi="Arial"/>
                <w:sz w:val="20"/>
                <w:szCs w:val="20"/>
              </w:rPr>
            </w:pPr>
            <w:r>
              <w:rPr>
                <w:rFonts w:ascii="Arial" w:hAnsi="Arial" w:cs="Arial"/>
                <w:sz w:val="20"/>
                <w:szCs w:val="20"/>
              </w:rPr>
              <w:t xml:space="preserve">65.1 </w:t>
            </w:r>
          </w:p>
        </w:tc>
        <w:tc>
          <w:tcPr>
            <w:tcW w:w="1255" w:type="dxa"/>
            <w:tcBorders>
              <w:right w:val="single" w:color="auto" w:sz="12" w:space="0"/>
            </w:tcBorders>
            <w:shd w:val="clear" w:color="auto" w:fill="CCCCCC"/>
            <w:vAlign w:val="bottom"/>
          </w:tcPr>
          <w:p w:rsidR="003B0815" w:rsidRDefault="003B0815" w14:paraId="1C3F8803" w14:textId="77777777">
            <w:pPr>
              <w:keepNext/>
              <w:jc w:val="right"/>
              <w:rPr>
                <w:rFonts w:ascii="Arial" w:hAnsi="Arial"/>
                <w:sz w:val="20"/>
                <w:szCs w:val="20"/>
              </w:rPr>
            </w:pPr>
            <w:r>
              <w:rPr>
                <w:rFonts w:ascii="Arial" w:hAnsi="Arial" w:cs="Arial"/>
                <w:sz w:val="20"/>
                <w:szCs w:val="20"/>
              </w:rPr>
              <w:t xml:space="preserve">79.8 </w:t>
            </w:r>
          </w:p>
        </w:tc>
      </w:tr>
      <w:tr w:rsidR="003B0815" w14:paraId="766581A3" w14:textId="77777777">
        <w:trPr>
          <w:jc w:val="center"/>
        </w:trPr>
        <w:tc>
          <w:tcPr>
            <w:tcW w:w="1408" w:type="dxa"/>
            <w:tcBorders>
              <w:left w:val="single" w:color="auto" w:sz="12" w:space="0"/>
              <w:bottom w:val="single" w:color="auto" w:sz="4" w:space="0"/>
            </w:tcBorders>
            <w:vAlign w:val="bottom"/>
          </w:tcPr>
          <w:p w:rsidR="003B0815" w:rsidRDefault="003B0815" w14:paraId="7415B176" w14:textId="77777777">
            <w:pPr>
              <w:keepNext/>
              <w:jc w:val="center"/>
              <w:rPr>
                <w:rFonts w:ascii="Arial" w:hAnsi="Arial"/>
                <w:sz w:val="20"/>
                <w:szCs w:val="20"/>
              </w:rPr>
            </w:pPr>
            <w:r>
              <w:rPr>
                <w:rFonts w:ascii="Arial" w:hAnsi="Arial"/>
                <w:sz w:val="20"/>
                <w:szCs w:val="20"/>
              </w:rPr>
              <w:t>10</w:t>
            </w:r>
          </w:p>
        </w:tc>
        <w:tc>
          <w:tcPr>
            <w:tcW w:w="1102" w:type="dxa"/>
            <w:tcBorders>
              <w:bottom w:val="single" w:color="auto" w:sz="4" w:space="0"/>
            </w:tcBorders>
            <w:shd w:val="clear" w:color="auto" w:fill="CCCCCC"/>
            <w:vAlign w:val="bottom"/>
          </w:tcPr>
          <w:p w:rsidR="003B0815" w:rsidRDefault="003B0815" w14:paraId="7F45E463" w14:textId="77777777">
            <w:pPr>
              <w:keepNext/>
              <w:jc w:val="right"/>
              <w:rPr>
                <w:rFonts w:ascii="Arial" w:hAnsi="Arial"/>
                <w:sz w:val="20"/>
                <w:szCs w:val="20"/>
              </w:rPr>
            </w:pPr>
            <w:r>
              <w:rPr>
                <w:rFonts w:ascii="Arial" w:hAnsi="Arial" w:cs="Arial"/>
                <w:sz w:val="20"/>
                <w:szCs w:val="20"/>
              </w:rPr>
              <w:t xml:space="preserve">$74.9 </w:t>
            </w:r>
          </w:p>
        </w:tc>
        <w:tc>
          <w:tcPr>
            <w:tcW w:w="1080" w:type="dxa"/>
            <w:tcBorders>
              <w:bottom w:val="single" w:color="auto" w:sz="4" w:space="0"/>
            </w:tcBorders>
            <w:shd w:val="clear" w:color="auto" w:fill="CCCCCC"/>
            <w:vAlign w:val="bottom"/>
          </w:tcPr>
          <w:p w:rsidR="003B0815" w:rsidRDefault="003B0815" w14:paraId="3757B927" w14:textId="77777777">
            <w:pPr>
              <w:keepNext/>
              <w:jc w:val="right"/>
              <w:rPr>
                <w:rFonts w:ascii="Arial" w:hAnsi="Arial"/>
                <w:sz w:val="20"/>
                <w:szCs w:val="20"/>
              </w:rPr>
            </w:pPr>
            <w:r>
              <w:rPr>
                <w:rFonts w:ascii="Arial" w:hAnsi="Arial" w:cs="Arial"/>
                <w:sz w:val="20"/>
                <w:szCs w:val="20"/>
              </w:rPr>
              <w:t xml:space="preserve">$67.3 </w:t>
            </w:r>
          </w:p>
        </w:tc>
        <w:tc>
          <w:tcPr>
            <w:tcW w:w="1255" w:type="dxa"/>
            <w:tcBorders>
              <w:bottom w:val="single" w:color="auto" w:sz="4" w:space="0"/>
              <w:right w:val="single" w:color="auto" w:sz="12" w:space="0"/>
            </w:tcBorders>
            <w:shd w:val="clear" w:color="auto" w:fill="CCCCCC"/>
            <w:vAlign w:val="bottom"/>
          </w:tcPr>
          <w:p w:rsidR="003B0815" w:rsidRDefault="003B0815" w14:paraId="3B66EB81" w14:textId="77777777">
            <w:pPr>
              <w:keepNext/>
              <w:jc w:val="right"/>
              <w:rPr>
                <w:rFonts w:ascii="Arial" w:hAnsi="Arial"/>
                <w:sz w:val="20"/>
                <w:szCs w:val="20"/>
              </w:rPr>
            </w:pPr>
            <w:r>
              <w:rPr>
                <w:rFonts w:ascii="Arial" w:hAnsi="Arial" w:cs="Arial"/>
                <w:sz w:val="20"/>
                <w:szCs w:val="20"/>
              </w:rPr>
              <w:t xml:space="preserve">$82.5 </w:t>
            </w:r>
          </w:p>
        </w:tc>
      </w:tr>
      <w:tr w:rsidR="003B0815" w14:paraId="0CC490EA" w14:textId="77777777">
        <w:trPr>
          <w:jc w:val="center"/>
        </w:trPr>
        <w:tc>
          <w:tcPr>
            <w:tcW w:w="1408" w:type="dxa"/>
            <w:tcBorders>
              <w:left w:val="single" w:color="auto" w:sz="12" w:space="0"/>
              <w:bottom w:val="single" w:color="auto" w:sz="12" w:space="0"/>
              <w:right w:val="nil"/>
            </w:tcBorders>
            <w:vAlign w:val="bottom"/>
          </w:tcPr>
          <w:p w:rsidR="003B0815" w:rsidRDefault="003B0815" w14:paraId="2F2B38E3" w14:textId="77777777">
            <w:pPr>
              <w:keepNext/>
              <w:jc w:val="center"/>
              <w:rPr>
                <w:rFonts w:ascii="Arial" w:hAnsi="Arial"/>
                <w:b/>
                <w:sz w:val="20"/>
                <w:szCs w:val="20"/>
              </w:rPr>
            </w:pPr>
            <w:r>
              <w:rPr>
                <w:rFonts w:ascii="Arial" w:hAnsi="Arial"/>
                <w:b/>
                <w:sz w:val="20"/>
                <w:szCs w:val="20"/>
              </w:rPr>
              <w:t>Total</w:t>
            </w:r>
          </w:p>
        </w:tc>
        <w:tc>
          <w:tcPr>
            <w:tcW w:w="1102" w:type="dxa"/>
            <w:tcBorders>
              <w:left w:val="nil"/>
              <w:bottom w:val="single" w:color="auto" w:sz="12" w:space="0"/>
              <w:right w:val="nil"/>
            </w:tcBorders>
            <w:vAlign w:val="bottom"/>
          </w:tcPr>
          <w:p w:rsidR="003B0815" w:rsidRDefault="003B0815" w14:paraId="28321AE2" w14:textId="77777777">
            <w:pPr>
              <w:keepNext/>
              <w:jc w:val="right"/>
              <w:rPr>
                <w:rFonts w:ascii="Arial" w:hAnsi="Arial"/>
                <w:b/>
                <w:sz w:val="20"/>
                <w:szCs w:val="20"/>
              </w:rPr>
            </w:pPr>
            <w:r>
              <w:rPr>
                <w:rFonts w:ascii="Arial" w:hAnsi="Arial" w:cs="Arial"/>
                <w:b/>
                <w:bCs/>
                <w:sz w:val="20"/>
                <w:szCs w:val="20"/>
              </w:rPr>
              <w:t xml:space="preserve">$651.0 </w:t>
            </w:r>
          </w:p>
        </w:tc>
        <w:tc>
          <w:tcPr>
            <w:tcW w:w="1080" w:type="dxa"/>
            <w:tcBorders>
              <w:left w:val="nil"/>
              <w:bottom w:val="single" w:color="auto" w:sz="12" w:space="0"/>
              <w:right w:val="nil"/>
            </w:tcBorders>
            <w:vAlign w:val="bottom"/>
          </w:tcPr>
          <w:p w:rsidR="003B0815" w:rsidRDefault="003B0815" w14:paraId="253E0F58" w14:textId="77777777">
            <w:pPr>
              <w:keepNext/>
              <w:jc w:val="right"/>
              <w:rPr>
                <w:rFonts w:ascii="Arial" w:hAnsi="Arial"/>
                <w:b/>
                <w:sz w:val="20"/>
                <w:szCs w:val="20"/>
              </w:rPr>
            </w:pPr>
            <w:r>
              <w:rPr>
                <w:rFonts w:ascii="Arial" w:hAnsi="Arial" w:cs="Arial"/>
                <w:b/>
                <w:bCs/>
                <w:sz w:val="20"/>
                <w:szCs w:val="20"/>
              </w:rPr>
              <w:t xml:space="preserve">$584.5 </w:t>
            </w:r>
          </w:p>
        </w:tc>
        <w:tc>
          <w:tcPr>
            <w:tcW w:w="1255" w:type="dxa"/>
            <w:tcBorders>
              <w:left w:val="nil"/>
              <w:bottom w:val="single" w:color="auto" w:sz="12" w:space="0"/>
              <w:right w:val="single" w:color="auto" w:sz="12" w:space="0"/>
            </w:tcBorders>
            <w:vAlign w:val="bottom"/>
          </w:tcPr>
          <w:p w:rsidR="003B0815" w:rsidRDefault="003B0815" w14:paraId="58DF6222" w14:textId="77777777">
            <w:pPr>
              <w:keepNext/>
              <w:jc w:val="right"/>
              <w:rPr>
                <w:rFonts w:ascii="Arial" w:hAnsi="Arial"/>
                <w:b/>
                <w:sz w:val="20"/>
                <w:szCs w:val="20"/>
              </w:rPr>
            </w:pPr>
            <w:r>
              <w:rPr>
                <w:rFonts w:ascii="Arial" w:hAnsi="Arial" w:cs="Arial"/>
                <w:b/>
                <w:bCs/>
                <w:sz w:val="20"/>
                <w:szCs w:val="20"/>
              </w:rPr>
              <w:t xml:space="preserve">$717.3 </w:t>
            </w:r>
          </w:p>
        </w:tc>
      </w:tr>
    </w:tbl>
    <w:p w:rsidR="003B0815" w:rsidRDefault="003B0815" w14:paraId="6BF81D53" w14:textId="77777777">
      <w:pPr>
        <w:spacing w:line="360" w:lineRule="auto"/>
        <w:ind w:firstLine="720"/>
      </w:pPr>
    </w:p>
    <w:p w:rsidR="003B0815" w:rsidRDefault="003B0815" w14:paraId="2889DB76" w14:textId="77777777">
      <w:pPr>
        <w:spacing w:line="360" w:lineRule="auto"/>
        <w:ind w:firstLine="720"/>
      </w:pPr>
      <w:r>
        <w:t>The rule requires those passengers whom TSA cannot rule out as a possible match to a name on the TSC’s Selectee or No Fly Lists to provide additional identifying information at the ticket counter.  Persons identified as potential matches to the Selectee list by the automated system are required to provide additional information.  TSA anticipated two principal situations requiring the additional data.</w:t>
      </w:r>
    </w:p>
    <w:p w:rsidR="003B0815" w:rsidRDefault="003B0815" w14:paraId="4BB4FD55" w14:textId="77777777">
      <w:pPr>
        <w:spacing w:line="360" w:lineRule="auto"/>
        <w:ind w:firstLine="720"/>
      </w:pPr>
      <w:r>
        <w:t xml:space="preserve">TSA will screen those passengers based upon the available information, but if the information is insufficient to distinguish them from a name on the Selectee or No Fly List, they are required to provide the information again at the ticket counter or self-serve kiosk </w:t>
      </w:r>
      <w:r>
        <w:rPr>
          <w:szCs w:val="22"/>
        </w:rPr>
        <w:t>that is capable of determining that the identification is a valid verifying identity document (VID), authenticating the VID, and reading and transmitting passenger information from the VID</w:t>
      </w:r>
      <w:r>
        <w:t xml:space="preserve"> before being allowed to access the sterile area.  The ticket agent will communicate additional passenger information to TSA matching analysts to facilitate adjudication of the possible match.  The passenger will not be allowed to receive his or her boarding pass until TSA returns a final decision on the passenger’s status.  In the ideal case where this additional information immediately clears the passenger, TSA estimated this process will take only a matter of seconds.</w:t>
      </w:r>
    </w:p>
    <w:p w:rsidR="003B0815" w:rsidRDefault="003B0815" w14:paraId="796779F2" w14:textId="77777777">
      <w:pPr>
        <w:spacing w:line="360" w:lineRule="auto"/>
        <w:ind w:firstLine="720"/>
      </w:pPr>
      <w:r>
        <w:t>In a second scenario, a small percent of passengers who provide all requested information when making reservations will also encounter a delay at the ticket counter.  This might occur because the information provided is insufficient to distinguish the traveler from a record in the Selectee or No Fly List.  These passengers are required to check-in with a ticket agent at the airport and provide additional identifying information.  As in the previous scenario, the ticket agent will then communicate this information to Secure Flight.  Since these passengers have already provided the requested information, however, receiving a final decision may take longer and could vary considerably from person to person.</w:t>
      </w:r>
    </w:p>
    <w:p w:rsidR="003B0815" w:rsidRDefault="003B0815" w14:paraId="11BE317A" w14:textId="77777777">
      <w:pPr>
        <w:spacing w:line="360" w:lineRule="auto"/>
        <w:ind w:firstLine="720"/>
      </w:pPr>
      <w:r>
        <w:t>At the time of writing, TSA was unable to evaluate the net opportunity cost to travelers required to submit additional information at the ticket counter.  Airlines do not keep a record of either the number of passengers currently required to present additional information at the ticket counter for watch list purposes or the time it takes to clear those passengers.  Without sufficient baseline information, TSA was unable to estimate whether this will impact the number of passengers stopped at the ticket counter.</w:t>
      </w:r>
    </w:p>
    <w:p w:rsidR="003B0815" w:rsidRDefault="003B0815" w14:paraId="487CD2D6" w14:textId="77777777">
      <w:pPr>
        <w:spacing w:line="360" w:lineRule="auto"/>
        <w:ind w:firstLine="720"/>
      </w:pPr>
      <w:r>
        <w:t>Once Secure Flight becomes fully operational and takes over matching from the airlines, the number of passengers required to be stopped at the ticket counter should be reduced.  As TSA develops a list of individuals who have been previously distinguished from persons on the watch lists and more and more passengers provide their Redress Numbers during the reservation process, the improved matching should reduce the percentage of passengers who are required to provide additional information at the ticket counter, particularly over the first three years of implementation.</w:t>
      </w:r>
    </w:p>
    <w:p w:rsidR="003B0815" w:rsidRDefault="003B0815" w14:paraId="77B13A73" w14:textId="77777777">
      <w:pPr>
        <w:spacing w:line="360" w:lineRule="auto"/>
        <w:ind w:firstLine="720"/>
      </w:pPr>
      <w:r>
        <w:t>A further unknown was the net change in the time required to clear passengers.  As already mentioned, airlines do not keep statistics on the time required to clear passengers.  Airlines currently have the discretion to make such decisions with on-site personnel, as in the case of the Ground Security Coordinators.  Secure Flight requires them to await a response from the automated system or Secure Flight intelligence analysts.  TSA had no estimates of how long this process might take.</w:t>
      </w:r>
    </w:p>
    <w:p w:rsidR="003B0815" w:rsidRDefault="003B0815" w14:paraId="651C3E65" w14:textId="77777777">
      <w:pPr>
        <w:spacing w:line="360" w:lineRule="auto"/>
        <w:ind w:firstLine="720"/>
      </w:pPr>
      <w:bookmarkStart w:name="OLE_LINK28" w:id="404"/>
      <w:bookmarkStart w:name="OLE_LINK29" w:id="405"/>
      <w:r>
        <w:t>Finally, the rule allows passengers to file for redress when they believe they have been delayed or denied boarding as a result of the watch list matching process.  TSA estimated a one hour opportunity cost to passengers to submit redress paperwork.  This estimate includes the time to fill out the redress form and to collect the required supporting documents.</w:t>
      </w:r>
      <w:bookmarkEnd w:id="404"/>
      <w:bookmarkEnd w:id="405"/>
    </w:p>
    <w:p w:rsidR="003B0815" w:rsidRDefault="003B0815" w14:paraId="079282D5" w14:textId="77777777">
      <w:pPr>
        <w:spacing w:line="360" w:lineRule="auto"/>
        <w:ind w:firstLine="720"/>
      </w:pPr>
      <w:r>
        <w:t>Passengers will submit their redress information through DHS’ Traveler Redress Inquiry Program.  TSA assumed redress submissions will increase initially due to publicity and passengers seeking to acquire a Redress Number when the Agency announces full implementation of Secure Flight.  As the list of cleared passengers grows and passengers begin to submit their Redress Number to avoid delays associated with watch list matching, the number of redress submissions should decline.</w:t>
      </w:r>
    </w:p>
    <w:p w:rsidR="003B0815" w:rsidRDefault="003B0815" w14:paraId="1AB1EC90" w14:textId="77777777">
      <w:pPr>
        <w:spacing w:line="360" w:lineRule="auto"/>
        <w:ind w:firstLine="720"/>
      </w:pPr>
      <w:r>
        <w:t>As already discussed, based on the numerous criteria that must be met before Secure Flight can become fully operational, TSA was unable to estimate when the described effects will take place.  Further, TSA was unable to quantify the magnitude of the potential reduction in redress submissions.</w:t>
      </w:r>
    </w:p>
    <w:p w:rsidR="003B0815" w:rsidRDefault="003B0815" w14:paraId="36CD1938" w14:textId="77777777">
      <w:pPr>
        <w:keepNext/>
        <w:spacing w:line="360" w:lineRule="auto"/>
        <w:rPr>
          <w:b/>
        </w:rPr>
      </w:pPr>
      <w:r>
        <w:rPr>
          <w:b/>
        </w:rPr>
        <w:t>International Passengers</w:t>
      </w:r>
    </w:p>
    <w:p w:rsidR="003B0815" w:rsidRDefault="003B0815" w14:paraId="754D4911" w14:textId="77777777">
      <w:pPr>
        <w:spacing w:line="360" w:lineRule="auto"/>
        <w:ind w:firstLine="720"/>
      </w:pPr>
      <w:r>
        <w:t xml:space="preserve">Population and timing differences between domestic and international passengers require slightly different discussion and interpretation.  While covered air carriers are required to request full names, dates of birth, genders, and redress numbers from international passengers beginning shortly after the effective date of the rule, Secure Flight will not perform watch list matching for this population until the second phase of Secure Flight implementation.  Further, not all of these costs occur within the </w:t>
      </w:r>
      <w:smartTag w:uri="urn:schemas-microsoft-com:office:smarttags" w:element="country-region">
        <w:smartTag w:uri="urn:schemas-microsoft-com:office:smarttags" w:element="place">
          <w:r>
            <w:t>U.S.</w:t>
          </w:r>
        </w:smartTag>
      </w:smartTag>
      <w:r>
        <w:t xml:space="preserve"> economy.  For instance, a foreign national may make a reservation while on foreign soil.  This transaction does not occur within the </w:t>
      </w:r>
      <w:smartTag w:uri="urn:schemas-microsoft-com:office:smarttags" w:element="country-region">
        <w:smartTag w:uri="urn:schemas-microsoft-com:office:smarttags" w:element="place">
          <w:r>
            <w:t>U.S.</w:t>
          </w:r>
        </w:smartTag>
      </w:smartTag>
      <w:r>
        <w:t xml:space="preserve"> economy.  </w:t>
      </w:r>
      <w:smartTag w:uri="urn:schemas-microsoft-com:office:smarttags" w:element="country-region">
        <w:r>
          <w:t>U.S.</w:t>
        </w:r>
      </w:smartTag>
      <w:r>
        <w:t xml:space="preserve"> citizens’ transactions on </w:t>
      </w:r>
      <w:smartTag w:uri="urn:schemas-microsoft-com:office:smarttags" w:element="country-region">
        <w:r>
          <w:t>U.S.</w:t>
        </w:r>
      </w:smartTag>
      <w:r>
        <w:t xml:space="preserve"> soil do occur within the </w:t>
      </w:r>
      <w:smartTag w:uri="urn:schemas-microsoft-com:office:smarttags" w:element="country-region">
        <w:smartTag w:uri="urn:schemas-microsoft-com:office:smarttags" w:element="place">
          <w:r>
            <w:t>U.S.</w:t>
          </w:r>
        </w:smartTag>
      </w:smartTag>
      <w:r>
        <w:t xml:space="preserve"> economy.  There is a gray area in-between that relies heavily on how activities are attributed to economies.  They can either be attributed by geography (akin to Gross </w:t>
      </w:r>
      <w:r>
        <w:rPr>
          <w:i/>
        </w:rPr>
        <w:t>Domestic</w:t>
      </w:r>
      <w:r>
        <w:t xml:space="preserve"> Product) or by nationality of the economic actor (akin to Gross </w:t>
      </w:r>
      <w:r>
        <w:rPr>
          <w:i/>
        </w:rPr>
        <w:t>National</w:t>
      </w:r>
      <w:r>
        <w:t xml:space="preserve"> Product).  TSA was unable to determine either geography at time of reservation or nationality of international passengers.  Accordingly, all opportunity costs to individuals resulting from the rule are in this analysis, regardless of national economic divisions.</w:t>
      </w:r>
    </w:p>
    <w:p w:rsidR="003B0815" w:rsidRDefault="003B0815" w14:paraId="30F8F535" w14:textId="77777777">
      <w:pPr>
        <w:spacing w:line="360" w:lineRule="auto"/>
        <w:ind w:firstLine="720"/>
      </w:pPr>
      <w:r>
        <w:t xml:space="preserve">Passengers flying to and from the </w:t>
      </w:r>
      <w:smartTag w:uri="urn:schemas-microsoft-com:office:smarttags" w:element="country-region">
        <w:smartTag w:uri="urn:schemas-microsoft-com:office:smarttags" w:element="place">
          <w:r>
            <w:t>U.S.</w:t>
          </w:r>
        </w:smartTag>
      </w:smartTag>
      <w:r>
        <w:t xml:space="preserve"> will spend increased time to provide the additional information for their reservations.  TSA has used the same method to estimate international passenger opportunity costs as it used for domestic passengers.  Accordingly, the primary ten-year marginal opportunity cost to individuals is $157.6 million.  Table 1.6.6.g presents the annual estimates.</w:t>
      </w:r>
    </w:p>
    <w:tbl>
      <w:tblP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31"/>
        <w:gridCol w:w="828"/>
        <w:gridCol w:w="1008"/>
        <w:gridCol w:w="1080"/>
        <w:gridCol w:w="1260"/>
        <w:gridCol w:w="1080"/>
        <w:gridCol w:w="1080"/>
        <w:gridCol w:w="1260"/>
        <w:gridCol w:w="1260"/>
      </w:tblGrid>
      <w:tr w:rsidR="003B0815" w14:paraId="102E2805" w14:textId="77777777">
        <w:trPr>
          <w:jc w:val="center"/>
        </w:trPr>
        <w:tc>
          <w:tcPr>
            <w:tcW w:w="9587" w:type="dxa"/>
            <w:gridSpan w:val="9"/>
            <w:tcBorders>
              <w:top w:val="nil"/>
              <w:left w:val="nil"/>
              <w:bottom w:val="single" w:color="auto" w:sz="12" w:space="0"/>
              <w:right w:val="nil"/>
            </w:tcBorders>
          </w:tcPr>
          <w:p w:rsidR="003B0815" w:rsidRDefault="003B0815" w14:paraId="59E3B89C" w14:textId="77777777">
            <w:pPr>
              <w:pStyle w:val="RegEvalTableHeader"/>
              <w:keepNext/>
            </w:pPr>
            <w:bookmarkStart w:name="_Toc165278407" w:id="406"/>
            <w:bookmarkStart w:name="_Toc174438411" w:id="407"/>
            <w:bookmarkStart w:name="_Toc207109548" w:id="408"/>
            <w:r>
              <w:t xml:space="preserve">Table 1.6.6.g Passenger Reservation </w:t>
            </w:r>
            <w:smartTag w:uri="urn:schemas-microsoft-com:office:smarttags" w:element="place">
              <w:r>
                <w:t>Opportunity</w:t>
              </w:r>
            </w:smartTag>
            <w:r>
              <w:t xml:space="preserve"> Costs, International Passengers (Primary)</w:t>
            </w:r>
            <w:bookmarkEnd w:id="406"/>
            <w:bookmarkEnd w:id="407"/>
            <w:bookmarkEnd w:id="408"/>
          </w:p>
        </w:tc>
      </w:tr>
      <w:tr w:rsidR="003B0815" w14:paraId="50740454" w14:textId="77777777">
        <w:trPr>
          <w:jc w:val="center"/>
        </w:trPr>
        <w:tc>
          <w:tcPr>
            <w:tcW w:w="731" w:type="dxa"/>
            <w:tcBorders>
              <w:top w:val="single" w:color="auto" w:sz="12" w:space="0"/>
              <w:left w:val="single" w:color="auto" w:sz="12" w:space="0"/>
            </w:tcBorders>
            <w:vAlign w:val="center"/>
          </w:tcPr>
          <w:p w:rsidR="003B0815" w:rsidRDefault="003B0815" w14:paraId="55C1F825" w14:textId="77777777">
            <w:pPr>
              <w:keepNext/>
              <w:jc w:val="center"/>
              <w:rPr>
                <w:rFonts w:ascii="Arial" w:hAnsi="Arial"/>
                <w:sz w:val="20"/>
                <w:szCs w:val="20"/>
              </w:rPr>
            </w:pPr>
            <w:r>
              <w:rPr>
                <w:rFonts w:ascii="Arial" w:hAnsi="Arial" w:cs="Arial"/>
                <w:b/>
                <w:bCs/>
                <w:sz w:val="20"/>
                <w:szCs w:val="20"/>
              </w:rPr>
              <w:t>Fiscal Year</w:t>
            </w:r>
          </w:p>
        </w:tc>
        <w:tc>
          <w:tcPr>
            <w:tcW w:w="828" w:type="dxa"/>
            <w:tcBorders>
              <w:top w:val="single" w:color="auto" w:sz="12" w:space="0"/>
            </w:tcBorders>
            <w:vAlign w:val="center"/>
          </w:tcPr>
          <w:p w:rsidR="003B0815" w:rsidRDefault="003B0815" w14:paraId="0D59835A" w14:textId="77777777">
            <w:pPr>
              <w:keepNext/>
              <w:jc w:val="center"/>
              <w:rPr>
                <w:rFonts w:ascii="Arial" w:hAnsi="Arial"/>
                <w:sz w:val="20"/>
                <w:szCs w:val="20"/>
              </w:rPr>
            </w:pPr>
            <w:r>
              <w:rPr>
                <w:rFonts w:ascii="Arial" w:hAnsi="Arial" w:cs="Arial"/>
                <w:b/>
                <w:bCs/>
                <w:sz w:val="20"/>
                <w:szCs w:val="20"/>
              </w:rPr>
              <w:t>Hourly Value of Pass. Time</w:t>
            </w:r>
          </w:p>
        </w:tc>
        <w:tc>
          <w:tcPr>
            <w:tcW w:w="1008" w:type="dxa"/>
            <w:tcBorders>
              <w:top w:val="single" w:color="auto" w:sz="12" w:space="0"/>
            </w:tcBorders>
            <w:vAlign w:val="center"/>
          </w:tcPr>
          <w:p w:rsidR="003B0815" w:rsidRDefault="003B0815" w14:paraId="3E10DA5A" w14:textId="77777777">
            <w:pPr>
              <w:keepNext/>
              <w:jc w:val="center"/>
              <w:rPr>
                <w:rFonts w:ascii="Arial" w:hAnsi="Arial"/>
                <w:sz w:val="20"/>
                <w:szCs w:val="20"/>
              </w:rPr>
            </w:pPr>
            <w:r>
              <w:rPr>
                <w:rFonts w:ascii="Arial" w:hAnsi="Arial" w:cs="Arial"/>
                <w:b/>
                <w:bCs/>
                <w:sz w:val="20"/>
                <w:szCs w:val="20"/>
              </w:rPr>
              <w:t>Number of Offline Bookings (millions)</w:t>
            </w:r>
          </w:p>
        </w:tc>
        <w:tc>
          <w:tcPr>
            <w:tcW w:w="1080" w:type="dxa"/>
            <w:tcBorders>
              <w:top w:val="single" w:color="auto" w:sz="12" w:space="0"/>
            </w:tcBorders>
            <w:vAlign w:val="center"/>
          </w:tcPr>
          <w:p w:rsidR="003B0815" w:rsidRDefault="003B0815" w14:paraId="2795938D"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304A4E6F" w14:textId="77777777">
            <w:pPr>
              <w:keepNext/>
              <w:jc w:val="center"/>
              <w:rPr>
                <w:rFonts w:ascii="Arial" w:hAnsi="Arial"/>
                <w:sz w:val="20"/>
                <w:szCs w:val="20"/>
              </w:rPr>
            </w:pPr>
            <w:r>
              <w:rPr>
                <w:rFonts w:ascii="Arial" w:hAnsi="Arial" w:cs="Arial"/>
                <w:b/>
                <w:bCs/>
                <w:sz w:val="20"/>
                <w:szCs w:val="20"/>
              </w:rPr>
              <w:t xml:space="preserve">Subtotal Offline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080" w:type="dxa"/>
            <w:tcBorders>
              <w:top w:val="single" w:color="auto" w:sz="12" w:space="0"/>
              <w:left w:val="double" w:color="auto" w:sz="4" w:space="0"/>
            </w:tcBorders>
            <w:vAlign w:val="center"/>
          </w:tcPr>
          <w:p w:rsidR="003B0815" w:rsidRDefault="003B0815" w14:paraId="2DAFB35F" w14:textId="77777777">
            <w:pPr>
              <w:keepNext/>
              <w:jc w:val="center"/>
              <w:rPr>
                <w:rFonts w:ascii="Arial" w:hAnsi="Arial" w:cs="Arial"/>
                <w:b/>
                <w:bCs/>
                <w:sz w:val="20"/>
                <w:szCs w:val="20"/>
              </w:rPr>
            </w:pPr>
            <w:r>
              <w:rPr>
                <w:rFonts w:ascii="Arial" w:hAnsi="Arial" w:cs="Arial"/>
                <w:b/>
                <w:bCs/>
                <w:sz w:val="20"/>
                <w:szCs w:val="20"/>
              </w:rPr>
              <w:t>Number of Internet Bookings (millions)</w:t>
            </w:r>
          </w:p>
        </w:tc>
        <w:tc>
          <w:tcPr>
            <w:tcW w:w="1080" w:type="dxa"/>
            <w:tcBorders>
              <w:top w:val="single" w:color="auto" w:sz="12" w:space="0"/>
            </w:tcBorders>
            <w:vAlign w:val="center"/>
          </w:tcPr>
          <w:p w:rsidR="003B0815" w:rsidRDefault="003B0815" w14:paraId="4880FC15"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175390CA" w14:textId="77777777">
            <w:pPr>
              <w:keepNext/>
              <w:jc w:val="center"/>
              <w:rPr>
                <w:rFonts w:ascii="Arial" w:hAnsi="Arial"/>
                <w:sz w:val="20"/>
                <w:szCs w:val="20"/>
              </w:rPr>
            </w:pPr>
            <w:r>
              <w:rPr>
                <w:rFonts w:ascii="Arial" w:hAnsi="Arial" w:cs="Arial"/>
                <w:b/>
                <w:bCs/>
                <w:sz w:val="20"/>
                <w:szCs w:val="20"/>
              </w:rPr>
              <w:t xml:space="preserve">Subtotal Internet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260" w:type="dxa"/>
            <w:tcBorders>
              <w:top w:val="single" w:color="auto" w:sz="12" w:space="0"/>
              <w:left w:val="double" w:color="auto" w:sz="4" w:space="0"/>
              <w:right w:val="single" w:color="auto" w:sz="12" w:space="0"/>
            </w:tcBorders>
            <w:vAlign w:val="center"/>
          </w:tcPr>
          <w:p w:rsidR="003B0815" w:rsidRDefault="003B0815" w14:paraId="7BE66315" w14:textId="77777777">
            <w:pPr>
              <w:keepNext/>
              <w:jc w:val="center"/>
              <w:rPr>
                <w:rFonts w:ascii="Arial" w:hAnsi="Arial"/>
                <w:sz w:val="20"/>
                <w:szCs w:val="20"/>
              </w:rPr>
            </w:pPr>
            <w:r>
              <w:rPr>
                <w:rFonts w:ascii="Arial" w:hAnsi="Arial" w:cs="Arial"/>
                <w:b/>
                <w:bCs/>
                <w:sz w:val="20"/>
                <w:szCs w:val="20"/>
              </w:rPr>
              <w:t xml:space="preserve">Total Booking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(millions)</w:t>
            </w:r>
          </w:p>
        </w:tc>
      </w:tr>
      <w:tr w:rsidR="003B0815" w14:paraId="47AEDE64" w14:textId="77777777">
        <w:trPr>
          <w:jc w:val="center"/>
        </w:trPr>
        <w:tc>
          <w:tcPr>
            <w:tcW w:w="731" w:type="dxa"/>
            <w:tcBorders>
              <w:left w:val="single" w:color="auto" w:sz="12" w:space="0"/>
            </w:tcBorders>
            <w:vAlign w:val="center"/>
          </w:tcPr>
          <w:p w:rsidR="003B0815" w:rsidRDefault="003B0815" w14:paraId="0DD6F358" w14:textId="77777777">
            <w:pPr>
              <w:keepNext/>
              <w:jc w:val="center"/>
              <w:rPr>
                <w:rFonts w:ascii="Arial" w:hAnsi="Arial"/>
                <w:sz w:val="20"/>
                <w:szCs w:val="20"/>
              </w:rPr>
            </w:pPr>
          </w:p>
        </w:tc>
        <w:tc>
          <w:tcPr>
            <w:tcW w:w="828" w:type="dxa"/>
            <w:vAlign w:val="center"/>
          </w:tcPr>
          <w:p w:rsidR="003B0815" w:rsidRDefault="003B0815" w14:paraId="0A422EDE" w14:textId="77777777">
            <w:pPr>
              <w:keepNext/>
              <w:jc w:val="center"/>
              <w:rPr>
                <w:rFonts w:ascii="Arial" w:hAnsi="Arial"/>
                <w:sz w:val="20"/>
                <w:szCs w:val="20"/>
              </w:rPr>
            </w:pPr>
            <w:r>
              <w:rPr>
                <w:rFonts w:ascii="Arial" w:hAnsi="Arial" w:cs="Arial"/>
                <w:b/>
                <w:bCs/>
                <w:sz w:val="20"/>
                <w:szCs w:val="20"/>
              </w:rPr>
              <w:t>(A)</w:t>
            </w:r>
          </w:p>
        </w:tc>
        <w:tc>
          <w:tcPr>
            <w:tcW w:w="1008" w:type="dxa"/>
            <w:vAlign w:val="center"/>
          </w:tcPr>
          <w:p w:rsidR="003B0815" w:rsidRDefault="003B0815" w14:paraId="280CC175"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0C6671EF" w14:textId="77777777">
            <w:pPr>
              <w:keepNext/>
              <w:jc w:val="center"/>
              <w:rPr>
                <w:rFonts w:ascii="Arial" w:hAnsi="Arial"/>
                <w:sz w:val="20"/>
                <w:szCs w:val="20"/>
              </w:rPr>
            </w:pPr>
            <w:r>
              <w:rPr>
                <w:rFonts w:ascii="Arial" w:hAnsi="Arial" w:cs="Arial"/>
                <w:b/>
                <w:bCs/>
                <w:sz w:val="20"/>
                <w:szCs w:val="20"/>
              </w:rPr>
              <w:t>(C)</w:t>
            </w:r>
          </w:p>
        </w:tc>
        <w:tc>
          <w:tcPr>
            <w:tcW w:w="1260" w:type="dxa"/>
            <w:tcBorders>
              <w:bottom w:val="single" w:color="auto" w:sz="4" w:space="0"/>
              <w:right w:val="double" w:color="auto" w:sz="4" w:space="0"/>
            </w:tcBorders>
            <w:vAlign w:val="center"/>
          </w:tcPr>
          <w:p w:rsidR="003B0815" w:rsidRDefault="003B0815" w14:paraId="512D9BCA" w14:textId="77777777">
            <w:pPr>
              <w:keepNext/>
              <w:jc w:val="center"/>
              <w:rPr>
                <w:rFonts w:ascii="Arial" w:hAnsi="Arial" w:cs="Arial"/>
                <w:b/>
                <w:bCs/>
                <w:sz w:val="20"/>
                <w:szCs w:val="20"/>
              </w:rPr>
            </w:pPr>
            <w:r>
              <w:rPr>
                <w:rFonts w:ascii="Arial" w:hAnsi="Arial" w:cs="Arial"/>
                <w:b/>
                <w:bCs/>
                <w:sz w:val="20"/>
                <w:szCs w:val="20"/>
              </w:rPr>
              <w:t>(D) =</w:t>
            </w:r>
          </w:p>
          <w:p w:rsidR="003B0815" w:rsidRDefault="003B0815" w14:paraId="5DBE768A" w14:textId="77777777">
            <w:pPr>
              <w:keepNext/>
              <w:jc w:val="center"/>
              <w:rPr>
                <w:rFonts w:ascii="Arial" w:hAnsi="Arial"/>
                <w:sz w:val="20"/>
                <w:szCs w:val="20"/>
              </w:rPr>
            </w:pPr>
            <w:r>
              <w:rPr>
                <w:rFonts w:ascii="Arial" w:hAnsi="Arial" w:cs="Arial"/>
                <w:b/>
                <w:bCs/>
                <w:sz w:val="20"/>
                <w:szCs w:val="20"/>
              </w:rPr>
              <w:t>A x B x C</w:t>
            </w:r>
          </w:p>
        </w:tc>
        <w:tc>
          <w:tcPr>
            <w:tcW w:w="1080" w:type="dxa"/>
            <w:tcBorders>
              <w:left w:val="double" w:color="auto" w:sz="4" w:space="0"/>
            </w:tcBorders>
            <w:vAlign w:val="center"/>
          </w:tcPr>
          <w:p w:rsidR="003B0815" w:rsidRDefault="003B0815" w14:paraId="6ED66405" w14:textId="77777777">
            <w:pPr>
              <w:keepNext/>
              <w:jc w:val="center"/>
              <w:rPr>
                <w:rFonts w:ascii="Arial" w:hAnsi="Arial"/>
                <w:sz w:val="20"/>
                <w:szCs w:val="20"/>
              </w:rPr>
            </w:pPr>
            <w:r>
              <w:rPr>
                <w:rFonts w:ascii="Arial" w:hAnsi="Arial" w:cs="Arial"/>
                <w:b/>
                <w:bCs/>
                <w:sz w:val="20"/>
                <w:szCs w:val="20"/>
              </w:rPr>
              <w:t>(E)</w:t>
            </w:r>
          </w:p>
        </w:tc>
        <w:tc>
          <w:tcPr>
            <w:tcW w:w="1080" w:type="dxa"/>
            <w:vAlign w:val="center"/>
          </w:tcPr>
          <w:p w:rsidR="003B0815" w:rsidRDefault="003B0815" w14:paraId="31C8167E" w14:textId="77777777">
            <w:pPr>
              <w:keepNext/>
              <w:jc w:val="center"/>
              <w:rPr>
                <w:rFonts w:ascii="Arial" w:hAnsi="Arial"/>
                <w:sz w:val="20"/>
                <w:szCs w:val="20"/>
              </w:rPr>
            </w:pPr>
            <w:r>
              <w:rPr>
                <w:rFonts w:ascii="Arial" w:hAnsi="Arial" w:cs="Arial"/>
                <w:b/>
                <w:bCs/>
                <w:sz w:val="20"/>
                <w:szCs w:val="20"/>
              </w:rPr>
              <w:t>(F)</w:t>
            </w:r>
          </w:p>
        </w:tc>
        <w:tc>
          <w:tcPr>
            <w:tcW w:w="1260" w:type="dxa"/>
            <w:tcBorders>
              <w:bottom w:val="single" w:color="auto" w:sz="4" w:space="0"/>
              <w:right w:val="double" w:color="auto" w:sz="4" w:space="0"/>
            </w:tcBorders>
            <w:vAlign w:val="center"/>
          </w:tcPr>
          <w:p w:rsidR="003B0815" w:rsidRDefault="003B0815" w14:paraId="6413B138" w14:textId="77777777">
            <w:pPr>
              <w:keepNext/>
              <w:jc w:val="center"/>
              <w:rPr>
                <w:rFonts w:ascii="Arial" w:hAnsi="Arial"/>
                <w:sz w:val="20"/>
                <w:szCs w:val="20"/>
              </w:rPr>
            </w:pPr>
            <w:r>
              <w:rPr>
                <w:rFonts w:ascii="Arial" w:hAnsi="Arial" w:cs="Arial"/>
                <w:b/>
                <w:bCs/>
                <w:sz w:val="20"/>
                <w:szCs w:val="20"/>
              </w:rPr>
              <w:t xml:space="preserve">(G) = </w:t>
            </w:r>
            <w:r>
              <w:rPr>
                <w:rFonts w:ascii="Arial" w:hAnsi="Arial" w:cs="Arial"/>
                <w:b/>
                <w:bCs/>
                <w:sz w:val="20"/>
                <w:szCs w:val="20"/>
              </w:rPr>
              <w:br/>
              <w:t>A x E x F</w:t>
            </w:r>
          </w:p>
        </w:tc>
        <w:tc>
          <w:tcPr>
            <w:tcW w:w="1260" w:type="dxa"/>
            <w:tcBorders>
              <w:left w:val="double" w:color="auto" w:sz="4" w:space="0"/>
              <w:bottom w:val="single" w:color="auto" w:sz="4" w:space="0"/>
              <w:right w:val="single" w:color="auto" w:sz="12" w:space="0"/>
            </w:tcBorders>
            <w:vAlign w:val="center"/>
          </w:tcPr>
          <w:p w:rsidR="003B0815" w:rsidRDefault="003B0815" w14:paraId="62829C31" w14:textId="77777777">
            <w:pPr>
              <w:keepNext/>
              <w:jc w:val="center"/>
              <w:rPr>
                <w:rFonts w:ascii="Arial" w:hAnsi="Arial"/>
                <w:sz w:val="20"/>
                <w:szCs w:val="20"/>
              </w:rPr>
            </w:pPr>
            <w:r>
              <w:rPr>
                <w:rFonts w:ascii="Arial" w:hAnsi="Arial" w:cs="Arial"/>
                <w:b/>
                <w:bCs/>
                <w:sz w:val="20"/>
                <w:szCs w:val="20"/>
              </w:rPr>
              <w:t>(H) = D + G</w:t>
            </w:r>
          </w:p>
        </w:tc>
      </w:tr>
      <w:tr w:rsidR="003B0815" w14:paraId="1D20592B" w14:textId="77777777">
        <w:trPr>
          <w:jc w:val="center"/>
        </w:trPr>
        <w:tc>
          <w:tcPr>
            <w:tcW w:w="731" w:type="dxa"/>
            <w:tcBorders>
              <w:left w:val="single" w:color="auto" w:sz="12" w:space="0"/>
            </w:tcBorders>
          </w:tcPr>
          <w:p w:rsidR="003B0815" w:rsidRDefault="003B0815" w14:paraId="1A966CF6" w14:textId="77777777">
            <w:pPr>
              <w:keepNext/>
              <w:jc w:val="center"/>
              <w:rPr>
                <w:rFonts w:ascii="Arial" w:hAnsi="Arial"/>
                <w:sz w:val="20"/>
                <w:szCs w:val="20"/>
              </w:rPr>
            </w:pPr>
            <w:r>
              <w:t>2008</w:t>
            </w:r>
          </w:p>
        </w:tc>
        <w:tc>
          <w:tcPr>
            <w:tcW w:w="828" w:type="dxa"/>
            <w:vAlign w:val="bottom"/>
          </w:tcPr>
          <w:p w:rsidR="003B0815" w:rsidRDefault="003B0815" w14:paraId="17DEC98D"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8E6D1D4" w14:textId="77777777">
            <w:pPr>
              <w:keepNext/>
              <w:jc w:val="right"/>
              <w:rPr>
                <w:rFonts w:ascii="Arial" w:hAnsi="Arial"/>
                <w:sz w:val="20"/>
                <w:szCs w:val="20"/>
              </w:rPr>
            </w:pPr>
            <w:r>
              <w:rPr>
                <w:rFonts w:ascii="Arial" w:hAnsi="Arial" w:cs="Arial"/>
                <w:sz w:val="20"/>
                <w:szCs w:val="20"/>
              </w:rPr>
              <w:t>44.3</w:t>
            </w:r>
          </w:p>
        </w:tc>
        <w:tc>
          <w:tcPr>
            <w:tcW w:w="1080" w:type="dxa"/>
            <w:vAlign w:val="bottom"/>
          </w:tcPr>
          <w:p w:rsidR="003B0815" w:rsidRDefault="003B0815" w14:paraId="2A0CA748"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427A32E6" w14:textId="77777777">
            <w:pPr>
              <w:keepNext/>
              <w:jc w:val="right"/>
              <w:rPr>
                <w:rFonts w:ascii="Arial" w:hAnsi="Arial"/>
                <w:sz w:val="20"/>
                <w:szCs w:val="20"/>
              </w:rPr>
            </w:pPr>
            <w:r>
              <w:rPr>
                <w:rFonts w:ascii="Arial" w:hAnsi="Arial" w:cs="Arial"/>
                <w:sz w:val="20"/>
                <w:szCs w:val="20"/>
              </w:rPr>
              <w:t>$8.9</w:t>
            </w:r>
          </w:p>
        </w:tc>
        <w:tc>
          <w:tcPr>
            <w:tcW w:w="1080" w:type="dxa"/>
            <w:tcBorders>
              <w:left w:val="double" w:color="auto" w:sz="4" w:space="0"/>
            </w:tcBorders>
            <w:vAlign w:val="bottom"/>
          </w:tcPr>
          <w:p w:rsidR="003B0815" w:rsidRDefault="003B0815" w14:paraId="64FF6ECE" w14:textId="77777777">
            <w:pPr>
              <w:keepNext/>
              <w:jc w:val="right"/>
              <w:rPr>
                <w:rFonts w:ascii="Arial" w:hAnsi="Arial"/>
                <w:sz w:val="20"/>
                <w:szCs w:val="20"/>
              </w:rPr>
            </w:pPr>
            <w:r>
              <w:rPr>
                <w:rFonts w:ascii="Arial" w:hAnsi="Arial" w:cs="Arial"/>
                <w:sz w:val="20"/>
                <w:szCs w:val="20"/>
              </w:rPr>
              <w:t>42.6</w:t>
            </w:r>
          </w:p>
        </w:tc>
        <w:tc>
          <w:tcPr>
            <w:tcW w:w="1080" w:type="dxa"/>
            <w:vAlign w:val="bottom"/>
          </w:tcPr>
          <w:p w:rsidR="003B0815" w:rsidRDefault="003B0815" w14:paraId="364AB917"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BAB828A" w14:textId="77777777">
            <w:pPr>
              <w:keepNext/>
              <w:jc w:val="right"/>
              <w:rPr>
                <w:rFonts w:ascii="Arial" w:hAnsi="Arial"/>
                <w:sz w:val="20"/>
                <w:szCs w:val="20"/>
              </w:rPr>
            </w:pPr>
            <w:r>
              <w:rPr>
                <w:rFonts w:ascii="Arial" w:hAnsi="Arial" w:cs="Arial"/>
                <w:sz w:val="20"/>
                <w:szCs w:val="20"/>
              </w:rPr>
              <w:t xml:space="preserve">$3.7 </w:t>
            </w:r>
          </w:p>
        </w:tc>
        <w:tc>
          <w:tcPr>
            <w:tcW w:w="1260" w:type="dxa"/>
            <w:tcBorders>
              <w:left w:val="double" w:color="auto" w:sz="4" w:space="0"/>
              <w:right w:val="single" w:color="auto" w:sz="12" w:space="0"/>
            </w:tcBorders>
            <w:shd w:val="clear" w:color="auto" w:fill="C0C0C0"/>
            <w:vAlign w:val="bottom"/>
          </w:tcPr>
          <w:p w:rsidR="003B0815" w:rsidRDefault="003B0815" w14:paraId="2DBBEA82" w14:textId="77777777">
            <w:pPr>
              <w:keepNext/>
              <w:jc w:val="right"/>
              <w:rPr>
                <w:rFonts w:ascii="Arial" w:hAnsi="Arial"/>
                <w:sz w:val="20"/>
                <w:szCs w:val="20"/>
              </w:rPr>
            </w:pPr>
            <w:r>
              <w:rPr>
                <w:rFonts w:ascii="Arial" w:hAnsi="Arial" w:cs="Arial"/>
                <w:sz w:val="20"/>
                <w:szCs w:val="20"/>
              </w:rPr>
              <w:t xml:space="preserve">$12.6 </w:t>
            </w:r>
          </w:p>
        </w:tc>
      </w:tr>
      <w:tr w:rsidR="003B0815" w14:paraId="5BF90727" w14:textId="77777777">
        <w:trPr>
          <w:jc w:val="center"/>
        </w:trPr>
        <w:tc>
          <w:tcPr>
            <w:tcW w:w="731" w:type="dxa"/>
            <w:tcBorders>
              <w:left w:val="single" w:color="auto" w:sz="12" w:space="0"/>
            </w:tcBorders>
          </w:tcPr>
          <w:p w:rsidR="003B0815" w:rsidRDefault="003B0815" w14:paraId="7D097539" w14:textId="77777777">
            <w:pPr>
              <w:keepNext/>
              <w:jc w:val="center"/>
              <w:rPr>
                <w:rFonts w:ascii="Arial" w:hAnsi="Arial"/>
                <w:sz w:val="20"/>
                <w:szCs w:val="20"/>
              </w:rPr>
            </w:pPr>
            <w:r>
              <w:t>2009</w:t>
            </w:r>
          </w:p>
        </w:tc>
        <w:tc>
          <w:tcPr>
            <w:tcW w:w="828" w:type="dxa"/>
            <w:vAlign w:val="bottom"/>
          </w:tcPr>
          <w:p w:rsidR="003B0815" w:rsidRDefault="003B0815" w14:paraId="6EE30B28"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172FFCB0" w14:textId="77777777">
            <w:pPr>
              <w:keepNext/>
              <w:jc w:val="right"/>
              <w:rPr>
                <w:rFonts w:ascii="Arial" w:hAnsi="Arial"/>
                <w:sz w:val="20"/>
                <w:szCs w:val="20"/>
              </w:rPr>
            </w:pPr>
            <w:r>
              <w:rPr>
                <w:rFonts w:ascii="Arial" w:hAnsi="Arial" w:cs="Arial"/>
                <w:sz w:val="20"/>
                <w:szCs w:val="20"/>
              </w:rPr>
              <w:t>46.5</w:t>
            </w:r>
          </w:p>
        </w:tc>
        <w:tc>
          <w:tcPr>
            <w:tcW w:w="1080" w:type="dxa"/>
            <w:vAlign w:val="bottom"/>
          </w:tcPr>
          <w:p w:rsidR="003B0815" w:rsidRDefault="003B0815" w14:paraId="26FDA8DB"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6C43A6E2" w14:textId="77777777">
            <w:pPr>
              <w:keepNext/>
              <w:jc w:val="right"/>
              <w:rPr>
                <w:rFonts w:ascii="Arial" w:hAnsi="Arial"/>
                <w:sz w:val="20"/>
                <w:szCs w:val="20"/>
              </w:rPr>
            </w:pPr>
            <w:r>
              <w:rPr>
                <w:rFonts w:ascii="Arial" w:hAnsi="Arial" w:cs="Arial"/>
                <w:sz w:val="20"/>
                <w:szCs w:val="20"/>
              </w:rPr>
              <w:t>9.3</w:t>
            </w:r>
          </w:p>
        </w:tc>
        <w:tc>
          <w:tcPr>
            <w:tcW w:w="1080" w:type="dxa"/>
            <w:tcBorders>
              <w:left w:val="double" w:color="auto" w:sz="4" w:space="0"/>
            </w:tcBorders>
            <w:vAlign w:val="bottom"/>
          </w:tcPr>
          <w:p w:rsidR="003B0815" w:rsidRDefault="003B0815" w14:paraId="7A661752" w14:textId="77777777">
            <w:pPr>
              <w:keepNext/>
              <w:jc w:val="right"/>
              <w:rPr>
                <w:rFonts w:ascii="Arial" w:hAnsi="Arial"/>
                <w:sz w:val="20"/>
                <w:szCs w:val="20"/>
              </w:rPr>
            </w:pPr>
            <w:r>
              <w:rPr>
                <w:rFonts w:ascii="Arial" w:hAnsi="Arial" w:cs="Arial"/>
                <w:sz w:val="20"/>
                <w:szCs w:val="20"/>
              </w:rPr>
              <w:t>44.7</w:t>
            </w:r>
          </w:p>
        </w:tc>
        <w:tc>
          <w:tcPr>
            <w:tcW w:w="1080" w:type="dxa"/>
            <w:vAlign w:val="bottom"/>
          </w:tcPr>
          <w:p w:rsidR="003B0815" w:rsidRDefault="003B0815" w14:paraId="3999A24B"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55F3FAAD" w14:textId="77777777">
            <w:pPr>
              <w:keepNext/>
              <w:jc w:val="right"/>
              <w:rPr>
                <w:rFonts w:ascii="Arial" w:hAnsi="Arial"/>
                <w:sz w:val="20"/>
                <w:szCs w:val="20"/>
              </w:rPr>
            </w:pPr>
            <w:r>
              <w:rPr>
                <w:rFonts w:ascii="Arial" w:hAnsi="Arial" w:cs="Arial"/>
                <w:sz w:val="20"/>
                <w:szCs w:val="20"/>
              </w:rPr>
              <w:t xml:space="preserve">3.8 </w:t>
            </w:r>
          </w:p>
        </w:tc>
        <w:tc>
          <w:tcPr>
            <w:tcW w:w="1260" w:type="dxa"/>
            <w:tcBorders>
              <w:left w:val="double" w:color="auto" w:sz="4" w:space="0"/>
              <w:right w:val="single" w:color="auto" w:sz="12" w:space="0"/>
            </w:tcBorders>
            <w:shd w:val="clear" w:color="auto" w:fill="C0C0C0"/>
            <w:vAlign w:val="bottom"/>
          </w:tcPr>
          <w:p w:rsidR="003B0815" w:rsidRDefault="003B0815" w14:paraId="0BE49A1D" w14:textId="77777777">
            <w:pPr>
              <w:keepNext/>
              <w:jc w:val="right"/>
              <w:rPr>
                <w:rFonts w:ascii="Arial" w:hAnsi="Arial"/>
                <w:sz w:val="20"/>
                <w:szCs w:val="20"/>
              </w:rPr>
            </w:pPr>
            <w:r>
              <w:rPr>
                <w:rFonts w:ascii="Arial" w:hAnsi="Arial" w:cs="Arial"/>
                <w:sz w:val="20"/>
                <w:szCs w:val="20"/>
              </w:rPr>
              <w:t xml:space="preserve">13.1 </w:t>
            </w:r>
          </w:p>
        </w:tc>
      </w:tr>
      <w:tr w:rsidR="003B0815" w14:paraId="2451474C" w14:textId="77777777">
        <w:trPr>
          <w:jc w:val="center"/>
        </w:trPr>
        <w:tc>
          <w:tcPr>
            <w:tcW w:w="731" w:type="dxa"/>
            <w:tcBorders>
              <w:left w:val="single" w:color="auto" w:sz="12" w:space="0"/>
            </w:tcBorders>
          </w:tcPr>
          <w:p w:rsidR="003B0815" w:rsidRDefault="003B0815" w14:paraId="7B943AFB" w14:textId="77777777">
            <w:pPr>
              <w:keepNext/>
              <w:jc w:val="center"/>
              <w:rPr>
                <w:rFonts w:ascii="Arial" w:hAnsi="Arial"/>
                <w:sz w:val="20"/>
                <w:szCs w:val="20"/>
              </w:rPr>
            </w:pPr>
            <w:r>
              <w:t>2010</w:t>
            </w:r>
          </w:p>
        </w:tc>
        <w:tc>
          <w:tcPr>
            <w:tcW w:w="828" w:type="dxa"/>
            <w:vAlign w:val="bottom"/>
          </w:tcPr>
          <w:p w:rsidR="003B0815" w:rsidRDefault="003B0815" w14:paraId="00A7AAE5"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B53C279" w14:textId="77777777">
            <w:pPr>
              <w:keepNext/>
              <w:jc w:val="right"/>
              <w:rPr>
                <w:rFonts w:ascii="Arial" w:hAnsi="Arial"/>
                <w:sz w:val="20"/>
                <w:szCs w:val="20"/>
              </w:rPr>
            </w:pPr>
            <w:r>
              <w:rPr>
                <w:rFonts w:ascii="Arial" w:hAnsi="Arial" w:cs="Arial"/>
                <w:sz w:val="20"/>
                <w:szCs w:val="20"/>
              </w:rPr>
              <w:t>48.9</w:t>
            </w:r>
          </w:p>
        </w:tc>
        <w:tc>
          <w:tcPr>
            <w:tcW w:w="1080" w:type="dxa"/>
            <w:vAlign w:val="bottom"/>
          </w:tcPr>
          <w:p w:rsidR="003B0815" w:rsidRDefault="003B0815" w14:paraId="1758670A"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3575A9B9" w14:textId="77777777">
            <w:pPr>
              <w:keepNext/>
              <w:jc w:val="right"/>
              <w:rPr>
                <w:rFonts w:ascii="Arial" w:hAnsi="Arial"/>
                <w:sz w:val="20"/>
                <w:szCs w:val="20"/>
              </w:rPr>
            </w:pPr>
            <w:r>
              <w:rPr>
                <w:rFonts w:ascii="Arial" w:hAnsi="Arial" w:cs="Arial"/>
                <w:sz w:val="20"/>
                <w:szCs w:val="20"/>
              </w:rPr>
              <w:t>9.7</w:t>
            </w:r>
          </w:p>
        </w:tc>
        <w:tc>
          <w:tcPr>
            <w:tcW w:w="1080" w:type="dxa"/>
            <w:tcBorders>
              <w:left w:val="double" w:color="auto" w:sz="4" w:space="0"/>
            </w:tcBorders>
            <w:vAlign w:val="bottom"/>
          </w:tcPr>
          <w:p w:rsidR="003B0815" w:rsidRDefault="003B0815" w14:paraId="7DFCF5CB" w14:textId="77777777">
            <w:pPr>
              <w:keepNext/>
              <w:jc w:val="right"/>
              <w:rPr>
                <w:rFonts w:ascii="Arial" w:hAnsi="Arial"/>
                <w:sz w:val="20"/>
                <w:szCs w:val="20"/>
              </w:rPr>
            </w:pPr>
            <w:r>
              <w:rPr>
                <w:rFonts w:ascii="Arial" w:hAnsi="Arial" w:cs="Arial"/>
                <w:sz w:val="20"/>
                <w:szCs w:val="20"/>
              </w:rPr>
              <w:t>47.0</w:t>
            </w:r>
          </w:p>
        </w:tc>
        <w:tc>
          <w:tcPr>
            <w:tcW w:w="1080" w:type="dxa"/>
            <w:vAlign w:val="bottom"/>
          </w:tcPr>
          <w:p w:rsidR="003B0815" w:rsidRDefault="003B0815" w14:paraId="6C6E79E9"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547C193" w14:textId="77777777">
            <w:pPr>
              <w:keepNext/>
              <w:jc w:val="right"/>
              <w:rPr>
                <w:rFonts w:ascii="Arial" w:hAnsi="Arial"/>
                <w:sz w:val="20"/>
                <w:szCs w:val="20"/>
              </w:rPr>
            </w:pPr>
            <w:r>
              <w:rPr>
                <w:rFonts w:ascii="Arial" w:hAnsi="Arial" w:cs="Arial"/>
                <w:sz w:val="20"/>
                <w:szCs w:val="20"/>
              </w:rPr>
              <w:t xml:space="preserve">4.0 </w:t>
            </w:r>
          </w:p>
        </w:tc>
        <w:tc>
          <w:tcPr>
            <w:tcW w:w="1260" w:type="dxa"/>
            <w:tcBorders>
              <w:left w:val="double" w:color="auto" w:sz="4" w:space="0"/>
              <w:right w:val="single" w:color="auto" w:sz="12" w:space="0"/>
            </w:tcBorders>
            <w:shd w:val="clear" w:color="auto" w:fill="C0C0C0"/>
            <w:vAlign w:val="bottom"/>
          </w:tcPr>
          <w:p w:rsidR="003B0815" w:rsidRDefault="003B0815" w14:paraId="0CDA0DD4" w14:textId="77777777">
            <w:pPr>
              <w:keepNext/>
              <w:jc w:val="right"/>
              <w:rPr>
                <w:rFonts w:ascii="Arial" w:hAnsi="Arial"/>
                <w:sz w:val="20"/>
                <w:szCs w:val="20"/>
              </w:rPr>
            </w:pPr>
            <w:r>
              <w:rPr>
                <w:rFonts w:ascii="Arial" w:hAnsi="Arial" w:cs="Arial"/>
                <w:sz w:val="20"/>
                <w:szCs w:val="20"/>
              </w:rPr>
              <w:t xml:space="preserve">13.7 </w:t>
            </w:r>
          </w:p>
        </w:tc>
      </w:tr>
      <w:tr w:rsidR="003B0815" w14:paraId="68E5E430" w14:textId="77777777">
        <w:trPr>
          <w:jc w:val="center"/>
        </w:trPr>
        <w:tc>
          <w:tcPr>
            <w:tcW w:w="731" w:type="dxa"/>
            <w:tcBorders>
              <w:left w:val="single" w:color="auto" w:sz="12" w:space="0"/>
            </w:tcBorders>
          </w:tcPr>
          <w:p w:rsidR="003B0815" w:rsidRDefault="003B0815" w14:paraId="5D28FACF" w14:textId="77777777">
            <w:pPr>
              <w:keepNext/>
              <w:jc w:val="center"/>
              <w:rPr>
                <w:rFonts w:ascii="Arial" w:hAnsi="Arial"/>
                <w:sz w:val="20"/>
                <w:szCs w:val="20"/>
              </w:rPr>
            </w:pPr>
            <w:r>
              <w:t>2011</w:t>
            </w:r>
          </w:p>
        </w:tc>
        <w:tc>
          <w:tcPr>
            <w:tcW w:w="828" w:type="dxa"/>
            <w:vAlign w:val="bottom"/>
          </w:tcPr>
          <w:p w:rsidR="003B0815" w:rsidRDefault="003B0815" w14:paraId="082ACCFD"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6D06CE10" w14:textId="77777777">
            <w:pPr>
              <w:keepNext/>
              <w:jc w:val="right"/>
              <w:rPr>
                <w:rFonts w:ascii="Arial" w:hAnsi="Arial"/>
                <w:sz w:val="20"/>
                <w:szCs w:val="20"/>
              </w:rPr>
            </w:pPr>
            <w:r>
              <w:rPr>
                <w:rFonts w:ascii="Arial" w:hAnsi="Arial" w:cs="Arial"/>
                <w:sz w:val="20"/>
                <w:szCs w:val="20"/>
              </w:rPr>
              <w:t>51.4</w:t>
            </w:r>
          </w:p>
        </w:tc>
        <w:tc>
          <w:tcPr>
            <w:tcW w:w="1080" w:type="dxa"/>
            <w:vAlign w:val="bottom"/>
          </w:tcPr>
          <w:p w:rsidR="003B0815" w:rsidRDefault="003B0815" w14:paraId="391C38F2"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0AC15C95" w14:textId="77777777">
            <w:pPr>
              <w:keepNext/>
              <w:jc w:val="right"/>
              <w:rPr>
                <w:rFonts w:ascii="Arial" w:hAnsi="Arial"/>
                <w:sz w:val="20"/>
                <w:szCs w:val="20"/>
              </w:rPr>
            </w:pPr>
            <w:r>
              <w:rPr>
                <w:rFonts w:ascii="Arial" w:hAnsi="Arial" w:cs="Arial"/>
                <w:sz w:val="20"/>
                <w:szCs w:val="20"/>
              </w:rPr>
              <w:t>10.3</w:t>
            </w:r>
          </w:p>
        </w:tc>
        <w:tc>
          <w:tcPr>
            <w:tcW w:w="1080" w:type="dxa"/>
            <w:tcBorders>
              <w:left w:val="double" w:color="auto" w:sz="4" w:space="0"/>
            </w:tcBorders>
            <w:vAlign w:val="bottom"/>
          </w:tcPr>
          <w:p w:rsidR="003B0815" w:rsidRDefault="003B0815" w14:paraId="37096A3D" w14:textId="77777777">
            <w:pPr>
              <w:keepNext/>
              <w:jc w:val="right"/>
              <w:rPr>
                <w:rFonts w:ascii="Arial" w:hAnsi="Arial"/>
                <w:sz w:val="20"/>
                <w:szCs w:val="20"/>
              </w:rPr>
            </w:pPr>
            <w:r>
              <w:rPr>
                <w:rFonts w:ascii="Arial" w:hAnsi="Arial" w:cs="Arial"/>
                <w:sz w:val="20"/>
                <w:szCs w:val="20"/>
              </w:rPr>
              <w:t>49.3</w:t>
            </w:r>
          </w:p>
        </w:tc>
        <w:tc>
          <w:tcPr>
            <w:tcW w:w="1080" w:type="dxa"/>
            <w:vAlign w:val="bottom"/>
          </w:tcPr>
          <w:p w:rsidR="003B0815" w:rsidRDefault="003B0815" w14:paraId="7F3D8325"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75DD0C3D" w14:textId="77777777">
            <w:pPr>
              <w:keepNext/>
              <w:jc w:val="right"/>
              <w:rPr>
                <w:rFonts w:ascii="Arial" w:hAnsi="Arial"/>
                <w:sz w:val="20"/>
                <w:szCs w:val="20"/>
              </w:rPr>
            </w:pPr>
            <w:r>
              <w:rPr>
                <w:rFonts w:ascii="Arial" w:hAnsi="Arial" w:cs="Arial"/>
                <w:sz w:val="20"/>
                <w:szCs w:val="20"/>
              </w:rPr>
              <w:t xml:space="preserve">4.2 </w:t>
            </w:r>
          </w:p>
        </w:tc>
        <w:tc>
          <w:tcPr>
            <w:tcW w:w="1260" w:type="dxa"/>
            <w:tcBorders>
              <w:left w:val="double" w:color="auto" w:sz="4" w:space="0"/>
              <w:right w:val="single" w:color="auto" w:sz="12" w:space="0"/>
            </w:tcBorders>
            <w:shd w:val="clear" w:color="auto" w:fill="C0C0C0"/>
            <w:vAlign w:val="bottom"/>
          </w:tcPr>
          <w:p w:rsidR="003B0815" w:rsidRDefault="003B0815" w14:paraId="3C2B6C48" w14:textId="77777777">
            <w:pPr>
              <w:keepNext/>
              <w:jc w:val="right"/>
              <w:rPr>
                <w:rFonts w:ascii="Arial" w:hAnsi="Arial"/>
                <w:sz w:val="20"/>
                <w:szCs w:val="20"/>
              </w:rPr>
            </w:pPr>
            <w:r>
              <w:rPr>
                <w:rFonts w:ascii="Arial" w:hAnsi="Arial" w:cs="Arial"/>
                <w:sz w:val="20"/>
                <w:szCs w:val="20"/>
              </w:rPr>
              <w:t xml:space="preserve">14.5 </w:t>
            </w:r>
          </w:p>
        </w:tc>
      </w:tr>
      <w:tr w:rsidR="003B0815" w14:paraId="722EAFEB" w14:textId="77777777">
        <w:trPr>
          <w:jc w:val="center"/>
        </w:trPr>
        <w:tc>
          <w:tcPr>
            <w:tcW w:w="731" w:type="dxa"/>
            <w:tcBorders>
              <w:left w:val="single" w:color="auto" w:sz="12" w:space="0"/>
            </w:tcBorders>
          </w:tcPr>
          <w:p w:rsidR="003B0815" w:rsidRDefault="003B0815" w14:paraId="56700411" w14:textId="77777777">
            <w:pPr>
              <w:keepNext/>
              <w:jc w:val="center"/>
              <w:rPr>
                <w:rFonts w:ascii="Arial" w:hAnsi="Arial"/>
                <w:sz w:val="20"/>
                <w:szCs w:val="20"/>
              </w:rPr>
            </w:pPr>
            <w:r>
              <w:t>2012</w:t>
            </w:r>
          </w:p>
        </w:tc>
        <w:tc>
          <w:tcPr>
            <w:tcW w:w="828" w:type="dxa"/>
            <w:vAlign w:val="bottom"/>
          </w:tcPr>
          <w:p w:rsidR="003B0815" w:rsidRDefault="003B0815" w14:paraId="2258D8F8"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45885EEF" w14:textId="77777777">
            <w:pPr>
              <w:keepNext/>
              <w:jc w:val="right"/>
              <w:rPr>
                <w:rFonts w:ascii="Arial" w:hAnsi="Arial"/>
                <w:sz w:val="20"/>
                <w:szCs w:val="20"/>
              </w:rPr>
            </w:pPr>
            <w:r>
              <w:rPr>
                <w:rFonts w:ascii="Arial" w:hAnsi="Arial" w:cs="Arial"/>
                <w:sz w:val="20"/>
                <w:szCs w:val="20"/>
              </w:rPr>
              <w:t>53.9</w:t>
            </w:r>
          </w:p>
        </w:tc>
        <w:tc>
          <w:tcPr>
            <w:tcW w:w="1080" w:type="dxa"/>
            <w:vAlign w:val="bottom"/>
          </w:tcPr>
          <w:p w:rsidR="003B0815" w:rsidRDefault="003B0815" w14:paraId="1BAEE38C"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1F5C3AD8" w14:textId="77777777">
            <w:pPr>
              <w:keepNext/>
              <w:jc w:val="right"/>
              <w:rPr>
                <w:rFonts w:ascii="Arial" w:hAnsi="Arial"/>
                <w:sz w:val="20"/>
                <w:szCs w:val="20"/>
              </w:rPr>
            </w:pPr>
            <w:r>
              <w:rPr>
                <w:rFonts w:ascii="Arial" w:hAnsi="Arial" w:cs="Arial"/>
                <w:sz w:val="20"/>
                <w:szCs w:val="20"/>
              </w:rPr>
              <w:t>10.8</w:t>
            </w:r>
          </w:p>
        </w:tc>
        <w:tc>
          <w:tcPr>
            <w:tcW w:w="1080" w:type="dxa"/>
            <w:tcBorders>
              <w:left w:val="double" w:color="auto" w:sz="4" w:space="0"/>
            </w:tcBorders>
            <w:vAlign w:val="bottom"/>
          </w:tcPr>
          <w:p w:rsidR="003B0815" w:rsidRDefault="003B0815" w14:paraId="304A20CC" w14:textId="77777777">
            <w:pPr>
              <w:keepNext/>
              <w:jc w:val="right"/>
              <w:rPr>
                <w:rFonts w:ascii="Arial" w:hAnsi="Arial"/>
                <w:sz w:val="20"/>
                <w:szCs w:val="20"/>
              </w:rPr>
            </w:pPr>
            <w:r>
              <w:rPr>
                <w:rFonts w:ascii="Arial" w:hAnsi="Arial" w:cs="Arial"/>
                <w:sz w:val="20"/>
                <w:szCs w:val="20"/>
              </w:rPr>
              <w:t>51.8</w:t>
            </w:r>
          </w:p>
        </w:tc>
        <w:tc>
          <w:tcPr>
            <w:tcW w:w="1080" w:type="dxa"/>
            <w:vAlign w:val="bottom"/>
          </w:tcPr>
          <w:p w:rsidR="003B0815" w:rsidRDefault="003B0815" w14:paraId="26D91205"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70951079" w14:textId="77777777">
            <w:pPr>
              <w:keepNext/>
              <w:jc w:val="right"/>
              <w:rPr>
                <w:rFonts w:ascii="Arial" w:hAnsi="Arial"/>
                <w:sz w:val="20"/>
                <w:szCs w:val="20"/>
              </w:rPr>
            </w:pPr>
            <w:r>
              <w:rPr>
                <w:rFonts w:ascii="Arial" w:hAnsi="Arial" w:cs="Arial"/>
                <w:sz w:val="20"/>
                <w:szCs w:val="20"/>
              </w:rPr>
              <w:t xml:space="preserve">4.5 </w:t>
            </w:r>
          </w:p>
        </w:tc>
        <w:tc>
          <w:tcPr>
            <w:tcW w:w="1260" w:type="dxa"/>
            <w:tcBorders>
              <w:left w:val="double" w:color="auto" w:sz="4" w:space="0"/>
              <w:right w:val="single" w:color="auto" w:sz="12" w:space="0"/>
            </w:tcBorders>
            <w:shd w:val="clear" w:color="auto" w:fill="C0C0C0"/>
            <w:vAlign w:val="bottom"/>
          </w:tcPr>
          <w:p w:rsidR="003B0815" w:rsidRDefault="003B0815" w14:paraId="21A5D6D0" w14:textId="77777777">
            <w:pPr>
              <w:keepNext/>
              <w:jc w:val="right"/>
              <w:rPr>
                <w:rFonts w:ascii="Arial" w:hAnsi="Arial"/>
                <w:sz w:val="20"/>
                <w:szCs w:val="20"/>
              </w:rPr>
            </w:pPr>
            <w:r>
              <w:rPr>
                <w:rFonts w:ascii="Arial" w:hAnsi="Arial" w:cs="Arial"/>
                <w:sz w:val="20"/>
                <w:szCs w:val="20"/>
              </w:rPr>
              <w:t xml:space="preserve">15.3 </w:t>
            </w:r>
          </w:p>
        </w:tc>
      </w:tr>
      <w:tr w:rsidR="003B0815" w14:paraId="78946EDC" w14:textId="77777777">
        <w:trPr>
          <w:jc w:val="center"/>
        </w:trPr>
        <w:tc>
          <w:tcPr>
            <w:tcW w:w="731" w:type="dxa"/>
            <w:tcBorders>
              <w:left w:val="single" w:color="auto" w:sz="12" w:space="0"/>
            </w:tcBorders>
          </w:tcPr>
          <w:p w:rsidR="003B0815" w:rsidRDefault="003B0815" w14:paraId="041FB9B8" w14:textId="77777777">
            <w:pPr>
              <w:keepNext/>
              <w:jc w:val="center"/>
              <w:rPr>
                <w:rFonts w:ascii="Arial" w:hAnsi="Arial"/>
                <w:sz w:val="20"/>
                <w:szCs w:val="20"/>
              </w:rPr>
            </w:pPr>
            <w:r>
              <w:t>2013</w:t>
            </w:r>
          </w:p>
        </w:tc>
        <w:tc>
          <w:tcPr>
            <w:tcW w:w="828" w:type="dxa"/>
            <w:vAlign w:val="bottom"/>
          </w:tcPr>
          <w:p w:rsidR="003B0815" w:rsidRDefault="003B0815" w14:paraId="50247852"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2228CFA3" w14:textId="77777777">
            <w:pPr>
              <w:keepNext/>
              <w:jc w:val="right"/>
              <w:rPr>
                <w:rFonts w:ascii="Arial" w:hAnsi="Arial"/>
                <w:sz w:val="20"/>
                <w:szCs w:val="20"/>
              </w:rPr>
            </w:pPr>
            <w:r>
              <w:rPr>
                <w:rFonts w:ascii="Arial" w:hAnsi="Arial" w:cs="Arial"/>
                <w:sz w:val="20"/>
                <w:szCs w:val="20"/>
              </w:rPr>
              <w:t>56.5</w:t>
            </w:r>
          </w:p>
        </w:tc>
        <w:tc>
          <w:tcPr>
            <w:tcW w:w="1080" w:type="dxa"/>
            <w:vAlign w:val="bottom"/>
          </w:tcPr>
          <w:p w:rsidR="003B0815" w:rsidRDefault="003B0815" w14:paraId="12B25EA2"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5FE52C17" w14:textId="77777777">
            <w:pPr>
              <w:keepNext/>
              <w:jc w:val="right"/>
              <w:rPr>
                <w:rFonts w:ascii="Arial" w:hAnsi="Arial"/>
                <w:sz w:val="20"/>
                <w:szCs w:val="20"/>
              </w:rPr>
            </w:pPr>
            <w:r>
              <w:rPr>
                <w:rFonts w:ascii="Arial" w:hAnsi="Arial" w:cs="Arial"/>
                <w:sz w:val="20"/>
                <w:szCs w:val="20"/>
              </w:rPr>
              <w:t>11.3</w:t>
            </w:r>
          </w:p>
        </w:tc>
        <w:tc>
          <w:tcPr>
            <w:tcW w:w="1080" w:type="dxa"/>
            <w:tcBorders>
              <w:left w:val="double" w:color="auto" w:sz="4" w:space="0"/>
            </w:tcBorders>
            <w:vAlign w:val="bottom"/>
          </w:tcPr>
          <w:p w:rsidR="003B0815" w:rsidRDefault="003B0815" w14:paraId="75D953E1" w14:textId="77777777">
            <w:pPr>
              <w:keepNext/>
              <w:jc w:val="right"/>
              <w:rPr>
                <w:rFonts w:ascii="Arial" w:hAnsi="Arial"/>
                <w:sz w:val="20"/>
                <w:szCs w:val="20"/>
              </w:rPr>
            </w:pPr>
            <w:r>
              <w:rPr>
                <w:rFonts w:ascii="Arial" w:hAnsi="Arial" w:cs="Arial"/>
                <w:sz w:val="20"/>
                <w:szCs w:val="20"/>
              </w:rPr>
              <w:t>54.3</w:t>
            </w:r>
          </w:p>
        </w:tc>
        <w:tc>
          <w:tcPr>
            <w:tcW w:w="1080" w:type="dxa"/>
            <w:vAlign w:val="bottom"/>
          </w:tcPr>
          <w:p w:rsidR="003B0815" w:rsidRDefault="003B0815" w14:paraId="2D73E3AA"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51F1AD39" w14:textId="77777777">
            <w:pPr>
              <w:keepNext/>
              <w:jc w:val="right"/>
              <w:rPr>
                <w:rFonts w:ascii="Arial" w:hAnsi="Arial"/>
                <w:sz w:val="20"/>
                <w:szCs w:val="20"/>
              </w:rPr>
            </w:pPr>
            <w:r>
              <w:rPr>
                <w:rFonts w:ascii="Arial" w:hAnsi="Arial" w:cs="Arial"/>
                <w:sz w:val="20"/>
                <w:szCs w:val="20"/>
              </w:rPr>
              <w:t xml:space="preserve">4.7 </w:t>
            </w:r>
          </w:p>
        </w:tc>
        <w:tc>
          <w:tcPr>
            <w:tcW w:w="1260" w:type="dxa"/>
            <w:tcBorders>
              <w:left w:val="double" w:color="auto" w:sz="4" w:space="0"/>
              <w:right w:val="single" w:color="auto" w:sz="12" w:space="0"/>
            </w:tcBorders>
            <w:shd w:val="clear" w:color="auto" w:fill="C0C0C0"/>
            <w:vAlign w:val="bottom"/>
          </w:tcPr>
          <w:p w:rsidR="003B0815" w:rsidRDefault="003B0815" w14:paraId="3F8F53F3" w14:textId="77777777">
            <w:pPr>
              <w:keepNext/>
              <w:jc w:val="right"/>
              <w:rPr>
                <w:rFonts w:ascii="Arial" w:hAnsi="Arial"/>
                <w:sz w:val="20"/>
                <w:szCs w:val="20"/>
              </w:rPr>
            </w:pPr>
            <w:r>
              <w:rPr>
                <w:rFonts w:ascii="Arial" w:hAnsi="Arial" w:cs="Arial"/>
                <w:sz w:val="20"/>
                <w:szCs w:val="20"/>
              </w:rPr>
              <w:t xml:space="preserve">16.0 </w:t>
            </w:r>
          </w:p>
        </w:tc>
      </w:tr>
      <w:tr w:rsidR="003B0815" w14:paraId="4982A968" w14:textId="77777777">
        <w:trPr>
          <w:jc w:val="center"/>
        </w:trPr>
        <w:tc>
          <w:tcPr>
            <w:tcW w:w="731" w:type="dxa"/>
            <w:tcBorders>
              <w:left w:val="single" w:color="auto" w:sz="12" w:space="0"/>
            </w:tcBorders>
          </w:tcPr>
          <w:p w:rsidR="003B0815" w:rsidRDefault="003B0815" w14:paraId="716DE91A" w14:textId="77777777">
            <w:pPr>
              <w:keepNext/>
              <w:jc w:val="center"/>
              <w:rPr>
                <w:rFonts w:ascii="Arial" w:hAnsi="Arial"/>
                <w:sz w:val="20"/>
                <w:szCs w:val="20"/>
              </w:rPr>
            </w:pPr>
            <w:r>
              <w:t>2014</w:t>
            </w:r>
          </w:p>
        </w:tc>
        <w:tc>
          <w:tcPr>
            <w:tcW w:w="828" w:type="dxa"/>
            <w:vAlign w:val="bottom"/>
          </w:tcPr>
          <w:p w:rsidR="003B0815" w:rsidRDefault="003B0815" w14:paraId="20947BF7"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B646D65" w14:textId="77777777">
            <w:pPr>
              <w:keepNext/>
              <w:jc w:val="right"/>
              <w:rPr>
                <w:rFonts w:ascii="Arial" w:hAnsi="Arial"/>
                <w:sz w:val="20"/>
                <w:szCs w:val="20"/>
              </w:rPr>
            </w:pPr>
            <w:r>
              <w:rPr>
                <w:rFonts w:ascii="Arial" w:hAnsi="Arial" w:cs="Arial"/>
                <w:sz w:val="20"/>
                <w:szCs w:val="20"/>
              </w:rPr>
              <w:t>59.5</w:t>
            </w:r>
          </w:p>
        </w:tc>
        <w:tc>
          <w:tcPr>
            <w:tcW w:w="1080" w:type="dxa"/>
            <w:vAlign w:val="bottom"/>
          </w:tcPr>
          <w:p w:rsidR="003B0815" w:rsidRDefault="003B0815" w14:paraId="56C5C482"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7C10A323" w14:textId="77777777">
            <w:pPr>
              <w:keepNext/>
              <w:jc w:val="right"/>
              <w:rPr>
                <w:rFonts w:ascii="Arial" w:hAnsi="Arial"/>
                <w:sz w:val="20"/>
                <w:szCs w:val="20"/>
              </w:rPr>
            </w:pPr>
            <w:r>
              <w:rPr>
                <w:rFonts w:ascii="Arial" w:hAnsi="Arial" w:cs="Arial"/>
                <w:sz w:val="20"/>
                <w:szCs w:val="20"/>
              </w:rPr>
              <w:t>11.9</w:t>
            </w:r>
          </w:p>
        </w:tc>
        <w:tc>
          <w:tcPr>
            <w:tcW w:w="1080" w:type="dxa"/>
            <w:tcBorders>
              <w:left w:val="double" w:color="auto" w:sz="4" w:space="0"/>
            </w:tcBorders>
            <w:vAlign w:val="bottom"/>
          </w:tcPr>
          <w:p w:rsidR="003B0815" w:rsidRDefault="003B0815" w14:paraId="254F75D8" w14:textId="77777777">
            <w:pPr>
              <w:keepNext/>
              <w:jc w:val="right"/>
              <w:rPr>
                <w:rFonts w:ascii="Arial" w:hAnsi="Arial"/>
                <w:sz w:val="20"/>
                <w:szCs w:val="20"/>
              </w:rPr>
            </w:pPr>
            <w:r>
              <w:rPr>
                <w:rFonts w:ascii="Arial" w:hAnsi="Arial" w:cs="Arial"/>
                <w:sz w:val="20"/>
                <w:szCs w:val="20"/>
              </w:rPr>
              <w:t>57.1</w:t>
            </w:r>
          </w:p>
        </w:tc>
        <w:tc>
          <w:tcPr>
            <w:tcW w:w="1080" w:type="dxa"/>
            <w:vAlign w:val="bottom"/>
          </w:tcPr>
          <w:p w:rsidR="003B0815" w:rsidRDefault="003B0815" w14:paraId="7468AA52"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E5AF73C" w14:textId="77777777">
            <w:pPr>
              <w:keepNext/>
              <w:jc w:val="right"/>
              <w:rPr>
                <w:rFonts w:ascii="Arial" w:hAnsi="Arial"/>
                <w:sz w:val="20"/>
                <w:szCs w:val="20"/>
              </w:rPr>
            </w:pPr>
            <w:r>
              <w:rPr>
                <w:rFonts w:ascii="Arial" w:hAnsi="Arial" w:cs="Arial"/>
                <w:sz w:val="20"/>
                <w:szCs w:val="20"/>
              </w:rPr>
              <w:t xml:space="preserve">4.9 </w:t>
            </w:r>
          </w:p>
        </w:tc>
        <w:tc>
          <w:tcPr>
            <w:tcW w:w="1260" w:type="dxa"/>
            <w:tcBorders>
              <w:left w:val="double" w:color="auto" w:sz="4" w:space="0"/>
              <w:right w:val="single" w:color="auto" w:sz="12" w:space="0"/>
            </w:tcBorders>
            <w:shd w:val="clear" w:color="auto" w:fill="C0C0C0"/>
            <w:vAlign w:val="bottom"/>
          </w:tcPr>
          <w:p w:rsidR="003B0815" w:rsidRDefault="003B0815" w14:paraId="32CBA4EB" w14:textId="77777777">
            <w:pPr>
              <w:keepNext/>
              <w:jc w:val="right"/>
              <w:rPr>
                <w:rFonts w:ascii="Arial" w:hAnsi="Arial"/>
                <w:sz w:val="20"/>
                <w:szCs w:val="20"/>
              </w:rPr>
            </w:pPr>
            <w:r>
              <w:rPr>
                <w:rFonts w:ascii="Arial" w:hAnsi="Arial" w:cs="Arial"/>
                <w:sz w:val="20"/>
                <w:szCs w:val="20"/>
              </w:rPr>
              <w:t xml:space="preserve">16.8 </w:t>
            </w:r>
          </w:p>
        </w:tc>
      </w:tr>
      <w:tr w:rsidR="003B0815" w14:paraId="58987711" w14:textId="77777777">
        <w:trPr>
          <w:jc w:val="center"/>
        </w:trPr>
        <w:tc>
          <w:tcPr>
            <w:tcW w:w="731" w:type="dxa"/>
            <w:tcBorders>
              <w:left w:val="single" w:color="auto" w:sz="12" w:space="0"/>
            </w:tcBorders>
          </w:tcPr>
          <w:p w:rsidR="003B0815" w:rsidRDefault="003B0815" w14:paraId="34A9D30C" w14:textId="77777777">
            <w:pPr>
              <w:keepNext/>
              <w:jc w:val="center"/>
              <w:rPr>
                <w:rFonts w:ascii="Arial" w:hAnsi="Arial"/>
                <w:sz w:val="20"/>
                <w:szCs w:val="20"/>
              </w:rPr>
            </w:pPr>
            <w:r>
              <w:t>2015</w:t>
            </w:r>
          </w:p>
        </w:tc>
        <w:tc>
          <w:tcPr>
            <w:tcW w:w="828" w:type="dxa"/>
            <w:vAlign w:val="bottom"/>
          </w:tcPr>
          <w:p w:rsidR="003B0815" w:rsidRDefault="003B0815" w14:paraId="72124C26"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43003103" w14:textId="77777777">
            <w:pPr>
              <w:keepNext/>
              <w:jc w:val="right"/>
              <w:rPr>
                <w:rFonts w:ascii="Arial" w:hAnsi="Arial"/>
                <w:sz w:val="20"/>
                <w:szCs w:val="20"/>
              </w:rPr>
            </w:pPr>
            <w:r>
              <w:rPr>
                <w:rFonts w:ascii="Arial" w:hAnsi="Arial" w:cs="Arial"/>
                <w:sz w:val="20"/>
                <w:szCs w:val="20"/>
              </w:rPr>
              <w:t>62.4</w:t>
            </w:r>
          </w:p>
        </w:tc>
        <w:tc>
          <w:tcPr>
            <w:tcW w:w="1080" w:type="dxa"/>
            <w:vAlign w:val="bottom"/>
          </w:tcPr>
          <w:p w:rsidR="003B0815" w:rsidRDefault="003B0815" w14:paraId="79650672"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33B532C2" w14:textId="77777777">
            <w:pPr>
              <w:keepNext/>
              <w:jc w:val="right"/>
              <w:rPr>
                <w:rFonts w:ascii="Arial" w:hAnsi="Arial"/>
                <w:sz w:val="20"/>
                <w:szCs w:val="20"/>
              </w:rPr>
            </w:pPr>
            <w:r>
              <w:rPr>
                <w:rFonts w:ascii="Arial" w:hAnsi="Arial" w:cs="Arial"/>
                <w:sz w:val="20"/>
                <w:szCs w:val="20"/>
              </w:rPr>
              <w:t>12.5</w:t>
            </w:r>
          </w:p>
        </w:tc>
        <w:tc>
          <w:tcPr>
            <w:tcW w:w="1080" w:type="dxa"/>
            <w:tcBorders>
              <w:left w:val="double" w:color="auto" w:sz="4" w:space="0"/>
            </w:tcBorders>
            <w:vAlign w:val="bottom"/>
          </w:tcPr>
          <w:p w:rsidR="003B0815" w:rsidRDefault="003B0815" w14:paraId="49691351" w14:textId="77777777">
            <w:pPr>
              <w:keepNext/>
              <w:jc w:val="right"/>
              <w:rPr>
                <w:rFonts w:ascii="Arial" w:hAnsi="Arial"/>
                <w:sz w:val="20"/>
                <w:szCs w:val="20"/>
              </w:rPr>
            </w:pPr>
            <w:r>
              <w:rPr>
                <w:rFonts w:ascii="Arial" w:hAnsi="Arial" w:cs="Arial"/>
                <w:sz w:val="20"/>
                <w:szCs w:val="20"/>
              </w:rPr>
              <w:t>60.0</w:t>
            </w:r>
          </w:p>
        </w:tc>
        <w:tc>
          <w:tcPr>
            <w:tcW w:w="1080" w:type="dxa"/>
            <w:vAlign w:val="bottom"/>
          </w:tcPr>
          <w:p w:rsidR="003B0815" w:rsidRDefault="003B0815" w14:paraId="5F16F845"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0F3F53D9" w14:textId="77777777">
            <w:pPr>
              <w:keepNext/>
              <w:jc w:val="right"/>
              <w:rPr>
                <w:rFonts w:ascii="Arial" w:hAnsi="Arial"/>
                <w:sz w:val="20"/>
                <w:szCs w:val="20"/>
              </w:rPr>
            </w:pPr>
            <w:r>
              <w:rPr>
                <w:rFonts w:ascii="Arial" w:hAnsi="Arial" w:cs="Arial"/>
                <w:sz w:val="20"/>
                <w:szCs w:val="20"/>
              </w:rPr>
              <w:t xml:space="preserve">5.1 </w:t>
            </w:r>
          </w:p>
        </w:tc>
        <w:tc>
          <w:tcPr>
            <w:tcW w:w="1260" w:type="dxa"/>
            <w:tcBorders>
              <w:left w:val="double" w:color="auto" w:sz="4" w:space="0"/>
              <w:right w:val="single" w:color="auto" w:sz="12" w:space="0"/>
            </w:tcBorders>
            <w:shd w:val="clear" w:color="auto" w:fill="C0C0C0"/>
            <w:vAlign w:val="bottom"/>
          </w:tcPr>
          <w:p w:rsidR="003B0815" w:rsidRDefault="003B0815" w14:paraId="0B806B13" w14:textId="77777777">
            <w:pPr>
              <w:keepNext/>
              <w:jc w:val="right"/>
              <w:rPr>
                <w:rFonts w:ascii="Arial" w:hAnsi="Arial"/>
                <w:sz w:val="20"/>
                <w:szCs w:val="20"/>
              </w:rPr>
            </w:pPr>
            <w:r>
              <w:rPr>
                <w:rFonts w:ascii="Arial" w:hAnsi="Arial" w:cs="Arial"/>
                <w:sz w:val="20"/>
                <w:szCs w:val="20"/>
              </w:rPr>
              <w:t xml:space="preserve">17.6 </w:t>
            </w:r>
          </w:p>
        </w:tc>
      </w:tr>
      <w:tr w:rsidR="003B0815" w14:paraId="2E9EF2FC" w14:textId="77777777">
        <w:trPr>
          <w:jc w:val="center"/>
        </w:trPr>
        <w:tc>
          <w:tcPr>
            <w:tcW w:w="731" w:type="dxa"/>
            <w:tcBorders>
              <w:left w:val="single" w:color="auto" w:sz="12" w:space="0"/>
            </w:tcBorders>
          </w:tcPr>
          <w:p w:rsidR="003B0815" w:rsidRDefault="003B0815" w14:paraId="6C1CA5BC" w14:textId="77777777">
            <w:pPr>
              <w:keepNext/>
              <w:jc w:val="center"/>
              <w:rPr>
                <w:rFonts w:ascii="Arial" w:hAnsi="Arial"/>
                <w:sz w:val="20"/>
                <w:szCs w:val="20"/>
              </w:rPr>
            </w:pPr>
            <w:r>
              <w:t>2016</w:t>
            </w:r>
          </w:p>
        </w:tc>
        <w:tc>
          <w:tcPr>
            <w:tcW w:w="828" w:type="dxa"/>
            <w:vAlign w:val="bottom"/>
          </w:tcPr>
          <w:p w:rsidR="003B0815" w:rsidRDefault="003B0815" w14:paraId="220EFFFB"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47EFC34" w14:textId="77777777">
            <w:pPr>
              <w:keepNext/>
              <w:jc w:val="right"/>
              <w:rPr>
                <w:rFonts w:ascii="Arial" w:hAnsi="Arial"/>
                <w:sz w:val="20"/>
                <w:szCs w:val="20"/>
              </w:rPr>
            </w:pPr>
            <w:r>
              <w:rPr>
                <w:rFonts w:ascii="Arial" w:hAnsi="Arial" w:cs="Arial"/>
                <w:sz w:val="20"/>
                <w:szCs w:val="20"/>
              </w:rPr>
              <w:t>65.5</w:t>
            </w:r>
          </w:p>
        </w:tc>
        <w:tc>
          <w:tcPr>
            <w:tcW w:w="1080" w:type="dxa"/>
            <w:vAlign w:val="bottom"/>
          </w:tcPr>
          <w:p w:rsidR="003B0815" w:rsidRDefault="003B0815" w14:paraId="069E1D54"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7AD7C919" w14:textId="77777777">
            <w:pPr>
              <w:keepNext/>
              <w:jc w:val="right"/>
              <w:rPr>
                <w:rFonts w:ascii="Arial" w:hAnsi="Arial"/>
                <w:sz w:val="20"/>
                <w:szCs w:val="20"/>
              </w:rPr>
            </w:pPr>
            <w:r>
              <w:rPr>
                <w:rFonts w:ascii="Arial" w:hAnsi="Arial" w:cs="Arial"/>
                <w:sz w:val="20"/>
                <w:szCs w:val="20"/>
              </w:rPr>
              <w:t>13.1</w:t>
            </w:r>
          </w:p>
        </w:tc>
        <w:tc>
          <w:tcPr>
            <w:tcW w:w="1080" w:type="dxa"/>
            <w:tcBorders>
              <w:left w:val="double" w:color="auto" w:sz="4" w:space="0"/>
            </w:tcBorders>
            <w:vAlign w:val="bottom"/>
          </w:tcPr>
          <w:p w:rsidR="003B0815" w:rsidRDefault="003B0815" w14:paraId="434ABD04" w14:textId="77777777">
            <w:pPr>
              <w:keepNext/>
              <w:jc w:val="right"/>
              <w:rPr>
                <w:rFonts w:ascii="Arial" w:hAnsi="Arial"/>
                <w:sz w:val="20"/>
                <w:szCs w:val="20"/>
              </w:rPr>
            </w:pPr>
            <w:r>
              <w:rPr>
                <w:rFonts w:ascii="Arial" w:hAnsi="Arial" w:cs="Arial"/>
                <w:sz w:val="20"/>
                <w:szCs w:val="20"/>
              </w:rPr>
              <w:t>63.0</w:t>
            </w:r>
          </w:p>
        </w:tc>
        <w:tc>
          <w:tcPr>
            <w:tcW w:w="1080" w:type="dxa"/>
            <w:vAlign w:val="bottom"/>
          </w:tcPr>
          <w:p w:rsidR="003B0815" w:rsidRDefault="003B0815" w14:paraId="254222E3"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75412F89" w14:textId="77777777">
            <w:pPr>
              <w:keepNext/>
              <w:jc w:val="right"/>
              <w:rPr>
                <w:rFonts w:ascii="Arial" w:hAnsi="Arial"/>
                <w:sz w:val="20"/>
                <w:szCs w:val="20"/>
              </w:rPr>
            </w:pPr>
            <w:r>
              <w:rPr>
                <w:rFonts w:ascii="Arial" w:hAnsi="Arial" w:cs="Arial"/>
                <w:sz w:val="20"/>
                <w:szCs w:val="20"/>
              </w:rPr>
              <w:t xml:space="preserve">5.4 </w:t>
            </w:r>
          </w:p>
        </w:tc>
        <w:tc>
          <w:tcPr>
            <w:tcW w:w="1260" w:type="dxa"/>
            <w:tcBorders>
              <w:left w:val="double" w:color="auto" w:sz="4" w:space="0"/>
              <w:right w:val="single" w:color="auto" w:sz="12" w:space="0"/>
            </w:tcBorders>
            <w:shd w:val="clear" w:color="auto" w:fill="C0C0C0"/>
            <w:vAlign w:val="bottom"/>
          </w:tcPr>
          <w:p w:rsidR="003B0815" w:rsidRDefault="003B0815" w14:paraId="60C98923" w14:textId="77777777">
            <w:pPr>
              <w:keepNext/>
              <w:jc w:val="right"/>
              <w:rPr>
                <w:rFonts w:ascii="Arial" w:hAnsi="Arial"/>
                <w:sz w:val="20"/>
                <w:szCs w:val="20"/>
              </w:rPr>
            </w:pPr>
            <w:r>
              <w:rPr>
                <w:rFonts w:ascii="Arial" w:hAnsi="Arial" w:cs="Arial"/>
                <w:sz w:val="20"/>
                <w:szCs w:val="20"/>
              </w:rPr>
              <w:t xml:space="preserve">18.5 </w:t>
            </w:r>
          </w:p>
        </w:tc>
      </w:tr>
      <w:tr w:rsidR="003B0815" w14:paraId="17F0E426" w14:textId="77777777">
        <w:trPr>
          <w:jc w:val="center"/>
        </w:trPr>
        <w:tc>
          <w:tcPr>
            <w:tcW w:w="731" w:type="dxa"/>
            <w:tcBorders>
              <w:left w:val="single" w:color="auto" w:sz="12" w:space="0"/>
              <w:bottom w:val="single" w:color="auto" w:sz="4" w:space="0"/>
            </w:tcBorders>
          </w:tcPr>
          <w:p w:rsidR="003B0815" w:rsidRDefault="003B0815" w14:paraId="22DC7D46" w14:textId="77777777">
            <w:pPr>
              <w:keepNext/>
              <w:jc w:val="center"/>
              <w:rPr>
                <w:rFonts w:ascii="Arial" w:hAnsi="Arial"/>
                <w:sz w:val="20"/>
                <w:szCs w:val="20"/>
              </w:rPr>
            </w:pPr>
            <w:r>
              <w:t>2017</w:t>
            </w:r>
          </w:p>
        </w:tc>
        <w:tc>
          <w:tcPr>
            <w:tcW w:w="828" w:type="dxa"/>
            <w:tcBorders>
              <w:bottom w:val="single" w:color="auto" w:sz="4" w:space="0"/>
            </w:tcBorders>
            <w:vAlign w:val="bottom"/>
          </w:tcPr>
          <w:p w:rsidR="003B0815" w:rsidRDefault="003B0815" w14:paraId="7FBEA418" w14:textId="77777777">
            <w:pPr>
              <w:keepNext/>
              <w:jc w:val="center"/>
              <w:rPr>
                <w:rFonts w:ascii="Arial" w:hAnsi="Arial"/>
                <w:sz w:val="20"/>
                <w:szCs w:val="20"/>
              </w:rPr>
            </w:pPr>
            <w:r>
              <w:rPr>
                <w:rFonts w:ascii="Arial" w:hAnsi="Arial" w:cs="Arial"/>
                <w:sz w:val="20"/>
                <w:szCs w:val="20"/>
              </w:rPr>
              <w:t xml:space="preserve">$28.60 </w:t>
            </w:r>
          </w:p>
        </w:tc>
        <w:tc>
          <w:tcPr>
            <w:tcW w:w="1008" w:type="dxa"/>
            <w:tcBorders>
              <w:bottom w:val="single" w:color="auto" w:sz="4" w:space="0"/>
            </w:tcBorders>
            <w:vAlign w:val="bottom"/>
          </w:tcPr>
          <w:p w:rsidR="003B0815" w:rsidRDefault="003B0815" w14:paraId="4FAA195D" w14:textId="77777777">
            <w:pPr>
              <w:keepNext/>
              <w:jc w:val="right"/>
              <w:rPr>
                <w:rFonts w:ascii="Arial" w:hAnsi="Arial"/>
                <w:sz w:val="20"/>
                <w:szCs w:val="20"/>
              </w:rPr>
            </w:pPr>
            <w:r>
              <w:rPr>
                <w:rFonts w:ascii="Arial" w:hAnsi="Arial" w:cs="Arial"/>
                <w:sz w:val="20"/>
                <w:szCs w:val="20"/>
              </w:rPr>
              <w:t>68.8</w:t>
            </w:r>
          </w:p>
        </w:tc>
        <w:tc>
          <w:tcPr>
            <w:tcW w:w="1080" w:type="dxa"/>
            <w:tcBorders>
              <w:bottom w:val="single" w:color="auto" w:sz="4" w:space="0"/>
            </w:tcBorders>
            <w:vAlign w:val="bottom"/>
          </w:tcPr>
          <w:p w:rsidR="003B0815" w:rsidRDefault="003B0815" w14:paraId="4B9BED4F" w14:textId="77777777">
            <w:pPr>
              <w:keepNext/>
              <w:jc w:val="center"/>
              <w:rPr>
                <w:rFonts w:ascii="Arial" w:hAnsi="Arial"/>
                <w:sz w:val="20"/>
                <w:szCs w:val="20"/>
              </w:rPr>
            </w:pPr>
            <w:r>
              <w:rPr>
                <w:rFonts w:ascii="Arial" w:hAnsi="Arial" w:cs="Arial"/>
                <w:sz w:val="20"/>
                <w:szCs w:val="20"/>
              </w:rPr>
              <w:t>0.007</w:t>
            </w:r>
          </w:p>
        </w:tc>
        <w:tc>
          <w:tcPr>
            <w:tcW w:w="1260" w:type="dxa"/>
            <w:tcBorders>
              <w:bottom w:val="single" w:color="auto" w:sz="4" w:space="0"/>
              <w:right w:val="double" w:color="auto" w:sz="4" w:space="0"/>
            </w:tcBorders>
            <w:shd w:val="clear" w:color="auto" w:fill="C0C0C0"/>
            <w:vAlign w:val="bottom"/>
          </w:tcPr>
          <w:p w:rsidR="003B0815" w:rsidRDefault="003B0815" w14:paraId="37EBD873" w14:textId="77777777">
            <w:pPr>
              <w:keepNext/>
              <w:jc w:val="right"/>
              <w:rPr>
                <w:rFonts w:ascii="Arial" w:hAnsi="Arial"/>
                <w:sz w:val="20"/>
                <w:szCs w:val="20"/>
              </w:rPr>
            </w:pPr>
            <w:r>
              <w:rPr>
                <w:rFonts w:ascii="Arial" w:hAnsi="Arial" w:cs="Arial"/>
                <w:sz w:val="20"/>
                <w:szCs w:val="20"/>
              </w:rPr>
              <w:t>$13.8</w:t>
            </w:r>
          </w:p>
        </w:tc>
        <w:tc>
          <w:tcPr>
            <w:tcW w:w="1080" w:type="dxa"/>
            <w:tcBorders>
              <w:left w:val="double" w:color="auto" w:sz="4" w:space="0"/>
              <w:bottom w:val="single" w:color="auto" w:sz="4" w:space="0"/>
            </w:tcBorders>
            <w:vAlign w:val="bottom"/>
          </w:tcPr>
          <w:p w:rsidR="003B0815" w:rsidRDefault="003B0815" w14:paraId="6DDB8B11" w14:textId="77777777">
            <w:pPr>
              <w:keepNext/>
              <w:jc w:val="right"/>
              <w:rPr>
                <w:rFonts w:ascii="Arial" w:hAnsi="Arial"/>
                <w:sz w:val="20"/>
                <w:szCs w:val="20"/>
              </w:rPr>
            </w:pPr>
            <w:r>
              <w:rPr>
                <w:rFonts w:ascii="Arial" w:hAnsi="Arial" w:cs="Arial"/>
                <w:sz w:val="20"/>
                <w:szCs w:val="20"/>
              </w:rPr>
              <w:t>66.1</w:t>
            </w:r>
          </w:p>
        </w:tc>
        <w:tc>
          <w:tcPr>
            <w:tcW w:w="1080" w:type="dxa"/>
            <w:tcBorders>
              <w:bottom w:val="single" w:color="auto" w:sz="4" w:space="0"/>
            </w:tcBorders>
            <w:vAlign w:val="bottom"/>
          </w:tcPr>
          <w:p w:rsidR="003B0815" w:rsidRDefault="003B0815" w14:paraId="1A72FC78" w14:textId="77777777">
            <w:pPr>
              <w:keepNext/>
              <w:jc w:val="center"/>
              <w:rPr>
                <w:rFonts w:ascii="Arial" w:hAnsi="Arial"/>
                <w:sz w:val="20"/>
                <w:szCs w:val="20"/>
              </w:rPr>
            </w:pPr>
            <w:r>
              <w:rPr>
                <w:rFonts w:ascii="Arial" w:hAnsi="Arial" w:cs="Arial"/>
                <w:sz w:val="20"/>
                <w:szCs w:val="20"/>
              </w:rPr>
              <w:t>0.003</w:t>
            </w:r>
          </w:p>
        </w:tc>
        <w:tc>
          <w:tcPr>
            <w:tcW w:w="1260" w:type="dxa"/>
            <w:tcBorders>
              <w:bottom w:val="single" w:color="auto" w:sz="4" w:space="0"/>
              <w:right w:val="double" w:color="auto" w:sz="4" w:space="0"/>
            </w:tcBorders>
            <w:shd w:val="clear" w:color="auto" w:fill="C0C0C0"/>
            <w:vAlign w:val="bottom"/>
          </w:tcPr>
          <w:p w:rsidR="003B0815" w:rsidRDefault="003B0815" w14:paraId="484C53A5" w14:textId="77777777">
            <w:pPr>
              <w:keepNext/>
              <w:jc w:val="right"/>
              <w:rPr>
                <w:rFonts w:ascii="Arial" w:hAnsi="Arial"/>
                <w:sz w:val="20"/>
                <w:szCs w:val="20"/>
              </w:rPr>
            </w:pPr>
            <w:r>
              <w:rPr>
                <w:rFonts w:ascii="Arial" w:hAnsi="Arial" w:cs="Arial"/>
                <w:sz w:val="20"/>
                <w:szCs w:val="20"/>
              </w:rPr>
              <w:t xml:space="preserve">$5.7 </w:t>
            </w:r>
          </w:p>
        </w:tc>
        <w:tc>
          <w:tcPr>
            <w:tcW w:w="1260" w:type="dxa"/>
            <w:tcBorders>
              <w:left w:val="double" w:color="auto" w:sz="4" w:space="0"/>
              <w:right w:val="single" w:color="auto" w:sz="12" w:space="0"/>
            </w:tcBorders>
            <w:shd w:val="clear" w:color="auto" w:fill="C0C0C0"/>
            <w:vAlign w:val="bottom"/>
          </w:tcPr>
          <w:p w:rsidR="003B0815" w:rsidRDefault="003B0815" w14:paraId="3331C8CB" w14:textId="77777777">
            <w:pPr>
              <w:keepNext/>
              <w:jc w:val="right"/>
              <w:rPr>
                <w:rFonts w:ascii="Arial" w:hAnsi="Arial"/>
                <w:sz w:val="20"/>
                <w:szCs w:val="20"/>
              </w:rPr>
            </w:pPr>
            <w:r>
              <w:rPr>
                <w:rFonts w:ascii="Arial" w:hAnsi="Arial" w:cs="Arial"/>
                <w:sz w:val="20"/>
                <w:szCs w:val="20"/>
              </w:rPr>
              <w:t xml:space="preserve">$19.5 </w:t>
            </w:r>
          </w:p>
        </w:tc>
      </w:tr>
      <w:tr w:rsidR="003B0815" w14:paraId="59604931" w14:textId="77777777">
        <w:trPr>
          <w:jc w:val="center"/>
        </w:trPr>
        <w:tc>
          <w:tcPr>
            <w:tcW w:w="731" w:type="dxa"/>
            <w:tcBorders>
              <w:left w:val="single" w:color="auto" w:sz="12" w:space="0"/>
              <w:bottom w:val="single" w:color="auto" w:sz="12" w:space="0"/>
              <w:right w:val="nil"/>
            </w:tcBorders>
            <w:vAlign w:val="bottom"/>
          </w:tcPr>
          <w:p w:rsidR="003B0815" w:rsidRDefault="003B0815" w14:paraId="0F6D3576" w14:textId="77777777">
            <w:pPr>
              <w:keepNext/>
              <w:jc w:val="center"/>
              <w:rPr>
                <w:rFonts w:ascii="Arial" w:hAnsi="Arial" w:cs="Arial"/>
                <w:sz w:val="20"/>
                <w:szCs w:val="20"/>
              </w:rPr>
            </w:pPr>
            <w:r>
              <w:rPr>
                <w:rFonts w:ascii="Arial" w:hAnsi="Arial" w:cs="Arial"/>
                <w:b/>
                <w:bCs/>
                <w:sz w:val="20"/>
                <w:szCs w:val="20"/>
              </w:rPr>
              <w:t>Total</w:t>
            </w:r>
          </w:p>
        </w:tc>
        <w:tc>
          <w:tcPr>
            <w:tcW w:w="828" w:type="dxa"/>
            <w:tcBorders>
              <w:left w:val="nil"/>
              <w:bottom w:val="single" w:color="auto" w:sz="12" w:space="0"/>
              <w:right w:val="nil"/>
            </w:tcBorders>
            <w:vAlign w:val="bottom"/>
          </w:tcPr>
          <w:p w:rsidR="003B0815" w:rsidRDefault="003B0815" w14:paraId="6BA8B76C" w14:textId="77777777">
            <w:pPr>
              <w:keepNext/>
              <w:jc w:val="center"/>
              <w:rPr>
                <w:rFonts w:ascii="Arial" w:hAnsi="Arial" w:cs="Arial"/>
                <w:sz w:val="20"/>
                <w:szCs w:val="20"/>
              </w:rPr>
            </w:pPr>
            <w:r>
              <w:rPr>
                <w:rFonts w:ascii="Arial" w:hAnsi="Arial" w:cs="Arial"/>
                <w:sz w:val="20"/>
                <w:szCs w:val="20"/>
              </w:rPr>
              <w:t> </w:t>
            </w:r>
          </w:p>
        </w:tc>
        <w:tc>
          <w:tcPr>
            <w:tcW w:w="1008" w:type="dxa"/>
            <w:tcBorders>
              <w:left w:val="nil"/>
              <w:bottom w:val="single" w:color="auto" w:sz="12" w:space="0"/>
              <w:right w:val="nil"/>
            </w:tcBorders>
            <w:vAlign w:val="bottom"/>
          </w:tcPr>
          <w:p w:rsidR="003B0815" w:rsidRDefault="003B0815" w14:paraId="429195FB"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66339FD0"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6586E266" w14:textId="77777777">
            <w:pPr>
              <w:keepNext/>
              <w:jc w:val="right"/>
              <w:rPr>
                <w:rFonts w:ascii="Arial" w:hAnsi="Arial" w:cs="Arial"/>
                <w:b/>
                <w:sz w:val="20"/>
                <w:szCs w:val="20"/>
              </w:rPr>
            </w:pPr>
            <w:r>
              <w:rPr>
                <w:rFonts w:ascii="Arial" w:hAnsi="Arial" w:cs="Arial"/>
                <w:sz w:val="20"/>
                <w:szCs w:val="20"/>
              </w:rPr>
              <w:t>$111.6</w:t>
            </w:r>
          </w:p>
        </w:tc>
        <w:tc>
          <w:tcPr>
            <w:tcW w:w="1080" w:type="dxa"/>
            <w:tcBorders>
              <w:left w:val="double" w:color="auto" w:sz="4" w:space="0"/>
              <w:bottom w:val="single" w:color="auto" w:sz="12" w:space="0"/>
              <w:right w:val="nil"/>
            </w:tcBorders>
            <w:vAlign w:val="bottom"/>
          </w:tcPr>
          <w:p w:rsidR="003B0815" w:rsidRDefault="003B0815" w14:paraId="02A85C38"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0FE678CF"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17B553FA" w14:textId="77777777">
            <w:pPr>
              <w:keepNext/>
              <w:jc w:val="right"/>
              <w:rPr>
                <w:rFonts w:ascii="Arial" w:hAnsi="Arial" w:cs="Arial"/>
                <w:b/>
                <w:sz w:val="20"/>
                <w:szCs w:val="20"/>
              </w:rPr>
            </w:pPr>
            <w:r>
              <w:rPr>
                <w:rFonts w:ascii="Arial" w:hAnsi="Arial" w:cs="Arial"/>
                <w:sz w:val="20"/>
                <w:szCs w:val="20"/>
              </w:rPr>
              <w:t xml:space="preserve">$46.0 </w:t>
            </w:r>
          </w:p>
        </w:tc>
        <w:tc>
          <w:tcPr>
            <w:tcW w:w="1260" w:type="dxa"/>
            <w:tcBorders>
              <w:left w:val="double" w:color="auto" w:sz="4" w:space="0"/>
              <w:bottom w:val="single" w:color="auto" w:sz="12" w:space="0"/>
              <w:right w:val="single" w:color="auto" w:sz="12" w:space="0"/>
            </w:tcBorders>
            <w:vAlign w:val="bottom"/>
          </w:tcPr>
          <w:p w:rsidR="003B0815" w:rsidRDefault="003B0815" w14:paraId="22635FD6" w14:textId="77777777">
            <w:pPr>
              <w:keepNext/>
              <w:jc w:val="right"/>
              <w:rPr>
                <w:rFonts w:ascii="Arial" w:hAnsi="Arial" w:cs="Arial"/>
                <w:b/>
                <w:bCs/>
                <w:sz w:val="20"/>
                <w:szCs w:val="20"/>
              </w:rPr>
            </w:pPr>
            <w:r>
              <w:rPr>
                <w:rFonts w:ascii="Arial" w:hAnsi="Arial" w:cs="Arial"/>
                <w:sz w:val="20"/>
                <w:szCs w:val="20"/>
              </w:rPr>
              <w:t xml:space="preserve">$157.6 </w:t>
            </w:r>
          </w:p>
        </w:tc>
      </w:tr>
    </w:tbl>
    <w:p w:rsidR="003B0815" w:rsidRDefault="003B0815" w14:paraId="5DE4BC55" w14:textId="77777777">
      <w:pPr>
        <w:spacing w:line="360" w:lineRule="auto"/>
        <w:ind w:firstLine="720"/>
      </w:pPr>
    </w:p>
    <w:p w:rsidR="003B0815" w:rsidRDefault="003B0815" w14:paraId="2B19F96C" w14:textId="77777777">
      <w:pPr>
        <w:spacing w:line="360" w:lineRule="auto"/>
        <w:ind w:firstLine="720"/>
      </w:pPr>
      <w:r>
        <w:t>Table 1.6.6.h duplicates the calculations in Table 1.6.6.b for the low scenario.  Accordingly, the opportunity costs for passengers booking online are unchanged.  As discussed in Section 1.4.2, however, in this scenario TSA assumed reservations agents are able to collect the requested information from passengers in 20 seconds.</w:t>
      </w:r>
    </w:p>
    <w:tbl>
      <w:tblP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31"/>
        <w:gridCol w:w="828"/>
        <w:gridCol w:w="1008"/>
        <w:gridCol w:w="1080"/>
        <w:gridCol w:w="1260"/>
        <w:gridCol w:w="1080"/>
        <w:gridCol w:w="1080"/>
        <w:gridCol w:w="1260"/>
        <w:gridCol w:w="1260"/>
      </w:tblGrid>
      <w:tr w:rsidR="003B0815" w14:paraId="0E28BC38" w14:textId="77777777">
        <w:trPr>
          <w:jc w:val="center"/>
        </w:trPr>
        <w:tc>
          <w:tcPr>
            <w:tcW w:w="9587" w:type="dxa"/>
            <w:gridSpan w:val="9"/>
            <w:tcBorders>
              <w:top w:val="nil"/>
              <w:left w:val="nil"/>
              <w:bottom w:val="single" w:color="auto" w:sz="12" w:space="0"/>
              <w:right w:val="nil"/>
            </w:tcBorders>
          </w:tcPr>
          <w:p w:rsidR="003B0815" w:rsidRDefault="003B0815" w14:paraId="1E827755" w14:textId="77777777">
            <w:pPr>
              <w:pStyle w:val="RegEvalTableHeader"/>
              <w:keepNext/>
            </w:pPr>
            <w:bookmarkStart w:name="_Toc165278408" w:id="409"/>
            <w:bookmarkStart w:name="_Toc174438412" w:id="410"/>
            <w:bookmarkStart w:name="_Toc207109549" w:id="411"/>
            <w:r>
              <w:t xml:space="preserve">Table 1.6.6.h Passenger Reservation </w:t>
            </w:r>
            <w:smartTag w:uri="urn:schemas-microsoft-com:office:smarttags" w:element="place">
              <w:r>
                <w:t>Opportunity</w:t>
              </w:r>
            </w:smartTag>
            <w:r>
              <w:t xml:space="preserve"> Costs, International Passengers (Low Scenario)</w:t>
            </w:r>
            <w:bookmarkEnd w:id="409"/>
            <w:bookmarkEnd w:id="410"/>
            <w:bookmarkEnd w:id="411"/>
          </w:p>
        </w:tc>
      </w:tr>
      <w:tr w:rsidR="003B0815" w14:paraId="76877A9C" w14:textId="77777777">
        <w:trPr>
          <w:jc w:val="center"/>
        </w:trPr>
        <w:tc>
          <w:tcPr>
            <w:tcW w:w="731" w:type="dxa"/>
            <w:tcBorders>
              <w:top w:val="single" w:color="auto" w:sz="12" w:space="0"/>
              <w:left w:val="single" w:color="auto" w:sz="12" w:space="0"/>
            </w:tcBorders>
            <w:vAlign w:val="center"/>
          </w:tcPr>
          <w:p w:rsidR="003B0815" w:rsidRDefault="003B0815" w14:paraId="4BC956A2" w14:textId="77777777">
            <w:pPr>
              <w:keepNext/>
              <w:jc w:val="center"/>
              <w:rPr>
                <w:rFonts w:ascii="Arial" w:hAnsi="Arial"/>
                <w:sz w:val="20"/>
                <w:szCs w:val="20"/>
              </w:rPr>
            </w:pPr>
            <w:r>
              <w:rPr>
                <w:rFonts w:ascii="Arial" w:hAnsi="Arial" w:cs="Arial"/>
                <w:b/>
                <w:bCs/>
                <w:sz w:val="20"/>
                <w:szCs w:val="20"/>
              </w:rPr>
              <w:t>Fiscal Year</w:t>
            </w:r>
          </w:p>
        </w:tc>
        <w:tc>
          <w:tcPr>
            <w:tcW w:w="828" w:type="dxa"/>
            <w:tcBorders>
              <w:top w:val="single" w:color="auto" w:sz="12" w:space="0"/>
            </w:tcBorders>
            <w:vAlign w:val="center"/>
          </w:tcPr>
          <w:p w:rsidR="003B0815" w:rsidRDefault="003B0815" w14:paraId="060D57BA" w14:textId="77777777">
            <w:pPr>
              <w:keepNext/>
              <w:jc w:val="center"/>
              <w:rPr>
                <w:rFonts w:ascii="Arial" w:hAnsi="Arial"/>
                <w:sz w:val="20"/>
                <w:szCs w:val="20"/>
              </w:rPr>
            </w:pPr>
            <w:r>
              <w:rPr>
                <w:rFonts w:ascii="Arial" w:hAnsi="Arial" w:cs="Arial"/>
                <w:b/>
                <w:bCs/>
                <w:sz w:val="20"/>
                <w:szCs w:val="20"/>
              </w:rPr>
              <w:t>Hourly Value of Pass. Time</w:t>
            </w:r>
          </w:p>
        </w:tc>
        <w:tc>
          <w:tcPr>
            <w:tcW w:w="1008" w:type="dxa"/>
            <w:tcBorders>
              <w:top w:val="single" w:color="auto" w:sz="12" w:space="0"/>
            </w:tcBorders>
            <w:vAlign w:val="center"/>
          </w:tcPr>
          <w:p w:rsidR="003B0815" w:rsidRDefault="003B0815" w14:paraId="48EB2A00" w14:textId="77777777">
            <w:pPr>
              <w:keepNext/>
              <w:jc w:val="center"/>
              <w:rPr>
                <w:rFonts w:ascii="Arial" w:hAnsi="Arial"/>
                <w:sz w:val="20"/>
                <w:szCs w:val="20"/>
              </w:rPr>
            </w:pPr>
            <w:r>
              <w:rPr>
                <w:rFonts w:ascii="Arial" w:hAnsi="Arial" w:cs="Arial"/>
                <w:b/>
                <w:bCs/>
                <w:sz w:val="20"/>
                <w:szCs w:val="20"/>
              </w:rPr>
              <w:t>Number of Offline Bookings (millions)</w:t>
            </w:r>
          </w:p>
        </w:tc>
        <w:tc>
          <w:tcPr>
            <w:tcW w:w="1080" w:type="dxa"/>
            <w:tcBorders>
              <w:top w:val="single" w:color="auto" w:sz="12" w:space="0"/>
            </w:tcBorders>
            <w:vAlign w:val="center"/>
          </w:tcPr>
          <w:p w:rsidR="003B0815" w:rsidRDefault="003B0815" w14:paraId="00B71B05"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0B943A34" w14:textId="77777777">
            <w:pPr>
              <w:keepNext/>
              <w:jc w:val="center"/>
              <w:rPr>
                <w:rFonts w:ascii="Arial" w:hAnsi="Arial"/>
                <w:sz w:val="20"/>
                <w:szCs w:val="20"/>
              </w:rPr>
            </w:pPr>
            <w:r>
              <w:rPr>
                <w:rFonts w:ascii="Arial" w:hAnsi="Arial" w:cs="Arial"/>
                <w:b/>
                <w:bCs/>
                <w:sz w:val="20"/>
                <w:szCs w:val="20"/>
              </w:rPr>
              <w:t xml:space="preserve">Subtotal Offline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080" w:type="dxa"/>
            <w:tcBorders>
              <w:top w:val="single" w:color="auto" w:sz="12" w:space="0"/>
              <w:left w:val="double" w:color="auto" w:sz="4" w:space="0"/>
            </w:tcBorders>
            <w:vAlign w:val="center"/>
          </w:tcPr>
          <w:p w:rsidR="003B0815" w:rsidRDefault="003B0815" w14:paraId="508996E3" w14:textId="77777777">
            <w:pPr>
              <w:keepNext/>
              <w:jc w:val="center"/>
              <w:rPr>
                <w:rFonts w:ascii="Arial" w:hAnsi="Arial" w:cs="Arial"/>
                <w:b/>
                <w:bCs/>
                <w:sz w:val="20"/>
                <w:szCs w:val="20"/>
              </w:rPr>
            </w:pPr>
            <w:r>
              <w:rPr>
                <w:rFonts w:ascii="Arial" w:hAnsi="Arial" w:cs="Arial"/>
                <w:b/>
                <w:bCs/>
                <w:sz w:val="20"/>
                <w:szCs w:val="20"/>
              </w:rPr>
              <w:t>Number of Internet Bookings (millions)</w:t>
            </w:r>
          </w:p>
        </w:tc>
        <w:tc>
          <w:tcPr>
            <w:tcW w:w="1080" w:type="dxa"/>
            <w:tcBorders>
              <w:top w:val="single" w:color="auto" w:sz="12" w:space="0"/>
            </w:tcBorders>
            <w:vAlign w:val="center"/>
          </w:tcPr>
          <w:p w:rsidR="003B0815" w:rsidRDefault="003B0815" w14:paraId="496E5812"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2935855B" w14:textId="77777777">
            <w:pPr>
              <w:keepNext/>
              <w:jc w:val="center"/>
              <w:rPr>
                <w:rFonts w:ascii="Arial" w:hAnsi="Arial"/>
                <w:sz w:val="20"/>
                <w:szCs w:val="20"/>
              </w:rPr>
            </w:pPr>
            <w:r>
              <w:rPr>
                <w:rFonts w:ascii="Arial" w:hAnsi="Arial" w:cs="Arial"/>
                <w:b/>
                <w:bCs/>
                <w:sz w:val="20"/>
                <w:szCs w:val="20"/>
              </w:rPr>
              <w:t xml:space="preserve">Subtotal Internet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260" w:type="dxa"/>
            <w:tcBorders>
              <w:top w:val="single" w:color="auto" w:sz="12" w:space="0"/>
              <w:left w:val="double" w:color="auto" w:sz="4" w:space="0"/>
              <w:right w:val="single" w:color="auto" w:sz="12" w:space="0"/>
            </w:tcBorders>
            <w:vAlign w:val="center"/>
          </w:tcPr>
          <w:p w:rsidR="003B0815" w:rsidRDefault="003B0815" w14:paraId="0549AD3C" w14:textId="77777777">
            <w:pPr>
              <w:keepNext/>
              <w:jc w:val="center"/>
              <w:rPr>
                <w:rFonts w:ascii="Arial" w:hAnsi="Arial"/>
                <w:sz w:val="20"/>
                <w:szCs w:val="20"/>
              </w:rPr>
            </w:pPr>
            <w:r>
              <w:rPr>
                <w:rFonts w:ascii="Arial" w:hAnsi="Arial" w:cs="Arial"/>
                <w:b/>
                <w:bCs/>
                <w:sz w:val="20"/>
                <w:szCs w:val="20"/>
              </w:rPr>
              <w:t xml:space="preserve">Total Booking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(millions)</w:t>
            </w:r>
          </w:p>
        </w:tc>
      </w:tr>
      <w:tr w:rsidR="003B0815" w14:paraId="24215073" w14:textId="77777777">
        <w:trPr>
          <w:jc w:val="center"/>
        </w:trPr>
        <w:tc>
          <w:tcPr>
            <w:tcW w:w="731" w:type="dxa"/>
            <w:tcBorders>
              <w:left w:val="single" w:color="auto" w:sz="12" w:space="0"/>
            </w:tcBorders>
            <w:vAlign w:val="center"/>
          </w:tcPr>
          <w:p w:rsidR="003B0815" w:rsidRDefault="003B0815" w14:paraId="4677AC21" w14:textId="77777777">
            <w:pPr>
              <w:keepNext/>
              <w:jc w:val="center"/>
              <w:rPr>
                <w:rFonts w:ascii="Arial" w:hAnsi="Arial"/>
                <w:sz w:val="20"/>
                <w:szCs w:val="20"/>
              </w:rPr>
            </w:pPr>
          </w:p>
        </w:tc>
        <w:tc>
          <w:tcPr>
            <w:tcW w:w="828" w:type="dxa"/>
            <w:vAlign w:val="center"/>
          </w:tcPr>
          <w:p w:rsidR="003B0815" w:rsidRDefault="003B0815" w14:paraId="781358C2" w14:textId="77777777">
            <w:pPr>
              <w:keepNext/>
              <w:jc w:val="center"/>
              <w:rPr>
                <w:rFonts w:ascii="Arial" w:hAnsi="Arial"/>
                <w:sz w:val="20"/>
                <w:szCs w:val="20"/>
              </w:rPr>
            </w:pPr>
            <w:r>
              <w:rPr>
                <w:rFonts w:ascii="Arial" w:hAnsi="Arial" w:cs="Arial"/>
                <w:b/>
                <w:bCs/>
                <w:sz w:val="20"/>
                <w:szCs w:val="20"/>
              </w:rPr>
              <w:t>(A)</w:t>
            </w:r>
          </w:p>
        </w:tc>
        <w:tc>
          <w:tcPr>
            <w:tcW w:w="1008" w:type="dxa"/>
            <w:vAlign w:val="center"/>
          </w:tcPr>
          <w:p w:rsidR="003B0815" w:rsidRDefault="003B0815" w14:paraId="19410476"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6E54F19D" w14:textId="77777777">
            <w:pPr>
              <w:keepNext/>
              <w:jc w:val="center"/>
              <w:rPr>
                <w:rFonts w:ascii="Arial" w:hAnsi="Arial"/>
                <w:sz w:val="20"/>
                <w:szCs w:val="20"/>
              </w:rPr>
            </w:pPr>
            <w:r>
              <w:rPr>
                <w:rFonts w:ascii="Arial" w:hAnsi="Arial" w:cs="Arial"/>
                <w:b/>
                <w:bCs/>
                <w:sz w:val="20"/>
                <w:szCs w:val="20"/>
              </w:rPr>
              <w:t>(C)</w:t>
            </w:r>
          </w:p>
        </w:tc>
        <w:tc>
          <w:tcPr>
            <w:tcW w:w="1260" w:type="dxa"/>
            <w:tcBorders>
              <w:bottom w:val="single" w:color="auto" w:sz="4" w:space="0"/>
              <w:right w:val="double" w:color="auto" w:sz="4" w:space="0"/>
            </w:tcBorders>
            <w:vAlign w:val="center"/>
          </w:tcPr>
          <w:p w:rsidR="003B0815" w:rsidRDefault="003B0815" w14:paraId="4BC61091" w14:textId="77777777">
            <w:pPr>
              <w:keepNext/>
              <w:jc w:val="center"/>
              <w:rPr>
                <w:rFonts w:ascii="Arial" w:hAnsi="Arial" w:cs="Arial"/>
                <w:b/>
                <w:bCs/>
                <w:sz w:val="20"/>
                <w:szCs w:val="20"/>
              </w:rPr>
            </w:pPr>
            <w:r>
              <w:rPr>
                <w:rFonts w:ascii="Arial" w:hAnsi="Arial" w:cs="Arial"/>
                <w:b/>
                <w:bCs/>
                <w:sz w:val="20"/>
                <w:szCs w:val="20"/>
              </w:rPr>
              <w:t>(D) =</w:t>
            </w:r>
          </w:p>
          <w:p w:rsidR="003B0815" w:rsidRDefault="003B0815" w14:paraId="08766053" w14:textId="77777777">
            <w:pPr>
              <w:keepNext/>
              <w:jc w:val="center"/>
              <w:rPr>
                <w:rFonts w:ascii="Arial" w:hAnsi="Arial"/>
                <w:sz w:val="20"/>
                <w:szCs w:val="20"/>
              </w:rPr>
            </w:pPr>
            <w:r>
              <w:rPr>
                <w:rFonts w:ascii="Arial" w:hAnsi="Arial" w:cs="Arial"/>
                <w:b/>
                <w:bCs/>
                <w:sz w:val="20"/>
                <w:szCs w:val="20"/>
              </w:rPr>
              <w:t>A x B x C</w:t>
            </w:r>
          </w:p>
        </w:tc>
        <w:tc>
          <w:tcPr>
            <w:tcW w:w="1080" w:type="dxa"/>
            <w:tcBorders>
              <w:left w:val="double" w:color="auto" w:sz="4" w:space="0"/>
            </w:tcBorders>
            <w:vAlign w:val="center"/>
          </w:tcPr>
          <w:p w:rsidR="003B0815" w:rsidRDefault="003B0815" w14:paraId="4059F4DE" w14:textId="77777777">
            <w:pPr>
              <w:keepNext/>
              <w:jc w:val="center"/>
              <w:rPr>
                <w:rFonts w:ascii="Arial" w:hAnsi="Arial"/>
                <w:sz w:val="20"/>
                <w:szCs w:val="20"/>
              </w:rPr>
            </w:pPr>
            <w:r>
              <w:rPr>
                <w:rFonts w:ascii="Arial" w:hAnsi="Arial" w:cs="Arial"/>
                <w:b/>
                <w:bCs/>
                <w:sz w:val="20"/>
                <w:szCs w:val="20"/>
              </w:rPr>
              <w:t>(E)</w:t>
            </w:r>
          </w:p>
        </w:tc>
        <w:tc>
          <w:tcPr>
            <w:tcW w:w="1080" w:type="dxa"/>
            <w:vAlign w:val="center"/>
          </w:tcPr>
          <w:p w:rsidR="003B0815" w:rsidRDefault="003B0815" w14:paraId="5613C2A3" w14:textId="77777777">
            <w:pPr>
              <w:keepNext/>
              <w:jc w:val="center"/>
              <w:rPr>
                <w:rFonts w:ascii="Arial" w:hAnsi="Arial"/>
                <w:sz w:val="20"/>
                <w:szCs w:val="20"/>
              </w:rPr>
            </w:pPr>
            <w:r>
              <w:rPr>
                <w:rFonts w:ascii="Arial" w:hAnsi="Arial" w:cs="Arial"/>
                <w:b/>
                <w:bCs/>
                <w:sz w:val="20"/>
                <w:szCs w:val="20"/>
              </w:rPr>
              <w:t>(F)</w:t>
            </w:r>
          </w:p>
        </w:tc>
        <w:tc>
          <w:tcPr>
            <w:tcW w:w="1260" w:type="dxa"/>
            <w:tcBorders>
              <w:bottom w:val="single" w:color="auto" w:sz="4" w:space="0"/>
              <w:right w:val="double" w:color="auto" w:sz="4" w:space="0"/>
            </w:tcBorders>
            <w:vAlign w:val="center"/>
          </w:tcPr>
          <w:p w:rsidR="003B0815" w:rsidRDefault="003B0815" w14:paraId="4F1EC6D3" w14:textId="77777777">
            <w:pPr>
              <w:keepNext/>
              <w:jc w:val="center"/>
              <w:rPr>
                <w:rFonts w:ascii="Arial" w:hAnsi="Arial"/>
                <w:sz w:val="20"/>
                <w:szCs w:val="20"/>
              </w:rPr>
            </w:pPr>
            <w:r>
              <w:rPr>
                <w:rFonts w:ascii="Arial" w:hAnsi="Arial" w:cs="Arial"/>
                <w:b/>
                <w:bCs/>
                <w:sz w:val="20"/>
                <w:szCs w:val="20"/>
              </w:rPr>
              <w:t xml:space="preserve">(G) = </w:t>
            </w:r>
            <w:r>
              <w:rPr>
                <w:rFonts w:ascii="Arial" w:hAnsi="Arial" w:cs="Arial"/>
                <w:b/>
                <w:bCs/>
                <w:sz w:val="20"/>
                <w:szCs w:val="20"/>
              </w:rPr>
              <w:br/>
              <w:t>A x E x F</w:t>
            </w:r>
          </w:p>
        </w:tc>
        <w:tc>
          <w:tcPr>
            <w:tcW w:w="1260" w:type="dxa"/>
            <w:tcBorders>
              <w:left w:val="double" w:color="auto" w:sz="4" w:space="0"/>
              <w:bottom w:val="single" w:color="auto" w:sz="4" w:space="0"/>
              <w:right w:val="single" w:color="auto" w:sz="12" w:space="0"/>
            </w:tcBorders>
            <w:vAlign w:val="center"/>
          </w:tcPr>
          <w:p w:rsidR="003B0815" w:rsidRDefault="003B0815" w14:paraId="6ABE5DCC" w14:textId="77777777">
            <w:pPr>
              <w:keepNext/>
              <w:jc w:val="center"/>
              <w:rPr>
                <w:rFonts w:ascii="Arial" w:hAnsi="Arial"/>
                <w:sz w:val="20"/>
                <w:szCs w:val="20"/>
              </w:rPr>
            </w:pPr>
            <w:r>
              <w:rPr>
                <w:rFonts w:ascii="Arial" w:hAnsi="Arial" w:cs="Arial"/>
                <w:b/>
                <w:bCs/>
                <w:sz w:val="20"/>
                <w:szCs w:val="20"/>
              </w:rPr>
              <w:t>(H) = D + G</w:t>
            </w:r>
          </w:p>
        </w:tc>
      </w:tr>
      <w:tr w:rsidR="003B0815" w14:paraId="0B6944D6" w14:textId="77777777">
        <w:trPr>
          <w:jc w:val="center"/>
        </w:trPr>
        <w:tc>
          <w:tcPr>
            <w:tcW w:w="731" w:type="dxa"/>
            <w:tcBorders>
              <w:left w:val="single" w:color="auto" w:sz="12" w:space="0"/>
            </w:tcBorders>
          </w:tcPr>
          <w:p w:rsidR="003B0815" w:rsidRDefault="003B0815" w14:paraId="2D18107D" w14:textId="77777777">
            <w:pPr>
              <w:keepNext/>
              <w:jc w:val="center"/>
              <w:rPr>
                <w:rFonts w:ascii="Arial" w:hAnsi="Arial"/>
                <w:sz w:val="20"/>
                <w:szCs w:val="20"/>
              </w:rPr>
            </w:pPr>
            <w:r>
              <w:t>2008</w:t>
            </w:r>
          </w:p>
        </w:tc>
        <w:tc>
          <w:tcPr>
            <w:tcW w:w="828" w:type="dxa"/>
            <w:vAlign w:val="bottom"/>
          </w:tcPr>
          <w:p w:rsidR="003B0815" w:rsidRDefault="003B0815" w14:paraId="0F3D548B"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EE116C3" w14:textId="77777777">
            <w:pPr>
              <w:keepNext/>
              <w:jc w:val="right"/>
              <w:rPr>
                <w:rFonts w:ascii="Arial" w:hAnsi="Arial"/>
                <w:sz w:val="20"/>
                <w:szCs w:val="20"/>
              </w:rPr>
            </w:pPr>
            <w:r>
              <w:rPr>
                <w:rFonts w:ascii="Arial" w:hAnsi="Arial" w:cs="Arial"/>
                <w:sz w:val="20"/>
                <w:szCs w:val="20"/>
              </w:rPr>
              <w:t>44.3</w:t>
            </w:r>
          </w:p>
        </w:tc>
        <w:tc>
          <w:tcPr>
            <w:tcW w:w="1080" w:type="dxa"/>
            <w:vAlign w:val="bottom"/>
          </w:tcPr>
          <w:p w:rsidR="003B0815" w:rsidRDefault="003B0815" w14:paraId="5C330E81"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2DC058A2" w14:textId="77777777">
            <w:pPr>
              <w:keepNext/>
              <w:jc w:val="right"/>
              <w:rPr>
                <w:rFonts w:ascii="Arial" w:hAnsi="Arial"/>
                <w:sz w:val="20"/>
                <w:szCs w:val="20"/>
              </w:rPr>
            </w:pPr>
            <w:r>
              <w:rPr>
                <w:rFonts w:ascii="Arial" w:hAnsi="Arial" w:cs="Arial"/>
                <w:sz w:val="20"/>
                <w:szCs w:val="20"/>
              </w:rPr>
              <w:t>$7.6</w:t>
            </w:r>
          </w:p>
        </w:tc>
        <w:tc>
          <w:tcPr>
            <w:tcW w:w="1080" w:type="dxa"/>
            <w:tcBorders>
              <w:left w:val="double" w:color="auto" w:sz="4" w:space="0"/>
            </w:tcBorders>
            <w:vAlign w:val="bottom"/>
          </w:tcPr>
          <w:p w:rsidR="003B0815" w:rsidRDefault="003B0815" w14:paraId="47151CA9" w14:textId="77777777">
            <w:pPr>
              <w:keepNext/>
              <w:jc w:val="right"/>
              <w:rPr>
                <w:rFonts w:ascii="Arial" w:hAnsi="Arial"/>
                <w:sz w:val="20"/>
                <w:szCs w:val="20"/>
              </w:rPr>
            </w:pPr>
            <w:r>
              <w:rPr>
                <w:rFonts w:ascii="Arial" w:hAnsi="Arial" w:cs="Arial"/>
                <w:sz w:val="20"/>
                <w:szCs w:val="20"/>
              </w:rPr>
              <w:t>42.6</w:t>
            </w:r>
          </w:p>
        </w:tc>
        <w:tc>
          <w:tcPr>
            <w:tcW w:w="1080" w:type="dxa"/>
            <w:vAlign w:val="bottom"/>
          </w:tcPr>
          <w:p w:rsidR="003B0815" w:rsidRDefault="003B0815" w14:paraId="0FF9691F"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E42890D" w14:textId="77777777">
            <w:pPr>
              <w:keepNext/>
              <w:jc w:val="right"/>
              <w:rPr>
                <w:rFonts w:ascii="Arial" w:hAnsi="Arial"/>
                <w:sz w:val="20"/>
                <w:szCs w:val="20"/>
              </w:rPr>
            </w:pPr>
            <w:r>
              <w:rPr>
                <w:rFonts w:ascii="Arial" w:hAnsi="Arial" w:cs="Arial"/>
                <w:sz w:val="20"/>
                <w:szCs w:val="20"/>
              </w:rPr>
              <w:t xml:space="preserve">$3.7 </w:t>
            </w:r>
          </w:p>
        </w:tc>
        <w:tc>
          <w:tcPr>
            <w:tcW w:w="1260" w:type="dxa"/>
            <w:tcBorders>
              <w:left w:val="double" w:color="auto" w:sz="4" w:space="0"/>
              <w:right w:val="single" w:color="auto" w:sz="12" w:space="0"/>
            </w:tcBorders>
            <w:shd w:val="clear" w:color="auto" w:fill="C0C0C0"/>
            <w:vAlign w:val="bottom"/>
          </w:tcPr>
          <w:p w:rsidR="003B0815" w:rsidRDefault="003B0815" w14:paraId="099099CF" w14:textId="77777777">
            <w:pPr>
              <w:keepNext/>
              <w:jc w:val="right"/>
              <w:rPr>
                <w:rFonts w:ascii="Arial" w:hAnsi="Arial"/>
                <w:sz w:val="20"/>
                <w:szCs w:val="20"/>
              </w:rPr>
            </w:pPr>
            <w:r>
              <w:rPr>
                <w:rFonts w:ascii="Arial" w:hAnsi="Arial" w:cs="Arial"/>
                <w:sz w:val="20"/>
                <w:szCs w:val="20"/>
              </w:rPr>
              <w:t xml:space="preserve">$11.3 </w:t>
            </w:r>
          </w:p>
        </w:tc>
      </w:tr>
      <w:tr w:rsidR="003B0815" w14:paraId="000299FB" w14:textId="77777777">
        <w:trPr>
          <w:jc w:val="center"/>
        </w:trPr>
        <w:tc>
          <w:tcPr>
            <w:tcW w:w="731" w:type="dxa"/>
            <w:tcBorders>
              <w:left w:val="single" w:color="auto" w:sz="12" w:space="0"/>
            </w:tcBorders>
          </w:tcPr>
          <w:p w:rsidR="003B0815" w:rsidRDefault="003B0815" w14:paraId="608286C7" w14:textId="77777777">
            <w:pPr>
              <w:keepNext/>
              <w:jc w:val="center"/>
              <w:rPr>
                <w:rFonts w:ascii="Arial" w:hAnsi="Arial"/>
                <w:sz w:val="20"/>
                <w:szCs w:val="20"/>
              </w:rPr>
            </w:pPr>
            <w:r>
              <w:t>2009</w:t>
            </w:r>
          </w:p>
        </w:tc>
        <w:tc>
          <w:tcPr>
            <w:tcW w:w="828" w:type="dxa"/>
            <w:vAlign w:val="bottom"/>
          </w:tcPr>
          <w:p w:rsidR="003B0815" w:rsidRDefault="003B0815" w14:paraId="0A79739C"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054F00D" w14:textId="77777777">
            <w:pPr>
              <w:keepNext/>
              <w:jc w:val="right"/>
              <w:rPr>
                <w:rFonts w:ascii="Arial" w:hAnsi="Arial"/>
                <w:sz w:val="20"/>
                <w:szCs w:val="20"/>
              </w:rPr>
            </w:pPr>
            <w:r>
              <w:rPr>
                <w:rFonts w:ascii="Arial" w:hAnsi="Arial" w:cs="Arial"/>
                <w:sz w:val="20"/>
                <w:szCs w:val="20"/>
              </w:rPr>
              <w:t>46.5</w:t>
            </w:r>
          </w:p>
        </w:tc>
        <w:tc>
          <w:tcPr>
            <w:tcW w:w="1080" w:type="dxa"/>
            <w:vAlign w:val="bottom"/>
          </w:tcPr>
          <w:p w:rsidR="003B0815" w:rsidRDefault="003B0815" w14:paraId="058A0E66"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1C571348" w14:textId="77777777">
            <w:pPr>
              <w:keepNext/>
              <w:jc w:val="right"/>
              <w:rPr>
                <w:rFonts w:ascii="Arial" w:hAnsi="Arial"/>
                <w:sz w:val="20"/>
                <w:szCs w:val="20"/>
              </w:rPr>
            </w:pPr>
            <w:r>
              <w:rPr>
                <w:rFonts w:ascii="Arial" w:hAnsi="Arial" w:cs="Arial"/>
                <w:sz w:val="20"/>
                <w:szCs w:val="20"/>
              </w:rPr>
              <w:t>7.9</w:t>
            </w:r>
          </w:p>
        </w:tc>
        <w:tc>
          <w:tcPr>
            <w:tcW w:w="1080" w:type="dxa"/>
            <w:tcBorders>
              <w:left w:val="double" w:color="auto" w:sz="4" w:space="0"/>
            </w:tcBorders>
            <w:vAlign w:val="bottom"/>
          </w:tcPr>
          <w:p w:rsidR="003B0815" w:rsidRDefault="003B0815" w14:paraId="538B7BC9" w14:textId="77777777">
            <w:pPr>
              <w:keepNext/>
              <w:jc w:val="right"/>
              <w:rPr>
                <w:rFonts w:ascii="Arial" w:hAnsi="Arial"/>
                <w:sz w:val="20"/>
                <w:szCs w:val="20"/>
              </w:rPr>
            </w:pPr>
            <w:r>
              <w:rPr>
                <w:rFonts w:ascii="Arial" w:hAnsi="Arial" w:cs="Arial"/>
                <w:sz w:val="20"/>
                <w:szCs w:val="20"/>
              </w:rPr>
              <w:t>44.7</w:t>
            </w:r>
          </w:p>
        </w:tc>
        <w:tc>
          <w:tcPr>
            <w:tcW w:w="1080" w:type="dxa"/>
            <w:vAlign w:val="bottom"/>
          </w:tcPr>
          <w:p w:rsidR="003B0815" w:rsidRDefault="003B0815" w14:paraId="2918A490"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316DFA49" w14:textId="77777777">
            <w:pPr>
              <w:keepNext/>
              <w:jc w:val="right"/>
              <w:rPr>
                <w:rFonts w:ascii="Arial" w:hAnsi="Arial"/>
                <w:sz w:val="20"/>
                <w:szCs w:val="20"/>
              </w:rPr>
            </w:pPr>
            <w:r>
              <w:rPr>
                <w:rFonts w:ascii="Arial" w:hAnsi="Arial" w:cs="Arial"/>
                <w:sz w:val="20"/>
                <w:szCs w:val="20"/>
              </w:rPr>
              <w:t xml:space="preserve">3.8 </w:t>
            </w:r>
          </w:p>
        </w:tc>
        <w:tc>
          <w:tcPr>
            <w:tcW w:w="1260" w:type="dxa"/>
            <w:tcBorders>
              <w:left w:val="double" w:color="auto" w:sz="4" w:space="0"/>
              <w:right w:val="single" w:color="auto" w:sz="12" w:space="0"/>
            </w:tcBorders>
            <w:shd w:val="clear" w:color="auto" w:fill="C0C0C0"/>
            <w:vAlign w:val="bottom"/>
          </w:tcPr>
          <w:p w:rsidR="003B0815" w:rsidRDefault="003B0815" w14:paraId="6327916B" w14:textId="77777777">
            <w:pPr>
              <w:keepNext/>
              <w:jc w:val="right"/>
              <w:rPr>
                <w:rFonts w:ascii="Arial" w:hAnsi="Arial"/>
                <w:sz w:val="20"/>
                <w:szCs w:val="20"/>
              </w:rPr>
            </w:pPr>
            <w:r>
              <w:rPr>
                <w:rFonts w:ascii="Arial" w:hAnsi="Arial" w:cs="Arial"/>
                <w:sz w:val="20"/>
                <w:szCs w:val="20"/>
              </w:rPr>
              <w:t xml:space="preserve">11.7 </w:t>
            </w:r>
          </w:p>
        </w:tc>
      </w:tr>
      <w:tr w:rsidR="003B0815" w14:paraId="7C794074" w14:textId="77777777">
        <w:trPr>
          <w:jc w:val="center"/>
        </w:trPr>
        <w:tc>
          <w:tcPr>
            <w:tcW w:w="731" w:type="dxa"/>
            <w:tcBorders>
              <w:left w:val="single" w:color="auto" w:sz="12" w:space="0"/>
            </w:tcBorders>
          </w:tcPr>
          <w:p w:rsidR="003B0815" w:rsidRDefault="003B0815" w14:paraId="7ED9D911" w14:textId="77777777">
            <w:pPr>
              <w:keepNext/>
              <w:jc w:val="center"/>
              <w:rPr>
                <w:rFonts w:ascii="Arial" w:hAnsi="Arial"/>
                <w:sz w:val="20"/>
                <w:szCs w:val="20"/>
              </w:rPr>
            </w:pPr>
            <w:r>
              <w:t>2010</w:t>
            </w:r>
          </w:p>
        </w:tc>
        <w:tc>
          <w:tcPr>
            <w:tcW w:w="828" w:type="dxa"/>
            <w:vAlign w:val="bottom"/>
          </w:tcPr>
          <w:p w:rsidR="003B0815" w:rsidRDefault="003B0815" w14:paraId="06696BCC"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155933E0" w14:textId="77777777">
            <w:pPr>
              <w:keepNext/>
              <w:jc w:val="right"/>
              <w:rPr>
                <w:rFonts w:ascii="Arial" w:hAnsi="Arial"/>
                <w:sz w:val="20"/>
                <w:szCs w:val="20"/>
              </w:rPr>
            </w:pPr>
            <w:r>
              <w:rPr>
                <w:rFonts w:ascii="Arial" w:hAnsi="Arial" w:cs="Arial"/>
                <w:sz w:val="20"/>
                <w:szCs w:val="20"/>
              </w:rPr>
              <w:t>48.9</w:t>
            </w:r>
          </w:p>
        </w:tc>
        <w:tc>
          <w:tcPr>
            <w:tcW w:w="1080" w:type="dxa"/>
            <w:vAlign w:val="bottom"/>
          </w:tcPr>
          <w:p w:rsidR="003B0815" w:rsidRDefault="003B0815" w14:paraId="1A27C5C9"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02DB6659" w14:textId="77777777">
            <w:pPr>
              <w:keepNext/>
              <w:jc w:val="right"/>
              <w:rPr>
                <w:rFonts w:ascii="Arial" w:hAnsi="Arial"/>
                <w:sz w:val="20"/>
                <w:szCs w:val="20"/>
              </w:rPr>
            </w:pPr>
            <w:r>
              <w:rPr>
                <w:rFonts w:ascii="Arial" w:hAnsi="Arial" w:cs="Arial"/>
                <w:sz w:val="20"/>
                <w:szCs w:val="20"/>
              </w:rPr>
              <w:t>8.3</w:t>
            </w:r>
          </w:p>
        </w:tc>
        <w:tc>
          <w:tcPr>
            <w:tcW w:w="1080" w:type="dxa"/>
            <w:tcBorders>
              <w:left w:val="double" w:color="auto" w:sz="4" w:space="0"/>
            </w:tcBorders>
            <w:vAlign w:val="bottom"/>
          </w:tcPr>
          <w:p w:rsidR="003B0815" w:rsidRDefault="003B0815" w14:paraId="35F20BE5" w14:textId="77777777">
            <w:pPr>
              <w:keepNext/>
              <w:jc w:val="right"/>
              <w:rPr>
                <w:rFonts w:ascii="Arial" w:hAnsi="Arial"/>
                <w:sz w:val="20"/>
                <w:szCs w:val="20"/>
              </w:rPr>
            </w:pPr>
            <w:r>
              <w:rPr>
                <w:rFonts w:ascii="Arial" w:hAnsi="Arial" w:cs="Arial"/>
                <w:sz w:val="20"/>
                <w:szCs w:val="20"/>
              </w:rPr>
              <w:t>47.0</w:t>
            </w:r>
          </w:p>
        </w:tc>
        <w:tc>
          <w:tcPr>
            <w:tcW w:w="1080" w:type="dxa"/>
            <w:vAlign w:val="bottom"/>
          </w:tcPr>
          <w:p w:rsidR="003B0815" w:rsidRDefault="003B0815" w14:paraId="21BF2670"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3D3263CA" w14:textId="77777777">
            <w:pPr>
              <w:keepNext/>
              <w:jc w:val="right"/>
              <w:rPr>
                <w:rFonts w:ascii="Arial" w:hAnsi="Arial"/>
                <w:sz w:val="20"/>
                <w:szCs w:val="20"/>
              </w:rPr>
            </w:pPr>
            <w:r>
              <w:rPr>
                <w:rFonts w:ascii="Arial" w:hAnsi="Arial" w:cs="Arial"/>
                <w:sz w:val="20"/>
                <w:szCs w:val="20"/>
              </w:rPr>
              <w:t xml:space="preserve">4.0 </w:t>
            </w:r>
          </w:p>
        </w:tc>
        <w:tc>
          <w:tcPr>
            <w:tcW w:w="1260" w:type="dxa"/>
            <w:tcBorders>
              <w:left w:val="double" w:color="auto" w:sz="4" w:space="0"/>
              <w:right w:val="single" w:color="auto" w:sz="12" w:space="0"/>
            </w:tcBorders>
            <w:shd w:val="clear" w:color="auto" w:fill="C0C0C0"/>
            <w:vAlign w:val="bottom"/>
          </w:tcPr>
          <w:p w:rsidR="003B0815" w:rsidRDefault="003B0815" w14:paraId="512B12B3" w14:textId="77777777">
            <w:pPr>
              <w:keepNext/>
              <w:jc w:val="right"/>
              <w:rPr>
                <w:rFonts w:ascii="Arial" w:hAnsi="Arial"/>
                <w:sz w:val="20"/>
                <w:szCs w:val="20"/>
              </w:rPr>
            </w:pPr>
            <w:r>
              <w:rPr>
                <w:rFonts w:ascii="Arial" w:hAnsi="Arial" w:cs="Arial"/>
                <w:sz w:val="20"/>
                <w:szCs w:val="20"/>
              </w:rPr>
              <w:t xml:space="preserve">12.3 </w:t>
            </w:r>
          </w:p>
        </w:tc>
      </w:tr>
      <w:tr w:rsidR="003B0815" w14:paraId="1F07D0CD" w14:textId="77777777">
        <w:trPr>
          <w:jc w:val="center"/>
        </w:trPr>
        <w:tc>
          <w:tcPr>
            <w:tcW w:w="731" w:type="dxa"/>
            <w:tcBorders>
              <w:left w:val="single" w:color="auto" w:sz="12" w:space="0"/>
            </w:tcBorders>
          </w:tcPr>
          <w:p w:rsidR="003B0815" w:rsidRDefault="003B0815" w14:paraId="52AAA3C4" w14:textId="77777777">
            <w:pPr>
              <w:keepNext/>
              <w:jc w:val="center"/>
              <w:rPr>
                <w:rFonts w:ascii="Arial" w:hAnsi="Arial"/>
                <w:sz w:val="20"/>
                <w:szCs w:val="20"/>
              </w:rPr>
            </w:pPr>
            <w:r>
              <w:t>2011</w:t>
            </w:r>
          </w:p>
        </w:tc>
        <w:tc>
          <w:tcPr>
            <w:tcW w:w="828" w:type="dxa"/>
            <w:vAlign w:val="bottom"/>
          </w:tcPr>
          <w:p w:rsidR="003B0815" w:rsidRDefault="003B0815" w14:paraId="77597955"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E9097A2" w14:textId="77777777">
            <w:pPr>
              <w:keepNext/>
              <w:jc w:val="right"/>
              <w:rPr>
                <w:rFonts w:ascii="Arial" w:hAnsi="Arial"/>
                <w:sz w:val="20"/>
                <w:szCs w:val="20"/>
              </w:rPr>
            </w:pPr>
            <w:r>
              <w:rPr>
                <w:rFonts w:ascii="Arial" w:hAnsi="Arial" w:cs="Arial"/>
                <w:sz w:val="20"/>
                <w:szCs w:val="20"/>
              </w:rPr>
              <w:t>51.4</w:t>
            </w:r>
          </w:p>
        </w:tc>
        <w:tc>
          <w:tcPr>
            <w:tcW w:w="1080" w:type="dxa"/>
            <w:vAlign w:val="bottom"/>
          </w:tcPr>
          <w:p w:rsidR="003B0815" w:rsidRDefault="003B0815" w14:paraId="4C15EF1A"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00829CB4" w14:textId="77777777">
            <w:pPr>
              <w:keepNext/>
              <w:jc w:val="right"/>
              <w:rPr>
                <w:rFonts w:ascii="Arial" w:hAnsi="Arial"/>
                <w:sz w:val="20"/>
                <w:szCs w:val="20"/>
              </w:rPr>
            </w:pPr>
            <w:r>
              <w:rPr>
                <w:rFonts w:ascii="Arial" w:hAnsi="Arial" w:cs="Arial"/>
                <w:sz w:val="20"/>
                <w:szCs w:val="20"/>
              </w:rPr>
              <w:t>8.8</w:t>
            </w:r>
          </w:p>
        </w:tc>
        <w:tc>
          <w:tcPr>
            <w:tcW w:w="1080" w:type="dxa"/>
            <w:tcBorders>
              <w:left w:val="double" w:color="auto" w:sz="4" w:space="0"/>
            </w:tcBorders>
            <w:vAlign w:val="bottom"/>
          </w:tcPr>
          <w:p w:rsidR="003B0815" w:rsidRDefault="003B0815" w14:paraId="2DC25A37" w14:textId="77777777">
            <w:pPr>
              <w:keepNext/>
              <w:jc w:val="right"/>
              <w:rPr>
                <w:rFonts w:ascii="Arial" w:hAnsi="Arial"/>
                <w:sz w:val="20"/>
                <w:szCs w:val="20"/>
              </w:rPr>
            </w:pPr>
            <w:r>
              <w:rPr>
                <w:rFonts w:ascii="Arial" w:hAnsi="Arial" w:cs="Arial"/>
                <w:sz w:val="20"/>
                <w:szCs w:val="20"/>
              </w:rPr>
              <w:t>49.3</w:t>
            </w:r>
          </w:p>
        </w:tc>
        <w:tc>
          <w:tcPr>
            <w:tcW w:w="1080" w:type="dxa"/>
            <w:vAlign w:val="bottom"/>
          </w:tcPr>
          <w:p w:rsidR="003B0815" w:rsidRDefault="003B0815" w14:paraId="140BCBFF"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239DB6B7" w14:textId="77777777">
            <w:pPr>
              <w:keepNext/>
              <w:jc w:val="right"/>
              <w:rPr>
                <w:rFonts w:ascii="Arial" w:hAnsi="Arial"/>
                <w:sz w:val="20"/>
                <w:szCs w:val="20"/>
              </w:rPr>
            </w:pPr>
            <w:r>
              <w:rPr>
                <w:rFonts w:ascii="Arial" w:hAnsi="Arial" w:cs="Arial"/>
                <w:sz w:val="20"/>
                <w:szCs w:val="20"/>
              </w:rPr>
              <w:t xml:space="preserve">4.2 </w:t>
            </w:r>
          </w:p>
        </w:tc>
        <w:tc>
          <w:tcPr>
            <w:tcW w:w="1260" w:type="dxa"/>
            <w:tcBorders>
              <w:left w:val="double" w:color="auto" w:sz="4" w:space="0"/>
              <w:right w:val="single" w:color="auto" w:sz="12" w:space="0"/>
            </w:tcBorders>
            <w:shd w:val="clear" w:color="auto" w:fill="C0C0C0"/>
            <w:vAlign w:val="bottom"/>
          </w:tcPr>
          <w:p w:rsidR="003B0815" w:rsidRDefault="003B0815" w14:paraId="747747BB" w14:textId="77777777">
            <w:pPr>
              <w:keepNext/>
              <w:jc w:val="right"/>
              <w:rPr>
                <w:rFonts w:ascii="Arial" w:hAnsi="Arial"/>
                <w:sz w:val="20"/>
                <w:szCs w:val="20"/>
              </w:rPr>
            </w:pPr>
            <w:r>
              <w:rPr>
                <w:rFonts w:ascii="Arial" w:hAnsi="Arial" w:cs="Arial"/>
                <w:sz w:val="20"/>
                <w:szCs w:val="20"/>
              </w:rPr>
              <w:t xml:space="preserve">13.0 </w:t>
            </w:r>
          </w:p>
        </w:tc>
      </w:tr>
      <w:tr w:rsidR="003B0815" w14:paraId="7986ED60" w14:textId="77777777">
        <w:trPr>
          <w:jc w:val="center"/>
        </w:trPr>
        <w:tc>
          <w:tcPr>
            <w:tcW w:w="731" w:type="dxa"/>
            <w:tcBorders>
              <w:left w:val="single" w:color="auto" w:sz="12" w:space="0"/>
            </w:tcBorders>
          </w:tcPr>
          <w:p w:rsidR="003B0815" w:rsidRDefault="003B0815" w14:paraId="09E20E16" w14:textId="77777777">
            <w:pPr>
              <w:keepNext/>
              <w:jc w:val="center"/>
              <w:rPr>
                <w:rFonts w:ascii="Arial" w:hAnsi="Arial"/>
                <w:sz w:val="20"/>
                <w:szCs w:val="20"/>
              </w:rPr>
            </w:pPr>
            <w:r>
              <w:t>2012</w:t>
            </w:r>
          </w:p>
        </w:tc>
        <w:tc>
          <w:tcPr>
            <w:tcW w:w="828" w:type="dxa"/>
            <w:vAlign w:val="bottom"/>
          </w:tcPr>
          <w:p w:rsidR="003B0815" w:rsidRDefault="003B0815" w14:paraId="40430BA7"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6722DF35" w14:textId="77777777">
            <w:pPr>
              <w:keepNext/>
              <w:jc w:val="right"/>
              <w:rPr>
                <w:rFonts w:ascii="Arial" w:hAnsi="Arial"/>
                <w:sz w:val="20"/>
                <w:szCs w:val="20"/>
              </w:rPr>
            </w:pPr>
            <w:r>
              <w:rPr>
                <w:rFonts w:ascii="Arial" w:hAnsi="Arial" w:cs="Arial"/>
                <w:sz w:val="20"/>
                <w:szCs w:val="20"/>
              </w:rPr>
              <w:t>53.9</w:t>
            </w:r>
          </w:p>
        </w:tc>
        <w:tc>
          <w:tcPr>
            <w:tcW w:w="1080" w:type="dxa"/>
            <w:vAlign w:val="bottom"/>
          </w:tcPr>
          <w:p w:rsidR="003B0815" w:rsidRDefault="003B0815" w14:paraId="3FD9D06B"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221D5C62" w14:textId="77777777">
            <w:pPr>
              <w:keepNext/>
              <w:jc w:val="right"/>
              <w:rPr>
                <w:rFonts w:ascii="Arial" w:hAnsi="Arial"/>
                <w:sz w:val="20"/>
                <w:szCs w:val="20"/>
              </w:rPr>
            </w:pPr>
            <w:r>
              <w:rPr>
                <w:rFonts w:ascii="Arial" w:hAnsi="Arial" w:cs="Arial"/>
                <w:sz w:val="20"/>
                <w:szCs w:val="20"/>
              </w:rPr>
              <w:t>9.3</w:t>
            </w:r>
          </w:p>
        </w:tc>
        <w:tc>
          <w:tcPr>
            <w:tcW w:w="1080" w:type="dxa"/>
            <w:tcBorders>
              <w:left w:val="double" w:color="auto" w:sz="4" w:space="0"/>
            </w:tcBorders>
            <w:vAlign w:val="bottom"/>
          </w:tcPr>
          <w:p w:rsidR="003B0815" w:rsidRDefault="003B0815" w14:paraId="5B6DE854" w14:textId="77777777">
            <w:pPr>
              <w:keepNext/>
              <w:jc w:val="right"/>
              <w:rPr>
                <w:rFonts w:ascii="Arial" w:hAnsi="Arial"/>
                <w:sz w:val="20"/>
                <w:szCs w:val="20"/>
              </w:rPr>
            </w:pPr>
            <w:r>
              <w:rPr>
                <w:rFonts w:ascii="Arial" w:hAnsi="Arial" w:cs="Arial"/>
                <w:sz w:val="20"/>
                <w:szCs w:val="20"/>
              </w:rPr>
              <w:t>51.8</w:t>
            </w:r>
          </w:p>
        </w:tc>
        <w:tc>
          <w:tcPr>
            <w:tcW w:w="1080" w:type="dxa"/>
            <w:vAlign w:val="bottom"/>
          </w:tcPr>
          <w:p w:rsidR="003B0815" w:rsidRDefault="003B0815" w14:paraId="2276B85B"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3F8B4CBB" w14:textId="77777777">
            <w:pPr>
              <w:keepNext/>
              <w:jc w:val="right"/>
              <w:rPr>
                <w:rFonts w:ascii="Arial" w:hAnsi="Arial"/>
                <w:sz w:val="20"/>
                <w:szCs w:val="20"/>
              </w:rPr>
            </w:pPr>
            <w:r>
              <w:rPr>
                <w:rFonts w:ascii="Arial" w:hAnsi="Arial" w:cs="Arial"/>
                <w:sz w:val="20"/>
                <w:szCs w:val="20"/>
              </w:rPr>
              <w:t xml:space="preserve">4.5 </w:t>
            </w:r>
          </w:p>
        </w:tc>
        <w:tc>
          <w:tcPr>
            <w:tcW w:w="1260" w:type="dxa"/>
            <w:tcBorders>
              <w:left w:val="double" w:color="auto" w:sz="4" w:space="0"/>
              <w:right w:val="single" w:color="auto" w:sz="12" w:space="0"/>
            </w:tcBorders>
            <w:shd w:val="clear" w:color="auto" w:fill="C0C0C0"/>
            <w:vAlign w:val="bottom"/>
          </w:tcPr>
          <w:p w:rsidR="003B0815" w:rsidRDefault="003B0815" w14:paraId="5E0B7B52" w14:textId="77777777">
            <w:pPr>
              <w:keepNext/>
              <w:jc w:val="right"/>
              <w:rPr>
                <w:rFonts w:ascii="Arial" w:hAnsi="Arial"/>
                <w:sz w:val="20"/>
                <w:szCs w:val="20"/>
              </w:rPr>
            </w:pPr>
            <w:r>
              <w:rPr>
                <w:rFonts w:ascii="Arial" w:hAnsi="Arial" w:cs="Arial"/>
                <w:sz w:val="20"/>
                <w:szCs w:val="20"/>
              </w:rPr>
              <w:t xml:space="preserve">13.8 </w:t>
            </w:r>
          </w:p>
        </w:tc>
      </w:tr>
      <w:tr w:rsidR="003B0815" w14:paraId="74FE3A83" w14:textId="77777777">
        <w:trPr>
          <w:jc w:val="center"/>
        </w:trPr>
        <w:tc>
          <w:tcPr>
            <w:tcW w:w="731" w:type="dxa"/>
            <w:tcBorders>
              <w:left w:val="single" w:color="auto" w:sz="12" w:space="0"/>
            </w:tcBorders>
          </w:tcPr>
          <w:p w:rsidR="003B0815" w:rsidRDefault="003B0815" w14:paraId="484D6DFE" w14:textId="77777777">
            <w:pPr>
              <w:keepNext/>
              <w:jc w:val="center"/>
              <w:rPr>
                <w:rFonts w:ascii="Arial" w:hAnsi="Arial"/>
                <w:sz w:val="20"/>
                <w:szCs w:val="20"/>
              </w:rPr>
            </w:pPr>
            <w:r>
              <w:t>2013</w:t>
            </w:r>
          </w:p>
        </w:tc>
        <w:tc>
          <w:tcPr>
            <w:tcW w:w="828" w:type="dxa"/>
            <w:vAlign w:val="bottom"/>
          </w:tcPr>
          <w:p w:rsidR="003B0815" w:rsidRDefault="003B0815" w14:paraId="5D817553"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4A7ED901" w14:textId="77777777">
            <w:pPr>
              <w:keepNext/>
              <w:jc w:val="right"/>
              <w:rPr>
                <w:rFonts w:ascii="Arial" w:hAnsi="Arial"/>
                <w:sz w:val="20"/>
                <w:szCs w:val="20"/>
              </w:rPr>
            </w:pPr>
            <w:r>
              <w:rPr>
                <w:rFonts w:ascii="Arial" w:hAnsi="Arial" w:cs="Arial"/>
                <w:sz w:val="20"/>
                <w:szCs w:val="20"/>
              </w:rPr>
              <w:t>56.5</w:t>
            </w:r>
          </w:p>
        </w:tc>
        <w:tc>
          <w:tcPr>
            <w:tcW w:w="1080" w:type="dxa"/>
            <w:vAlign w:val="bottom"/>
          </w:tcPr>
          <w:p w:rsidR="003B0815" w:rsidRDefault="003B0815" w14:paraId="7F57CBC2"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6630CDDB" w14:textId="77777777">
            <w:pPr>
              <w:keepNext/>
              <w:jc w:val="right"/>
              <w:rPr>
                <w:rFonts w:ascii="Arial" w:hAnsi="Arial"/>
                <w:sz w:val="20"/>
                <w:szCs w:val="20"/>
              </w:rPr>
            </w:pPr>
            <w:r>
              <w:rPr>
                <w:rFonts w:ascii="Arial" w:hAnsi="Arial" w:cs="Arial"/>
                <w:sz w:val="20"/>
                <w:szCs w:val="20"/>
              </w:rPr>
              <w:t>9.7</w:t>
            </w:r>
          </w:p>
        </w:tc>
        <w:tc>
          <w:tcPr>
            <w:tcW w:w="1080" w:type="dxa"/>
            <w:tcBorders>
              <w:left w:val="double" w:color="auto" w:sz="4" w:space="0"/>
            </w:tcBorders>
            <w:vAlign w:val="bottom"/>
          </w:tcPr>
          <w:p w:rsidR="003B0815" w:rsidRDefault="003B0815" w14:paraId="7956387A" w14:textId="77777777">
            <w:pPr>
              <w:keepNext/>
              <w:jc w:val="right"/>
              <w:rPr>
                <w:rFonts w:ascii="Arial" w:hAnsi="Arial"/>
                <w:sz w:val="20"/>
                <w:szCs w:val="20"/>
              </w:rPr>
            </w:pPr>
            <w:r>
              <w:rPr>
                <w:rFonts w:ascii="Arial" w:hAnsi="Arial" w:cs="Arial"/>
                <w:sz w:val="20"/>
                <w:szCs w:val="20"/>
              </w:rPr>
              <w:t>54.3</w:t>
            </w:r>
          </w:p>
        </w:tc>
        <w:tc>
          <w:tcPr>
            <w:tcW w:w="1080" w:type="dxa"/>
            <w:vAlign w:val="bottom"/>
          </w:tcPr>
          <w:p w:rsidR="003B0815" w:rsidRDefault="003B0815" w14:paraId="7BC18C10"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4B2749CF" w14:textId="77777777">
            <w:pPr>
              <w:keepNext/>
              <w:jc w:val="right"/>
              <w:rPr>
                <w:rFonts w:ascii="Arial" w:hAnsi="Arial"/>
                <w:sz w:val="20"/>
                <w:szCs w:val="20"/>
              </w:rPr>
            </w:pPr>
            <w:r>
              <w:rPr>
                <w:rFonts w:ascii="Arial" w:hAnsi="Arial" w:cs="Arial"/>
                <w:sz w:val="20"/>
                <w:szCs w:val="20"/>
              </w:rPr>
              <w:t xml:space="preserve">4.7 </w:t>
            </w:r>
          </w:p>
        </w:tc>
        <w:tc>
          <w:tcPr>
            <w:tcW w:w="1260" w:type="dxa"/>
            <w:tcBorders>
              <w:left w:val="double" w:color="auto" w:sz="4" w:space="0"/>
              <w:right w:val="single" w:color="auto" w:sz="12" w:space="0"/>
            </w:tcBorders>
            <w:shd w:val="clear" w:color="auto" w:fill="C0C0C0"/>
            <w:vAlign w:val="bottom"/>
          </w:tcPr>
          <w:p w:rsidR="003B0815" w:rsidRDefault="003B0815" w14:paraId="3D4757C0" w14:textId="77777777">
            <w:pPr>
              <w:keepNext/>
              <w:jc w:val="right"/>
              <w:rPr>
                <w:rFonts w:ascii="Arial" w:hAnsi="Arial"/>
                <w:sz w:val="20"/>
                <w:szCs w:val="20"/>
              </w:rPr>
            </w:pPr>
            <w:r>
              <w:rPr>
                <w:rFonts w:ascii="Arial" w:hAnsi="Arial" w:cs="Arial"/>
                <w:sz w:val="20"/>
                <w:szCs w:val="20"/>
              </w:rPr>
              <w:t xml:space="preserve">14.4 </w:t>
            </w:r>
          </w:p>
        </w:tc>
      </w:tr>
      <w:tr w:rsidR="003B0815" w14:paraId="56583490" w14:textId="77777777">
        <w:trPr>
          <w:jc w:val="center"/>
        </w:trPr>
        <w:tc>
          <w:tcPr>
            <w:tcW w:w="731" w:type="dxa"/>
            <w:tcBorders>
              <w:left w:val="single" w:color="auto" w:sz="12" w:space="0"/>
            </w:tcBorders>
          </w:tcPr>
          <w:p w:rsidR="003B0815" w:rsidRDefault="003B0815" w14:paraId="5817A4A8" w14:textId="77777777">
            <w:pPr>
              <w:keepNext/>
              <w:jc w:val="center"/>
              <w:rPr>
                <w:rFonts w:ascii="Arial" w:hAnsi="Arial"/>
                <w:sz w:val="20"/>
                <w:szCs w:val="20"/>
              </w:rPr>
            </w:pPr>
            <w:r>
              <w:t>2014</w:t>
            </w:r>
          </w:p>
        </w:tc>
        <w:tc>
          <w:tcPr>
            <w:tcW w:w="828" w:type="dxa"/>
            <w:vAlign w:val="bottom"/>
          </w:tcPr>
          <w:p w:rsidR="003B0815" w:rsidRDefault="003B0815" w14:paraId="1E149E9E"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1815E838" w14:textId="77777777">
            <w:pPr>
              <w:keepNext/>
              <w:jc w:val="right"/>
              <w:rPr>
                <w:rFonts w:ascii="Arial" w:hAnsi="Arial"/>
                <w:sz w:val="20"/>
                <w:szCs w:val="20"/>
              </w:rPr>
            </w:pPr>
            <w:r>
              <w:rPr>
                <w:rFonts w:ascii="Arial" w:hAnsi="Arial" w:cs="Arial"/>
                <w:sz w:val="20"/>
                <w:szCs w:val="20"/>
              </w:rPr>
              <w:t>59.5</w:t>
            </w:r>
          </w:p>
        </w:tc>
        <w:tc>
          <w:tcPr>
            <w:tcW w:w="1080" w:type="dxa"/>
            <w:vAlign w:val="bottom"/>
          </w:tcPr>
          <w:p w:rsidR="003B0815" w:rsidRDefault="003B0815" w14:paraId="1B7A7780"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44472418" w14:textId="77777777">
            <w:pPr>
              <w:keepNext/>
              <w:jc w:val="right"/>
              <w:rPr>
                <w:rFonts w:ascii="Arial" w:hAnsi="Arial"/>
                <w:sz w:val="20"/>
                <w:szCs w:val="20"/>
              </w:rPr>
            </w:pPr>
            <w:r>
              <w:rPr>
                <w:rFonts w:ascii="Arial" w:hAnsi="Arial" w:cs="Arial"/>
                <w:sz w:val="20"/>
                <w:szCs w:val="20"/>
              </w:rPr>
              <w:t>10.2</w:t>
            </w:r>
          </w:p>
        </w:tc>
        <w:tc>
          <w:tcPr>
            <w:tcW w:w="1080" w:type="dxa"/>
            <w:tcBorders>
              <w:left w:val="double" w:color="auto" w:sz="4" w:space="0"/>
            </w:tcBorders>
            <w:vAlign w:val="bottom"/>
          </w:tcPr>
          <w:p w:rsidR="003B0815" w:rsidRDefault="003B0815" w14:paraId="78408834" w14:textId="77777777">
            <w:pPr>
              <w:keepNext/>
              <w:jc w:val="right"/>
              <w:rPr>
                <w:rFonts w:ascii="Arial" w:hAnsi="Arial"/>
                <w:sz w:val="20"/>
                <w:szCs w:val="20"/>
              </w:rPr>
            </w:pPr>
            <w:r>
              <w:rPr>
                <w:rFonts w:ascii="Arial" w:hAnsi="Arial" w:cs="Arial"/>
                <w:sz w:val="20"/>
                <w:szCs w:val="20"/>
              </w:rPr>
              <w:t>57.1</w:t>
            </w:r>
          </w:p>
        </w:tc>
        <w:tc>
          <w:tcPr>
            <w:tcW w:w="1080" w:type="dxa"/>
            <w:vAlign w:val="bottom"/>
          </w:tcPr>
          <w:p w:rsidR="003B0815" w:rsidRDefault="003B0815" w14:paraId="5EB62AC6"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0D93DFC0" w14:textId="77777777">
            <w:pPr>
              <w:keepNext/>
              <w:jc w:val="right"/>
              <w:rPr>
                <w:rFonts w:ascii="Arial" w:hAnsi="Arial"/>
                <w:sz w:val="20"/>
                <w:szCs w:val="20"/>
              </w:rPr>
            </w:pPr>
            <w:r>
              <w:rPr>
                <w:rFonts w:ascii="Arial" w:hAnsi="Arial" w:cs="Arial"/>
                <w:sz w:val="20"/>
                <w:szCs w:val="20"/>
              </w:rPr>
              <w:t xml:space="preserve">4.9 </w:t>
            </w:r>
          </w:p>
        </w:tc>
        <w:tc>
          <w:tcPr>
            <w:tcW w:w="1260" w:type="dxa"/>
            <w:tcBorders>
              <w:left w:val="double" w:color="auto" w:sz="4" w:space="0"/>
              <w:right w:val="single" w:color="auto" w:sz="12" w:space="0"/>
            </w:tcBorders>
            <w:shd w:val="clear" w:color="auto" w:fill="C0C0C0"/>
            <w:vAlign w:val="bottom"/>
          </w:tcPr>
          <w:p w:rsidR="003B0815" w:rsidRDefault="003B0815" w14:paraId="7CFB78DA" w14:textId="77777777">
            <w:pPr>
              <w:keepNext/>
              <w:jc w:val="right"/>
              <w:rPr>
                <w:rFonts w:ascii="Arial" w:hAnsi="Arial"/>
                <w:sz w:val="20"/>
                <w:szCs w:val="20"/>
              </w:rPr>
            </w:pPr>
            <w:r>
              <w:rPr>
                <w:rFonts w:ascii="Arial" w:hAnsi="Arial" w:cs="Arial"/>
                <w:sz w:val="20"/>
                <w:szCs w:val="20"/>
              </w:rPr>
              <w:t xml:space="preserve">15.1 </w:t>
            </w:r>
          </w:p>
        </w:tc>
      </w:tr>
      <w:tr w:rsidR="003B0815" w14:paraId="4F85B702" w14:textId="77777777">
        <w:trPr>
          <w:jc w:val="center"/>
        </w:trPr>
        <w:tc>
          <w:tcPr>
            <w:tcW w:w="731" w:type="dxa"/>
            <w:tcBorders>
              <w:left w:val="single" w:color="auto" w:sz="12" w:space="0"/>
            </w:tcBorders>
          </w:tcPr>
          <w:p w:rsidR="003B0815" w:rsidRDefault="003B0815" w14:paraId="10E54B69" w14:textId="77777777">
            <w:pPr>
              <w:keepNext/>
              <w:jc w:val="center"/>
              <w:rPr>
                <w:rFonts w:ascii="Arial" w:hAnsi="Arial"/>
                <w:sz w:val="20"/>
                <w:szCs w:val="20"/>
              </w:rPr>
            </w:pPr>
            <w:r>
              <w:t>2015</w:t>
            </w:r>
          </w:p>
        </w:tc>
        <w:tc>
          <w:tcPr>
            <w:tcW w:w="828" w:type="dxa"/>
            <w:vAlign w:val="bottom"/>
          </w:tcPr>
          <w:p w:rsidR="003B0815" w:rsidRDefault="003B0815" w14:paraId="478ABF7B"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0E09E56" w14:textId="77777777">
            <w:pPr>
              <w:keepNext/>
              <w:jc w:val="right"/>
              <w:rPr>
                <w:rFonts w:ascii="Arial" w:hAnsi="Arial"/>
                <w:sz w:val="20"/>
                <w:szCs w:val="20"/>
              </w:rPr>
            </w:pPr>
            <w:r>
              <w:rPr>
                <w:rFonts w:ascii="Arial" w:hAnsi="Arial" w:cs="Arial"/>
                <w:sz w:val="20"/>
                <w:szCs w:val="20"/>
              </w:rPr>
              <w:t>62.4</w:t>
            </w:r>
          </w:p>
        </w:tc>
        <w:tc>
          <w:tcPr>
            <w:tcW w:w="1080" w:type="dxa"/>
            <w:vAlign w:val="bottom"/>
          </w:tcPr>
          <w:p w:rsidR="003B0815" w:rsidRDefault="003B0815" w14:paraId="34271C1D"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5B6E5A54" w14:textId="77777777">
            <w:pPr>
              <w:keepNext/>
              <w:jc w:val="right"/>
              <w:rPr>
                <w:rFonts w:ascii="Arial" w:hAnsi="Arial"/>
                <w:sz w:val="20"/>
                <w:szCs w:val="20"/>
              </w:rPr>
            </w:pPr>
            <w:r>
              <w:rPr>
                <w:rFonts w:ascii="Arial" w:hAnsi="Arial" w:cs="Arial"/>
                <w:sz w:val="20"/>
                <w:szCs w:val="20"/>
              </w:rPr>
              <w:t>10.7</w:t>
            </w:r>
          </w:p>
        </w:tc>
        <w:tc>
          <w:tcPr>
            <w:tcW w:w="1080" w:type="dxa"/>
            <w:tcBorders>
              <w:left w:val="double" w:color="auto" w:sz="4" w:space="0"/>
            </w:tcBorders>
            <w:vAlign w:val="bottom"/>
          </w:tcPr>
          <w:p w:rsidR="003B0815" w:rsidRDefault="003B0815" w14:paraId="338C2188" w14:textId="77777777">
            <w:pPr>
              <w:keepNext/>
              <w:jc w:val="right"/>
              <w:rPr>
                <w:rFonts w:ascii="Arial" w:hAnsi="Arial"/>
                <w:sz w:val="20"/>
                <w:szCs w:val="20"/>
              </w:rPr>
            </w:pPr>
            <w:r>
              <w:rPr>
                <w:rFonts w:ascii="Arial" w:hAnsi="Arial" w:cs="Arial"/>
                <w:sz w:val="20"/>
                <w:szCs w:val="20"/>
              </w:rPr>
              <w:t>60.0</w:t>
            </w:r>
          </w:p>
        </w:tc>
        <w:tc>
          <w:tcPr>
            <w:tcW w:w="1080" w:type="dxa"/>
            <w:vAlign w:val="bottom"/>
          </w:tcPr>
          <w:p w:rsidR="003B0815" w:rsidRDefault="003B0815" w14:paraId="21EF3028"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70172886" w14:textId="77777777">
            <w:pPr>
              <w:keepNext/>
              <w:jc w:val="right"/>
              <w:rPr>
                <w:rFonts w:ascii="Arial" w:hAnsi="Arial"/>
                <w:sz w:val="20"/>
                <w:szCs w:val="20"/>
              </w:rPr>
            </w:pPr>
            <w:r>
              <w:rPr>
                <w:rFonts w:ascii="Arial" w:hAnsi="Arial" w:cs="Arial"/>
                <w:sz w:val="20"/>
                <w:szCs w:val="20"/>
              </w:rPr>
              <w:t xml:space="preserve">5.1 </w:t>
            </w:r>
          </w:p>
        </w:tc>
        <w:tc>
          <w:tcPr>
            <w:tcW w:w="1260" w:type="dxa"/>
            <w:tcBorders>
              <w:left w:val="double" w:color="auto" w:sz="4" w:space="0"/>
              <w:right w:val="single" w:color="auto" w:sz="12" w:space="0"/>
            </w:tcBorders>
            <w:shd w:val="clear" w:color="auto" w:fill="C0C0C0"/>
            <w:vAlign w:val="bottom"/>
          </w:tcPr>
          <w:p w:rsidR="003B0815" w:rsidRDefault="003B0815" w14:paraId="437A8D26" w14:textId="77777777">
            <w:pPr>
              <w:keepNext/>
              <w:jc w:val="right"/>
              <w:rPr>
                <w:rFonts w:ascii="Arial" w:hAnsi="Arial"/>
                <w:sz w:val="20"/>
                <w:szCs w:val="20"/>
              </w:rPr>
            </w:pPr>
            <w:r>
              <w:rPr>
                <w:rFonts w:ascii="Arial" w:hAnsi="Arial" w:cs="Arial"/>
                <w:sz w:val="20"/>
                <w:szCs w:val="20"/>
              </w:rPr>
              <w:t xml:space="preserve">15.8 </w:t>
            </w:r>
          </w:p>
        </w:tc>
      </w:tr>
      <w:tr w:rsidR="003B0815" w14:paraId="4AA04A65" w14:textId="77777777">
        <w:trPr>
          <w:jc w:val="center"/>
        </w:trPr>
        <w:tc>
          <w:tcPr>
            <w:tcW w:w="731" w:type="dxa"/>
            <w:tcBorders>
              <w:left w:val="single" w:color="auto" w:sz="12" w:space="0"/>
            </w:tcBorders>
          </w:tcPr>
          <w:p w:rsidR="003B0815" w:rsidRDefault="003B0815" w14:paraId="57CA9726" w14:textId="77777777">
            <w:pPr>
              <w:keepNext/>
              <w:jc w:val="center"/>
              <w:rPr>
                <w:rFonts w:ascii="Arial" w:hAnsi="Arial"/>
                <w:sz w:val="20"/>
                <w:szCs w:val="20"/>
              </w:rPr>
            </w:pPr>
            <w:r>
              <w:t>2016</w:t>
            </w:r>
          </w:p>
        </w:tc>
        <w:tc>
          <w:tcPr>
            <w:tcW w:w="828" w:type="dxa"/>
            <w:vAlign w:val="bottom"/>
          </w:tcPr>
          <w:p w:rsidR="003B0815" w:rsidRDefault="003B0815" w14:paraId="12157B54"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D28F5EB" w14:textId="77777777">
            <w:pPr>
              <w:keepNext/>
              <w:jc w:val="right"/>
              <w:rPr>
                <w:rFonts w:ascii="Arial" w:hAnsi="Arial"/>
                <w:sz w:val="20"/>
                <w:szCs w:val="20"/>
              </w:rPr>
            </w:pPr>
            <w:r>
              <w:rPr>
                <w:rFonts w:ascii="Arial" w:hAnsi="Arial" w:cs="Arial"/>
                <w:sz w:val="20"/>
                <w:szCs w:val="20"/>
              </w:rPr>
              <w:t>65.5</w:t>
            </w:r>
          </w:p>
        </w:tc>
        <w:tc>
          <w:tcPr>
            <w:tcW w:w="1080" w:type="dxa"/>
            <w:vAlign w:val="bottom"/>
          </w:tcPr>
          <w:p w:rsidR="003B0815" w:rsidRDefault="003B0815" w14:paraId="076F1F40" w14:textId="77777777">
            <w:pPr>
              <w:keepNext/>
              <w:jc w:val="center"/>
              <w:rPr>
                <w:rFonts w:ascii="Arial" w:hAnsi="Arial"/>
                <w:sz w:val="20"/>
                <w:szCs w:val="20"/>
              </w:rPr>
            </w:pPr>
            <w:r>
              <w:rPr>
                <w:rFonts w:ascii="Arial" w:hAnsi="Arial" w:cs="Arial"/>
                <w:sz w:val="20"/>
                <w:szCs w:val="20"/>
              </w:rPr>
              <w:t>0.006</w:t>
            </w:r>
          </w:p>
        </w:tc>
        <w:tc>
          <w:tcPr>
            <w:tcW w:w="1260" w:type="dxa"/>
            <w:tcBorders>
              <w:right w:val="double" w:color="auto" w:sz="4" w:space="0"/>
            </w:tcBorders>
            <w:shd w:val="clear" w:color="auto" w:fill="C0C0C0"/>
            <w:vAlign w:val="bottom"/>
          </w:tcPr>
          <w:p w:rsidR="003B0815" w:rsidRDefault="003B0815" w14:paraId="4D0E9CC9" w14:textId="77777777">
            <w:pPr>
              <w:keepNext/>
              <w:jc w:val="right"/>
              <w:rPr>
                <w:rFonts w:ascii="Arial" w:hAnsi="Arial"/>
                <w:sz w:val="20"/>
                <w:szCs w:val="20"/>
              </w:rPr>
            </w:pPr>
            <w:r>
              <w:rPr>
                <w:rFonts w:ascii="Arial" w:hAnsi="Arial" w:cs="Arial"/>
                <w:sz w:val="20"/>
                <w:szCs w:val="20"/>
              </w:rPr>
              <w:t>11.2</w:t>
            </w:r>
          </w:p>
        </w:tc>
        <w:tc>
          <w:tcPr>
            <w:tcW w:w="1080" w:type="dxa"/>
            <w:tcBorders>
              <w:left w:val="double" w:color="auto" w:sz="4" w:space="0"/>
            </w:tcBorders>
            <w:vAlign w:val="bottom"/>
          </w:tcPr>
          <w:p w:rsidR="003B0815" w:rsidRDefault="003B0815" w14:paraId="44A1B03F" w14:textId="77777777">
            <w:pPr>
              <w:keepNext/>
              <w:jc w:val="right"/>
              <w:rPr>
                <w:rFonts w:ascii="Arial" w:hAnsi="Arial"/>
                <w:sz w:val="20"/>
                <w:szCs w:val="20"/>
              </w:rPr>
            </w:pPr>
            <w:r>
              <w:rPr>
                <w:rFonts w:ascii="Arial" w:hAnsi="Arial" w:cs="Arial"/>
                <w:sz w:val="20"/>
                <w:szCs w:val="20"/>
              </w:rPr>
              <w:t>63.0</w:t>
            </w:r>
          </w:p>
        </w:tc>
        <w:tc>
          <w:tcPr>
            <w:tcW w:w="1080" w:type="dxa"/>
            <w:vAlign w:val="bottom"/>
          </w:tcPr>
          <w:p w:rsidR="003B0815" w:rsidRDefault="003B0815" w14:paraId="09F349F1"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556848FD" w14:textId="77777777">
            <w:pPr>
              <w:keepNext/>
              <w:jc w:val="right"/>
              <w:rPr>
                <w:rFonts w:ascii="Arial" w:hAnsi="Arial"/>
                <w:sz w:val="20"/>
                <w:szCs w:val="20"/>
              </w:rPr>
            </w:pPr>
            <w:r>
              <w:rPr>
                <w:rFonts w:ascii="Arial" w:hAnsi="Arial" w:cs="Arial"/>
                <w:sz w:val="20"/>
                <w:szCs w:val="20"/>
              </w:rPr>
              <w:t xml:space="preserve">5.4 </w:t>
            </w:r>
          </w:p>
        </w:tc>
        <w:tc>
          <w:tcPr>
            <w:tcW w:w="1260" w:type="dxa"/>
            <w:tcBorders>
              <w:left w:val="double" w:color="auto" w:sz="4" w:space="0"/>
              <w:right w:val="single" w:color="auto" w:sz="12" w:space="0"/>
            </w:tcBorders>
            <w:shd w:val="clear" w:color="auto" w:fill="C0C0C0"/>
            <w:vAlign w:val="bottom"/>
          </w:tcPr>
          <w:p w:rsidR="003B0815" w:rsidRDefault="003B0815" w14:paraId="1CC4F2B8" w14:textId="77777777">
            <w:pPr>
              <w:keepNext/>
              <w:jc w:val="right"/>
              <w:rPr>
                <w:rFonts w:ascii="Arial" w:hAnsi="Arial"/>
                <w:sz w:val="20"/>
                <w:szCs w:val="20"/>
              </w:rPr>
            </w:pPr>
            <w:r>
              <w:rPr>
                <w:rFonts w:ascii="Arial" w:hAnsi="Arial" w:cs="Arial"/>
                <w:sz w:val="20"/>
                <w:szCs w:val="20"/>
              </w:rPr>
              <w:t xml:space="preserve">16.6 </w:t>
            </w:r>
          </w:p>
        </w:tc>
      </w:tr>
      <w:tr w:rsidR="003B0815" w14:paraId="38946007" w14:textId="77777777">
        <w:trPr>
          <w:jc w:val="center"/>
        </w:trPr>
        <w:tc>
          <w:tcPr>
            <w:tcW w:w="731" w:type="dxa"/>
            <w:tcBorders>
              <w:left w:val="single" w:color="auto" w:sz="12" w:space="0"/>
              <w:bottom w:val="single" w:color="auto" w:sz="4" w:space="0"/>
            </w:tcBorders>
          </w:tcPr>
          <w:p w:rsidR="003B0815" w:rsidRDefault="003B0815" w14:paraId="0252DE76" w14:textId="77777777">
            <w:pPr>
              <w:keepNext/>
              <w:jc w:val="center"/>
              <w:rPr>
                <w:rFonts w:ascii="Arial" w:hAnsi="Arial"/>
                <w:sz w:val="20"/>
                <w:szCs w:val="20"/>
              </w:rPr>
            </w:pPr>
            <w:r>
              <w:t>2017</w:t>
            </w:r>
          </w:p>
        </w:tc>
        <w:tc>
          <w:tcPr>
            <w:tcW w:w="828" w:type="dxa"/>
            <w:tcBorders>
              <w:bottom w:val="single" w:color="auto" w:sz="4" w:space="0"/>
            </w:tcBorders>
            <w:vAlign w:val="bottom"/>
          </w:tcPr>
          <w:p w:rsidR="003B0815" w:rsidRDefault="003B0815" w14:paraId="402CF935" w14:textId="77777777">
            <w:pPr>
              <w:keepNext/>
              <w:jc w:val="center"/>
              <w:rPr>
                <w:rFonts w:ascii="Arial" w:hAnsi="Arial"/>
                <w:sz w:val="20"/>
                <w:szCs w:val="20"/>
              </w:rPr>
            </w:pPr>
            <w:r>
              <w:rPr>
                <w:rFonts w:ascii="Arial" w:hAnsi="Arial" w:cs="Arial"/>
                <w:sz w:val="20"/>
                <w:szCs w:val="20"/>
              </w:rPr>
              <w:t xml:space="preserve">$28.60 </w:t>
            </w:r>
          </w:p>
        </w:tc>
        <w:tc>
          <w:tcPr>
            <w:tcW w:w="1008" w:type="dxa"/>
            <w:tcBorders>
              <w:bottom w:val="single" w:color="auto" w:sz="4" w:space="0"/>
            </w:tcBorders>
            <w:vAlign w:val="bottom"/>
          </w:tcPr>
          <w:p w:rsidR="003B0815" w:rsidRDefault="003B0815" w14:paraId="186143C5" w14:textId="77777777">
            <w:pPr>
              <w:keepNext/>
              <w:jc w:val="right"/>
              <w:rPr>
                <w:rFonts w:ascii="Arial" w:hAnsi="Arial"/>
                <w:sz w:val="20"/>
                <w:szCs w:val="20"/>
              </w:rPr>
            </w:pPr>
            <w:r>
              <w:rPr>
                <w:rFonts w:ascii="Arial" w:hAnsi="Arial" w:cs="Arial"/>
                <w:sz w:val="20"/>
                <w:szCs w:val="20"/>
              </w:rPr>
              <w:t>68.8</w:t>
            </w:r>
          </w:p>
        </w:tc>
        <w:tc>
          <w:tcPr>
            <w:tcW w:w="1080" w:type="dxa"/>
            <w:tcBorders>
              <w:bottom w:val="single" w:color="auto" w:sz="4" w:space="0"/>
            </w:tcBorders>
            <w:vAlign w:val="bottom"/>
          </w:tcPr>
          <w:p w:rsidR="003B0815" w:rsidRDefault="003B0815" w14:paraId="66719B0E" w14:textId="77777777">
            <w:pPr>
              <w:keepNext/>
              <w:jc w:val="center"/>
              <w:rPr>
                <w:rFonts w:ascii="Arial" w:hAnsi="Arial"/>
                <w:sz w:val="20"/>
                <w:szCs w:val="20"/>
              </w:rPr>
            </w:pPr>
            <w:r>
              <w:rPr>
                <w:rFonts w:ascii="Arial" w:hAnsi="Arial" w:cs="Arial"/>
                <w:sz w:val="20"/>
                <w:szCs w:val="20"/>
              </w:rPr>
              <w:t>0.006</w:t>
            </w:r>
          </w:p>
        </w:tc>
        <w:tc>
          <w:tcPr>
            <w:tcW w:w="1260" w:type="dxa"/>
            <w:tcBorders>
              <w:bottom w:val="single" w:color="auto" w:sz="4" w:space="0"/>
              <w:right w:val="double" w:color="auto" w:sz="4" w:space="0"/>
            </w:tcBorders>
            <w:shd w:val="clear" w:color="auto" w:fill="C0C0C0"/>
            <w:vAlign w:val="bottom"/>
          </w:tcPr>
          <w:p w:rsidR="003B0815" w:rsidRDefault="003B0815" w14:paraId="2F5654A9" w14:textId="77777777">
            <w:pPr>
              <w:keepNext/>
              <w:jc w:val="right"/>
              <w:rPr>
                <w:rFonts w:ascii="Arial" w:hAnsi="Arial"/>
                <w:sz w:val="20"/>
                <w:szCs w:val="20"/>
              </w:rPr>
            </w:pPr>
            <w:r>
              <w:rPr>
                <w:rFonts w:ascii="Arial" w:hAnsi="Arial" w:cs="Arial"/>
                <w:sz w:val="20"/>
                <w:szCs w:val="20"/>
              </w:rPr>
              <w:t>$11.8</w:t>
            </w:r>
          </w:p>
        </w:tc>
        <w:tc>
          <w:tcPr>
            <w:tcW w:w="1080" w:type="dxa"/>
            <w:tcBorders>
              <w:left w:val="double" w:color="auto" w:sz="4" w:space="0"/>
              <w:bottom w:val="single" w:color="auto" w:sz="4" w:space="0"/>
            </w:tcBorders>
            <w:vAlign w:val="bottom"/>
          </w:tcPr>
          <w:p w:rsidR="003B0815" w:rsidRDefault="003B0815" w14:paraId="1DFA9271" w14:textId="77777777">
            <w:pPr>
              <w:keepNext/>
              <w:jc w:val="right"/>
              <w:rPr>
                <w:rFonts w:ascii="Arial" w:hAnsi="Arial"/>
                <w:sz w:val="20"/>
                <w:szCs w:val="20"/>
              </w:rPr>
            </w:pPr>
            <w:r>
              <w:rPr>
                <w:rFonts w:ascii="Arial" w:hAnsi="Arial" w:cs="Arial"/>
                <w:sz w:val="20"/>
                <w:szCs w:val="20"/>
              </w:rPr>
              <w:t>66.1</w:t>
            </w:r>
          </w:p>
        </w:tc>
        <w:tc>
          <w:tcPr>
            <w:tcW w:w="1080" w:type="dxa"/>
            <w:tcBorders>
              <w:bottom w:val="single" w:color="auto" w:sz="4" w:space="0"/>
            </w:tcBorders>
            <w:vAlign w:val="bottom"/>
          </w:tcPr>
          <w:p w:rsidR="003B0815" w:rsidRDefault="003B0815" w14:paraId="30D0B19F" w14:textId="77777777">
            <w:pPr>
              <w:keepNext/>
              <w:jc w:val="center"/>
              <w:rPr>
                <w:rFonts w:ascii="Arial" w:hAnsi="Arial"/>
                <w:sz w:val="20"/>
                <w:szCs w:val="20"/>
              </w:rPr>
            </w:pPr>
            <w:r>
              <w:rPr>
                <w:rFonts w:ascii="Arial" w:hAnsi="Arial" w:cs="Arial"/>
                <w:sz w:val="20"/>
                <w:szCs w:val="20"/>
              </w:rPr>
              <w:t>0.003</w:t>
            </w:r>
          </w:p>
        </w:tc>
        <w:tc>
          <w:tcPr>
            <w:tcW w:w="1260" w:type="dxa"/>
            <w:tcBorders>
              <w:bottom w:val="single" w:color="auto" w:sz="4" w:space="0"/>
              <w:right w:val="double" w:color="auto" w:sz="4" w:space="0"/>
            </w:tcBorders>
            <w:shd w:val="clear" w:color="auto" w:fill="C0C0C0"/>
            <w:vAlign w:val="bottom"/>
          </w:tcPr>
          <w:p w:rsidR="003B0815" w:rsidRDefault="003B0815" w14:paraId="513AFFEC" w14:textId="77777777">
            <w:pPr>
              <w:keepNext/>
              <w:jc w:val="right"/>
              <w:rPr>
                <w:rFonts w:ascii="Arial" w:hAnsi="Arial"/>
                <w:sz w:val="20"/>
                <w:szCs w:val="20"/>
              </w:rPr>
            </w:pPr>
            <w:r>
              <w:rPr>
                <w:rFonts w:ascii="Arial" w:hAnsi="Arial" w:cs="Arial"/>
                <w:sz w:val="20"/>
                <w:szCs w:val="20"/>
              </w:rPr>
              <w:t xml:space="preserve">$5.7 </w:t>
            </w:r>
          </w:p>
        </w:tc>
        <w:tc>
          <w:tcPr>
            <w:tcW w:w="1260" w:type="dxa"/>
            <w:tcBorders>
              <w:left w:val="double" w:color="auto" w:sz="4" w:space="0"/>
              <w:right w:val="single" w:color="auto" w:sz="12" w:space="0"/>
            </w:tcBorders>
            <w:shd w:val="clear" w:color="auto" w:fill="C0C0C0"/>
            <w:vAlign w:val="bottom"/>
          </w:tcPr>
          <w:p w:rsidR="003B0815" w:rsidRDefault="003B0815" w14:paraId="5F78CE6F" w14:textId="77777777">
            <w:pPr>
              <w:keepNext/>
              <w:jc w:val="right"/>
              <w:rPr>
                <w:rFonts w:ascii="Arial" w:hAnsi="Arial"/>
                <w:sz w:val="20"/>
                <w:szCs w:val="20"/>
              </w:rPr>
            </w:pPr>
            <w:r>
              <w:rPr>
                <w:rFonts w:ascii="Arial" w:hAnsi="Arial" w:cs="Arial"/>
                <w:sz w:val="20"/>
                <w:szCs w:val="20"/>
              </w:rPr>
              <w:t xml:space="preserve">$17.5 </w:t>
            </w:r>
          </w:p>
        </w:tc>
      </w:tr>
      <w:tr w:rsidR="003B0815" w14:paraId="051ACE9C" w14:textId="77777777">
        <w:trPr>
          <w:jc w:val="center"/>
        </w:trPr>
        <w:tc>
          <w:tcPr>
            <w:tcW w:w="731" w:type="dxa"/>
            <w:tcBorders>
              <w:left w:val="single" w:color="auto" w:sz="12" w:space="0"/>
              <w:bottom w:val="single" w:color="auto" w:sz="12" w:space="0"/>
              <w:right w:val="nil"/>
            </w:tcBorders>
            <w:vAlign w:val="bottom"/>
          </w:tcPr>
          <w:p w:rsidR="003B0815" w:rsidRDefault="003B0815" w14:paraId="2F34AF01" w14:textId="77777777">
            <w:pPr>
              <w:keepNext/>
              <w:jc w:val="center"/>
              <w:rPr>
                <w:rFonts w:ascii="Arial" w:hAnsi="Arial" w:cs="Arial"/>
                <w:sz w:val="20"/>
                <w:szCs w:val="20"/>
              </w:rPr>
            </w:pPr>
            <w:r>
              <w:rPr>
                <w:rFonts w:ascii="Arial" w:hAnsi="Arial" w:cs="Arial"/>
                <w:b/>
                <w:bCs/>
                <w:sz w:val="20"/>
                <w:szCs w:val="20"/>
              </w:rPr>
              <w:t>Total</w:t>
            </w:r>
          </w:p>
        </w:tc>
        <w:tc>
          <w:tcPr>
            <w:tcW w:w="828" w:type="dxa"/>
            <w:tcBorders>
              <w:left w:val="nil"/>
              <w:bottom w:val="single" w:color="auto" w:sz="12" w:space="0"/>
              <w:right w:val="nil"/>
            </w:tcBorders>
            <w:vAlign w:val="bottom"/>
          </w:tcPr>
          <w:p w:rsidR="003B0815" w:rsidRDefault="003B0815" w14:paraId="132A97A0" w14:textId="77777777">
            <w:pPr>
              <w:keepNext/>
              <w:jc w:val="center"/>
              <w:rPr>
                <w:rFonts w:ascii="Arial" w:hAnsi="Arial" w:cs="Arial"/>
                <w:sz w:val="20"/>
                <w:szCs w:val="20"/>
              </w:rPr>
            </w:pPr>
            <w:r>
              <w:rPr>
                <w:rFonts w:ascii="Arial" w:hAnsi="Arial" w:cs="Arial"/>
                <w:sz w:val="20"/>
                <w:szCs w:val="20"/>
              </w:rPr>
              <w:t> </w:t>
            </w:r>
          </w:p>
        </w:tc>
        <w:tc>
          <w:tcPr>
            <w:tcW w:w="1008" w:type="dxa"/>
            <w:tcBorders>
              <w:left w:val="nil"/>
              <w:bottom w:val="single" w:color="auto" w:sz="12" w:space="0"/>
              <w:right w:val="nil"/>
            </w:tcBorders>
            <w:vAlign w:val="bottom"/>
          </w:tcPr>
          <w:p w:rsidR="003B0815" w:rsidRDefault="003B0815" w14:paraId="64079BEE"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12F5EC41"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7F753793" w14:textId="77777777">
            <w:pPr>
              <w:keepNext/>
              <w:jc w:val="right"/>
              <w:rPr>
                <w:rFonts w:ascii="Arial" w:hAnsi="Arial" w:cs="Arial"/>
                <w:b/>
                <w:sz w:val="20"/>
                <w:szCs w:val="20"/>
              </w:rPr>
            </w:pPr>
            <w:r>
              <w:rPr>
                <w:rFonts w:ascii="Arial" w:hAnsi="Arial" w:cs="Arial"/>
                <w:sz w:val="20"/>
                <w:szCs w:val="20"/>
              </w:rPr>
              <w:t>$95.5</w:t>
            </w:r>
          </w:p>
        </w:tc>
        <w:tc>
          <w:tcPr>
            <w:tcW w:w="1080" w:type="dxa"/>
            <w:tcBorders>
              <w:left w:val="double" w:color="auto" w:sz="4" w:space="0"/>
              <w:bottom w:val="single" w:color="auto" w:sz="12" w:space="0"/>
              <w:right w:val="nil"/>
            </w:tcBorders>
            <w:vAlign w:val="bottom"/>
          </w:tcPr>
          <w:p w:rsidR="003B0815" w:rsidRDefault="003B0815" w14:paraId="4EE20AEC"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50C9D7C6"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6A67B12D" w14:textId="77777777">
            <w:pPr>
              <w:keepNext/>
              <w:jc w:val="right"/>
              <w:rPr>
                <w:rFonts w:ascii="Arial" w:hAnsi="Arial" w:cs="Arial"/>
                <w:b/>
                <w:sz w:val="20"/>
                <w:szCs w:val="20"/>
              </w:rPr>
            </w:pPr>
            <w:r>
              <w:rPr>
                <w:rFonts w:ascii="Arial" w:hAnsi="Arial" w:cs="Arial"/>
                <w:sz w:val="20"/>
                <w:szCs w:val="20"/>
              </w:rPr>
              <w:t xml:space="preserve">$46.0 </w:t>
            </w:r>
          </w:p>
        </w:tc>
        <w:tc>
          <w:tcPr>
            <w:tcW w:w="1260" w:type="dxa"/>
            <w:tcBorders>
              <w:left w:val="double" w:color="auto" w:sz="4" w:space="0"/>
              <w:bottom w:val="single" w:color="auto" w:sz="12" w:space="0"/>
              <w:right w:val="single" w:color="auto" w:sz="12" w:space="0"/>
            </w:tcBorders>
            <w:vAlign w:val="bottom"/>
          </w:tcPr>
          <w:p w:rsidR="003B0815" w:rsidRDefault="003B0815" w14:paraId="2704FAEB" w14:textId="77777777">
            <w:pPr>
              <w:keepNext/>
              <w:jc w:val="right"/>
              <w:rPr>
                <w:rFonts w:ascii="Arial" w:hAnsi="Arial" w:cs="Arial"/>
                <w:b/>
                <w:bCs/>
                <w:sz w:val="20"/>
                <w:szCs w:val="20"/>
              </w:rPr>
            </w:pPr>
            <w:r>
              <w:rPr>
                <w:rFonts w:ascii="Arial" w:hAnsi="Arial" w:cs="Arial"/>
                <w:sz w:val="20"/>
                <w:szCs w:val="20"/>
              </w:rPr>
              <w:t xml:space="preserve">$141.5 </w:t>
            </w:r>
          </w:p>
        </w:tc>
      </w:tr>
    </w:tbl>
    <w:p w:rsidR="003B0815" w:rsidRDefault="003B0815" w14:paraId="7074E3DA" w14:textId="77777777">
      <w:pPr>
        <w:spacing w:line="360" w:lineRule="auto"/>
        <w:ind w:firstLine="720"/>
      </w:pPr>
    </w:p>
    <w:p w:rsidR="003B0815" w:rsidRDefault="003B0815" w14:paraId="4F561057" w14:textId="77777777">
      <w:pPr>
        <w:spacing w:line="360" w:lineRule="auto"/>
        <w:ind w:firstLine="720"/>
      </w:pPr>
      <w:r>
        <w:t>Table 1.6.6.i presents estimated passenger opportunity costs under the high scenario.  Again, opportunity costs associated with Internet reservations remain unchanged.  In this case, however, TSA assumed 30 seconds are necessary to collect the requested passenger information.</w:t>
      </w:r>
    </w:p>
    <w:tbl>
      <w:tblP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31"/>
        <w:gridCol w:w="828"/>
        <w:gridCol w:w="1008"/>
        <w:gridCol w:w="1080"/>
        <w:gridCol w:w="1260"/>
        <w:gridCol w:w="1080"/>
        <w:gridCol w:w="1080"/>
        <w:gridCol w:w="1260"/>
        <w:gridCol w:w="1260"/>
      </w:tblGrid>
      <w:tr w:rsidR="003B0815" w14:paraId="0FB0ED0E" w14:textId="77777777">
        <w:trPr>
          <w:jc w:val="center"/>
        </w:trPr>
        <w:tc>
          <w:tcPr>
            <w:tcW w:w="9587" w:type="dxa"/>
            <w:gridSpan w:val="9"/>
            <w:tcBorders>
              <w:top w:val="nil"/>
              <w:left w:val="nil"/>
              <w:bottom w:val="single" w:color="auto" w:sz="12" w:space="0"/>
              <w:right w:val="nil"/>
            </w:tcBorders>
          </w:tcPr>
          <w:p w:rsidR="003B0815" w:rsidRDefault="003B0815" w14:paraId="33BDB40C" w14:textId="77777777">
            <w:pPr>
              <w:pStyle w:val="RegEvalTableHeader"/>
              <w:keepNext/>
            </w:pPr>
            <w:bookmarkStart w:name="_Toc165278409" w:id="412"/>
            <w:bookmarkStart w:name="_Toc174438413" w:id="413"/>
            <w:bookmarkStart w:name="_Toc207109550" w:id="414"/>
            <w:r>
              <w:t xml:space="preserve">Table 1.6.6.i Passenger Reservation </w:t>
            </w:r>
            <w:smartTag w:uri="urn:schemas-microsoft-com:office:smarttags" w:element="place">
              <w:r>
                <w:t>Opportunity</w:t>
              </w:r>
            </w:smartTag>
            <w:r>
              <w:t xml:space="preserve"> Costs, International Passengers (High Scenario)</w:t>
            </w:r>
            <w:bookmarkEnd w:id="412"/>
            <w:bookmarkEnd w:id="413"/>
            <w:bookmarkEnd w:id="414"/>
          </w:p>
        </w:tc>
      </w:tr>
      <w:tr w:rsidR="003B0815" w14:paraId="3979ED21" w14:textId="77777777">
        <w:trPr>
          <w:jc w:val="center"/>
        </w:trPr>
        <w:tc>
          <w:tcPr>
            <w:tcW w:w="731" w:type="dxa"/>
            <w:tcBorders>
              <w:top w:val="single" w:color="auto" w:sz="12" w:space="0"/>
              <w:left w:val="single" w:color="auto" w:sz="12" w:space="0"/>
            </w:tcBorders>
            <w:vAlign w:val="center"/>
          </w:tcPr>
          <w:p w:rsidR="003B0815" w:rsidRDefault="003B0815" w14:paraId="1182EA83" w14:textId="77777777">
            <w:pPr>
              <w:keepNext/>
              <w:jc w:val="center"/>
              <w:rPr>
                <w:rFonts w:ascii="Arial" w:hAnsi="Arial"/>
                <w:sz w:val="20"/>
                <w:szCs w:val="20"/>
              </w:rPr>
            </w:pPr>
            <w:r>
              <w:rPr>
                <w:rFonts w:ascii="Arial" w:hAnsi="Arial" w:cs="Arial"/>
                <w:b/>
                <w:bCs/>
                <w:sz w:val="20"/>
                <w:szCs w:val="20"/>
              </w:rPr>
              <w:t>Fiscal Year</w:t>
            </w:r>
          </w:p>
        </w:tc>
        <w:tc>
          <w:tcPr>
            <w:tcW w:w="828" w:type="dxa"/>
            <w:tcBorders>
              <w:top w:val="single" w:color="auto" w:sz="12" w:space="0"/>
            </w:tcBorders>
            <w:vAlign w:val="center"/>
          </w:tcPr>
          <w:p w:rsidR="003B0815" w:rsidRDefault="003B0815" w14:paraId="666B4E72" w14:textId="77777777">
            <w:pPr>
              <w:keepNext/>
              <w:jc w:val="center"/>
              <w:rPr>
                <w:rFonts w:ascii="Arial" w:hAnsi="Arial"/>
                <w:sz w:val="20"/>
                <w:szCs w:val="20"/>
              </w:rPr>
            </w:pPr>
            <w:r>
              <w:rPr>
                <w:rFonts w:ascii="Arial" w:hAnsi="Arial" w:cs="Arial"/>
                <w:b/>
                <w:bCs/>
                <w:sz w:val="20"/>
                <w:szCs w:val="20"/>
              </w:rPr>
              <w:t>Hourly Value of Pass. Time</w:t>
            </w:r>
          </w:p>
        </w:tc>
        <w:tc>
          <w:tcPr>
            <w:tcW w:w="1008" w:type="dxa"/>
            <w:tcBorders>
              <w:top w:val="single" w:color="auto" w:sz="12" w:space="0"/>
            </w:tcBorders>
            <w:vAlign w:val="center"/>
          </w:tcPr>
          <w:p w:rsidR="003B0815" w:rsidRDefault="003B0815" w14:paraId="3DAD67B8" w14:textId="77777777">
            <w:pPr>
              <w:keepNext/>
              <w:jc w:val="center"/>
              <w:rPr>
                <w:rFonts w:ascii="Arial" w:hAnsi="Arial"/>
                <w:sz w:val="20"/>
                <w:szCs w:val="20"/>
              </w:rPr>
            </w:pPr>
            <w:r>
              <w:rPr>
                <w:rFonts w:ascii="Arial" w:hAnsi="Arial" w:cs="Arial"/>
                <w:b/>
                <w:bCs/>
                <w:sz w:val="20"/>
                <w:szCs w:val="20"/>
              </w:rPr>
              <w:t>Number of Offline Bookings (millions)</w:t>
            </w:r>
          </w:p>
        </w:tc>
        <w:tc>
          <w:tcPr>
            <w:tcW w:w="1080" w:type="dxa"/>
            <w:tcBorders>
              <w:top w:val="single" w:color="auto" w:sz="12" w:space="0"/>
            </w:tcBorders>
            <w:vAlign w:val="center"/>
          </w:tcPr>
          <w:p w:rsidR="003B0815" w:rsidRDefault="003B0815" w14:paraId="4070E4CC"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46062F9D" w14:textId="77777777">
            <w:pPr>
              <w:keepNext/>
              <w:jc w:val="center"/>
              <w:rPr>
                <w:rFonts w:ascii="Arial" w:hAnsi="Arial"/>
                <w:sz w:val="20"/>
                <w:szCs w:val="20"/>
              </w:rPr>
            </w:pPr>
            <w:r>
              <w:rPr>
                <w:rFonts w:ascii="Arial" w:hAnsi="Arial" w:cs="Arial"/>
                <w:b/>
                <w:bCs/>
                <w:sz w:val="20"/>
                <w:szCs w:val="20"/>
              </w:rPr>
              <w:t xml:space="preserve">Subtotal Offline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080" w:type="dxa"/>
            <w:tcBorders>
              <w:top w:val="single" w:color="auto" w:sz="12" w:space="0"/>
              <w:left w:val="double" w:color="auto" w:sz="4" w:space="0"/>
            </w:tcBorders>
            <w:vAlign w:val="center"/>
          </w:tcPr>
          <w:p w:rsidR="003B0815" w:rsidRDefault="003B0815" w14:paraId="765D7B24" w14:textId="77777777">
            <w:pPr>
              <w:keepNext/>
              <w:jc w:val="center"/>
              <w:rPr>
                <w:rFonts w:ascii="Arial" w:hAnsi="Arial" w:cs="Arial"/>
                <w:b/>
                <w:bCs/>
                <w:sz w:val="20"/>
                <w:szCs w:val="20"/>
              </w:rPr>
            </w:pPr>
            <w:r>
              <w:rPr>
                <w:rFonts w:ascii="Arial" w:hAnsi="Arial" w:cs="Arial"/>
                <w:b/>
                <w:bCs/>
                <w:sz w:val="20"/>
                <w:szCs w:val="20"/>
              </w:rPr>
              <w:t>Number of Internet Bookings (millions)</w:t>
            </w:r>
          </w:p>
        </w:tc>
        <w:tc>
          <w:tcPr>
            <w:tcW w:w="1080" w:type="dxa"/>
            <w:tcBorders>
              <w:top w:val="single" w:color="auto" w:sz="12" w:space="0"/>
            </w:tcBorders>
            <w:vAlign w:val="center"/>
          </w:tcPr>
          <w:p w:rsidR="003B0815" w:rsidRDefault="003B0815" w14:paraId="7B49FD80"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608F0737" w14:textId="77777777">
            <w:pPr>
              <w:keepNext/>
              <w:jc w:val="center"/>
              <w:rPr>
                <w:rFonts w:ascii="Arial" w:hAnsi="Arial"/>
                <w:sz w:val="20"/>
                <w:szCs w:val="20"/>
              </w:rPr>
            </w:pPr>
            <w:r>
              <w:rPr>
                <w:rFonts w:ascii="Arial" w:hAnsi="Arial" w:cs="Arial"/>
                <w:b/>
                <w:bCs/>
                <w:sz w:val="20"/>
                <w:szCs w:val="20"/>
              </w:rPr>
              <w:t xml:space="preserve">Subtotal Internet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260" w:type="dxa"/>
            <w:tcBorders>
              <w:top w:val="single" w:color="auto" w:sz="12" w:space="0"/>
              <w:left w:val="double" w:color="auto" w:sz="4" w:space="0"/>
              <w:right w:val="single" w:color="auto" w:sz="12" w:space="0"/>
            </w:tcBorders>
            <w:vAlign w:val="center"/>
          </w:tcPr>
          <w:p w:rsidR="003B0815" w:rsidRDefault="003B0815" w14:paraId="6A14C296" w14:textId="77777777">
            <w:pPr>
              <w:keepNext/>
              <w:jc w:val="center"/>
              <w:rPr>
                <w:rFonts w:ascii="Arial" w:hAnsi="Arial"/>
                <w:sz w:val="20"/>
                <w:szCs w:val="20"/>
              </w:rPr>
            </w:pPr>
            <w:r>
              <w:rPr>
                <w:rFonts w:ascii="Arial" w:hAnsi="Arial" w:cs="Arial"/>
                <w:b/>
                <w:bCs/>
                <w:sz w:val="20"/>
                <w:szCs w:val="20"/>
              </w:rPr>
              <w:t xml:space="preserve">Total Booking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(millions)</w:t>
            </w:r>
          </w:p>
        </w:tc>
      </w:tr>
      <w:tr w:rsidR="003B0815" w14:paraId="1E7C7258" w14:textId="77777777">
        <w:trPr>
          <w:jc w:val="center"/>
        </w:trPr>
        <w:tc>
          <w:tcPr>
            <w:tcW w:w="731" w:type="dxa"/>
            <w:tcBorders>
              <w:left w:val="single" w:color="auto" w:sz="12" w:space="0"/>
            </w:tcBorders>
            <w:vAlign w:val="center"/>
          </w:tcPr>
          <w:p w:rsidR="003B0815" w:rsidRDefault="003B0815" w14:paraId="158ACF67" w14:textId="77777777">
            <w:pPr>
              <w:keepNext/>
              <w:jc w:val="center"/>
              <w:rPr>
                <w:rFonts w:ascii="Arial" w:hAnsi="Arial"/>
                <w:sz w:val="20"/>
                <w:szCs w:val="20"/>
              </w:rPr>
            </w:pPr>
          </w:p>
        </w:tc>
        <w:tc>
          <w:tcPr>
            <w:tcW w:w="828" w:type="dxa"/>
            <w:vAlign w:val="center"/>
          </w:tcPr>
          <w:p w:rsidR="003B0815" w:rsidRDefault="003B0815" w14:paraId="09434FAE" w14:textId="77777777">
            <w:pPr>
              <w:keepNext/>
              <w:jc w:val="center"/>
              <w:rPr>
                <w:rFonts w:ascii="Arial" w:hAnsi="Arial"/>
                <w:sz w:val="20"/>
                <w:szCs w:val="20"/>
              </w:rPr>
            </w:pPr>
            <w:r>
              <w:rPr>
                <w:rFonts w:ascii="Arial" w:hAnsi="Arial" w:cs="Arial"/>
                <w:b/>
                <w:bCs/>
                <w:sz w:val="20"/>
                <w:szCs w:val="20"/>
              </w:rPr>
              <w:t>(A)</w:t>
            </w:r>
          </w:p>
        </w:tc>
        <w:tc>
          <w:tcPr>
            <w:tcW w:w="1008" w:type="dxa"/>
            <w:vAlign w:val="center"/>
          </w:tcPr>
          <w:p w:rsidR="003B0815" w:rsidRDefault="003B0815" w14:paraId="76546E98"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2023B9C0" w14:textId="77777777">
            <w:pPr>
              <w:keepNext/>
              <w:jc w:val="center"/>
              <w:rPr>
                <w:rFonts w:ascii="Arial" w:hAnsi="Arial"/>
                <w:sz w:val="20"/>
                <w:szCs w:val="20"/>
              </w:rPr>
            </w:pPr>
            <w:r>
              <w:rPr>
                <w:rFonts w:ascii="Arial" w:hAnsi="Arial" w:cs="Arial"/>
                <w:b/>
                <w:bCs/>
                <w:sz w:val="20"/>
                <w:szCs w:val="20"/>
              </w:rPr>
              <w:t>(C)</w:t>
            </w:r>
          </w:p>
        </w:tc>
        <w:tc>
          <w:tcPr>
            <w:tcW w:w="1260" w:type="dxa"/>
            <w:tcBorders>
              <w:bottom w:val="single" w:color="auto" w:sz="4" w:space="0"/>
              <w:right w:val="double" w:color="auto" w:sz="4" w:space="0"/>
            </w:tcBorders>
            <w:vAlign w:val="center"/>
          </w:tcPr>
          <w:p w:rsidR="003B0815" w:rsidRDefault="003B0815" w14:paraId="1599D065" w14:textId="77777777">
            <w:pPr>
              <w:keepNext/>
              <w:jc w:val="center"/>
              <w:rPr>
                <w:rFonts w:ascii="Arial" w:hAnsi="Arial" w:cs="Arial"/>
                <w:b/>
                <w:bCs/>
                <w:sz w:val="20"/>
                <w:szCs w:val="20"/>
              </w:rPr>
            </w:pPr>
            <w:r>
              <w:rPr>
                <w:rFonts w:ascii="Arial" w:hAnsi="Arial" w:cs="Arial"/>
                <w:b/>
                <w:bCs/>
                <w:sz w:val="20"/>
                <w:szCs w:val="20"/>
              </w:rPr>
              <w:t>(D) =</w:t>
            </w:r>
          </w:p>
          <w:p w:rsidR="003B0815" w:rsidRDefault="003B0815" w14:paraId="48DC7DC5" w14:textId="77777777">
            <w:pPr>
              <w:keepNext/>
              <w:jc w:val="center"/>
              <w:rPr>
                <w:rFonts w:ascii="Arial" w:hAnsi="Arial"/>
                <w:sz w:val="20"/>
                <w:szCs w:val="20"/>
              </w:rPr>
            </w:pPr>
            <w:r>
              <w:rPr>
                <w:rFonts w:ascii="Arial" w:hAnsi="Arial" w:cs="Arial"/>
                <w:b/>
                <w:bCs/>
                <w:sz w:val="20"/>
                <w:szCs w:val="20"/>
              </w:rPr>
              <w:t>A x B x C</w:t>
            </w:r>
          </w:p>
        </w:tc>
        <w:tc>
          <w:tcPr>
            <w:tcW w:w="1080" w:type="dxa"/>
            <w:tcBorders>
              <w:left w:val="double" w:color="auto" w:sz="4" w:space="0"/>
            </w:tcBorders>
            <w:vAlign w:val="center"/>
          </w:tcPr>
          <w:p w:rsidR="003B0815" w:rsidRDefault="003B0815" w14:paraId="4DD1C88E" w14:textId="77777777">
            <w:pPr>
              <w:keepNext/>
              <w:jc w:val="center"/>
              <w:rPr>
                <w:rFonts w:ascii="Arial" w:hAnsi="Arial"/>
                <w:sz w:val="20"/>
                <w:szCs w:val="20"/>
              </w:rPr>
            </w:pPr>
            <w:r>
              <w:rPr>
                <w:rFonts w:ascii="Arial" w:hAnsi="Arial" w:cs="Arial"/>
                <w:b/>
                <w:bCs/>
                <w:sz w:val="20"/>
                <w:szCs w:val="20"/>
              </w:rPr>
              <w:t>(E)</w:t>
            </w:r>
          </w:p>
        </w:tc>
        <w:tc>
          <w:tcPr>
            <w:tcW w:w="1080" w:type="dxa"/>
            <w:vAlign w:val="center"/>
          </w:tcPr>
          <w:p w:rsidR="003B0815" w:rsidRDefault="003B0815" w14:paraId="0407CF33" w14:textId="77777777">
            <w:pPr>
              <w:keepNext/>
              <w:jc w:val="center"/>
              <w:rPr>
                <w:rFonts w:ascii="Arial" w:hAnsi="Arial"/>
                <w:sz w:val="20"/>
                <w:szCs w:val="20"/>
              </w:rPr>
            </w:pPr>
            <w:r>
              <w:rPr>
                <w:rFonts w:ascii="Arial" w:hAnsi="Arial" w:cs="Arial"/>
                <w:b/>
                <w:bCs/>
                <w:sz w:val="20"/>
                <w:szCs w:val="20"/>
              </w:rPr>
              <w:t>(F)</w:t>
            </w:r>
          </w:p>
        </w:tc>
        <w:tc>
          <w:tcPr>
            <w:tcW w:w="1260" w:type="dxa"/>
            <w:tcBorders>
              <w:bottom w:val="single" w:color="auto" w:sz="4" w:space="0"/>
              <w:right w:val="double" w:color="auto" w:sz="4" w:space="0"/>
            </w:tcBorders>
            <w:vAlign w:val="center"/>
          </w:tcPr>
          <w:p w:rsidR="003B0815" w:rsidRDefault="003B0815" w14:paraId="3AA48250" w14:textId="77777777">
            <w:pPr>
              <w:keepNext/>
              <w:jc w:val="center"/>
              <w:rPr>
                <w:rFonts w:ascii="Arial" w:hAnsi="Arial"/>
                <w:sz w:val="20"/>
                <w:szCs w:val="20"/>
              </w:rPr>
            </w:pPr>
            <w:r>
              <w:rPr>
                <w:rFonts w:ascii="Arial" w:hAnsi="Arial" w:cs="Arial"/>
                <w:b/>
                <w:bCs/>
                <w:sz w:val="20"/>
                <w:szCs w:val="20"/>
              </w:rPr>
              <w:t xml:space="preserve">(G) = </w:t>
            </w:r>
            <w:r>
              <w:rPr>
                <w:rFonts w:ascii="Arial" w:hAnsi="Arial" w:cs="Arial"/>
                <w:b/>
                <w:bCs/>
                <w:sz w:val="20"/>
                <w:szCs w:val="20"/>
              </w:rPr>
              <w:br/>
              <w:t>A x E x F</w:t>
            </w:r>
          </w:p>
        </w:tc>
        <w:tc>
          <w:tcPr>
            <w:tcW w:w="1260" w:type="dxa"/>
            <w:tcBorders>
              <w:left w:val="double" w:color="auto" w:sz="4" w:space="0"/>
              <w:bottom w:val="single" w:color="auto" w:sz="4" w:space="0"/>
              <w:right w:val="single" w:color="auto" w:sz="12" w:space="0"/>
            </w:tcBorders>
            <w:vAlign w:val="center"/>
          </w:tcPr>
          <w:p w:rsidR="003B0815" w:rsidRDefault="003B0815" w14:paraId="54280609" w14:textId="77777777">
            <w:pPr>
              <w:keepNext/>
              <w:jc w:val="center"/>
              <w:rPr>
                <w:rFonts w:ascii="Arial" w:hAnsi="Arial"/>
                <w:sz w:val="20"/>
                <w:szCs w:val="20"/>
              </w:rPr>
            </w:pPr>
            <w:r>
              <w:rPr>
                <w:rFonts w:ascii="Arial" w:hAnsi="Arial" w:cs="Arial"/>
                <w:b/>
                <w:bCs/>
                <w:sz w:val="20"/>
                <w:szCs w:val="20"/>
              </w:rPr>
              <w:t>(H) = D + G</w:t>
            </w:r>
          </w:p>
        </w:tc>
      </w:tr>
      <w:tr w:rsidR="003B0815" w14:paraId="1AFCEDA4" w14:textId="77777777">
        <w:trPr>
          <w:jc w:val="center"/>
        </w:trPr>
        <w:tc>
          <w:tcPr>
            <w:tcW w:w="731" w:type="dxa"/>
            <w:tcBorders>
              <w:left w:val="single" w:color="auto" w:sz="12" w:space="0"/>
            </w:tcBorders>
          </w:tcPr>
          <w:p w:rsidR="003B0815" w:rsidRDefault="003B0815" w14:paraId="273B631A" w14:textId="77777777">
            <w:pPr>
              <w:keepNext/>
              <w:jc w:val="center"/>
              <w:rPr>
                <w:rFonts w:ascii="Arial" w:hAnsi="Arial"/>
                <w:sz w:val="20"/>
                <w:szCs w:val="20"/>
              </w:rPr>
            </w:pPr>
            <w:r>
              <w:t>2008</w:t>
            </w:r>
          </w:p>
        </w:tc>
        <w:tc>
          <w:tcPr>
            <w:tcW w:w="828" w:type="dxa"/>
            <w:vAlign w:val="bottom"/>
          </w:tcPr>
          <w:p w:rsidR="003B0815" w:rsidRDefault="003B0815" w14:paraId="2C559AB6"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6B1D0FC8" w14:textId="77777777">
            <w:pPr>
              <w:keepNext/>
              <w:jc w:val="right"/>
              <w:rPr>
                <w:rFonts w:ascii="Arial" w:hAnsi="Arial"/>
                <w:sz w:val="20"/>
                <w:szCs w:val="20"/>
              </w:rPr>
            </w:pPr>
            <w:r>
              <w:rPr>
                <w:rFonts w:ascii="Arial" w:hAnsi="Arial" w:cs="Arial"/>
                <w:sz w:val="20"/>
                <w:szCs w:val="20"/>
              </w:rPr>
              <w:t>44.3</w:t>
            </w:r>
          </w:p>
        </w:tc>
        <w:tc>
          <w:tcPr>
            <w:tcW w:w="1080" w:type="dxa"/>
            <w:vAlign w:val="bottom"/>
          </w:tcPr>
          <w:p w:rsidR="003B0815" w:rsidRDefault="003B0815" w14:paraId="54F3596D"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16BA887C" w14:textId="77777777">
            <w:pPr>
              <w:keepNext/>
              <w:jc w:val="right"/>
              <w:rPr>
                <w:rFonts w:ascii="Arial" w:hAnsi="Arial"/>
                <w:sz w:val="20"/>
                <w:szCs w:val="20"/>
              </w:rPr>
            </w:pPr>
            <w:r>
              <w:rPr>
                <w:rFonts w:ascii="Arial" w:hAnsi="Arial" w:cs="Arial"/>
                <w:sz w:val="20"/>
                <w:szCs w:val="20"/>
              </w:rPr>
              <w:t>$10.1</w:t>
            </w:r>
          </w:p>
        </w:tc>
        <w:tc>
          <w:tcPr>
            <w:tcW w:w="1080" w:type="dxa"/>
            <w:tcBorders>
              <w:left w:val="double" w:color="auto" w:sz="4" w:space="0"/>
            </w:tcBorders>
            <w:vAlign w:val="bottom"/>
          </w:tcPr>
          <w:p w:rsidR="003B0815" w:rsidRDefault="003B0815" w14:paraId="0D12C761" w14:textId="77777777">
            <w:pPr>
              <w:keepNext/>
              <w:jc w:val="right"/>
              <w:rPr>
                <w:rFonts w:ascii="Arial" w:hAnsi="Arial"/>
                <w:sz w:val="20"/>
                <w:szCs w:val="20"/>
              </w:rPr>
            </w:pPr>
            <w:r>
              <w:rPr>
                <w:rFonts w:ascii="Arial" w:hAnsi="Arial" w:cs="Arial"/>
                <w:sz w:val="20"/>
                <w:szCs w:val="20"/>
              </w:rPr>
              <w:t>42.6</w:t>
            </w:r>
          </w:p>
        </w:tc>
        <w:tc>
          <w:tcPr>
            <w:tcW w:w="1080" w:type="dxa"/>
            <w:vAlign w:val="bottom"/>
          </w:tcPr>
          <w:p w:rsidR="003B0815" w:rsidRDefault="003B0815" w14:paraId="24778EE9"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19B23CBD" w14:textId="77777777">
            <w:pPr>
              <w:keepNext/>
              <w:jc w:val="right"/>
              <w:rPr>
                <w:rFonts w:ascii="Arial" w:hAnsi="Arial"/>
                <w:sz w:val="20"/>
                <w:szCs w:val="20"/>
              </w:rPr>
            </w:pPr>
            <w:r>
              <w:rPr>
                <w:rFonts w:ascii="Arial" w:hAnsi="Arial" w:cs="Arial"/>
                <w:sz w:val="20"/>
                <w:szCs w:val="20"/>
              </w:rPr>
              <w:t xml:space="preserve">$3.7 </w:t>
            </w:r>
          </w:p>
        </w:tc>
        <w:tc>
          <w:tcPr>
            <w:tcW w:w="1260" w:type="dxa"/>
            <w:tcBorders>
              <w:left w:val="double" w:color="auto" w:sz="4" w:space="0"/>
              <w:right w:val="single" w:color="auto" w:sz="12" w:space="0"/>
            </w:tcBorders>
            <w:shd w:val="clear" w:color="auto" w:fill="C0C0C0"/>
            <w:vAlign w:val="bottom"/>
          </w:tcPr>
          <w:p w:rsidR="003B0815" w:rsidRDefault="003B0815" w14:paraId="65D0EC0F" w14:textId="77777777">
            <w:pPr>
              <w:keepNext/>
              <w:jc w:val="right"/>
              <w:rPr>
                <w:rFonts w:ascii="Arial" w:hAnsi="Arial"/>
                <w:sz w:val="20"/>
                <w:szCs w:val="20"/>
              </w:rPr>
            </w:pPr>
            <w:r>
              <w:rPr>
                <w:rFonts w:ascii="Arial" w:hAnsi="Arial" w:cs="Arial"/>
                <w:sz w:val="20"/>
                <w:szCs w:val="20"/>
              </w:rPr>
              <w:t xml:space="preserve">$13.8 </w:t>
            </w:r>
          </w:p>
        </w:tc>
      </w:tr>
      <w:tr w:rsidR="003B0815" w14:paraId="51111CC5" w14:textId="77777777">
        <w:trPr>
          <w:jc w:val="center"/>
        </w:trPr>
        <w:tc>
          <w:tcPr>
            <w:tcW w:w="731" w:type="dxa"/>
            <w:tcBorders>
              <w:left w:val="single" w:color="auto" w:sz="12" w:space="0"/>
            </w:tcBorders>
          </w:tcPr>
          <w:p w:rsidR="003B0815" w:rsidRDefault="003B0815" w14:paraId="74357F85" w14:textId="77777777">
            <w:pPr>
              <w:keepNext/>
              <w:jc w:val="center"/>
              <w:rPr>
                <w:rFonts w:ascii="Arial" w:hAnsi="Arial"/>
                <w:sz w:val="20"/>
                <w:szCs w:val="20"/>
              </w:rPr>
            </w:pPr>
            <w:r>
              <w:t>2009</w:t>
            </w:r>
          </w:p>
        </w:tc>
        <w:tc>
          <w:tcPr>
            <w:tcW w:w="828" w:type="dxa"/>
            <w:vAlign w:val="bottom"/>
          </w:tcPr>
          <w:p w:rsidR="003B0815" w:rsidRDefault="003B0815" w14:paraId="436A1471"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79F0818" w14:textId="77777777">
            <w:pPr>
              <w:keepNext/>
              <w:jc w:val="right"/>
              <w:rPr>
                <w:rFonts w:ascii="Arial" w:hAnsi="Arial"/>
                <w:sz w:val="20"/>
                <w:szCs w:val="20"/>
              </w:rPr>
            </w:pPr>
            <w:r>
              <w:rPr>
                <w:rFonts w:ascii="Arial" w:hAnsi="Arial" w:cs="Arial"/>
                <w:sz w:val="20"/>
                <w:szCs w:val="20"/>
              </w:rPr>
              <w:t>46.5</w:t>
            </w:r>
          </w:p>
        </w:tc>
        <w:tc>
          <w:tcPr>
            <w:tcW w:w="1080" w:type="dxa"/>
            <w:vAlign w:val="bottom"/>
          </w:tcPr>
          <w:p w:rsidR="003B0815" w:rsidRDefault="003B0815" w14:paraId="0B0660C8"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0EBB86E4" w14:textId="77777777">
            <w:pPr>
              <w:keepNext/>
              <w:jc w:val="right"/>
              <w:rPr>
                <w:rFonts w:ascii="Arial" w:hAnsi="Arial"/>
                <w:sz w:val="20"/>
                <w:szCs w:val="20"/>
              </w:rPr>
            </w:pPr>
            <w:r>
              <w:rPr>
                <w:rFonts w:ascii="Arial" w:hAnsi="Arial" w:cs="Arial"/>
                <w:sz w:val="20"/>
                <w:szCs w:val="20"/>
              </w:rPr>
              <w:t>10.7</w:t>
            </w:r>
          </w:p>
        </w:tc>
        <w:tc>
          <w:tcPr>
            <w:tcW w:w="1080" w:type="dxa"/>
            <w:tcBorders>
              <w:left w:val="double" w:color="auto" w:sz="4" w:space="0"/>
            </w:tcBorders>
            <w:vAlign w:val="bottom"/>
          </w:tcPr>
          <w:p w:rsidR="003B0815" w:rsidRDefault="003B0815" w14:paraId="4B328F13" w14:textId="77777777">
            <w:pPr>
              <w:keepNext/>
              <w:jc w:val="right"/>
              <w:rPr>
                <w:rFonts w:ascii="Arial" w:hAnsi="Arial"/>
                <w:sz w:val="20"/>
                <w:szCs w:val="20"/>
              </w:rPr>
            </w:pPr>
            <w:r>
              <w:rPr>
                <w:rFonts w:ascii="Arial" w:hAnsi="Arial" w:cs="Arial"/>
                <w:sz w:val="20"/>
                <w:szCs w:val="20"/>
              </w:rPr>
              <w:t>44.7</w:t>
            </w:r>
          </w:p>
        </w:tc>
        <w:tc>
          <w:tcPr>
            <w:tcW w:w="1080" w:type="dxa"/>
            <w:vAlign w:val="bottom"/>
          </w:tcPr>
          <w:p w:rsidR="003B0815" w:rsidRDefault="003B0815" w14:paraId="6DA7B938"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56799A12" w14:textId="77777777">
            <w:pPr>
              <w:keepNext/>
              <w:jc w:val="right"/>
              <w:rPr>
                <w:rFonts w:ascii="Arial" w:hAnsi="Arial"/>
                <w:sz w:val="20"/>
                <w:szCs w:val="20"/>
              </w:rPr>
            </w:pPr>
            <w:r>
              <w:rPr>
                <w:rFonts w:ascii="Arial" w:hAnsi="Arial" w:cs="Arial"/>
                <w:sz w:val="20"/>
                <w:szCs w:val="20"/>
              </w:rPr>
              <w:t xml:space="preserve">3.8 </w:t>
            </w:r>
          </w:p>
        </w:tc>
        <w:tc>
          <w:tcPr>
            <w:tcW w:w="1260" w:type="dxa"/>
            <w:tcBorders>
              <w:left w:val="double" w:color="auto" w:sz="4" w:space="0"/>
              <w:right w:val="single" w:color="auto" w:sz="12" w:space="0"/>
            </w:tcBorders>
            <w:shd w:val="clear" w:color="auto" w:fill="C0C0C0"/>
            <w:vAlign w:val="bottom"/>
          </w:tcPr>
          <w:p w:rsidR="003B0815" w:rsidRDefault="003B0815" w14:paraId="121880C7" w14:textId="77777777">
            <w:pPr>
              <w:keepNext/>
              <w:jc w:val="right"/>
              <w:rPr>
                <w:rFonts w:ascii="Arial" w:hAnsi="Arial"/>
                <w:sz w:val="20"/>
                <w:szCs w:val="20"/>
              </w:rPr>
            </w:pPr>
            <w:r>
              <w:rPr>
                <w:rFonts w:ascii="Arial" w:hAnsi="Arial" w:cs="Arial"/>
                <w:sz w:val="20"/>
                <w:szCs w:val="20"/>
              </w:rPr>
              <w:t xml:space="preserve">14.5 </w:t>
            </w:r>
          </w:p>
        </w:tc>
      </w:tr>
      <w:tr w:rsidR="003B0815" w14:paraId="02B924AE" w14:textId="77777777">
        <w:trPr>
          <w:jc w:val="center"/>
        </w:trPr>
        <w:tc>
          <w:tcPr>
            <w:tcW w:w="731" w:type="dxa"/>
            <w:tcBorders>
              <w:left w:val="single" w:color="auto" w:sz="12" w:space="0"/>
            </w:tcBorders>
          </w:tcPr>
          <w:p w:rsidR="003B0815" w:rsidRDefault="003B0815" w14:paraId="1889A08A" w14:textId="77777777">
            <w:pPr>
              <w:keepNext/>
              <w:jc w:val="center"/>
              <w:rPr>
                <w:rFonts w:ascii="Arial" w:hAnsi="Arial"/>
                <w:sz w:val="20"/>
                <w:szCs w:val="20"/>
              </w:rPr>
            </w:pPr>
            <w:r>
              <w:t>2010</w:t>
            </w:r>
          </w:p>
        </w:tc>
        <w:tc>
          <w:tcPr>
            <w:tcW w:w="828" w:type="dxa"/>
            <w:vAlign w:val="bottom"/>
          </w:tcPr>
          <w:p w:rsidR="003B0815" w:rsidRDefault="003B0815" w14:paraId="72E081FB"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29E76EB3" w14:textId="77777777">
            <w:pPr>
              <w:keepNext/>
              <w:jc w:val="right"/>
              <w:rPr>
                <w:rFonts w:ascii="Arial" w:hAnsi="Arial"/>
                <w:sz w:val="20"/>
                <w:szCs w:val="20"/>
              </w:rPr>
            </w:pPr>
            <w:r>
              <w:rPr>
                <w:rFonts w:ascii="Arial" w:hAnsi="Arial" w:cs="Arial"/>
                <w:sz w:val="20"/>
                <w:szCs w:val="20"/>
              </w:rPr>
              <w:t>48.9</w:t>
            </w:r>
          </w:p>
        </w:tc>
        <w:tc>
          <w:tcPr>
            <w:tcW w:w="1080" w:type="dxa"/>
            <w:vAlign w:val="bottom"/>
          </w:tcPr>
          <w:p w:rsidR="003B0815" w:rsidRDefault="003B0815" w14:paraId="2E8E8DE3"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2DE61488" w14:textId="77777777">
            <w:pPr>
              <w:keepNext/>
              <w:jc w:val="right"/>
              <w:rPr>
                <w:rFonts w:ascii="Arial" w:hAnsi="Arial"/>
                <w:sz w:val="20"/>
                <w:szCs w:val="20"/>
              </w:rPr>
            </w:pPr>
            <w:r>
              <w:rPr>
                <w:rFonts w:ascii="Arial" w:hAnsi="Arial" w:cs="Arial"/>
                <w:sz w:val="20"/>
                <w:szCs w:val="20"/>
              </w:rPr>
              <w:t>11.2</w:t>
            </w:r>
          </w:p>
        </w:tc>
        <w:tc>
          <w:tcPr>
            <w:tcW w:w="1080" w:type="dxa"/>
            <w:tcBorders>
              <w:left w:val="double" w:color="auto" w:sz="4" w:space="0"/>
            </w:tcBorders>
            <w:vAlign w:val="bottom"/>
          </w:tcPr>
          <w:p w:rsidR="003B0815" w:rsidRDefault="003B0815" w14:paraId="6EAE81CA" w14:textId="77777777">
            <w:pPr>
              <w:keepNext/>
              <w:jc w:val="right"/>
              <w:rPr>
                <w:rFonts w:ascii="Arial" w:hAnsi="Arial"/>
                <w:sz w:val="20"/>
                <w:szCs w:val="20"/>
              </w:rPr>
            </w:pPr>
            <w:r>
              <w:rPr>
                <w:rFonts w:ascii="Arial" w:hAnsi="Arial" w:cs="Arial"/>
                <w:sz w:val="20"/>
                <w:szCs w:val="20"/>
              </w:rPr>
              <w:t>47.0</w:t>
            </w:r>
          </w:p>
        </w:tc>
        <w:tc>
          <w:tcPr>
            <w:tcW w:w="1080" w:type="dxa"/>
            <w:vAlign w:val="bottom"/>
          </w:tcPr>
          <w:p w:rsidR="003B0815" w:rsidRDefault="003B0815" w14:paraId="37B6212A"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123089F" w14:textId="77777777">
            <w:pPr>
              <w:keepNext/>
              <w:jc w:val="right"/>
              <w:rPr>
                <w:rFonts w:ascii="Arial" w:hAnsi="Arial"/>
                <w:sz w:val="20"/>
                <w:szCs w:val="20"/>
              </w:rPr>
            </w:pPr>
            <w:r>
              <w:rPr>
                <w:rFonts w:ascii="Arial" w:hAnsi="Arial" w:cs="Arial"/>
                <w:sz w:val="20"/>
                <w:szCs w:val="20"/>
              </w:rPr>
              <w:t xml:space="preserve">4.0 </w:t>
            </w:r>
          </w:p>
        </w:tc>
        <w:tc>
          <w:tcPr>
            <w:tcW w:w="1260" w:type="dxa"/>
            <w:tcBorders>
              <w:left w:val="double" w:color="auto" w:sz="4" w:space="0"/>
              <w:right w:val="single" w:color="auto" w:sz="12" w:space="0"/>
            </w:tcBorders>
            <w:shd w:val="clear" w:color="auto" w:fill="C0C0C0"/>
            <w:vAlign w:val="bottom"/>
          </w:tcPr>
          <w:p w:rsidR="003B0815" w:rsidRDefault="003B0815" w14:paraId="180E96BA" w14:textId="77777777">
            <w:pPr>
              <w:keepNext/>
              <w:jc w:val="right"/>
              <w:rPr>
                <w:rFonts w:ascii="Arial" w:hAnsi="Arial"/>
                <w:sz w:val="20"/>
                <w:szCs w:val="20"/>
              </w:rPr>
            </w:pPr>
            <w:r>
              <w:rPr>
                <w:rFonts w:ascii="Arial" w:hAnsi="Arial" w:cs="Arial"/>
                <w:sz w:val="20"/>
                <w:szCs w:val="20"/>
              </w:rPr>
              <w:t xml:space="preserve">15.2 </w:t>
            </w:r>
          </w:p>
        </w:tc>
      </w:tr>
      <w:tr w:rsidR="003B0815" w14:paraId="7B3323D5" w14:textId="77777777">
        <w:trPr>
          <w:jc w:val="center"/>
        </w:trPr>
        <w:tc>
          <w:tcPr>
            <w:tcW w:w="731" w:type="dxa"/>
            <w:tcBorders>
              <w:left w:val="single" w:color="auto" w:sz="12" w:space="0"/>
            </w:tcBorders>
          </w:tcPr>
          <w:p w:rsidR="003B0815" w:rsidRDefault="003B0815" w14:paraId="13C0E927" w14:textId="77777777">
            <w:pPr>
              <w:keepNext/>
              <w:jc w:val="center"/>
              <w:rPr>
                <w:rFonts w:ascii="Arial" w:hAnsi="Arial"/>
                <w:sz w:val="20"/>
                <w:szCs w:val="20"/>
              </w:rPr>
            </w:pPr>
            <w:r>
              <w:t>2011</w:t>
            </w:r>
          </w:p>
        </w:tc>
        <w:tc>
          <w:tcPr>
            <w:tcW w:w="828" w:type="dxa"/>
            <w:vAlign w:val="bottom"/>
          </w:tcPr>
          <w:p w:rsidR="003B0815" w:rsidRDefault="003B0815" w14:paraId="6ABD2AA6"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61A1CF6" w14:textId="77777777">
            <w:pPr>
              <w:keepNext/>
              <w:jc w:val="right"/>
              <w:rPr>
                <w:rFonts w:ascii="Arial" w:hAnsi="Arial"/>
                <w:sz w:val="20"/>
                <w:szCs w:val="20"/>
              </w:rPr>
            </w:pPr>
            <w:r>
              <w:rPr>
                <w:rFonts w:ascii="Arial" w:hAnsi="Arial" w:cs="Arial"/>
                <w:sz w:val="20"/>
                <w:szCs w:val="20"/>
              </w:rPr>
              <w:t>51.4</w:t>
            </w:r>
          </w:p>
        </w:tc>
        <w:tc>
          <w:tcPr>
            <w:tcW w:w="1080" w:type="dxa"/>
            <w:vAlign w:val="bottom"/>
          </w:tcPr>
          <w:p w:rsidR="003B0815" w:rsidRDefault="003B0815" w14:paraId="62D5F077"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44770309" w14:textId="77777777">
            <w:pPr>
              <w:keepNext/>
              <w:jc w:val="right"/>
              <w:rPr>
                <w:rFonts w:ascii="Arial" w:hAnsi="Arial"/>
                <w:sz w:val="20"/>
                <w:szCs w:val="20"/>
              </w:rPr>
            </w:pPr>
            <w:r>
              <w:rPr>
                <w:rFonts w:ascii="Arial" w:hAnsi="Arial" w:cs="Arial"/>
                <w:sz w:val="20"/>
                <w:szCs w:val="20"/>
              </w:rPr>
              <w:t>11.7</w:t>
            </w:r>
          </w:p>
        </w:tc>
        <w:tc>
          <w:tcPr>
            <w:tcW w:w="1080" w:type="dxa"/>
            <w:tcBorders>
              <w:left w:val="double" w:color="auto" w:sz="4" w:space="0"/>
            </w:tcBorders>
            <w:vAlign w:val="bottom"/>
          </w:tcPr>
          <w:p w:rsidR="003B0815" w:rsidRDefault="003B0815" w14:paraId="24BC4923" w14:textId="77777777">
            <w:pPr>
              <w:keepNext/>
              <w:jc w:val="right"/>
              <w:rPr>
                <w:rFonts w:ascii="Arial" w:hAnsi="Arial"/>
                <w:sz w:val="20"/>
                <w:szCs w:val="20"/>
              </w:rPr>
            </w:pPr>
            <w:r>
              <w:rPr>
                <w:rFonts w:ascii="Arial" w:hAnsi="Arial" w:cs="Arial"/>
                <w:sz w:val="20"/>
                <w:szCs w:val="20"/>
              </w:rPr>
              <w:t>49.3</w:t>
            </w:r>
          </w:p>
        </w:tc>
        <w:tc>
          <w:tcPr>
            <w:tcW w:w="1080" w:type="dxa"/>
            <w:vAlign w:val="bottom"/>
          </w:tcPr>
          <w:p w:rsidR="003B0815" w:rsidRDefault="003B0815" w14:paraId="664E8786"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DB20847" w14:textId="77777777">
            <w:pPr>
              <w:keepNext/>
              <w:jc w:val="right"/>
              <w:rPr>
                <w:rFonts w:ascii="Arial" w:hAnsi="Arial"/>
                <w:sz w:val="20"/>
                <w:szCs w:val="20"/>
              </w:rPr>
            </w:pPr>
            <w:r>
              <w:rPr>
                <w:rFonts w:ascii="Arial" w:hAnsi="Arial" w:cs="Arial"/>
                <w:sz w:val="20"/>
                <w:szCs w:val="20"/>
              </w:rPr>
              <w:t xml:space="preserve">4.2 </w:t>
            </w:r>
          </w:p>
        </w:tc>
        <w:tc>
          <w:tcPr>
            <w:tcW w:w="1260" w:type="dxa"/>
            <w:tcBorders>
              <w:left w:val="double" w:color="auto" w:sz="4" w:space="0"/>
              <w:right w:val="single" w:color="auto" w:sz="12" w:space="0"/>
            </w:tcBorders>
            <w:shd w:val="clear" w:color="auto" w:fill="C0C0C0"/>
            <w:vAlign w:val="bottom"/>
          </w:tcPr>
          <w:p w:rsidR="003B0815" w:rsidRDefault="003B0815" w14:paraId="61F47B82" w14:textId="77777777">
            <w:pPr>
              <w:keepNext/>
              <w:jc w:val="right"/>
              <w:rPr>
                <w:rFonts w:ascii="Arial" w:hAnsi="Arial"/>
                <w:sz w:val="20"/>
                <w:szCs w:val="20"/>
              </w:rPr>
            </w:pPr>
            <w:r>
              <w:rPr>
                <w:rFonts w:ascii="Arial" w:hAnsi="Arial" w:cs="Arial"/>
                <w:sz w:val="20"/>
                <w:szCs w:val="20"/>
              </w:rPr>
              <w:t xml:space="preserve">15.9 </w:t>
            </w:r>
          </w:p>
        </w:tc>
      </w:tr>
      <w:tr w:rsidR="003B0815" w14:paraId="4B58FBEF" w14:textId="77777777">
        <w:trPr>
          <w:jc w:val="center"/>
        </w:trPr>
        <w:tc>
          <w:tcPr>
            <w:tcW w:w="731" w:type="dxa"/>
            <w:tcBorders>
              <w:left w:val="single" w:color="auto" w:sz="12" w:space="0"/>
            </w:tcBorders>
          </w:tcPr>
          <w:p w:rsidR="003B0815" w:rsidRDefault="003B0815" w14:paraId="73F29B03" w14:textId="77777777">
            <w:pPr>
              <w:keepNext/>
              <w:jc w:val="center"/>
              <w:rPr>
                <w:rFonts w:ascii="Arial" w:hAnsi="Arial"/>
                <w:sz w:val="20"/>
                <w:szCs w:val="20"/>
              </w:rPr>
            </w:pPr>
            <w:r>
              <w:t>2012</w:t>
            </w:r>
          </w:p>
        </w:tc>
        <w:tc>
          <w:tcPr>
            <w:tcW w:w="828" w:type="dxa"/>
            <w:vAlign w:val="bottom"/>
          </w:tcPr>
          <w:p w:rsidR="003B0815" w:rsidRDefault="003B0815" w14:paraId="3D31AD03"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5C72DB9" w14:textId="77777777">
            <w:pPr>
              <w:keepNext/>
              <w:jc w:val="right"/>
              <w:rPr>
                <w:rFonts w:ascii="Arial" w:hAnsi="Arial"/>
                <w:sz w:val="20"/>
                <w:szCs w:val="20"/>
              </w:rPr>
            </w:pPr>
            <w:r>
              <w:rPr>
                <w:rFonts w:ascii="Arial" w:hAnsi="Arial" w:cs="Arial"/>
                <w:sz w:val="20"/>
                <w:szCs w:val="20"/>
              </w:rPr>
              <w:t>53.9</w:t>
            </w:r>
          </w:p>
        </w:tc>
        <w:tc>
          <w:tcPr>
            <w:tcW w:w="1080" w:type="dxa"/>
            <w:vAlign w:val="bottom"/>
          </w:tcPr>
          <w:p w:rsidR="003B0815" w:rsidRDefault="003B0815" w14:paraId="3531DFAF"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555F0F5E" w14:textId="77777777">
            <w:pPr>
              <w:keepNext/>
              <w:jc w:val="right"/>
              <w:rPr>
                <w:rFonts w:ascii="Arial" w:hAnsi="Arial"/>
                <w:sz w:val="20"/>
                <w:szCs w:val="20"/>
              </w:rPr>
            </w:pPr>
            <w:r>
              <w:rPr>
                <w:rFonts w:ascii="Arial" w:hAnsi="Arial" w:cs="Arial"/>
                <w:sz w:val="20"/>
                <w:szCs w:val="20"/>
              </w:rPr>
              <w:t>12.3</w:t>
            </w:r>
          </w:p>
        </w:tc>
        <w:tc>
          <w:tcPr>
            <w:tcW w:w="1080" w:type="dxa"/>
            <w:tcBorders>
              <w:left w:val="double" w:color="auto" w:sz="4" w:space="0"/>
            </w:tcBorders>
            <w:vAlign w:val="bottom"/>
          </w:tcPr>
          <w:p w:rsidR="003B0815" w:rsidRDefault="003B0815" w14:paraId="3ADD7E56" w14:textId="77777777">
            <w:pPr>
              <w:keepNext/>
              <w:jc w:val="right"/>
              <w:rPr>
                <w:rFonts w:ascii="Arial" w:hAnsi="Arial"/>
                <w:sz w:val="20"/>
                <w:szCs w:val="20"/>
              </w:rPr>
            </w:pPr>
            <w:r>
              <w:rPr>
                <w:rFonts w:ascii="Arial" w:hAnsi="Arial" w:cs="Arial"/>
                <w:sz w:val="20"/>
                <w:szCs w:val="20"/>
              </w:rPr>
              <w:t>51.8</w:t>
            </w:r>
          </w:p>
        </w:tc>
        <w:tc>
          <w:tcPr>
            <w:tcW w:w="1080" w:type="dxa"/>
            <w:vAlign w:val="bottom"/>
          </w:tcPr>
          <w:p w:rsidR="003B0815" w:rsidRDefault="003B0815" w14:paraId="5E448660"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05E4089D" w14:textId="77777777">
            <w:pPr>
              <w:keepNext/>
              <w:jc w:val="right"/>
              <w:rPr>
                <w:rFonts w:ascii="Arial" w:hAnsi="Arial"/>
                <w:sz w:val="20"/>
                <w:szCs w:val="20"/>
              </w:rPr>
            </w:pPr>
            <w:r>
              <w:rPr>
                <w:rFonts w:ascii="Arial" w:hAnsi="Arial" w:cs="Arial"/>
                <w:sz w:val="20"/>
                <w:szCs w:val="20"/>
              </w:rPr>
              <w:t xml:space="preserve">4.5 </w:t>
            </w:r>
          </w:p>
        </w:tc>
        <w:tc>
          <w:tcPr>
            <w:tcW w:w="1260" w:type="dxa"/>
            <w:tcBorders>
              <w:left w:val="double" w:color="auto" w:sz="4" w:space="0"/>
              <w:right w:val="single" w:color="auto" w:sz="12" w:space="0"/>
            </w:tcBorders>
            <w:shd w:val="clear" w:color="auto" w:fill="C0C0C0"/>
            <w:vAlign w:val="bottom"/>
          </w:tcPr>
          <w:p w:rsidR="003B0815" w:rsidRDefault="003B0815" w14:paraId="182B2C8E" w14:textId="77777777">
            <w:pPr>
              <w:keepNext/>
              <w:jc w:val="right"/>
              <w:rPr>
                <w:rFonts w:ascii="Arial" w:hAnsi="Arial"/>
                <w:sz w:val="20"/>
                <w:szCs w:val="20"/>
              </w:rPr>
            </w:pPr>
            <w:r>
              <w:rPr>
                <w:rFonts w:ascii="Arial" w:hAnsi="Arial" w:cs="Arial"/>
                <w:sz w:val="20"/>
                <w:szCs w:val="20"/>
              </w:rPr>
              <w:t xml:space="preserve">16.8 </w:t>
            </w:r>
          </w:p>
        </w:tc>
      </w:tr>
      <w:tr w:rsidR="003B0815" w14:paraId="4C2E69CC" w14:textId="77777777">
        <w:trPr>
          <w:jc w:val="center"/>
        </w:trPr>
        <w:tc>
          <w:tcPr>
            <w:tcW w:w="731" w:type="dxa"/>
            <w:tcBorders>
              <w:left w:val="single" w:color="auto" w:sz="12" w:space="0"/>
            </w:tcBorders>
          </w:tcPr>
          <w:p w:rsidR="003B0815" w:rsidRDefault="003B0815" w14:paraId="2FC5CA14" w14:textId="77777777">
            <w:pPr>
              <w:keepNext/>
              <w:jc w:val="center"/>
              <w:rPr>
                <w:rFonts w:ascii="Arial" w:hAnsi="Arial"/>
                <w:sz w:val="20"/>
                <w:szCs w:val="20"/>
              </w:rPr>
            </w:pPr>
            <w:r>
              <w:t>2013</w:t>
            </w:r>
          </w:p>
        </w:tc>
        <w:tc>
          <w:tcPr>
            <w:tcW w:w="828" w:type="dxa"/>
            <w:vAlign w:val="bottom"/>
          </w:tcPr>
          <w:p w:rsidR="003B0815" w:rsidRDefault="003B0815" w14:paraId="51E63B54"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087EEC19" w14:textId="77777777">
            <w:pPr>
              <w:keepNext/>
              <w:jc w:val="right"/>
              <w:rPr>
                <w:rFonts w:ascii="Arial" w:hAnsi="Arial"/>
                <w:sz w:val="20"/>
                <w:szCs w:val="20"/>
              </w:rPr>
            </w:pPr>
            <w:r>
              <w:rPr>
                <w:rFonts w:ascii="Arial" w:hAnsi="Arial" w:cs="Arial"/>
                <w:sz w:val="20"/>
                <w:szCs w:val="20"/>
              </w:rPr>
              <w:t>56.5</w:t>
            </w:r>
          </w:p>
        </w:tc>
        <w:tc>
          <w:tcPr>
            <w:tcW w:w="1080" w:type="dxa"/>
            <w:vAlign w:val="bottom"/>
          </w:tcPr>
          <w:p w:rsidR="003B0815" w:rsidRDefault="003B0815" w14:paraId="083421C0"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52FF6BBC" w14:textId="77777777">
            <w:pPr>
              <w:keepNext/>
              <w:jc w:val="right"/>
              <w:rPr>
                <w:rFonts w:ascii="Arial" w:hAnsi="Arial"/>
                <w:sz w:val="20"/>
                <w:szCs w:val="20"/>
              </w:rPr>
            </w:pPr>
            <w:r>
              <w:rPr>
                <w:rFonts w:ascii="Arial" w:hAnsi="Arial" w:cs="Arial"/>
                <w:sz w:val="20"/>
                <w:szCs w:val="20"/>
              </w:rPr>
              <w:t>12.9</w:t>
            </w:r>
          </w:p>
        </w:tc>
        <w:tc>
          <w:tcPr>
            <w:tcW w:w="1080" w:type="dxa"/>
            <w:tcBorders>
              <w:left w:val="double" w:color="auto" w:sz="4" w:space="0"/>
            </w:tcBorders>
            <w:vAlign w:val="bottom"/>
          </w:tcPr>
          <w:p w:rsidR="003B0815" w:rsidRDefault="003B0815" w14:paraId="2BD4F2D9" w14:textId="77777777">
            <w:pPr>
              <w:keepNext/>
              <w:jc w:val="right"/>
              <w:rPr>
                <w:rFonts w:ascii="Arial" w:hAnsi="Arial"/>
                <w:sz w:val="20"/>
                <w:szCs w:val="20"/>
              </w:rPr>
            </w:pPr>
            <w:r>
              <w:rPr>
                <w:rFonts w:ascii="Arial" w:hAnsi="Arial" w:cs="Arial"/>
                <w:sz w:val="20"/>
                <w:szCs w:val="20"/>
              </w:rPr>
              <w:t>54.3</w:t>
            </w:r>
          </w:p>
        </w:tc>
        <w:tc>
          <w:tcPr>
            <w:tcW w:w="1080" w:type="dxa"/>
            <w:vAlign w:val="bottom"/>
          </w:tcPr>
          <w:p w:rsidR="003B0815" w:rsidRDefault="003B0815" w14:paraId="237549B9"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599FE58" w14:textId="77777777">
            <w:pPr>
              <w:keepNext/>
              <w:jc w:val="right"/>
              <w:rPr>
                <w:rFonts w:ascii="Arial" w:hAnsi="Arial"/>
                <w:sz w:val="20"/>
                <w:szCs w:val="20"/>
              </w:rPr>
            </w:pPr>
            <w:r>
              <w:rPr>
                <w:rFonts w:ascii="Arial" w:hAnsi="Arial" w:cs="Arial"/>
                <w:sz w:val="20"/>
                <w:szCs w:val="20"/>
              </w:rPr>
              <w:t xml:space="preserve">4.7 </w:t>
            </w:r>
          </w:p>
        </w:tc>
        <w:tc>
          <w:tcPr>
            <w:tcW w:w="1260" w:type="dxa"/>
            <w:tcBorders>
              <w:left w:val="double" w:color="auto" w:sz="4" w:space="0"/>
              <w:right w:val="single" w:color="auto" w:sz="12" w:space="0"/>
            </w:tcBorders>
            <w:shd w:val="clear" w:color="auto" w:fill="C0C0C0"/>
            <w:vAlign w:val="bottom"/>
          </w:tcPr>
          <w:p w:rsidR="003B0815" w:rsidRDefault="003B0815" w14:paraId="5FBF6263" w14:textId="77777777">
            <w:pPr>
              <w:keepNext/>
              <w:jc w:val="right"/>
              <w:rPr>
                <w:rFonts w:ascii="Arial" w:hAnsi="Arial"/>
                <w:sz w:val="20"/>
                <w:szCs w:val="20"/>
              </w:rPr>
            </w:pPr>
            <w:r>
              <w:rPr>
                <w:rFonts w:ascii="Arial" w:hAnsi="Arial" w:cs="Arial"/>
                <w:sz w:val="20"/>
                <w:szCs w:val="20"/>
              </w:rPr>
              <w:t xml:space="preserve">17.6 </w:t>
            </w:r>
          </w:p>
        </w:tc>
      </w:tr>
      <w:tr w:rsidR="003B0815" w14:paraId="1A10ED23" w14:textId="77777777">
        <w:trPr>
          <w:jc w:val="center"/>
        </w:trPr>
        <w:tc>
          <w:tcPr>
            <w:tcW w:w="731" w:type="dxa"/>
            <w:tcBorders>
              <w:left w:val="single" w:color="auto" w:sz="12" w:space="0"/>
            </w:tcBorders>
          </w:tcPr>
          <w:p w:rsidR="003B0815" w:rsidRDefault="003B0815" w14:paraId="2B9D9E4A" w14:textId="77777777">
            <w:pPr>
              <w:keepNext/>
              <w:jc w:val="center"/>
              <w:rPr>
                <w:rFonts w:ascii="Arial" w:hAnsi="Arial"/>
                <w:sz w:val="20"/>
                <w:szCs w:val="20"/>
              </w:rPr>
            </w:pPr>
            <w:r>
              <w:t>2014</w:t>
            </w:r>
          </w:p>
        </w:tc>
        <w:tc>
          <w:tcPr>
            <w:tcW w:w="828" w:type="dxa"/>
            <w:vAlign w:val="bottom"/>
          </w:tcPr>
          <w:p w:rsidR="003B0815" w:rsidRDefault="003B0815" w14:paraId="58CE34EE"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9D16334" w14:textId="77777777">
            <w:pPr>
              <w:keepNext/>
              <w:jc w:val="right"/>
              <w:rPr>
                <w:rFonts w:ascii="Arial" w:hAnsi="Arial"/>
                <w:sz w:val="20"/>
                <w:szCs w:val="20"/>
              </w:rPr>
            </w:pPr>
            <w:r>
              <w:rPr>
                <w:rFonts w:ascii="Arial" w:hAnsi="Arial" w:cs="Arial"/>
                <w:sz w:val="20"/>
                <w:szCs w:val="20"/>
              </w:rPr>
              <w:t>59.5</w:t>
            </w:r>
          </w:p>
        </w:tc>
        <w:tc>
          <w:tcPr>
            <w:tcW w:w="1080" w:type="dxa"/>
            <w:vAlign w:val="bottom"/>
          </w:tcPr>
          <w:p w:rsidR="003B0815" w:rsidRDefault="003B0815" w14:paraId="70D7AC70"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1CFF29EB" w14:textId="77777777">
            <w:pPr>
              <w:keepNext/>
              <w:jc w:val="right"/>
              <w:rPr>
                <w:rFonts w:ascii="Arial" w:hAnsi="Arial"/>
                <w:sz w:val="20"/>
                <w:szCs w:val="20"/>
              </w:rPr>
            </w:pPr>
            <w:r>
              <w:rPr>
                <w:rFonts w:ascii="Arial" w:hAnsi="Arial" w:cs="Arial"/>
                <w:sz w:val="20"/>
                <w:szCs w:val="20"/>
              </w:rPr>
              <w:t>13.6</w:t>
            </w:r>
          </w:p>
        </w:tc>
        <w:tc>
          <w:tcPr>
            <w:tcW w:w="1080" w:type="dxa"/>
            <w:tcBorders>
              <w:left w:val="double" w:color="auto" w:sz="4" w:space="0"/>
            </w:tcBorders>
            <w:vAlign w:val="bottom"/>
          </w:tcPr>
          <w:p w:rsidR="003B0815" w:rsidRDefault="003B0815" w14:paraId="03F7DF23" w14:textId="77777777">
            <w:pPr>
              <w:keepNext/>
              <w:jc w:val="right"/>
              <w:rPr>
                <w:rFonts w:ascii="Arial" w:hAnsi="Arial"/>
                <w:sz w:val="20"/>
                <w:szCs w:val="20"/>
              </w:rPr>
            </w:pPr>
            <w:r>
              <w:rPr>
                <w:rFonts w:ascii="Arial" w:hAnsi="Arial" w:cs="Arial"/>
                <w:sz w:val="20"/>
                <w:szCs w:val="20"/>
              </w:rPr>
              <w:t>57.1</w:t>
            </w:r>
          </w:p>
        </w:tc>
        <w:tc>
          <w:tcPr>
            <w:tcW w:w="1080" w:type="dxa"/>
            <w:vAlign w:val="bottom"/>
          </w:tcPr>
          <w:p w:rsidR="003B0815" w:rsidRDefault="003B0815" w14:paraId="5737EF1F"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17DD54F3" w14:textId="77777777">
            <w:pPr>
              <w:keepNext/>
              <w:jc w:val="right"/>
              <w:rPr>
                <w:rFonts w:ascii="Arial" w:hAnsi="Arial"/>
                <w:sz w:val="20"/>
                <w:szCs w:val="20"/>
              </w:rPr>
            </w:pPr>
            <w:r>
              <w:rPr>
                <w:rFonts w:ascii="Arial" w:hAnsi="Arial" w:cs="Arial"/>
                <w:sz w:val="20"/>
                <w:szCs w:val="20"/>
              </w:rPr>
              <w:t xml:space="preserve">4.9 </w:t>
            </w:r>
          </w:p>
        </w:tc>
        <w:tc>
          <w:tcPr>
            <w:tcW w:w="1260" w:type="dxa"/>
            <w:tcBorders>
              <w:left w:val="double" w:color="auto" w:sz="4" w:space="0"/>
              <w:right w:val="single" w:color="auto" w:sz="12" w:space="0"/>
            </w:tcBorders>
            <w:shd w:val="clear" w:color="auto" w:fill="C0C0C0"/>
            <w:vAlign w:val="bottom"/>
          </w:tcPr>
          <w:p w:rsidR="003B0815" w:rsidRDefault="003B0815" w14:paraId="2110BC34" w14:textId="77777777">
            <w:pPr>
              <w:keepNext/>
              <w:jc w:val="right"/>
              <w:rPr>
                <w:rFonts w:ascii="Arial" w:hAnsi="Arial"/>
                <w:sz w:val="20"/>
                <w:szCs w:val="20"/>
              </w:rPr>
            </w:pPr>
            <w:r>
              <w:rPr>
                <w:rFonts w:ascii="Arial" w:hAnsi="Arial" w:cs="Arial"/>
                <w:sz w:val="20"/>
                <w:szCs w:val="20"/>
              </w:rPr>
              <w:t xml:space="preserve">18.5 </w:t>
            </w:r>
          </w:p>
        </w:tc>
      </w:tr>
      <w:tr w:rsidR="003B0815" w14:paraId="635620F1" w14:textId="77777777">
        <w:trPr>
          <w:jc w:val="center"/>
        </w:trPr>
        <w:tc>
          <w:tcPr>
            <w:tcW w:w="731" w:type="dxa"/>
            <w:tcBorders>
              <w:left w:val="single" w:color="auto" w:sz="12" w:space="0"/>
            </w:tcBorders>
          </w:tcPr>
          <w:p w:rsidR="003B0815" w:rsidRDefault="003B0815" w14:paraId="16660DD1" w14:textId="77777777">
            <w:pPr>
              <w:keepNext/>
              <w:jc w:val="center"/>
              <w:rPr>
                <w:rFonts w:ascii="Arial" w:hAnsi="Arial"/>
                <w:sz w:val="20"/>
                <w:szCs w:val="20"/>
              </w:rPr>
            </w:pPr>
            <w:r>
              <w:t>2015</w:t>
            </w:r>
          </w:p>
        </w:tc>
        <w:tc>
          <w:tcPr>
            <w:tcW w:w="828" w:type="dxa"/>
            <w:vAlign w:val="bottom"/>
          </w:tcPr>
          <w:p w:rsidR="003B0815" w:rsidRDefault="003B0815" w14:paraId="642CC3F2"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2465FD86" w14:textId="77777777">
            <w:pPr>
              <w:keepNext/>
              <w:jc w:val="right"/>
              <w:rPr>
                <w:rFonts w:ascii="Arial" w:hAnsi="Arial"/>
                <w:sz w:val="20"/>
                <w:szCs w:val="20"/>
              </w:rPr>
            </w:pPr>
            <w:r>
              <w:rPr>
                <w:rFonts w:ascii="Arial" w:hAnsi="Arial" w:cs="Arial"/>
                <w:sz w:val="20"/>
                <w:szCs w:val="20"/>
              </w:rPr>
              <w:t>62.4</w:t>
            </w:r>
          </w:p>
        </w:tc>
        <w:tc>
          <w:tcPr>
            <w:tcW w:w="1080" w:type="dxa"/>
            <w:vAlign w:val="bottom"/>
          </w:tcPr>
          <w:p w:rsidR="003B0815" w:rsidRDefault="003B0815" w14:paraId="77BBB2A7"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76C19A9D" w14:textId="77777777">
            <w:pPr>
              <w:keepNext/>
              <w:jc w:val="right"/>
              <w:rPr>
                <w:rFonts w:ascii="Arial" w:hAnsi="Arial"/>
                <w:sz w:val="20"/>
                <w:szCs w:val="20"/>
              </w:rPr>
            </w:pPr>
            <w:r>
              <w:rPr>
                <w:rFonts w:ascii="Arial" w:hAnsi="Arial" w:cs="Arial"/>
                <w:sz w:val="20"/>
                <w:szCs w:val="20"/>
              </w:rPr>
              <w:t>14.3</w:t>
            </w:r>
          </w:p>
        </w:tc>
        <w:tc>
          <w:tcPr>
            <w:tcW w:w="1080" w:type="dxa"/>
            <w:tcBorders>
              <w:left w:val="double" w:color="auto" w:sz="4" w:space="0"/>
            </w:tcBorders>
            <w:vAlign w:val="bottom"/>
          </w:tcPr>
          <w:p w:rsidR="003B0815" w:rsidRDefault="003B0815" w14:paraId="7C55733D" w14:textId="77777777">
            <w:pPr>
              <w:keepNext/>
              <w:jc w:val="right"/>
              <w:rPr>
                <w:rFonts w:ascii="Arial" w:hAnsi="Arial"/>
                <w:sz w:val="20"/>
                <w:szCs w:val="20"/>
              </w:rPr>
            </w:pPr>
            <w:r>
              <w:rPr>
                <w:rFonts w:ascii="Arial" w:hAnsi="Arial" w:cs="Arial"/>
                <w:sz w:val="20"/>
                <w:szCs w:val="20"/>
              </w:rPr>
              <w:t>60.0</w:t>
            </w:r>
          </w:p>
        </w:tc>
        <w:tc>
          <w:tcPr>
            <w:tcW w:w="1080" w:type="dxa"/>
            <w:vAlign w:val="bottom"/>
          </w:tcPr>
          <w:p w:rsidR="003B0815" w:rsidRDefault="003B0815" w14:paraId="7532F540"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3EF78F76" w14:textId="77777777">
            <w:pPr>
              <w:keepNext/>
              <w:jc w:val="right"/>
              <w:rPr>
                <w:rFonts w:ascii="Arial" w:hAnsi="Arial"/>
                <w:sz w:val="20"/>
                <w:szCs w:val="20"/>
              </w:rPr>
            </w:pPr>
            <w:r>
              <w:rPr>
                <w:rFonts w:ascii="Arial" w:hAnsi="Arial" w:cs="Arial"/>
                <w:sz w:val="20"/>
                <w:szCs w:val="20"/>
              </w:rPr>
              <w:t xml:space="preserve">5.1 </w:t>
            </w:r>
          </w:p>
        </w:tc>
        <w:tc>
          <w:tcPr>
            <w:tcW w:w="1260" w:type="dxa"/>
            <w:tcBorders>
              <w:left w:val="double" w:color="auto" w:sz="4" w:space="0"/>
              <w:right w:val="single" w:color="auto" w:sz="12" w:space="0"/>
            </w:tcBorders>
            <w:shd w:val="clear" w:color="auto" w:fill="C0C0C0"/>
            <w:vAlign w:val="bottom"/>
          </w:tcPr>
          <w:p w:rsidR="003B0815" w:rsidRDefault="003B0815" w14:paraId="3A477B68" w14:textId="77777777">
            <w:pPr>
              <w:keepNext/>
              <w:jc w:val="right"/>
              <w:rPr>
                <w:rFonts w:ascii="Arial" w:hAnsi="Arial"/>
                <w:sz w:val="20"/>
                <w:szCs w:val="20"/>
              </w:rPr>
            </w:pPr>
            <w:r>
              <w:rPr>
                <w:rFonts w:ascii="Arial" w:hAnsi="Arial" w:cs="Arial"/>
                <w:sz w:val="20"/>
                <w:szCs w:val="20"/>
              </w:rPr>
              <w:t xml:space="preserve">19.4 </w:t>
            </w:r>
          </w:p>
        </w:tc>
      </w:tr>
      <w:tr w:rsidR="003B0815" w14:paraId="70AC4DFB" w14:textId="77777777">
        <w:trPr>
          <w:jc w:val="center"/>
        </w:trPr>
        <w:tc>
          <w:tcPr>
            <w:tcW w:w="731" w:type="dxa"/>
            <w:tcBorders>
              <w:left w:val="single" w:color="auto" w:sz="12" w:space="0"/>
            </w:tcBorders>
          </w:tcPr>
          <w:p w:rsidR="003B0815" w:rsidRDefault="003B0815" w14:paraId="7A3AA76C" w14:textId="77777777">
            <w:pPr>
              <w:keepNext/>
              <w:jc w:val="center"/>
              <w:rPr>
                <w:rFonts w:ascii="Arial" w:hAnsi="Arial"/>
                <w:sz w:val="20"/>
                <w:szCs w:val="20"/>
              </w:rPr>
            </w:pPr>
            <w:r>
              <w:t>2016</w:t>
            </w:r>
          </w:p>
        </w:tc>
        <w:tc>
          <w:tcPr>
            <w:tcW w:w="828" w:type="dxa"/>
            <w:vAlign w:val="bottom"/>
          </w:tcPr>
          <w:p w:rsidR="003B0815" w:rsidRDefault="003B0815" w14:paraId="3735CD53"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2612C2FE" w14:textId="77777777">
            <w:pPr>
              <w:keepNext/>
              <w:jc w:val="right"/>
              <w:rPr>
                <w:rFonts w:ascii="Arial" w:hAnsi="Arial"/>
                <w:sz w:val="20"/>
                <w:szCs w:val="20"/>
              </w:rPr>
            </w:pPr>
            <w:r>
              <w:rPr>
                <w:rFonts w:ascii="Arial" w:hAnsi="Arial" w:cs="Arial"/>
                <w:sz w:val="20"/>
                <w:szCs w:val="20"/>
              </w:rPr>
              <w:t>65.5</w:t>
            </w:r>
          </w:p>
        </w:tc>
        <w:tc>
          <w:tcPr>
            <w:tcW w:w="1080" w:type="dxa"/>
            <w:vAlign w:val="bottom"/>
          </w:tcPr>
          <w:p w:rsidR="003B0815" w:rsidRDefault="003B0815" w14:paraId="38CF5BF2" w14:textId="77777777">
            <w:pPr>
              <w:keepNext/>
              <w:jc w:val="center"/>
              <w:rPr>
                <w:rFonts w:ascii="Arial" w:hAnsi="Arial"/>
                <w:sz w:val="20"/>
                <w:szCs w:val="20"/>
              </w:rPr>
            </w:pPr>
            <w:r>
              <w:rPr>
                <w:rFonts w:ascii="Arial" w:hAnsi="Arial" w:cs="Arial"/>
                <w:sz w:val="20"/>
                <w:szCs w:val="20"/>
              </w:rPr>
              <w:t>0.008</w:t>
            </w:r>
          </w:p>
        </w:tc>
        <w:tc>
          <w:tcPr>
            <w:tcW w:w="1260" w:type="dxa"/>
            <w:tcBorders>
              <w:right w:val="double" w:color="auto" w:sz="4" w:space="0"/>
            </w:tcBorders>
            <w:shd w:val="clear" w:color="auto" w:fill="C0C0C0"/>
            <w:vAlign w:val="bottom"/>
          </w:tcPr>
          <w:p w:rsidR="003B0815" w:rsidRDefault="003B0815" w14:paraId="06072C4F" w14:textId="77777777">
            <w:pPr>
              <w:keepNext/>
              <w:jc w:val="right"/>
              <w:rPr>
                <w:rFonts w:ascii="Arial" w:hAnsi="Arial"/>
                <w:sz w:val="20"/>
                <w:szCs w:val="20"/>
              </w:rPr>
            </w:pPr>
            <w:r>
              <w:rPr>
                <w:rFonts w:ascii="Arial" w:hAnsi="Arial" w:cs="Arial"/>
                <w:sz w:val="20"/>
                <w:szCs w:val="20"/>
              </w:rPr>
              <w:t>15.0</w:t>
            </w:r>
          </w:p>
        </w:tc>
        <w:tc>
          <w:tcPr>
            <w:tcW w:w="1080" w:type="dxa"/>
            <w:tcBorders>
              <w:left w:val="double" w:color="auto" w:sz="4" w:space="0"/>
            </w:tcBorders>
            <w:vAlign w:val="bottom"/>
          </w:tcPr>
          <w:p w:rsidR="003B0815" w:rsidRDefault="003B0815" w14:paraId="5C3B7A8F" w14:textId="77777777">
            <w:pPr>
              <w:keepNext/>
              <w:jc w:val="right"/>
              <w:rPr>
                <w:rFonts w:ascii="Arial" w:hAnsi="Arial"/>
                <w:sz w:val="20"/>
                <w:szCs w:val="20"/>
              </w:rPr>
            </w:pPr>
            <w:r>
              <w:rPr>
                <w:rFonts w:ascii="Arial" w:hAnsi="Arial" w:cs="Arial"/>
                <w:sz w:val="20"/>
                <w:szCs w:val="20"/>
              </w:rPr>
              <w:t>63.0</w:t>
            </w:r>
          </w:p>
        </w:tc>
        <w:tc>
          <w:tcPr>
            <w:tcW w:w="1080" w:type="dxa"/>
            <w:vAlign w:val="bottom"/>
          </w:tcPr>
          <w:p w:rsidR="003B0815" w:rsidRDefault="003B0815" w14:paraId="70D9B210"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A910227" w14:textId="77777777">
            <w:pPr>
              <w:keepNext/>
              <w:jc w:val="right"/>
              <w:rPr>
                <w:rFonts w:ascii="Arial" w:hAnsi="Arial"/>
                <w:sz w:val="20"/>
                <w:szCs w:val="20"/>
              </w:rPr>
            </w:pPr>
            <w:r>
              <w:rPr>
                <w:rFonts w:ascii="Arial" w:hAnsi="Arial" w:cs="Arial"/>
                <w:sz w:val="20"/>
                <w:szCs w:val="20"/>
              </w:rPr>
              <w:t xml:space="preserve">5.4 </w:t>
            </w:r>
          </w:p>
        </w:tc>
        <w:tc>
          <w:tcPr>
            <w:tcW w:w="1260" w:type="dxa"/>
            <w:tcBorders>
              <w:left w:val="double" w:color="auto" w:sz="4" w:space="0"/>
              <w:right w:val="single" w:color="auto" w:sz="12" w:space="0"/>
            </w:tcBorders>
            <w:shd w:val="clear" w:color="auto" w:fill="C0C0C0"/>
            <w:vAlign w:val="bottom"/>
          </w:tcPr>
          <w:p w:rsidR="003B0815" w:rsidRDefault="003B0815" w14:paraId="580C7333" w14:textId="77777777">
            <w:pPr>
              <w:keepNext/>
              <w:jc w:val="right"/>
              <w:rPr>
                <w:rFonts w:ascii="Arial" w:hAnsi="Arial"/>
                <w:sz w:val="20"/>
                <w:szCs w:val="20"/>
              </w:rPr>
            </w:pPr>
            <w:r>
              <w:rPr>
                <w:rFonts w:ascii="Arial" w:hAnsi="Arial" w:cs="Arial"/>
                <w:sz w:val="20"/>
                <w:szCs w:val="20"/>
              </w:rPr>
              <w:t xml:space="preserve">20.4 </w:t>
            </w:r>
          </w:p>
        </w:tc>
      </w:tr>
      <w:tr w:rsidR="003B0815" w14:paraId="28A0E0B3" w14:textId="77777777">
        <w:trPr>
          <w:jc w:val="center"/>
        </w:trPr>
        <w:tc>
          <w:tcPr>
            <w:tcW w:w="731" w:type="dxa"/>
            <w:tcBorders>
              <w:left w:val="single" w:color="auto" w:sz="12" w:space="0"/>
              <w:bottom w:val="single" w:color="auto" w:sz="4" w:space="0"/>
            </w:tcBorders>
          </w:tcPr>
          <w:p w:rsidR="003B0815" w:rsidRDefault="003B0815" w14:paraId="1D3889F3" w14:textId="77777777">
            <w:pPr>
              <w:keepNext/>
              <w:jc w:val="center"/>
              <w:rPr>
                <w:rFonts w:ascii="Arial" w:hAnsi="Arial"/>
                <w:sz w:val="20"/>
                <w:szCs w:val="20"/>
              </w:rPr>
            </w:pPr>
            <w:r>
              <w:t>2017</w:t>
            </w:r>
          </w:p>
        </w:tc>
        <w:tc>
          <w:tcPr>
            <w:tcW w:w="828" w:type="dxa"/>
            <w:tcBorders>
              <w:bottom w:val="single" w:color="auto" w:sz="4" w:space="0"/>
            </w:tcBorders>
            <w:vAlign w:val="bottom"/>
          </w:tcPr>
          <w:p w:rsidR="003B0815" w:rsidRDefault="003B0815" w14:paraId="1D10FB2F" w14:textId="77777777">
            <w:pPr>
              <w:keepNext/>
              <w:jc w:val="center"/>
              <w:rPr>
                <w:rFonts w:ascii="Arial" w:hAnsi="Arial"/>
                <w:sz w:val="20"/>
                <w:szCs w:val="20"/>
              </w:rPr>
            </w:pPr>
            <w:r>
              <w:rPr>
                <w:rFonts w:ascii="Arial" w:hAnsi="Arial" w:cs="Arial"/>
                <w:sz w:val="20"/>
                <w:szCs w:val="20"/>
              </w:rPr>
              <w:t xml:space="preserve">$28.60 </w:t>
            </w:r>
          </w:p>
        </w:tc>
        <w:tc>
          <w:tcPr>
            <w:tcW w:w="1008" w:type="dxa"/>
            <w:tcBorders>
              <w:bottom w:val="single" w:color="auto" w:sz="4" w:space="0"/>
            </w:tcBorders>
            <w:vAlign w:val="bottom"/>
          </w:tcPr>
          <w:p w:rsidR="003B0815" w:rsidRDefault="003B0815" w14:paraId="2F80EDA0" w14:textId="77777777">
            <w:pPr>
              <w:keepNext/>
              <w:jc w:val="right"/>
              <w:rPr>
                <w:rFonts w:ascii="Arial" w:hAnsi="Arial"/>
                <w:sz w:val="20"/>
                <w:szCs w:val="20"/>
              </w:rPr>
            </w:pPr>
            <w:r>
              <w:rPr>
                <w:rFonts w:ascii="Arial" w:hAnsi="Arial" w:cs="Arial"/>
                <w:sz w:val="20"/>
                <w:szCs w:val="20"/>
              </w:rPr>
              <w:t>68.8</w:t>
            </w:r>
          </w:p>
        </w:tc>
        <w:tc>
          <w:tcPr>
            <w:tcW w:w="1080" w:type="dxa"/>
            <w:tcBorders>
              <w:bottom w:val="single" w:color="auto" w:sz="4" w:space="0"/>
            </w:tcBorders>
            <w:vAlign w:val="bottom"/>
          </w:tcPr>
          <w:p w:rsidR="003B0815" w:rsidRDefault="003B0815" w14:paraId="0028EBC5" w14:textId="77777777">
            <w:pPr>
              <w:keepNext/>
              <w:jc w:val="center"/>
              <w:rPr>
                <w:rFonts w:ascii="Arial" w:hAnsi="Arial"/>
                <w:sz w:val="20"/>
                <w:szCs w:val="20"/>
              </w:rPr>
            </w:pPr>
            <w:r>
              <w:rPr>
                <w:rFonts w:ascii="Arial" w:hAnsi="Arial" w:cs="Arial"/>
                <w:sz w:val="20"/>
                <w:szCs w:val="20"/>
              </w:rPr>
              <w:t>0.008</w:t>
            </w:r>
          </w:p>
        </w:tc>
        <w:tc>
          <w:tcPr>
            <w:tcW w:w="1260" w:type="dxa"/>
            <w:tcBorders>
              <w:bottom w:val="single" w:color="auto" w:sz="4" w:space="0"/>
              <w:right w:val="double" w:color="auto" w:sz="4" w:space="0"/>
            </w:tcBorders>
            <w:shd w:val="clear" w:color="auto" w:fill="C0C0C0"/>
            <w:vAlign w:val="bottom"/>
          </w:tcPr>
          <w:p w:rsidR="003B0815" w:rsidRDefault="003B0815" w14:paraId="3CE99379" w14:textId="77777777">
            <w:pPr>
              <w:keepNext/>
              <w:jc w:val="right"/>
              <w:rPr>
                <w:rFonts w:ascii="Arial" w:hAnsi="Arial"/>
                <w:sz w:val="20"/>
                <w:szCs w:val="20"/>
              </w:rPr>
            </w:pPr>
            <w:r>
              <w:rPr>
                <w:rFonts w:ascii="Arial" w:hAnsi="Arial" w:cs="Arial"/>
                <w:sz w:val="20"/>
                <w:szCs w:val="20"/>
              </w:rPr>
              <w:t>$15.8</w:t>
            </w:r>
          </w:p>
        </w:tc>
        <w:tc>
          <w:tcPr>
            <w:tcW w:w="1080" w:type="dxa"/>
            <w:tcBorders>
              <w:left w:val="double" w:color="auto" w:sz="4" w:space="0"/>
              <w:bottom w:val="single" w:color="auto" w:sz="4" w:space="0"/>
            </w:tcBorders>
            <w:vAlign w:val="bottom"/>
          </w:tcPr>
          <w:p w:rsidR="003B0815" w:rsidRDefault="003B0815" w14:paraId="67CB578E" w14:textId="77777777">
            <w:pPr>
              <w:keepNext/>
              <w:jc w:val="right"/>
              <w:rPr>
                <w:rFonts w:ascii="Arial" w:hAnsi="Arial"/>
                <w:sz w:val="20"/>
                <w:szCs w:val="20"/>
              </w:rPr>
            </w:pPr>
            <w:r>
              <w:rPr>
                <w:rFonts w:ascii="Arial" w:hAnsi="Arial" w:cs="Arial"/>
                <w:sz w:val="20"/>
                <w:szCs w:val="20"/>
              </w:rPr>
              <w:t>66.1</w:t>
            </w:r>
          </w:p>
        </w:tc>
        <w:tc>
          <w:tcPr>
            <w:tcW w:w="1080" w:type="dxa"/>
            <w:tcBorders>
              <w:bottom w:val="single" w:color="auto" w:sz="4" w:space="0"/>
            </w:tcBorders>
            <w:vAlign w:val="bottom"/>
          </w:tcPr>
          <w:p w:rsidR="003B0815" w:rsidRDefault="003B0815" w14:paraId="7EEADF90" w14:textId="77777777">
            <w:pPr>
              <w:keepNext/>
              <w:jc w:val="center"/>
              <w:rPr>
                <w:rFonts w:ascii="Arial" w:hAnsi="Arial"/>
                <w:sz w:val="20"/>
                <w:szCs w:val="20"/>
              </w:rPr>
            </w:pPr>
            <w:r>
              <w:rPr>
                <w:rFonts w:ascii="Arial" w:hAnsi="Arial" w:cs="Arial"/>
                <w:sz w:val="20"/>
                <w:szCs w:val="20"/>
              </w:rPr>
              <w:t>0.003</w:t>
            </w:r>
          </w:p>
        </w:tc>
        <w:tc>
          <w:tcPr>
            <w:tcW w:w="1260" w:type="dxa"/>
            <w:tcBorders>
              <w:bottom w:val="single" w:color="auto" w:sz="4" w:space="0"/>
              <w:right w:val="double" w:color="auto" w:sz="4" w:space="0"/>
            </w:tcBorders>
            <w:shd w:val="clear" w:color="auto" w:fill="C0C0C0"/>
            <w:vAlign w:val="bottom"/>
          </w:tcPr>
          <w:p w:rsidR="003B0815" w:rsidRDefault="003B0815" w14:paraId="138F969E" w14:textId="77777777">
            <w:pPr>
              <w:keepNext/>
              <w:jc w:val="right"/>
              <w:rPr>
                <w:rFonts w:ascii="Arial" w:hAnsi="Arial"/>
                <w:sz w:val="20"/>
                <w:szCs w:val="20"/>
              </w:rPr>
            </w:pPr>
            <w:r>
              <w:rPr>
                <w:rFonts w:ascii="Arial" w:hAnsi="Arial" w:cs="Arial"/>
                <w:sz w:val="20"/>
                <w:szCs w:val="20"/>
              </w:rPr>
              <w:t xml:space="preserve">$5.7 </w:t>
            </w:r>
          </w:p>
        </w:tc>
        <w:tc>
          <w:tcPr>
            <w:tcW w:w="1260" w:type="dxa"/>
            <w:tcBorders>
              <w:left w:val="double" w:color="auto" w:sz="4" w:space="0"/>
              <w:right w:val="single" w:color="auto" w:sz="12" w:space="0"/>
            </w:tcBorders>
            <w:shd w:val="clear" w:color="auto" w:fill="C0C0C0"/>
            <w:vAlign w:val="bottom"/>
          </w:tcPr>
          <w:p w:rsidR="003B0815" w:rsidRDefault="003B0815" w14:paraId="0691F641" w14:textId="77777777">
            <w:pPr>
              <w:keepNext/>
              <w:jc w:val="right"/>
              <w:rPr>
                <w:rFonts w:ascii="Arial" w:hAnsi="Arial"/>
                <w:sz w:val="20"/>
                <w:szCs w:val="20"/>
              </w:rPr>
            </w:pPr>
            <w:r>
              <w:rPr>
                <w:rFonts w:ascii="Arial" w:hAnsi="Arial" w:cs="Arial"/>
                <w:sz w:val="20"/>
                <w:szCs w:val="20"/>
              </w:rPr>
              <w:t xml:space="preserve">$21.5 </w:t>
            </w:r>
          </w:p>
        </w:tc>
      </w:tr>
      <w:tr w:rsidR="003B0815" w14:paraId="0DFB8475" w14:textId="77777777">
        <w:trPr>
          <w:jc w:val="center"/>
        </w:trPr>
        <w:tc>
          <w:tcPr>
            <w:tcW w:w="731" w:type="dxa"/>
            <w:tcBorders>
              <w:left w:val="single" w:color="auto" w:sz="12" w:space="0"/>
              <w:bottom w:val="single" w:color="auto" w:sz="12" w:space="0"/>
              <w:right w:val="nil"/>
            </w:tcBorders>
            <w:vAlign w:val="bottom"/>
          </w:tcPr>
          <w:p w:rsidR="003B0815" w:rsidRDefault="003B0815" w14:paraId="3ED8F8A3" w14:textId="77777777">
            <w:pPr>
              <w:keepNext/>
              <w:jc w:val="center"/>
              <w:rPr>
                <w:rFonts w:ascii="Arial" w:hAnsi="Arial" w:cs="Arial"/>
                <w:sz w:val="20"/>
                <w:szCs w:val="20"/>
              </w:rPr>
            </w:pPr>
            <w:r>
              <w:rPr>
                <w:rFonts w:ascii="Arial" w:hAnsi="Arial" w:cs="Arial"/>
                <w:b/>
                <w:bCs/>
                <w:sz w:val="20"/>
                <w:szCs w:val="20"/>
              </w:rPr>
              <w:t>Total</w:t>
            </w:r>
          </w:p>
        </w:tc>
        <w:tc>
          <w:tcPr>
            <w:tcW w:w="828" w:type="dxa"/>
            <w:tcBorders>
              <w:left w:val="nil"/>
              <w:bottom w:val="single" w:color="auto" w:sz="12" w:space="0"/>
              <w:right w:val="nil"/>
            </w:tcBorders>
            <w:vAlign w:val="bottom"/>
          </w:tcPr>
          <w:p w:rsidR="003B0815" w:rsidRDefault="003B0815" w14:paraId="24C7553E" w14:textId="77777777">
            <w:pPr>
              <w:keepNext/>
              <w:jc w:val="center"/>
              <w:rPr>
                <w:rFonts w:ascii="Arial" w:hAnsi="Arial" w:cs="Arial"/>
                <w:sz w:val="20"/>
                <w:szCs w:val="20"/>
              </w:rPr>
            </w:pPr>
            <w:r>
              <w:rPr>
                <w:rFonts w:ascii="Arial" w:hAnsi="Arial" w:cs="Arial"/>
                <w:sz w:val="20"/>
                <w:szCs w:val="20"/>
              </w:rPr>
              <w:t> </w:t>
            </w:r>
          </w:p>
        </w:tc>
        <w:tc>
          <w:tcPr>
            <w:tcW w:w="1008" w:type="dxa"/>
            <w:tcBorders>
              <w:left w:val="nil"/>
              <w:bottom w:val="single" w:color="auto" w:sz="12" w:space="0"/>
              <w:right w:val="nil"/>
            </w:tcBorders>
            <w:vAlign w:val="bottom"/>
          </w:tcPr>
          <w:p w:rsidR="003B0815" w:rsidRDefault="003B0815" w14:paraId="0E1DDEB4"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2AF55531"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20D1FC50" w14:textId="77777777">
            <w:pPr>
              <w:keepNext/>
              <w:jc w:val="right"/>
              <w:rPr>
                <w:rFonts w:ascii="Arial" w:hAnsi="Arial" w:cs="Arial"/>
                <w:b/>
                <w:sz w:val="20"/>
                <w:szCs w:val="20"/>
              </w:rPr>
            </w:pPr>
            <w:r>
              <w:rPr>
                <w:rFonts w:ascii="Arial" w:hAnsi="Arial" w:cs="Arial"/>
                <w:b/>
                <w:sz w:val="20"/>
                <w:szCs w:val="20"/>
              </w:rPr>
              <w:t>$127.6</w:t>
            </w:r>
          </w:p>
        </w:tc>
        <w:tc>
          <w:tcPr>
            <w:tcW w:w="1080" w:type="dxa"/>
            <w:tcBorders>
              <w:left w:val="double" w:color="auto" w:sz="4" w:space="0"/>
              <w:bottom w:val="single" w:color="auto" w:sz="12" w:space="0"/>
              <w:right w:val="nil"/>
            </w:tcBorders>
            <w:vAlign w:val="bottom"/>
          </w:tcPr>
          <w:p w:rsidR="003B0815" w:rsidRDefault="003B0815" w14:paraId="32C955CA"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70ED0038"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4F2E5C61" w14:textId="77777777">
            <w:pPr>
              <w:keepNext/>
              <w:jc w:val="right"/>
              <w:rPr>
                <w:rFonts w:ascii="Arial" w:hAnsi="Arial" w:cs="Arial"/>
                <w:b/>
                <w:sz w:val="20"/>
                <w:szCs w:val="20"/>
              </w:rPr>
            </w:pPr>
            <w:r>
              <w:rPr>
                <w:rFonts w:ascii="Arial" w:hAnsi="Arial" w:cs="Arial"/>
                <w:b/>
                <w:sz w:val="20"/>
                <w:szCs w:val="20"/>
              </w:rPr>
              <w:t xml:space="preserve">$46.0 </w:t>
            </w:r>
          </w:p>
        </w:tc>
        <w:tc>
          <w:tcPr>
            <w:tcW w:w="1260" w:type="dxa"/>
            <w:tcBorders>
              <w:left w:val="double" w:color="auto" w:sz="4" w:space="0"/>
              <w:bottom w:val="single" w:color="auto" w:sz="12" w:space="0"/>
              <w:right w:val="single" w:color="auto" w:sz="12" w:space="0"/>
            </w:tcBorders>
            <w:vAlign w:val="bottom"/>
          </w:tcPr>
          <w:p w:rsidR="003B0815" w:rsidRDefault="003B0815" w14:paraId="409ACEC7" w14:textId="77777777">
            <w:pPr>
              <w:keepNext/>
              <w:jc w:val="right"/>
              <w:rPr>
                <w:rFonts w:ascii="Arial" w:hAnsi="Arial" w:cs="Arial"/>
                <w:b/>
                <w:bCs/>
                <w:sz w:val="20"/>
                <w:szCs w:val="20"/>
              </w:rPr>
            </w:pPr>
            <w:r>
              <w:rPr>
                <w:rFonts w:ascii="Arial" w:hAnsi="Arial" w:cs="Arial"/>
                <w:b/>
                <w:sz w:val="20"/>
                <w:szCs w:val="20"/>
              </w:rPr>
              <w:t xml:space="preserve">$173.6 </w:t>
            </w:r>
          </w:p>
        </w:tc>
      </w:tr>
    </w:tbl>
    <w:p w:rsidR="003B0815" w:rsidRDefault="003B0815" w14:paraId="05154005" w14:textId="77777777">
      <w:pPr>
        <w:spacing w:line="360" w:lineRule="auto"/>
        <w:ind w:firstLine="720"/>
      </w:pPr>
    </w:p>
    <w:p w:rsidR="003B0815" w:rsidRDefault="003B0815" w14:paraId="1B45A62F" w14:textId="77777777">
      <w:pPr>
        <w:spacing w:line="360" w:lineRule="auto"/>
        <w:ind w:firstLine="720"/>
      </w:pPr>
      <w:r>
        <w:t xml:space="preserve">Finally, Table 1.6.6.j presents the primary estimate of opportunity costs for over-flight passengers to provide additional information when they make their reservation.  Because nearly all of these involve foreign nationals on foreign soil, these are not direct costs to the </w:t>
      </w:r>
      <w:smartTag w:uri="urn:schemas-microsoft-com:office:smarttags" w:element="country-region">
        <w:smartTag w:uri="urn:schemas-microsoft-com:office:smarttags" w:element="place">
          <w:r>
            <w:t>U.S.</w:t>
          </w:r>
        </w:smartTag>
      </w:smartTag>
      <w:r>
        <w:t xml:space="preserve"> economy.  The ten-year total estimate of opportunity costs for over-flight passengers was estimated at $62.0 million.  The opportunity cost to these passengers under the low scenario was estimated to be $55.5 million and $68.1 million under the high scenario.</w:t>
      </w:r>
    </w:p>
    <w:tbl>
      <w:tblP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731"/>
        <w:gridCol w:w="828"/>
        <w:gridCol w:w="1008"/>
        <w:gridCol w:w="1080"/>
        <w:gridCol w:w="1260"/>
        <w:gridCol w:w="1080"/>
        <w:gridCol w:w="1080"/>
        <w:gridCol w:w="1260"/>
        <w:gridCol w:w="1260"/>
      </w:tblGrid>
      <w:tr w:rsidR="003B0815" w14:paraId="0EBF4EE6" w14:textId="77777777">
        <w:trPr>
          <w:jc w:val="center"/>
        </w:trPr>
        <w:tc>
          <w:tcPr>
            <w:tcW w:w="9587" w:type="dxa"/>
            <w:gridSpan w:val="9"/>
            <w:tcBorders>
              <w:top w:val="nil"/>
              <w:left w:val="nil"/>
              <w:bottom w:val="single" w:color="auto" w:sz="12" w:space="0"/>
              <w:right w:val="nil"/>
            </w:tcBorders>
          </w:tcPr>
          <w:p w:rsidR="003B0815" w:rsidRDefault="003B0815" w14:paraId="5A050C8C" w14:textId="77777777">
            <w:pPr>
              <w:pStyle w:val="RegEvalTableHeader"/>
              <w:keepNext/>
            </w:pPr>
            <w:bookmarkStart w:name="_Toc165278410" w:id="415"/>
            <w:bookmarkStart w:name="_Toc174438414" w:id="416"/>
            <w:bookmarkStart w:name="_Toc207109551" w:id="417"/>
            <w:r>
              <w:t xml:space="preserve">Table 1.6.6.j Passenger Reservation </w:t>
            </w:r>
            <w:smartTag w:uri="urn:schemas-microsoft-com:office:smarttags" w:element="place">
              <w:r>
                <w:t>Opportunity</w:t>
              </w:r>
            </w:smartTag>
            <w:r>
              <w:t xml:space="preserve"> Costs, Over-Flights (Primary Scenario)</w:t>
            </w:r>
            <w:bookmarkEnd w:id="415"/>
            <w:bookmarkEnd w:id="416"/>
            <w:bookmarkEnd w:id="417"/>
          </w:p>
        </w:tc>
      </w:tr>
      <w:tr w:rsidR="003B0815" w14:paraId="77C65B16" w14:textId="77777777">
        <w:trPr>
          <w:jc w:val="center"/>
        </w:trPr>
        <w:tc>
          <w:tcPr>
            <w:tcW w:w="731" w:type="dxa"/>
            <w:tcBorders>
              <w:top w:val="single" w:color="auto" w:sz="12" w:space="0"/>
              <w:left w:val="single" w:color="auto" w:sz="12" w:space="0"/>
            </w:tcBorders>
            <w:vAlign w:val="center"/>
          </w:tcPr>
          <w:p w:rsidR="003B0815" w:rsidRDefault="003B0815" w14:paraId="5C428094" w14:textId="77777777">
            <w:pPr>
              <w:keepNext/>
              <w:jc w:val="center"/>
              <w:rPr>
                <w:rFonts w:ascii="Arial" w:hAnsi="Arial"/>
                <w:sz w:val="20"/>
                <w:szCs w:val="20"/>
              </w:rPr>
            </w:pPr>
            <w:r>
              <w:rPr>
                <w:rFonts w:ascii="Arial" w:hAnsi="Arial" w:cs="Arial"/>
                <w:b/>
                <w:bCs/>
                <w:sz w:val="20"/>
                <w:szCs w:val="20"/>
              </w:rPr>
              <w:t>Fiscal Year</w:t>
            </w:r>
          </w:p>
        </w:tc>
        <w:tc>
          <w:tcPr>
            <w:tcW w:w="828" w:type="dxa"/>
            <w:tcBorders>
              <w:top w:val="single" w:color="auto" w:sz="12" w:space="0"/>
            </w:tcBorders>
            <w:vAlign w:val="center"/>
          </w:tcPr>
          <w:p w:rsidR="003B0815" w:rsidRDefault="003B0815" w14:paraId="7E4BA25A" w14:textId="77777777">
            <w:pPr>
              <w:keepNext/>
              <w:jc w:val="center"/>
              <w:rPr>
                <w:rFonts w:ascii="Arial" w:hAnsi="Arial"/>
                <w:sz w:val="20"/>
                <w:szCs w:val="20"/>
              </w:rPr>
            </w:pPr>
            <w:r>
              <w:rPr>
                <w:rFonts w:ascii="Arial" w:hAnsi="Arial" w:cs="Arial"/>
                <w:b/>
                <w:bCs/>
                <w:sz w:val="20"/>
                <w:szCs w:val="20"/>
              </w:rPr>
              <w:t>Hourly Value of Pass. Time</w:t>
            </w:r>
          </w:p>
        </w:tc>
        <w:tc>
          <w:tcPr>
            <w:tcW w:w="1008" w:type="dxa"/>
            <w:tcBorders>
              <w:top w:val="single" w:color="auto" w:sz="12" w:space="0"/>
            </w:tcBorders>
            <w:vAlign w:val="center"/>
          </w:tcPr>
          <w:p w:rsidR="003B0815" w:rsidRDefault="003B0815" w14:paraId="36A048D0" w14:textId="77777777">
            <w:pPr>
              <w:keepNext/>
              <w:jc w:val="center"/>
              <w:rPr>
                <w:rFonts w:ascii="Arial" w:hAnsi="Arial"/>
                <w:sz w:val="20"/>
                <w:szCs w:val="20"/>
              </w:rPr>
            </w:pPr>
            <w:r>
              <w:rPr>
                <w:rFonts w:ascii="Arial" w:hAnsi="Arial" w:cs="Arial"/>
                <w:b/>
                <w:bCs/>
                <w:sz w:val="20"/>
                <w:szCs w:val="20"/>
              </w:rPr>
              <w:t>Number of Offline Bookings (millions)</w:t>
            </w:r>
          </w:p>
        </w:tc>
        <w:tc>
          <w:tcPr>
            <w:tcW w:w="1080" w:type="dxa"/>
            <w:tcBorders>
              <w:top w:val="single" w:color="auto" w:sz="12" w:space="0"/>
            </w:tcBorders>
            <w:vAlign w:val="center"/>
          </w:tcPr>
          <w:p w:rsidR="003B0815" w:rsidRDefault="003B0815" w14:paraId="3E161F9D"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71C7B1E2" w14:textId="77777777">
            <w:pPr>
              <w:keepNext/>
              <w:jc w:val="center"/>
              <w:rPr>
                <w:rFonts w:ascii="Arial" w:hAnsi="Arial"/>
                <w:sz w:val="20"/>
                <w:szCs w:val="20"/>
              </w:rPr>
            </w:pPr>
            <w:r>
              <w:rPr>
                <w:rFonts w:ascii="Arial" w:hAnsi="Arial" w:cs="Arial"/>
                <w:b/>
                <w:bCs/>
                <w:sz w:val="20"/>
                <w:szCs w:val="20"/>
              </w:rPr>
              <w:t xml:space="preserve">Subtotal Offline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080" w:type="dxa"/>
            <w:tcBorders>
              <w:top w:val="single" w:color="auto" w:sz="12" w:space="0"/>
              <w:left w:val="double" w:color="auto" w:sz="4" w:space="0"/>
            </w:tcBorders>
            <w:vAlign w:val="center"/>
          </w:tcPr>
          <w:p w:rsidR="003B0815" w:rsidRDefault="003B0815" w14:paraId="150021DE" w14:textId="77777777">
            <w:pPr>
              <w:keepNext/>
              <w:jc w:val="center"/>
              <w:rPr>
                <w:rFonts w:ascii="Arial" w:hAnsi="Arial" w:cs="Arial"/>
                <w:b/>
                <w:bCs/>
                <w:sz w:val="20"/>
                <w:szCs w:val="20"/>
              </w:rPr>
            </w:pPr>
            <w:r>
              <w:rPr>
                <w:rFonts w:ascii="Arial" w:hAnsi="Arial" w:cs="Arial"/>
                <w:b/>
                <w:bCs/>
                <w:sz w:val="20"/>
                <w:szCs w:val="20"/>
              </w:rPr>
              <w:t>Number of Internet Bookings (millions)</w:t>
            </w:r>
          </w:p>
        </w:tc>
        <w:tc>
          <w:tcPr>
            <w:tcW w:w="1080" w:type="dxa"/>
            <w:tcBorders>
              <w:top w:val="single" w:color="auto" w:sz="12" w:space="0"/>
            </w:tcBorders>
            <w:vAlign w:val="center"/>
          </w:tcPr>
          <w:p w:rsidR="003B0815" w:rsidRDefault="003B0815" w14:paraId="411FF161" w14:textId="77777777">
            <w:pPr>
              <w:keepNext/>
              <w:jc w:val="center"/>
              <w:rPr>
                <w:rFonts w:ascii="Arial" w:hAnsi="Arial"/>
                <w:sz w:val="20"/>
                <w:szCs w:val="20"/>
              </w:rPr>
            </w:pPr>
            <w:r>
              <w:rPr>
                <w:rFonts w:ascii="Arial" w:hAnsi="Arial" w:cs="Arial"/>
                <w:b/>
                <w:bCs/>
                <w:sz w:val="20"/>
                <w:szCs w:val="20"/>
              </w:rPr>
              <w:t>Additional Time per Booking (Hours)</w:t>
            </w:r>
          </w:p>
        </w:tc>
        <w:tc>
          <w:tcPr>
            <w:tcW w:w="1260" w:type="dxa"/>
            <w:tcBorders>
              <w:top w:val="single" w:color="auto" w:sz="12" w:space="0"/>
              <w:right w:val="double" w:color="auto" w:sz="4" w:space="0"/>
            </w:tcBorders>
            <w:vAlign w:val="center"/>
          </w:tcPr>
          <w:p w:rsidR="003B0815" w:rsidRDefault="003B0815" w14:paraId="017BE4C4" w14:textId="77777777">
            <w:pPr>
              <w:keepNext/>
              <w:jc w:val="center"/>
              <w:rPr>
                <w:rFonts w:ascii="Arial" w:hAnsi="Arial"/>
                <w:sz w:val="20"/>
                <w:szCs w:val="20"/>
              </w:rPr>
            </w:pPr>
            <w:r>
              <w:rPr>
                <w:rFonts w:ascii="Arial" w:hAnsi="Arial" w:cs="Arial"/>
                <w:b/>
                <w:bCs/>
                <w:sz w:val="20"/>
                <w:szCs w:val="20"/>
              </w:rPr>
              <w:t xml:space="preserve">Subtotal Internet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Costs (millions)</w:t>
            </w:r>
          </w:p>
        </w:tc>
        <w:tc>
          <w:tcPr>
            <w:tcW w:w="1260" w:type="dxa"/>
            <w:tcBorders>
              <w:top w:val="single" w:color="auto" w:sz="12" w:space="0"/>
              <w:left w:val="double" w:color="auto" w:sz="4" w:space="0"/>
              <w:right w:val="single" w:color="auto" w:sz="12" w:space="0"/>
            </w:tcBorders>
            <w:vAlign w:val="center"/>
          </w:tcPr>
          <w:p w:rsidR="003B0815" w:rsidRDefault="003B0815" w14:paraId="0903F478" w14:textId="77777777">
            <w:pPr>
              <w:keepNext/>
              <w:jc w:val="center"/>
              <w:rPr>
                <w:rFonts w:ascii="Arial" w:hAnsi="Arial"/>
                <w:sz w:val="20"/>
                <w:szCs w:val="20"/>
              </w:rPr>
            </w:pPr>
            <w:r>
              <w:rPr>
                <w:rFonts w:ascii="Arial" w:hAnsi="Arial" w:cs="Arial"/>
                <w:b/>
                <w:bCs/>
                <w:sz w:val="20"/>
                <w:szCs w:val="20"/>
              </w:rPr>
              <w:t xml:space="preserve">Total Booking </w:t>
            </w: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(millions)</w:t>
            </w:r>
          </w:p>
        </w:tc>
      </w:tr>
      <w:tr w:rsidR="003B0815" w14:paraId="226D337D" w14:textId="77777777">
        <w:trPr>
          <w:jc w:val="center"/>
        </w:trPr>
        <w:tc>
          <w:tcPr>
            <w:tcW w:w="731" w:type="dxa"/>
            <w:tcBorders>
              <w:left w:val="single" w:color="auto" w:sz="12" w:space="0"/>
            </w:tcBorders>
            <w:vAlign w:val="center"/>
          </w:tcPr>
          <w:p w:rsidR="003B0815" w:rsidRDefault="003B0815" w14:paraId="0FA148E1" w14:textId="77777777">
            <w:pPr>
              <w:keepNext/>
              <w:jc w:val="center"/>
              <w:rPr>
                <w:rFonts w:ascii="Arial" w:hAnsi="Arial"/>
                <w:sz w:val="20"/>
                <w:szCs w:val="20"/>
              </w:rPr>
            </w:pPr>
          </w:p>
        </w:tc>
        <w:tc>
          <w:tcPr>
            <w:tcW w:w="828" w:type="dxa"/>
            <w:vAlign w:val="center"/>
          </w:tcPr>
          <w:p w:rsidR="003B0815" w:rsidRDefault="003B0815" w14:paraId="39758E92" w14:textId="77777777">
            <w:pPr>
              <w:keepNext/>
              <w:jc w:val="center"/>
              <w:rPr>
                <w:rFonts w:ascii="Arial" w:hAnsi="Arial"/>
                <w:sz w:val="20"/>
                <w:szCs w:val="20"/>
              </w:rPr>
            </w:pPr>
            <w:r>
              <w:rPr>
                <w:rFonts w:ascii="Arial" w:hAnsi="Arial" w:cs="Arial"/>
                <w:b/>
                <w:bCs/>
                <w:sz w:val="20"/>
                <w:szCs w:val="20"/>
              </w:rPr>
              <w:t>(A)</w:t>
            </w:r>
          </w:p>
        </w:tc>
        <w:tc>
          <w:tcPr>
            <w:tcW w:w="1008" w:type="dxa"/>
            <w:vAlign w:val="center"/>
          </w:tcPr>
          <w:p w:rsidR="003B0815" w:rsidRDefault="003B0815" w14:paraId="6DEB3EAB" w14:textId="77777777">
            <w:pPr>
              <w:keepNext/>
              <w:jc w:val="center"/>
              <w:rPr>
                <w:rFonts w:ascii="Arial" w:hAnsi="Arial"/>
                <w:sz w:val="20"/>
                <w:szCs w:val="20"/>
              </w:rPr>
            </w:pPr>
            <w:r>
              <w:rPr>
                <w:rFonts w:ascii="Arial" w:hAnsi="Arial" w:cs="Arial"/>
                <w:b/>
                <w:bCs/>
                <w:sz w:val="20"/>
                <w:szCs w:val="20"/>
              </w:rPr>
              <w:t>(B)</w:t>
            </w:r>
          </w:p>
        </w:tc>
        <w:tc>
          <w:tcPr>
            <w:tcW w:w="1080" w:type="dxa"/>
            <w:vAlign w:val="center"/>
          </w:tcPr>
          <w:p w:rsidR="003B0815" w:rsidRDefault="003B0815" w14:paraId="74D018D5" w14:textId="77777777">
            <w:pPr>
              <w:keepNext/>
              <w:jc w:val="center"/>
              <w:rPr>
                <w:rFonts w:ascii="Arial" w:hAnsi="Arial"/>
                <w:sz w:val="20"/>
                <w:szCs w:val="20"/>
              </w:rPr>
            </w:pPr>
            <w:r>
              <w:rPr>
                <w:rFonts w:ascii="Arial" w:hAnsi="Arial" w:cs="Arial"/>
                <w:b/>
                <w:bCs/>
                <w:sz w:val="20"/>
                <w:szCs w:val="20"/>
              </w:rPr>
              <w:t>(C)</w:t>
            </w:r>
          </w:p>
        </w:tc>
        <w:tc>
          <w:tcPr>
            <w:tcW w:w="1260" w:type="dxa"/>
            <w:tcBorders>
              <w:bottom w:val="single" w:color="auto" w:sz="4" w:space="0"/>
              <w:right w:val="double" w:color="auto" w:sz="4" w:space="0"/>
            </w:tcBorders>
            <w:vAlign w:val="center"/>
          </w:tcPr>
          <w:p w:rsidR="003B0815" w:rsidRDefault="003B0815" w14:paraId="6E55A72D" w14:textId="77777777">
            <w:pPr>
              <w:keepNext/>
              <w:jc w:val="center"/>
              <w:rPr>
                <w:rFonts w:ascii="Arial" w:hAnsi="Arial" w:cs="Arial"/>
                <w:b/>
                <w:bCs/>
                <w:sz w:val="20"/>
                <w:szCs w:val="20"/>
              </w:rPr>
            </w:pPr>
            <w:r>
              <w:rPr>
                <w:rFonts w:ascii="Arial" w:hAnsi="Arial" w:cs="Arial"/>
                <w:b/>
                <w:bCs/>
                <w:sz w:val="20"/>
                <w:szCs w:val="20"/>
              </w:rPr>
              <w:t>(D) =</w:t>
            </w:r>
          </w:p>
          <w:p w:rsidR="003B0815" w:rsidRDefault="003B0815" w14:paraId="66FB56AA" w14:textId="77777777">
            <w:pPr>
              <w:keepNext/>
              <w:jc w:val="center"/>
              <w:rPr>
                <w:rFonts w:ascii="Arial" w:hAnsi="Arial"/>
                <w:sz w:val="20"/>
                <w:szCs w:val="20"/>
              </w:rPr>
            </w:pPr>
            <w:r>
              <w:rPr>
                <w:rFonts w:ascii="Arial" w:hAnsi="Arial" w:cs="Arial"/>
                <w:b/>
                <w:bCs/>
                <w:sz w:val="20"/>
                <w:szCs w:val="20"/>
              </w:rPr>
              <w:t>A x B x C</w:t>
            </w:r>
          </w:p>
        </w:tc>
        <w:tc>
          <w:tcPr>
            <w:tcW w:w="1080" w:type="dxa"/>
            <w:tcBorders>
              <w:left w:val="double" w:color="auto" w:sz="4" w:space="0"/>
            </w:tcBorders>
            <w:vAlign w:val="center"/>
          </w:tcPr>
          <w:p w:rsidR="003B0815" w:rsidRDefault="003B0815" w14:paraId="5338B88F" w14:textId="77777777">
            <w:pPr>
              <w:keepNext/>
              <w:jc w:val="center"/>
              <w:rPr>
                <w:rFonts w:ascii="Arial" w:hAnsi="Arial"/>
                <w:sz w:val="20"/>
                <w:szCs w:val="20"/>
              </w:rPr>
            </w:pPr>
            <w:r>
              <w:rPr>
                <w:rFonts w:ascii="Arial" w:hAnsi="Arial" w:cs="Arial"/>
                <w:b/>
                <w:bCs/>
                <w:sz w:val="20"/>
                <w:szCs w:val="20"/>
              </w:rPr>
              <w:t>(E)</w:t>
            </w:r>
          </w:p>
        </w:tc>
        <w:tc>
          <w:tcPr>
            <w:tcW w:w="1080" w:type="dxa"/>
            <w:vAlign w:val="center"/>
          </w:tcPr>
          <w:p w:rsidR="003B0815" w:rsidRDefault="003B0815" w14:paraId="420D2901" w14:textId="77777777">
            <w:pPr>
              <w:keepNext/>
              <w:jc w:val="center"/>
              <w:rPr>
                <w:rFonts w:ascii="Arial" w:hAnsi="Arial"/>
                <w:sz w:val="20"/>
                <w:szCs w:val="20"/>
              </w:rPr>
            </w:pPr>
            <w:r>
              <w:rPr>
                <w:rFonts w:ascii="Arial" w:hAnsi="Arial" w:cs="Arial"/>
                <w:b/>
                <w:bCs/>
                <w:sz w:val="20"/>
                <w:szCs w:val="20"/>
              </w:rPr>
              <w:t>(F)</w:t>
            </w:r>
          </w:p>
        </w:tc>
        <w:tc>
          <w:tcPr>
            <w:tcW w:w="1260" w:type="dxa"/>
            <w:tcBorders>
              <w:bottom w:val="single" w:color="auto" w:sz="4" w:space="0"/>
              <w:right w:val="double" w:color="auto" w:sz="4" w:space="0"/>
            </w:tcBorders>
            <w:vAlign w:val="center"/>
          </w:tcPr>
          <w:p w:rsidR="003B0815" w:rsidRDefault="003B0815" w14:paraId="0DEAEA27" w14:textId="77777777">
            <w:pPr>
              <w:keepNext/>
              <w:jc w:val="center"/>
              <w:rPr>
                <w:rFonts w:ascii="Arial" w:hAnsi="Arial"/>
                <w:sz w:val="20"/>
                <w:szCs w:val="20"/>
              </w:rPr>
            </w:pPr>
            <w:r>
              <w:rPr>
                <w:rFonts w:ascii="Arial" w:hAnsi="Arial" w:cs="Arial"/>
                <w:b/>
                <w:bCs/>
                <w:sz w:val="20"/>
                <w:szCs w:val="20"/>
              </w:rPr>
              <w:t xml:space="preserve">(G) = </w:t>
            </w:r>
            <w:r>
              <w:rPr>
                <w:rFonts w:ascii="Arial" w:hAnsi="Arial" w:cs="Arial"/>
                <w:b/>
                <w:bCs/>
                <w:sz w:val="20"/>
                <w:szCs w:val="20"/>
              </w:rPr>
              <w:br/>
              <w:t>A x E x F</w:t>
            </w:r>
          </w:p>
        </w:tc>
        <w:tc>
          <w:tcPr>
            <w:tcW w:w="1260" w:type="dxa"/>
            <w:tcBorders>
              <w:left w:val="double" w:color="auto" w:sz="4" w:space="0"/>
              <w:bottom w:val="single" w:color="auto" w:sz="4" w:space="0"/>
              <w:right w:val="single" w:color="auto" w:sz="12" w:space="0"/>
            </w:tcBorders>
            <w:vAlign w:val="center"/>
          </w:tcPr>
          <w:p w:rsidR="003B0815" w:rsidRDefault="003B0815" w14:paraId="08258508" w14:textId="77777777">
            <w:pPr>
              <w:keepNext/>
              <w:jc w:val="center"/>
              <w:rPr>
                <w:rFonts w:ascii="Arial" w:hAnsi="Arial"/>
                <w:sz w:val="20"/>
                <w:szCs w:val="20"/>
              </w:rPr>
            </w:pPr>
            <w:r>
              <w:rPr>
                <w:rFonts w:ascii="Arial" w:hAnsi="Arial" w:cs="Arial"/>
                <w:b/>
                <w:bCs/>
                <w:sz w:val="20"/>
                <w:szCs w:val="20"/>
              </w:rPr>
              <w:t>(H) = D + G</w:t>
            </w:r>
          </w:p>
        </w:tc>
      </w:tr>
      <w:tr w:rsidR="003B0815" w14:paraId="20C2F3B7" w14:textId="77777777">
        <w:trPr>
          <w:jc w:val="center"/>
        </w:trPr>
        <w:tc>
          <w:tcPr>
            <w:tcW w:w="731" w:type="dxa"/>
            <w:tcBorders>
              <w:left w:val="single" w:color="auto" w:sz="12" w:space="0"/>
            </w:tcBorders>
          </w:tcPr>
          <w:p w:rsidR="003B0815" w:rsidRDefault="003B0815" w14:paraId="525D02FF" w14:textId="77777777">
            <w:pPr>
              <w:keepNext/>
              <w:jc w:val="center"/>
              <w:rPr>
                <w:rFonts w:ascii="Arial" w:hAnsi="Arial"/>
                <w:sz w:val="20"/>
                <w:szCs w:val="20"/>
              </w:rPr>
            </w:pPr>
            <w:r>
              <w:t>2008</w:t>
            </w:r>
          </w:p>
        </w:tc>
        <w:tc>
          <w:tcPr>
            <w:tcW w:w="828" w:type="dxa"/>
            <w:vAlign w:val="bottom"/>
          </w:tcPr>
          <w:p w:rsidR="003B0815" w:rsidRDefault="003B0815" w14:paraId="5548E081"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67D995F8" w14:textId="77777777">
            <w:pPr>
              <w:keepNext/>
              <w:jc w:val="right"/>
              <w:rPr>
                <w:rFonts w:ascii="Arial" w:hAnsi="Arial"/>
                <w:sz w:val="20"/>
                <w:szCs w:val="20"/>
              </w:rPr>
            </w:pPr>
            <w:r>
              <w:rPr>
                <w:rFonts w:ascii="Arial" w:hAnsi="Arial" w:cs="Arial"/>
                <w:sz w:val="20"/>
                <w:szCs w:val="20"/>
              </w:rPr>
              <w:t>17.5</w:t>
            </w:r>
          </w:p>
        </w:tc>
        <w:tc>
          <w:tcPr>
            <w:tcW w:w="1080" w:type="dxa"/>
            <w:vAlign w:val="bottom"/>
          </w:tcPr>
          <w:p w:rsidR="003B0815" w:rsidRDefault="003B0815" w14:paraId="215B3485"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42FA9B99" w14:textId="77777777">
            <w:pPr>
              <w:keepNext/>
              <w:jc w:val="right"/>
              <w:rPr>
                <w:rFonts w:ascii="Arial" w:hAnsi="Arial"/>
                <w:sz w:val="20"/>
                <w:szCs w:val="20"/>
              </w:rPr>
            </w:pPr>
            <w:r>
              <w:rPr>
                <w:rFonts w:ascii="Arial" w:hAnsi="Arial" w:cs="Arial"/>
                <w:sz w:val="20"/>
                <w:szCs w:val="20"/>
              </w:rPr>
              <w:t>$3.5</w:t>
            </w:r>
          </w:p>
        </w:tc>
        <w:tc>
          <w:tcPr>
            <w:tcW w:w="1080" w:type="dxa"/>
            <w:tcBorders>
              <w:left w:val="double" w:color="auto" w:sz="4" w:space="0"/>
            </w:tcBorders>
            <w:vAlign w:val="bottom"/>
          </w:tcPr>
          <w:p w:rsidR="003B0815" w:rsidRDefault="003B0815" w14:paraId="233008C9" w14:textId="77777777">
            <w:pPr>
              <w:keepNext/>
              <w:jc w:val="right"/>
              <w:rPr>
                <w:rFonts w:ascii="Arial" w:hAnsi="Arial"/>
                <w:sz w:val="20"/>
                <w:szCs w:val="20"/>
              </w:rPr>
            </w:pPr>
            <w:r>
              <w:rPr>
                <w:rFonts w:ascii="Arial" w:hAnsi="Arial" w:cs="Arial"/>
                <w:sz w:val="20"/>
                <w:szCs w:val="20"/>
              </w:rPr>
              <w:t>16.8</w:t>
            </w:r>
          </w:p>
        </w:tc>
        <w:tc>
          <w:tcPr>
            <w:tcW w:w="1080" w:type="dxa"/>
            <w:vAlign w:val="bottom"/>
          </w:tcPr>
          <w:p w:rsidR="003B0815" w:rsidRDefault="003B0815" w14:paraId="04CDD673"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67A89B91" w14:textId="77777777">
            <w:pPr>
              <w:keepNext/>
              <w:jc w:val="right"/>
              <w:rPr>
                <w:rFonts w:ascii="Arial" w:hAnsi="Arial"/>
                <w:sz w:val="20"/>
                <w:szCs w:val="20"/>
              </w:rPr>
            </w:pPr>
            <w:r>
              <w:rPr>
                <w:rFonts w:ascii="Arial" w:hAnsi="Arial" w:cs="Arial"/>
                <w:sz w:val="20"/>
                <w:szCs w:val="20"/>
              </w:rPr>
              <w:t xml:space="preserve">$1.4 </w:t>
            </w:r>
          </w:p>
        </w:tc>
        <w:tc>
          <w:tcPr>
            <w:tcW w:w="1260" w:type="dxa"/>
            <w:tcBorders>
              <w:left w:val="double" w:color="auto" w:sz="4" w:space="0"/>
              <w:right w:val="single" w:color="auto" w:sz="12" w:space="0"/>
            </w:tcBorders>
            <w:shd w:val="clear" w:color="auto" w:fill="C0C0C0"/>
            <w:vAlign w:val="bottom"/>
          </w:tcPr>
          <w:p w:rsidR="003B0815" w:rsidRDefault="003B0815" w14:paraId="4A6506CE" w14:textId="77777777">
            <w:pPr>
              <w:keepNext/>
              <w:jc w:val="right"/>
              <w:rPr>
                <w:rFonts w:ascii="Arial" w:hAnsi="Arial"/>
                <w:sz w:val="20"/>
                <w:szCs w:val="20"/>
              </w:rPr>
            </w:pPr>
            <w:r>
              <w:rPr>
                <w:rFonts w:ascii="Arial" w:hAnsi="Arial" w:cs="Arial"/>
                <w:sz w:val="20"/>
                <w:szCs w:val="20"/>
              </w:rPr>
              <w:t xml:space="preserve">$4.9 </w:t>
            </w:r>
          </w:p>
        </w:tc>
      </w:tr>
      <w:tr w:rsidR="003B0815" w14:paraId="5F384ADC" w14:textId="77777777">
        <w:trPr>
          <w:jc w:val="center"/>
        </w:trPr>
        <w:tc>
          <w:tcPr>
            <w:tcW w:w="731" w:type="dxa"/>
            <w:tcBorders>
              <w:left w:val="single" w:color="auto" w:sz="12" w:space="0"/>
            </w:tcBorders>
          </w:tcPr>
          <w:p w:rsidR="003B0815" w:rsidRDefault="003B0815" w14:paraId="720C7604" w14:textId="77777777">
            <w:pPr>
              <w:keepNext/>
              <w:jc w:val="center"/>
              <w:rPr>
                <w:rFonts w:ascii="Arial" w:hAnsi="Arial"/>
                <w:sz w:val="20"/>
                <w:szCs w:val="20"/>
              </w:rPr>
            </w:pPr>
            <w:r>
              <w:t>2009</w:t>
            </w:r>
          </w:p>
        </w:tc>
        <w:tc>
          <w:tcPr>
            <w:tcW w:w="828" w:type="dxa"/>
            <w:vAlign w:val="bottom"/>
          </w:tcPr>
          <w:p w:rsidR="003B0815" w:rsidRDefault="003B0815" w14:paraId="63185CAE"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38A86856" w14:textId="77777777">
            <w:pPr>
              <w:keepNext/>
              <w:jc w:val="right"/>
              <w:rPr>
                <w:rFonts w:ascii="Arial" w:hAnsi="Arial"/>
                <w:sz w:val="20"/>
                <w:szCs w:val="20"/>
              </w:rPr>
            </w:pPr>
            <w:r>
              <w:rPr>
                <w:rFonts w:ascii="Arial" w:hAnsi="Arial" w:cs="Arial"/>
                <w:sz w:val="20"/>
                <w:szCs w:val="20"/>
              </w:rPr>
              <w:t>18.3</w:t>
            </w:r>
          </w:p>
        </w:tc>
        <w:tc>
          <w:tcPr>
            <w:tcW w:w="1080" w:type="dxa"/>
            <w:vAlign w:val="bottom"/>
          </w:tcPr>
          <w:p w:rsidR="003B0815" w:rsidRDefault="003B0815" w14:paraId="2FB77F03"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2D9072C7" w14:textId="77777777">
            <w:pPr>
              <w:keepNext/>
              <w:jc w:val="right"/>
              <w:rPr>
                <w:rFonts w:ascii="Arial" w:hAnsi="Arial"/>
                <w:sz w:val="20"/>
                <w:szCs w:val="20"/>
              </w:rPr>
            </w:pPr>
            <w:r>
              <w:rPr>
                <w:rFonts w:ascii="Arial" w:hAnsi="Arial" w:cs="Arial"/>
                <w:sz w:val="20"/>
                <w:szCs w:val="20"/>
              </w:rPr>
              <w:t>3.7</w:t>
            </w:r>
          </w:p>
        </w:tc>
        <w:tc>
          <w:tcPr>
            <w:tcW w:w="1080" w:type="dxa"/>
            <w:tcBorders>
              <w:left w:val="double" w:color="auto" w:sz="4" w:space="0"/>
            </w:tcBorders>
            <w:vAlign w:val="bottom"/>
          </w:tcPr>
          <w:p w:rsidR="003B0815" w:rsidRDefault="003B0815" w14:paraId="19900A39" w14:textId="77777777">
            <w:pPr>
              <w:keepNext/>
              <w:jc w:val="right"/>
              <w:rPr>
                <w:rFonts w:ascii="Arial" w:hAnsi="Arial"/>
                <w:sz w:val="20"/>
                <w:szCs w:val="20"/>
              </w:rPr>
            </w:pPr>
            <w:r>
              <w:rPr>
                <w:rFonts w:ascii="Arial" w:hAnsi="Arial" w:cs="Arial"/>
                <w:sz w:val="20"/>
                <w:szCs w:val="20"/>
              </w:rPr>
              <w:t>17.6</w:t>
            </w:r>
          </w:p>
        </w:tc>
        <w:tc>
          <w:tcPr>
            <w:tcW w:w="1080" w:type="dxa"/>
            <w:vAlign w:val="bottom"/>
          </w:tcPr>
          <w:p w:rsidR="003B0815" w:rsidRDefault="003B0815" w14:paraId="45E4DC96"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77EF42F3" w14:textId="77777777">
            <w:pPr>
              <w:keepNext/>
              <w:jc w:val="right"/>
              <w:rPr>
                <w:rFonts w:ascii="Arial" w:hAnsi="Arial"/>
                <w:sz w:val="20"/>
                <w:szCs w:val="20"/>
              </w:rPr>
            </w:pPr>
            <w:r>
              <w:rPr>
                <w:rFonts w:ascii="Arial" w:hAnsi="Arial" w:cs="Arial"/>
                <w:sz w:val="20"/>
                <w:szCs w:val="20"/>
              </w:rPr>
              <w:t xml:space="preserve">1.5 </w:t>
            </w:r>
          </w:p>
        </w:tc>
        <w:tc>
          <w:tcPr>
            <w:tcW w:w="1260" w:type="dxa"/>
            <w:tcBorders>
              <w:left w:val="double" w:color="auto" w:sz="4" w:space="0"/>
              <w:right w:val="single" w:color="auto" w:sz="12" w:space="0"/>
            </w:tcBorders>
            <w:shd w:val="clear" w:color="auto" w:fill="C0C0C0"/>
            <w:vAlign w:val="bottom"/>
          </w:tcPr>
          <w:p w:rsidR="003B0815" w:rsidRDefault="003B0815" w14:paraId="30E86A07" w14:textId="77777777">
            <w:pPr>
              <w:keepNext/>
              <w:jc w:val="right"/>
              <w:rPr>
                <w:rFonts w:ascii="Arial" w:hAnsi="Arial"/>
                <w:sz w:val="20"/>
                <w:szCs w:val="20"/>
              </w:rPr>
            </w:pPr>
            <w:r>
              <w:rPr>
                <w:rFonts w:ascii="Arial" w:hAnsi="Arial" w:cs="Arial"/>
                <w:sz w:val="20"/>
                <w:szCs w:val="20"/>
              </w:rPr>
              <w:t xml:space="preserve">5.2 </w:t>
            </w:r>
          </w:p>
        </w:tc>
      </w:tr>
      <w:tr w:rsidR="003B0815" w14:paraId="2907047C" w14:textId="77777777">
        <w:trPr>
          <w:jc w:val="center"/>
        </w:trPr>
        <w:tc>
          <w:tcPr>
            <w:tcW w:w="731" w:type="dxa"/>
            <w:tcBorders>
              <w:left w:val="single" w:color="auto" w:sz="12" w:space="0"/>
            </w:tcBorders>
          </w:tcPr>
          <w:p w:rsidR="003B0815" w:rsidRDefault="003B0815" w14:paraId="0D9CBC3B" w14:textId="77777777">
            <w:pPr>
              <w:keepNext/>
              <w:jc w:val="center"/>
              <w:rPr>
                <w:rFonts w:ascii="Arial" w:hAnsi="Arial"/>
                <w:sz w:val="20"/>
                <w:szCs w:val="20"/>
              </w:rPr>
            </w:pPr>
            <w:r>
              <w:t>2010</w:t>
            </w:r>
          </w:p>
        </w:tc>
        <w:tc>
          <w:tcPr>
            <w:tcW w:w="828" w:type="dxa"/>
            <w:vAlign w:val="bottom"/>
          </w:tcPr>
          <w:p w:rsidR="003B0815" w:rsidRDefault="003B0815" w14:paraId="50EDE2E6"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12665A0" w14:textId="77777777">
            <w:pPr>
              <w:keepNext/>
              <w:jc w:val="right"/>
              <w:rPr>
                <w:rFonts w:ascii="Arial" w:hAnsi="Arial"/>
                <w:sz w:val="20"/>
                <w:szCs w:val="20"/>
              </w:rPr>
            </w:pPr>
            <w:r>
              <w:rPr>
                <w:rFonts w:ascii="Arial" w:hAnsi="Arial" w:cs="Arial"/>
                <w:sz w:val="20"/>
                <w:szCs w:val="20"/>
              </w:rPr>
              <w:t>19.3</w:t>
            </w:r>
          </w:p>
        </w:tc>
        <w:tc>
          <w:tcPr>
            <w:tcW w:w="1080" w:type="dxa"/>
            <w:vAlign w:val="bottom"/>
          </w:tcPr>
          <w:p w:rsidR="003B0815" w:rsidRDefault="003B0815" w14:paraId="49157D52"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58759698" w14:textId="77777777">
            <w:pPr>
              <w:keepNext/>
              <w:jc w:val="right"/>
              <w:rPr>
                <w:rFonts w:ascii="Arial" w:hAnsi="Arial"/>
                <w:sz w:val="20"/>
                <w:szCs w:val="20"/>
              </w:rPr>
            </w:pPr>
            <w:r>
              <w:rPr>
                <w:rFonts w:ascii="Arial" w:hAnsi="Arial" w:cs="Arial"/>
                <w:sz w:val="20"/>
                <w:szCs w:val="20"/>
              </w:rPr>
              <w:t>3.9</w:t>
            </w:r>
          </w:p>
        </w:tc>
        <w:tc>
          <w:tcPr>
            <w:tcW w:w="1080" w:type="dxa"/>
            <w:tcBorders>
              <w:left w:val="double" w:color="auto" w:sz="4" w:space="0"/>
            </w:tcBorders>
            <w:vAlign w:val="bottom"/>
          </w:tcPr>
          <w:p w:rsidR="003B0815" w:rsidRDefault="003B0815" w14:paraId="321F1CF6" w14:textId="77777777">
            <w:pPr>
              <w:keepNext/>
              <w:jc w:val="right"/>
              <w:rPr>
                <w:rFonts w:ascii="Arial" w:hAnsi="Arial"/>
                <w:sz w:val="20"/>
                <w:szCs w:val="20"/>
              </w:rPr>
            </w:pPr>
            <w:r>
              <w:rPr>
                <w:rFonts w:ascii="Arial" w:hAnsi="Arial" w:cs="Arial"/>
                <w:sz w:val="20"/>
                <w:szCs w:val="20"/>
              </w:rPr>
              <w:t>18.5</w:t>
            </w:r>
          </w:p>
        </w:tc>
        <w:tc>
          <w:tcPr>
            <w:tcW w:w="1080" w:type="dxa"/>
            <w:vAlign w:val="bottom"/>
          </w:tcPr>
          <w:p w:rsidR="003B0815" w:rsidRDefault="003B0815" w14:paraId="6EA6D7BD"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11AF6DB7" w14:textId="77777777">
            <w:pPr>
              <w:keepNext/>
              <w:jc w:val="right"/>
              <w:rPr>
                <w:rFonts w:ascii="Arial" w:hAnsi="Arial"/>
                <w:sz w:val="20"/>
                <w:szCs w:val="20"/>
              </w:rPr>
            </w:pPr>
            <w:r>
              <w:rPr>
                <w:rFonts w:ascii="Arial" w:hAnsi="Arial" w:cs="Arial"/>
                <w:sz w:val="20"/>
                <w:szCs w:val="20"/>
              </w:rPr>
              <w:t xml:space="preserve">1.6 </w:t>
            </w:r>
          </w:p>
        </w:tc>
        <w:tc>
          <w:tcPr>
            <w:tcW w:w="1260" w:type="dxa"/>
            <w:tcBorders>
              <w:left w:val="double" w:color="auto" w:sz="4" w:space="0"/>
              <w:right w:val="single" w:color="auto" w:sz="12" w:space="0"/>
            </w:tcBorders>
            <w:shd w:val="clear" w:color="auto" w:fill="C0C0C0"/>
            <w:vAlign w:val="bottom"/>
          </w:tcPr>
          <w:p w:rsidR="003B0815" w:rsidRDefault="003B0815" w14:paraId="1210C94B" w14:textId="77777777">
            <w:pPr>
              <w:keepNext/>
              <w:jc w:val="right"/>
              <w:rPr>
                <w:rFonts w:ascii="Arial" w:hAnsi="Arial"/>
                <w:sz w:val="20"/>
                <w:szCs w:val="20"/>
              </w:rPr>
            </w:pPr>
            <w:r>
              <w:rPr>
                <w:rFonts w:ascii="Arial" w:hAnsi="Arial" w:cs="Arial"/>
                <w:sz w:val="20"/>
                <w:szCs w:val="20"/>
              </w:rPr>
              <w:t xml:space="preserve">5.5 </w:t>
            </w:r>
          </w:p>
        </w:tc>
      </w:tr>
      <w:tr w:rsidR="003B0815" w14:paraId="162CED15" w14:textId="77777777">
        <w:trPr>
          <w:jc w:val="center"/>
        </w:trPr>
        <w:tc>
          <w:tcPr>
            <w:tcW w:w="731" w:type="dxa"/>
            <w:tcBorders>
              <w:left w:val="single" w:color="auto" w:sz="12" w:space="0"/>
            </w:tcBorders>
          </w:tcPr>
          <w:p w:rsidR="003B0815" w:rsidRDefault="003B0815" w14:paraId="0D43D268" w14:textId="77777777">
            <w:pPr>
              <w:keepNext/>
              <w:jc w:val="center"/>
              <w:rPr>
                <w:rFonts w:ascii="Arial" w:hAnsi="Arial"/>
                <w:sz w:val="20"/>
                <w:szCs w:val="20"/>
              </w:rPr>
            </w:pPr>
            <w:r>
              <w:t>2011</w:t>
            </w:r>
          </w:p>
        </w:tc>
        <w:tc>
          <w:tcPr>
            <w:tcW w:w="828" w:type="dxa"/>
            <w:vAlign w:val="bottom"/>
          </w:tcPr>
          <w:p w:rsidR="003B0815" w:rsidRDefault="003B0815" w14:paraId="7DEB8C96"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507D4828" w14:textId="77777777">
            <w:pPr>
              <w:keepNext/>
              <w:jc w:val="right"/>
              <w:rPr>
                <w:rFonts w:ascii="Arial" w:hAnsi="Arial"/>
                <w:sz w:val="20"/>
                <w:szCs w:val="20"/>
              </w:rPr>
            </w:pPr>
            <w:r>
              <w:rPr>
                <w:rFonts w:ascii="Arial" w:hAnsi="Arial" w:cs="Arial"/>
                <w:sz w:val="20"/>
                <w:szCs w:val="20"/>
              </w:rPr>
              <w:t>20.2</w:t>
            </w:r>
          </w:p>
        </w:tc>
        <w:tc>
          <w:tcPr>
            <w:tcW w:w="1080" w:type="dxa"/>
            <w:vAlign w:val="bottom"/>
          </w:tcPr>
          <w:p w:rsidR="003B0815" w:rsidRDefault="003B0815" w14:paraId="7146157F"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28B3A9B7" w14:textId="77777777">
            <w:pPr>
              <w:keepNext/>
              <w:jc w:val="right"/>
              <w:rPr>
                <w:rFonts w:ascii="Arial" w:hAnsi="Arial"/>
                <w:sz w:val="20"/>
                <w:szCs w:val="20"/>
              </w:rPr>
            </w:pPr>
            <w:r>
              <w:rPr>
                <w:rFonts w:ascii="Arial" w:hAnsi="Arial" w:cs="Arial"/>
                <w:sz w:val="20"/>
                <w:szCs w:val="20"/>
              </w:rPr>
              <w:t>4.0</w:t>
            </w:r>
          </w:p>
        </w:tc>
        <w:tc>
          <w:tcPr>
            <w:tcW w:w="1080" w:type="dxa"/>
            <w:tcBorders>
              <w:left w:val="double" w:color="auto" w:sz="4" w:space="0"/>
            </w:tcBorders>
            <w:vAlign w:val="bottom"/>
          </w:tcPr>
          <w:p w:rsidR="003B0815" w:rsidRDefault="003B0815" w14:paraId="0F829FA2" w14:textId="77777777">
            <w:pPr>
              <w:keepNext/>
              <w:jc w:val="right"/>
              <w:rPr>
                <w:rFonts w:ascii="Arial" w:hAnsi="Arial"/>
                <w:sz w:val="20"/>
                <w:szCs w:val="20"/>
              </w:rPr>
            </w:pPr>
            <w:r>
              <w:rPr>
                <w:rFonts w:ascii="Arial" w:hAnsi="Arial" w:cs="Arial"/>
                <w:sz w:val="20"/>
                <w:szCs w:val="20"/>
              </w:rPr>
              <w:t>19.4</w:t>
            </w:r>
          </w:p>
        </w:tc>
        <w:tc>
          <w:tcPr>
            <w:tcW w:w="1080" w:type="dxa"/>
            <w:vAlign w:val="bottom"/>
          </w:tcPr>
          <w:p w:rsidR="003B0815" w:rsidRDefault="003B0815" w14:paraId="2132CEA3"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352E1350" w14:textId="77777777">
            <w:pPr>
              <w:keepNext/>
              <w:jc w:val="right"/>
              <w:rPr>
                <w:rFonts w:ascii="Arial" w:hAnsi="Arial"/>
                <w:sz w:val="20"/>
                <w:szCs w:val="20"/>
              </w:rPr>
            </w:pPr>
            <w:r>
              <w:rPr>
                <w:rFonts w:ascii="Arial" w:hAnsi="Arial" w:cs="Arial"/>
                <w:sz w:val="20"/>
                <w:szCs w:val="20"/>
              </w:rPr>
              <w:t xml:space="preserve">1.7 </w:t>
            </w:r>
          </w:p>
        </w:tc>
        <w:tc>
          <w:tcPr>
            <w:tcW w:w="1260" w:type="dxa"/>
            <w:tcBorders>
              <w:left w:val="double" w:color="auto" w:sz="4" w:space="0"/>
              <w:right w:val="single" w:color="auto" w:sz="12" w:space="0"/>
            </w:tcBorders>
            <w:shd w:val="clear" w:color="auto" w:fill="C0C0C0"/>
            <w:vAlign w:val="bottom"/>
          </w:tcPr>
          <w:p w:rsidR="003B0815" w:rsidRDefault="003B0815" w14:paraId="43A7C492" w14:textId="77777777">
            <w:pPr>
              <w:keepNext/>
              <w:jc w:val="right"/>
              <w:rPr>
                <w:rFonts w:ascii="Arial" w:hAnsi="Arial"/>
                <w:sz w:val="20"/>
                <w:szCs w:val="20"/>
              </w:rPr>
            </w:pPr>
            <w:r>
              <w:rPr>
                <w:rFonts w:ascii="Arial" w:hAnsi="Arial" w:cs="Arial"/>
                <w:sz w:val="20"/>
                <w:szCs w:val="20"/>
              </w:rPr>
              <w:t xml:space="preserve">5.7 </w:t>
            </w:r>
          </w:p>
        </w:tc>
      </w:tr>
      <w:tr w:rsidR="003B0815" w14:paraId="63FEC2E1" w14:textId="77777777">
        <w:trPr>
          <w:jc w:val="center"/>
        </w:trPr>
        <w:tc>
          <w:tcPr>
            <w:tcW w:w="731" w:type="dxa"/>
            <w:tcBorders>
              <w:left w:val="single" w:color="auto" w:sz="12" w:space="0"/>
            </w:tcBorders>
          </w:tcPr>
          <w:p w:rsidR="003B0815" w:rsidRDefault="003B0815" w14:paraId="54900283" w14:textId="77777777">
            <w:pPr>
              <w:keepNext/>
              <w:jc w:val="center"/>
              <w:rPr>
                <w:rFonts w:ascii="Arial" w:hAnsi="Arial"/>
                <w:sz w:val="20"/>
                <w:szCs w:val="20"/>
              </w:rPr>
            </w:pPr>
            <w:r>
              <w:t>2012</w:t>
            </w:r>
          </w:p>
        </w:tc>
        <w:tc>
          <w:tcPr>
            <w:tcW w:w="828" w:type="dxa"/>
            <w:vAlign w:val="bottom"/>
          </w:tcPr>
          <w:p w:rsidR="003B0815" w:rsidRDefault="003B0815" w14:paraId="33BD4B29"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FF92920" w14:textId="77777777">
            <w:pPr>
              <w:keepNext/>
              <w:jc w:val="right"/>
              <w:rPr>
                <w:rFonts w:ascii="Arial" w:hAnsi="Arial"/>
                <w:sz w:val="20"/>
                <w:szCs w:val="20"/>
              </w:rPr>
            </w:pPr>
            <w:r>
              <w:rPr>
                <w:rFonts w:ascii="Arial" w:hAnsi="Arial" w:cs="Arial"/>
                <w:sz w:val="20"/>
                <w:szCs w:val="20"/>
              </w:rPr>
              <w:t>21.2</w:t>
            </w:r>
          </w:p>
        </w:tc>
        <w:tc>
          <w:tcPr>
            <w:tcW w:w="1080" w:type="dxa"/>
            <w:vAlign w:val="bottom"/>
          </w:tcPr>
          <w:p w:rsidR="003B0815" w:rsidRDefault="003B0815" w14:paraId="14ABAA89"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18BA11A1" w14:textId="77777777">
            <w:pPr>
              <w:keepNext/>
              <w:jc w:val="right"/>
              <w:rPr>
                <w:rFonts w:ascii="Arial" w:hAnsi="Arial"/>
                <w:sz w:val="20"/>
                <w:szCs w:val="20"/>
              </w:rPr>
            </w:pPr>
            <w:r>
              <w:rPr>
                <w:rFonts w:ascii="Arial" w:hAnsi="Arial" w:cs="Arial"/>
                <w:sz w:val="20"/>
                <w:szCs w:val="20"/>
              </w:rPr>
              <w:t>4.3</w:t>
            </w:r>
          </w:p>
        </w:tc>
        <w:tc>
          <w:tcPr>
            <w:tcW w:w="1080" w:type="dxa"/>
            <w:tcBorders>
              <w:left w:val="double" w:color="auto" w:sz="4" w:space="0"/>
            </w:tcBorders>
            <w:vAlign w:val="bottom"/>
          </w:tcPr>
          <w:p w:rsidR="003B0815" w:rsidRDefault="003B0815" w14:paraId="35430862" w14:textId="77777777">
            <w:pPr>
              <w:keepNext/>
              <w:jc w:val="right"/>
              <w:rPr>
                <w:rFonts w:ascii="Arial" w:hAnsi="Arial"/>
                <w:sz w:val="20"/>
                <w:szCs w:val="20"/>
              </w:rPr>
            </w:pPr>
            <w:r>
              <w:rPr>
                <w:rFonts w:ascii="Arial" w:hAnsi="Arial" w:cs="Arial"/>
                <w:sz w:val="20"/>
                <w:szCs w:val="20"/>
              </w:rPr>
              <w:t>20.4</w:t>
            </w:r>
          </w:p>
        </w:tc>
        <w:tc>
          <w:tcPr>
            <w:tcW w:w="1080" w:type="dxa"/>
            <w:vAlign w:val="bottom"/>
          </w:tcPr>
          <w:p w:rsidR="003B0815" w:rsidRDefault="003B0815" w14:paraId="67A56899"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4FAA9CFC" w14:textId="77777777">
            <w:pPr>
              <w:keepNext/>
              <w:jc w:val="right"/>
              <w:rPr>
                <w:rFonts w:ascii="Arial" w:hAnsi="Arial"/>
                <w:sz w:val="20"/>
                <w:szCs w:val="20"/>
              </w:rPr>
            </w:pPr>
            <w:r>
              <w:rPr>
                <w:rFonts w:ascii="Arial" w:hAnsi="Arial" w:cs="Arial"/>
                <w:sz w:val="20"/>
                <w:szCs w:val="20"/>
              </w:rPr>
              <w:t xml:space="preserve">1.7 </w:t>
            </w:r>
          </w:p>
        </w:tc>
        <w:tc>
          <w:tcPr>
            <w:tcW w:w="1260" w:type="dxa"/>
            <w:tcBorders>
              <w:left w:val="double" w:color="auto" w:sz="4" w:space="0"/>
              <w:right w:val="single" w:color="auto" w:sz="12" w:space="0"/>
            </w:tcBorders>
            <w:shd w:val="clear" w:color="auto" w:fill="C0C0C0"/>
            <w:vAlign w:val="bottom"/>
          </w:tcPr>
          <w:p w:rsidR="003B0815" w:rsidRDefault="003B0815" w14:paraId="5F553C7F" w14:textId="77777777">
            <w:pPr>
              <w:keepNext/>
              <w:jc w:val="right"/>
              <w:rPr>
                <w:rFonts w:ascii="Arial" w:hAnsi="Arial"/>
                <w:sz w:val="20"/>
                <w:szCs w:val="20"/>
              </w:rPr>
            </w:pPr>
            <w:r>
              <w:rPr>
                <w:rFonts w:ascii="Arial" w:hAnsi="Arial" w:cs="Arial"/>
                <w:sz w:val="20"/>
                <w:szCs w:val="20"/>
              </w:rPr>
              <w:t xml:space="preserve">6.0 </w:t>
            </w:r>
          </w:p>
        </w:tc>
      </w:tr>
      <w:tr w:rsidR="003B0815" w14:paraId="6B6F7AE6" w14:textId="77777777">
        <w:trPr>
          <w:jc w:val="center"/>
        </w:trPr>
        <w:tc>
          <w:tcPr>
            <w:tcW w:w="731" w:type="dxa"/>
            <w:tcBorders>
              <w:left w:val="single" w:color="auto" w:sz="12" w:space="0"/>
            </w:tcBorders>
          </w:tcPr>
          <w:p w:rsidR="003B0815" w:rsidRDefault="003B0815" w14:paraId="3F871D69" w14:textId="77777777">
            <w:pPr>
              <w:keepNext/>
              <w:jc w:val="center"/>
              <w:rPr>
                <w:rFonts w:ascii="Arial" w:hAnsi="Arial"/>
                <w:sz w:val="20"/>
                <w:szCs w:val="20"/>
              </w:rPr>
            </w:pPr>
            <w:r>
              <w:t>2013</w:t>
            </w:r>
          </w:p>
        </w:tc>
        <w:tc>
          <w:tcPr>
            <w:tcW w:w="828" w:type="dxa"/>
            <w:vAlign w:val="bottom"/>
          </w:tcPr>
          <w:p w:rsidR="003B0815" w:rsidRDefault="003B0815" w14:paraId="3D801FA9"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74B5A0D" w14:textId="77777777">
            <w:pPr>
              <w:keepNext/>
              <w:jc w:val="right"/>
              <w:rPr>
                <w:rFonts w:ascii="Arial" w:hAnsi="Arial"/>
                <w:sz w:val="20"/>
                <w:szCs w:val="20"/>
              </w:rPr>
            </w:pPr>
            <w:r>
              <w:rPr>
                <w:rFonts w:ascii="Arial" w:hAnsi="Arial" w:cs="Arial"/>
                <w:sz w:val="20"/>
                <w:szCs w:val="20"/>
              </w:rPr>
              <w:t>22.3</w:t>
            </w:r>
          </w:p>
        </w:tc>
        <w:tc>
          <w:tcPr>
            <w:tcW w:w="1080" w:type="dxa"/>
            <w:vAlign w:val="bottom"/>
          </w:tcPr>
          <w:p w:rsidR="003B0815" w:rsidRDefault="003B0815" w14:paraId="20CAA5C0"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19458880" w14:textId="77777777">
            <w:pPr>
              <w:keepNext/>
              <w:jc w:val="right"/>
              <w:rPr>
                <w:rFonts w:ascii="Arial" w:hAnsi="Arial"/>
                <w:sz w:val="20"/>
                <w:szCs w:val="20"/>
              </w:rPr>
            </w:pPr>
            <w:r>
              <w:rPr>
                <w:rFonts w:ascii="Arial" w:hAnsi="Arial" w:cs="Arial"/>
                <w:sz w:val="20"/>
                <w:szCs w:val="20"/>
              </w:rPr>
              <w:t>4.5</w:t>
            </w:r>
          </w:p>
        </w:tc>
        <w:tc>
          <w:tcPr>
            <w:tcW w:w="1080" w:type="dxa"/>
            <w:tcBorders>
              <w:left w:val="double" w:color="auto" w:sz="4" w:space="0"/>
            </w:tcBorders>
            <w:vAlign w:val="bottom"/>
          </w:tcPr>
          <w:p w:rsidR="003B0815" w:rsidRDefault="003B0815" w14:paraId="1B92507F" w14:textId="77777777">
            <w:pPr>
              <w:keepNext/>
              <w:jc w:val="right"/>
              <w:rPr>
                <w:rFonts w:ascii="Arial" w:hAnsi="Arial"/>
                <w:sz w:val="20"/>
                <w:szCs w:val="20"/>
              </w:rPr>
            </w:pPr>
            <w:r>
              <w:rPr>
                <w:rFonts w:ascii="Arial" w:hAnsi="Arial" w:cs="Arial"/>
                <w:sz w:val="20"/>
                <w:szCs w:val="20"/>
              </w:rPr>
              <w:t>21.4</w:t>
            </w:r>
          </w:p>
        </w:tc>
        <w:tc>
          <w:tcPr>
            <w:tcW w:w="1080" w:type="dxa"/>
            <w:vAlign w:val="bottom"/>
          </w:tcPr>
          <w:p w:rsidR="003B0815" w:rsidRDefault="003B0815" w14:paraId="5726E23D"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09C230A7" w14:textId="77777777">
            <w:pPr>
              <w:keepNext/>
              <w:jc w:val="right"/>
              <w:rPr>
                <w:rFonts w:ascii="Arial" w:hAnsi="Arial"/>
                <w:sz w:val="20"/>
                <w:szCs w:val="20"/>
              </w:rPr>
            </w:pPr>
            <w:r>
              <w:rPr>
                <w:rFonts w:ascii="Arial" w:hAnsi="Arial" w:cs="Arial"/>
                <w:sz w:val="20"/>
                <w:szCs w:val="20"/>
              </w:rPr>
              <w:t xml:space="preserve">1.8 </w:t>
            </w:r>
          </w:p>
        </w:tc>
        <w:tc>
          <w:tcPr>
            <w:tcW w:w="1260" w:type="dxa"/>
            <w:tcBorders>
              <w:left w:val="double" w:color="auto" w:sz="4" w:space="0"/>
              <w:right w:val="single" w:color="auto" w:sz="12" w:space="0"/>
            </w:tcBorders>
            <w:shd w:val="clear" w:color="auto" w:fill="C0C0C0"/>
            <w:vAlign w:val="bottom"/>
          </w:tcPr>
          <w:p w:rsidR="003B0815" w:rsidRDefault="003B0815" w14:paraId="79D13F1F" w14:textId="77777777">
            <w:pPr>
              <w:keepNext/>
              <w:jc w:val="right"/>
              <w:rPr>
                <w:rFonts w:ascii="Arial" w:hAnsi="Arial"/>
                <w:sz w:val="20"/>
                <w:szCs w:val="20"/>
              </w:rPr>
            </w:pPr>
            <w:r>
              <w:rPr>
                <w:rFonts w:ascii="Arial" w:hAnsi="Arial" w:cs="Arial"/>
                <w:sz w:val="20"/>
                <w:szCs w:val="20"/>
              </w:rPr>
              <w:t xml:space="preserve">6.3 </w:t>
            </w:r>
          </w:p>
        </w:tc>
      </w:tr>
      <w:tr w:rsidR="003B0815" w14:paraId="0C59C949" w14:textId="77777777">
        <w:trPr>
          <w:jc w:val="center"/>
        </w:trPr>
        <w:tc>
          <w:tcPr>
            <w:tcW w:w="731" w:type="dxa"/>
            <w:tcBorders>
              <w:left w:val="single" w:color="auto" w:sz="12" w:space="0"/>
            </w:tcBorders>
          </w:tcPr>
          <w:p w:rsidR="003B0815" w:rsidRDefault="003B0815" w14:paraId="2ECAC676" w14:textId="77777777">
            <w:pPr>
              <w:keepNext/>
              <w:jc w:val="center"/>
              <w:rPr>
                <w:rFonts w:ascii="Arial" w:hAnsi="Arial"/>
                <w:sz w:val="20"/>
                <w:szCs w:val="20"/>
              </w:rPr>
            </w:pPr>
            <w:r>
              <w:t>2014</w:t>
            </w:r>
          </w:p>
        </w:tc>
        <w:tc>
          <w:tcPr>
            <w:tcW w:w="828" w:type="dxa"/>
            <w:vAlign w:val="bottom"/>
          </w:tcPr>
          <w:p w:rsidR="003B0815" w:rsidRDefault="003B0815" w14:paraId="342C6EEA"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27A7DCE1" w14:textId="77777777">
            <w:pPr>
              <w:keepNext/>
              <w:jc w:val="right"/>
              <w:rPr>
                <w:rFonts w:ascii="Arial" w:hAnsi="Arial"/>
                <w:sz w:val="20"/>
                <w:szCs w:val="20"/>
              </w:rPr>
            </w:pPr>
            <w:r>
              <w:rPr>
                <w:rFonts w:ascii="Arial" w:hAnsi="Arial" w:cs="Arial"/>
                <w:sz w:val="20"/>
                <w:szCs w:val="20"/>
              </w:rPr>
              <w:t>23.4</w:t>
            </w:r>
          </w:p>
        </w:tc>
        <w:tc>
          <w:tcPr>
            <w:tcW w:w="1080" w:type="dxa"/>
            <w:vAlign w:val="bottom"/>
          </w:tcPr>
          <w:p w:rsidR="003B0815" w:rsidRDefault="003B0815" w14:paraId="6DD15D5B"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13F7600D" w14:textId="77777777">
            <w:pPr>
              <w:keepNext/>
              <w:jc w:val="right"/>
              <w:rPr>
                <w:rFonts w:ascii="Arial" w:hAnsi="Arial"/>
                <w:sz w:val="20"/>
                <w:szCs w:val="20"/>
              </w:rPr>
            </w:pPr>
            <w:r>
              <w:rPr>
                <w:rFonts w:ascii="Arial" w:hAnsi="Arial" w:cs="Arial"/>
                <w:sz w:val="20"/>
                <w:szCs w:val="20"/>
              </w:rPr>
              <w:t>4.7</w:t>
            </w:r>
          </w:p>
        </w:tc>
        <w:tc>
          <w:tcPr>
            <w:tcW w:w="1080" w:type="dxa"/>
            <w:tcBorders>
              <w:left w:val="double" w:color="auto" w:sz="4" w:space="0"/>
            </w:tcBorders>
            <w:vAlign w:val="bottom"/>
          </w:tcPr>
          <w:p w:rsidR="003B0815" w:rsidRDefault="003B0815" w14:paraId="142C8D18" w14:textId="77777777">
            <w:pPr>
              <w:keepNext/>
              <w:jc w:val="right"/>
              <w:rPr>
                <w:rFonts w:ascii="Arial" w:hAnsi="Arial"/>
                <w:sz w:val="20"/>
                <w:szCs w:val="20"/>
              </w:rPr>
            </w:pPr>
            <w:r>
              <w:rPr>
                <w:rFonts w:ascii="Arial" w:hAnsi="Arial" w:cs="Arial"/>
                <w:sz w:val="20"/>
                <w:szCs w:val="20"/>
              </w:rPr>
              <w:t>22.5</w:t>
            </w:r>
          </w:p>
        </w:tc>
        <w:tc>
          <w:tcPr>
            <w:tcW w:w="1080" w:type="dxa"/>
            <w:vAlign w:val="bottom"/>
          </w:tcPr>
          <w:p w:rsidR="003B0815" w:rsidRDefault="003B0815" w14:paraId="0C2D984E"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4C389FDB" w14:textId="77777777">
            <w:pPr>
              <w:keepNext/>
              <w:jc w:val="right"/>
              <w:rPr>
                <w:rFonts w:ascii="Arial" w:hAnsi="Arial"/>
                <w:sz w:val="20"/>
                <w:szCs w:val="20"/>
              </w:rPr>
            </w:pPr>
            <w:r>
              <w:rPr>
                <w:rFonts w:ascii="Arial" w:hAnsi="Arial" w:cs="Arial"/>
                <w:sz w:val="20"/>
                <w:szCs w:val="20"/>
              </w:rPr>
              <w:t xml:space="preserve">1.9 </w:t>
            </w:r>
          </w:p>
        </w:tc>
        <w:tc>
          <w:tcPr>
            <w:tcW w:w="1260" w:type="dxa"/>
            <w:tcBorders>
              <w:left w:val="double" w:color="auto" w:sz="4" w:space="0"/>
              <w:right w:val="single" w:color="auto" w:sz="12" w:space="0"/>
            </w:tcBorders>
            <w:shd w:val="clear" w:color="auto" w:fill="C0C0C0"/>
            <w:vAlign w:val="bottom"/>
          </w:tcPr>
          <w:p w:rsidR="003B0815" w:rsidRDefault="003B0815" w14:paraId="33598540" w14:textId="77777777">
            <w:pPr>
              <w:keepNext/>
              <w:jc w:val="right"/>
              <w:rPr>
                <w:rFonts w:ascii="Arial" w:hAnsi="Arial"/>
                <w:sz w:val="20"/>
                <w:szCs w:val="20"/>
              </w:rPr>
            </w:pPr>
            <w:r>
              <w:rPr>
                <w:rFonts w:ascii="Arial" w:hAnsi="Arial" w:cs="Arial"/>
                <w:sz w:val="20"/>
                <w:szCs w:val="20"/>
              </w:rPr>
              <w:t xml:space="preserve">6.6 </w:t>
            </w:r>
          </w:p>
        </w:tc>
      </w:tr>
      <w:tr w:rsidR="003B0815" w14:paraId="4DA8C8C8" w14:textId="77777777">
        <w:trPr>
          <w:jc w:val="center"/>
        </w:trPr>
        <w:tc>
          <w:tcPr>
            <w:tcW w:w="731" w:type="dxa"/>
            <w:tcBorders>
              <w:left w:val="single" w:color="auto" w:sz="12" w:space="0"/>
            </w:tcBorders>
          </w:tcPr>
          <w:p w:rsidR="003B0815" w:rsidRDefault="003B0815" w14:paraId="6B8BB19C" w14:textId="77777777">
            <w:pPr>
              <w:keepNext/>
              <w:jc w:val="center"/>
              <w:rPr>
                <w:rFonts w:ascii="Arial" w:hAnsi="Arial"/>
                <w:sz w:val="20"/>
                <w:szCs w:val="20"/>
              </w:rPr>
            </w:pPr>
            <w:r>
              <w:t>2015</w:t>
            </w:r>
          </w:p>
        </w:tc>
        <w:tc>
          <w:tcPr>
            <w:tcW w:w="828" w:type="dxa"/>
            <w:vAlign w:val="bottom"/>
          </w:tcPr>
          <w:p w:rsidR="003B0815" w:rsidRDefault="003B0815" w14:paraId="6929A16F"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7D231196" w14:textId="77777777">
            <w:pPr>
              <w:keepNext/>
              <w:jc w:val="right"/>
              <w:rPr>
                <w:rFonts w:ascii="Arial" w:hAnsi="Arial"/>
                <w:sz w:val="20"/>
                <w:szCs w:val="20"/>
              </w:rPr>
            </w:pPr>
            <w:r>
              <w:rPr>
                <w:rFonts w:ascii="Arial" w:hAnsi="Arial" w:cs="Arial"/>
                <w:sz w:val="20"/>
                <w:szCs w:val="20"/>
              </w:rPr>
              <w:t>24.6</w:t>
            </w:r>
          </w:p>
        </w:tc>
        <w:tc>
          <w:tcPr>
            <w:tcW w:w="1080" w:type="dxa"/>
            <w:vAlign w:val="bottom"/>
          </w:tcPr>
          <w:p w:rsidR="003B0815" w:rsidRDefault="003B0815" w14:paraId="4566A7C5"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0E3F0936" w14:textId="77777777">
            <w:pPr>
              <w:keepNext/>
              <w:jc w:val="right"/>
              <w:rPr>
                <w:rFonts w:ascii="Arial" w:hAnsi="Arial"/>
                <w:sz w:val="20"/>
                <w:szCs w:val="20"/>
              </w:rPr>
            </w:pPr>
            <w:r>
              <w:rPr>
                <w:rFonts w:ascii="Arial" w:hAnsi="Arial" w:cs="Arial"/>
                <w:sz w:val="20"/>
                <w:szCs w:val="20"/>
              </w:rPr>
              <w:t>4.9</w:t>
            </w:r>
          </w:p>
        </w:tc>
        <w:tc>
          <w:tcPr>
            <w:tcW w:w="1080" w:type="dxa"/>
            <w:tcBorders>
              <w:left w:val="double" w:color="auto" w:sz="4" w:space="0"/>
            </w:tcBorders>
            <w:vAlign w:val="bottom"/>
          </w:tcPr>
          <w:p w:rsidR="003B0815" w:rsidRDefault="003B0815" w14:paraId="23510B86" w14:textId="77777777">
            <w:pPr>
              <w:keepNext/>
              <w:jc w:val="right"/>
              <w:rPr>
                <w:rFonts w:ascii="Arial" w:hAnsi="Arial"/>
                <w:sz w:val="20"/>
                <w:szCs w:val="20"/>
              </w:rPr>
            </w:pPr>
            <w:r>
              <w:rPr>
                <w:rFonts w:ascii="Arial" w:hAnsi="Arial" w:cs="Arial"/>
                <w:sz w:val="20"/>
                <w:szCs w:val="20"/>
              </w:rPr>
              <w:t>23.6</w:t>
            </w:r>
          </w:p>
        </w:tc>
        <w:tc>
          <w:tcPr>
            <w:tcW w:w="1080" w:type="dxa"/>
            <w:vAlign w:val="bottom"/>
          </w:tcPr>
          <w:p w:rsidR="003B0815" w:rsidRDefault="003B0815" w14:paraId="7733E247"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1C7CAC64" w14:textId="77777777">
            <w:pPr>
              <w:keepNext/>
              <w:jc w:val="right"/>
              <w:rPr>
                <w:rFonts w:ascii="Arial" w:hAnsi="Arial"/>
                <w:sz w:val="20"/>
                <w:szCs w:val="20"/>
              </w:rPr>
            </w:pPr>
            <w:r>
              <w:rPr>
                <w:rFonts w:ascii="Arial" w:hAnsi="Arial" w:cs="Arial"/>
                <w:sz w:val="20"/>
                <w:szCs w:val="20"/>
              </w:rPr>
              <w:t xml:space="preserve">2.0 </w:t>
            </w:r>
          </w:p>
        </w:tc>
        <w:tc>
          <w:tcPr>
            <w:tcW w:w="1260" w:type="dxa"/>
            <w:tcBorders>
              <w:left w:val="double" w:color="auto" w:sz="4" w:space="0"/>
              <w:right w:val="single" w:color="auto" w:sz="12" w:space="0"/>
            </w:tcBorders>
            <w:shd w:val="clear" w:color="auto" w:fill="C0C0C0"/>
            <w:vAlign w:val="bottom"/>
          </w:tcPr>
          <w:p w:rsidR="003B0815" w:rsidRDefault="003B0815" w14:paraId="75EE2FB2" w14:textId="77777777">
            <w:pPr>
              <w:keepNext/>
              <w:jc w:val="right"/>
              <w:rPr>
                <w:rFonts w:ascii="Arial" w:hAnsi="Arial"/>
                <w:sz w:val="20"/>
                <w:szCs w:val="20"/>
              </w:rPr>
            </w:pPr>
            <w:r>
              <w:rPr>
                <w:rFonts w:ascii="Arial" w:hAnsi="Arial" w:cs="Arial"/>
                <w:sz w:val="20"/>
                <w:szCs w:val="20"/>
              </w:rPr>
              <w:t xml:space="preserve">6.9 </w:t>
            </w:r>
          </w:p>
        </w:tc>
      </w:tr>
      <w:tr w:rsidR="003B0815" w14:paraId="035FAF94" w14:textId="77777777">
        <w:trPr>
          <w:jc w:val="center"/>
        </w:trPr>
        <w:tc>
          <w:tcPr>
            <w:tcW w:w="731" w:type="dxa"/>
            <w:tcBorders>
              <w:left w:val="single" w:color="auto" w:sz="12" w:space="0"/>
            </w:tcBorders>
          </w:tcPr>
          <w:p w:rsidR="003B0815" w:rsidRDefault="003B0815" w14:paraId="5F2B8A14" w14:textId="77777777">
            <w:pPr>
              <w:keepNext/>
              <w:jc w:val="center"/>
              <w:rPr>
                <w:rFonts w:ascii="Arial" w:hAnsi="Arial"/>
                <w:sz w:val="20"/>
                <w:szCs w:val="20"/>
              </w:rPr>
            </w:pPr>
            <w:r>
              <w:t>2016</w:t>
            </w:r>
          </w:p>
        </w:tc>
        <w:tc>
          <w:tcPr>
            <w:tcW w:w="828" w:type="dxa"/>
            <w:vAlign w:val="bottom"/>
          </w:tcPr>
          <w:p w:rsidR="003B0815" w:rsidRDefault="003B0815" w14:paraId="245D10E9" w14:textId="77777777">
            <w:pPr>
              <w:keepNext/>
              <w:jc w:val="center"/>
              <w:rPr>
                <w:rFonts w:ascii="Arial" w:hAnsi="Arial"/>
                <w:sz w:val="20"/>
                <w:szCs w:val="20"/>
              </w:rPr>
            </w:pPr>
            <w:r>
              <w:rPr>
                <w:rFonts w:ascii="Arial" w:hAnsi="Arial" w:cs="Arial"/>
                <w:sz w:val="20"/>
                <w:szCs w:val="20"/>
              </w:rPr>
              <w:t xml:space="preserve">28.60 </w:t>
            </w:r>
          </w:p>
        </w:tc>
        <w:tc>
          <w:tcPr>
            <w:tcW w:w="1008" w:type="dxa"/>
            <w:vAlign w:val="bottom"/>
          </w:tcPr>
          <w:p w:rsidR="003B0815" w:rsidRDefault="003B0815" w14:paraId="215E86D9" w14:textId="77777777">
            <w:pPr>
              <w:keepNext/>
              <w:jc w:val="right"/>
              <w:rPr>
                <w:rFonts w:ascii="Arial" w:hAnsi="Arial"/>
                <w:sz w:val="20"/>
                <w:szCs w:val="20"/>
              </w:rPr>
            </w:pPr>
            <w:r>
              <w:rPr>
                <w:rFonts w:ascii="Arial" w:hAnsi="Arial" w:cs="Arial"/>
                <w:sz w:val="20"/>
                <w:szCs w:val="20"/>
              </w:rPr>
              <w:t>25.8</w:t>
            </w:r>
          </w:p>
        </w:tc>
        <w:tc>
          <w:tcPr>
            <w:tcW w:w="1080" w:type="dxa"/>
            <w:vAlign w:val="bottom"/>
          </w:tcPr>
          <w:p w:rsidR="003B0815" w:rsidRDefault="003B0815" w14:paraId="42680242" w14:textId="77777777">
            <w:pPr>
              <w:keepNext/>
              <w:jc w:val="center"/>
              <w:rPr>
                <w:rFonts w:ascii="Arial" w:hAnsi="Arial"/>
                <w:sz w:val="20"/>
                <w:szCs w:val="20"/>
              </w:rPr>
            </w:pPr>
            <w:r>
              <w:rPr>
                <w:rFonts w:ascii="Arial" w:hAnsi="Arial" w:cs="Arial"/>
                <w:sz w:val="20"/>
                <w:szCs w:val="20"/>
              </w:rPr>
              <w:t>0.007</w:t>
            </w:r>
          </w:p>
        </w:tc>
        <w:tc>
          <w:tcPr>
            <w:tcW w:w="1260" w:type="dxa"/>
            <w:tcBorders>
              <w:right w:val="double" w:color="auto" w:sz="4" w:space="0"/>
            </w:tcBorders>
            <w:shd w:val="clear" w:color="auto" w:fill="C0C0C0"/>
            <w:vAlign w:val="bottom"/>
          </w:tcPr>
          <w:p w:rsidR="003B0815" w:rsidRDefault="003B0815" w14:paraId="2B2B6622" w14:textId="77777777">
            <w:pPr>
              <w:keepNext/>
              <w:jc w:val="right"/>
              <w:rPr>
                <w:rFonts w:ascii="Arial" w:hAnsi="Arial"/>
                <w:sz w:val="20"/>
                <w:szCs w:val="20"/>
              </w:rPr>
            </w:pPr>
            <w:r>
              <w:rPr>
                <w:rFonts w:ascii="Arial" w:hAnsi="Arial" w:cs="Arial"/>
                <w:sz w:val="20"/>
                <w:szCs w:val="20"/>
              </w:rPr>
              <w:t>5.2</w:t>
            </w:r>
          </w:p>
        </w:tc>
        <w:tc>
          <w:tcPr>
            <w:tcW w:w="1080" w:type="dxa"/>
            <w:tcBorders>
              <w:left w:val="double" w:color="auto" w:sz="4" w:space="0"/>
            </w:tcBorders>
            <w:vAlign w:val="bottom"/>
          </w:tcPr>
          <w:p w:rsidR="003B0815" w:rsidRDefault="003B0815" w14:paraId="3AF9FD1F" w14:textId="77777777">
            <w:pPr>
              <w:keepNext/>
              <w:jc w:val="right"/>
              <w:rPr>
                <w:rFonts w:ascii="Arial" w:hAnsi="Arial"/>
                <w:sz w:val="20"/>
                <w:szCs w:val="20"/>
              </w:rPr>
            </w:pPr>
            <w:r>
              <w:rPr>
                <w:rFonts w:ascii="Arial" w:hAnsi="Arial" w:cs="Arial"/>
                <w:sz w:val="20"/>
                <w:szCs w:val="20"/>
              </w:rPr>
              <w:t>24.8</w:t>
            </w:r>
          </w:p>
        </w:tc>
        <w:tc>
          <w:tcPr>
            <w:tcW w:w="1080" w:type="dxa"/>
            <w:vAlign w:val="bottom"/>
          </w:tcPr>
          <w:p w:rsidR="003B0815" w:rsidRDefault="003B0815" w14:paraId="23704EC7" w14:textId="77777777">
            <w:pPr>
              <w:keepNext/>
              <w:jc w:val="center"/>
              <w:rPr>
                <w:rFonts w:ascii="Arial" w:hAnsi="Arial"/>
                <w:sz w:val="20"/>
                <w:szCs w:val="20"/>
              </w:rPr>
            </w:pPr>
            <w:r>
              <w:rPr>
                <w:rFonts w:ascii="Arial" w:hAnsi="Arial" w:cs="Arial"/>
                <w:sz w:val="20"/>
                <w:szCs w:val="20"/>
              </w:rPr>
              <w:t>0.003</w:t>
            </w:r>
          </w:p>
        </w:tc>
        <w:tc>
          <w:tcPr>
            <w:tcW w:w="1260" w:type="dxa"/>
            <w:tcBorders>
              <w:right w:val="double" w:color="auto" w:sz="4" w:space="0"/>
            </w:tcBorders>
            <w:shd w:val="clear" w:color="auto" w:fill="C0C0C0"/>
            <w:vAlign w:val="bottom"/>
          </w:tcPr>
          <w:p w:rsidR="003B0815" w:rsidRDefault="003B0815" w14:paraId="268AEAD5" w14:textId="77777777">
            <w:pPr>
              <w:keepNext/>
              <w:jc w:val="right"/>
              <w:rPr>
                <w:rFonts w:ascii="Arial" w:hAnsi="Arial"/>
                <w:sz w:val="20"/>
                <w:szCs w:val="20"/>
              </w:rPr>
            </w:pPr>
            <w:r>
              <w:rPr>
                <w:rFonts w:ascii="Arial" w:hAnsi="Arial" w:cs="Arial"/>
                <w:sz w:val="20"/>
                <w:szCs w:val="20"/>
              </w:rPr>
              <w:t xml:space="preserve">2.1 </w:t>
            </w:r>
          </w:p>
        </w:tc>
        <w:tc>
          <w:tcPr>
            <w:tcW w:w="1260" w:type="dxa"/>
            <w:tcBorders>
              <w:left w:val="double" w:color="auto" w:sz="4" w:space="0"/>
              <w:right w:val="single" w:color="auto" w:sz="12" w:space="0"/>
            </w:tcBorders>
            <w:shd w:val="clear" w:color="auto" w:fill="C0C0C0"/>
            <w:vAlign w:val="bottom"/>
          </w:tcPr>
          <w:p w:rsidR="003B0815" w:rsidRDefault="003B0815" w14:paraId="3A5FAC3F" w14:textId="77777777">
            <w:pPr>
              <w:keepNext/>
              <w:jc w:val="right"/>
              <w:rPr>
                <w:rFonts w:ascii="Arial" w:hAnsi="Arial"/>
                <w:sz w:val="20"/>
                <w:szCs w:val="20"/>
              </w:rPr>
            </w:pPr>
            <w:r>
              <w:rPr>
                <w:rFonts w:ascii="Arial" w:hAnsi="Arial" w:cs="Arial"/>
                <w:sz w:val="20"/>
                <w:szCs w:val="20"/>
              </w:rPr>
              <w:t xml:space="preserve">7.3 </w:t>
            </w:r>
          </w:p>
        </w:tc>
      </w:tr>
      <w:tr w:rsidR="003B0815" w14:paraId="4718AC62" w14:textId="77777777">
        <w:trPr>
          <w:jc w:val="center"/>
        </w:trPr>
        <w:tc>
          <w:tcPr>
            <w:tcW w:w="731" w:type="dxa"/>
            <w:tcBorders>
              <w:left w:val="single" w:color="auto" w:sz="12" w:space="0"/>
              <w:bottom w:val="single" w:color="auto" w:sz="4" w:space="0"/>
            </w:tcBorders>
          </w:tcPr>
          <w:p w:rsidR="003B0815" w:rsidRDefault="003B0815" w14:paraId="08DF6735" w14:textId="77777777">
            <w:pPr>
              <w:keepNext/>
              <w:jc w:val="center"/>
              <w:rPr>
                <w:rFonts w:ascii="Arial" w:hAnsi="Arial"/>
                <w:sz w:val="20"/>
                <w:szCs w:val="20"/>
              </w:rPr>
            </w:pPr>
            <w:r>
              <w:t>2017</w:t>
            </w:r>
          </w:p>
        </w:tc>
        <w:tc>
          <w:tcPr>
            <w:tcW w:w="828" w:type="dxa"/>
            <w:tcBorders>
              <w:bottom w:val="single" w:color="auto" w:sz="4" w:space="0"/>
            </w:tcBorders>
            <w:vAlign w:val="bottom"/>
          </w:tcPr>
          <w:p w:rsidR="003B0815" w:rsidRDefault="003B0815" w14:paraId="7D8716B2" w14:textId="77777777">
            <w:pPr>
              <w:keepNext/>
              <w:jc w:val="center"/>
              <w:rPr>
                <w:rFonts w:ascii="Arial" w:hAnsi="Arial"/>
                <w:sz w:val="20"/>
                <w:szCs w:val="20"/>
              </w:rPr>
            </w:pPr>
            <w:r>
              <w:rPr>
                <w:rFonts w:ascii="Arial" w:hAnsi="Arial" w:cs="Arial"/>
                <w:sz w:val="20"/>
                <w:szCs w:val="20"/>
              </w:rPr>
              <w:t xml:space="preserve">$28.60 </w:t>
            </w:r>
          </w:p>
        </w:tc>
        <w:tc>
          <w:tcPr>
            <w:tcW w:w="1008" w:type="dxa"/>
            <w:tcBorders>
              <w:bottom w:val="single" w:color="auto" w:sz="4" w:space="0"/>
            </w:tcBorders>
            <w:vAlign w:val="bottom"/>
          </w:tcPr>
          <w:p w:rsidR="003B0815" w:rsidRDefault="003B0815" w14:paraId="427E9E94" w14:textId="77777777">
            <w:pPr>
              <w:keepNext/>
              <w:jc w:val="right"/>
              <w:rPr>
                <w:rFonts w:ascii="Arial" w:hAnsi="Arial"/>
                <w:sz w:val="20"/>
                <w:szCs w:val="20"/>
              </w:rPr>
            </w:pPr>
            <w:r>
              <w:rPr>
                <w:rFonts w:ascii="Arial" w:hAnsi="Arial" w:cs="Arial"/>
                <w:sz w:val="20"/>
                <w:szCs w:val="20"/>
              </w:rPr>
              <w:t>27.1</w:t>
            </w:r>
          </w:p>
        </w:tc>
        <w:tc>
          <w:tcPr>
            <w:tcW w:w="1080" w:type="dxa"/>
            <w:tcBorders>
              <w:bottom w:val="single" w:color="auto" w:sz="4" w:space="0"/>
            </w:tcBorders>
            <w:vAlign w:val="bottom"/>
          </w:tcPr>
          <w:p w:rsidR="003B0815" w:rsidRDefault="003B0815" w14:paraId="0E966D9C" w14:textId="77777777">
            <w:pPr>
              <w:keepNext/>
              <w:jc w:val="center"/>
              <w:rPr>
                <w:rFonts w:ascii="Arial" w:hAnsi="Arial"/>
                <w:sz w:val="20"/>
                <w:szCs w:val="20"/>
              </w:rPr>
            </w:pPr>
            <w:r>
              <w:rPr>
                <w:rFonts w:ascii="Arial" w:hAnsi="Arial" w:cs="Arial"/>
                <w:sz w:val="20"/>
                <w:szCs w:val="20"/>
              </w:rPr>
              <w:t>0.007</w:t>
            </w:r>
          </w:p>
        </w:tc>
        <w:tc>
          <w:tcPr>
            <w:tcW w:w="1260" w:type="dxa"/>
            <w:tcBorders>
              <w:bottom w:val="single" w:color="auto" w:sz="4" w:space="0"/>
              <w:right w:val="double" w:color="auto" w:sz="4" w:space="0"/>
            </w:tcBorders>
            <w:shd w:val="clear" w:color="auto" w:fill="C0C0C0"/>
            <w:vAlign w:val="bottom"/>
          </w:tcPr>
          <w:p w:rsidR="003B0815" w:rsidRDefault="003B0815" w14:paraId="3BF7A4FB" w14:textId="77777777">
            <w:pPr>
              <w:keepNext/>
              <w:jc w:val="right"/>
              <w:rPr>
                <w:rFonts w:ascii="Arial" w:hAnsi="Arial"/>
                <w:sz w:val="20"/>
                <w:szCs w:val="20"/>
              </w:rPr>
            </w:pPr>
            <w:r>
              <w:rPr>
                <w:rFonts w:ascii="Arial" w:hAnsi="Arial" w:cs="Arial"/>
                <w:sz w:val="20"/>
                <w:szCs w:val="20"/>
              </w:rPr>
              <w:t>$5.4</w:t>
            </w:r>
          </w:p>
        </w:tc>
        <w:tc>
          <w:tcPr>
            <w:tcW w:w="1080" w:type="dxa"/>
            <w:tcBorders>
              <w:left w:val="double" w:color="auto" w:sz="4" w:space="0"/>
              <w:bottom w:val="single" w:color="auto" w:sz="4" w:space="0"/>
            </w:tcBorders>
            <w:vAlign w:val="bottom"/>
          </w:tcPr>
          <w:p w:rsidR="003B0815" w:rsidRDefault="003B0815" w14:paraId="26810A93" w14:textId="77777777">
            <w:pPr>
              <w:keepNext/>
              <w:jc w:val="right"/>
              <w:rPr>
                <w:rFonts w:ascii="Arial" w:hAnsi="Arial"/>
                <w:sz w:val="20"/>
                <w:szCs w:val="20"/>
              </w:rPr>
            </w:pPr>
            <w:r>
              <w:rPr>
                <w:rFonts w:ascii="Arial" w:hAnsi="Arial" w:cs="Arial"/>
                <w:sz w:val="20"/>
                <w:szCs w:val="20"/>
              </w:rPr>
              <w:t>26.0</w:t>
            </w:r>
          </w:p>
        </w:tc>
        <w:tc>
          <w:tcPr>
            <w:tcW w:w="1080" w:type="dxa"/>
            <w:tcBorders>
              <w:bottom w:val="single" w:color="auto" w:sz="4" w:space="0"/>
            </w:tcBorders>
            <w:vAlign w:val="bottom"/>
          </w:tcPr>
          <w:p w:rsidR="003B0815" w:rsidRDefault="003B0815" w14:paraId="3F7F77A1" w14:textId="77777777">
            <w:pPr>
              <w:keepNext/>
              <w:jc w:val="center"/>
              <w:rPr>
                <w:rFonts w:ascii="Arial" w:hAnsi="Arial"/>
                <w:sz w:val="20"/>
                <w:szCs w:val="20"/>
              </w:rPr>
            </w:pPr>
            <w:r>
              <w:rPr>
                <w:rFonts w:ascii="Arial" w:hAnsi="Arial" w:cs="Arial"/>
                <w:sz w:val="20"/>
                <w:szCs w:val="20"/>
              </w:rPr>
              <w:t>0.003</w:t>
            </w:r>
          </w:p>
        </w:tc>
        <w:tc>
          <w:tcPr>
            <w:tcW w:w="1260" w:type="dxa"/>
            <w:tcBorders>
              <w:bottom w:val="single" w:color="auto" w:sz="4" w:space="0"/>
              <w:right w:val="double" w:color="auto" w:sz="4" w:space="0"/>
            </w:tcBorders>
            <w:shd w:val="clear" w:color="auto" w:fill="C0C0C0"/>
            <w:vAlign w:val="bottom"/>
          </w:tcPr>
          <w:p w:rsidR="003B0815" w:rsidRDefault="003B0815" w14:paraId="181D273E" w14:textId="77777777">
            <w:pPr>
              <w:keepNext/>
              <w:jc w:val="right"/>
              <w:rPr>
                <w:rFonts w:ascii="Arial" w:hAnsi="Arial"/>
                <w:sz w:val="20"/>
                <w:szCs w:val="20"/>
              </w:rPr>
            </w:pPr>
            <w:r>
              <w:rPr>
                <w:rFonts w:ascii="Arial" w:hAnsi="Arial" w:cs="Arial"/>
                <w:sz w:val="20"/>
                <w:szCs w:val="20"/>
              </w:rPr>
              <w:t xml:space="preserve">$2.2 </w:t>
            </w:r>
          </w:p>
        </w:tc>
        <w:tc>
          <w:tcPr>
            <w:tcW w:w="1260" w:type="dxa"/>
            <w:tcBorders>
              <w:left w:val="double" w:color="auto" w:sz="4" w:space="0"/>
              <w:right w:val="single" w:color="auto" w:sz="12" w:space="0"/>
            </w:tcBorders>
            <w:shd w:val="clear" w:color="auto" w:fill="C0C0C0"/>
            <w:vAlign w:val="bottom"/>
          </w:tcPr>
          <w:p w:rsidR="003B0815" w:rsidRDefault="003B0815" w14:paraId="31774180" w14:textId="77777777">
            <w:pPr>
              <w:keepNext/>
              <w:jc w:val="right"/>
              <w:rPr>
                <w:rFonts w:ascii="Arial" w:hAnsi="Arial"/>
                <w:sz w:val="20"/>
                <w:szCs w:val="20"/>
              </w:rPr>
            </w:pPr>
            <w:r>
              <w:rPr>
                <w:rFonts w:ascii="Arial" w:hAnsi="Arial" w:cs="Arial"/>
                <w:sz w:val="20"/>
                <w:szCs w:val="20"/>
              </w:rPr>
              <w:t xml:space="preserve">$7.6 </w:t>
            </w:r>
          </w:p>
        </w:tc>
      </w:tr>
      <w:tr w:rsidR="003B0815" w14:paraId="2C363EF8" w14:textId="77777777">
        <w:trPr>
          <w:jc w:val="center"/>
        </w:trPr>
        <w:tc>
          <w:tcPr>
            <w:tcW w:w="731" w:type="dxa"/>
            <w:tcBorders>
              <w:left w:val="single" w:color="auto" w:sz="12" w:space="0"/>
              <w:bottom w:val="single" w:color="auto" w:sz="12" w:space="0"/>
              <w:right w:val="nil"/>
            </w:tcBorders>
            <w:vAlign w:val="bottom"/>
          </w:tcPr>
          <w:p w:rsidR="003B0815" w:rsidRDefault="003B0815" w14:paraId="189A0020" w14:textId="77777777">
            <w:pPr>
              <w:keepNext/>
              <w:jc w:val="center"/>
              <w:rPr>
                <w:rFonts w:ascii="Arial" w:hAnsi="Arial" w:cs="Arial"/>
                <w:sz w:val="20"/>
                <w:szCs w:val="20"/>
              </w:rPr>
            </w:pPr>
            <w:r>
              <w:rPr>
                <w:rFonts w:ascii="Arial" w:hAnsi="Arial" w:cs="Arial"/>
                <w:b/>
                <w:bCs/>
                <w:sz w:val="20"/>
                <w:szCs w:val="20"/>
              </w:rPr>
              <w:t>Total</w:t>
            </w:r>
          </w:p>
        </w:tc>
        <w:tc>
          <w:tcPr>
            <w:tcW w:w="828" w:type="dxa"/>
            <w:tcBorders>
              <w:left w:val="nil"/>
              <w:bottom w:val="single" w:color="auto" w:sz="12" w:space="0"/>
              <w:right w:val="nil"/>
            </w:tcBorders>
            <w:vAlign w:val="bottom"/>
          </w:tcPr>
          <w:p w:rsidR="003B0815" w:rsidRDefault="003B0815" w14:paraId="67037AE7" w14:textId="77777777">
            <w:pPr>
              <w:keepNext/>
              <w:jc w:val="center"/>
              <w:rPr>
                <w:rFonts w:ascii="Arial" w:hAnsi="Arial" w:cs="Arial"/>
                <w:sz w:val="20"/>
                <w:szCs w:val="20"/>
              </w:rPr>
            </w:pPr>
            <w:r>
              <w:rPr>
                <w:rFonts w:ascii="Arial" w:hAnsi="Arial" w:cs="Arial"/>
                <w:sz w:val="20"/>
                <w:szCs w:val="20"/>
              </w:rPr>
              <w:t> </w:t>
            </w:r>
          </w:p>
        </w:tc>
        <w:tc>
          <w:tcPr>
            <w:tcW w:w="1008" w:type="dxa"/>
            <w:tcBorders>
              <w:left w:val="nil"/>
              <w:bottom w:val="single" w:color="auto" w:sz="12" w:space="0"/>
              <w:right w:val="nil"/>
            </w:tcBorders>
            <w:vAlign w:val="bottom"/>
          </w:tcPr>
          <w:p w:rsidR="003B0815" w:rsidRDefault="003B0815" w14:paraId="0B8EE15D"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0368606A"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56477BC1" w14:textId="77777777">
            <w:pPr>
              <w:keepNext/>
              <w:jc w:val="right"/>
              <w:rPr>
                <w:rFonts w:ascii="Arial" w:hAnsi="Arial" w:cs="Arial"/>
                <w:b/>
                <w:sz w:val="20"/>
                <w:szCs w:val="20"/>
              </w:rPr>
            </w:pPr>
            <w:r>
              <w:rPr>
                <w:rFonts w:ascii="Arial" w:hAnsi="Arial" w:cs="Arial"/>
                <w:sz w:val="20"/>
                <w:szCs w:val="20"/>
              </w:rPr>
              <w:t>$44.1</w:t>
            </w:r>
          </w:p>
        </w:tc>
        <w:tc>
          <w:tcPr>
            <w:tcW w:w="1080" w:type="dxa"/>
            <w:tcBorders>
              <w:left w:val="double" w:color="auto" w:sz="4" w:space="0"/>
              <w:bottom w:val="single" w:color="auto" w:sz="12" w:space="0"/>
              <w:right w:val="nil"/>
            </w:tcBorders>
            <w:vAlign w:val="bottom"/>
          </w:tcPr>
          <w:p w:rsidR="003B0815" w:rsidRDefault="003B0815" w14:paraId="0F636C44" w14:textId="77777777">
            <w:pPr>
              <w:keepNext/>
              <w:jc w:val="right"/>
              <w:rPr>
                <w:rFonts w:ascii="Arial" w:hAnsi="Arial" w:cs="Arial"/>
                <w:sz w:val="20"/>
                <w:szCs w:val="20"/>
              </w:rPr>
            </w:pPr>
            <w:r>
              <w:rPr>
                <w:rFonts w:ascii="Arial" w:hAnsi="Arial" w:cs="Arial"/>
                <w:sz w:val="20"/>
                <w:szCs w:val="20"/>
              </w:rPr>
              <w:t> </w:t>
            </w:r>
          </w:p>
        </w:tc>
        <w:tc>
          <w:tcPr>
            <w:tcW w:w="1080" w:type="dxa"/>
            <w:tcBorders>
              <w:left w:val="nil"/>
              <w:bottom w:val="single" w:color="auto" w:sz="12" w:space="0"/>
              <w:right w:val="nil"/>
            </w:tcBorders>
            <w:vAlign w:val="bottom"/>
          </w:tcPr>
          <w:p w:rsidR="003B0815" w:rsidRDefault="003B0815" w14:paraId="743D1550" w14:textId="77777777">
            <w:pPr>
              <w:keepNext/>
              <w:jc w:val="center"/>
              <w:rPr>
                <w:rFonts w:ascii="Arial" w:hAnsi="Arial" w:cs="Arial"/>
                <w:sz w:val="20"/>
                <w:szCs w:val="20"/>
              </w:rPr>
            </w:pPr>
            <w:r>
              <w:rPr>
                <w:rFonts w:ascii="Arial" w:hAnsi="Arial" w:cs="Arial"/>
                <w:sz w:val="20"/>
                <w:szCs w:val="20"/>
              </w:rPr>
              <w:t> </w:t>
            </w:r>
          </w:p>
        </w:tc>
        <w:tc>
          <w:tcPr>
            <w:tcW w:w="1260" w:type="dxa"/>
            <w:tcBorders>
              <w:left w:val="nil"/>
              <w:bottom w:val="single" w:color="auto" w:sz="12" w:space="0"/>
              <w:right w:val="double" w:color="auto" w:sz="4" w:space="0"/>
            </w:tcBorders>
            <w:vAlign w:val="bottom"/>
          </w:tcPr>
          <w:p w:rsidR="003B0815" w:rsidRDefault="003B0815" w14:paraId="66678922" w14:textId="77777777">
            <w:pPr>
              <w:keepNext/>
              <w:jc w:val="right"/>
              <w:rPr>
                <w:rFonts w:ascii="Arial" w:hAnsi="Arial" w:cs="Arial"/>
                <w:b/>
                <w:sz w:val="20"/>
                <w:szCs w:val="20"/>
              </w:rPr>
            </w:pPr>
            <w:r>
              <w:rPr>
                <w:rFonts w:ascii="Arial" w:hAnsi="Arial" w:cs="Arial"/>
                <w:sz w:val="20"/>
                <w:szCs w:val="20"/>
              </w:rPr>
              <w:t xml:space="preserve">$17.9 </w:t>
            </w:r>
          </w:p>
        </w:tc>
        <w:tc>
          <w:tcPr>
            <w:tcW w:w="1260" w:type="dxa"/>
            <w:tcBorders>
              <w:left w:val="double" w:color="auto" w:sz="4" w:space="0"/>
              <w:bottom w:val="single" w:color="auto" w:sz="12" w:space="0"/>
              <w:right w:val="single" w:color="auto" w:sz="12" w:space="0"/>
            </w:tcBorders>
            <w:vAlign w:val="bottom"/>
          </w:tcPr>
          <w:p w:rsidR="003B0815" w:rsidRDefault="003B0815" w14:paraId="2D04CCEC" w14:textId="77777777">
            <w:pPr>
              <w:keepNext/>
              <w:jc w:val="right"/>
              <w:rPr>
                <w:rFonts w:ascii="Arial" w:hAnsi="Arial" w:cs="Arial"/>
                <w:b/>
                <w:bCs/>
                <w:sz w:val="20"/>
                <w:szCs w:val="20"/>
              </w:rPr>
            </w:pPr>
            <w:r>
              <w:rPr>
                <w:rFonts w:ascii="Arial" w:hAnsi="Arial" w:cs="Arial"/>
                <w:sz w:val="20"/>
                <w:szCs w:val="20"/>
              </w:rPr>
              <w:t xml:space="preserve">$62.0 </w:t>
            </w:r>
          </w:p>
        </w:tc>
      </w:tr>
    </w:tbl>
    <w:p w:rsidR="003B0815" w:rsidRDefault="003B0815" w14:paraId="381A83A4" w14:textId="77777777">
      <w:pPr>
        <w:spacing w:line="360" w:lineRule="auto"/>
        <w:ind w:firstLine="720"/>
      </w:pPr>
    </w:p>
    <w:p w:rsidR="003B0815" w:rsidRDefault="003B0815" w14:paraId="6C38F25B" w14:textId="77777777">
      <w:pPr>
        <w:spacing w:line="360" w:lineRule="auto"/>
        <w:ind w:firstLine="720"/>
      </w:pPr>
      <w:r>
        <w:t>In addition to these passenger opportunity costs for reservations made with large international carriers, TSA has included a rough estimate of the passenger opportunity costs that may be experienced by passengers on small foreign carriers.  Similar to the calculations presented above for domestic Group 4 carriers, TSA has based these estimates on an assumption that it takes all passengers 25 seconds (primary scenario), 20 seconds (low scenario), or 30 seconds (high scenario) to provide the requested passenger information at the time of reservation.  Table 1.6.6.k presents the results.</w:t>
      </w:r>
    </w:p>
    <w:p w:rsidR="003B0815" w:rsidRDefault="003B0815" w14:paraId="5FB68DB5" w14:textId="77777777">
      <w:pPr>
        <w:spacing w:line="480" w:lineRule="auto"/>
        <w:ind w:firstLine="720"/>
      </w:pPr>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408"/>
        <w:gridCol w:w="1102"/>
        <w:gridCol w:w="1080"/>
        <w:gridCol w:w="1255"/>
      </w:tblGrid>
      <w:tr w:rsidR="003B0815" w14:paraId="6763A104" w14:textId="77777777">
        <w:trPr>
          <w:jc w:val="center"/>
        </w:trPr>
        <w:tc>
          <w:tcPr>
            <w:tcW w:w="4845" w:type="dxa"/>
            <w:gridSpan w:val="4"/>
            <w:tcBorders>
              <w:top w:val="nil"/>
              <w:left w:val="nil"/>
              <w:bottom w:val="single" w:color="auto" w:sz="12" w:space="0"/>
              <w:right w:val="nil"/>
            </w:tcBorders>
          </w:tcPr>
          <w:p w:rsidR="003B0815" w:rsidRDefault="003B0815" w14:paraId="7967544F" w14:textId="77777777">
            <w:pPr>
              <w:pStyle w:val="RegEvalTableHeader"/>
              <w:keepNext/>
            </w:pPr>
            <w:bookmarkStart w:name="_Toc174438415" w:id="418"/>
            <w:bookmarkStart w:name="_Toc207109552" w:id="419"/>
            <w:r>
              <w:t xml:space="preserve">Table 1.6.6.k Small Foreign Carrier Passenger </w:t>
            </w:r>
            <w:smartTag w:uri="urn:schemas-microsoft-com:office:smarttags" w:element="place">
              <w:r>
                <w:t>Opportunity</w:t>
              </w:r>
            </w:smartTag>
            <w:r>
              <w:t xml:space="preserve"> Costs</w:t>
            </w:r>
            <w:bookmarkEnd w:id="418"/>
            <w:bookmarkEnd w:id="419"/>
          </w:p>
          <w:p w:rsidR="003B0815" w:rsidRDefault="003B0815" w14:paraId="0C1A48B3" w14:textId="77777777">
            <w:pPr>
              <w:keepNext/>
              <w:jc w:val="center"/>
              <w:rPr>
                <w:rFonts w:ascii="Arial" w:hAnsi="Arial"/>
                <w:b/>
                <w:sz w:val="20"/>
              </w:rPr>
            </w:pPr>
            <w:r>
              <w:rPr>
                <w:rFonts w:ascii="Arial" w:hAnsi="Arial"/>
                <w:b/>
                <w:bCs/>
                <w:sz w:val="20"/>
              </w:rPr>
              <w:t>(millions of 2005 $)</w:t>
            </w:r>
          </w:p>
        </w:tc>
      </w:tr>
      <w:tr w:rsidR="003B0815" w14:paraId="373B1C3F" w14:textId="77777777">
        <w:trPr>
          <w:jc w:val="center"/>
        </w:trPr>
        <w:tc>
          <w:tcPr>
            <w:tcW w:w="1408" w:type="dxa"/>
            <w:tcBorders>
              <w:top w:val="single" w:color="auto" w:sz="12" w:space="0"/>
              <w:left w:val="single" w:color="auto" w:sz="12" w:space="0"/>
            </w:tcBorders>
            <w:vAlign w:val="center"/>
          </w:tcPr>
          <w:p w:rsidR="003B0815" w:rsidRDefault="003B0815" w14:paraId="7424F3D0" w14:textId="77777777">
            <w:pPr>
              <w:keepNext/>
              <w:jc w:val="center"/>
              <w:rPr>
                <w:rFonts w:ascii="Arial" w:hAnsi="Arial"/>
                <w:b/>
                <w:sz w:val="20"/>
                <w:szCs w:val="20"/>
              </w:rPr>
            </w:pPr>
            <w:r>
              <w:rPr>
                <w:rFonts w:ascii="Arial" w:hAnsi="Arial"/>
                <w:b/>
                <w:sz w:val="20"/>
                <w:szCs w:val="20"/>
              </w:rPr>
              <w:t>Fiscal</w:t>
            </w:r>
          </w:p>
          <w:p w:rsidR="003B0815" w:rsidRDefault="003B0815" w14:paraId="48AA58D7" w14:textId="77777777">
            <w:pPr>
              <w:keepNext/>
              <w:jc w:val="center"/>
              <w:rPr>
                <w:rFonts w:ascii="Arial" w:hAnsi="Arial"/>
                <w:b/>
                <w:sz w:val="20"/>
                <w:szCs w:val="20"/>
              </w:rPr>
            </w:pPr>
            <w:r>
              <w:rPr>
                <w:rFonts w:ascii="Arial" w:hAnsi="Arial"/>
                <w:b/>
                <w:sz w:val="20"/>
                <w:szCs w:val="20"/>
              </w:rPr>
              <w:t>Year</w:t>
            </w:r>
          </w:p>
        </w:tc>
        <w:tc>
          <w:tcPr>
            <w:tcW w:w="1102" w:type="dxa"/>
            <w:tcBorders>
              <w:top w:val="single" w:color="auto" w:sz="12" w:space="0"/>
              <w:bottom w:val="single" w:color="auto" w:sz="4" w:space="0"/>
            </w:tcBorders>
            <w:vAlign w:val="center"/>
          </w:tcPr>
          <w:p w:rsidR="003B0815" w:rsidRDefault="003B0815" w14:paraId="4A1F07B2" w14:textId="77777777">
            <w:pPr>
              <w:keepNext/>
              <w:jc w:val="center"/>
              <w:rPr>
                <w:rFonts w:ascii="Arial" w:hAnsi="Arial" w:cs="Arial"/>
                <w:b/>
                <w:bCs/>
                <w:sz w:val="20"/>
                <w:szCs w:val="20"/>
              </w:rPr>
            </w:pPr>
            <w:r>
              <w:rPr>
                <w:rFonts w:ascii="Arial" w:hAnsi="Arial" w:cs="Arial"/>
                <w:b/>
                <w:bCs/>
                <w:sz w:val="20"/>
                <w:szCs w:val="20"/>
              </w:rPr>
              <w:t>Primary</w:t>
            </w:r>
          </w:p>
          <w:p w:rsidR="003B0815" w:rsidRDefault="003B0815" w14:paraId="23771E78" w14:textId="77777777">
            <w:pPr>
              <w:keepNext/>
              <w:jc w:val="center"/>
              <w:rPr>
                <w:rFonts w:ascii="Arial" w:hAnsi="Arial"/>
                <w:b/>
                <w:sz w:val="20"/>
                <w:szCs w:val="20"/>
              </w:rPr>
            </w:pPr>
            <w:r>
              <w:rPr>
                <w:rFonts w:ascii="Arial" w:hAnsi="Arial" w:cs="Arial"/>
                <w:b/>
                <w:bCs/>
                <w:sz w:val="20"/>
                <w:szCs w:val="20"/>
              </w:rPr>
              <w:t>Scenario</w:t>
            </w:r>
          </w:p>
        </w:tc>
        <w:tc>
          <w:tcPr>
            <w:tcW w:w="1080" w:type="dxa"/>
            <w:tcBorders>
              <w:top w:val="single" w:color="auto" w:sz="12" w:space="0"/>
              <w:bottom w:val="single" w:color="auto" w:sz="4" w:space="0"/>
            </w:tcBorders>
            <w:vAlign w:val="center"/>
          </w:tcPr>
          <w:p w:rsidR="003B0815" w:rsidRDefault="003B0815" w14:paraId="2BD89D2A" w14:textId="77777777">
            <w:pPr>
              <w:keepNext/>
              <w:jc w:val="center"/>
              <w:rPr>
                <w:rFonts w:ascii="Arial" w:hAnsi="Arial" w:cs="Arial"/>
                <w:b/>
                <w:bCs/>
                <w:sz w:val="20"/>
                <w:szCs w:val="20"/>
              </w:rPr>
            </w:pPr>
            <w:r>
              <w:rPr>
                <w:rFonts w:ascii="Arial" w:hAnsi="Arial" w:cs="Arial"/>
                <w:b/>
                <w:bCs/>
                <w:sz w:val="20"/>
                <w:szCs w:val="20"/>
              </w:rPr>
              <w:t>Low</w:t>
            </w:r>
          </w:p>
          <w:p w:rsidR="003B0815" w:rsidRDefault="003B0815" w14:paraId="3012173F" w14:textId="77777777">
            <w:pPr>
              <w:keepNext/>
              <w:jc w:val="center"/>
              <w:rPr>
                <w:rFonts w:ascii="Arial" w:hAnsi="Arial"/>
                <w:b/>
                <w:sz w:val="20"/>
                <w:szCs w:val="20"/>
              </w:rPr>
            </w:pPr>
            <w:r>
              <w:rPr>
                <w:rFonts w:ascii="Arial" w:hAnsi="Arial" w:cs="Arial"/>
                <w:b/>
                <w:bCs/>
                <w:sz w:val="20"/>
                <w:szCs w:val="20"/>
              </w:rPr>
              <w:t>Scenario</w:t>
            </w:r>
          </w:p>
        </w:tc>
        <w:tc>
          <w:tcPr>
            <w:tcW w:w="1255" w:type="dxa"/>
            <w:tcBorders>
              <w:top w:val="single" w:color="auto" w:sz="12" w:space="0"/>
              <w:bottom w:val="single" w:color="auto" w:sz="4" w:space="0"/>
              <w:right w:val="single" w:color="auto" w:sz="12" w:space="0"/>
            </w:tcBorders>
            <w:vAlign w:val="center"/>
          </w:tcPr>
          <w:p w:rsidR="003B0815" w:rsidRDefault="003B0815" w14:paraId="41128E33" w14:textId="77777777">
            <w:pPr>
              <w:keepNext/>
              <w:jc w:val="center"/>
              <w:rPr>
                <w:rFonts w:ascii="Arial" w:hAnsi="Arial" w:cs="Arial"/>
                <w:b/>
                <w:bCs/>
                <w:sz w:val="20"/>
                <w:szCs w:val="20"/>
              </w:rPr>
            </w:pPr>
            <w:r>
              <w:rPr>
                <w:rFonts w:ascii="Arial" w:hAnsi="Arial" w:cs="Arial"/>
                <w:b/>
                <w:bCs/>
                <w:sz w:val="20"/>
                <w:szCs w:val="20"/>
              </w:rPr>
              <w:t>High</w:t>
            </w:r>
          </w:p>
          <w:p w:rsidR="003B0815" w:rsidRDefault="003B0815" w14:paraId="7FE60AD9" w14:textId="77777777">
            <w:pPr>
              <w:keepNext/>
              <w:jc w:val="center"/>
              <w:rPr>
                <w:rFonts w:ascii="Arial" w:hAnsi="Arial"/>
                <w:b/>
                <w:sz w:val="20"/>
                <w:szCs w:val="20"/>
              </w:rPr>
            </w:pPr>
            <w:r>
              <w:rPr>
                <w:rFonts w:ascii="Arial" w:hAnsi="Arial" w:cs="Arial"/>
                <w:b/>
                <w:bCs/>
                <w:sz w:val="20"/>
                <w:szCs w:val="20"/>
              </w:rPr>
              <w:t>Scenario</w:t>
            </w:r>
          </w:p>
        </w:tc>
      </w:tr>
      <w:tr w:rsidR="003B0815" w14:paraId="6A8FBCF5" w14:textId="77777777">
        <w:trPr>
          <w:jc w:val="center"/>
        </w:trPr>
        <w:tc>
          <w:tcPr>
            <w:tcW w:w="1408" w:type="dxa"/>
            <w:tcBorders>
              <w:left w:val="single" w:color="auto" w:sz="12" w:space="0"/>
            </w:tcBorders>
            <w:vAlign w:val="bottom"/>
          </w:tcPr>
          <w:p w:rsidR="003B0815" w:rsidRDefault="003B0815" w14:paraId="71B768A3" w14:textId="77777777">
            <w:pPr>
              <w:keepNext/>
              <w:jc w:val="center"/>
              <w:rPr>
                <w:rFonts w:ascii="Arial" w:hAnsi="Arial"/>
                <w:sz w:val="20"/>
                <w:szCs w:val="20"/>
              </w:rPr>
            </w:pPr>
            <w:r>
              <w:rPr>
                <w:rFonts w:ascii="Arial" w:hAnsi="Arial"/>
                <w:sz w:val="20"/>
                <w:szCs w:val="20"/>
              </w:rPr>
              <w:t>1</w:t>
            </w:r>
          </w:p>
        </w:tc>
        <w:tc>
          <w:tcPr>
            <w:tcW w:w="1102" w:type="dxa"/>
            <w:shd w:val="clear" w:color="auto" w:fill="CCCCCC"/>
            <w:vAlign w:val="bottom"/>
          </w:tcPr>
          <w:p w:rsidR="003B0815" w:rsidRDefault="003B0815" w14:paraId="2436278F" w14:textId="77777777">
            <w:pPr>
              <w:keepNext/>
              <w:jc w:val="right"/>
              <w:rPr>
                <w:rFonts w:ascii="Arial" w:hAnsi="Arial"/>
                <w:sz w:val="20"/>
                <w:szCs w:val="20"/>
              </w:rPr>
            </w:pPr>
            <w:r>
              <w:rPr>
                <w:rFonts w:ascii="Arial" w:hAnsi="Arial" w:cs="Arial"/>
                <w:sz w:val="20"/>
                <w:szCs w:val="20"/>
              </w:rPr>
              <w:t xml:space="preserve">$0.6 </w:t>
            </w:r>
          </w:p>
        </w:tc>
        <w:tc>
          <w:tcPr>
            <w:tcW w:w="1080" w:type="dxa"/>
            <w:shd w:val="clear" w:color="auto" w:fill="CCCCCC"/>
            <w:vAlign w:val="bottom"/>
          </w:tcPr>
          <w:p w:rsidR="003B0815" w:rsidRDefault="003B0815" w14:paraId="4C98539E" w14:textId="77777777">
            <w:pPr>
              <w:keepNext/>
              <w:jc w:val="right"/>
              <w:rPr>
                <w:rFonts w:ascii="Arial" w:hAnsi="Arial"/>
                <w:sz w:val="20"/>
                <w:szCs w:val="20"/>
              </w:rPr>
            </w:pPr>
            <w:r>
              <w:rPr>
                <w:rFonts w:ascii="Arial" w:hAnsi="Arial" w:cs="Arial"/>
                <w:sz w:val="20"/>
                <w:szCs w:val="20"/>
              </w:rPr>
              <w:t xml:space="preserve">$0.5 </w:t>
            </w:r>
          </w:p>
        </w:tc>
        <w:tc>
          <w:tcPr>
            <w:tcW w:w="1255" w:type="dxa"/>
            <w:tcBorders>
              <w:right w:val="single" w:color="auto" w:sz="12" w:space="0"/>
            </w:tcBorders>
            <w:shd w:val="clear" w:color="auto" w:fill="CCCCCC"/>
            <w:vAlign w:val="bottom"/>
          </w:tcPr>
          <w:p w:rsidR="003B0815" w:rsidRDefault="003B0815" w14:paraId="0ACCB6DC" w14:textId="77777777">
            <w:pPr>
              <w:keepNext/>
              <w:jc w:val="right"/>
              <w:rPr>
                <w:rFonts w:ascii="Arial" w:hAnsi="Arial"/>
                <w:sz w:val="20"/>
                <w:szCs w:val="20"/>
              </w:rPr>
            </w:pPr>
            <w:r>
              <w:rPr>
                <w:rFonts w:ascii="Arial" w:hAnsi="Arial" w:cs="Arial"/>
                <w:sz w:val="20"/>
                <w:szCs w:val="20"/>
              </w:rPr>
              <w:t xml:space="preserve">$0.7 </w:t>
            </w:r>
          </w:p>
        </w:tc>
      </w:tr>
      <w:tr w:rsidR="003B0815" w14:paraId="7364EDF6" w14:textId="77777777">
        <w:trPr>
          <w:jc w:val="center"/>
        </w:trPr>
        <w:tc>
          <w:tcPr>
            <w:tcW w:w="1408" w:type="dxa"/>
            <w:tcBorders>
              <w:left w:val="single" w:color="auto" w:sz="12" w:space="0"/>
            </w:tcBorders>
            <w:vAlign w:val="bottom"/>
          </w:tcPr>
          <w:p w:rsidR="003B0815" w:rsidRDefault="003B0815" w14:paraId="2750F532" w14:textId="77777777">
            <w:pPr>
              <w:keepNext/>
              <w:jc w:val="center"/>
              <w:rPr>
                <w:rFonts w:ascii="Arial" w:hAnsi="Arial"/>
                <w:sz w:val="20"/>
                <w:szCs w:val="20"/>
              </w:rPr>
            </w:pPr>
            <w:r>
              <w:rPr>
                <w:rFonts w:ascii="Arial" w:hAnsi="Arial"/>
                <w:sz w:val="20"/>
                <w:szCs w:val="20"/>
              </w:rPr>
              <w:t>2</w:t>
            </w:r>
          </w:p>
        </w:tc>
        <w:tc>
          <w:tcPr>
            <w:tcW w:w="1102" w:type="dxa"/>
            <w:shd w:val="clear" w:color="auto" w:fill="CCCCCC"/>
            <w:vAlign w:val="bottom"/>
          </w:tcPr>
          <w:p w:rsidR="003B0815" w:rsidRDefault="003B0815" w14:paraId="67DB521C" w14:textId="77777777">
            <w:pPr>
              <w:keepNext/>
              <w:jc w:val="right"/>
              <w:rPr>
                <w:rFonts w:ascii="Arial" w:hAnsi="Arial"/>
                <w:sz w:val="20"/>
                <w:szCs w:val="20"/>
              </w:rPr>
            </w:pPr>
            <w:r>
              <w:rPr>
                <w:rFonts w:ascii="Arial" w:hAnsi="Arial" w:cs="Arial"/>
                <w:sz w:val="20"/>
                <w:szCs w:val="20"/>
              </w:rPr>
              <w:t xml:space="preserve">0.6 </w:t>
            </w:r>
          </w:p>
        </w:tc>
        <w:tc>
          <w:tcPr>
            <w:tcW w:w="1080" w:type="dxa"/>
            <w:shd w:val="clear" w:color="auto" w:fill="CCCCCC"/>
            <w:vAlign w:val="bottom"/>
          </w:tcPr>
          <w:p w:rsidR="003B0815" w:rsidRDefault="003B0815" w14:paraId="63E9D8EE" w14:textId="77777777">
            <w:pPr>
              <w:keepNext/>
              <w:jc w:val="right"/>
              <w:rPr>
                <w:rFonts w:ascii="Arial" w:hAnsi="Arial"/>
                <w:sz w:val="20"/>
                <w:szCs w:val="20"/>
              </w:rPr>
            </w:pPr>
            <w:r>
              <w:rPr>
                <w:rFonts w:ascii="Arial" w:hAnsi="Arial" w:cs="Arial"/>
                <w:sz w:val="20"/>
                <w:szCs w:val="20"/>
              </w:rPr>
              <w:t xml:space="preserve">0.5 </w:t>
            </w:r>
          </w:p>
        </w:tc>
        <w:tc>
          <w:tcPr>
            <w:tcW w:w="1255" w:type="dxa"/>
            <w:tcBorders>
              <w:right w:val="single" w:color="auto" w:sz="12" w:space="0"/>
            </w:tcBorders>
            <w:shd w:val="clear" w:color="auto" w:fill="CCCCCC"/>
            <w:vAlign w:val="bottom"/>
          </w:tcPr>
          <w:p w:rsidR="003B0815" w:rsidRDefault="003B0815" w14:paraId="1D341DB8" w14:textId="77777777">
            <w:pPr>
              <w:keepNext/>
              <w:jc w:val="right"/>
              <w:rPr>
                <w:rFonts w:ascii="Arial" w:hAnsi="Arial"/>
                <w:sz w:val="20"/>
                <w:szCs w:val="20"/>
              </w:rPr>
            </w:pPr>
            <w:r>
              <w:rPr>
                <w:rFonts w:ascii="Arial" w:hAnsi="Arial" w:cs="Arial"/>
                <w:sz w:val="20"/>
                <w:szCs w:val="20"/>
              </w:rPr>
              <w:t xml:space="preserve">0.7 </w:t>
            </w:r>
          </w:p>
        </w:tc>
      </w:tr>
      <w:tr w:rsidR="003B0815" w14:paraId="27CBC928" w14:textId="77777777">
        <w:trPr>
          <w:jc w:val="center"/>
        </w:trPr>
        <w:tc>
          <w:tcPr>
            <w:tcW w:w="1408" w:type="dxa"/>
            <w:tcBorders>
              <w:left w:val="single" w:color="auto" w:sz="12" w:space="0"/>
            </w:tcBorders>
            <w:vAlign w:val="bottom"/>
          </w:tcPr>
          <w:p w:rsidR="003B0815" w:rsidRDefault="003B0815" w14:paraId="0209F992" w14:textId="77777777">
            <w:pPr>
              <w:keepNext/>
              <w:jc w:val="center"/>
              <w:rPr>
                <w:rFonts w:ascii="Arial" w:hAnsi="Arial"/>
                <w:sz w:val="20"/>
                <w:szCs w:val="20"/>
              </w:rPr>
            </w:pPr>
            <w:r>
              <w:rPr>
                <w:rFonts w:ascii="Arial" w:hAnsi="Arial"/>
                <w:sz w:val="20"/>
                <w:szCs w:val="20"/>
              </w:rPr>
              <w:t>3</w:t>
            </w:r>
          </w:p>
        </w:tc>
        <w:tc>
          <w:tcPr>
            <w:tcW w:w="1102" w:type="dxa"/>
            <w:shd w:val="clear" w:color="auto" w:fill="CCCCCC"/>
            <w:vAlign w:val="bottom"/>
          </w:tcPr>
          <w:p w:rsidR="003B0815" w:rsidRDefault="003B0815" w14:paraId="53B80B9D" w14:textId="77777777">
            <w:pPr>
              <w:keepNext/>
              <w:jc w:val="right"/>
              <w:rPr>
                <w:rFonts w:ascii="Arial" w:hAnsi="Arial"/>
                <w:sz w:val="20"/>
                <w:szCs w:val="20"/>
              </w:rPr>
            </w:pPr>
            <w:r>
              <w:rPr>
                <w:rFonts w:ascii="Arial" w:hAnsi="Arial" w:cs="Arial"/>
                <w:sz w:val="20"/>
                <w:szCs w:val="20"/>
              </w:rPr>
              <w:t xml:space="preserve">0.6 </w:t>
            </w:r>
          </w:p>
        </w:tc>
        <w:tc>
          <w:tcPr>
            <w:tcW w:w="1080" w:type="dxa"/>
            <w:shd w:val="clear" w:color="auto" w:fill="CCCCCC"/>
            <w:vAlign w:val="bottom"/>
          </w:tcPr>
          <w:p w:rsidR="003B0815" w:rsidRDefault="003B0815" w14:paraId="56A25B01" w14:textId="77777777">
            <w:pPr>
              <w:keepNext/>
              <w:jc w:val="right"/>
              <w:rPr>
                <w:rFonts w:ascii="Arial" w:hAnsi="Arial"/>
                <w:sz w:val="20"/>
                <w:szCs w:val="20"/>
              </w:rPr>
            </w:pPr>
            <w:r>
              <w:rPr>
                <w:rFonts w:ascii="Arial" w:hAnsi="Arial" w:cs="Arial"/>
                <w:sz w:val="20"/>
                <w:szCs w:val="20"/>
              </w:rPr>
              <w:t xml:space="preserve">0.5 </w:t>
            </w:r>
          </w:p>
        </w:tc>
        <w:tc>
          <w:tcPr>
            <w:tcW w:w="1255" w:type="dxa"/>
            <w:tcBorders>
              <w:right w:val="single" w:color="auto" w:sz="12" w:space="0"/>
            </w:tcBorders>
            <w:shd w:val="clear" w:color="auto" w:fill="CCCCCC"/>
            <w:vAlign w:val="bottom"/>
          </w:tcPr>
          <w:p w:rsidR="003B0815" w:rsidRDefault="003B0815" w14:paraId="2D8A2575" w14:textId="77777777">
            <w:pPr>
              <w:keepNext/>
              <w:jc w:val="right"/>
              <w:rPr>
                <w:rFonts w:ascii="Arial" w:hAnsi="Arial"/>
                <w:sz w:val="20"/>
                <w:szCs w:val="20"/>
              </w:rPr>
            </w:pPr>
            <w:r>
              <w:rPr>
                <w:rFonts w:ascii="Arial" w:hAnsi="Arial" w:cs="Arial"/>
                <w:sz w:val="20"/>
                <w:szCs w:val="20"/>
              </w:rPr>
              <w:t xml:space="preserve">0.8 </w:t>
            </w:r>
          </w:p>
        </w:tc>
      </w:tr>
      <w:tr w:rsidR="003B0815" w14:paraId="6BBFB245" w14:textId="77777777">
        <w:trPr>
          <w:jc w:val="center"/>
        </w:trPr>
        <w:tc>
          <w:tcPr>
            <w:tcW w:w="1408" w:type="dxa"/>
            <w:tcBorders>
              <w:left w:val="single" w:color="auto" w:sz="12" w:space="0"/>
            </w:tcBorders>
            <w:vAlign w:val="bottom"/>
          </w:tcPr>
          <w:p w:rsidR="003B0815" w:rsidRDefault="003B0815" w14:paraId="4FF0BA3A" w14:textId="77777777">
            <w:pPr>
              <w:keepNext/>
              <w:jc w:val="center"/>
              <w:rPr>
                <w:rFonts w:ascii="Arial" w:hAnsi="Arial"/>
                <w:sz w:val="20"/>
                <w:szCs w:val="20"/>
              </w:rPr>
            </w:pPr>
            <w:r>
              <w:rPr>
                <w:rFonts w:ascii="Arial" w:hAnsi="Arial"/>
                <w:sz w:val="20"/>
                <w:szCs w:val="20"/>
              </w:rPr>
              <w:t>4</w:t>
            </w:r>
          </w:p>
        </w:tc>
        <w:tc>
          <w:tcPr>
            <w:tcW w:w="1102" w:type="dxa"/>
            <w:shd w:val="clear" w:color="auto" w:fill="CCCCCC"/>
            <w:vAlign w:val="bottom"/>
          </w:tcPr>
          <w:p w:rsidR="003B0815" w:rsidRDefault="003B0815" w14:paraId="612533D6" w14:textId="77777777">
            <w:pPr>
              <w:keepNext/>
              <w:jc w:val="right"/>
              <w:rPr>
                <w:rFonts w:ascii="Arial" w:hAnsi="Arial"/>
                <w:sz w:val="20"/>
                <w:szCs w:val="20"/>
              </w:rPr>
            </w:pPr>
            <w:r>
              <w:rPr>
                <w:rFonts w:ascii="Arial" w:hAnsi="Arial" w:cs="Arial"/>
                <w:sz w:val="20"/>
                <w:szCs w:val="20"/>
              </w:rPr>
              <w:t xml:space="preserve">0.7 </w:t>
            </w:r>
          </w:p>
        </w:tc>
        <w:tc>
          <w:tcPr>
            <w:tcW w:w="1080" w:type="dxa"/>
            <w:shd w:val="clear" w:color="auto" w:fill="CCCCCC"/>
            <w:vAlign w:val="bottom"/>
          </w:tcPr>
          <w:p w:rsidR="003B0815" w:rsidRDefault="003B0815" w14:paraId="6B4280BE" w14:textId="77777777">
            <w:pPr>
              <w:keepNext/>
              <w:jc w:val="right"/>
              <w:rPr>
                <w:rFonts w:ascii="Arial" w:hAnsi="Arial"/>
                <w:sz w:val="20"/>
                <w:szCs w:val="20"/>
              </w:rPr>
            </w:pPr>
            <w:r>
              <w:rPr>
                <w:rFonts w:ascii="Arial" w:hAnsi="Arial" w:cs="Arial"/>
                <w:sz w:val="20"/>
                <w:szCs w:val="20"/>
              </w:rPr>
              <w:t xml:space="preserve">0.5 </w:t>
            </w:r>
          </w:p>
        </w:tc>
        <w:tc>
          <w:tcPr>
            <w:tcW w:w="1255" w:type="dxa"/>
            <w:tcBorders>
              <w:right w:val="single" w:color="auto" w:sz="12" w:space="0"/>
            </w:tcBorders>
            <w:shd w:val="clear" w:color="auto" w:fill="CCCCCC"/>
            <w:vAlign w:val="bottom"/>
          </w:tcPr>
          <w:p w:rsidR="003B0815" w:rsidRDefault="003B0815" w14:paraId="7151D75B" w14:textId="77777777">
            <w:pPr>
              <w:keepNext/>
              <w:jc w:val="right"/>
              <w:rPr>
                <w:rFonts w:ascii="Arial" w:hAnsi="Arial"/>
                <w:sz w:val="20"/>
                <w:szCs w:val="20"/>
              </w:rPr>
            </w:pPr>
            <w:r>
              <w:rPr>
                <w:rFonts w:ascii="Arial" w:hAnsi="Arial" w:cs="Arial"/>
                <w:sz w:val="20"/>
                <w:szCs w:val="20"/>
              </w:rPr>
              <w:t xml:space="preserve">0.8 </w:t>
            </w:r>
          </w:p>
        </w:tc>
      </w:tr>
      <w:tr w:rsidR="003B0815" w14:paraId="0C25A394" w14:textId="77777777">
        <w:trPr>
          <w:jc w:val="center"/>
        </w:trPr>
        <w:tc>
          <w:tcPr>
            <w:tcW w:w="1408" w:type="dxa"/>
            <w:tcBorders>
              <w:left w:val="single" w:color="auto" w:sz="12" w:space="0"/>
            </w:tcBorders>
            <w:vAlign w:val="bottom"/>
          </w:tcPr>
          <w:p w:rsidR="003B0815" w:rsidRDefault="003B0815" w14:paraId="3426F6C8" w14:textId="77777777">
            <w:pPr>
              <w:keepNext/>
              <w:jc w:val="center"/>
              <w:rPr>
                <w:rFonts w:ascii="Arial" w:hAnsi="Arial"/>
                <w:sz w:val="20"/>
                <w:szCs w:val="20"/>
              </w:rPr>
            </w:pPr>
            <w:r>
              <w:rPr>
                <w:rFonts w:ascii="Arial" w:hAnsi="Arial"/>
                <w:sz w:val="20"/>
                <w:szCs w:val="20"/>
              </w:rPr>
              <w:t>5</w:t>
            </w:r>
          </w:p>
        </w:tc>
        <w:tc>
          <w:tcPr>
            <w:tcW w:w="1102" w:type="dxa"/>
            <w:shd w:val="clear" w:color="auto" w:fill="CCCCCC"/>
            <w:vAlign w:val="bottom"/>
          </w:tcPr>
          <w:p w:rsidR="003B0815" w:rsidRDefault="003B0815" w14:paraId="55D617EB" w14:textId="77777777">
            <w:pPr>
              <w:keepNext/>
              <w:jc w:val="right"/>
              <w:rPr>
                <w:rFonts w:ascii="Arial" w:hAnsi="Arial"/>
                <w:sz w:val="20"/>
                <w:szCs w:val="20"/>
              </w:rPr>
            </w:pPr>
            <w:r>
              <w:rPr>
                <w:rFonts w:ascii="Arial" w:hAnsi="Arial" w:cs="Arial"/>
                <w:sz w:val="20"/>
                <w:szCs w:val="20"/>
              </w:rPr>
              <w:t xml:space="preserve">0.7 </w:t>
            </w:r>
          </w:p>
        </w:tc>
        <w:tc>
          <w:tcPr>
            <w:tcW w:w="1080" w:type="dxa"/>
            <w:shd w:val="clear" w:color="auto" w:fill="CCCCCC"/>
            <w:vAlign w:val="bottom"/>
          </w:tcPr>
          <w:p w:rsidR="003B0815" w:rsidRDefault="003B0815" w14:paraId="1160743B" w14:textId="77777777">
            <w:pPr>
              <w:keepNext/>
              <w:jc w:val="right"/>
              <w:rPr>
                <w:rFonts w:ascii="Arial" w:hAnsi="Arial"/>
                <w:sz w:val="20"/>
                <w:szCs w:val="20"/>
              </w:rPr>
            </w:pPr>
            <w:r>
              <w:rPr>
                <w:rFonts w:ascii="Arial" w:hAnsi="Arial" w:cs="Arial"/>
                <w:sz w:val="20"/>
                <w:szCs w:val="20"/>
              </w:rPr>
              <w:t xml:space="preserve">0.6 </w:t>
            </w:r>
          </w:p>
        </w:tc>
        <w:tc>
          <w:tcPr>
            <w:tcW w:w="1255" w:type="dxa"/>
            <w:tcBorders>
              <w:right w:val="single" w:color="auto" w:sz="12" w:space="0"/>
            </w:tcBorders>
            <w:shd w:val="clear" w:color="auto" w:fill="CCCCCC"/>
            <w:vAlign w:val="bottom"/>
          </w:tcPr>
          <w:p w:rsidR="003B0815" w:rsidRDefault="003B0815" w14:paraId="3C57B774" w14:textId="77777777">
            <w:pPr>
              <w:keepNext/>
              <w:jc w:val="right"/>
              <w:rPr>
                <w:rFonts w:ascii="Arial" w:hAnsi="Arial"/>
                <w:sz w:val="20"/>
                <w:szCs w:val="20"/>
              </w:rPr>
            </w:pPr>
            <w:r>
              <w:rPr>
                <w:rFonts w:ascii="Arial" w:hAnsi="Arial" w:cs="Arial"/>
                <w:sz w:val="20"/>
                <w:szCs w:val="20"/>
              </w:rPr>
              <w:t xml:space="preserve">0.8 </w:t>
            </w:r>
          </w:p>
        </w:tc>
      </w:tr>
      <w:tr w:rsidR="003B0815" w14:paraId="28CAFE9C" w14:textId="77777777">
        <w:trPr>
          <w:jc w:val="center"/>
        </w:trPr>
        <w:tc>
          <w:tcPr>
            <w:tcW w:w="1408" w:type="dxa"/>
            <w:tcBorders>
              <w:left w:val="single" w:color="auto" w:sz="12" w:space="0"/>
            </w:tcBorders>
            <w:vAlign w:val="bottom"/>
          </w:tcPr>
          <w:p w:rsidR="003B0815" w:rsidRDefault="003B0815" w14:paraId="1B010E5A" w14:textId="77777777">
            <w:pPr>
              <w:keepNext/>
              <w:jc w:val="center"/>
              <w:rPr>
                <w:rFonts w:ascii="Arial" w:hAnsi="Arial"/>
                <w:sz w:val="20"/>
                <w:szCs w:val="20"/>
              </w:rPr>
            </w:pPr>
            <w:r>
              <w:rPr>
                <w:rFonts w:ascii="Arial" w:hAnsi="Arial"/>
                <w:sz w:val="20"/>
                <w:szCs w:val="20"/>
              </w:rPr>
              <w:t>6</w:t>
            </w:r>
          </w:p>
        </w:tc>
        <w:tc>
          <w:tcPr>
            <w:tcW w:w="1102" w:type="dxa"/>
            <w:shd w:val="clear" w:color="auto" w:fill="CCCCCC"/>
            <w:vAlign w:val="bottom"/>
          </w:tcPr>
          <w:p w:rsidR="003B0815" w:rsidRDefault="003B0815" w14:paraId="12906545" w14:textId="77777777">
            <w:pPr>
              <w:keepNext/>
              <w:jc w:val="right"/>
              <w:rPr>
                <w:rFonts w:ascii="Arial" w:hAnsi="Arial"/>
                <w:sz w:val="20"/>
                <w:szCs w:val="20"/>
              </w:rPr>
            </w:pPr>
            <w:r>
              <w:rPr>
                <w:rFonts w:ascii="Arial" w:hAnsi="Arial" w:cs="Arial"/>
                <w:sz w:val="20"/>
                <w:szCs w:val="20"/>
              </w:rPr>
              <w:t xml:space="preserve">0.7 </w:t>
            </w:r>
          </w:p>
        </w:tc>
        <w:tc>
          <w:tcPr>
            <w:tcW w:w="1080" w:type="dxa"/>
            <w:shd w:val="clear" w:color="auto" w:fill="CCCCCC"/>
            <w:vAlign w:val="bottom"/>
          </w:tcPr>
          <w:p w:rsidR="003B0815" w:rsidRDefault="003B0815" w14:paraId="4889C1FC" w14:textId="77777777">
            <w:pPr>
              <w:keepNext/>
              <w:jc w:val="right"/>
              <w:rPr>
                <w:rFonts w:ascii="Arial" w:hAnsi="Arial"/>
                <w:sz w:val="20"/>
                <w:szCs w:val="20"/>
              </w:rPr>
            </w:pPr>
            <w:r>
              <w:rPr>
                <w:rFonts w:ascii="Arial" w:hAnsi="Arial" w:cs="Arial"/>
                <w:sz w:val="20"/>
                <w:szCs w:val="20"/>
              </w:rPr>
              <w:t xml:space="preserve">0.6 </w:t>
            </w:r>
          </w:p>
        </w:tc>
        <w:tc>
          <w:tcPr>
            <w:tcW w:w="1255" w:type="dxa"/>
            <w:tcBorders>
              <w:right w:val="single" w:color="auto" w:sz="12" w:space="0"/>
            </w:tcBorders>
            <w:shd w:val="clear" w:color="auto" w:fill="CCCCCC"/>
            <w:vAlign w:val="bottom"/>
          </w:tcPr>
          <w:p w:rsidR="003B0815" w:rsidRDefault="003B0815" w14:paraId="67E3CA0B" w14:textId="77777777">
            <w:pPr>
              <w:keepNext/>
              <w:jc w:val="right"/>
              <w:rPr>
                <w:rFonts w:ascii="Arial" w:hAnsi="Arial"/>
                <w:sz w:val="20"/>
                <w:szCs w:val="20"/>
              </w:rPr>
            </w:pPr>
            <w:r>
              <w:rPr>
                <w:rFonts w:ascii="Arial" w:hAnsi="Arial" w:cs="Arial"/>
                <w:sz w:val="20"/>
                <w:szCs w:val="20"/>
              </w:rPr>
              <w:t xml:space="preserve">0.9 </w:t>
            </w:r>
          </w:p>
        </w:tc>
      </w:tr>
      <w:tr w:rsidR="003B0815" w14:paraId="0DE08C33" w14:textId="77777777">
        <w:trPr>
          <w:jc w:val="center"/>
        </w:trPr>
        <w:tc>
          <w:tcPr>
            <w:tcW w:w="1408" w:type="dxa"/>
            <w:tcBorders>
              <w:left w:val="single" w:color="auto" w:sz="12" w:space="0"/>
            </w:tcBorders>
            <w:vAlign w:val="bottom"/>
          </w:tcPr>
          <w:p w:rsidR="003B0815" w:rsidRDefault="003B0815" w14:paraId="0E966EC2" w14:textId="77777777">
            <w:pPr>
              <w:keepNext/>
              <w:jc w:val="center"/>
              <w:rPr>
                <w:rFonts w:ascii="Arial" w:hAnsi="Arial"/>
                <w:sz w:val="20"/>
                <w:szCs w:val="20"/>
              </w:rPr>
            </w:pPr>
            <w:r>
              <w:rPr>
                <w:rFonts w:ascii="Arial" w:hAnsi="Arial"/>
                <w:sz w:val="20"/>
                <w:szCs w:val="20"/>
              </w:rPr>
              <w:t>7</w:t>
            </w:r>
          </w:p>
        </w:tc>
        <w:tc>
          <w:tcPr>
            <w:tcW w:w="1102" w:type="dxa"/>
            <w:shd w:val="clear" w:color="auto" w:fill="CCCCCC"/>
            <w:vAlign w:val="bottom"/>
          </w:tcPr>
          <w:p w:rsidR="003B0815" w:rsidRDefault="003B0815" w14:paraId="3C23B1EA" w14:textId="77777777">
            <w:pPr>
              <w:keepNext/>
              <w:jc w:val="right"/>
              <w:rPr>
                <w:rFonts w:ascii="Arial" w:hAnsi="Arial"/>
                <w:sz w:val="20"/>
                <w:szCs w:val="20"/>
              </w:rPr>
            </w:pPr>
            <w:r>
              <w:rPr>
                <w:rFonts w:ascii="Arial" w:hAnsi="Arial" w:cs="Arial"/>
                <w:sz w:val="20"/>
                <w:szCs w:val="20"/>
              </w:rPr>
              <w:t xml:space="preserve">0.8 </w:t>
            </w:r>
          </w:p>
        </w:tc>
        <w:tc>
          <w:tcPr>
            <w:tcW w:w="1080" w:type="dxa"/>
            <w:shd w:val="clear" w:color="auto" w:fill="CCCCCC"/>
            <w:vAlign w:val="bottom"/>
          </w:tcPr>
          <w:p w:rsidR="003B0815" w:rsidRDefault="003B0815" w14:paraId="406D22A4" w14:textId="77777777">
            <w:pPr>
              <w:keepNext/>
              <w:jc w:val="right"/>
              <w:rPr>
                <w:rFonts w:ascii="Arial" w:hAnsi="Arial"/>
                <w:sz w:val="20"/>
                <w:szCs w:val="20"/>
              </w:rPr>
            </w:pPr>
            <w:r>
              <w:rPr>
                <w:rFonts w:ascii="Arial" w:hAnsi="Arial" w:cs="Arial"/>
                <w:sz w:val="20"/>
                <w:szCs w:val="20"/>
              </w:rPr>
              <w:t xml:space="preserve">0.6 </w:t>
            </w:r>
          </w:p>
        </w:tc>
        <w:tc>
          <w:tcPr>
            <w:tcW w:w="1255" w:type="dxa"/>
            <w:tcBorders>
              <w:right w:val="single" w:color="auto" w:sz="12" w:space="0"/>
            </w:tcBorders>
            <w:shd w:val="clear" w:color="auto" w:fill="CCCCCC"/>
            <w:vAlign w:val="bottom"/>
          </w:tcPr>
          <w:p w:rsidR="003B0815" w:rsidRDefault="003B0815" w14:paraId="35D6D61B" w14:textId="77777777">
            <w:pPr>
              <w:keepNext/>
              <w:jc w:val="right"/>
              <w:rPr>
                <w:rFonts w:ascii="Arial" w:hAnsi="Arial"/>
                <w:sz w:val="20"/>
                <w:szCs w:val="20"/>
              </w:rPr>
            </w:pPr>
            <w:r>
              <w:rPr>
                <w:rFonts w:ascii="Arial" w:hAnsi="Arial" w:cs="Arial"/>
                <w:sz w:val="20"/>
                <w:szCs w:val="20"/>
              </w:rPr>
              <w:t xml:space="preserve">0.9 </w:t>
            </w:r>
          </w:p>
        </w:tc>
      </w:tr>
      <w:tr w:rsidR="003B0815" w14:paraId="0A4D8FF9" w14:textId="77777777">
        <w:trPr>
          <w:jc w:val="center"/>
        </w:trPr>
        <w:tc>
          <w:tcPr>
            <w:tcW w:w="1408" w:type="dxa"/>
            <w:tcBorders>
              <w:left w:val="single" w:color="auto" w:sz="12" w:space="0"/>
            </w:tcBorders>
            <w:vAlign w:val="bottom"/>
          </w:tcPr>
          <w:p w:rsidR="003B0815" w:rsidRDefault="003B0815" w14:paraId="7A6F3174" w14:textId="77777777">
            <w:pPr>
              <w:keepNext/>
              <w:jc w:val="center"/>
              <w:rPr>
                <w:rFonts w:ascii="Arial" w:hAnsi="Arial"/>
                <w:sz w:val="20"/>
                <w:szCs w:val="20"/>
              </w:rPr>
            </w:pPr>
            <w:r>
              <w:rPr>
                <w:rFonts w:ascii="Arial" w:hAnsi="Arial"/>
                <w:sz w:val="20"/>
                <w:szCs w:val="20"/>
              </w:rPr>
              <w:t>8</w:t>
            </w:r>
          </w:p>
        </w:tc>
        <w:tc>
          <w:tcPr>
            <w:tcW w:w="1102" w:type="dxa"/>
            <w:shd w:val="clear" w:color="auto" w:fill="CCCCCC"/>
            <w:vAlign w:val="bottom"/>
          </w:tcPr>
          <w:p w:rsidR="003B0815" w:rsidRDefault="003B0815" w14:paraId="16C9206F" w14:textId="77777777">
            <w:pPr>
              <w:keepNext/>
              <w:jc w:val="right"/>
              <w:rPr>
                <w:rFonts w:ascii="Arial" w:hAnsi="Arial"/>
                <w:sz w:val="20"/>
                <w:szCs w:val="20"/>
              </w:rPr>
            </w:pPr>
            <w:r>
              <w:rPr>
                <w:rFonts w:ascii="Arial" w:hAnsi="Arial" w:cs="Arial"/>
                <w:sz w:val="20"/>
                <w:szCs w:val="20"/>
              </w:rPr>
              <w:t xml:space="preserve">0.8 </w:t>
            </w:r>
          </w:p>
        </w:tc>
        <w:tc>
          <w:tcPr>
            <w:tcW w:w="1080" w:type="dxa"/>
            <w:shd w:val="clear" w:color="auto" w:fill="CCCCCC"/>
            <w:vAlign w:val="bottom"/>
          </w:tcPr>
          <w:p w:rsidR="003B0815" w:rsidRDefault="003B0815" w14:paraId="3CEE0E60" w14:textId="77777777">
            <w:pPr>
              <w:keepNext/>
              <w:jc w:val="right"/>
              <w:rPr>
                <w:rFonts w:ascii="Arial" w:hAnsi="Arial"/>
                <w:sz w:val="20"/>
                <w:szCs w:val="20"/>
              </w:rPr>
            </w:pPr>
            <w:r>
              <w:rPr>
                <w:rFonts w:ascii="Arial" w:hAnsi="Arial" w:cs="Arial"/>
                <w:sz w:val="20"/>
                <w:szCs w:val="20"/>
              </w:rPr>
              <w:t xml:space="preserve">0.7 </w:t>
            </w:r>
          </w:p>
        </w:tc>
        <w:tc>
          <w:tcPr>
            <w:tcW w:w="1255" w:type="dxa"/>
            <w:tcBorders>
              <w:right w:val="single" w:color="auto" w:sz="12" w:space="0"/>
            </w:tcBorders>
            <w:shd w:val="clear" w:color="auto" w:fill="CCCCCC"/>
            <w:vAlign w:val="bottom"/>
          </w:tcPr>
          <w:p w:rsidR="003B0815" w:rsidRDefault="003B0815" w14:paraId="13AA60BB" w14:textId="77777777">
            <w:pPr>
              <w:keepNext/>
              <w:jc w:val="right"/>
              <w:rPr>
                <w:rFonts w:ascii="Arial" w:hAnsi="Arial"/>
                <w:sz w:val="20"/>
                <w:szCs w:val="20"/>
              </w:rPr>
            </w:pPr>
            <w:r>
              <w:rPr>
                <w:rFonts w:ascii="Arial" w:hAnsi="Arial" w:cs="Arial"/>
                <w:sz w:val="20"/>
                <w:szCs w:val="20"/>
              </w:rPr>
              <w:t xml:space="preserve">1.0 </w:t>
            </w:r>
          </w:p>
        </w:tc>
      </w:tr>
      <w:tr w:rsidR="003B0815" w14:paraId="2FEAE8BE" w14:textId="77777777">
        <w:trPr>
          <w:jc w:val="center"/>
        </w:trPr>
        <w:tc>
          <w:tcPr>
            <w:tcW w:w="1408" w:type="dxa"/>
            <w:tcBorders>
              <w:left w:val="single" w:color="auto" w:sz="12" w:space="0"/>
            </w:tcBorders>
            <w:vAlign w:val="bottom"/>
          </w:tcPr>
          <w:p w:rsidR="003B0815" w:rsidRDefault="003B0815" w14:paraId="5C98F31C" w14:textId="77777777">
            <w:pPr>
              <w:keepNext/>
              <w:jc w:val="center"/>
              <w:rPr>
                <w:rFonts w:ascii="Arial" w:hAnsi="Arial"/>
                <w:sz w:val="20"/>
                <w:szCs w:val="20"/>
              </w:rPr>
            </w:pPr>
            <w:r>
              <w:rPr>
                <w:rFonts w:ascii="Arial" w:hAnsi="Arial"/>
                <w:sz w:val="20"/>
                <w:szCs w:val="20"/>
              </w:rPr>
              <w:t>9</w:t>
            </w:r>
          </w:p>
        </w:tc>
        <w:tc>
          <w:tcPr>
            <w:tcW w:w="1102" w:type="dxa"/>
            <w:shd w:val="clear" w:color="auto" w:fill="CCCCCC"/>
            <w:vAlign w:val="bottom"/>
          </w:tcPr>
          <w:p w:rsidR="003B0815" w:rsidRDefault="003B0815" w14:paraId="72B36717" w14:textId="77777777">
            <w:pPr>
              <w:keepNext/>
              <w:jc w:val="right"/>
              <w:rPr>
                <w:rFonts w:ascii="Arial" w:hAnsi="Arial"/>
                <w:sz w:val="20"/>
                <w:szCs w:val="20"/>
              </w:rPr>
            </w:pPr>
            <w:r>
              <w:rPr>
                <w:rFonts w:ascii="Arial" w:hAnsi="Arial" w:cs="Arial"/>
                <w:sz w:val="20"/>
                <w:szCs w:val="20"/>
              </w:rPr>
              <w:t xml:space="preserve">0.9 </w:t>
            </w:r>
          </w:p>
        </w:tc>
        <w:tc>
          <w:tcPr>
            <w:tcW w:w="1080" w:type="dxa"/>
            <w:shd w:val="clear" w:color="auto" w:fill="CCCCCC"/>
            <w:vAlign w:val="bottom"/>
          </w:tcPr>
          <w:p w:rsidR="003B0815" w:rsidRDefault="003B0815" w14:paraId="6786C91A" w14:textId="77777777">
            <w:pPr>
              <w:keepNext/>
              <w:jc w:val="right"/>
              <w:rPr>
                <w:rFonts w:ascii="Arial" w:hAnsi="Arial"/>
                <w:sz w:val="20"/>
                <w:szCs w:val="20"/>
              </w:rPr>
            </w:pPr>
            <w:r>
              <w:rPr>
                <w:rFonts w:ascii="Arial" w:hAnsi="Arial" w:cs="Arial"/>
                <w:sz w:val="20"/>
                <w:szCs w:val="20"/>
              </w:rPr>
              <w:t xml:space="preserve">0.7 </w:t>
            </w:r>
          </w:p>
        </w:tc>
        <w:tc>
          <w:tcPr>
            <w:tcW w:w="1255" w:type="dxa"/>
            <w:tcBorders>
              <w:right w:val="single" w:color="auto" w:sz="12" w:space="0"/>
            </w:tcBorders>
            <w:shd w:val="clear" w:color="auto" w:fill="CCCCCC"/>
            <w:vAlign w:val="bottom"/>
          </w:tcPr>
          <w:p w:rsidR="003B0815" w:rsidRDefault="003B0815" w14:paraId="38DDCC14" w14:textId="77777777">
            <w:pPr>
              <w:keepNext/>
              <w:jc w:val="right"/>
              <w:rPr>
                <w:rFonts w:ascii="Arial" w:hAnsi="Arial"/>
                <w:sz w:val="20"/>
                <w:szCs w:val="20"/>
              </w:rPr>
            </w:pPr>
            <w:r>
              <w:rPr>
                <w:rFonts w:ascii="Arial" w:hAnsi="Arial" w:cs="Arial"/>
                <w:sz w:val="20"/>
                <w:szCs w:val="20"/>
              </w:rPr>
              <w:t xml:space="preserve">1.0 </w:t>
            </w:r>
          </w:p>
        </w:tc>
      </w:tr>
      <w:tr w:rsidR="003B0815" w14:paraId="0F519397" w14:textId="77777777">
        <w:trPr>
          <w:jc w:val="center"/>
        </w:trPr>
        <w:tc>
          <w:tcPr>
            <w:tcW w:w="1408" w:type="dxa"/>
            <w:tcBorders>
              <w:left w:val="single" w:color="auto" w:sz="12" w:space="0"/>
              <w:bottom w:val="single" w:color="auto" w:sz="4" w:space="0"/>
            </w:tcBorders>
            <w:vAlign w:val="bottom"/>
          </w:tcPr>
          <w:p w:rsidR="003B0815" w:rsidRDefault="003B0815" w14:paraId="61EF93D1" w14:textId="77777777">
            <w:pPr>
              <w:keepNext/>
              <w:jc w:val="center"/>
              <w:rPr>
                <w:rFonts w:ascii="Arial" w:hAnsi="Arial"/>
                <w:sz w:val="20"/>
                <w:szCs w:val="20"/>
              </w:rPr>
            </w:pPr>
            <w:r>
              <w:rPr>
                <w:rFonts w:ascii="Arial" w:hAnsi="Arial"/>
                <w:sz w:val="20"/>
                <w:szCs w:val="20"/>
              </w:rPr>
              <w:t>10</w:t>
            </w:r>
          </w:p>
        </w:tc>
        <w:tc>
          <w:tcPr>
            <w:tcW w:w="1102" w:type="dxa"/>
            <w:tcBorders>
              <w:bottom w:val="single" w:color="auto" w:sz="4" w:space="0"/>
            </w:tcBorders>
            <w:shd w:val="clear" w:color="auto" w:fill="CCCCCC"/>
            <w:vAlign w:val="bottom"/>
          </w:tcPr>
          <w:p w:rsidR="003B0815" w:rsidRDefault="003B0815" w14:paraId="3F06AE1D" w14:textId="77777777">
            <w:pPr>
              <w:keepNext/>
              <w:jc w:val="right"/>
              <w:rPr>
                <w:rFonts w:ascii="Arial" w:hAnsi="Arial"/>
                <w:sz w:val="20"/>
                <w:szCs w:val="20"/>
              </w:rPr>
            </w:pPr>
            <w:r>
              <w:rPr>
                <w:rFonts w:ascii="Arial" w:hAnsi="Arial" w:cs="Arial"/>
                <w:sz w:val="20"/>
                <w:szCs w:val="20"/>
              </w:rPr>
              <w:t xml:space="preserve">$0.9 </w:t>
            </w:r>
          </w:p>
        </w:tc>
        <w:tc>
          <w:tcPr>
            <w:tcW w:w="1080" w:type="dxa"/>
            <w:tcBorders>
              <w:bottom w:val="single" w:color="auto" w:sz="4" w:space="0"/>
            </w:tcBorders>
            <w:shd w:val="clear" w:color="auto" w:fill="CCCCCC"/>
            <w:vAlign w:val="bottom"/>
          </w:tcPr>
          <w:p w:rsidR="003B0815" w:rsidRDefault="003B0815" w14:paraId="7E526BAB" w14:textId="77777777">
            <w:pPr>
              <w:keepNext/>
              <w:jc w:val="right"/>
              <w:rPr>
                <w:rFonts w:ascii="Arial" w:hAnsi="Arial"/>
                <w:sz w:val="20"/>
                <w:szCs w:val="20"/>
              </w:rPr>
            </w:pPr>
            <w:r>
              <w:rPr>
                <w:rFonts w:ascii="Arial" w:hAnsi="Arial" w:cs="Arial"/>
                <w:sz w:val="20"/>
                <w:szCs w:val="20"/>
              </w:rPr>
              <w:t xml:space="preserve">$0.7 </w:t>
            </w:r>
          </w:p>
        </w:tc>
        <w:tc>
          <w:tcPr>
            <w:tcW w:w="1255" w:type="dxa"/>
            <w:tcBorders>
              <w:bottom w:val="single" w:color="auto" w:sz="4" w:space="0"/>
              <w:right w:val="single" w:color="auto" w:sz="12" w:space="0"/>
            </w:tcBorders>
            <w:shd w:val="clear" w:color="auto" w:fill="CCCCCC"/>
            <w:vAlign w:val="bottom"/>
          </w:tcPr>
          <w:p w:rsidR="003B0815" w:rsidRDefault="003B0815" w14:paraId="3AF976DB" w14:textId="77777777">
            <w:pPr>
              <w:keepNext/>
              <w:jc w:val="right"/>
              <w:rPr>
                <w:rFonts w:ascii="Arial" w:hAnsi="Arial"/>
                <w:sz w:val="20"/>
                <w:szCs w:val="20"/>
              </w:rPr>
            </w:pPr>
            <w:r>
              <w:rPr>
                <w:rFonts w:ascii="Arial" w:hAnsi="Arial" w:cs="Arial"/>
                <w:sz w:val="20"/>
                <w:szCs w:val="20"/>
              </w:rPr>
              <w:t xml:space="preserve">$1.1 </w:t>
            </w:r>
          </w:p>
        </w:tc>
      </w:tr>
      <w:tr w:rsidR="003B0815" w14:paraId="2C669BB6" w14:textId="77777777">
        <w:trPr>
          <w:jc w:val="center"/>
        </w:trPr>
        <w:tc>
          <w:tcPr>
            <w:tcW w:w="1408" w:type="dxa"/>
            <w:tcBorders>
              <w:left w:val="single" w:color="auto" w:sz="12" w:space="0"/>
              <w:bottom w:val="single" w:color="auto" w:sz="12" w:space="0"/>
              <w:right w:val="nil"/>
            </w:tcBorders>
            <w:vAlign w:val="bottom"/>
          </w:tcPr>
          <w:p w:rsidR="003B0815" w:rsidRDefault="003B0815" w14:paraId="4797CE23" w14:textId="77777777">
            <w:pPr>
              <w:keepNext/>
              <w:jc w:val="center"/>
              <w:rPr>
                <w:rFonts w:ascii="Arial" w:hAnsi="Arial"/>
                <w:b/>
                <w:sz w:val="20"/>
                <w:szCs w:val="20"/>
              </w:rPr>
            </w:pPr>
            <w:r>
              <w:rPr>
                <w:rFonts w:ascii="Arial" w:hAnsi="Arial"/>
                <w:b/>
                <w:sz w:val="20"/>
                <w:szCs w:val="20"/>
              </w:rPr>
              <w:t>Total</w:t>
            </w:r>
          </w:p>
        </w:tc>
        <w:tc>
          <w:tcPr>
            <w:tcW w:w="1102" w:type="dxa"/>
            <w:tcBorders>
              <w:left w:val="nil"/>
              <w:bottom w:val="single" w:color="auto" w:sz="12" w:space="0"/>
              <w:right w:val="nil"/>
            </w:tcBorders>
            <w:vAlign w:val="bottom"/>
          </w:tcPr>
          <w:p w:rsidR="003B0815" w:rsidRDefault="003B0815" w14:paraId="25CBFD18" w14:textId="77777777">
            <w:pPr>
              <w:keepNext/>
              <w:jc w:val="right"/>
              <w:rPr>
                <w:rFonts w:ascii="Arial" w:hAnsi="Arial"/>
                <w:b/>
                <w:sz w:val="20"/>
                <w:szCs w:val="20"/>
              </w:rPr>
            </w:pPr>
            <w:r>
              <w:rPr>
                <w:rFonts w:ascii="Arial" w:hAnsi="Arial" w:cs="Arial"/>
                <w:b/>
                <w:bCs/>
                <w:sz w:val="20"/>
                <w:szCs w:val="20"/>
              </w:rPr>
              <w:t xml:space="preserve">$7.3 </w:t>
            </w:r>
          </w:p>
        </w:tc>
        <w:tc>
          <w:tcPr>
            <w:tcW w:w="1080" w:type="dxa"/>
            <w:tcBorders>
              <w:left w:val="nil"/>
              <w:bottom w:val="single" w:color="auto" w:sz="12" w:space="0"/>
              <w:right w:val="nil"/>
            </w:tcBorders>
            <w:vAlign w:val="bottom"/>
          </w:tcPr>
          <w:p w:rsidR="003B0815" w:rsidRDefault="003B0815" w14:paraId="1DB9362C" w14:textId="77777777">
            <w:pPr>
              <w:keepNext/>
              <w:jc w:val="right"/>
              <w:rPr>
                <w:rFonts w:ascii="Arial" w:hAnsi="Arial"/>
                <w:b/>
                <w:sz w:val="20"/>
                <w:szCs w:val="20"/>
              </w:rPr>
            </w:pPr>
            <w:r>
              <w:rPr>
                <w:rFonts w:ascii="Arial" w:hAnsi="Arial" w:cs="Arial"/>
                <w:b/>
                <w:bCs/>
                <w:sz w:val="20"/>
                <w:szCs w:val="20"/>
              </w:rPr>
              <w:t xml:space="preserve">$5.8 </w:t>
            </w:r>
          </w:p>
        </w:tc>
        <w:tc>
          <w:tcPr>
            <w:tcW w:w="1255" w:type="dxa"/>
            <w:tcBorders>
              <w:left w:val="nil"/>
              <w:bottom w:val="single" w:color="auto" w:sz="12" w:space="0"/>
              <w:right w:val="single" w:color="auto" w:sz="12" w:space="0"/>
            </w:tcBorders>
            <w:vAlign w:val="bottom"/>
          </w:tcPr>
          <w:p w:rsidR="003B0815" w:rsidRDefault="003B0815" w14:paraId="655FEF27" w14:textId="77777777">
            <w:pPr>
              <w:keepNext/>
              <w:jc w:val="right"/>
              <w:rPr>
                <w:rFonts w:ascii="Arial" w:hAnsi="Arial"/>
                <w:b/>
                <w:sz w:val="20"/>
                <w:szCs w:val="20"/>
              </w:rPr>
            </w:pPr>
            <w:r>
              <w:rPr>
                <w:rFonts w:ascii="Arial" w:hAnsi="Arial" w:cs="Arial"/>
                <w:b/>
                <w:bCs/>
                <w:sz w:val="20"/>
                <w:szCs w:val="20"/>
              </w:rPr>
              <w:t xml:space="preserve">$8.7 </w:t>
            </w:r>
          </w:p>
        </w:tc>
      </w:tr>
    </w:tbl>
    <w:p w:rsidR="003B0815" w:rsidRDefault="003B0815" w14:paraId="77706836" w14:textId="77777777">
      <w:pPr>
        <w:spacing w:line="360" w:lineRule="auto"/>
        <w:ind w:firstLine="720"/>
      </w:pPr>
    </w:p>
    <w:p w:rsidR="003B0815" w:rsidRDefault="003B0815" w14:paraId="2E5ACA51" w14:textId="77777777">
      <w:pPr>
        <w:spacing w:line="360" w:lineRule="auto"/>
        <w:rPr>
          <w:b/>
        </w:rPr>
      </w:pPr>
      <w:r>
        <w:rPr>
          <w:b/>
        </w:rPr>
        <w:t xml:space="preserve">Passenger </w:t>
      </w:r>
      <w:smartTag w:uri="urn:schemas-microsoft-com:office:smarttags" w:element="place">
        <w:r>
          <w:rPr>
            <w:b/>
          </w:rPr>
          <w:t>Opportunity</w:t>
        </w:r>
      </w:smartTag>
      <w:r>
        <w:rPr>
          <w:b/>
        </w:rPr>
        <w:t xml:space="preserve"> Cost Summary</w:t>
      </w:r>
    </w:p>
    <w:p w:rsidR="003B0815" w:rsidRDefault="003B0815" w14:paraId="6C105213" w14:textId="77777777">
      <w:pPr>
        <w:spacing w:line="360" w:lineRule="auto"/>
        <w:ind w:firstLine="720"/>
      </w:pPr>
      <w:r>
        <w:t>Combined, passengers incur $877.9 million in opportunity costs to provide additional information at the time of reservation. Table 1.6.6.l presents the year-by-year primary estimates for passenger opportunity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1"/>
        <w:gridCol w:w="1440"/>
        <w:gridCol w:w="1620"/>
        <w:gridCol w:w="1470"/>
        <w:gridCol w:w="1916"/>
      </w:tblGrid>
      <w:tr w:rsidR="003B0815" w14:paraId="5C57C0A8" w14:textId="77777777">
        <w:trPr>
          <w:cantSplit/>
          <w:jc w:val="center"/>
        </w:trPr>
        <w:tc>
          <w:tcPr>
            <w:tcW w:w="7407" w:type="dxa"/>
            <w:gridSpan w:val="5"/>
            <w:tcBorders>
              <w:top w:val="nil"/>
              <w:left w:val="nil"/>
              <w:bottom w:val="single" w:color="auto" w:sz="12" w:space="0"/>
              <w:right w:val="nil"/>
            </w:tcBorders>
          </w:tcPr>
          <w:p w:rsidR="003B0815" w:rsidRDefault="003B0815" w14:paraId="49299C23" w14:textId="77777777">
            <w:pPr>
              <w:pStyle w:val="RegEvalTableHeader"/>
            </w:pPr>
            <w:bookmarkStart w:name="_Toc174438416" w:id="420"/>
            <w:bookmarkStart w:name="_Toc207109553" w:id="421"/>
            <w:r>
              <w:t xml:space="preserve">Table 1.6.6.l Total Marginal </w:t>
            </w:r>
            <w:smartTag w:uri="urn:schemas-microsoft-com:office:smarttags" w:element="place">
              <w:r>
                <w:t>Opportunity</w:t>
              </w:r>
            </w:smartTag>
            <w:r>
              <w:t xml:space="preserve"> Cost for Passengers (millions)</w:t>
            </w:r>
            <w:bookmarkEnd w:id="420"/>
            <w:bookmarkEnd w:id="421"/>
          </w:p>
        </w:tc>
      </w:tr>
      <w:tr w:rsidR="003B0815" w14:paraId="45A79215" w14:textId="77777777">
        <w:trPr>
          <w:cantSplit/>
          <w:jc w:val="center"/>
        </w:trPr>
        <w:tc>
          <w:tcPr>
            <w:tcW w:w="961" w:type="dxa"/>
            <w:tcBorders>
              <w:top w:val="single" w:color="auto" w:sz="12" w:space="0"/>
              <w:left w:val="single" w:color="auto" w:sz="12" w:space="0"/>
            </w:tcBorders>
            <w:vAlign w:val="center"/>
          </w:tcPr>
          <w:p w:rsidR="003B0815" w:rsidRDefault="003B0815" w14:paraId="2D86D3FC" w14:textId="77777777">
            <w:pPr>
              <w:keepNext/>
              <w:jc w:val="center"/>
              <w:rPr>
                <w:rFonts w:ascii="Arial" w:hAnsi="Arial" w:cs="Arial"/>
                <w:sz w:val="20"/>
                <w:szCs w:val="20"/>
              </w:rPr>
            </w:pPr>
            <w:r>
              <w:rPr>
                <w:rFonts w:ascii="Arial" w:hAnsi="Arial" w:cs="Arial"/>
                <w:sz w:val="20"/>
                <w:szCs w:val="20"/>
              </w:rPr>
              <w:t>Fiscal Year</w:t>
            </w:r>
          </w:p>
        </w:tc>
        <w:tc>
          <w:tcPr>
            <w:tcW w:w="1440" w:type="dxa"/>
            <w:tcBorders>
              <w:top w:val="single" w:color="auto" w:sz="12" w:space="0"/>
            </w:tcBorders>
            <w:vAlign w:val="center"/>
          </w:tcPr>
          <w:p w:rsidR="003B0815" w:rsidRDefault="003B0815" w14:paraId="287F340E" w14:textId="77777777">
            <w:pPr>
              <w:keepNext/>
              <w:jc w:val="center"/>
              <w:rPr>
                <w:rFonts w:ascii="Arial" w:hAnsi="Arial" w:cs="Arial"/>
                <w:sz w:val="20"/>
                <w:szCs w:val="20"/>
              </w:rPr>
            </w:pPr>
            <w:r>
              <w:rPr>
                <w:rFonts w:ascii="Arial" w:hAnsi="Arial" w:cs="Arial"/>
                <w:sz w:val="20"/>
                <w:szCs w:val="20"/>
              </w:rPr>
              <w:t>Domestic*</w:t>
            </w:r>
          </w:p>
        </w:tc>
        <w:tc>
          <w:tcPr>
            <w:tcW w:w="1620" w:type="dxa"/>
            <w:tcBorders>
              <w:top w:val="single" w:color="auto" w:sz="12" w:space="0"/>
            </w:tcBorders>
            <w:vAlign w:val="center"/>
          </w:tcPr>
          <w:p w:rsidR="003B0815" w:rsidRDefault="003B0815" w14:paraId="32FCB7D5" w14:textId="77777777">
            <w:pPr>
              <w:keepNext/>
              <w:jc w:val="center"/>
              <w:rPr>
                <w:rFonts w:ascii="Arial" w:hAnsi="Arial" w:cs="Arial"/>
                <w:sz w:val="20"/>
                <w:szCs w:val="20"/>
              </w:rPr>
            </w:pPr>
            <w:r>
              <w:rPr>
                <w:rFonts w:ascii="Arial" w:hAnsi="Arial" w:cs="Arial"/>
                <w:sz w:val="20"/>
                <w:szCs w:val="20"/>
              </w:rPr>
              <w:t>International*</w:t>
            </w:r>
          </w:p>
        </w:tc>
        <w:tc>
          <w:tcPr>
            <w:tcW w:w="1470" w:type="dxa"/>
            <w:tcBorders>
              <w:top w:val="single" w:color="auto" w:sz="12" w:space="0"/>
            </w:tcBorders>
            <w:vAlign w:val="center"/>
          </w:tcPr>
          <w:p w:rsidR="003B0815" w:rsidRDefault="003B0815" w14:paraId="24252971" w14:textId="77777777">
            <w:pPr>
              <w:keepNext/>
              <w:jc w:val="center"/>
              <w:rPr>
                <w:rFonts w:ascii="Arial" w:hAnsi="Arial" w:cs="Arial"/>
                <w:sz w:val="20"/>
                <w:szCs w:val="20"/>
              </w:rPr>
            </w:pPr>
            <w:r>
              <w:rPr>
                <w:rFonts w:ascii="Arial" w:hAnsi="Arial" w:cs="Arial"/>
                <w:sz w:val="20"/>
                <w:szCs w:val="20"/>
              </w:rPr>
              <w:t>Over-Flight</w:t>
            </w:r>
          </w:p>
        </w:tc>
        <w:tc>
          <w:tcPr>
            <w:tcW w:w="1916" w:type="dxa"/>
            <w:tcBorders>
              <w:top w:val="single" w:color="auto" w:sz="12" w:space="0"/>
              <w:bottom w:val="single" w:color="auto" w:sz="4" w:space="0"/>
              <w:right w:val="single" w:color="auto" w:sz="12" w:space="0"/>
            </w:tcBorders>
            <w:vAlign w:val="center"/>
          </w:tcPr>
          <w:p w:rsidR="003B0815" w:rsidRDefault="003B0815" w14:paraId="40B39D55" w14:textId="77777777">
            <w:pPr>
              <w:keepNext/>
              <w:jc w:val="center"/>
              <w:rPr>
                <w:rFonts w:ascii="Arial" w:hAnsi="Arial" w:cs="Arial"/>
                <w:sz w:val="20"/>
                <w:szCs w:val="20"/>
              </w:rPr>
            </w:pPr>
            <w:r>
              <w:rPr>
                <w:rFonts w:ascii="Arial" w:hAnsi="Arial" w:cs="Arial"/>
                <w:sz w:val="20"/>
                <w:szCs w:val="20"/>
              </w:rPr>
              <w:t>Total</w:t>
            </w:r>
          </w:p>
        </w:tc>
      </w:tr>
      <w:tr w:rsidR="003B0815" w14:paraId="44CE851A" w14:textId="77777777">
        <w:trPr>
          <w:cantSplit/>
          <w:jc w:val="center"/>
        </w:trPr>
        <w:tc>
          <w:tcPr>
            <w:tcW w:w="961" w:type="dxa"/>
            <w:tcBorders>
              <w:left w:val="single" w:color="auto" w:sz="12" w:space="0"/>
            </w:tcBorders>
          </w:tcPr>
          <w:p w:rsidR="003B0815" w:rsidRDefault="003B0815" w14:paraId="489BFF0D" w14:textId="77777777">
            <w:pPr>
              <w:keepNext/>
              <w:jc w:val="center"/>
              <w:rPr>
                <w:rFonts w:ascii="Arial" w:hAnsi="Arial" w:cs="Arial"/>
                <w:sz w:val="20"/>
                <w:szCs w:val="20"/>
              </w:rPr>
            </w:pPr>
            <w:r>
              <w:t>2008</w:t>
            </w:r>
          </w:p>
        </w:tc>
        <w:tc>
          <w:tcPr>
            <w:tcW w:w="1440" w:type="dxa"/>
          </w:tcPr>
          <w:p w:rsidR="003B0815" w:rsidRDefault="003B0815" w14:paraId="2394843E" w14:textId="77777777">
            <w:pPr>
              <w:keepNext/>
              <w:jc w:val="center"/>
              <w:rPr>
                <w:rFonts w:ascii="Arial" w:hAnsi="Arial" w:cs="Arial"/>
                <w:sz w:val="20"/>
                <w:szCs w:val="20"/>
              </w:rPr>
            </w:pPr>
            <w:r>
              <w:rPr>
                <w:rFonts w:ascii="Arial" w:hAnsi="Arial" w:cs="Arial"/>
                <w:sz w:val="20"/>
                <w:szCs w:val="20"/>
              </w:rPr>
              <w:t>$56.4</w:t>
            </w:r>
          </w:p>
        </w:tc>
        <w:tc>
          <w:tcPr>
            <w:tcW w:w="1620" w:type="dxa"/>
          </w:tcPr>
          <w:p w:rsidR="003B0815" w:rsidRDefault="003B0815" w14:paraId="13A2154B" w14:textId="77777777">
            <w:pPr>
              <w:keepNext/>
              <w:jc w:val="center"/>
              <w:rPr>
                <w:rFonts w:ascii="Arial" w:hAnsi="Arial" w:cs="Arial"/>
                <w:sz w:val="20"/>
                <w:szCs w:val="20"/>
              </w:rPr>
            </w:pPr>
            <w:r>
              <w:rPr>
                <w:rFonts w:ascii="Arial" w:hAnsi="Arial" w:cs="Arial"/>
                <w:sz w:val="20"/>
                <w:szCs w:val="20"/>
              </w:rPr>
              <w:t>$13.2</w:t>
            </w:r>
          </w:p>
        </w:tc>
        <w:tc>
          <w:tcPr>
            <w:tcW w:w="1470" w:type="dxa"/>
          </w:tcPr>
          <w:p w:rsidR="003B0815" w:rsidRDefault="003B0815" w14:paraId="4C179EC2" w14:textId="77777777">
            <w:pPr>
              <w:keepNext/>
              <w:jc w:val="center"/>
              <w:rPr>
                <w:rFonts w:ascii="Arial" w:hAnsi="Arial" w:cs="Arial"/>
                <w:sz w:val="20"/>
                <w:szCs w:val="20"/>
              </w:rPr>
            </w:pPr>
            <w:r>
              <w:rPr>
                <w:rFonts w:ascii="Arial" w:hAnsi="Arial" w:cs="Arial"/>
                <w:sz w:val="20"/>
                <w:szCs w:val="20"/>
              </w:rPr>
              <w:t>$4.9</w:t>
            </w:r>
          </w:p>
        </w:tc>
        <w:tc>
          <w:tcPr>
            <w:tcW w:w="1916" w:type="dxa"/>
            <w:tcBorders>
              <w:right w:val="single" w:color="auto" w:sz="12" w:space="0"/>
            </w:tcBorders>
            <w:shd w:val="clear" w:color="auto" w:fill="CCCCCC"/>
          </w:tcPr>
          <w:p w:rsidR="003B0815" w:rsidRDefault="003B0815" w14:paraId="41326160" w14:textId="77777777">
            <w:pPr>
              <w:keepNext/>
              <w:jc w:val="center"/>
              <w:rPr>
                <w:rFonts w:ascii="Arial" w:hAnsi="Arial" w:cs="Arial"/>
                <w:sz w:val="20"/>
                <w:szCs w:val="20"/>
              </w:rPr>
            </w:pPr>
            <w:r>
              <w:rPr>
                <w:rFonts w:ascii="Arial" w:hAnsi="Arial" w:cs="Arial"/>
                <w:b/>
                <w:bCs/>
                <w:sz w:val="20"/>
                <w:szCs w:val="20"/>
              </w:rPr>
              <w:t>$74.5</w:t>
            </w:r>
          </w:p>
        </w:tc>
      </w:tr>
      <w:tr w:rsidR="003B0815" w14:paraId="4B46B298" w14:textId="77777777">
        <w:trPr>
          <w:cantSplit/>
          <w:jc w:val="center"/>
        </w:trPr>
        <w:tc>
          <w:tcPr>
            <w:tcW w:w="961" w:type="dxa"/>
            <w:tcBorders>
              <w:left w:val="single" w:color="auto" w:sz="12" w:space="0"/>
            </w:tcBorders>
          </w:tcPr>
          <w:p w:rsidR="003B0815" w:rsidRDefault="003B0815" w14:paraId="41D51F7F" w14:textId="77777777">
            <w:pPr>
              <w:keepNext/>
              <w:jc w:val="center"/>
              <w:rPr>
                <w:rFonts w:ascii="Arial" w:hAnsi="Arial" w:cs="Arial"/>
                <w:sz w:val="20"/>
                <w:szCs w:val="20"/>
              </w:rPr>
            </w:pPr>
            <w:r>
              <w:t>2009</w:t>
            </w:r>
          </w:p>
        </w:tc>
        <w:tc>
          <w:tcPr>
            <w:tcW w:w="1440" w:type="dxa"/>
          </w:tcPr>
          <w:p w:rsidR="003B0815" w:rsidRDefault="003B0815" w14:paraId="282617F1" w14:textId="77777777">
            <w:pPr>
              <w:keepNext/>
              <w:jc w:val="center"/>
              <w:rPr>
                <w:rFonts w:ascii="Arial" w:hAnsi="Arial" w:cs="Arial"/>
                <w:sz w:val="20"/>
                <w:szCs w:val="20"/>
              </w:rPr>
            </w:pPr>
            <w:r>
              <w:rPr>
                <w:rFonts w:ascii="Arial" w:hAnsi="Arial" w:cs="Arial"/>
                <w:sz w:val="20"/>
                <w:szCs w:val="20"/>
              </w:rPr>
              <w:t>$58.1</w:t>
            </w:r>
          </w:p>
        </w:tc>
        <w:tc>
          <w:tcPr>
            <w:tcW w:w="1620" w:type="dxa"/>
          </w:tcPr>
          <w:p w:rsidR="003B0815" w:rsidRDefault="003B0815" w14:paraId="587132FE" w14:textId="77777777">
            <w:pPr>
              <w:keepNext/>
              <w:jc w:val="center"/>
              <w:rPr>
                <w:rFonts w:ascii="Arial" w:hAnsi="Arial" w:cs="Arial"/>
                <w:sz w:val="20"/>
                <w:szCs w:val="20"/>
              </w:rPr>
            </w:pPr>
            <w:r>
              <w:rPr>
                <w:rFonts w:ascii="Arial" w:hAnsi="Arial" w:cs="Arial"/>
                <w:sz w:val="20"/>
                <w:szCs w:val="20"/>
              </w:rPr>
              <w:t>$13.7</w:t>
            </w:r>
          </w:p>
        </w:tc>
        <w:tc>
          <w:tcPr>
            <w:tcW w:w="1470" w:type="dxa"/>
          </w:tcPr>
          <w:p w:rsidR="003B0815" w:rsidRDefault="003B0815" w14:paraId="09BE2E31" w14:textId="77777777">
            <w:pPr>
              <w:keepNext/>
              <w:jc w:val="center"/>
              <w:rPr>
                <w:rFonts w:ascii="Arial" w:hAnsi="Arial" w:cs="Arial"/>
                <w:sz w:val="20"/>
                <w:szCs w:val="20"/>
              </w:rPr>
            </w:pPr>
            <w:r>
              <w:rPr>
                <w:rFonts w:ascii="Arial" w:hAnsi="Arial" w:cs="Arial"/>
                <w:sz w:val="20"/>
                <w:szCs w:val="20"/>
              </w:rPr>
              <w:t>5.2</w:t>
            </w:r>
          </w:p>
        </w:tc>
        <w:tc>
          <w:tcPr>
            <w:tcW w:w="1916" w:type="dxa"/>
            <w:tcBorders>
              <w:right w:val="single" w:color="auto" w:sz="12" w:space="0"/>
            </w:tcBorders>
            <w:shd w:val="clear" w:color="auto" w:fill="CCCCCC"/>
          </w:tcPr>
          <w:p w:rsidR="003B0815" w:rsidRDefault="003B0815" w14:paraId="5FFEC133" w14:textId="77777777">
            <w:pPr>
              <w:keepNext/>
              <w:jc w:val="center"/>
              <w:rPr>
                <w:rFonts w:ascii="Arial" w:hAnsi="Arial" w:cs="Arial"/>
                <w:sz w:val="20"/>
                <w:szCs w:val="20"/>
              </w:rPr>
            </w:pPr>
            <w:r>
              <w:rPr>
                <w:rFonts w:ascii="Arial" w:hAnsi="Arial" w:cs="Arial"/>
                <w:b/>
                <w:bCs/>
                <w:sz w:val="20"/>
                <w:szCs w:val="20"/>
              </w:rPr>
              <w:t>77.0</w:t>
            </w:r>
          </w:p>
        </w:tc>
      </w:tr>
      <w:tr w:rsidR="003B0815" w14:paraId="123D5454" w14:textId="77777777">
        <w:trPr>
          <w:cantSplit/>
          <w:jc w:val="center"/>
        </w:trPr>
        <w:tc>
          <w:tcPr>
            <w:tcW w:w="961" w:type="dxa"/>
            <w:tcBorders>
              <w:left w:val="single" w:color="auto" w:sz="12" w:space="0"/>
            </w:tcBorders>
          </w:tcPr>
          <w:p w:rsidR="003B0815" w:rsidRDefault="003B0815" w14:paraId="723E4EBA" w14:textId="77777777">
            <w:pPr>
              <w:keepNext/>
              <w:jc w:val="center"/>
              <w:rPr>
                <w:rFonts w:ascii="Arial" w:hAnsi="Arial" w:cs="Arial"/>
                <w:sz w:val="20"/>
                <w:szCs w:val="20"/>
              </w:rPr>
            </w:pPr>
            <w:r>
              <w:t>2010</w:t>
            </w:r>
          </w:p>
        </w:tc>
        <w:tc>
          <w:tcPr>
            <w:tcW w:w="1440" w:type="dxa"/>
          </w:tcPr>
          <w:p w:rsidR="003B0815" w:rsidRDefault="003B0815" w14:paraId="5B5F29C8" w14:textId="77777777">
            <w:pPr>
              <w:keepNext/>
              <w:jc w:val="center"/>
              <w:rPr>
                <w:rFonts w:ascii="Arial" w:hAnsi="Arial" w:cs="Arial"/>
                <w:sz w:val="20"/>
                <w:szCs w:val="20"/>
              </w:rPr>
            </w:pPr>
            <w:r>
              <w:rPr>
                <w:rFonts w:ascii="Arial" w:hAnsi="Arial" w:cs="Arial"/>
                <w:sz w:val="20"/>
                <w:szCs w:val="20"/>
              </w:rPr>
              <w:t>$59.9</w:t>
            </w:r>
          </w:p>
        </w:tc>
        <w:tc>
          <w:tcPr>
            <w:tcW w:w="1620" w:type="dxa"/>
          </w:tcPr>
          <w:p w:rsidR="003B0815" w:rsidRDefault="003B0815" w14:paraId="6CD2D35E" w14:textId="77777777">
            <w:pPr>
              <w:keepNext/>
              <w:jc w:val="center"/>
              <w:rPr>
                <w:rFonts w:ascii="Arial" w:hAnsi="Arial" w:cs="Arial"/>
                <w:sz w:val="20"/>
                <w:szCs w:val="20"/>
              </w:rPr>
            </w:pPr>
            <w:r>
              <w:rPr>
                <w:rFonts w:ascii="Arial" w:hAnsi="Arial" w:cs="Arial"/>
                <w:sz w:val="20"/>
                <w:szCs w:val="20"/>
              </w:rPr>
              <w:t>$14.3</w:t>
            </w:r>
          </w:p>
        </w:tc>
        <w:tc>
          <w:tcPr>
            <w:tcW w:w="1470" w:type="dxa"/>
          </w:tcPr>
          <w:p w:rsidR="003B0815" w:rsidRDefault="003B0815" w14:paraId="6F03A4B2" w14:textId="77777777">
            <w:pPr>
              <w:keepNext/>
              <w:jc w:val="center"/>
              <w:rPr>
                <w:rFonts w:ascii="Arial" w:hAnsi="Arial" w:cs="Arial"/>
                <w:sz w:val="20"/>
                <w:szCs w:val="20"/>
              </w:rPr>
            </w:pPr>
            <w:r>
              <w:rPr>
                <w:rFonts w:ascii="Arial" w:hAnsi="Arial" w:cs="Arial"/>
                <w:sz w:val="20"/>
                <w:szCs w:val="20"/>
              </w:rPr>
              <w:t>5.5</w:t>
            </w:r>
          </w:p>
        </w:tc>
        <w:tc>
          <w:tcPr>
            <w:tcW w:w="1916" w:type="dxa"/>
            <w:tcBorders>
              <w:right w:val="single" w:color="auto" w:sz="12" w:space="0"/>
            </w:tcBorders>
            <w:shd w:val="clear" w:color="auto" w:fill="CCCCCC"/>
          </w:tcPr>
          <w:p w:rsidR="003B0815" w:rsidRDefault="003B0815" w14:paraId="79D24210" w14:textId="77777777">
            <w:pPr>
              <w:keepNext/>
              <w:jc w:val="center"/>
              <w:rPr>
                <w:rFonts w:ascii="Arial" w:hAnsi="Arial" w:cs="Arial"/>
                <w:sz w:val="20"/>
                <w:szCs w:val="20"/>
              </w:rPr>
            </w:pPr>
            <w:r>
              <w:rPr>
                <w:rFonts w:ascii="Arial" w:hAnsi="Arial" w:cs="Arial"/>
                <w:b/>
                <w:bCs/>
                <w:sz w:val="20"/>
                <w:szCs w:val="20"/>
              </w:rPr>
              <w:t>79.7</w:t>
            </w:r>
          </w:p>
        </w:tc>
      </w:tr>
      <w:tr w:rsidR="003B0815" w14:paraId="19F03D57" w14:textId="77777777">
        <w:trPr>
          <w:cantSplit/>
          <w:jc w:val="center"/>
        </w:trPr>
        <w:tc>
          <w:tcPr>
            <w:tcW w:w="961" w:type="dxa"/>
            <w:tcBorders>
              <w:left w:val="single" w:color="auto" w:sz="12" w:space="0"/>
            </w:tcBorders>
          </w:tcPr>
          <w:p w:rsidR="003B0815" w:rsidRDefault="003B0815" w14:paraId="55D8DF60" w14:textId="77777777">
            <w:pPr>
              <w:keepNext/>
              <w:jc w:val="center"/>
              <w:rPr>
                <w:rFonts w:ascii="Arial" w:hAnsi="Arial" w:cs="Arial"/>
                <w:sz w:val="20"/>
                <w:szCs w:val="20"/>
              </w:rPr>
            </w:pPr>
            <w:r>
              <w:t>2011</w:t>
            </w:r>
          </w:p>
        </w:tc>
        <w:tc>
          <w:tcPr>
            <w:tcW w:w="1440" w:type="dxa"/>
          </w:tcPr>
          <w:p w:rsidR="003B0815" w:rsidRDefault="003B0815" w14:paraId="7BFE3CF0" w14:textId="77777777">
            <w:pPr>
              <w:keepNext/>
              <w:jc w:val="center"/>
              <w:rPr>
                <w:rFonts w:ascii="Arial" w:hAnsi="Arial" w:cs="Arial"/>
                <w:sz w:val="20"/>
                <w:szCs w:val="20"/>
              </w:rPr>
            </w:pPr>
            <w:r>
              <w:rPr>
                <w:rFonts w:ascii="Arial" w:hAnsi="Arial" w:cs="Arial"/>
                <w:sz w:val="20"/>
                <w:szCs w:val="20"/>
              </w:rPr>
              <w:t>$61.8</w:t>
            </w:r>
          </w:p>
        </w:tc>
        <w:tc>
          <w:tcPr>
            <w:tcW w:w="1620" w:type="dxa"/>
          </w:tcPr>
          <w:p w:rsidR="003B0815" w:rsidRDefault="003B0815" w14:paraId="6374C5EF" w14:textId="77777777">
            <w:pPr>
              <w:keepNext/>
              <w:jc w:val="center"/>
              <w:rPr>
                <w:rFonts w:ascii="Arial" w:hAnsi="Arial" w:cs="Arial"/>
                <w:sz w:val="20"/>
                <w:szCs w:val="20"/>
              </w:rPr>
            </w:pPr>
            <w:r>
              <w:rPr>
                <w:rFonts w:ascii="Arial" w:hAnsi="Arial" w:cs="Arial"/>
                <w:sz w:val="20"/>
                <w:szCs w:val="20"/>
              </w:rPr>
              <w:t>$15.2</w:t>
            </w:r>
          </w:p>
        </w:tc>
        <w:tc>
          <w:tcPr>
            <w:tcW w:w="1470" w:type="dxa"/>
          </w:tcPr>
          <w:p w:rsidR="003B0815" w:rsidRDefault="003B0815" w14:paraId="11DA60AE" w14:textId="77777777">
            <w:pPr>
              <w:keepNext/>
              <w:jc w:val="center"/>
              <w:rPr>
                <w:rFonts w:ascii="Arial" w:hAnsi="Arial" w:cs="Arial"/>
                <w:sz w:val="20"/>
                <w:szCs w:val="20"/>
              </w:rPr>
            </w:pPr>
            <w:r>
              <w:rPr>
                <w:rFonts w:ascii="Arial" w:hAnsi="Arial" w:cs="Arial"/>
                <w:sz w:val="20"/>
                <w:szCs w:val="20"/>
              </w:rPr>
              <w:t>5.7</w:t>
            </w:r>
          </w:p>
        </w:tc>
        <w:tc>
          <w:tcPr>
            <w:tcW w:w="1916" w:type="dxa"/>
            <w:tcBorders>
              <w:right w:val="single" w:color="auto" w:sz="12" w:space="0"/>
            </w:tcBorders>
            <w:shd w:val="clear" w:color="auto" w:fill="CCCCCC"/>
          </w:tcPr>
          <w:p w:rsidR="003B0815" w:rsidRDefault="003B0815" w14:paraId="01BBBA8C" w14:textId="77777777">
            <w:pPr>
              <w:keepNext/>
              <w:jc w:val="center"/>
              <w:rPr>
                <w:rFonts w:ascii="Arial" w:hAnsi="Arial" w:cs="Arial"/>
                <w:sz w:val="20"/>
                <w:szCs w:val="20"/>
              </w:rPr>
            </w:pPr>
            <w:r>
              <w:rPr>
                <w:rFonts w:ascii="Arial" w:hAnsi="Arial" w:cs="Arial"/>
                <w:b/>
                <w:bCs/>
                <w:sz w:val="20"/>
                <w:szCs w:val="20"/>
              </w:rPr>
              <w:t>82.7</w:t>
            </w:r>
          </w:p>
        </w:tc>
      </w:tr>
      <w:tr w:rsidR="003B0815" w14:paraId="14E170D3" w14:textId="77777777">
        <w:trPr>
          <w:cantSplit/>
          <w:jc w:val="center"/>
        </w:trPr>
        <w:tc>
          <w:tcPr>
            <w:tcW w:w="961" w:type="dxa"/>
            <w:tcBorders>
              <w:left w:val="single" w:color="auto" w:sz="12" w:space="0"/>
            </w:tcBorders>
          </w:tcPr>
          <w:p w:rsidR="003B0815" w:rsidRDefault="003B0815" w14:paraId="306DFA17" w14:textId="77777777">
            <w:pPr>
              <w:keepNext/>
              <w:jc w:val="center"/>
              <w:rPr>
                <w:rFonts w:ascii="Arial" w:hAnsi="Arial" w:cs="Arial"/>
                <w:sz w:val="20"/>
                <w:szCs w:val="20"/>
              </w:rPr>
            </w:pPr>
            <w:r>
              <w:t>2012</w:t>
            </w:r>
          </w:p>
        </w:tc>
        <w:tc>
          <w:tcPr>
            <w:tcW w:w="1440" w:type="dxa"/>
          </w:tcPr>
          <w:p w:rsidR="003B0815" w:rsidRDefault="003B0815" w14:paraId="062019C7" w14:textId="77777777">
            <w:pPr>
              <w:keepNext/>
              <w:jc w:val="center"/>
              <w:rPr>
                <w:rFonts w:ascii="Arial" w:hAnsi="Arial" w:cs="Arial"/>
                <w:sz w:val="20"/>
                <w:szCs w:val="20"/>
              </w:rPr>
            </w:pPr>
            <w:r>
              <w:rPr>
                <w:rFonts w:ascii="Arial" w:hAnsi="Arial" w:cs="Arial"/>
                <w:sz w:val="20"/>
                <w:szCs w:val="20"/>
              </w:rPr>
              <w:t>$63.7</w:t>
            </w:r>
          </w:p>
        </w:tc>
        <w:tc>
          <w:tcPr>
            <w:tcW w:w="1620" w:type="dxa"/>
          </w:tcPr>
          <w:p w:rsidR="003B0815" w:rsidRDefault="003B0815" w14:paraId="18899D78" w14:textId="77777777">
            <w:pPr>
              <w:keepNext/>
              <w:jc w:val="center"/>
              <w:rPr>
                <w:rFonts w:ascii="Arial" w:hAnsi="Arial" w:cs="Arial"/>
                <w:sz w:val="20"/>
                <w:szCs w:val="20"/>
              </w:rPr>
            </w:pPr>
            <w:r>
              <w:rPr>
                <w:rFonts w:ascii="Arial" w:hAnsi="Arial" w:cs="Arial"/>
                <w:sz w:val="20"/>
                <w:szCs w:val="20"/>
              </w:rPr>
              <w:t>$16.0</w:t>
            </w:r>
          </w:p>
        </w:tc>
        <w:tc>
          <w:tcPr>
            <w:tcW w:w="1470" w:type="dxa"/>
          </w:tcPr>
          <w:p w:rsidR="003B0815" w:rsidRDefault="003B0815" w14:paraId="726AC494" w14:textId="77777777">
            <w:pPr>
              <w:keepNext/>
              <w:jc w:val="center"/>
              <w:rPr>
                <w:rFonts w:ascii="Arial" w:hAnsi="Arial" w:cs="Arial"/>
                <w:sz w:val="20"/>
                <w:szCs w:val="20"/>
              </w:rPr>
            </w:pPr>
            <w:r>
              <w:rPr>
                <w:rFonts w:ascii="Arial" w:hAnsi="Arial" w:cs="Arial"/>
                <w:sz w:val="20"/>
                <w:szCs w:val="20"/>
              </w:rPr>
              <w:t>6.0</w:t>
            </w:r>
          </w:p>
        </w:tc>
        <w:tc>
          <w:tcPr>
            <w:tcW w:w="1916" w:type="dxa"/>
            <w:tcBorders>
              <w:right w:val="single" w:color="auto" w:sz="12" w:space="0"/>
            </w:tcBorders>
            <w:shd w:val="clear" w:color="auto" w:fill="CCCCCC"/>
          </w:tcPr>
          <w:p w:rsidR="003B0815" w:rsidRDefault="003B0815" w14:paraId="0504669E" w14:textId="77777777">
            <w:pPr>
              <w:keepNext/>
              <w:jc w:val="center"/>
              <w:rPr>
                <w:rFonts w:ascii="Arial" w:hAnsi="Arial" w:cs="Arial"/>
                <w:sz w:val="20"/>
                <w:szCs w:val="20"/>
              </w:rPr>
            </w:pPr>
            <w:r>
              <w:rPr>
                <w:rFonts w:ascii="Arial" w:hAnsi="Arial" w:cs="Arial"/>
                <w:b/>
                <w:bCs/>
                <w:sz w:val="20"/>
                <w:szCs w:val="20"/>
              </w:rPr>
              <w:t>85.7</w:t>
            </w:r>
          </w:p>
        </w:tc>
      </w:tr>
      <w:tr w:rsidR="003B0815" w14:paraId="56F533EB" w14:textId="77777777">
        <w:trPr>
          <w:cantSplit/>
          <w:jc w:val="center"/>
        </w:trPr>
        <w:tc>
          <w:tcPr>
            <w:tcW w:w="961" w:type="dxa"/>
            <w:tcBorders>
              <w:left w:val="single" w:color="auto" w:sz="12" w:space="0"/>
            </w:tcBorders>
          </w:tcPr>
          <w:p w:rsidR="003B0815" w:rsidRDefault="003B0815" w14:paraId="27B215B0" w14:textId="77777777">
            <w:pPr>
              <w:keepNext/>
              <w:jc w:val="center"/>
              <w:rPr>
                <w:rFonts w:ascii="Arial" w:hAnsi="Arial" w:cs="Arial"/>
                <w:sz w:val="20"/>
                <w:szCs w:val="20"/>
              </w:rPr>
            </w:pPr>
            <w:r>
              <w:t>2013</w:t>
            </w:r>
          </w:p>
        </w:tc>
        <w:tc>
          <w:tcPr>
            <w:tcW w:w="1440" w:type="dxa"/>
          </w:tcPr>
          <w:p w:rsidR="003B0815" w:rsidRDefault="003B0815" w14:paraId="75F6BBE7" w14:textId="77777777">
            <w:pPr>
              <w:keepNext/>
              <w:jc w:val="center"/>
              <w:rPr>
                <w:rFonts w:ascii="Arial" w:hAnsi="Arial" w:cs="Arial"/>
                <w:sz w:val="20"/>
                <w:szCs w:val="20"/>
              </w:rPr>
            </w:pPr>
            <w:r>
              <w:rPr>
                <w:rFonts w:ascii="Arial" w:hAnsi="Arial" w:cs="Arial"/>
                <w:sz w:val="20"/>
                <w:szCs w:val="20"/>
              </w:rPr>
              <w:t>$65.8</w:t>
            </w:r>
          </w:p>
        </w:tc>
        <w:tc>
          <w:tcPr>
            <w:tcW w:w="1620" w:type="dxa"/>
          </w:tcPr>
          <w:p w:rsidR="003B0815" w:rsidRDefault="003B0815" w14:paraId="15938B40" w14:textId="77777777">
            <w:pPr>
              <w:keepNext/>
              <w:jc w:val="center"/>
              <w:rPr>
                <w:rFonts w:ascii="Arial" w:hAnsi="Arial" w:cs="Arial"/>
                <w:sz w:val="20"/>
                <w:szCs w:val="20"/>
              </w:rPr>
            </w:pPr>
            <w:r>
              <w:rPr>
                <w:rFonts w:ascii="Arial" w:hAnsi="Arial" w:cs="Arial"/>
                <w:sz w:val="20"/>
                <w:szCs w:val="20"/>
              </w:rPr>
              <w:t>$16.7</w:t>
            </w:r>
          </w:p>
        </w:tc>
        <w:tc>
          <w:tcPr>
            <w:tcW w:w="1470" w:type="dxa"/>
          </w:tcPr>
          <w:p w:rsidR="003B0815" w:rsidRDefault="003B0815" w14:paraId="5851D351" w14:textId="77777777">
            <w:pPr>
              <w:keepNext/>
              <w:jc w:val="center"/>
              <w:rPr>
                <w:rFonts w:ascii="Arial" w:hAnsi="Arial" w:cs="Arial"/>
                <w:sz w:val="20"/>
                <w:szCs w:val="20"/>
              </w:rPr>
            </w:pPr>
            <w:r>
              <w:rPr>
                <w:rFonts w:ascii="Arial" w:hAnsi="Arial" w:cs="Arial"/>
                <w:sz w:val="20"/>
                <w:szCs w:val="20"/>
              </w:rPr>
              <w:t>6.3</w:t>
            </w:r>
          </w:p>
        </w:tc>
        <w:tc>
          <w:tcPr>
            <w:tcW w:w="1916" w:type="dxa"/>
            <w:tcBorders>
              <w:right w:val="single" w:color="auto" w:sz="12" w:space="0"/>
            </w:tcBorders>
            <w:shd w:val="clear" w:color="auto" w:fill="CCCCCC"/>
          </w:tcPr>
          <w:p w:rsidR="003B0815" w:rsidRDefault="003B0815" w14:paraId="5624A5B0" w14:textId="77777777">
            <w:pPr>
              <w:keepNext/>
              <w:jc w:val="center"/>
              <w:rPr>
                <w:rFonts w:ascii="Arial" w:hAnsi="Arial" w:cs="Arial"/>
                <w:sz w:val="20"/>
                <w:szCs w:val="20"/>
              </w:rPr>
            </w:pPr>
            <w:r>
              <w:rPr>
                <w:rFonts w:ascii="Arial" w:hAnsi="Arial" w:cs="Arial"/>
                <w:b/>
                <w:bCs/>
                <w:sz w:val="20"/>
                <w:szCs w:val="20"/>
              </w:rPr>
              <w:t>88.8</w:t>
            </w:r>
          </w:p>
        </w:tc>
      </w:tr>
      <w:tr w:rsidR="003B0815" w14:paraId="2E594C4E" w14:textId="77777777">
        <w:trPr>
          <w:cantSplit/>
          <w:jc w:val="center"/>
        </w:trPr>
        <w:tc>
          <w:tcPr>
            <w:tcW w:w="961" w:type="dxa"/>
            <w:tcBorders>
              <w:left w:val="single" w:color="auto" w:sz="12" w:space="0"/>
            </w:tcBorders>
          </w:tcPr>
          <w:p w:rsidR="003B0815" w:rsidRDefault="003B0815" w14:paraId="17D59631" w14:textId="77777777">
            <w:pPr>
              <w:keepNext/>
              <w:jc w:val="center"/>
              <w:rPr>
                <w:rFonts w:ascii="Arial" w:hAnsi="Arial" w:cs="Arial"/>
                <w:sz w:val="20"/>
                <w:szCs w:val="20"/>
              </w:rPr>
            </w:pPr>
            <w:r>
              <w:t>2014</w:t>
            </w:r>
          </w:p>
        </w:tc>
        <w:tc>
          <w:tcPr>
            <w:tcW w:w="1440" w:type="dxa"/>
          </w:tcPr>
          <w:p w:rsidR="003B0815" w:rsidRDefault="003B0815" w14:paraId="77EF84C7" w14:textId="77777777">
            <w:pPr>
              <w:keepNext/>
              <w:jc w:val="center"/>
              <w:rPr>
                <w:rFonts w:ascii="Arial" w:hAnsi="Arial" w:cs="Arial"/>
                <w:sz w:val="20"/>
                <w:szCs w:val="20"/>
              </w:rPr>
            </w:pPr>
            <w:r>
              <w:rPr>
                <w:rFonts w:ascii="Arial" w:hAnsi="Arial" w:cs="Arial"/>
                <w:sz w:val="20"/>
                <w:szCs w:val="20"/>
              </w:rPr>
              <w:t>$67.9</w:t>
            </w:r>
          </w:p>
        </w:tc>
        <w:tc>
          <w:tcPr>
            <w:tcW w:w="1620" w:type="dxa"/>
          </w:tcPr>
          <w:p w:rsidR="003B0815" w:rsidRDefault="003B0815" w14:paraId="3AC5C23A" w14:textId="77777777">
            <w:pPr>
              <w:keepNext/>
              <w:jc w:val="center"/>
              <w:rPr>
                <w:rFonts w:ascii="Arial" w:hAnsi="Arial" w:cs="Arial"/>
                <w:sz w:val="20"/>
                <w:szCs w:val="20"/>
              </w:rPr>
            </w:pPr>
            <w:r>
              <w:rPr>
                <w:rFonts w:ascii="Arial" w:hAnsi="Arial" w:cs="Arial"/>
                <w:sz w:val="20"/>
                <w:szCs w:val="20"/>
              </w:rPr>
              <w:t>$17.6</w:t>
            </w:r>
          </w:p>
        </w:tc>
        <w:tc>
          <w:tcPr>
            <w:tcW w:w="1470" w:type="dxa"/>
          </w:tcPr>
          <w:p w:rsidR="003B0815" w:rsidRDefault="003B0815" w14:paraId="4FB8EF54" w14:textId="77777777">
            <w:pPr>
              <w:keepNext/>
              <w:jc w:val="center"/>
              <w:rPr>
                <w:rFonts w:ascii="Arial" w:hAnsi="Arial" w:cs="Arial"/>
                <w:sz w:val="20"/>
                <w:szCs w:val="20"/>
              </w:rPr>
            </w:pPr>
            <w:r>
              <w:rPr>
                <w:rFonts w:ascii="Arial" w:hAnsi="Arial" w:cs="Arial"/>
                <w:sz w:val="20"/>
                <w:szCs w:val="20"/>
              </w:rPr>
              <w:t>6.6</w:t>
            </w:r>
          </w:p>
        </w:tc>
        <w:tc>
          <w:tcPr>
            <w:tcW w:w="1916" w:type="dxa"/>
            <w:tcBorders>
              <w:right w:val="single" w:color="auto" w:sz="12" w:space="0"/>
            </w:tcBorders>
            <w:shd w:val="clear" w:color="auto" w:fill="CCCCCC"/>
          </w:tcPr>
          <w:p w:rsidR="003B0815" w:rsidRDefault="003B0815" w14:paraId="04C25591" w14:textId="77777777">
            <w:pPr>
              <w:keepNext/>
              <w:jc w:val="center"/>
              <w:rPr>
                <w:rFonts w:ascii="Arial" w:hAnsi="Arial" w:cs="Arial"/>
                <w:sz w:val="20"/>
                <w:szCs w:val="20"/>
              </w:rPr>
            </w:pPr>
            <w:r>
              <w:rPr>
                <w:rFonts w:ascii="Arial" w:hAnsi="Arial" w:cs="Arial"/>
                <w:b/>
                <w:bCs/>
                <w:sz w:val="20"/>
                <w:szCs w:val="20"/>
              </w:rPr>
              <w:t>92.0</w:t>
            </w:r>
          </w:p>
        </w:tc>
      </w:tr>
      <w:tr w:rsidR="003B0815" w14:paraId="3109ED30" w14:textId="77777777">
        <w:trPr>
          <w:cantSplit/>
          <w:jc w:val="center"/>
        </w:trPr>
        <w:tc>
          <w:tcPr>
            <w:tcW w:w="961" w:type="dxa"/>
            <w:tcBorders>
              <w:left w:val="single" w:color="auto" w:sz="12" w:space="0"/>
            </w:tcBorders>
          </w:tcPr>
          <w:p w:rsidR="003B0815" w:rsidRDefault="003B0815" w14:paraId="32D121C1" w14:textId="77777777">
            <w:pPr>
              <w:keepNext/>
              <w:jc w:val="center"/>
              <w:rPr>
                <w:rFonts w:ascii="Arial" w:hAnsi="Arial" w:cs="Arial"/>
                <w:sz w:val="20"/>
                <w:szCs w:val="20"/>
              </w:rPr>
            </w:pPr>
            <w:r>
              <w:t>2015</w:t>
            </w:r>
          </w:p>
        </w:tc>
        <w:tc>
          <w:tcPr>
            <w:tcW w:w="1440" w:type="dxa"/>
          </w:tcPr>
          <w:p w:rsidR="003B0815" w:rsidRDefault="003B0815" w14:paraId="1C08C5A7" w14:textId="77777777">
            <w:pPr>
              <w:keepNext/>
              <w:jc w:val="center"/>
              <w:rPr>
                <w:rFonts w:ascii="Arial" w:hAnsi="Arial" w:cs="Arial"/>
                <w:sz w:val="20"/>
                <w:szCs w:val="20"/>
              </w:rPr>
            </w:pPr>
            <w:r>
              <w:rPr>
                <w:rFonts w:ascii="Arial" w:hAnsi="Arial" w:cs="Arial"/>
                <w:sz w:val="20"/>
                <w:szCs w:val="20"/>
              </w:rPr>
              <w:t>$70.1</w:t>
            </w:r>
          </w:p>
        </w:tc>
        <w:tc>
          <w:tcPr>
            <w:tcW w:w="1620" w:type="dxa"/>
          </w:tcPr>
          <w:p w:rsidR="003B0815" w:rsidRDefault="003B0815" w14:paraId="179357A9" w14:textId="77777777">
            <w:pPr>
              <w:keepNext/>
              <w:jc w:val="center"/>
              <w:rPr>
                <w:rFonts w:ascii="Arial" w:hAnsi="Arial" w:cs="Arial"/>
                <w:sz w:val="20"/>
                <w:szCs w:val="20"/>
              </w:rPr>
            </w:pPr>
            <w:r>
              <w:rPr>
                <w:rFonts w:ascii="Arial" w:hAnsi="Arial" w:cs="Arial"/>
                <w:sz w:val="20"/>
                <w:szCs w:val="20"/>
              </w:rPr>
              <w:t>$18.4</w:t>
            </w:r>
          </w:p>
        </w:tc>
        <w:tc>
          <w:tcPr>
            <w:tcW w:w="1470" w:type="dxa"/>
          </w:tcPr>
          <w:p w:rsidR="003B0815" w:rsidRDefault="003B0815" w14:paraId="0A96A685" w14:textId="77777777">
            <w:pPr>
              <w:keepNext/>
              <w:jc w:val="center"/>
              <w:rPr>
                <w:rFonts w:ascii="Arial" w:hAnsi="Arial" w:cs="Arial"/>
                <w:sz w:val="20"/>
                <w:szCs w:val="20"/>
              </w:rPr>
            </w:pPr>
            <w:r>
              <w:rPr>
                <w:rFonts w:ascii="Arial" w:hAnsi="Arial" w:cs="Arial"/>
                <w:sz w:val="20"/>
                <w:szCs w:val="20"/>
              </w:rPr>
              <w:t>6.9</w:t>
            </w:r>
          </w:p>
        </w:tc>
        <w:tc>
          <w:tcPr>
            <w:tcW w:w="1916" w:type="dxa"/>
            <w:tcBorders>
              <w:right w:val="single" w:color="auto" w:sz="12" w:space="0"/>
            </w:tcBorders>
            <w:shd w:val="clear" w:color="auto" w:fill="CCCCCC"/>
          </w:tcPr>
          <w:p w:rsidR="003B0815" w:rsidRDefault="003B0815" w14:paraId="507EF1AA" w14:textId="77777777">
            <w:pPr>
              <w:keepNext/>
              <w:jc w:val="center"/>
              <w:rPr>
                <w:rFonts w:ascii="Arial" w:hAnsi="Arial" w:cs="Arial"/>
                <w:sz w:val="20"/>
                <w:szCs w:val="20"/>
              </w:rPr>
            </w:pPr>
            <w:r>
              <w:rPr>
                <w:rFonts w:ascii="Arial" w:hAnsi="Arial" w:cs="Arial"/>
                <w:b/>
                <w:bCs/>
                <w:sz w:val="20"/>
                <w:szCs w:val="20"/>
              </w:rPr>
              <w:t>95.4</w:t>
            </w:r>
          </w:p>
        </w:tc>
      </w:tr>
      <w:tr w:rsidR="003B0815" w14:paraId="5D644101" w14:textId="77777777">
        <w:trPr>
          <w:cantSplit/>
          <w:jc w:val="center"/>
        </w:trPr>
        <w:tc>
          <w:tcPr>
            <w:tcW w:w="961" w:type="dxa"/>
            <w:tcBorders>
              <w:left w:val="single" w:color="auto" w:sz="12" w:space="0"/>
            </w:tcBorders>
          </w:tcPr>
          <w:p w:rsidR="003B0815" w:rsidRDefault="003B0815" w14:paraId="64DD0986" w14:textId="77777777">
            <w:pPr>
              <w:keepNext/>
              <w:jc w:val="center"/>
              <w:rPr>
                <w:rFonts w:ascii="Arial" w:hAnsi="Arial" w:cs="Arial"/>
                <w:sz w:val="20"/>
                <w:szCs w:val="20"/>
              </w:rPr>
            </w:pPr>
            <w:r>
              <w:t>2016</w:t>
            </w:r>
          </w:p>
        </w:tc>
        <w:tc>
          <w:tcPr>
            <w:tcW w:w="1440" w:type="dxa"/>
          </w:tcPr>
          <w:p w:rsidR="003B0815" w:rsidRDefault="003B0815" w14:paraId="0EC357A3" w14:textId="77777777">
            <w:pPr>
              <w:keepNext/>
              <w:jc w:val="center"/>
              <w:rPr>
                <w:rFonts w:ascii="Arial" w:hAnsi="Arial" w:cs="Arial"/>
                <w:sz w:val="20"/>
                <w:szCs w:val="20"/>
              </w:rPr>
            </w:pPr>
            <w:r>
              <w:rPr>
                <w:rFonts w:ascii="Arial" w:hAnsi="Arial" w:cs="Arial"/>
                <w:sz w:val="20"/>
                <w:szCs w:val="20"/>
              </w:rPr>
              <w:t>$72.5</w:t>
            </w:r>
          </w:p>
        </w:tc>
        <w:tc>
          <w:tcPr>
            <w:tcW w:w="1620" w:type="dxa"/>
          </w:tcPr>
          <w:p w:rsidR="003B0815" w:rsidRDefault="003B0815" w14:paraId="7705C8A6" w14:textId="77777777">
            <w:pPr>
              <w:keepNext/>
              <w:jc w:val="center"/>
              <w:rPr>
                <w:rFonts w:ascii="Arial" w:hAnsi="Arial" w:cs="Arial"/>
                <w:sz w:val="20"/>
                <w:szCs w:val="20"/>
              </w:rPr>
            </w:pPr>
            <w:r>
              <w:rPr>
                <w:rFonts w:ascii="Arial" w:hAnsi="Arial" w:cs="Arial"/>
                <w:sz w:val="20"/>
                <w:szCs w:val="20"/>
              </w:rPr>
              <w:t>$19.4</w:t>
            </w:r>
          </w:p>
        </w:tc>
        <w:tc>
          <w:tcPr>
            <w:tcW w:w="1470" w:type="dxa"/>
          </w:tcPr>
          <w:p w:rsidR="003B0815" w:rsidRDefault="003B0815" w14:paraId="33EF909A" w14:textId="77777777">
            <w:pPr>
              <w:keepNext/>
              <w:jc w:val="center"/>
              <w:rPr>
                <w:rFonts w:ascii="Arial" w:hAnsi="Arial" w:cs="Arial"/>
                <w:sz w:val="20"/>
                <w:szCs w:val="20"/>
              </w:rPr>
            </w:pPr>
            <w:r>
              <w:rPr>
                <w:rFonts w:ascii="Arial" w:hAnsi="Arial" w:cs="Arial"/>
                <w:sz w:val="20"/>
                <w:szCs w:val="20"/>
              </w:rPr>
              <w:t>7.3</w:t>
            </w:r>
          </w:p>
        </w:tc>
        <w:tc>
          <w:tcPr>
            <w:tcW w:w="1916" w:type="dxa"/>
            <w:tcBorders>
              <w:right w:val="single" w:color="auto" w:sz="12" w:space="0"/>
            </w:tcBorders>
            <w:shd w:val="clear" w:color="auto" w:fill="CCCCCC"/>
          </w:tcPr>
          <w:p w:rsidR="003B0815" w:rsidRDefault="003B0815" w14:paraId="088B2703" w14:textId="77777777">
            <w:pPr>
              <w:keepNext/>
              <w:jc w:val="center"/>
              <w:rPr>
                <w:rFonts w:ascii="Arial" w:hAnsi="Arial" w:cs="Arial"/>
                <w:sz w:val="20"/>
                <w:szCs w:val="20"/>
              </w:rPr>
            </w:pPr>
            <w:r>
              <w:rPr>
                <w:rFonts w:ascii="Arial" w:hAnsi="Arial" w:cs="Arial"/>
                <w:b/>
                <w:bCs/>
                <w:sz w:val="20"/>
                <w:szCs w:val="20"/>
              </w:rPr>
              <w:t>99.1</w:t>
            </w:r>
          </w:p>
        </w:tc>
      </w:tr>
      <w:tr w:rsidR="003B0815" w14:paraId="784FED45" w14:textId="77777777">
        <w:trPr>
          <w:cantSplit/>
          <w:jc w:val="center"/>
        </w:trPr>
        <w:tc>
          <w:tcPr>
            <w:tcW w:w="961" w:type="dxa"/>
            <w:tcBorders>
              <w:left w:val="single" w:color="auto" w:sz="12" w:space="0"/>
              <w:bottom w:val="single" w:color="auto" w:sz="4" w:space="0"/>
            </w:tcBorders>
          </w:tcPr>
          <w:p w:rsidR="003B0815" w:rsidRDefault="003B0815" w14:paraId="6A1EB5ED" w14:textId="77777777">
            <w:pPr>
              <w:keepNext/>
              <w:jc w:val="center"/>
              <w:rPr>
                <w:rFonts w:ascii="Arial" w:hAnsi="Arial" w:cs="Arial"/>
                <w:sz w:val="20"/>
                <w:szCs w:val="20"/>
              </w:rPr>
            </w:pPr>
            <w:r>
              <w:t>2017</w:t>
            </w:r>
          </w:p>
        </w:tc>
        <w:tc>
          <w:tcPr>
            <w:tcW w:w="1440" w:type="dxa"/>
            <w:tcBorders>
              <w:bottom w:val="single" w:color="auto" w:sz="4" w:space="0"/>
            </w:tcBorders>
          </w:tcPr>
          <w:p w:rsidR="003B0815" w:rsidRDefault="003B0815" w14:paraId="37363AE3" w14:textId="77777777">
            <w:pPr>
              <w:keepNext/>
              <w:jc w:val="center"/>
              <w:rPr>
                <w:rFonts w:ascii="Arial" w:hAnsi="Arial" w:cs="Arial"/>
                <w:sz w:val="20"/>
                <w:szCs w:val="20"/>
              </w:rPr>
            </w:pPr>
            <w:r>
              <w:rPr>
                <w:rFonts w:ascii="Arial" w:hAnsi="Arial" w:cs="Arial"/>
                <w:sz w:val="20"/>
                <w:szCs w:val="20"/>
              </w:rPr>
              <w:t>$74.9</w:t>
            </w:r>
          </w:p>
        </w:tc>
        <w:tc>
          <w:tcPr>
            <w:tcW w:w="1620" w:type="dxa"/>
            <w:tcBorders>
              <w:bottom w:val="single" w:color="auto" w:sz="4" w:space="0"/>
            </w:tcBorders>
          </w:tcPr>
          <w:p w:rsidR="003B0815" w:rsidRDefault="003B0815" w14:paraId="367DDE9F" w14:textId="77777777">
            <w:pPr>
              <w:keepNext/>
              <w:jc w:val="center"/>
              <w:rPr>
                <w:rFonts w:ascii="Arial" w:hAnsi="Arial" w:cs="Arial"/>
                <w:sz w:val="20"/>
                <w:szCs w:val="20"/>
              </w:rPr>
            </w:pPr>
            <w:r>
              <w:rPr>
                <w:rFonts w:ascii="Arial" w:hAnsi="Arial" w:cs="Arial"/>
                <w:sz w:val="20"/>
                <w:szCs w:val="20"/>
              </w:rPr>
              <w:t>$20.4</w:t>
            </w:r>
          </w:p>
        </w:tc>
        <w:tc>
          <w:tcPr>
            <w:tcW w:w="1470" w:type="dxa"/>
            <w:tcBorders>
              <w:bottom w:val="single" w:color="auto" w:sz="4" w:space="0"/>
            </w:tcBorders>
          </w:tcPr>
          <w:p w:rsidR="003B0815" w:rsidRDefault="003B0815" w14:paraId="15D25088" w14:textId="77777777">
            <w:pPr>
              <w:keepNext/>
              <w:jc w:val="center"/>
              <w:rPr>
                <w:rFonts w:ascii="Arial" w:hAnsi="Arial" w:cs="Arial"/>
                <w:sz w:val="20"/>
                <w:szCs w:val="20"/>
              </w:rPr>
            </w:pPr>
            <w:r>
              <w:rPr>
                <w:rFonts w:ascii="Arial" w:hAnsi="Arial" w:cs="Arial"/>
                <w:sz w:val="20"/>
                <w:szCs w:val="20"/>
              </w:rPr>
              <w:t>$7.6</w:t>
            </w:r>
          </w:p>
        </w:tc>
        <w:tc>
          <w:tcPr>
            <w:tcW w:w="1916" w:type="dxa"/>
            <w:tcBorders>
              <w:bottom w:val="single" w:color="auto" w:sz="4" w:space="0"/>
              <w:right w:val="single" w:color="auto" w:sz="12" w:space="0"/>
            </w:tcBorders>
            <w:shd w:val="clear" w:color="auto" w:fill="CCCCCC"/>
          </w:tcPr>
          <w:p w:rsidR="003B0815" w:rsidRDefault="003B0815" w14:paraId="406831EB" w14:textId="77777777">
            <w:pPr>
              <w:keepNext/>
              <w:jc w:val="center"/>
              <w:rPr>
                <w:rFonts w:ascii="Arial" w:hAnsi="Arial" w:cs="Arial"/>
                <w:sz w:val="20"/>
                <w:szCs w:val="20"/>
              </w:rPr>
            </w:pPr>
            <w:r>
              <w:rPr>
                <w:rFonts w:ascii="Arial" w:hAnsi="Arial" w:cs="Arial"/>
                <w:b/>
                <w:bCs/>
                <w:sz w:val="20"/>
                <w:szCs w:val="20"/>
              </w:rPr>
              <w:t>$102.9</w:t>
            </w:r>
          </w:p>
        </w:tc>
      </w:tr>
      <w:tr w:rsidR="003B0815" w14:paraId="742551EE" w14:textId="77777777">
        <w:trPr>
          <w:cantSplit/>
          <w:jc w:val="center"/>
        </w:trPr>
        <w:tc>
          <w:tcPr>
            <w:tcW w:w="961" w:type="dxa"/>
            <w:tcBorders>
              <w:top w:val="single" w:color="auto" w:sz="4" w:space="0"/>
              <w:left w:val="single" w:color="auto" w:sz="12" w:space="0"/>
              <w:bottom w:val="single" w:color="auto" w:sz="4" w:space="0"/>
              <w:right w:val="nil"/>
            </w:tcBorders>
            <w:vAlign w:val="center"/>
          </w:tcPr>
          <w:p w:rsidR="003B0815" w:rsidRDefault="003B0815" w14:paraId="2D4E554C" w14:textId="77777777">
            <w:pPr>
              <w:keepNext/>
              <w:jc w:val="center"/>
              <w:rPr>
                <w:rFonts w:ascii="Arial" w:hAnsi="Arial" w:cs="Arial"/>
                <w:b/>
                <w:sz w:val="20"/>
                <w:szCs w:val="20"/>
              </w:rPr>
            </w:pPr>
            <w:r>
              <w:rPr>
                <w:rFonts w:ascii="Arial" w:hAnsi="Arial" w:cs="Arial"/>
                <w:b/>
                <w:sz w:val="20"/>
                <w:szCs w:val="20"/>
              </w:rPr>
              <w:t>Primary Total</w:t>
            </w:r>
          </w:p>
        </w:tc>
        <w:tc>
          <w:tcPr>
            <w:tcW w:w="1440" w:type="dxa"/>
            <w:tcBorders>
              <w:top w:val="single" w:color="auto" w:sz="4" w:space="0"/>
              <w:left w:val="nil"/>
              <w:bottom w:val="single" w:color="auto" w:sz="4" w:space="0"/>
              <w:right w:val="nil"/>
            </w:tcBorders>
          </w:tcPr>
          <w:p w:rsidR="003B0815" w:rsidRDefault="003B0815" w14:paraId="312B075F" w14:textId="77777777">
            <w:pPr>
              <w:keepNext/>
              <w:jc w:val="center"/>
              <w:rPr>
                <w:rFonts w:ascii="Arial" w:hAnsi="Arial" w:cs="Arial"/>
                <w:b/>
                <w:sz w:val="20"/>
                <w:szCs w:val="20"/>
              </w:rPr>
            </w:pPr>
            <w:r>
              <w:rPr>
                <w:rFonts w:ascii="Arial" w:hAnsi="Arial" w:cs="Arial"/>
                <w:b/>
                <w:bCs/>
                <w:sz w:val="20"/>
                <w:szCs w:val="20"/>
              </w:rPr>
              <w:t>$651.0</w:t>
            </w:r>
          </w:p>
        </w:tc>
        <w:tc>
          <w:tcPr>
            <w:tcW w:w="1620" w:type="dxa"/>
            <w:tcBorders>
              <w:top w:val="single" w:color="auto" w:sz="4" w:space="0"/>
              <w:left w:val="nil"/>
              <w:bottom w:val="single" w:color="auto" w:sz="4" w:space="0"/>
              <w:right w:val="nil"/>
            </w:tcBorders>
          </w:tcPr>
          <w:p w:rsidR="003B0815" w:rsidRDefault="003B0815" w14:paraId="5AC69B48" w14:textId="77777777">
            <w:pPr>
              <w:keepNext/>
              <w:jc w:val="center"/>
              <w:rPr>
                <w:rFonts w:ascii="Arial" w:hAnsi="Arial" w:cs="Arial"/>
                <w:b/>
                <w:sz w:val="20"/>
                <w:szCs w:val="20"/>
              </w:rPr>
            </w:pPr>
            <w:r>
              <w:rPr>
                <w:rFonts w:ascii="Arial" w:hAnsi="Arial" w:cs="Arial"/>
                <w:b/>
                <w:bCs/>
                <w:sz w:val="20"/>
                <w:szCs w:val="20"/>
              </w:rPr>
              <w:t>$164.9</w:t>
            </w:r>
          </w:p>
        </w:tc>
        <w:tc>
          <w:tcPr>
            <w:tcW w:w="1470" w:type="dxa"/>
            <w:tcBorders>
              <w:top w:val="single" w:color="auto" w:sz="4" w:space="0"/>
              <w:left w:val="nil"/>
              <w:bottom w:val="single" w:color="auto" w:sz="4" w:space="0"/>
              <w:right w:val="nil"/>
            </w:tcBorders>
          </w:tcPr>
          <w:p w:rsidR="003B0815" w:rsidRDefault="003B0815" w14:paraId="103FF5D9" w14:textId="77777777">
            <w:pPr>
              <w:keepNext/>
              <w:jc w:val="center"/>
              <w:rPr>
                <w:rFonts w:ascii="Arial" w:hAnsi="Arial" w:cs="Arial"/>
                <w:b/>
                <w:sz w:val="20"/>
                <w:szCs w:val="20"/>
              </w:rPr>
            </w:pPr>
            <w:r>
              <w:rPr>
                <w:rFonts w:ascii="Arial" w:hAnsi="Arial" w:cs="Arial"/>
                <w:b/>
                <w:bCs/>
                <w:sz w:val="20"/>
                <w:szCs w:val="20"/>
              </w:rPr>
              <w:t>$62.0</w:t>
            </w:r>
          </w:p>
        </w:tc>
        <w:tc>
          <w:tcPr>
            <w:tcW w:w="1916" w:type="dxa"/>
            <w:tcBorders>
              <w:top w:val="single" w:color="auto" w:sz="4" w:space="0"/>
              <w:left w:val="nil"/>
              <w:bottom w:val="single" w:color="auto" w:sz="4" w:space="0"/>
              <w:right w:val="single" w:color="auto" w:sz="12" w:space="0"/>
            </w:tcBorders>
          </w:tcPr>
          <w:p w:rsidR="003B0815" w:rsidRDefault="003B0815" w14:paraId="00C72D66" w14:textId="77777777">
            <w:pPr>
              <w:keepNext/>
              <w:jc w:val="center"/>
              <w:rPr>
                <w:rFonts w:ascii="Arial" w:hAnsi="Arial" w:cs="Arial"/>
                <w:b/>
                <w:sz w:val="20"/>
                <w:szCs w:val="20"/>
              </w:rPr>
            </w:pPr>
            <w:r>
              <w:rPr>
                <w:rFonts w:ascii="Arial" w:hAnsi="Arial" w:cs="Arial"/>
                <w:b/>
                <w:bCs/>
                <w:sz w:val="20"/>
                <w:szCs w:val="20"/>
              </w:rPr>
              <w:t>$877.9</w:t>
            </w:r>
          </w:p>
        </w:tc>
      </w:tr>
      <w:tr w:rsidR="003B0815" w14:paraId="117C69F1" w14:textId="77777777">
        <w:trPr>
          <w:cantSplit/>
          <w:jc w:val="center"/>
        </w:trPr>
        <w:tc>
          <w:tcPr>
            <w:tcW w:w="961" w:type="dxa"/>
            <w:tcBorders>
              <w:top w:val="single" w:color="auto" w:sz="4" w:space="0"/>
              <w:left w:val="single" w:color="auto" w:sz="12" w:space="0"/>
              <w:bottom w:val="single" w:color="auto" w:sz="4" w:space="0"/>
              <w:right w:val="nil"/>
            </w:tcBorders>
            <w:vAlign w:val="center"/>
          </w:tcPr>
          <w:p w:rsidR="003B0815" w:rsidRDefault="003B0815" w14:paraId="56C51A49" w14:textId="77777777">
            <w:pPr>
              <w:keepNext/>
              <w:jc w:val="center"/>
              <w:rPr>
                <w:rFonts w:ascii="Arial" w:hAnsi="Arial" w:cs="Arial"/>
                <w:b/>
                <w:sz w:val="20"/>
                <w:szCs w:val="20"/>
              </w:rPr>
            </w:pPr>
            <w:r>
              <w:rPr>
                <w:rFonts w:ascii="Arial" w:hAnsi="Arial" w:cs="Arial"/>
                <w:b/>
                <w:sz w:val="20"/>
                <w:szCs w:val="20"/>
              </w:rPr>
              <w:t>Low Total</w:t>
            </w:r>
          </w:p>
        </w:tc>
        <w:tc>
          <w:tcPr>
            <w:tcW w:w="1440" w:type="dxa"/>
            <w:tcBorders>
              <w:top w:val="single" w:color="auto" w:sz="4" w:space="0"/>
              <w:left w:val="nil"/>
              <w:bottom w:val="single" w:color="auto" w:sz="4" w:space="0"/>
              <w:right w:val="nil"/>
            </w:tcBorders>
          </w:tcPr>
          <w:p w:rsidR="003B0815" w:rsidRDefault="003B0815" w14:paraId="628E4D71" w14:textId="77777777">
            <w:pPr>
              <w:keepNext/>
              <w:jc w:val="center"/>
              <w:rPr>
                <w:rFonts w:ascii="Arial" w:hAnsi="Arial" w:cs="Arial"/>
                <w:b/>
                <w:sz w:val="20"/>
                <w:szCs w:val="20"/>
              </w:rPr>
            </w:pPr>
            <w:r>
              <w:rPr>
                <w:rFonts w:ascii="Arial" w:hAnsi="Arial" w:cs="Arial"/>
                <w:b/>
                <w:bCs/>
                <w:sz w:val="20"/>
                <w:szCs w:val="20"/>
              </w:rPr>
              <w:t>$584.5</w:t>
            </w:r>
          </w:p>
        </w:tc>
        <w:tc>
          <w:tcPr>
            <w:tcW w:w="1620" w:type="dxa"/>
            <w:tcBorders>
              <w:top w:val="single" w:color="auto" w:sz="4" w:space="0"/>
              <w:left w:val="nil"/>
              <w:bottom w:val="single" w:color="auto" w:sz="4" w:space="0"/>
              <w:right w:val="nil"/>
            </w:tcBorders>
          </w:tcPr>
          <w:p w:rsidR="003B0815" w:rsidRDefault="003B0815" w14:paraId="083DC99C" w14:textId="77777777">
            <w:pPr>
              <w:keepNext/>
              <w:jc w:val="center"/>
              <w:rPr>
                <w:rFonts w:ascii="Arial" w:hAnsi="Arial" w:cs="Arial"/>
                <w:b/>
                <w:sz w:val="20"/>
                <w:szCs w:val="20"/>
              </w:rPr>
            </w:pPr>
            <w:r>
              <w:rPr>
                <w:rFonts w:ascii="Arial" w:hAnsi="Arial" w:cs="Arial"/>
                <w:b/>
                <w:bCs/>
                <w:sz w:val="20"/>
                <w:szCs w:val="20"/>
              </w:rPr>
              <w:t>$147.3</w:t>
            </w:r>
          </w:p>
        </w:tc>
        <w:tc>
          <w:tcPr>
            <w:tcW w:w="1470" w:type="dxa"/>
            <w:tcBorders>
              <w:top w:val="single" w:color="auto" w:sz="4" w:space="0"/>
              <w:left w:val="nil"/>
              <w:bottom w:val="single" w:color="auto" w:sz="4" w:space="0"/>
              <w:right w:val="nil"/>
            </w:tcBorders>
          </w:tcPr>
          <w:p w:rsidR="003B0815" w:rsidRDefault="003B0815" w14:paraId="456C2C2E" w14:textId="77777777">
            <w:pPr>
              <w:keepNext/>
              <w:jc w:val="center"/>
              <w:rPr>
                <w:rFonts w:ascii="Arial" w:hAnsi="Arial" w:cs="Arial"/>
                <w:b/>
                <w:sz w:val="20"/>
                <w:szCs w:val="20"/>
              </w:rPr>
            </w:pPr>
            <w:r>
              <w:rPr>
                <w:rFonts w:ascii="Arial" w:hAnsi="Arial" w:cs="Arial"/>
                <w:b/>
                <w:bCs/>
                <w:sz w:val="20"/>
                <w:szCs w:val="20"/>
              </w:rPr>
              <w:t>$55.5</w:t>
            </w:r>
          </w:p>
        </w:tc>
        <w:tc>
          <w:tcPr>
            <w:tcW w:w="1916" w:type="dxa"/>
            <w:tcBorders>
              <w:top w:val="single" w:color="auto" w:sz="4" w:space="0"/>
              <w:left w:val="nil"/>
              <w:bottom w:val="single" w:color="auto" w:sz="4" w:space="0"/>
              <w:right w:val="single" w:color="auto" w:sz="12" w:space="0"/>
            </w:tcBorders>
          </w:tcPr>
          <w:p w:rsidR="003B0815" w:rsidRDefault="003B0815" w14:paraId="61E7B7A0" w14:textId="77777777">
            <w:pPr>
              <w:keepNext/>
              <w:jc w:val="center"/>
              <w:rPr>
                <w:rFonts w:ascii="Arial" w:hAnsi="Arial" w:cs="Arial"/>
                <w:b/>
                <w:sz w:val="20"/>
                <w:szCs w:val="20"/>
              </w:rPr>
            </w:pPr>
            <w:r>
              <w:rPr>
                <w:rFonts w:ascii="Arial" w:hAnsi="Arial" w:cs="Arial"/>
                <w:b/>
                <w:bCs/>
                <w:sz w:val="20"/>
                <w:szCs w:val="20"/>
              </w:rPr>
              <w:t>$787.3</w:t>
            </w:r>
          </w:p>
        </w:tc>
      </w:tr>
      <w:tr w:rsidR="003B0815" w14:paraId="53ECF62C" w14:textId="77777777">
        <w:trPr>
          <w:cantSplit/>
          <w:jc w:val="center"/>
        </w:trPr>
        <w:tc>
          <w:tcPr>
            <w:tcW w:w="961" w:type="dxa"/>
            <w:tcBorders>
              <w:top w:val="single" w:color="auto" w:sz="4" w:space="0"/>
              <w:left w:val="single" w:color="auto" w:sz="12" w:space="0"/>
              <w:bottom w:val="single" w:color="auto" w:sz="12" w:space="0"/>
              <w:right w:val="nil"/>
            </w:tcBorders>
            <w:vAlign w:val="center"/>
          </w:tcPr>
          <w:p w:rsidR="003B0815" w:rsidRDefault="003B0815" w14:paraId="6CF8FCD8" w14:textId="77777777">
            <w:pPr>
              <w:keepNext/>
              <w:jc w:val="center"/>
              <w:rPr>
                <w:rFonts w:ascii="Arial" w:hAnsi="Arial" w:cs="Arial"/>
                <w:b/>
                <w:sz w:val="20"/>
                <w:szCs w:val="20"/>
              </w:rPr>
            </w:pPr>
            <w:r>
              <w:rPr>
                <w:rFonts w:ascii="Arial" w:hAnsi="Arial" w:cs="Arial"/>
                <w:b/>
                <w:sz w:val="20"/>
                <w:szCs w:val="20"/>
              </w:rPr>
              <w:t>High Total</w:t>
            </w:r>
          </w:p>
        </w:tc>
        <w:tc>
          <w:tcPr>
            <w:tcW w:w="1440" w:type="dxa"/>
            <w:tcBorders>
              <w:top w:val="single" w:color="auto" w:sz="4" w:space="0"/>
              <w:left w:val="nil"/>
              <w:bottom w:val="single" w:color="auto" w:sz="12" w:space="0"/>
              <w:right w:val="nil"/>
            </w:tcBorders>
          </w:tcPr>
          <w:p w:rsidR="003B0815" w:rsidRDefault="003B0815" w14:paraId="2708D073" w14:textId="77777777">
            <w:pPr>
              <w:keepNext/>
              <w:jc w:val="center"/>
              <w:rPr>
                <w:rFonts w:ascii="Arial" w:hAnsi="Arial" w:cs="Arial"/>
                <w:b/>
                <w:sz w:val="20"/>
                <w:szCs w:val="20"/>
              </w:rPr>
            </w:pPr>
            <w:r>
              <w:rPr>
                <w:rFonts w:ascii="Arial" w:hAnsi="Arial" w:cs="Arial"/>
                <w:b/>
                <w:bCs/>
                <w:sz w:val="20"/>
                <w:szCs w:val="20"/>
              </w:rPr>
              <w:t>$717.3</w:t>
            </w:r>
          </w:p>
        </w:tc>
        <w:tc>
          <w:tcPr>
            <w:tcW w:w="1620" w:type="dxa"/>
            <w:tcBorders>
              <w:top w:val="single" w:color="auto" w:sz="4" w:space="0"/>
              <w:left w:val="nil"/>
              <w:bottom w:val="single" w:color="auto" w:sz="12" w:space="0"/>
              <w:right w:val="nil"/>
            </w:tcBorders>
          </w:tcPr>
          <w:p w:rsidR="003B0815" w:rsidRDefault="003B0815" w14:paraId="1831877F" w14:textId="77777777">
            <w:pPr>
              <w:keepNext/>
              <w:jc w:val="center"/>
              <w:rPr>
                <w:rFonts w:ascii="Arial" w:hAnsi="Arial" w:cs="Arial"/>
                <w:b/>
                <w:sz w:val="20"/>
                <w:szCs w:val="20"/>
              </w:rPr>
            </w:pPr>
            <w:r>
              <w:rPr>
                <w:rFonts w:ascii="Arial" w:hAnsi="Arial" w:cs="Arial"/>
                <w:b/>
                <w:bCs/>
                <w:sz w:val="20"/>
                <w:szCs w:val="20"/>
              </w:rPr>
              <w:t>$182.3</w:t>
            </w:r>
          </w:p>
        </w:tc>
        <w:tc>
          <w:tcPr>
            <w:tcW w:w="1470" w:type="dxa"/>
            <w:tcBorders>
              <w:top w:val="single" w:color="auto" w:sz="4" w:space="0"/>
              <w:left w:val="nil"/>
              <w:bottom w:val="single" w:color="auto" w:sz="12" w:space="0"/>
              <w:right w:val="nil"/>
            </w:tcBorders>
          </w:tcPr>
          <w:p w:rsidR="003B0815" w:rsidRDefault="003B0815" w14:paraId="3F27E40F" w14:textId="77777777">
            <w:pPr>
              <w:keepNext/>
              <w:jc w:val="center"/>
              <w:rPr>
                <w:rFonts w:ascii="Arial" w:hAnsi="Arial" w:cs="Arial"/>
                <w:b/>
                <w:sz w:val="20"/>
                <w:szCs w:val="20"/>
              </w:rPr>
            </w:pPr>
            <w:r>
              <w:rPr>
                <w:rFonts w:ascii="Arial" w:hAnsi="Arial" w:cs="Arial"/>
                <w:b/>
                <w:bCs/>
                <w:sz w:val="20"/>
                <w:szCs w:val="20"/>
              </w:rPr>
              <w:t>$68.1</w:t>
            </w:r>
          </w:p>
        </w:tc>
        <w:tc>
          <w:tcPr>
            <w:tcW w:w="1916" w:type="dxa"/>
            <w:tcBorders>
              <w:top w:val="single" w:color="auto" w:sz="4" w:space="0"/>
              <w:left w:val="nil"/>
              <w:bottom w:val="single" w:color="auto" w:sz="12" w:space="0"/>
              <w:right w:val="single" w:color="auto" w:sz="12" w:space="0"/>
            </w:tcBorders>
          </w:tcPr>
          <w:p w:rsidR="003B0815" w:rsidRDefault="003B0815" w14:paraId="7864F3E1" w14:textId="77777777">
            <w:pPr>
              <w:keepNext/>
              <w:jc w:val="center"/>
              <w:rPr>
                <w:rFonts w:ascii="Arial" w:hAnsi="Arial" w:cs="Arial"/>
                <w:b/>
                <w:sz w:val="20"/>
                <w:szCs w:val="20"/>
              </w:rPr>
            </w:pPr>
            <w:r>
              <w:rPr>
                <w:rFonts w:ascii="Arial" w:hAnsi="Arial" w:cs="Arial"/>
                <w:b/>
                <w:bCs/>
                <w:sz w:val="20"/>
                <w:szCs w:val="20"/>
              </w:rPr>
              <w:t>$967.7</w:t>
            </w:r>
          </w:p>
        </w:tc>
      </w:tr>
      <w:tr w:rsidR="003B0815" w14:paraId="37C6FFA2" w14:textId="77777777">
        <w:trPr>
          <w:cantSplit/>
          <w:jc w:val="center"/>
        </w:trPr>
        <w:tc>
          <w:tcPr>
            <w:tcW w:w="7407" w:type="dxa"/>
            <w:gridSpan w:val="5"/>
            <w:tcBorders>
              <w:top w:val="single" w:color="auto" w:sz="12" w:space="0"/>
              <w:left w:val="nil"/>
              <w:bottom w:val="nil"/>
              <w:right w:val="nil"/>
            </w:tcBorders>
            <w:vAlign w:val="center"/>
          </w:tcPr>
          <w:p w:rsidR="003B0815" w:rsidRDefault="003B0815" w14:paraId="44ACE481" w14:textId="77777777">
            <w:pPr>
              <w:keepNext/>
              <w:rPr>
                <w:rFonts w:ascii="Arial" w:hAnsi="Arial" w:cs="Arial"/>
                <w:sz w:val="20"/>
                <w:szCs w:val="20"/>
              </w:rPr>
            </w:pPr>
            <w:r>
              <w:rPr>
                <w:rFonts w:ascii="Arial" w:hAnsi="Arial" w:cs="Arial"/>
                <w:sz w:val="20"/>
                <w:szCs w:val="20"/>
              </w:rPr>
              <w:t>* These totals include both large and small carrier estimates.</w:t>
            </w:r>
          </w:p>
        </w:tc>
      </w:tr>
    </w:tbl>
    <w:p w:rsidR="003B0815" w:rsidRDefault="003B0815" w14:paraId="6849AA5D" w14:textId="77777777">
      <w:pPr>
        <w:spacing w:line="360" w:lineRule="auto"/>
        <w:ind w:firstLine="720"/>
      </w:pPr>
    </w:p>
    <w:p w:rsidR="003B0815" w:rsidRDefault="003B0815" w14:paraId="6D199AAF" w14:textId="77777777">
      <w:pPr>
        <w:spacing w:line="360" w:lineRule="auto"/>
        <w:ind w:firstLine="720"/>
      </w:pPr>
    </w:p>
    <w:p w:rsidR="003B0815" w:rsidRDefault="003B0815" w14:paraId="0A5010CE" w14:textId="77777777">
      <w:pPr>
        <w:spacing w:line="360" w:lineRule="auto"/>
        <w:ind w:firstLine="720"/>
      </w:pPr>
      <w:r>
        <w:t>Passenger opportunity costs imposed by Secure Flight requirements or procedures might also come about from the occasional need for passengers whose boarding passes were inhibited due to a match with the watch list and who were consequently unable to board their scheduled flight.  Such passengers would have to be rebooked by their airline, incurring the loss of valuable time as they worked with their airline’s customary customer service procedures to complete their interrupted travel itinerary.  Concerns about such opportunity costs were raised in some public comments to the Secure Flight NPRM.  In TSA’s view, the effect of Secure Flight will be to improve the system-wide passenger clearing process, not reduce its effectiveness.  Further, any costs that may be imposed by Secure Flight should be measured as an increment from today’s baseline, which itself already includes these types of consequential but infrequent disruptions to travel plans.</w:t>
      </w:r>
    </w:p>
    <w:p w:rsidR="003B0815" w:rsidRDefault="003B0815" w14:paraId="3CA17199" w14:textId="77777777">
      <w:pPr>
        <w:spacing w:line="360" w:lineRule="auto"/>
        <w:ind w:firstLine="720"/>
      </w:pPr>
      <w:r>
        <w:t xml:space="preserve">TSA is confident that Secure Flight will reduce rather than increase delays, and for this reason it is not including an estimate of these opportunity costs as part of the cost estimate for the rule.  However, Secure Flight is a complex system of information management and communication, and such systems are inherently subject to risk of periodic failure, and TSA believes that it is necessary to provide some accounting for this risk.  To provide a frame of reference for such potential opportunity costs, TSA examined the time costs associated with all security related delays in the current system.  Analysis of data from the Bureau of Transportation Statistics on commercial airline delay factors, TSA estimated that in Fiscal Year 2007, </w:t>
      </w:r>
      <w:smartTag w:uri="urn:schemas-microsoft-com:office:smarttags" w:element="country-region">
        <w:smartTag w:uri="urn:schemas-microsoft-com:office:smarttags" w:element="place">
          <w:r>
            <w:t>U.S.</w:t>
          </w:r>
        </w:smartTag>
      </w:smartTag>
      <w:r>
        <w:t xml:space="preserve"> airlines experienced 1.4 seconds of security related delay per domestic enplaned passenger delay.  Table 1.6.6.m extends this per passenger delay estimate to annual domestic enplanements, and calculates the value of this delay impact of security using the Department of Transportation’s value of passenger of time, $28.60.  While the risk and persistence of system outages and disruptions related to system complexity are not known, TSA believes that an annual doubling of per passenger security related delay provides a conservative proxy for this potential cost to users of the air transportation system.  Because the estimated 10 year undiscounted value of $88.5 million is regarded as providing a frame of reference for this risk, the value is used for the primary, low and high estimate of this opportunity cost component.</w:t>
      </w:r>
    </w:p>
    <w:p w:rsidR="003B0815" w:rsidRDefault="003B0815" w14:paraId="188FCE5B" w14:textId="77777777">
      <w:pPr>
        <w:spacing w:line="360" w:lineRule="auto"/>
        <w:ind w:firstLine="720"/>
      </w:pPr>
    </w:p>
    <w:tbl>
      <w:tblPr>
        <w:tblW w:w="7600" w:type="dxa"/>
        <w:jc w:val="center"/>
        <w:tblCellMar>
          <w:left w:w="0" w:type="dxa"/>
          <w:right w:w="0" w:type="dxa"/>
        </w:tblCellMar>
        <w:tblLook w:val="0000" w:firstRow="0" w:lastRow="0" w:firstColumn="0" w:lastColumn="0" w:noHBand="0" w:noVBand="0"/>
      </w:tblPr>
      <w:tblGrid>
        <w:gridCol w:w="859"/>
        <w:gridCol w:w="2785"/>
        <w:gridCol w:w="1989"/>
        <w:gridCol w:w="1983"/>
      </w:tblGrid>
      <w:tr w:rsidR="003B0815" w14:paraId="02E29088" w14:textId="77777777">
        <w:trPr>
          <w:trHeight w:val="270"/>
          <w:jc w:val="center"/>
        </w:trPr>
        <w:tc>
          <w:tcPr>
            <w:tcW w:w="7600" w:type="dxa"/>
            <w:gridSpan w:val="4"/>
            <w:tcBorders>
              <w:top w:val="nil"/>
              <w:left w:val="nil"/>
              <w:bottom w:val="single" w:color="auto" w:sz="8" w:space="0"/>
              <w:right w:val="nil"/>
            </w:tcBorders>
            <w:noWrap/>
            <w:vAlign w:val="bottom"/>
          </w:tcPr>
          <w:p w:rsidR="003B0815" w:rsidRDefault="003B0815" w14:paraId="5FEC2F61" w14:textId="77777777">
            <w:pPr>
              <w:pStyle w:val="RegEvalTableHeader"/>
              <w:rPr>
                <w:rFonts w:eastAsia="Arial Unicode MS"/>
              </w:rPr>
            </w:pPr>
            <w:bookmarkStart w:name="_Toc207109554" w:id="422"/>
            <w:r>
              <w:t xml:space="preserve">Table 1.6.6.m Passenger </w:t>
            </w:r>
            <w:smartTag w:uri="urn:schemas-microsoft-com:office:smarttags" w:element="place">
              <w:r>
                <w:t>Opportunity</w:t>
              </w:r>
            </w:smartTag>
            <w:r>
              <w:t xml:space="preserve"> Costs of Secure Flight Complexity Risks</w:t>
            </w:r>
            <w:bookmarkEnd w:id="422"/>
          </w:p>
        </w:tc>
      </w:tr>
      <w:tr w:rsidR="003B0815" w14:paraId="40C533ED" w14:textId="77777777">
        <w:trPr>
          <w:trHeight w:val="1020"/>
          <w:jc w:val="center"/>
        </w:trPr>
        <w:tc>
          <w:tcPr>
            <w:tcW w:w="960" w:type="dxa"/>
            <w:tcBorders>
              <w:top w:val="nil"/>
              <w:left w:val="single" w:color="auto" w:sz="8" w:space="0"/>
              <w:bottom w:val="nil"/>
              <w:right w:val="single" w:color="auto" w:sz="4" w:space="0"/>
            </w:tcBorders>
            <w:vAlign w:val="center"/>
          </w:tcPr>
          <w:p w:rsidR="003B0815" w:rsidRDefault="003B0815" w14:paraId="48CF6149" w14:textId="77777777">
            <w:pPr>
              <w:jc w:val="center"/>
              <w:rPr>
                <w:rFonts w:ascii="Arial" w:hAnsi="Arial" w:eastAsia="Arial Unicode MS" w:cs="Arial"/>
                <w:b/>
                <w:bCs/>
                <w:sz w:val="20"/>
                <w:szCs w:val="20"/>
              </w:rPr>
            </w:pPr>
            <w:r>
              <w:rPr>
                <w:rFonts w:ascii="Arial" w:hAnsi="Arial" w:cs="Arial"/>
                <w:b/>
                <w:bCs/>
                <w:sz w:val="20"/>
                <w:szCs w:val="20"/>
              </w:rPr>
              <w:t>Fiscal Year</w:t>
            </w:r>
          </w:p>
        </w:tc>
        <w:tc>
          <w:tcPr>
            <w:tcW w:w="2300" w:type="dxa"/>
            <w:tcBorders>
              <w:top w:val="nil"/>
              <w:left w:val="nil"/>
              <w:bottom w:val="nil"/>
              <w:right w:val="single" w:color="auto" w:sz="4" w:space="0"/>
            </w:tcBorders>
            <w:vAlign w:val="center"/>
          </w:tcPr>
          <w:p w:rsidR="003B0815" w:rsidRDefault="003B0815" w14:paraId="56D409FB" w14:textId="77777777">
            <w:pPr>
              <w:jc w:val="center"/>
              <w:rPr>
                <w:rFonts w:ascii="Arial" w:hAnsi="Arial" w:eastAsia="Arial Unicode MS" w:cs="Arial"/>
                <w:b/>
                <w:bCs/>
                <w:sz w:val="20"/>
                <w:szCs w:val="20"/>
              </w:rPr>
            </w:pPr>
            <w:r>
              <w:rPr>
                <w:rFonts w:ascii="Arial" w:hAnsi="Arial" w:cs="Arial"/>
                <w:b/>
                <w:bCs/>
                <w:sz w:val="20"/>
                <w:szCs w:val="20"/>
              </w:rPr>
              <w:t>Annual Domestic Enplanements</w:t>
            </w:r>
          </w:p>
        </w:tc>
        <w:tc>
          <w:tcPr>
            <w:tcW w:w="1660" w:type="dxa"/>
            <w:tcBorders>
              <w:top w:val="nil"/>
              <w:left w:val="nil"/>
              <w:bottom w:val="nil"/>
              <w:right w:val="single" w:color="auto" w:sz="4" w:space="0"/>
            </w:tcBorders>
            <w:vAlign w:val="center"/>
          </w:tcPr>
          <w:p w:rsidR="003B0815" w:rsidRDefault="003B0815" w14:paraId="1F8FD893" w14:textId="77777777">
            <w:pPr>
              <w:jc w:val="center"/>
              <w:rPr>
                <w:rFonts w:ascii="Arial" w:hAnsi="Arial" w:eastAsia="Arial Unicode MS" w:cs="Arial"/>
                <w:b/>
                <w:bCs/>
                <w:sz w:val="20"/>
                <w:szCs w:val="20"/>
              </w:rPr>
            </w:pPr>
            <w:r>
              <w:rPr>
                <w:rFonts w:ascii="Arial" w:hAnsi="Arial" w:cs="Arial"/>
                <w:b/>
                <w:bCs/>
                <w:sz w:val="20"/>
                <w:szCs w:val="20"/>
              </w:rPr>
              <w:t>Security-Related Delay (1.4 seconds), in hours</w:t>
            </w:r>
          </w:p>
        </w:tc>
        <w:tc>
          <w:tcPr>
            <w:tcW w:w="2680" w:type="dxa"/>
            <w:tcBorders>
              <w:top w:val="nil"/>
              <w:left w:val="nil"/>
              <w:bottom w:val="nil"/>
              <w:right w:val="single" w:color="auto" w:sz="8" w:space="0"/>
            </w:tcBorders>
            <w:vAlign w:val="center"/>
          </w:tcPr>
          <w:p w:rsidR="003B0815" w:rsidRDefault="003B0815" w14:paraId="6C743293" w14:textId="77777777">
            <w:pPr>
              <w:jc w:val="center"/>
              <w:rPr>
                <w:rFonts w:ascii="Arial" w:hAnsi="Arial" w:eastAsia="Arial Unicode MS" w:cs="Arial"/>
                <w:b/>
                <w:bCs/>
                <w:sz w:val="20"/>
                <w:szCs w:val="20"/>
              </w:rPr>
            </w:pPr>
            <w:smartTag w:uri="urn:schemas-microsoft-com:office:smarttags" w:element="place">
              <w:r>
                <w:rPr>
                  <w:rFonts w:ascii="Arial" w:hAnsi="Arial" w:cs="Arial"/>
                  <w:b/>
                  <w:bCs/>
                  <w:sz w:val="20"/>
                  <w:szCs w:val="20"/>
                </w:rPr>
                <w:t>Opportunity</w:t>
              </w:r>
            </w:smartTag>
            <w:r>
              <w:rPr>
                <w:rFonts w:ascii="Arial" w:hAnsi="Arial" w:cs="Arial"/>
                <w:b/>
                <w:bCs/>
                <w:sz w:val="20"/>
                <w:szCs w:val="20"/>
              </w:rPr>
              <w:t xml:space="preserve"> Cost of Passenger Time (@$28.60/hr)</w:t>
            </w:r>
          </w:p>
        </w:tc>
      </w:tr>
      <w:tr w:rsidR="003B0815" w14:paraId="08567E58" w14:textId="77777777">
        <w:trPr>
          <w:trHeight w:val="255"/>
          <w:jc w:val="center"/>
        </w:trPr>
        <w:tc>
          <w:tcPr>
            <w:tcW w:w="0" w:type="auto"/>
            <w:tcBorders>
              <w:top w:val="single" w:color="auto" w:sz="4" w:space="0"/>
              <w:left w:val="single" w:color="auto" w:sz="8" w:space="0"/>
              <w:bottom w:val="single" w:color="auto" w:sz="4" w:space="0"/>
              <w:right w:val="single" w:color="auto" w:sz="4" w:space="0"/>
            </w:tcBorders>
            <w:noWrap/>
            <w:vAlign w:val="bottom"/>
          </w:tcPr>
          <w:p w:rsidR="003B0815" w:rsidRDefault="003B0815" w14:paraId="6865F51E" w14:textId="77777777">
            <w:pPr>
              <w:jc w:val="center"/>
              <w:rPr>
                <w:rFonts w:ascii="Arial" w:hAnsi="Arial" w:eastAsia="Arial Unicode MS" w:cs="Arial"/>
                <w:sz w:val="20"/>
                <w:szCs w:val="20"/>
              </w:rPr>
            </w:pPr>
            <w:r>
              <w:rPr>
                <w:rFonts w:ascii="Arial" w:hAnsi="Arial" w:cs="Arial"/>
                <w:sz w:val="20"/>
                <w:szCs w:val="20"/>
              </w:rPr>
              <w:t>2008</w:t>
            </w:r>
          </w:p>
        </w:tc>
        <w:tc>
          <w:tcPr>
            <w:tcW w:w="0" w:type="auto"/>
            <w:tcBorders>
              <w:top w:val="single" w:color="auto" w:sz="4" w:space="0"/>
              <w:left w:val="nil"/>
              <w:bottom w:val="single" w:color="auto" w:sz="4" w:space="0"/>
              <w:right w:val="single" w:color="auto" w:sz="4" w:space="0"/>
            </w:tcBorders>
            <w:noWrap/>
            <w:vAlign w:val="bottom"/>
          </w:tcPr>
          <w:p w:rsidR="003B0815" w:rsidRDefault="003B0815" w14:paraId="2A7980ED" w14:textId="77777777">
            <w:pPr>
              <w:jc w:val="center"/>
              <w:rPr>
                <w:rFonts w:ascii="Arial" w:hAnsi="Arial" w:eastAsia="Arial Unicode MS" w:cs="Arial"/>
                <w:sz w:val="20"/>
                <w:szCs w:val="20"/>
              </w:rPr>
            </w:pPr>
            <w:r>
              <w:rPr>
                <w:rFonts w:ascii="Arial" w:hAnsi="Arial" w:cs="Arial"/>
                <w:sz w:val="20"/>
                <w:szCs w:val="20"/>
              </w:rPr>
              <w:t xml:space="preserve">                  677,500,000 </w:t>
            </w:r>
          </w:p>
        </w:tc>
        <w:tc>
          <w:tcPr>
            <w:tcW w:w="0" w:type="auto"/>
            <w:tcBorders>
              <w:top w:val="single" w:color="auto" w:sz="4" w:space="0"/>
              <w:left w:val="nil"/>
              <w:bottom w:val="single" w:color="auto" w:sz="4" w:space="0"/>
              <w:right w:val="single" w:color="auto" w:sz="4" w:space="0"/>
            </w:tcBorders>
            <w:noWrap/>
            <w:vAlign w:val="bottom"/>
          </w:tcPr>
          <w:p w:rsidR="003B0815" w:rsidRDefault="003B0815" w14:paraId="1253D5B3" w14:textId="77777777">
            <w:pPr>
              <w:jc w:val="center"/>
              <w:rPr>
                <w:rFonts w:ascii="Arial" w:hAnsi="Arial" w:eastAsia="Arial Unicode MS" w:cs="Arial"/>
                <w:sz w:val="20"/>
                <w:szCs w:val="20"/>
              </w:rPr>
            </w:pPr>
            <w:r>
              <w:rPr>
                <w:rFonts w:ascii="Arial" w:hAnsi="Arial" w:cs="Arial"/>
                <w:sz w:val="20"/>
                <w:szCs w:val="20"/>
              </w:rPr>
              <w:t xml:space="preserve">           263,472.2 </w:t>
            </w:r>
          </w:p>
        </w:tc>
        <w:tc>
          <w:tcPr>
            <w:tcW w:w="0" w:type="auto"/>
            <w:tcBorders>
              <w:top w:val="single" w:color="auto" w:sz="4" w:space="0"/>
              <w:left w:val="nil"/>
              <w:bottom w:val="single" w:color="auto" w:sz="4" w:space="0"/>
              <w:right w:val="single" w:color="auto" w:sz="8" w:space="0"/>
            </w:tcBorders>
            <w:noWrap/>
            <w:vAlign w:val="bottom"/>
          </w:tcPr>
          <w:p w:rsidR="003B0815" w:rsidRDefault="003B0815" w14:paraId="3539E016" w14:textId="77777777">
            <w:pPr>
              <w:jc w:val="center"/>
              <w:rPr>
                <w:rFonts w:ascii="Arial" w:hAnsi="Arial" w:eastAsia="Arial Unicode MS" w:cs="Arial"/>
                <w:sz w:val="20"/>
                <w:szCs w:val="20"/>
              </w:rPr>
            </w:pPr>
            <w:r>
              <w:rPr>
                <w:rFonts w:ascii="Arial" w:hAnsi="Arial" w:cs="Arial"/>
                <w:sz w:val="20"/>
                <w:szCs w:val="20"/>
              </w:rPr>
              <w:t xml:space="preserve">$7,535,306 </w:t>
            </w:r>
          </w:p>
        </w:tc>
      </w:tr>
      <w:tr w:rsidR="003B0815" w14:paraId="51D88E71"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79399AFB" w14:textId="77777777">
            <w:pPr>
              <w:jc w:val="center"/>
              <w:rPr>
                <w:rFonts w:ascii="Arial" w:hAnsi="Arial" w:eastAsia="Arial Unicode MS" w:cs="Arial"/>
                <w:sz w:val="20"/>
                <w:szCs w:val="20"/>
              </w:rPr>
            </w:pPr>
            <w:r>
              <w:rPr>
                <w:rFonts w:ascii="Arial" w:hAnsi="Arial" w:cs="Arial"/>
                <w:sz w:val="20"/>
                <w:szCs w:val="20"/>
              </w:rPr>
              <w:t>2009</w:t>
            </w:r>
          </w:p>
        </w:tc>
        <w:tc>
          <w:tcPr>
            <w:tcW w:w="0" w:type="auto"/>
            <w:tcBorders>
              <w:top w:val="nil"/>
              <w:left w:val="nil"/>
              <w:bottom w:val="single" w:color="auto" w:sz="4" w:space="0"/>
              <w:right w:val="single" w:color="auto" w:sz="4" w:space="0"/>
            </w:tcBorders>
            <w:noWrap/>
            <w:vAlign w:val="bottom"/>
          </w:tcPr>
          <w:p w:rsidR="003B0815" w:rsidRDefault="003B0815" w14:paraId="31FB850C" w14:textId="77777777">
            <w:pPr>
              <w:jc w:val="center"/>
              <w:rPr>
                <w:rFonts w:ascii="Arial" w:hAnsi="Arial" w:eastAsia="Arial Unicode MS" w:cs="Arial"/>
                <w:sz w:val="20"/>
                <w:szCs w:val="20"/>
              </w:rPr>
            </w:pPr>
            <w:r>
              <w:rPr>
                <w:rFonts w:ascii="Arial" w:hAnsi="Arial" w:cs="Arial"/>
                <w:sz w:val="20"/>
                <w:szCs w:val="20"/>
              </w:rPr>
              <w:t xml:space="preserve">                  698,300,000 </w:t>
            </w:r>
          </w:p>
        </w:tc>
        <w:tc>
          <w:tcPr>
            <w:tcW w:w="0" w:type="auto"/>
            <w:tcBorders>
              <w:top w:val="nil"/>
              <w:left w:val="nil"/>
              <w:bottom w:val="single" w:color="auto" w:sz="4" w:space="0"/>
              <w:right w:val="single" w:color="auto" w:sz="4" w:space="0"/>
            </w:tcBorders>
            <w:noWrap/>
            <w:vAlign w:val="bottom"/>
          </w:tcPr>
          <w:p w:rsidR="003B0815" w:rsidRDefault="003B0815" w14:paraId="192BEC90" w14:textId="77777777">
            <w:pPr>
              <w:jc w:val="center"/>
              <w:rPr>
                <w:rFonts w:ascii="Arial" w:hAnsi="Arial" w:eastAsia="Arial Unicode MS" w:cs="Arial"/>
                <w:sz w:val="20"/>
                <w:szCs w:val="20"/>
              </w:rPr>
            </w:pPr>
            <w:r>
              <w:rPr>
                <w:rFonts w:ascii="Arial" w:hAnsi="Arial" w:cs="Arial"/>
                <w:sz w:val="20"/>
                <w:szCs w:val="20"/>
              </w:rPr>
              <w:t xml:space="preserve">           271,561.1 </w:t>
            </w:r>
          </w:p>
        </w:tc>
        <w:tc>
          <w:tcPr>
            <w:tcW w:w="0" w:type="auto"/>
            <w:tcBorders>
              <w:top w:val="nil"/>
              <w:left w:val="nil"/>
              <w:bottom w:val="single" w:color="auto" w:sz="4" w:space="0"/>
              <w:right w:val="single" w:color="auto" w:sz="8" w:space="0"/>
            </w:tcBorders>
            <w:noWrap/>
            <w:vAlign w:val="bottom"/>
          </w:tcPr>
          <w:p w:rsidR="003B0815" w:rsidRDefault="003B0815" w14:paraId="451F0390" w14:textId="77777777">
            <w:pPr>
              <w:jc w:val="center"/>
              <w:rPr>
                <w:rFonts w:ascii="Arial" w:hAnsi="Arial" w:eastAsia="Arial Unicode MS" w:cs="Arial"/>
                <w:sz w:val="20"/>
                <w:szCs w:val="20"/>
              </w:rPr>
            </w:pPr>
            <w:r>
              <w:rPr>
                <w:rFonts w:ascii="Arial" w:hAnsi="Arial" w:cs="Arial"/>
                <w:sz w:val="20"/>
                <w:szCs w:val="20"/>
              </w:rPr>
              <w:t xml:space="preserve">$7,766,648 </w:t>
            </w:r>
          </w:p>
        </w:tc>
      </w:tr>
      <w:tr w:rsidR="003B0815" w14:paraId="0BEB9046"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7BDD6ACD" w14:textId="77777777">
            <w:pPr>
              <w:jc w:val="center"/>
              <w:rPr>
                <w:rFonts w:ascii="Arial" w:hAnsi="Arial" w:eastAsia="Arial Unicode MS" w:cs="Arial"/>
                <w:sz w:val="20"/>
                <w:szCs w:val="20"/>
              </w:rPr>
            </w:pPr>
            <w:r>
              <w:rPr>
                <w:rFonts w:ascii="Arial" w:hAnsi="Arial" w:cs="Arial"/>
                <w:sz w:val="20"/>
                <w:szCs w:val="20"/>
              </w:rPr>
              <w:t>2010</w:t>
            </w:r>
          </w:p>
        </w:tc>
        <w:tc>
          <w:tcPr>
            <w:tcW w:w="0" w:type="auto"/>
            <w:tcBorders>
              <w:top w:val="nil"/>
              <w:left w:val="nil"/>
              <w:bottom w:val="single" w:color="auto" w:sz="4" w:space="0"/>
              <w:right w:val="single" w:color="auto" w:sz="4" w:space="0"/>
            </w:tcBorders>
            <w:noWrap/>
            <w:vAlign w:val="bottom"/>
          </w:tcPr>
          <w:p w:rsidR="003B0815" w:rsidRDefault="003B0815" w14:paraId="78572DEF" w14:textId="77777777">
            <w:pPr>
              <w:jc w:val="center"/>
              <w:rPr>
                <w:rFonts w:ascii="Arial" w:hAnsi="Arial" w:eastAsia="Arial Unicode MS" w:cs="Arial"/>
                <w:sz w:val="20"/>
                <w:szCs w:val="20"/>
              </w:rPr>
            </w:pPr>
            <w:r>
              <w:rPr>
                <w:rFonts w:ascii="Arial" w:hAnsi="Arial" w:cs="Arial"/>
                <w:sz w:val="20"/>
                <w:szCs w:val="20"/>
              </w:rPr>
              <w:t xml:space="preserve">                  720,300,000 </w:t>
            </w:r>
          </w:p>
        </w:tc>
        <w:tc>
          <w:tcPr>
            <w:tcW w:w="0" w:type="auto"/>
            <w:tcBorders>
              <w:top w:val="nil"/>
              <w:left w:val="nil"/>
              <w:bottom w:val="single" w:color="auto" w:sz="4" w:space="0"/>
              <w:right w:val="single" w:color="auto" w:sz="4" w:space="0"/>
            </w:tcBorders>
            <w:noWrap/>
            <w:vAlign w:val="bottom"/>
          </w:tcPr>
          <w:p w:rsidR="003B0815" w:rsidRDefault="003B0815" w14:paraId="438A2694" w14:textId="77777777">
            <w:pPr>
              <w:jc w:val="center"/>
              <w:rPr>
                <w:rFonts w:ascii="Arial" w:hAnsi="Arial" w:eastAsia="Arial Unicode MS" w:cs="Arial"/>
                <w:sz w:val="20"/>
                <w:szCs w:val="20"/>
              </w:rPr>
            </w:pPr>
            <w:r>
              <w:rPr>
                <w:rFonts w:ascii="Arial" w:hAnsi="Arial" w:cs="Arial"/>
                <w:sz w:val="20"/>
                <w:szCs w:val="20"/>
              </w:rPr>
              <w:t xml:space="preserve">           280,116.7 </w:t>
            </w:r>
          </w:p>
        </w:tc>
        <w:tc>
          <w:tcPr>
            <w:tcW w:w="0" w:type="auto"/>
            <w:tcBorders>
              <w:top w:val="nil"/>
              <w:left w:val="nil"/>
              <w:bottom w:val="single" w:color="auto" w:sz="4" w:space="0"/>
              <w:right w:val="single" w:color="auto" w:sz="8" w:space="0"/>
            </w:tcBorders>
            <w:noWrap/>
            <w:vAlign w:val="bottom"/>
          </w:tcPr>
          <w:p w:rsidR="003B0815" w:rsidRDefault="003B0815" w14:paraId="25F6E63E" w14:textId="77777777">
            <w:pPr>
              <w:jc w:val="center"/>
              <w:rPr>
                <w:rFonts w:ascii="Arial" w:hAnsi="Arial" w:eastAsia="Arial Unicode MS" w:cs="Arial"/>
                <w:sz w:val="20"/>
                <w:szCs w:val="20"/>
              </w:rPr>
            </w:pPr>
            <w:r>
              <w:rPr>
                <w:rFonts w:ascii="Arial" w:hAnsi="Arial" w:cs="Arial"/>
                <w:sz w:val="20"/>
                <w:szCs w:val="20"/>
              </w:rPr>
              <w:t xml:space="preserve">$8,011,337 </w:t>
            </w:r>
          </w:p>
        </w:tc>
      </w:tr>
      <w:tr w:rsidR="003B0815" w14:paraId="280176AC"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670A864C" w14:textId="77777777">
            <w:pPr>
              <w:jc w:val="center"/>
              <w:rPr>
                <w:rFonts w:ascii="Arial" w:hAnsi="Arial" w:eastAsia="Arial Unicode MS" w:cs="Arial"/>
                <w:sz w:val="20"/>
                <w:szCs w:val="20"/>
              </w:rPr>
            </w:pPr>
            <w:r>
              <w:rPr>
                <w:rFonts w:ascii="Arial" w:hAnsi="Arial" w:cs="Arial"/>
                <w:sz w:val="20"/>
                <w:szCs w:val="20"/>
              </w:rPr>
              <w:t>2011</w:t>
            </w:r>
          </w:p>
        </w:tc>
        <w:tc>
          <w:tcPr>
            <w:tcW w:w="0" w:type="auto"/>
            <w:tcBorders>
              <w:top w:val="nil"/>
              <w:left w:val="nil"/>
              <w:bottom w:val="single" w:color="auto" w:sz="4" w:space="0"/>
              <w:right w:val="single" w:color="auto" w:sz="4" w:space="0"/>
            </w:tcBorders>
            <w:noWrap/>
            <w:vAlign w:val="bottom"/>
          </w:tcPr>
          <w:p w:rsidR="003B0815" w:rsidRDefault="003B0815" w14:paraId="19CF0CA5" w14:textId="77777777">
            <w:pPr>
              <w:jc w:val="center"/>
              <w:rPr>
                <w:rFonts w:ascii="Arial" w:hAnsi="Arial" w:eastAsia="Arial Unicode MS" w:cs="Arial"/>
                <w:sz w:val="20"/>
                <w:szCs w:val="20"/>
              </w:rPr>
            </w:pPr>
            <w:r>
              <w:rPr>
                <w:rFonts w:ascii="Arial" w:hAnsi="Arial" w:cs="Arial"/>
                <w:sz w:val="20"/>
                <w:szCs w:val="20"/>
              </w:rPr>
              <w:t xml:space="preserve">                  742,800,000 </w:t>
            </w:r>
          </w:p>
        </w:tc>
        <w:tc>
          <w:tcPr>
            <w:tcW w:w="0" w:type="auto"/>
            <w:tcBorders>
              <w:top w:val="nil"/>
              <w:left w:val="nil"/>
              <w:bottom w:val="single" w:color="auto" w:sz="4" w:space="0"/>
              <w:right w:val="single" w:color="auto" w:sz="4" w:space="0"/>
            </w:tcBorders>
            <w:noWrap/>
            <w:vAlign w:val="bottom"/>
          </w:tcPr>
          <w:p w:rsidR="003B0815" w:rsidRDefault="003B0815" w14:paraId="3724D329" w14:textId="77777777">
            <w:pPr>
              <w:jc w:val="center"/>
              <w:rPr>
                <w:rFonts w:ascii="Arial" w:hAnsi="Arial" w:eastAsia="Arial Unicode MS" w:cs="Arial"/>
                <w:sz w:val="20"/>
                <w:szCs w:val="20"/>
              </w:rPr>
            </w:pPr>
            <w:r>
              <w:rPr>
                <w:rFonts w:ascii="Arial" w:hAnsi="Arial" w:cs="Arial"/>
                <w:sz w:val="20"/>
                <w:szCs w:val="20"/>
              </w:rPr>
              <w:t xml:space="preserve">           288,866.7 </w:t>
            </w:r>
          </w:p>
        </w:tc>
        <w:tc>
          <w:tcPr>
            <w:tcW w:w="0" w:type="auto"/>
            <w:tcBorders>
              <w:top w:val="nil"/>
              <w:left w:val="nil"/>
              <w:bottom w:val="single" w:color="auto" w:sz="4" w:space="0"/>
              <w:right w:val="single" w:color="auto" w:sz="8" w:space="0"/>
            </w:tcBorders>
            <w:noWrap/>
            <w:vAlign w:val="bottom"/>
          </w:tcPr>
          <w:p w:rsidR="003B0815" w:rsidRDefault="003B0815" w14:paraId="1AC58EBC" w14:textId="77777777">
            <w:pPr>
              <w:jc w:val="center"/>
              <w:rPr>
                <w:rFonts w:ascii="Arial" w:hAnsi="Arial" w:eastAsia="Arial Unicode MS" w:cs="Arial"/>
                <w:sz w:val="20"/>
                <w:szCs w:val="20"/>
              </w:rPr>
            </w:pPr>
            <w:r>
              <w:rPr>
                <w:rFonts w:ascii="Arial" w:hAnsi="Arial" w:cs="Arial"/>
                <w:sz w:val="20"/>
                <w:szCs w:val="20"/>
              </w:rPr>
              <w:t xml:space="preserve">$8,261,587 </w:t>
            </w:r>
          </w:p>
        </w:tc>
      </w:tr>
      <w:tr w:rsidR="003B0815" w14:paraId="30928830"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5B327D0C" w14:textId="77777777">
            <w:pPr>
              <w:jc w:val="center"/>
              <w:rPr>
                <w:rFonts w:ascii="Arial" w:hAnsi="Arial" w:eastAsia="Arial Unicode MS" w:cs="Arial"/>
                <w:sz w:val="20"/>
                <w:szCs w:val="20"/>
              </w:rPr>
            </w:pPr>
            <w:r>
              <w:rPr>
                <w:rFonts w:ascii="Arial" w:hAnsi="Arial" w:cs="Arial"/>
                <w:sz w:val="20"/>
                <w:szCs w:val="20"/>
              </w:rPr>
              <w:t>2012</w:t>
            </w:r>
          </w:p>
        </w:tc>
        <w:tc>
          <w:tcPr>
            <w:tcW w:w="0" w:type="auto"/>
            <w:tcBorders>
              <w:top w:val="nil"/>
              <w:left w:val="nil"/>
              <w:bottom w:val="single" w:color="auto" w:sz="4" w:space="0"/>
              <w:right w:val="single" w:color="auto" w:sz="4" w:space="0"/>
            </w:tcBorders>
            <w:noWrap/>
            <w:vAlign w:val="bottom"/>
          </w:tcPr>
          <w:p w:rsidR="003B0815" w:rsidRDefault="003B0815" w14:paraId="3AF42A06" w14:textId="77777777">
            <w:pPr>
              <w:jc w:val="center"/>
              <w:rPr>
                <w:rFonts w:ascii="Arial" w:hAnsi="Arial" w:eastAsia="Arial Unicode MS" w:cs="Arial"/>
                <w:sz w:val="20"/>
                <w:szCs w:val="20"/>
              </w:rPr>
            </w:pPr>
            <w:r>
              <w:rPr>
                <w:rFonts w:ascii="Arial" w:hAnsi="Arial" w:cs="Arial"/>
                <w:sz w:val="20"/>
                <w:szCs w:val="20"/>
              </w:rPr>
              <w:t xml:space="preserve">                  766,600,000 </w:t>
            </w:r>
          </w:p>
        </w:tc>
        <w:tc>
          <w:tcPr>
            <w:tcW w:w="0" w:type="auto"/>
            <w:tcBorders>
              <w:top w:val="nil"/>
              <w:left w:val="nil"/>
              <w:bottom w:val="single" w:color="auto" w:sz="4" w:space="0"/>
              <w:right w:val="single" w:color="auto" w:sz="4" w:space="0"/>
            </w:tcBorders>
            <w:noWrap/>
            <w:vAlign w:val="bottom"/>
          </w:tcPr>
          <w:p w:rsidR="003B0815" w:rsidRDefault="003B0815" w14:paraId="43FCFAE7" w14:textId="77777777">
            <w:pPr>
              <w:jc w:val="center"/>
              <w:rPr>
                <w:rFonts w:ascii="Arial" w:hAnsi="Arial" w:eastAsia="Arial Unicode MS" w:cs="Arial"/>
                <w:sz w:val="20"/>
                <w:szCs w:val="20"/>
              </w:rPr>
            </w:pPr>
            <w:r>
              <w:rPr>
                <w:rFonts w:ascii="Arial" w:hAnsi="Arial" w:cs="Arial"/>
                <w:sz w:val="20"/>
                <w:szCs w:val="20"/>
              </w:rPr>
              <w:t xml:space="preserve">           298,122.2 </w:t>
            </w:r>
          </w:p>
        </w:tc>
        <w:tc>
          <w:tcPr>
            <w:tcW w:w="0" w:type="auto"/>
            <w:tcBorders>
              <w:top w:val="nil"/>
              <w:left w:val="nil"/>
              <w:bottom w:val="single" w:color="auto" w:sz="4" w:space="0"/>
              <w:right w:val="single" w:color="auto" w:sz="8" w:space="0"/>
            </w:tcBorders>
            <w:noWrap/>
            <w:vAlign w:val="bottom"/>
          </w:tcPr>
          <w:p w:rsidR="003B0815" w:rsidRDefault="003B0815" w14:paraId="5B3237C6" w14:textId="77777777">
            <w:pPr>
              <w:jc w:val="center"/>
              <w:rPr>
                <w:rFonts w:ascii="Arial" w:hAnsi="Arial" w:eastAsia="Arial Unicode MS" w:cs="Arial"/>
                <w:sz w:val="20"/>
                <w:szCs w:val="20"/>
              </w:rPr>
            </w:pPr>
            <w:r>
              <w:rPr>
                <w:rFonts w:ascii="Arial" w:hAnsi="Arial" w:cs="Arial"/>
                <w:sz w:val="20"/>
                <w:szCs w:val="20"/>
              </w:rPr>
              <w:t xml:space="preserve">$8,526,296 </w:t>
            </w:r>
          </w:p>
        </w:tc>
      </w:tr>
      <w:tr w:rsidR="003B0815" w14:paraId="77B8F33B"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007F6A70" w14:textId="77777777">
            <w:pPr>
              <w:jc w:val="center"/>
              <w:rPr>
                <w:rFonts w:ascii="Arial" w:hAnsi="Arial" w:eastAsia="Arial Unicode MS" w:cs="Arial"/>
                <w:sz w:val="20"/>
                <w:szCs w:val="20"/>
              </w:rPr>
            </w:pPr>
            <w:r>
              <w:rPr>
                <w:rFonts w:ascii="Arial" w:hAnsi="Arial" w:cs="Arial"/>
                <w:sz w:val="20"/>
                <w:szCs w:val="20"/>
              </w:rPr>
              <w:t>2013</w:t>
            </w:r>
          </w:p>
        </w:tc>
        <w:tc>
          <w:tcPr>
            <w:tcW w:w="0" w:type="auto"/>
            <w:tcBorders>
              <w:top w:val="nil"/>
              <w:left w:val="nil"/>
              <w:bottom w:val="single" w:color="auto" w:sz="4" w:space="0"/>
              <w:right w:val="single" w:color="auto" w:sz="4" w:space="0"/>
            </w:tcBorders>
            <w:noWrap/>
            <w:vAlign w:val="bottom"/>
          </w:tcPr>
          <w:p w:rsidR="003B0815" w:rsidRDefault="003B0815" w14:paraId="33230BBA" w14:textId="77777777">
            <w:pPr>
              <w:jc w:val="center"/>
              <w:rPr>
                <w:rFonts w:ascii="Arial" w:hAnsi="Arial" w:eastAsia="Arial Unicode MS" w:cs="Arial"/>
                <w:sz w:val="20"/>
                <w:szCs w:val="20"/>
              </w:rPr>
            </w:pPr>
            <w:r>
              <w:rPr>
                <w:rFonts w:ascii="Arial" w:hAnsi="Arial" w:cs="Arial"/>
                <w:sz w:val="20"/>
                <w:szCs w:val="20"/>
              </w:rPr>
              <w:t xml:space="preserve">                  791,000,000 </w:t>
            </w:r>
          </w:p>
        </w:tc>
        <w:tc>
          <w:tcPr>
            <w:tcW w:w="0" w:type="auto"/>
            <w:tcBorders>
              <w:top w:val="nil"/>
              <w:left w:val="nil"/>
              <w:bottom w:val="single" w:color="auto" w:sz="4" w:space="0"/>
              <w:right w:val="single" w:color="auto" w:sz="4" w:space="0"/>
            </w:tcBorders>
            <w:noWrap/>
            <w:vAlign w:val="bottom"/>
          </w:tcPr>
          <w:p w:rsidR="003B0815" w:rsidRDefault="003B0815" w14:paraId="6285AB85" w14:textId="77777777">
            <w:pPr>
              <w:jc w:val="center"/>
              <w:rPr>
                <w:rFonts w:ascii="Arial" w:hAnsi="Arial" w:eastAsia="Arial Unicode MS" w:cs="Arial"/>
                <w:sz w:val="20"/>
                <w:szCs w:val="20"/>
              </w:rPr>
            </w:pPr>
            <w:r>
              <w:rPr>
                <w:rFonts w:ascii="Arial" w:hAnsi="Arial" w:cs="Arial"/>
                <w:sz w:val="20"/>
                <w:szCs w:val="20"/>
              </w:rPr>
              <w:t xml:space="preserve">           307,611.1 </w:t>
            </w:r>
          </w:p>
        </w:tc>
        <w:tc>
          <w:tcPr>
            <w:tcW w:w="0" w:type="auto"/>
            <w:tcBorders>
              <w:top w:val="nil"/>
              <w:left w:val="nil"/>
              <w:bottom w:val="single" w:color="auto" w:sz="4" w:space="0"/>
              <w:right w:val="single" w:color="auto" w:sz="8" w:space="0"/>
            </w:tcBorders>
            <w:noWrap/>
            <w:vAlign w:val="bottom"/>
          </w:tcPr>
          <w:p w:rsidR="003B0815" w:rsidRDefault="003B0815" w14:paraId="3D120790" w14:textId="77777777">
            <w:pPr>
              <w:jc w:val="center"/>
              <w:rPr>
                <w:rFonts w:ascii="Arial" w:hAnsi="Arial" w:eastAsia="Arial Unicode MS" w:cs="Arial"/>
                <w:sz w:val="20"/>
                <w:szCs w:val="20"/>
              </w:rPr>
            </w:pPr>
            <w:r>
              <w:rPr>
                <w:rFonts w:ascii="Arial" w:hAnsi="Arial" w:cs="Arial"/>
                <w:sz w:val="20"/>
                <w:szCs w:val="20"/>
              </w:rPr>
              <w:t xml:space="preserve">$8,797,678 </w:t>
            </w:r>
          </w:p>
        </w:tc>
      </w:tr>
      <w:tr w:rsidR="003B0815" w14:paraId="75D2ECB3"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0D58090F" w14:textId="77777777">
            <w:pPr>
              <w:jc w:val="center"/>
              <w:rPr>
                <w:rFonts w:ascii="Arial" w:hAnsi="Arial" w:eastAsia="Arial Unicode MS" w:cs="Arial"/>
                <w:sz w:val="20"/>
                <w:szCs w:val="20"/>
              </w:rPr>
            </w:pPr>
            <w:r>
              <w:rPr>
                <w:rFonts w:ascii="Arial" w:hAnsi="Arial" w:cs="Arial"/>
                <w:sz w:val="20"/>
                <w:szCs w:val="20"/>
              </w:rPr>
              <w:t>2014</w:t>
            </w:r>
          </w:p>
        </w:tc>
        <w:tc>
          <w:tcPr>
            <w:tcW w:w="0" w:type="auto"/>
            <w:tcBorders>
              <w:top w:val="nil"/>
              <w:left w:val="nil"/>
              <w:bottom w:val="single" w:color="auto" w:sz="4" w:space="0"/>
              <w:right w:val="single" w:color="auto" w:sz="4" w:space="0"/>
            </w:tcBorders>
            <w:noWrap/>
            <w:vAlign w:val="bottom"/>
          </w:tcPr>
          <w:p w:rsidR="003B0815" w:rsidRDefault="003B0815" w14:paraId="05604A36" w14:textId="77777777">
            <w:pPr>
              <w:jc w:val="center"/>
              <w:rPr>
                <w:rFonts w:ascii="Arial" w:hAnsi="Arial" w:eastAsia="Arial Unicode MS" w:cs="Arial"/>
                <w:sz w:val="20"/>
                <w:szCs w:val="20"/>
              </w:rPr>
            </w:pPr>
            <w:r>
              <w:rPr>
                <w:rFonts w:ascii="Arial" w:hAnsi="Arial" w:cs="Arial"/>
                <w:sz w:val="20"/>
                <w:szCs w:val="20"/>
              </w:rPr>
              <w:t xml:space="preserve">                  816,700,000 </w:t>
            </w:r>
          </w:p>
        </w:tc>
        <w:tc>
          <w:tcPr>
            <w:tcW w:w="0" w:type="auto"/>
            <w:tcBorders>
              <w:top w:val="nil"/>
              <w:left w:val="nil"/>
              <w:bottom w:val="single" w:color="auto" w:sz="4" w:space="0"/>
              <w:right w:val="single" w:color="auto" w:sz="4" w:space="0"/>
            </w:tcBorders>
            <w:noWrap/>
            <w:vAlign w:val="bottom"/>
          </w:tcPr>
          <w:p w:rsidR="003B0815" w:rsidRDefault="003B0815" w14:paraId="5A0BB136" w14:textId="77777777">
            <w:pPr>
              <w:jc w:val="center"/>
              <w:rPr>
                <w:rFonts w:ascii="Arial" w:hAnsi="Arial" w:eastAsia="Arial Unicode MS" w:cs="Arial"/>
                <w:sz w:val="20"/>
                <w:szCs w:val="20"/>
              </w:rPr>
            </w:pPr>
            <w:r>
              <w:rPr>
                <w:rFonts w:ascii="Arial" w:hAnsi="Arial" w:cs="Arial"/>
                <w:sz w:val="20"/>
                <w:szCs w:val="20"/>
              </w:rPr>
              <w:t xml:space="preserve">           317,605.6 </w:t>
            </w:r>
          </w:p>
        </w:tc>
        <w:tc>
          <w:tcPr>
            <w:tcW w:w="0" w:type="auto"/>
            <w:tcBorders>
              <w:top w:val="nil"/>
              <w:left w:val="nil"/>
              <w:bottom w:val="single" w:color="auto" w:sz="4" w:space="0"/>
              <w:right w:val="single" w:color="auto" w:sz="8" w:space="0"/>
            </w:tcBorders>
            <w:noWrap/>
            <w:vAlign w:val="bottom"/>
          </w:tcPr>
          <w:p w:rsidR="003B0815" w:rsidRDefault="003B0815" w14:paraId="0D9A5C48" w14:textId="77777777">
            <w:pPr>
              <w:jc w:val="center"/>
              <w:rPr>
                <w:rFonts w:ascii="Arial" w:hAnsi="Arial" w:eastAsia="Arial Unicode MS" w:cs="Arial"/>
                <w:sz w:val="20"/>
                <w:szCs w:val="20"/>
              </w:rPr>
            </w:pPr>
            <w:r>
              <w:rPr>
                <w:rFonts w:ascii="Arial" w:hAnsi="Arial" w:cs="Arial"/>
                <w:sz w:val="20"/>
                <w:szCs w:val="20"/>
              </w:rPr>
              <w:t xml:space="preserve">$9,083,519 </w:t>
            </w:r>
          </w:p>
        </w:tc>
      </w:tr>
      <w:tr w:rsidR="003B0815" w14:paraId="5EFA3F59"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37CF9839" w14:textId="77777777">
            <w:pPr>
              <w:jc w:val="center"/>
              <w:rPr>
                <w:rFonts w:ascii="Arial" w:hAnsi="Arial" w:eastAsia="Arial Unicode MS" w:cs="Arial"/>
                <w:sz w:val="20"/>
                <w:szCs w:val="20"/>
              </w:rPr>
            </w:pPr>
            <w:r>
              <w:rPr>
                <w:rFonts w:ascii="Arial" w:hAnsi="Arial" w:cs="Arial"/>
                <w:sz w:val="20"/>
                <w:szCs w:val="20"/>
              </w:rPr>
              <w:t>2015</w:t>
            </w:r>
          </w:p>
        </w:tc>
        <w:tc>
          <w:tcPr>
            <w:tcW w:w="0" w:type="auto"/>
            <w:tcBorders>
              <w:top w:val="nil"/>
              <w:left w:val="nil"/>
              <w:bottom w:val="single" w:color="auto" w:sz="4" w:space="0"/>
              <w:right w:val="single" w:color="auto" w:sz="4" w:space="0"/>
            </w:tcBorders>
            <w:noWrap/>
            <w:vAlign w:val="bottom"/>
          </w:tcPr>
          <w:p w:rsidR="003B0815" w:rsidRDefault="003B0815" w14:paraId="320F8CAA" w14:textId="77777777">
            <w:pPr>
              <w:jc w:val="center"/>
              <w:rPr>
                <w:rFonts w:ascii="Arial" w:hAnsi="Arial" w:eastAsia="Arial Unicode MS" w:cs="Arial"/>
                <w:sz w:val="20"/>
                <w:szCs w:val="20"/>
              </w:rPr>
            </w:pPr>
            <w:r>
              <w:rPr>
                <w:rFonts w:ascii="Arial" w:hAnsi="Arial" w:cs="Arial"/>
                <w:sz w:val="20"/>
                <w:szCs w:val="20"/>
              </w:rPr>
              <w:t xml:space="preserve">                  843,200,000 </w:t>
            </w:r>
          </w:p>
        </w:tc>
        <w:tc>
          <w:tcPr>
            <w:tcW w:w="0" w:type="auto"/>
            <w:tcBorders>
              <w:top w:val="nil"/>
              <w:left w:val="nil"/>
              <w:bottom w:val="single" w:color="auto" w:sz="4" w:space="0"/>
              <w:right w:val="single" w:color="auto" w:sz="4" w:space="0"/>
            </w:tcBorders>
            <w:noWrap/>
            <w:vAlign w:val="bottom"/>
          </w:tcPr>
          <w:p w:rsidR="003B0815" w:rsidRDefault="003B0815" w14:paraId="199413F3" w14:textId="77777777">
            <w:pPr>
              <w:jc w:val="center"/>
              <w:rPr>
                <w:rFonts w:ascii="Arial" w:hAnsi="Arial" w:eastAsia="Arial Unicode MS" w:cs="Arial"/>
                <w:sz w:val="20"/>
                <w:szCs w:val="20"/>
              </w:rPr>
            </w:pPr>
            <w:r>
              <w:rPr>
                <w:rFonts w:ascii="Arial" w:hAnsi="Arial" w:cs="Arial"/>
                <w:sz w:val="20"/>
                <w:szCs w:val="20"/>
              </w:rPr>
              <w:t xml:space="preserve">           327,911.1 </w:t>
            </w:r>
          </w:p>
        </w:tc>
        <w:tc>
          <w:tcPr>
            <w:tcW w:w="0" w:type="auto"/>
            <w:tcBorders>
              <w:top w:val="nil"/>
              <w:left w:val="nil"/>
              <w:bottom w:val="single" w:color="auto" w:sz="4" w:space="0"/>
              <w:right w:val="single" w:color="auto" w:sz="8" w:space="0"/>
            </w:tcBorders>
            <w:noWrap/>
            <w:vAlign w:val="bottom"/>
          </w:tcPr>
          <w:p w:rsidR="003B0815" w:rsidRDefault="003B0815" w14:paraId="60CE21F9" w14:textId="77777777">
            <w:pPr>
              <w:jc w:val="center"/>
              <w:rPr>
                <w:rFonts w:ascii="Arial" w:hAnsi="Arial" w:eastAsia="Arial Unicode MS" w:cs="Arial"/>
                <w:sz w:val="20"/>
                <w:szCs w:val="20"/>
              </w:rPr>
            </w:pPr>
            <w:r>
              <w:rPr>
                <w:rFonts w:ascii="Arial" w:hAnsi="Arial" w:cs="Arial"/>
                <w:sz w:val="20"/>
                <w:szCs w:val="20"/>
              </w:rPr>
              <w:t xml:space="preserve">$9,378,258 </w:t>
            </w:r>
          </w:p>
        </w:tc>
      </w:tr>
      <w:tr w:rsidR="003B0815" w14:paraId="49B00B55" w14:textId="77777777">
        <w:trPr>
          <w:trHeight w:val="255"/>
          <w:jc w:val="center"/>
        </w:trPr>
        <w:tc>
          <w:tcPr>
            <w:tcW w:w="0" w:type="auto"/>
            <w:tcBorders>
              <w:top w:val="nil"/>
              <w:left w:val="single" w:color="auto" w:sz="8" w:space="0"/>
              <w:bottom w:val="single" w:color="auto" w:sz="4" w:space="0"/>
              <w:right w:val="single" w:color="auto" w:sz="4" w:space="0"/>
            </w:tcBorders>
            <w:noWrap/>
            <w:vAlign w:val="bottom"/>
          </w:tcPr>
          <w:p w:rsidR="003B0815" w:rsidRDefault="003B0815" w14:paraId="415D16C5" w14:textId="77777777">
            <w:pPr>
              <w:jc w:val="center"/>
              <w:rPr>
                <w:rFonts w:ascii="Arial" w:hAnsi="Arial" w:eastAsia="Arial Unicode MS" w:cs="Arial"/>
                <w:sz w:val="20"/>
                <w:szCs w:val="20"/>
              </w:rPr>
            </w:pPr>
            <w:r>
              <w:rPr>
                <w:rFonts w:ascii="Arial" w:hAnsi="Arial" w:cs="Arial"/>
                <w:sz w:val="20"/>
                <w:szCs w:val="20"/>
              </w:rPr>
              <w:t>2016</w:t>
            </w:r>
          </w:p>
        </w:tc>
        <w:tc>
          <w:tcPr>
            <w:tcW w:w="0" w:type="auto"/>
            <w:tcBorders>
              <w:top w:val="nil"/>
              <w:left w:val="nil"/>
              <w:bottom w:val="single" w:color="auto" w:sz="4" w:space="0"/>
              <w:right w:val="single" w:color="auto" w:sz="4" w:space="0"/>
            </w:tcBorders>
            <w:noWrap/>
            <w:vAlign w:val="bottom"/>
          </w:tcPr>
          <w:p w:rsidR="003B0815" w:rsidRDefault="003B0815" w14:paraId="2B3F4A73" w14:textId="77777777">
            <w:pPr>
              <w:jc w:val="center"/>
              <w:rPr>
                <w:rFonts w:ascii="Arial" w:hAnsi="Arial" w:eastAsia="Arial Unicode MS" w:cs="Arial"/>
                <w:sz w:val="20"/>
                <w:szCs w:val="20"/>
              </w:rPr>
            </w:pPr>
            <w:r>
              <w:rPr>
                <w:rFonts w:ascii="Arial" w:hAnsi="Arial" w:cs="Arial"/>
                <w:sz w:val="20"/>
                <w:szCs w:val="20"/>
              </w:rPr>
              <w:t xml:space="preserve">                  871,000,000 </w:t>
            </w:r>
          </w:p>
        </w:tc>
        <w:tc>
          <w:tcPr>
            <w:tcW w:w="0" w:type="auto"/>
            <w:tcBorders>
              <w:top w:val="nil"/>
              <w:left w:val="nil"/>
              <w:bottom w:val="single" w:color="auto" w:sz="4" w:space="0"/>
              <w:right w:val="single" w:color="auto" w:sz="4" w:space="0"/>
            </w:tcBorders>
            <w:noWrap/>
            <w:vAlign w:val="bottom"/>
          </w:tcPr>
          <w:p w:rsidR="003B0815" w:rsidRDefault="003B0815" w14:paraId="3617F12C" w14:textId="77777777">
            <w:pPr>
              <w:jc w:val="center"/>
              <w:rPr>
                <w:rFonts w:ascii="Arial" w:hAnsi="Arial" w:eastAsia="Arial Unicode MS" w:cs="Arial"/>
                <w:sz w:val="20"/>
                <w:szCs w:val="20"/>
              </w:rPr>
            </w:pPr>
            <w:r>
              <w:rPr>
                <w:rFonts w:ascii="Arial" w:hAnsi="Arial" w:cs="Arial"/>
                <w:sz w:val="20"/>
                <w:szCs w:val="20"/>
              </w:rPr>
              <w:t xml:space="preserve">           338,722.2 </w:t>
            </w:r>
          </w:p>
        </w:tc>
        <w:tc>
          <w:tcPr>
            <w:tcW w:w="0" w:type="auto"/>
            <w:tcBorders>
              <w:top w:val="nil"/>
              <w:left w:val="nil"/>
              <w:bottom w:val="single" w:color="auto" w:sz="4" w:space="0"/>
              <w:right w:val="single" w:color="auto" w:sz="8" w:space="0"/>
            </w:tcBorders>
            <w:noWrap/>
            <w:vAlign w:val="bottom"/>
          </w:tcPr>
          <w:p w:rsidR="003B0815" w:rsidRDefault="003B0815" w14:paraId="4F8C0531" w14:textId="77777777">
            <w:pPr>
              <w:jc w:val="center"/>
              <w:rPr>
                <w:rFonts w:ascii="Arial" w:hAnsi="Arial" w:eastAsia="Arial Unicode MS" w:cs="Arial"/>
                <w:sz w:val="20"/>
                <w:szCs w:val="20"/>
              </w:rPr>
            </w:pPr>
            <w:r>
              <w:rPr>
                <w:rFonts w:ascii="Arial" w:hAnsi="Arial" w:cs="Arial"/>
                <w:sz w:val="20"/>
                <w:szCs w:val="20"/>
              </w:rPr>
              <w:t xml:space="preserve">$9,687,456 </w:t>
            </w:r>
          </w:p>
        </w:tc>
      </w:tr>
      <w:tr w:rsidR="003B0815" w14:paraId="187FA048" w14:textId="77777777">
        <w:trPr>
          <w:trHeight w:val="270"/>
          <w:jc w:val="center"/>
        </w:trPr>
        <w:tc>
          <w:tcPr>
            <w:tcW w:w="0" w:type="auto"/>
            <w:tcBorders>
              <w:top w:val="nil"/>
              <w:left w:val="single" w:color="auto" w:sz="8" w:space="0"/>
              <w:bottom w:val="single" w:color="auto" w:sz="8" w:space="0"/>
              <w:right w:val="single" w:color="auto" w:sz="4" w:space="0"/>
            </w:tcBorders>
            <w:noWrap/>
            <w:vAlign w:val="bottom"/>
          </w:tcPr>
          <w:p w:rsidR="003B0815" w:rsidRDefault="003B0815" w14:paraId="01AF9041" w14:textId="77777777">
            <w:pPr>
              <w:jc w:val="center"/>
              <w:rPr>
                <w:rFonts w:ascii="Arial" w:hAnsi="Arial" w:eastAsia="Arial Unicode MS" w:cs="Arial"/>
                <w:sz w:val="20"/>
                <w:szCs w:val="20"/>
              </w:rPr>
            </w:pPr>
            <w:r>
              <w:rPr>
                <w:rFonts w:ascii="Arial" w:hAnsi="Arial" w:cs="Arial"/>
                <w:sz w:val="20"/>
                <w:szCs w:val="20"/>
              </w:rPr>
              <w:t>2017</w:t>
            </w:r>
          </w:p>
        </w:tc>
        <w:tc>
          <w:tcPr>
            <w:tcW w:w="0" w:type="auto"/>
            <w:tcBorders>
              <w:top w:val="nil"/>
              <w:left w:val="nil"/>
              <w:bottom w:val="single" w:color="auto" w:sz="8" w:space="0"/>
              <w:right w:val="single" w:color="auto" w:sz="4" w:space="0"/>
            </w:tcBorders>
            <w:noWrap/>
            <w:vAlign w:val="bottom"/>
          </w:tcPr>
          <w:p w:rsidR="003B0815" w:rsidRDefault="003B0815" w14:paraId="473DAEF5" w14:textId="77777777">
            <w:pPr>
              <w:jc w:val="center"/>
              <w:rPr>
                <w:rFonts w:ascii="Arial" w:hAnsi="Arial" w:eastAsia="Arial Unicode MS" w:cs="Arial"/>
                <w:sz w:val="20"/>
                <w:szCs w:val="20"/>
              </w:rPr>
            </w:pPr>
            <w:r>
              <w:rPr>
                <w:rFonts w:ascii="Arial" w:hAnsi="Arial" w:cs="Arial"/>
                <w:sz w:val="20"/>
                <w:szCs w:val="20"/>
              </w:rPr>
              <w:t xml:space="preserve">                  900,200,000 </w:t>
            </w:r>
          </w:p>
        </w:tc>
        <w:tc>
          <w:tcPr>
            <w:tcW w:w="0" w:type="auto"/>
            <w:tcBorders>
              <w:top w:val="nil"/>
              <w:left w:val="nil"/>
              <w:bottom w:val="single" w:color="auto" w:sz="8" w:space="0"/>
              <w:right w:val="single" w:color="auto" w:sz="4" w:space="0"/>
            </w:tcBorders>
            <w:noWrap/>
            <w:vAlign w:val="bottom"/>
          </w:tcPr>
          <w:p w:rsidR="003B0815" w:rsidRDefault="003B0815" w14:paraId="246DC054" w14:textId="77777777">
            <w:pPr>
              <w:jc w:val="center"/>
              <w:rPr>
                <w:rFonts w:ascii="Arial" w:hAnsi="Arial" w:eastAsia="Arial Unicode MS" w:cs="Arial"/>
                <w:sz w:val="20"/>
                <w:szCs w:val="20"/>
              </w:rPr>
            </w:pPr>
            <w:r>
              <w:rPr>
                <w:rFonts w:ascii="Arial" w:hAnsi="Arial" w:cs="Arial"/>
                <w:sz w:val="20"/>
                <w:szCs w:val="20"/>
              </w:rPr>
              <w:t xml:space="preserve">           350,077.8 </w:t>
            </w:r>
          </w:p>
        </w:tc>
        <w:tc>
          <w:tcPr>
            <w:tcW w:w="0" w:type="auto"/>
            <w:tcBorders>
              <w:top w:val="nil"/>
              <w:left w:val="nil"/>
              <w:bottom w:val="single" w:color="auto" w:sz="8" w:space="0"/>
              <w:right w:val="single" w:color="auto" w:sz="8" w:space="0"/>
            </w:tcBorders>
            <w:noWrap/>
            <w:vAlign w:val="bottom"/>
          </w:tcPr>
          <w:p w:rsidR="003B0815" w:rsidRDefault="003B0815" w14:paraId="21782066" w14:textId="77777777">
            <w:pPr>
              <w:jc w:val="center"/>
              <w:rPr>
                <w:rFonts w:ascii="Arial" w:hAnsi="Arial" w:eastAsia="Arial Unicode MS" w:cs="Arial"/>
                <w:sz w:val="20"/>
                <w:szCs w:val="20"/>
              </w:rPr>
            </w:pPr>
            <w:r>
              <w:rPr>
                <w:rFonts w:ascii="Arial" w:hAnsi="Arial" w:cs="Arial"/>
                <w:sz w:val="20"/>
                <w:szCs w:val="20"/>
              </w:rPr>
              <w:t xml:space="preserve">$10,012,224 </w:t>
            </w:r>
          </w:p>
        </w:tc>
      </w:tr>
      <w:tr w:rsidR="003B0815" w14:paraId="41233A20" w14:textId="77777777">
        <w:trPr>
          <w:trHeight w:val="270"/>
          <w:jc w:val="center"/>
        </w:trPr>
        <w:tc>
          <w:tcPr>
            <w:tcW w:w="0" w:type="auto"/>
            <w:tcBorders>
              <w:top w:val="nil"/>
              <w:left w:val="single" w:color="auto" w:sz="8" w:space="0"/>
              <w:bottom w:val="single" w:color="auto" w:sz="8" w:space="0"/>
              <w:right w:val="nil"/>
            </w:tcBorders>
            <w:noWrap/>
            <w:vAlign w:val="bottom"/>
          </w:tcPr>
          <w:p w:rsidR="003B0815" w:rsidRDefault="003B0815" w14:paraId="7334989C" w14:textId="77777777">
            <w:pPr>
              <w:jc w:val="center"/>
              <w:rPr>
                <w:rFonts w:ascii="Arial" w:hAnsi="Arial" w:eastAsia="Arial Unicode MS" w:cs="Arial"/>
                <w:b/>
                <w:bCs/>
                <w:sz w:val="20"/>
                <w:szCs w:val="20"/>
              </w:rPr>
            </w:pPr>
            <w:r>
              <w:rPr>
                <w:rFonts w:ascii="Arial" w:hAnsi="Arial" w:cs="Arial"/>
                <w:b/>
                <w:bCs/>
                <w:sz w:val="20"/>
                <w:szCs w:val="20"/>
              </w:rPr>
              <w:t>Total</w:t>
            </w:r>
          </w:p>
        </w:tc>
        <w:tc>
          <w:tcPr>
            <w:tcW w:w="0" w:type="auto"/>
            <w:tcBorders>
              <w:top w:val="nil"/>
              <w:left w:val="single" w:color="auto" w:sz="4" w:space="0"/>
              <w:bottom w:val="single" w:color="auto" w:sz="8" w:space="0"/>
              <w:right w:val="single" w:color="auto" w:sz="4" w:space="0"/>
            </w:tcBorders>
            <w:noWrap/>
            <w:vAlign w:val="bottom"/>
          </w:tcPr>
          <w:p w:rsidR="003B0815" w:rsidRDefault="003B0815" w14:paraId="43CF8A30" w14:textId="77777777">
            <w:pPr>
              <w:jc w:val="center"/>
              <w:rPr>
                <w:rFonts w:ascii="Arial" w:hAnsi="Arial" w:eastAsia="Arial Unicode MS" w:cs="Arial"/>
                <w:b/>
                <w:bCs/>
                <w:sz w:val="20"/>
                <w:szCs w:val="20"/>
              </w:rPr>
            </w:pPr>
            <w:r>
              <w:rPr>
                <w:rFonts w:ascii="Arial" w:hAnsi="Arial" w:cs="Arial"/>
                <w:b/>
                <w:bCs/>
                <w:sz w:val="20"/>
                <w:szCs w:val="20"/>
              </w:rPr>
              <w:t xml:space="preserve">               7,827,600,000 </w:t>
            </w:r>
          </w:p>
        </w:tc>
        <w:tc>
          <w:tcPr>
            <w:tcW w:w="0" w:type="auto"/>
            <w:tcBorders>
              <w:top w:val="nil"/>
              <w:left w:val="nil"/>
              <w:bottom w:val="single" w:color="auto" w:sz="8" w:space="0"/>
              <w:right w:val="single" w:color="auto" w:sz="4" w:space="0"/>
            </w:tcBorders>
            <w:noWrap/>
            <w:vAlign w:val="bottom"/>
          </w:tcPr>
          <w:p w:rsidR="003B0815" w:rsidRDefault="003B0815" w14:paraId="0BF53479" w14:textId="77777777">
            <w:pPr>
              <w:jc w:val="center"/>
              <w:rPr>
                <w:rFonts w:ascii="Arial" w:hAnsi="Arial" w:eastAsia="Arial Unicode MS" w:cs="Arial"/>
                <w:b/>
                <w:bCs/>
                <w:sz w:val="20"/>
                <w:szCs w:val="20"/>
              </w:rPr>
            </w:pPr>
            <w:r>
              <w:rPr>
                <w:rFonts w:ascii="Arial" w:hAnsi="Arial" w:cs="Arial"/>
                <w:b/>
                <w:bCs/>
                <w:sz w:val="20"/>
                <w:szCs w:val="20"/>
              </w:rPr>
              <w:t xml:space="preserve">           3,044,067 </w:t>
            </w:r>
          </w:p>
        </w:tc>
        <w:tc>
          <w:tcPr>
            <w:tcW w:w="0" w:type="auto"/>
            <w:tcBorders>
              <w:top w:val="nil"/>
              <w:left w:val="nil"/>
              <w:bottom w:val="single" w:color="auto" w:sz="8" w:space="0"/>
              <w:right w:val="single" w:color="auto" w:sz="8" w:space="0"/>
            </w:tcBorders>
            <w:noWrap/>
            <w:vAlign w:val="bottom"/>
          </w:tcPr>
          <w:p w:rsidR="003B0815" w:rsidRDefault="003B0815" w14:paraId="58EAC20C" w14:textId="77777777">
            <w:pPr>
              <w:jc w:val="center"/>
              <w:rPr>
                <w:rFonts w:ascii="Arial" w:hAnsi="Arial" w:eastAsia="Arial Unicode MS" w:cs="Arial"/>
                <w:b/>
                <w:bCs/>
                <w:sz w:val="20"/>
                <w:szCs w:val="20"/>
              </w:rPr>
            </w:pPr>
            <w:r>
              <w:rPr>
                <w:rFonts w:ascii="Arial" w:hAnsi="Arial" w:cs="Arial"/>
                <w:b/>
                <w:bCs/>
                <w:sz w:val="20"/>
                <w:szCs w:val="20"/>
              </w:rPr>
              <w:t xml:space="preserve">$87,060,307 </w:t>
            </w:r>
          </w:p>
        </w:tc>
      </w:tr>
    </w:tbl>
    <w:p w:rsidR="003B0815" w:rsidRDefault="003B0815" w14:paraId="7F79A973" w14:textId="77777777">
      <w:pPr>
        <w:spacing w:line="360" w:lineRule="auto"/>
        <w:ind w:firstLine="720"/>
        <w:jc w:val="center"/>
        <w:sectPr w:rsidR="003B0815">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rsidR="003B0815" w:rsidRDefault="003B0815" w14:paraId="79669A15" w14:textId="77777777">
      <w:pPr>
        <w:pStyle w:val="RegEvalSectionHeader"/>
        <w:keepNext/>
        <w:spacing w:line="360" w:lineRule="auto"/>
      </w:pPr>
      <w:bookmarkStart w:name="_Toc111627393" w:id="423"/>
      <w:bookmarkStart w:name="_Toc114566450" w:id="424"/>
      <w:bookmarkStart w:name="_Toc135477013" w:id="425"/>
      <w:bookmarkStart w:name="_Toc141001094" w:id="426"/>
      <w:bookmarkStart w:name="_Toc141000923" w:id="427"/>
      <w:bookmarkStart w:name="_Toc165278449" w:id="428"/>
      <w:bookmarkStart w:name="_Toc202683399" w:id="429"/>
      <w:r>
        <w:t>Section 7: Sensitivity Analysis</w:t>
      </w:r>
      <w:bookmarkEnd w:id="429"/>
    </w:p>
    <w:p w:rsidR="003B0815" w:rsidRDefault="003B0815" w14:paraId="70321AD3" w14:textId="77777777">
      <w:pPr>
        <w:pStyle w:val="Default"/>
        <w:autoSpaceDE/>
        <w:autoSpaceDN/>
        <w:adjustRightInd/>
        <w:spacing w:line="360" w:lineRule="auto"/>
        <w:ind w:firstLine="720"/>
      </w:pPr>
      <w:r>
        <w:t>All analysis is subject to uncertainty.  This section of the regulatory evaluation identifies the principle sources of uncertainty in the economic analysis and illustrates their influence on the total estimated costs of the rule.  As one of TSA’s scenarios assumes coordination of the APIS and Secure Flight transition among international operators, some of the sensitivity analyses performed for the APIS pre-departure final rule are also relevant to this analysis.   For example, CBP analyzed the impact on flight delays and passenger opportunity cost of a batch mode (which the airlines would run if they chose to delay their AQQ transition in anticipation of the Secure Flight requirements becoming operational) versus adoption of the AQQ approach.  TSA has not reproduced these sensitivity analyses here, but encourages the reader to review the regulatory impact assessment accompanying the APIS pre-departure final rule.</w:t>
      </w:r>
    </w:p>
    <w:p w:rsidR="003B0815" w:rsidRDefault="003B0815" w14:paraId="4D3C12F4" w14:textId="77777777">
      <w:pPr>
        <w:pStyle w:val="Default"/>
        <w:autoSpaceDE/>
        <w:autoSpaceDN/>
        <w:adjustRightInd/>
        <w:spacing w:line="360" w:lineRule="auto"/>
        <w:ind w:firstLine="720"/>
      </w:pPr>
      <w:r>
        <w:t>With respect to Secure Flight, TSA estimates that there are three important sources of cost uncertainty as presented in the regulatory evaluation.  These are discussed below, in the following order:  (1) the average time required to collect Secure Flight data elements from passengers during telephone reservation sessions; (2) the number of airline reservations made annually; and (3) the distribution of airline reservations originating from internet, travel agency and airline call center sources.  This section of the evaluation assesses each of these uncertainty factors by evaluating how changes in their values affect the overall cost estimate and major subelements of the cost analysis.</w:t>
      </w:r>
    </w:p>
    <w:p w:rsidR="003B0815" w:rsidRDefault="003B0815" w14:paraId="14AFEFB0" w14:textId="77777777">
      <w:pPr>
        <w:pStyle w:val="RegEvalSectionSubheader"/>
        <w:spacing w:line="360" w:lineRule="auto"/>
      </w:pPr>
      <w:bookmarkStart w:name="_Toc202683400" w:id="430"/>
      <w:r>
        <w:t>Section 1.7.1 Airline Reservation Time Estimates</w:t>
      </w:r>
      <w:bookmarkEnd w:id="430"/>
    </w:p>
    <w:p w:rsidR="003B0815" w:rsidRDefault="003B0815" w14:paraId="3C8AECA2" w14:textId="77777777">
      <w:pPr>
        <w:spacing w:line="360" w:lineRule="auto"/>
        <w:ind w:firstLine="720"/>
      </w:pPr>
      <w:r>
        <w:t>Under the rule, airline passenger reservation agents and travel agents collect additional information from passengers at the time of flight reservation on behalf of the air carriers.  TSA assumed that collecting additional information from passengers increases the amount of time to book a reservation, causing airlines to incur additional costs.  Additionally, this requirement also imposes an opportunity cost on passengers making reservations.</w:t>
      </w:r>
    </w:p>
    <w:p w:rsidR="003B0815" w:rsidRDefault="003B0815" w14:paraId="38A4D772" w14:textId="77777777">
      <w:pPr>
        <w:spacing w:line="360" w:lineRule="auto"/>
        <w:ind w:firstLine="720"/>
      </w:pPr>
      <w:r>
        <w:t>In the primary cost estimate, TSA assumed that travel agents and airline passenger reservation agents, as well as passengers, need an additional 25 seconds to book a reservation.  In its cost estimates, TSA considers a range of 20 to 30 seconds in its low and high scenarios, 25% above and below the primary estimate, respectively.  A 25% decrease in this estimate (to 20 seconds) yields a 4.52% reduction in the total cost of the rule, while a 25% increase (to 30 seconds) yields an 4.5% increase in the total estimated cost.  Given these considerations, the total cost estimate is somewhat sensitive to the estimated increase in reservation times.</w:t>
      </w:r>
    </w:p>
    <w:p w:rsidR="003B0815" w:rsidRDefault="003B0815" w14:paraId="26EA0D07" w14:textId="77777777">
      <w:pPr>
        <w:pStyle w:val="RegEvalSectionSubheader"/>
        <w:keepNext/>
        <w:spacing w:line="360" w:lineRule="auto"/>
      </w:pPr>
      <w:bookmarkStart w:name="_Toc202683401" w:id="431"/>
      <w:r>
        <w:t>Section 1.7.2 Domestic Reservations</w:t>
      </w:r>
      <w:bookmarkEnd w:id="431"/>
    </w:p>
    <w:p w:rsidR="003B0815" w:rsidRDefault="003B0815" w14:paraId="7C028C7F" w14:textId="77777777">
      <w:pPr>
        <w:pStyle w:val="Default"/>
        <w:autoSpaceDE/>
        <w:autoSpaceDN/>
        <w:adjustRightInd/>
        <w:spacing w:line="360" w:lineRule="auto"/>
        <w:ind w:firstLine="720"/>
      </w:pPr>
      <w:r>
        <w:t>To calculate the total cost of the Secure Flight rule, TSA estimated the number of domestic reservations, which served as an input to several other cost calculations.  In the primary cost estimate, the number of estimated domestic reservations over the ten year period of analysis is 4.5 billion, increasing from 387.4 million in 2008 to 515 million in 2017, a total increase of about 34%.  Increases from year to year are based on FAA forecasts for domestic enplanements, and average slightly over 3% each year.  If those annual growth rates for reservations are increased by 25%, so that passenger activity grows at a faster rate than the most recent FAA forecasts, then from 2008 to 2017 domestic enplanements increase about 42%, and the total estimated cost of the rule increases by almost 1%.  If the annual growth of domestic enplanements slows from forecast rates by about 25%, then from 2008 to 2017 domestic enplanements increase about 24%, and the estimate cost of the rule falls about 1% compared to the baseline case.  The overall cost estimate is therefore not strongly sensitive to changes in the future course for the number of domestic reservations.</w:t>
      </w:r>
    </w:p>
    <w:p w:rsidR="003B0815" w:rsidRDefault="003B0815" w14:paraId="08D4E4DE" w14:textId="77777777">
      <w:pPr>
        <w:pStyle w:val="RegEvalSectionSubheader"/>
        <w:spacing w:line="360" w:lineRule="auto"/>
      </w:pPr>
      <w:bookmarkStart w:name="_Toc202683402" w:id="432"/>
      <w:r>
        <w:t>Section 1.7.3 Changes in the Distribution of Reservation Methods</w:t>
      </w:r>
      <w:bookmarkEnd w:id="432"/>
    </w:p>
    <w:p w:rsidR="003B0815" w:rsidRDefault="003B0815" w14:paraId="6A5CCE85" w14:textId="77777777">
      <w:pPr>
        <w:pStyle w:val="Default"/>
        <w:autoSpaceDE/>
        <w:autoSpaceDN/>
        <w:adjustRightInd/>
        <w:spacing w:line="360" w:lineRule="auto"/>
        <w:ind w:firstLine="720"/>
      </w:pPr>
      <w:r>
        <w:t xml:space="preserve">Currently, approximately 49% of reservations are made over the internet, with the remaining 51% divided between travel agent reservations (in person or over the telephone) with 36% and airline reservation call centers, with 15%.  In the analysis of the rule’s cost impacts, this distribution was assumed to hold over the period of analysis.  However, while trends have been toward greater use of internet reservation channels, the future is uncertain, and the future course of reservation choices by passengers will affect the ultimate cost of the Secure Flight rule.  </w:t>
      </w:r>
    </w:p>
    <w:p w:rsidR="003B0815" w:rsidRDefault="003B0815" w14:paraId="056BB52A" w14:textId="77777777">
      <w:pPr>
        <w:pStyle w:val="Default"/>
        <w:autoSpaceDE/>
        <w:autoSpaceDN/>
        <w:adjustRightInd/>
        <w:spacing w:line="360" w:lineRule="auto"/>
        <w:ind w:firstLine="720"/>
      </w:pPr>
      <w:r>
        <w:t>To estimate the sensitivity of the rule’s costs to this distribution, two cases were examined. First, it was assumed that the internet share of reservation making grew steadily from 49% in 2008 to 69% in 2017, with the remaining reservations split as before between travel agent reservations and airline call center reservations (that is, a split of the remainder by about 70% to travel agents and 30% to airline call centers).  Such a growth pattern reduces the cost of the rule by approximately 4.2%, due to reduced costs devoted by call centers and passengers to data collection efforts.</w:t>
      </w:r>
    </w:p>
    <w:p w:rsidR="003B0815" w:rsidRDefault="003B0815" w14:paraId="1011AE81" w14:textId="77777777">
      <w:pPr>
        <w:pStyle w:val="Default"/>
        <w:autoSpaceDE/>
        <w:autoSpaceDN/>
        <w:adjustRightInd/>
        <w:spacing w:line="360" w:lineRule="auto"/>
        <w:ind w:firstLine="720"/>
      </w:pPr>
      <w:r>
        <w:t>Second, it was assumed that the internet’s growing share reverses itself from 49% in 2008 to 44% in 2017, with the remaining reservations split as before between travel agent reservations and airline call center reservations (that is, a split of the remainder by about 70% to travel agents and 30% to airline call centers).  Such a distribution pattern increases the cost of the rule by approximately 1, due to increased costs from data collection efforts at call centers and for passengers.</w:t>
      </w:r>
    </w:p>
    <w:p w:rsidR="003B0815" w:rsidRDefault="003B0815" w14:paraId="11603EB8" w14:textId="77777777">
      <w:pPr>
        <w:pStyle w:val="RegEvalSectionSubheader"/>
        <w:keepNext/>
        <w:spacing w:line="360" w:lineRule="auto"/>
      </w:pPr>
      <w:bookmarkStart w:name="_Toc202683404" w:id="433"/>
      <w:r>
        <w:t>Section 1.7.4 Sensitivity Analysis Summary</w:t>
      </w:r>
      <w:bookmarkEnd w:id="433"/>
    </w:p>
    <w:p w:rsidR="003B0815" w:rsidRDefault="003B0815" w14:paraId="3452C0A2" w14:textId="77777777">
      <w:pPr>
        <w:spacing w:line="360" w:lineRule="auto"/>
        <w:ind w:firstLine="720"/>
      </w:pPr>
      <w:r>
        <w:t>As shown in the Table 1.7.4.a below, the total cost estimate is most sensitive to the modeled change in the average airline and travel agent reservation time requirement.  This is primarily due to the large number of reservations forecast over the ten year period of analysis.  As noted in the table, changes to other variables did not exert as large of an impact on the total cost estimate.</w:t>
      </w:r>
    </w:p>
    <w:tbl>
      <w:tblPr>
        <w:tblW w:w="9020" w:type="dxa"/>
        <w:tblCellMar>
          <w:left w:w="0" w:type="dxa"/>
          <w:right w:w="0" w:type="dxa"/>
        </w:tblCellMar>
        <w:tblLook w:val="0000" w:firstRow="0" w:lastRow="0" w:firstColumn="0" w:lastColumn="0" w:noHBand="0" w:noVBand="0"/>
      </w:tblPr>
      <w:tblGrid>
        <w:gridCol w:w="4034"/>
        <w:gridCol w:w="1120"/>
        <w:gridCol w:w="1934"/>
        <w:gridCol w:w="1948"/>
      </w:tblGrid>
      <w:tr w:rsidR="003B0815" w14:paraId="63F4FC50" w14:textId="77777777">
        <w:trPr>
          <w:trHeight w:val="270"/>
        </w:trPr>
        <w:tc>
          <w:tcPr>
            <w:tcW w:w="9020" w:type="dxa"/>
            <w:gridSpan w:val="4"/>
            <w:tcBorders>
              <w:top w:val="nil"/>
              <w:left w:val="nil"/>
              <w:bottom w:val="nil"/>
              <w:right w:val="nil"/>
            </w:tcBorders>
            <w:noWrap/>
            <w:vAlign w:val="bottom"/>
          </w:tcPr>
          <w:p w:rsidR="003B0815" w:rsidRDefault="003B0815" w14:paraId="65B4CBA2" w14:textId="77777777">
            <w:pPr>
              <w:pStyle w:val="RegEvalTableHeader"/>
              <w:rPr>
                <w:rFonts w:eastAsia="Arial Unicode MS"/>
              </w:rPr>
            </w:pPr>
            <w:bookmarkStart w:name="_Toc207109555" w:id="434"/>
            <w:r>
              <w:t>Table 1.7.4.a  Summary of Sensitivity Analysis Results (Millions of $)</w:t>
            </w:r>
            <w:bookmarkEnd w:id="434"/>
          </w:p>
        </w:tc>
      </w:tr>
      <w:tr w:rsidR="003B0815" w14:paraId="3F3AE9A1" w14:textId="77777777">
        <w:trPr>
          <w:trHeight w:val="270"/>
        </w:trPr>
        <w:tc>
          <w:tcPr>
            <w:tcW w:w="0" w:type="auto"/>
            <w:tcBorders>
              <w:top w:val="single" w:color="auto" w:sz="8" w:space="0"/>
              <w:left w:val="single" w:color="auto" w:sz="8" w:space="0"/>
              <w:bottom w:val="single" w:color="auto" w:sz="8" w:space="0"/>
              <w:right w:val="single" w:color="auto" w:sz="4" w:space="0"/>
            </w:tcBorders>
            <w:noWrap/>
            <w:vAlign w:val="bottom"/>
          </w:tcPr>
          <w:p w:rsidR="003B0815" w:rsidRDefault="003B0815" w14:paraId="48806992" w14:textId="77777777">
            <w:pPr>
              <w:rPr>
                <w:rFonts w:ascii="Arial" w:hAnsi="Arial" w:eastAsia="Arial Unicode MS" w:cs="Arial"/>
                <w:sz w:val="20"/>
                <w:szCs w:val="20"/>
              </w:rPr>
            </w:pPr>
            <w:r>
              <w:rPr>
                <w:rFonts w:ascii="Arial" w:hAnsi="Arial" w:cs="Arial"/>
                <w:sz w:val="20"/>
                <w:szCs w:val="20"/>
              </w:rPr>
              <w:t>Sensitivity Test and Cost Elements</w:t>
            </w:r>
          </w:p>
        </w:tc>
        <w:tc>
          <w:tcPr>
            <w:tcW w:w="0" w:type="auto"/>
            <w:tcBorders>
              <w:top w:val="single" w:color="auto" w:sz="8" w:space="0"/>
              <w:left w:val="nil"/>
              <w:bottom w:val="single" w:color="auto" w:sz="8" w:space="0"/>
              <w:right w:val="single" w:color="auto" w:sz="4" w:space="0"/>
            </w:tcBorders>
            <w:noWrap/>
            <w:vAlign w:val="bottom"/>
          </w:tcPr>
          <w:p w:rsidR="003B0815" w:rsidRDefault="003B0815" w14:paraId="015EDE15" w14:textId="77777777">
            <w:pPr>
              <w:rPr>
                <w:rFonts w:ascii="Arial" w:hAnsi="Arial" w:eastAsia="Arial Unicode MS" w:cs="Arial"/>
                <w:sz w:val="20"/>
                <w:szCs w:val="20"/>
              </w:rPr>
            </w:pPr>
            <w:r>
              <w:rPr>
                <w:rFonts w:ascii="Arial" w:hAnsi="Arial" w:cs="Arial"/>
                <w:sz w:val="20"/>
                <w:szCs w:val="20"/>
              </w:rPr>
              <w:t>Baseline</w:t>
            </w:r>
          </w:p>
        </w:tc>
        <w:tc>
          <w:tcPr>
            <w:tcW w:w="0" w:type="auto"/>
            <w:tcBorders>
              <w:top w:val="single" w:color="auto" w:sz="8" w:space="0"/>
              <w:left w:val="nil"/>
              <w:bottom w:val="single" w:color="auto" w:sz="8" w:space="0"/>
              <w:right w:val="single" w:color="auto" w:sz="4" w:space="0"/>
            </w:tcBorders>
            <w:noWrap/>
            <w:vAlign w:val="bottom"/>
          </w:tcPr>
          <w:p w:rsidR="003B0815" w:rsidRDefault="003B0815" w14:paraId="2F7A8F84" w14:textId="77777777">
            <w:pPr>
              <w:rPr>
                <w:rFonts w:ascii="Arial" w:hAnsi="Arial" w:eastAsia="Arial Unicode MS" w:cs="Arial"/>
                <w:sz w:val="20"/>
                <w:szCs w:val="20"/>
              </w:rPr>
            </w:pPr>
            <w:r>
              <w:rPr>
                <w:rFonts w:ascii="Arial" w:hAnsi="Arial" w:cs="Arial"/>
                <w:sz w:val="20"/>
                <w:szCs w:val="20"/>
              </w:rPr>
              <w:t>Sensitivity Bound</w:t>
            </w:r>
          </w:p>
        </w:tc>
        <w:tc>
          <w:tcPr>
            <w:tcW w:w="0" w:type="auto"/>
            <w:tcBorders>
              <w:top w:val="single" w:color="auto" w:sz="8" w:space="0"/>
              <w:left w:val="nil"/>
              <w:bottom w:val="single" w:color="auto" w:sz="8" w:space="0"/>
              <w:right w:val="single" w:color="auto" w:sz="8" w:space="0"/>
            </w:tcBorders>
            <w:noWrap/>
            <w:vAlign w:val="bottom"/>
          </w:tcPr>
          <w:p w:rsidR="003B0815" w:rsidRDefault="003B0815" w14:paraId="0BE0842A" w14:textId="77777777">
            <w:pPr>
              <w:rPr>
                <w:rFonts w:ascii="Arial" w:hAnsi="Arial" w:eastAsia="Arial Unicode MS" w:cs="Arial"/>
                <w:sz w:val="20"/>
                <w:szCs w:val="20"/>
              </w:rPr>
            </w:pPr>
            <w:r>
              <w:rPr>
                <w:rFonts w:ascii="Arial" w:hAnsi="Arial" w:cs="Arial"/>
                <w:sz w:val="20"/>
                <w:szCs w:val="20"/>
              </w:rPr>
              <w:t>Sensitivity Bound</w:t>
            </w:r>
          </w:p>
        </w:tc>
      </w:tr>
      <w:tr w:rsidR="003B0815" w14:paraId="4E1903E4" w14:textId="77777777">
        <w:trPr>
          <w:trHeight w:val="510"/>
        </w:trPr>
        <w:tc>
          <w:tcPr>
            <w:tcW w:w="4100" w:type="dxa"/>
            <w:tcBorders>
              <w:top w:val="nil"/>
              <w:left w:val="single" w:color="auto" w:sz="8" w:space="0"/>
              <w:bottom w:val="single" w:color="auto" w:sz="4" w:space="0"/>
              <w:right w:val="single" w:color="auto" w:sz="8" w:space="0"/>
            </w:tcBorders>
            <w:vAlign w:val="bottom"/>
          </w:tcPr>
          <w:p w:rsidR="003B0815" w:rsidRDefault="003B0815" w14:paraId="5221A7AE" w14:textId="77777777">
            <w:pPr>
              <w:rPr>
                <w:rFonts w:ascii="Arial" w:hAnsi="Arial" w:eastAsia="Arial Unicode MS" w:cs="Arial"/>
                <w:b/>
                <w:bCs/>
                <w:sz w:val="20"/>
                <w:szCs w:val="20"/>
              </w:rPr>
            </w:pPr>
            <w:r>
              <w:rPr>
                <w:rFonts w:ascii="Arial" w:hAnsi="Arial" w:cs="Arial"/>
                <w:b/>
                <w:bCs/>
                <w:sz w:val="20"/>
                <w:szCs w:val="20"/>
              </w:rPr>
              <w:t>5 second increase and Decrease in Reservation Data Collection Time</w:t>
            </w:r>
          </w:p>
        </w:tc>
        <w:tc>
          <w:tcPr>
            <w:tcW w:w="1440" w:type="dxa"/>
            <w:tcBorders>
              <w:top w:val="nil"/>
              <w:left w:val="nil"/>
              <w:bottom w:val="single" w:color="auto" w:sz="4" w:space="0"/>
              <w:right w:val="single" w:color="auto" w:sz="4" w:space="0"/>
            </w:tcBorders>
            <w:vAlign w:val="bottom"/>
          </w:tcPr>
          <w:p w:rsidR="003B0815" w:rsidRDefault="003B0815" w14:paraId="702AACCD" w14:textId="77777777">
            <w:pPr>
              <w:jc w:val="center"/>
              <w:rPr>
                <w:rFonts w:ascii="Arial" w:hAnsi="Arial" w:eastAsia="Arial Unicode MS" w:cs="Arial"/>
                <w:sz w:val="20"/>
                <w:szCs w:val="20"/>
              </w:rPr>
            </w:pPr>
            <w:r>
              <w:rPr>
                <w:rFonts w:ascii="Arial" w:hAnsi="Arial" w:cs="Arial"/>
                <w:sz w:val="20"/>
                <w:szCs w:val="20"/>
              </w:rPr>
              <w:t>25             seconds</w:t>
            </w:r>
          </w:p>
        </w:tc>
        <w:tc>
          <w:tcPr>
            <w:tcW w:w="1720" w:type="dxa"/>
            <w:tcBorders>
              <w:top w:val="nil"/>
              <w:left w:val="nil"/>
              <w:bottom w:val="single" w:color="auto" w:sz="4" w:space="0"/>
              <w:right w:val="single" w:color="auto" w:sz="4" w:space="0"/>
            </w:tcBorders>
            <w:vAlign w:val="bottom"/>
          </w:tcPr>
          <w:p w:rsidR="003B0815" w:rsidRDefault="003B0815" w14:paraId="30343893" w14:textId="77777777">
            <w:pPr>
              <w:jc w:val="center"/>
              <w:rPr>
                <w:rFonts w:ascii="Arial" w:hAnsi="Arial" w:eastAsia="Arial Unicode MS" w:cs="Arial"/>
                <w:sz w:val="20"/>
                <w:szCs w:val="20"/>
              </w:rPr>
            </w:pPr>
            <w:r>
              <w:rPr>
                <w:rFonts w:ascii="Arial" w:hAnsi="Arial" w:cs="Arial"/>
                <w:sz w:val="20"/>
                <w:szCs w:val="20"/>
              </w:rPr>
              <w:t>30             seconds</w:t>
            </w:r>
          </w:p>
        </w:tc>
        <w:tc>
          <w:tcPr>
            <w:tcW w:w="1760" w:type="dxa"/>
            <w:tcBorders>
              <w:top w:val="nil"/>
              <w:left w:val="nil"/>
              <w:bottom w:val="single" w:color="auto" w:sz="4" w:space="0"/>
              <w:right w:val="single" w:color="auto" w:sz="8" w:space="0"/>
            </w:tcBorders>
            <w:vAlign w:val="bottom"/>
          </w:tcPr>
          <w:p w:rsidR="003B0815" w:rsidRDefault="003B0815" w14:paraId="5E6B1BDE" w14:textId="77777777">
            <w:pPr>
              <w:jc w:val="center"/>
              <w:rPr>
                <w:rFonts w:ascii="Arial" w:hAnsi="Arial" w:eastAsia="Arial Unicode MS" w:cs="Arial"/>
                <w:sz w:val="20"/>
                <w:szCs w:val="20"/>
              </w:rPr>
            </w:pPr>
            <w:r>
              <w:rPr>
                <w:rFonts w:ascii="Arial" w:hAnsi="Arial" w:cs="Arial"/>
                <w:sz w:val="20"/>
                <w:szCs w:val="20"/>
              </w:rPr>
              <w:t>20             seconds</w:t>
            </w:r>
          </w:p>
        </w:tc>
      </w:tr>
      <w:tr w:rsidR="003B0815" w14:paraId="3040A2A0"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30B71F6A" w14:textId="77777777">
            <w:pPr>
              <w:jc w:val="right"/>
              <w:rPr>
                <w:rFonts w:ascii="Arial" w:hAnsi="Arial" w:eastAsia="Arial Unicode MS" w:cs="Arial"/>
                <w:sz w:val="20"/>
                <w:szCs w:val="20"/>
              </w:rPr>
            </w:pPr>
            <w:r>
              <w:rPr>
                <w:rFonts w:ascii="Arial" w:hAnsi="Arial" w:cs="Arial"/>
                <w:sz w:val="20"/>
                <w:szCs w:val="20"/>
              </w:rPr>
              <w:t>Total Cost</w:t>
            </w:r>
          </w:p>
        </w:tc>
        <w:tc>
          <w:tcPr>
            <w:tcW w:w="0" w:type="auto"/>
            <w:tcBorders>
              <w:top w:val="nil"/>
              <w:left w:val="nil"/>
              <w:bottom w:val="single" w:color="auto" w:sz="4" w:space="0"/>
              <w:right w:val="single" w:color="auto" w:sz="4" w:space="0"/>
            </w:tcBorders>
            <w:noWrap/>
            <w:vAlign w:val="bottom"/>
          </w:tcPr>
          <w:p w:rsidR="003B0815" w:rsidRDefault="003B0815" w14:paraId="7C3CFA53" w14:textId="77777777">
            <w:pPr>
              <w:jc w:val="right"/>
              <w:rPr>
                <w:rFonts w:ascii="Arial" w:hAnsi="Arial" w:eastAsia="Arial Unicode MS" w:cs="Arial"/>
                <w:sz w:val="20"/>
                <w:szCs w:val="20"/>
              </w:rPr>
            </w:pPr>
            <w:r>
              <w:rPr>
                <w:rFonts w:ascii="Arial" w:hAnsi="Arial" w:cs="Arial"/>
                <w:sz w:val="20"/>
                <w:szCs w:val="20"/>
              </w:rPr>
              <w:t xml:space="preserve">$3,965.1 </w:t>
            </w:r>
          </w:p>
        </w:tc>
        <w:tc>
          <w:tcPr>
            <w:tcW w:w="0" w:type="auto"/>
            <w:tcBorders>
              <w:top w:val="nil"/>
              <w:left w:val="nil"/>
              <w:bottom w:val="single" w:color="auto" w:sz="4" w:space="0"/>
              <w:right w:val="single" w:color="auto" w:sz="4" w:space="0"/>
            </w:tcBorders>
            <w:noWrap/>
            <w:vAlign w:val="bottom"/>
          </w:tcPr>
          <w:p w:rsidR="003B0815" w:rsidRDefault="003B0815" w14:paraId="4A5C33AB" w14:textId="77777777">
            <w:pPr>
              <w:jc w:val="right"/>
              <w:rPr>
                <w:rFonts w:ascii="Arial" w:hAnsi="Arial" w:eastAsia="Arial Unicode MS" w:cs="Arial"/>
                <w:sz w:val="20"/>
                <w:szCs w:val="20"/>
              </w:rPr>
            </w:pPr>
            <w:r>
              <w:rPr>
                <w:rFonts w:ascii="Arial" w:hAnsi="Arial" w:cs="Arial"/>
                <w:sz w:val="20"/>
                <w:szCs w:val="20"/>
              </w:rPr>
              <w:t xml:space="preserve">$4,142.8 </w:t>
            </w:r>
          </w:p>
        </w:tc>
        <w:tc>
          <w:tcPr>
            <w:tcW w:w="0" w:type="auto"/>
            <w:tcBorders>
              <w:top w:val="nil"/>
              <w:left w:val="nil"/>
              <w:bottom w:val="single" w:color="auto" w:sz="4" w:space="0"/>
              <w:right w:val="single" w:color="auto" w:sz="8" w:space="0"/>
            </w:tcBorders>
            <w:noWrap/>
            <w:vAlign w:val="bottom"/>
          </w:tcPr>
          <w:p w:rsidR="003B0815" w:rsidRDefault="003B0815" w14:paraId="4E370827" w14:textId="77777777">
            <w:pPr>
              <w:jc w:val="right"/>
              <w:rPr>
                <w:rFonts w:ascii="Arial" w:hAnsi="Arial" w:eastAsia="Arial Unicode MS" w:cs="Arial"/>
                <w:sz w:val="20"/>
                <w:szCs w:val="20"/>
              </w:rPr>
            </w:pPr>
            <w:r>
              <w:rPr>
                <w:rFonts w:ascii="Arial" w:hAnsi="Arial" w:cs="Arial"/>
                <w:sz w:val="20"/>
                <w:szCs w:val="20"/>
              </w:rPr>
              <w:t xml:space="preserve">$3,786.0 </w:t>
            </w:r>
          </w:p>
        </w:tc>
      </w:tr>
      <w:tr w:rsidR="003B0815" w14:paraId="2F900F19"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3AABA187" w14:textId="77777777">
            <w:pPr>
              <w:jc w:val="right"/>
              <w:rPr>
                <w:rFonts w:ascii="Arial" w:hAnsi="Arial" w:eastAsia="Arial Unicode MS" w:cs="Arial"/>
                <w:sz w:val="20"/>
                <w:szCs w:val="20"/>
              </w:rPr>
            </w:pPr>
            <w:r>
              <w:rPr>
                <w:rFonts w:ascii="Arial" w:hAnsi="Arial" w:cs="Arial"/>
                <w:sz w:val="20"/>
                <w:szCs w:val="20"/>
              </w:rPr>
              <w:t>Cash Outlay Cost</w:t>
            </w:r>
          </w:p>
        </w:tc>
        <w:tc>
          <w:tcPr>
            <w:tcW w:w="0" w:type="auto"/>
            <w:tcBorders>
              <w:top w:val="nil"/>
              <w:left w:val="nil"/>
              <w:bottom w:val="single" w:color="auto" w:sz="4" w:space="0"/>
              <w:right w:val="single" w:color="auto" w:sz="4" w:space="0"/>
            </w:tcBorders>
            <w:noWrap/>
            <w:vAlign w:val="bottom"/>
          </w:tcPr>
          <w:p w:rsidR="003B0815" w:rsidRDefault="003B0815" w14:paraId="656083DE" w14:textId="77777777">
            <w:pPr>
              <w:jc w:val="right"/>
              <w:rPr>
                <w:rFonts w:ascii="Arial" w:hAnsi="Arial" w:eastAsia="Arial Unicode MS" w:cs="Arial"/>
                <w:sz w:val="20"/>
                <w:szCs w:val="20"/>
              </w:rPr>
            </w:pPr>
            <w:r>
              <w:rPr>
                <w:rFonts w:ascii="Arial" w:hAnsi="Arial" w:cs="Arial"/>
                <w:sz w:val="20"/>
                <w:szCs w:val="20"/>
              </w:rPr>
              <w:t xml:space="preserve">$3,000.1 </w:t>
            </w:r>
          </w:p>
        </w:tc>
        <w:tc>
          <w:tcPr>
            <w:tcW w:w="0" w:type="auto"/>
            <w:tcBorders>
              <w:top w:val="nil"/>
              <w:left w:val="nil"/>
              <w:bottom w:val="single" w:color="auto" w:sz="4" w:space="0"/>
              <w:right w:val="single" w:color="auto" w:sz="4" w:space="0"/>
            </w:tcBorders>
            <w:noWrap/>
            <w:vAlign w:val="bottom"/>
          </w:tcPr>
          <w:p w:rsidR="003B0815" w:rsidRDefault="003B0815" w14:paraId="42AFD4F5" w14:textId="77777777">
            <w:pPr>
              <w:jc w:val="right"/>
              <w:rPr>
                <w:rFonts w:ascii="Arial" w:hAnsi="Arial" w:eastAsia="Arial Unicode MS" w:cs="Arial"/>
                <w:sz w:val="20"/>
                <w:szCs w:val="20"/>
              </w:rPr>
            </w:pPr>
            <w:r>
              <w:rPr>
                <w:rFonts w:ascii="Arial" w:hAnsi="Arial" w:cs="Arial"/>
                <w:sz w:val="20"/>
                <w:szCs w:val="20"/>
              </w:rPr>
              <w:t xml:space="preserve">$3,088.0 </w:t>
            </w:r>
          </w:p>
        </w:tc>
        <w:tc>
          <w:tcPr>
            <w:tcW w:w="0" w:type="auto"/>
            <w:tcBorders>
              <w:top w:val="nil"/>
              <w:left w:val="nil"/>
              <w:bottom w:val="single" w:color="auto" w:sz="4" w:space="0"/>
              <w:right w:val="single" w:color="auto" w:sz="8" w:space="0"/>
            </w:tcBorders>
            <w:noWrap/>
            <w:vAlign w:val="bottom"/>
          </w:tcPr>
          <w:p w:rsidR="003B0815" w:rsidRDefault="003B0815" w14:paraId="6E8997C3" w14:textId="77777777">
            <w:pPr>
              <w:jc w:val="right"/>
              <w:rPr>
                <w:rFonts w:ascii="Arial" w:hAnsi="Arial" w:eastAsia="Arial Unicode MS" w:cs="Arial"/>
                <w:sz w:val="20"/>
                <w:szCs w:val="20"/>
              </w:rPr>
            </w:pPr>
            <w:r>
              <w:rPr>
                <w:rFonts w:ascii="Arial" w:hAnsi="Arial" w:cs="Arial"/>
                <w:sz w:val="20"/>
                <w:szCs w:val="20"/>
              </w:rPr>
              <w:t xml:space="preserve">$2,911.6 </w:t>
            </w:r>
          </w:p>
        </w:tc>
      </w:tr>
      <w:tr w:rsidR="003B0815" w14:paraId="7B342EE1"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44A00447" w14:textId="77777777">
            <w:pPr>
              <w:jc w:val="right"/>
              <w:rPr>
                <w:rFonts w:ascii="Arial" w:hAnsi="Arial" w:eastAsia="Arial Unicode MS" w:cs="Arial"/>
                <w:sz w:val="20"/>
                <w:szCs w:val="20"/>
              </w:rPr>
            </w:pPr>
            <w:r>
              <w:rPr>
                <w:rFonts w:ascii="Arial" w:hAnsi="Arial" w:cs="Arial"/>
                <w:sz w:val="20"/>
                <w:szCs w:val="20"/>
              </w:rPr>
              <w:t>Airline Collection Cost</w:t>
            </w:r>
          </w:p>
        </w:tc>
        <w:tc>
          <w:tcPr>
            <w:tcW w:w="0" w:type="auto"/>
            <w:tcBorders>
              <w:top w:val="nil"/>
              <w:left w:val="nil"/>
              <w:bottom w:val="single" w:color="auto" w:sz="4" w:space="0"/>
              <w:right w:val="single" w:color="auto" w:sz="4" w:space="0"/>
            </w:tcBorders>
            <w:noWrap/>
            <w:vAlign w:val="bottom"/>
          </w:tcPr>
          <w:p w:rsidR="003B0815" w:rsidRDefault="003B0815" w14:paraId="49D0FB99" w14:textId="77777777">
            <w:pPr>
              <w:jc w:val="right"/>
              <w:rPr>
                <w:rFonts w:ascii="Arial" w:hAnsi="Arial" w:eastAsia="Arial Unicode MS" w:cs="Arial"/>
                <w:sz w:val="20"/>
                <w:szCs w:val="20"/>
              </w:rPr>
            </w:pPr>
            <w:r>
              <w:rPr>
                <w:rFonts w:ascii="Arial" w:hAnsi="Arial" w:cs="Arial"/>
                <w:sz w:val="20"/>
                <w:szCs w:val="20"/>
              </w:rPr>
              <w:t xml:space="preserve">$130.7 </w:t>
            </w:r>
          </w:p>
        </w:tc>
        <w:tc>
          <w:tcPr>
            <w:tcW w:w="0" w:type="auto"/>
            <w:tcBorders>
              <w:top w:val="nil"/>
              <w:left w:val="nil"/>
              <w:bottom w:val="single" w:color="auto" w:sz="4" w:space="0"/>
              <w:right w:val="single" w:color="auto" w:sz="4" w:space="0"/>
            </w:tcBorders>
            <w:noWrap/>
            <w:vAlign w:val="bottom"/>
          </w:tcPr>
          <w:p w:rsidR="003B0815" w:rsidRDefault="003B0815" w14:paraId="7150F452" w14:textId="77777777">
            <w:pPr>
              <w:jc w:val="right"/>
              <w:rPr>
                <w:rFonts w:ascii="Arial" w:hAnsi="Arial" w:eastAsia="Arial Unicode MS" w:cs="Arial"/>
                <w:sz w:val="20"/>
                <w:szCs w:val="20"/>
              </w:rPr>
            </w:pPr>
            <w:r>
              <w:rPr>
                <w:rFonts w:ascii="Arial" w:hAnsi="Arial" w:cs="Arial"/>
                <w:sz w:val="20"/>
                <w:szCs w:val="20"/>
              </w:rPr>
              <w:t xml:space="preserve">$156.6 </w:t>
            </w:r>
          </w:p>
        </w:tc>
        <w:tc>
          <w:tcPr>
            <w:tcW w:w="0" w:type="auto"/>
            <w:tcBorders>
              <w:top w:val="nil"/>
              <w:left w:val="nil"/>
              <w:bottom w:val="single" w:color="auto" w:sz="4" w:space="0"/>
              <w:right w:val="single" w:color="auto" w:sz="8" w:space="0"/>
            </w:tcBorders>
            <w:noWrap/>
            <w:vAlign w:val="bottom"/>
          </w:tcPr>
          <w:p w:rsidR="003B0815" w:rsidRDefault="003B0815" w14:paraId="49B9E287" w14:textId="77777777">
            <w:pPr>
              <w:jc w:val="right"/>
              <w:rPr>
                <w:rFonts w:ascii="Arial" w:hAnsi="Arial" w:eastAsia="Arial Unicode MS" w:cs="Arial"/>
                <w:sz w:val="20"/>
                <w:szCs w:val="20"/>
              </w:rPr>
            </w:pPr>
            <w:r>
              <w:rPr>
                <w:rFonts w:ascii="Arial" w:hAnsi="Arial" w:cs="Arial"/>
                <w:sz w:val="20"/>
                <w:szCs w:val="20"/>
              </w:rPr>
              <w:t xml:space="preserve">$104.8 </w:t>
            </w:r>
          </w:p>
        </w:tc>
      </w:tr>
      <w:tr w:rsidR="003B0815" w14:paraId="0553B462"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1BF765C7" w14:textId="77777777">
            <w:pPr>
              <w:jc w:val="right"/>
              <w:rPr>
                <w:rFonts w:ascii="Arial" w:hAnsi="Arial" w:eastAsia="Arial Unicode MS" w:cs="Arial"/>
                <w:sz w:val="20"/>
                <w:szCs w:val="20"/>
              </w:rPr>
            </w:pPr>
            <w:r>
              <w:rPr>
                <w:rFonts w:ascii="Arial" w:hAnsi="Arial" w:cs="Arial"/>
                <w:sz w:val="20"/>
                <w:szCs w:val="20"/>
              </w:rPr>
              <w:t>Travel Agent Collection Cost</w:t>
            </w:r>
          </w:p>
        </w:tc>
        <w:tc>
          <w:tcPr>
            <w:tcW w:w="0" w:type="auto"/>
            <w:tcBorders>
              <w:top w:val="nil"/>
              <w:left w:val="nil"/>
              <w:bottom w:val="single" w:color="auto" w:sz="4" w:space="0"/>
              <w:right w:val="single" w:color="auto" w:sz="4" w:space="0"/>
            </w:tcBorders>
            <w:noWrap/>
            <w:vAlign w:val="bottom"/>
          </w:tcPr>
          <w:p w:rsidR="003B0815" w:rsidRDefault="003B0815" w14:paraId="7D083677" w14:textId="77777777">
            <w:pPr>
              <w:jc w:val="right"/>
              <w:rPr>
                <w:rFonts w:ascii="Arial" w:hAnsi="Arial" w:eastAsia="Arial Unicode MS" w:cs="Arial"/>
                <w:sz w:val="20"/>
                <w:szCs w:val="20"/>
              </w:rPr>
            </w:pPr>
            <w:r>
              <w:rPr>
                <w:rFonts w:ascii="Arial" w:hAnsi="Arial" w:cs="Arial"/>
                <w:sz w:val="20"/>
                <w:szCs w:val="20"/>
              </w:rPr>
              <w:t xml:space="preserve">$310.7 </w:t>
            </w:r>
          </w:p>
        </w:tc>
        <w:tc>
          <w:tcPr>
            <w:tcW w:w="0" w:type="auto"/>
            <w:tcBorders>
              <w:top w:val="nil"/>
              <w:left w:val="nil"/>
              <w:bottom w:val="single" w:color="auto" w:sz="4" w:space="0"/>
              <w:right w:val="single" w:color="auto" w:sz="4" w:space="0"/>
            </w:tcBorders>
            <w:noWrap/>
            <w:vAlign w:val="bottom"/>
          </w:tcPr>
          <w:p w:rsidR="003B0815" w:rsidRDefault="003B0815" w14:paraId="3F1E75C2" w14:textId="77777777">
            <w:pPr>
              <w:jc w:val="right"/>
              <w:rPr>
                <w:rFonts w:ascii="Arial" w:hAnsi="Arial" w:eastAsia="Arial Unicode MS" w:cs="Arial"/>
                <w:sz w:val="20"/>
                <w:szCs w:val="20"/>
              </w:rPr>
            </w:pPr>
            <w:r>
              <w:rPr>
                <w:rFonts w:ascii="Arial" w:hAnsi="Arial" w:cs="Arial"/>
                <w:sz w:val="20"/>
                <w:szCs w:val="20"/>
              </w:rPr>
              <w:t xml:space="preserve">$372.7 </w:t>
            </w:r>
          </w:p>
        </w:tc>
        <w:tc>
          <w:tcPr>
            <w:tcW w:w="0" w:type="auto"/>
            <w:tcBorders>
              <w:top w:val="nil"/>
              <w:left w:val="nil"/>
              <w:bottom w:val="single" w:color="auto" w:sz="4" w:space="0"/>
              <w:right w:val="single" w:color="auto" w:sz="8" w:space="0"/>
            </w:tcBorders>
            <w:noWrap/>
            <w:vAlign w:val="bottom"/>
          </w:tcPr>
          <w:p w:rsidR="003B0815" w:rsidRDefault="003B0815" w14:paraId="0E985724" w14:textId="77777777">
            <w:pPr>
              <w:jc w:val="right"/>
              <w:rPr>
                <w:rFonts w:ascii="Arial" w:hAnsi="Arial" w:eastAsia="Arial Unicode MS" w:cs="Arial"/>
                <w:sz w:val="20"/>
                <w:szCs w:val="20"/>
              </w:rPr>
            </w:pPr>
            <w:r>
              <w:rPr>
                <w:rFonts w:ascii="Arial" w:hAnsi="Arial" w:cs="Arial"/>
                <w:sz w:val="20"/>
                <w:szCs w:val="20"/>
              </w:rPr>
              <w:t xml:space="preserve">$248.1 </w:t>
            </w:r>
          </w:p>
        </w:tc>
      </w:tr>
      <w:tr w:rsidR="003B0815" w14:paraId="789E576F" w14:textId="77777777">
        <w:trPr>
          <w:trHeight w:val="270"/>
        </w:trPr>
        <w:tc>
          <w:tcPr>
            <w:tcW w:w="0" w:type="auto"/>
            <w:tcBorders>
              <w:top w:val="nil"/>
              <w:left w:val="single" w:color="auto" w:sz="8" w:space="0"/>
              <w:bottom w:val="single" w:color="auto" w:sz="8" w:space="0"/>
              <w:right w:val="single" w:color="auto" w:sz="8" w:space="0"/>
            </w:tcBorders>
            <w:noWrap/>
            <w:vAlign w:val="bottom"/>
          </w:tcPr>
          <w:p w:rsidR="003B0815" w:rsidRDefault="003B0815" w14:paraId="773BBED5" w14:textId="77777777">
            <w:pPr>
              <w:jc w:val="right"/>
              <w:rPr>
                <w:rFonts w:ascii="Arial" w:hAnsi="Arial" w:eastAsia="Arial Unicode MS" w:cs="Arial"/>
                <w:sz w:val="20"/>
                <w:szCs w:val="20"/>
              </w:rPr>
            </w:pPr>
            <w:r>
              <w:rPr>
                <w:rFonts w:ascii="Arial" w:hAnsi="Arial" w:cs="Arial"/>
                <w:sz w:val="20"/>
                <w:szCs w:val="20"/>
              </w:rPr>
              <w:t xml:space="preserve">Passenger </w:t>
            </w:r>
            <w:smartTag w:uri="urn:schemas-microsoft-com:office:smarttags" w:element="place">
              <w:r>
                <w:rPr>
                  <w:rFonts w:ascii="Arial" w:hAnsi="Arial" w:cs="Arial"/>
                  <w:sz w:val="20"/>
                  <w:szCs w:val="20"/>
                </w:rPr>
                <w:t>Opportunity</w:t>
              </w:r>
            </w:smartTag>
            <w:r>
              <w:rPr>
                <w:rFonts w:ascii="Arial" w:hAnsi="Arial" w:cs="Arial"/>
                <w:sz w:val="20"/>
                <w:szCs w:val="20"/>
              </w:rPr>
              <w:t xml:space="preserve"> Cost</w:t>
            </w:r>
          </w:p>
        </w:tc>
        <w:tc>
          <w:tcPr>
            <w:tcW w:w="0" w:type="auto"/>
            <w:tcBorders>
              <w:top w:val="nil"/>
              <w:left w:val="nil"/>
              <w:bottom w:val="single" w:color="auto" w:sz="8" w:space="0"/>
              <w:right w:val="single" w:color="auto" w:sz="4" w:space="0"/>
            </w:tcBorders>
            <w:noWrap/>
            <w:vAlign w:val="bottom"/>
          </w:tcPr>
          <w:p w:rsidR="003B0815" w:rsidRDefault="003B0815" w14:paraId="4A14EA2A" w14:textId="77777777">
            <w:pPr>
              <w:jc w:val="right"/>
              <w:rPr>
                <w:rFonts w:ascii="Arial" w:hAnsi="Arial" w:eastAsia="Arial Unicode MS" w:cs="Arial"/>
                <w:sz w:val="20"/>
                <w:szCs w:val="20"/>
              </w:rPr>
            </w:pPr>
            <w:r>
              <w:rPr>
                <w:rFonts w:ascii="Arial" w:hAnsi="Arial" w:cs="Arial"/>
                <w:sz w:val="20"/>
                <w:szCs w:val="20"/>
              </w:rPr>
              <w:t xml:space="preserve">$965.0 </w:t>
            </w:r>
          </w:p>
        </w:tc>
        <w:tc>
          <w:tcPr>
            <w:tcW w:w="0" w:type="auto"/>
            <w:tcBorders>
              <w:top w:val="nil"/>
              <w:left w:val="nil"/>
              <w:bottom w:val="single" w:color="auto" w:sz="8" w:space="0"/>
              <w:right w:val="single" w:color="auto" w:sz="4" w:space="0"/>
            </w:tcBorders>
            <w:noWrap/>
            <w:vAlign w:val="bottom"/>
          </w:tcPr>
          <w:p w:rsidR="003B0815" w:rsidRDefault="003B0815" w14:paraId="1F681F9B" w14:textId="77777777">
            <w:pPr>
              <w:jc w:val="right"/>
              <w:rPr>
                <w:rFonts w:ascii="Arial" w:hAnsi="Arial" w:eastAsia="Arial Unicode MS" w:cs="Arial"/>
                <w:sz w:val="20"/>
                <w:szCs w:val="20"/>
              </w:rPr>
            </w:pPr>
            <w:r>
              <w:rPr>
                <w:rFonts w:ascii="Arial" w:hAnsi="Arial" w:cs="Arial"/>
                <w:sz w:val="20"/>
                <w:szCs w:val="20"/>
              </w:rPr>
              <w:t xml:space="preserve">$1,054.8 </w:t>
            </w:r>
          </w:p>
        </w:tc>
        <w:tc>
          <w:tcPr>
            <w:tcW w:w="0" w:type="auto"/>
            <w:tcBorders>
              <w:top w:val="nil"/>
              <w:left w:val="nil"/>
              <w:bottom w:val="single" w:color="auto" w:sz="8" w:space="0"/>
              <w:right w:val="single" w:color="auto" w:sz="8" w:space="0"/>
            </w:tcBorders>
            <w:noWrap/>
            <w:vAlign w:val="bottom"/>
          </w:tcPr>
          <w:p w:rsidR="003B0815" w:rsidRDefault="003B0815" w14:paraId="789148AF" w14:textId="77777777">
            <w:pPr>
              <w:jc w:val="right"/>
              <w:rPr>
                <w:rFonts w:ascii="Arial" w:hAnsi="Arial" w:eastAsia="Arial Unicode MS" w:cs="Arial"/>
                <w:sz w:val="20"/>
                <w:szCs w:val="20"/>
              </w:rPr>
            </w:pPr>
            <w:r>
              <w:rPr>
                <w:rFonts w:ascii="Arial" w:hAnsi="Arial" w:cs="Arial"/>
                <w:sz w:val="20"/>
                <w:szCs w:val="20"/>
              </w:rPr>
              <w:t xml:space="preserve">$874.4 </w:t>
            </w:r>
          </w:p>
        </w:tc>
      </w:tr>
      <w:tr w:rsidR="003B0815" w14:paraId="45201E9C" w14:textId="77777777">
        <w:trPr>
          <w:trHeight w:val="510"/>
        </w:trPr>
        <w:tc>
          <w:tcPr>
            <w:tcW w:w="4100" w:type="dxa"/>
            <w:tcBorders>
              <w:top w:val="nil"/>
              <w:left w:val="single" w:color="auto" w:sz="8" w:space="0"/>
              <w:bottom w:val="single" w:color="auto" w:sz="4" w:space="0"/>
              <w:right w:val="single" w:color="auto" w:sz="8" w:space="0"/>
            </w:tcBorders>
            <w:vAlign w:val="bottom"/>
          </w:tcPr>
          <w:p w:rsidR="003B0815" w:rsidRDefault="003B0815" w14:paraId="6D8D32E2" w14:textId="77777777">
            <w:pPr>
              <w:rPr>
                <w:rFonts w:ascii="Arial" w:hAnsi="Arial" w:eastAsia="Arial Unicode MS" w:cs="Arial"/>
                <w:b/>
                <w:bCs/>
                <w:sz w:val="20"/>
                <w:szCs w:val="20"/>
              </w:rPr>
            </w:pPr>
            <w:r>
              <w:rPr>
                <w:rFonts w:ascii="Arial" w:hAnsi="Arial" w:cs="Arial"/>
                <w:b/>
                <w:bCs/>
                <w:sz w:val="20"/>
                <w:szCs w:val="20"/>
              </w:rPr>
              <w:t>Change in Growth of Annual Domestic Reservations</w:t>
            </w:r>
          </w:p>
        </w:tc>
        <w:tc>
          <w:tcPr>
            <w:tcW w:w="0" w:type="auto"/>
            <w:tcBorders>
              <w:top w:val="nil"/>
              <w:left w:val="nil"/>
              <w:bottom w:val="single" w:color="auto" w:sz="4" w:space="0"/>
              <w:right w:val="single" w:color="auto" w:sz="4" w:space="0"/>
            </w:tcBorders>
            <w:noWrap/>
            <w:vAlign w:val="bottom"/>
          </w:tcPr>
          <w:p w:rsidR="003B0815" w:rsidRDefault="003B0815" w14:paraId="5CE60827" w14:textId="77777777">
            <w:pPr>
              <w:rPr>
                <w:rFonts w:ascii="Arial" w:hAnsi="Arial" w:eastAsia="Arial Unicode MS" w:cs="Arial"/>
                <w:sz w:val="20"/>
                <w:szCs w:val="20"/>
              </w:rPr>
            </w:pPr>
            <w:r>
              <w:rPr>
                <w:rFonts w:ascii="Arial" w:hAnsi="Arial" w:cs="Arial"/>
                <w:sz w:val="20"/>
                <w:szCs w:val="20"/>
              </w:rPr>
              <w:t> </w:t>
            </w:r>
          </w:p>
        </w:tc>
        <w:tc>
          <w:tcPr>
            <w:tcW w:w="1720" w:type="dxa"/>
            <w:tcBorders>
              <w:top w:val="nil"/>
              <w:left w:val="nil"/>
              <w:bottom w:val="single" w:color="auto" w:sz="4" w:space="0"/>
              <w:right w:val="single" w:color="auto" w:sz="4" w:space="0"/>
            </w:tcBorders>
            <w:vAlign w:val="bottom"/>
          </w:tcPr>
          <w:p w:rsidR="003B0815" w:rsidRDefault="003B0815" w14:paraId="7FD3AA56" w14:textId="77777777">
            <w:pPr>
              <w:jc w:val="center"/>
              <w:rPr>
                <w:rFonts w:ascii="Arial" w:hAnsi="Arial" w:eastAsia="Arial Unicode MS" w:cs="Arial"/>
                <w:sz w:val="20"/>
                <w:szCs w:val="20"/>
              </w:rPr>
            </w:pPr>
            <w:r>
              <w:rPr>
                <w:rFonts w:ascii="Arial" w:hAnsi="Arial" w:cs="Arial"/>
                <w:sz w:val="20"/>
                <w:szCs w:val="20"/>
              </w:rPr>
              <w:t>Increase growth 25%/yr</w:t>
            </w:r>
          </w:p>
        </w:tc>
        <w:tc>
          <w:tcPr>
            <w:tcW w:w="1760" w:type="dxa"/>
            <w:tcBorders>
              <w:top w:val="nil"/>
              <w:left w:val="nil"/>
              <w:bottom w:val="single" w:color="auto" w:sz="4" w:space="0"/>
              <w:right w:val="single" w:color="auto" w:sz="8" w:space="0"/>
            </w:tcBorders>
            <w:vAlign w:val="bottom"/>
          </w:tcPr>
          <w:p w:rsidR="003B0815" w:rsidRDefault="003B0815" w14:paraId="763AB434" w14:textId="77777777">
            <w:pPr>
              <w:jc w:val="center"/>
              <w:rPr>
                <w:rFonts w:ascii="Arial" w:hAnsi="Arial" w:eastAsia="Arial Unicode MS" w:cs="Arial"/>
                <w:sz w:val="20"/>
                <w:szCs w:val="20"/>
              </w:rPr>
            </w:pPr>
            <w:r>
              <w:rPr>
                <w:rFonts w:ascii="Arial" w:hAnsi="Arial" w:cs="Arial"/>
                <w:sz w:val="20"/>
                <w:szCs w:val="20"/>
              </w:rPr>
              <w:t>Decrease growth 25%/yr</w:t>
            </w:r>
          </w:p>
        </w:tc>
      </w:tr>
      <w:tr w:rsidR="003B0815" w14:paraId="445959F5"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7C4319EA" w14:textId="77777777">
            <w:pPr>
              <w:jc w:val="right"/>
              <w:rPr>
                <w:rFonts w:ascii="Arial" w:hAnsi="Arial" w:eastAsia="Arial Unicode MS" w:cs="Arial"/>
                <w:sz w:val="20"/>
                <w:szCs w:val="20"/>
              </w:rPr>
            </w:pPr>
            <w:r>
              <w:rPr>
                <w:rFonts w:ascii="Arial" w:hAnsi="Arial" w:cs="Arial"/>
                <w:sz w:val="20"/>
                <w:szCs w:val="20"/>
              </w:rPr>
              <w:t>Total Cost</w:t>
            </w:r>
          </w:p>
        </w:tc>
        <w:tc>
          <w:tcPr>
            <w:tcW w:w="0" w:type="auto"/>
            <w:tcBorders>
              <w:top w:val="nil"/>
              <w:left w:val="nil"/>
              <w:bottom w:val="single" w:color="auto" w:sz="4" w:space="0"/>
              <w:right w:val="single" w:color="auto" w:sz="4" w:space="0"/>
            </w:tcBorders>
            <w:noWrap/>
            <w:vAlign w:val="bottom"/>
          </w:tcPr>
          <w:p w:rsidR="003B0815" w:rsidRDefault="003B0815" w14:paraId="35461EA5" w14:textId="77777777">
            <w:pPr>
              <w:jc w:val="right"/>
              <w:rPr>
                <w:rFonts w:ascii="Arial" w:hAnsi="Arial" w:eastAsia="Arial Unicode MS" w:cs="Arial"/>
                <w:sz w:val="20"/>
                <w:szCs w:val="20"/>
              </w:rPr>
            </w:pPr>
            <w:r>
              <w:rPr>
                <w:rFonts w:ascii="Arial" w:hAnsi="Arial" w:cs="Arial"/>
                <w:sz w:val="20"/>
                <w:szCs w:val="20"/>
              </w:rPr>
              <w:t xml:space="preserve">$3,965.1 </w:t>
            </w:r>
          </w:p>
        </w:tc>
        <w:tc>
          <w:tcPr>
            <w:tcW w:w="0" w:type="auto"/>
            <w:tcBorders>
              <w:top w:val="nil"/>
              <w:left w:val="nil"/>
              <w:bottom w:val="single" w:color="auto" w:sz="4" w:space="0"/>
              <w:right w:val="single" w:color="auto" w:sz="4" w:space="0"/>
            </w:tcBorders>
            <w:noWrap/>
            <w:vAlign w:val="bottom"/>
          </w:tcPr>
          <w:p w:rsidR="003B0815" w:rsidRDefault="003B0815" w14:paraId="5E126480" w14:textId="77777777">
            <w:pPr>
              <w:jc w:val="right"/>
              <w:rPr>
                <w:rFonts w:ascii="Arial" w:hAnsi="Arial" w:eastAsia="Arial Unicode MS" w:cs="Arial"/>
                <w:sz w:val="20"/>
                <w:szCs w:val="20"/>
              </w:rPr>
            </w:pPr>
            <w:r>
              <w:rPr>
                <w:rFonts w:ascii="Arial" w:hAnsi="Arial" w:cs="Arial"/>
                <w:sz w:val="20"/>
                <w:szCs w:val="20"/>
              </w:rPr>
              <w:t xml:space="preserve">$4,001.7 </w:t>
            </w:r>
          </w:p>
        </w:tc>
        <w:tc>
          <w:tcPr>
            <w:tcW w:w="0" w:type="auto"/>
            <w:tcBorders>
              <w:top w:val="nil"/>
              <w:left w:val="nil"/>
              <w:bottom w:val="single" w:color="auto" w:sz="4" w:space="0"/>
              <w:right w:val="single" w:color="auto" w:sz="8" w:space="0"/>
            </w:tcBorders>
            <w:noWrap/>
            <w:vAlign w:val="bottom"/>
          </w:tcPr>
          <w:p w:rsidR="003B0815" w:rsidRDefault="003B0815" w14:paraId="02A66410" w14:textId="77777777">
            <w:pPr>
              <w:jc w:val="right"/>
              <w:rPr>
                <w:rFonts w:ascii="Arial" w:hAnsi="Arial" w:eastAsia="Arial Unicode MS" w:cs="Arial"/>
                <w:sz w:val="20"/>
                <w:szCs w:val="20"/>
              </w:rPr>
            </w:pPr>
            <w:r>
              <w:rPr>
                <w:rFonts w:ascii="Arial" w:hAnsi="Arial" w:cs="Arial"/>
                <w:sz w:val="20"/>
                <w:szCs w:val="20"/>
              </w:rPr>
              <w:t xml:space="preserve">$3,929.9 </w:t>
            </w:r>
          </w:p>
        </w:tc>
      </w:tr>
      <w:tr w:rsidR="003B0815" w14:paraId="60293AE6"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32DCE2ED" w14:textId="77777777">
            <w:pPr>
              <w:jc w:val="right"/>
              <w:rPr>
                <w:rFonts w:ascii="Arial" w:hAnsi="Arial" w:eastAsia="Arial Unicode MS" w:cs="Arial"/>
                <w:sz w:val="20"/>
                <w:szCs w:val="20"/>
              </w:rPr>
            </w:pPr>
            <w:r>
              <w:rPr>
                <w:rFonts w:ascii="Arial" w:hAnsi="Arial" w:cs="Arial"/>
                <w:sz w:val="20"/>
                <w:szCs w:val="20"/>
              </w:rPr>
              <w:t>Cash Outlay Cost</w:t>
            </w:r>
          </w:p>
        </w:tc>
        <w:tc>
          <w:tcPr>
            <w:tcW w:w="0" w:type="auto"/>
            <w:tcBorders>
              <w:top w:val="nil"/>
              <w:left w:val="nil"/>
              <w:bottom w:val="single" w:color="auto" w:sz="4" w:space="0"/>
              <w:right w:val="single" w:color="auto" w:sz="4" w:space="0"/>
            </w:tcBorders>
            <w:noWrap/>
            <w:vAlign w:val="bottom"/>
          </w:tcPr>
          <w:p w:rsidR="003B0815" w:rsidRDefault="003B0815" w14:paraId="5EFA5D30" w14:textId="77777777">
            <w:pPr>
              <w:jc w:val="right"/>
              <w:rPr>
                <w:rFonts w:ascii="Arial" w:hAnsi="Arial" w:eastAsia="Arial Unicode MS" w:cs="Arial"/>
                <w:sz w:val="20"/>
                <w:szCs w:val="20"/>
              </w:rPr>
            </w:pPr>
            <w:r>
              <w:rPr>
                <w:rFonts w:ascii="Arial" w:hAnsi="Arial" w:cs="Arial"/>
                <w:sz w:val="20"/>
                <w:szCs w:val="20"/>
              </w:rPr>
              <w:t xml:space="preserve">$3,000.1 </w:t>
            </w:r>
          </w:p>
        </w:tc>
        <w:tc>
          <w:tcPr>
            <w:tcW w:w="0" w:type="auto"/>
            <w:tcBorders>
              <w:top w:val="nil"/>
              <w:left w:val="nil"/>
              <w:bottom w:val="single" w:color="auto" w:sz="4" w:space="0"/>
              <w:right w:val="single" w:color="auto" w:sz="4" w:space="0"/>
            </w:tcBorders>
            <w:noWrap/>
            <w:vAlign w:val="bottom"/>
          </w:tcPr>
          <w:p w:rsidR="003B0815" w:rsidRDefault="003B0815" w14:paraId="45D5D207" w14:textId="77777777">
            <w:pPr>
              <w:jc w:val="right"/>
              <w:rPr>
                <w:rFonts w:ascii="Arial" w:hAnsi="Arial" w:eastAsia="Arial Unicode MS" w:cs="Arial"/>
                <w:sz w:val="20"/>
                <w:szCs w:val="20"/>
              </w:rPr>
            </w:pPr>
            <w:r>
              <w:rPr>
                <w:rFonts w:ascii="Arial" w:hAnsi="Arial" w:cs="Arial"/>
                <w:sz w:val="20"/>
                <w:szCs w:val="20"/>
              </w:rPr>
              <w:t xml:space="preserve">$3,012.3 </w:t>
            </w:r>
          </w:p>
        </w:tc>
        <w:tc>
          <w:tcPr>
            <w:tcW w:w="0" w:type="auto"/>
            <w:tcBorders>
              <w:top w:val="nil"/>
              <w:left w:val="nil"/>
              <w:bottom w:val="single" w:color="auto" w:sz="4" w:space="0"/>
              <w:right w:val="single" w:color="auto" w:sz="8" w:space="0"/>
            </w:tcBorders>
            <w:noWrap/>
            <w:vAlign w:val="bottom"/>
          </w:tcPr>
          <w:p w:rsidR="003B0815" w:rsidRDefault="003B0815" w14:paraId="36E73D58" w14:textId="77777777">
            <w:pPr>
              <w:jc w:val="right"/>
              <w:rPr>
                <w:rFonts w:ascii="Arial" w:hAnsi="Arial" w:eastAsia="Arial Unicode MS" w:cs="Arial"/>
                <w:sz w:val="20"/>
                <w:szCs w:val="20"/>
              </w:rPr>
            </w:pPr>
            <w:r>
              <w:rPr>
                <w:rFonts w:ascii="Arial" w:hAnsi="Arial" w:cs="Arial"/>
                <w:sz w:val="20"/>
                <w:szCs w:val="20"/>
              </w:rPr>
              <w:t xml:space="preserve">$2,988.0 </w:t>
            </w:r>
          </w:p>
        </w:tc>
      </w:tr>
      <w:tr w:rsidR="003B0815" w14:paraId="47A63C89"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28C572E8" w14:textId="77777777">
            <w:pPr>
              <w:jc w:val="right"/>
              <w:rPr>
                <w:rFonts w:ascii="Arial" w:hAnsi="Arial" w:eastAsia="Arial Unicode MS" w:cs="Arial"/>
                <w:sz w:val="20"/>
                <w:szCs w:val="20"/>
              </w:rPr>
            </w:pPr>
            <w:r>
              <w:rPr>
                <w:rFonts w:ascii="Arial" w:hAnsi="Arial" w:cs="Arial"/>
                <w:sz w:val="20"/>
                <w:szCs w:val="20"/>
              </w:rPr>
              <w:t>Airline Collection Cost</w:t>
            </w:r>
          </w:p>
        </w:tc>
        <w:tc>
          <w:tcPr>
            <w:tcW w:w="0" w:type="auto"/>
            <w:tcBorders>
              <w:top w:val="nil"/>
              <w:left w:val="nil"/>
              <w:bottom w:val="single" w:color="auto" w:sz="4" w:space="0"/>
              <w:right w:val="single" w:color="auto" w:sz="4" w:space="0"/>
            </w:tcBorders>
            <w:noWrap/>
            <w:vAlign w:val="bottom"/>
          </w:tcPr>
          <w:p w:rsidR="003B0815" w:rsidRDefault="003B0815" w14:paraId="39D5F098" w14:textId="77777777">
            <w:pPr>
              <w:jc w:val="right"/>
              <w:rPr>
                <w:rFonts w:ascii="Arial" w:hAnsi="Arial" w:eastAsia="Arial Unicode MS" w:cs="Arial"/>
                <w:sz w:val="20"/>
                <w:szCs w:val="20"/>
              </w:rPr>
            </w:pPr>
            <w:r>
              <w:rPr>
                <w:rFonts w:ascii="Arial" w:hAnsi="Arial" w:cs="Arial"/>
                <w:sz w:val="20"/>
                <w:szCs w:val="20"/>
              </w:rPr>
              <w:t xml:space="preserve">$130.7 </w:t>
            </w:r>
          </w:p>
        </w:tc>
        <w:tc>
          <w:tcPr>
            <w:tcW w:w="0" w:type="auto"/>
            <w:tcBorders>
              <w:top w:val="nil"/>
              <w:left w:val="nil"/>
              <w:bottom w:val="single" w:color="auto" w:sz="4" w:space="0"/>
              <w:right w:val="single" w:color="auto" w:sz="4" w:space="0"/>
            </w:tcBorders>
            <w:noWrap/>
            <w:vAlign w:val="bottom"/>
          </w:tcPr>
          <w:p w:rsidR="003B0815" w:rsidRDefault="003B0815" w14:paraId="5F7BC78A" w14:textId="77777777">
            <w:pPr>
              <w:jc w:val="right"/>
              <w:rPr>
                <w:rFonts w:ascii="Arial" w:hAnsi="Arial" w:eastAsia="Arial Unicode MS" w:cs="Arial"/>
                <w:sz w:val="20"/>
                <w:szCs w:val="20"/>
              </w:rPr>
            </w:pPr>
            <w:r>
              <w:rPr>
                <w:rFonts w:ascii="Arial" w:hAnsi="Arial" w:cs="Arial"/>
                <w:sz w:val="20"/>
                <w:szCs w:val="20"/>
              </w:rPr>
              <w:t xml:space="preserve">$134.4 </w:t>
            </w:r>
          </w:p>
        </w:tc>
        <w:tc>
          <w:tcPr>
            <w:tcW w:w="0" w:type="auto"/>
            <w:tcBorders>
              <w:top w:val="nil"/>
              <w:left w:val="nil"/>
              <w:bottom w:val="single" w:color="auto" w:sz="4" w:space="0"/>
              <w:right w:val="single" w:color="auto" w:sz="8" w:space="0"/>
            </w:tcBorders>
            <w:noWrap/>
            <w:vAlign w:val="bottom"/>
          </w:tcPr>
          <w:p w:rsidR="003B0815" w:rsidRDefault="003B0815" w14:paraId="2AA2EE8C" w14:textId="77777777">
            <w:pPr>
              <w:jc w:val="right"/>
              <w:rPr>
                <w:rFonts w:ascii="Arial" w:hAnsi="Arial" w:eastAsia="Arial Unicode MS" w:cs="Arial"/>
                <w:sz w:val="20"/>
                <w:szCs w:val="20"/>
              </w:rPr>
            </w:pPr>
            <w:r>
              <w:rPr>
                <w:rFonts w:ascii="Arial" w:hAnsi="Arial" w:cs="Arial"/>
                <w:sz w:val="20"/>
                <w:szCs w:val="20"/>
              </w:rPr>
              <w:t xml:space="preserve">$127.1 </w:t>
            </w:r>
          </w:p>
        </w:tc>
      </w:tr>
      <w:tr w:rsidR="003B0815" w14:paraId="16552B68"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4F6D3F24" w14:textId="77777777">
            <w:pPr>
              <w:jc w:val="right"/>
              <w:rPr>
                <w:rFonts w:ascii="Arial" w:hAnsi="Arial" w:eastAsia="Arial Unicode MS" w:cs="Arial"/>
                <w:sz w:val="20"/>
                <w:szCs w:val="20"/>
              </w:rPr>
            </w:pPr>
            <w:r>
              <w:rPr>
                <w:rFonts w:ascii="Arial" w:hAnsi="Arial" w:cs="Arial"/>
                <w:sz w:val="20"/>
                <w:szCs w:val="20"/>
              </w:rPr>
              <w:t>Travel Agent Collection Cost</w:t>
            </w:r>
          </w:p>
        </w:tc>
        <w:tc>
          <w:tcPr>
            <w:tcW w:w="0" w:type="auto"/>
            <w:tcBorders>
              <w:top w:val="nil"/>
              <w:left w:val="nil"/>
              <w:bottom w:val="single" w:color="auto" w:sz="4" w:space="0"/>
              <w:right w:val="single" w:color="auto" w:sz="4" w:space="0"/>
            </w:tcBorders>
            <w:noWrap/>
            <w:vAlign w:val="bottom"/>
          </w:tcPr>
          <w:p w:rsidR="003B0815" w:rsidRDefault="003B0815" w14:paraId="2D1C2D15" w14:textId="77777777">
            <w:pPr>
              <w:jc w:val="right"/>
              <w:rPr>
                <w:rFonts w:ascii="Arial" w:hAnsi="Arial" w:eastAsia="Arial Unicode MS" w:cs="Arial"/>
                <w:sz w:val="20"/>
                <w:szCs w:val="20"/>
              </w:rPr>
            </w:pPr>
            <w:r>
              <w:rPr>
                <w:rFonts w:ascii="Arial" w:hAnsi="Arial" w:cs="Arial"/>
                <w:sz w:val="20"/>
                <w:szCs w:val="20"/>
              </w:rPr>
              <w:t xml:space="preserve">$310.7 </w:t>
            </w:r>
          </w:p>
        </w:tc>
        <w:tc>
          <w:tcPr>
            <w:tcW w:w="0" w:type="auto"/>
            <w:tcBorders>
              <w:top w:val="nil"/>
              <w:left w:val="nil"/>
              <w:bottom w:val="single" w:color="auto" w:sz="4" w:space="0"/>
              <w:right w:val="single" w:color="auto" w:sz="4" w:space="0"/>
            </w:tcBorders>
            <w:noWrap/>
            <w:vAlign w:val="bottom"/>
          </w:tcPr>
          <w:p w:rsidR="003B0815" w:rsidRDefault="003B0815" w14:paraId="2CFA52C6" w14:textId="77777777">
            <w:pPr>
              <w:jc w:val="right"/>
              <w:rPr>
                <w:rFonts w:ascii="Arial" w:hAnsi="Arial" w:eastAsia="Arial Unicode MS" w:cs="Arial"/>
                <w:sz w:val="20"/>
                <w:szCs w:val="20"/>
              </w:rPr>
            </w:pPr>
            <w:r>
              <w:rPr>
                <w:rFonts w:ascii="Arial" w:hAnsi="Arial" w:cs="Arial"/>
                <w:sz w:val="20"/>
                <w:szCs w:val="20"/>
              </w:rPr>
              <w:t xml:space="preserve">$319.2 </w:t>
            </w:r>
          </w:p>
        </w:tc>
        <w:tc>
          <w:tcPr>
            <w:tcW w:w="0" w:type="auto"/>
            <w:tcBorders>
              <w:top w:val="nil"/>
              <w:left w:val="nil"/>
              <w:bottom w:val="single" w:color="auto" w:sz="4" w:space="0"/>
              <w:right w:val="single" w:color="auto" w:sz="8" w:space="0"/>
            </w:tcBorders>
            <w:noWrap/>
            <w:vAlign w:val="bottom"/>
          </w:tcPr>
          <w:p w:rsidR="003B0815" w:rsidRDefault="003B0815" w14:paraId="1A464F19" w14:textId="77777777">
            <w:pPr>
              <w:jc w:val="right"/>
              <w:rPr>
                <w:rFonts w:ascii="Arial" w:hAnsi="Arial" w:eastAsia="Arial Unicode MS" w:cs="Arial"/>
                <w:sz w:val="20"/>
                <w:szCs w:val="20"/>
              </w:rPr>
            </w:pPr>
            <w:r>
              <w:rPr>
                <w:rFonts w:ascii="Arial" w:hAnsi="Arial" w:cs="Arial"/>
                <w:sz w:val="20"/>
                <w:szCs w:val="20"/>
              </w:rPr>
              <w:t xml:space="preserve">$302.2 </w:t>
            </w:r>
          </w:p>
        </w:tc>
      </w:tr>
      <w:tr w:rsidR="003B0815" w14:paraId="771F212A" w14:textId="77777777">
        <w:trPr>
          <w:trHeight w:val="270"/>
        </w:trPr>
        <w:tc>
          <w:tcPr>
            <w:tcW w:w="0" w:type="auto"/>
            <w:tcBorders>
              <w:top w:val="nil"/>
              <w:left w:val="single" w:color="auto" w:sz="8" w:space="0"/>
              <w:bottom w:val="single" w:color="auto" w:sz="8" w:space="0"/>
              <w:right w:val="single" w:color="auto" w:sz="8" w:space="0"/>
            </w:tcBorders>
            <w:noWrap/>
            <w:vAlign w:val="bottom"/>
          </w:tcPr>
          <w:p w:rsidR="003B0815" w:rsidRDefault="003B0815" w14:paraId="5C6EE688" w14:textId="77777777">
            <w:pPr>
              <w:jc w:val="right"/>
              <w:rPr>
                <w:rFonts w:ascii="Arial" w:hAnsi="Arial" w:eastAsia="Arial Unicode MS" w:cs="Arial"/>
                <w:sz w:val="20"/>
                <w:szCs w:val="20"/>
              </w:rPr>
            </w:pPr>
            <w:r>
              <w:rPr>
                <w:rFonts w:ascii="Arial" w:hAnsi="Arial" w:cs="Arial"/>
                <w:sz w:val="20"/>
                <w:szCs w:val="20"/>
              </w:rPr>
              <w:t xml:space="preserve">Passenger </w:t>
            </w:r>
            <w:smartTag w:uri="urn:schemas-microsoft-com:office:smarttags" w:element="place">
              <w:r>
                <w:rPr>
                  <w:rFonts w:ascii="Arial" w:hAnsi="Arial" w:cs="Arial"/>
                  <w:sz w:val="20"/>
                  <w:szCs w:val="20"/>
                </w:rPr>
                <w:t>Opportunity</w:t>
              </w:r>
            </w:smartTag>
            <w:r>
              <w:rPr>
                <w:rFonts w:ascii="Arial" w:hAnsi="Arial" w:cs="Arial"/>
                <w:sz w:val="20"/>
                <w:szCs w:val="20"/>
              </w:rPr>
              <w:t xml:space="preserve"> Cost</w:t>
            </w:r>
          </w:p>
        </w:tc>
        <w:tc>
          <w:tcPr>
            <w:tcW w:w="0" w:type="auto"/>
            <w:tcBorders>
              <w:top w:val="nil"/>
              <w:left w:val="nil"/>
              <w:bottom w:val="single" w:color="auto" w:sz="8" w:space="0"/>
              <w:right w:val="single" w:color="auto" w:sz="4" w:space="0"/>
            </w:tcBorders>
            <w:noWrap/>
            <w:vAlign w:val="bottom"/>
          </w:tcPr>
          <w:p w:rsidR="003B0815" w:rsidRDefault="003B0815" w14:paraId="258EE0A0" w14:textId="77777777">
            <w:pPr>
              <w:jc w:val="right"/>
              <w:rPr>
                <w:rFonts w:ascii="Arial" w:hAnsi="Arial" w:eastAsia="Arial Unicode MS" w:cs="Arial"/>
                <w:sz w:val="20"/>
                <w:szCs w:val="20"/>
              </w:rPr>
            </w:pPr>
            <w:r>
              <w:rPr>
                <w:rFonts w:ascii="Arial" w:hAnsi="Arial" w:cs="Arial"/>
                <w:sz w:val="20"/>
                <w:szCs w:val="20"/>
              </w:rPr>
              <w:t xml:space="preserve">$965.0 </w:t>
            </w:r>
          </w:p>
        </w:tc>
        <w:tc>
          <w:tcPr>
            <w:tcW w:w="0" w:type="auto"/>
            <w:tcBorders>
              <w:top w:val="nil"/>
              <w:left w:val="nil"/>
              <w:bottom w:val="single" w:color="auto" w:sz="8" w:space="0"/>
              <w:right w:val="single" w:color="auto" w:sz="4" w:space="0"/>
            </w:tcBorders>
            <w:noWrap/>
            <w:vAlign w:val="bottom"/>
          </w:tcPr>
          <w:p w:rsidR="003B0815" w:rsidRDefault="003B0815" w14:paraId="754C1F35" w14:textId="77777777">
            <w:pPr>
              <w:jc w:val="right"/>
              <w:rPr>
                <w:rFonts w:ascii="Arial" w:hAnsi="Arial" w:eastAsia="Arial Unicode MS" w:cs="Arial"/>
                <w:sz w:val="20"/>
                <w:szCs w:val="20"/>
              </w:rPr>
            </w:pPr>
            <w:r>
              <w:rPr>
                <w:rFonts w:ascii="Arial" w:hAnsi="Arial" w:cs="Arial"/>
                <w:sz w:val="20"/>
                <w:szCs w:val="20"/>
              </w:rPr>
              <w:t xml:space="preserve">$989.4 </w:t>
            </w:r>
          </w:p>
        </w:tc>
        <w:tc>
          <w:tcPr>
            <w:tcW w:w="0" w:type="auto"/>
            <w:tcBorders>
              <w:top w:val="nil"/>
              <w:left w:val="nil"/>
              <w:bottom w:val="single" w:color="auto" w:sz="8" w:space="0"/>
              <w:right w:val="single" w:color="auto" w:sz="8" w:space="0"/>
            </w:tcBorders>
            <w:noWrap/>
            <w:vAlign w:val="bottom"/>
          </w:tcPr>
          <w:p w:rsidR="003B0815" w:rsidRDefault="003B0815" w14:paraId="0456203B" w14:textId="77777777">
            <w:pPr>
              <w:jc w:val="right"/>
              <w:rPr>
                <w:rFonts w:ascii="Arial" w:hAnsi="Arial" w:eastAsia="Arial Unicode MS" w:cs="Arial"/>
                <w:sz w:val="20"/>
                <w:szCs w:val="20"/>
              </w:rPr>
            </w:pPr>
            <w:r>
              <w:rPr>
                <w:rFonts w:ascii="Arial" w:hAnsi="Arial" w:cs="Arial"/>
                <w:sz w:val="20"/>
                <w:szCs w:val="20"/>
              </w:rPr>
              <w:t xml:space="preserve">$941.9 </w:t>
            </w:r>
          </w:p>
        </w:tc>
      </w:tr>
      <w:tr w:rsidR="003B0815" w14:paraId="1A51B80C" w14:textId="77777777">
        <w:trPr>
          <w:trHeight w:val="510"/>
        </w:trPr>
        <w:tc>
          <w:tcPr>
            <w:tcW w:w="4100" w:type="dxa"/>
            <w:tcBorders>
              <w:top w:val="nil"/>
              <w:left w:val="single" w:color="auto" w:sz="8" w:space="0"/>
              <w:bottom w:val="single" w:color="auto" w:sz="4" w:space="0"/>
              <w:right w:val="single" w:color="auto" w:sz="8" w:space="0"/>
            </w:tcBorders>
            <w:vAlign w:val="bottom"/>
          </w:tcPr>
          <w:p w:rsidR="003B0815" w:rsidRDefault="003B0815" w14:paraId="00484F22" w14:textId="77777777">
            <w:pPr>
              <w:rPr>
                <w:rFonts w:ascii="Arial" w:hAnsi="Arial" w:eastAsia="Arial Unicode MS" w:cs="Arial"/>
                <w:b/>
                <w:bCs/>
                <w:sz w:val="20"/>
                <w:szCs w:val="20"/>
              </w:rPr>
            </w:pPr>
            <w:r>
              <w:rPr>
                <w:rFonts w:ascii="Arial" w:hAnsi="Arial" w:cs="Arial"/>
                <w:b/>
                <w:bCs/>
                <w:sz w:val="20"/>
                <w:szCs w:val="20"/>
              </w:rPr>
              <w:t>Change in Distribution of Reservation Methods</w:t>
            </w:r>
          </w:p>
        </w:tc>
        <w:tc>
          <w:tcPr>
            <w:tcW w:w="0" w:type="auto"/>
            <w:tcBorders>
              <w:top w:val="nil"/>
              <w:left w:val="nil"/>
              <w:bottom w:val="single" w:color="auto" w:sz="4" w:space="0"/>
              <w:right w:val="single" w:color="auto" w:sz="4" w:space="0"/>
            </w:tcBorders>
            <w:noWrap/>
            <w:vAlign w:val="bottom"/>
          </w:tcPr>
          <w:p w:rsidR="003B0815" w:rsidRDefault="003B0815" w14:paraId="71107D07" w14:textId="77777777">
            <w:pPr>
              <w:rPr>
                <w:rFonts w:ascii="Arial" w:hAnsi="Arial" w:eastAsia="Arial Unicode MS" w:cs="Arial"/>
                <w:sz w:val="20"/>
                <w:szCs w:val="20"/>
              </w:rPr>
            </w:pPr>
            <w:r>
              <w:rPr>
                <w:rFonts w:ascii="Arial" w:hAnsi="Arial" w:cs="Arial"/>
                <w:sz w:val="20"/>
                <w:szCs w:val="20"/>
              </w:rPr>
              <w:t> </w:t>
            </w:r>
          </w:p>
        </w:tc>
        <w:tc>
          <w:tcPr>
            <w:tcW w:w="1720" w:type="dxa"/>
            <w:tcBorders>
              <w:top w:val="nil"/>
              <w:left w:val="nil"/>
              <w:bottom w:val="single" w:color="auto" w:sz="4" w:space="0"/>
              <w:right w:val="single" w:color="auto" w:sz="4" w:space="0"/>
            </w:tcBorders>
            <w:vAlign w:val="bottom"/>
          </w:tcPr>
          <w:p w:rsidR="003B0815" w:rsidRDefault="003B0815" w14:paraId="20995FCC" w14:textId="77777777">
            <w:pPr>
              <w:jc w:val="center"/>
              <w:rPr>
                <w:rFonts w:ascii="Arial" w:hAnsi="Arial" w:eastAsia="Arial Unicode MS" w:cs="Arial"/>
                <w:sz w:val="20"/>
                <w:szCs w:val="20"/>
              </w:rPr>
            </w:pPr>
            <w:r>
              <w:rPr>
                <w:rFonts w:ascii="Arial" w:hAnsi="Arial" w:cs="Arial"/>
                <w:sz w:val="20"/>
                <w:szCs w:val="20"/>
              </w:rPr>
              <w:t>More internet reservations</w:t>
            </w:r>
          </w:p>
        </w:tc>
        <w:tc>
          <w:tcPr>
            <w:tcW w:w="1760" w:type="dxa"/>
            <w:tcBorders>
              <w:top w:val="nil"/>
              <w:left w:val="nil"/>
              <w:bottom w:val="single" w:color="auto" w:sz="4" w:space="0"/>
              <w:right w:val="single" w:color="auto" w:sz="8" w:space="0"/>
            </w:tcBorders>
            <w:vAlign w:val="bottom"/>
          </w:tcPr>
          <w:p w:rsidR="003B0815" w:rsidRDefault="003B0815" w14:paraId="36FCC657" w14:textId="77777777">
            <w:pPr>
              <w:jc w:val="center"/>
              <w:rPr>
                <w:rFonts w:ascii="Arial" w:hAnsi="Arial" w:eastAsia="Arial Unicode MS" w:cs="Arial"/>
                <w:sz w:val="20"/>
                <w:szCs w:val="20"/>
              </w:rPr>
            </w:pPr>
            <w:r>
              <w:rPr>
                <w:rFonts w:ascii="Arial" w:hAnsi="Arial" w:cs="Arial"/>
                <w:sz w:val="20"/>
                <w:szCs w:val="20"/>
              </w:rPr>
              <w:t>Fewer internet reservations</w:t>
            </w:r>
          </w:p>
        </w:tc>
      </w:tr>
      <w:tr w:rsidR="003B0815" w14:paraId="3EFBFA43"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4C0E5FED" w14:textId="77777777">
            <w:pPr>
              <w:jc w:val="right"/>
              <w:rPr>
                <w:rFonts w:ascii="Arial" w:hAnsi="Arial" w:eastAsia="Arial Unicode MS" w:cs="Arial"/>
                <w:sz w:val="20"/>
                <w:szCs w:val="20"/>
              </w:rPr>
            </w:pPr>
            <w:r>
              <w:rPr>
                <w:rFonts w:ascii="Arial" w:hAnsi="Arial" w:cs="Arial"/>
                <w:sz w:val="20"/>
                <w:szCs w:val="20"/>
              </w:rPr>
              <w:t>Total Cost</w:t>
            </w:r>
          </w:p>
        </w:tc>
        <w:tc>
          <w:tcPr>
            <w:tcW w:w="0" w:type="auto"/>
            <w:tcBorders>
              <w:top w:val="nil"/>
              <w:left w:val="nil"/>
              <w:bottom w:val="single" w:color="auto" w:sz="4" w:space="0"/>
              <w:right w:val="single" w:color="auto" w:sz="4" w:space="0"/>
            </w:tcBorders>
            <w:noWrap/>
            <w:vAlign w:val="bottom"/>
          </w:tcPr>
          <w:p w:rsidR="003B0815" w:rsidRDefault="003B0815" w14:paraId="5E82F072" w14:textId="77777777">
            <w:pPr>
              <w:jc w:val="right"/>
              <w:rPr>
                <w:rFonts w:ascii="Arial" w:hAnsi="Arial" w:eastAsia="Arial Unicode MS" w:cs="Arial"/>
                <w:sz w:val="20"/>
                <w:szCs w:val="20"/>
              </w:rPr>
            </w:pPr>
            <w:r>
              <w:rPr>
                <w:rFonts w:ascii="Arial" w:hAnsi="Arial" w:cs="Arial"/>
                <w:sz w:val="20"/>
                <w:szCs w:val="20"/>
              </w:rPr>
              <w:t xml:space="preserve">$3,965.1 </w:t>
            </w:r>
          </w:p>
        </w:tc>
        <w:tc>
          <w:tcPr>
            <w:tcW w:w="0" w:type="auto"/>
            <w:tcBorders>
              <w:top w:val="nil"/>
              <w:left w:val="nil"/>
              <w:bottom w:val="single" w:color="auto" w:sz="4" w:space="0"/>
              <w:right w:val="single" w:color="auto" w:sz="4" w:space="0"/>
            </w:tcBorders>
            <w:noWrap/>
            <w:vAlign w:val="bottom"/>
          </w:tcPr>
          <w:p w:rsidR="003B0815" w:rsidRDefault="003B0815" w14:paraId="604F2E16" w14:textId="77777777">
            <w:pPr>
              <w:jc w:val="right"/>
              <w:rPr>
                <w:rFonts w:ascii="Arial" w:hAnsi="Arial" w:eastAsia="Arial Unicode MS" w:cs="Arial"/>
                <w:sz w:val="20"/>
                <w:szCs w:val="20"/>
              </w:rPr>
            </w:pPr>
            <w:r>
              <w:rPr>
                <w:rFonts w:ascii="Arial" w:hAnsi="Arial" w:cs="Arial"/>
                <w:sz w:val="20"/>
                <w:szCs w:val="20"/>
              </w:rPr>
              <w:t xml:space="preserve">$3,799.0 </w:t>
            </w:r>
          </w:p>
        </w:tc>
        <w:tc>
          <w:tcPr>
            <w:tcW w:w="0" w:type="auto"/>
            <w:tcBorders>
              <w:top w:val="nil"/>
              <w:left w:val="nil"/>
              <w:bottom w:val="single" w:color="auto" w:sz="4" w:space="0"/>
              <w:right w:val="single" w:color="auto" w:sz="8" w:space="0"/>
            </w:tcBorders>
            <w:noWrap/>
            <w:vAlign w:val="bottom"/>
          </w:tcPr>
          <w:p w:rsidR="003B0815" w:rsidRDefault="003B0815" w14:paraId="58A7F8AD" w14:textId="77777777">
            <w:pPr>
              <w:jc w:val="right"/>
              <w:rPr>
                <w:rFonts w:ascii="Arial" w:hAnsi="Arial" w:eastAsia="Arial Unicode MS" w:cs="Arial"/>
                <w:sz w:val="20"/>
                <w:szCs w:val="20"/>
              </w:rPr>
            </w:pPr>
            <w:r>
              <w:rPr>
                <w:rFonts w:ascii="Arial" w:hAnsi="Arial" w:cs="Arial"/>
                <w:sz w:val="20"/>
                <w:szCs w:val="20"/>
              </w:rPr>
              <w:t xml:space="preserve">$4,005.6 </w:t>
            </w:r>
          </w:p>
        </w:tc>
      </w:tr>
      <w:tr w:rsidR="003B0815" w14:paraId="42B28B83"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63BCA804" w14:textId="77777777">
            <w:pPr>
              <w:jc w:val="right"/>
              <w:rPr>
                <w:rFonts w:ascii="Arial" w:hAnsi="Arial" w:eastAsia="Arial Unicode MS" w:cs="Arial"/>
                <w:sz w:val="20"/>
                <w:szCs w:val="20"/>
              </w:rPr>
            </w:pPr>
            <w:r>
              <w:rPr>
                <w:rFonts w:ascii="Arial" w:hAnsi="Arial" w:cs="Arial"/>
                <w:sz w:val="20"/>
                <w:szCs w:val="20"/>
              </w:rPr>
              <w:t>Cash Outlay Cost</w:t>
            </w:r>
          </w:p>
        </w:tc>
        <w:tc>
          <w:tcPr>
            <w:tcW w:w="0" w:type="auto"/>
            <w:tcBorders>
              <w:top w:val="nil"/>
              <w:left w:val="nil"/>
              <w:bottom w:val="single" w:color="auto" w:sz="4" w:space="0"/>
              <w:right w:val="single" w:color="auto" w:sz="4" w:space="0"/>
            </w:tcBorders>
            <w:noWrap/>
            <w:vAlign w:val="bottom"/>
          </w:tcPr>
          <w:p w:rsidR="003B0815" w:rsidRDefault="003B0815" w14:paraId="57868CD3" w14:textId="77777777">
            <w:pPr>
              <w:jc w:val="right"/>
              <w:rPr>
                <w:rFonts w:ascii="Arial" w:hAnsi="Arial" w:eastAsia="Arial Unicode MS" w:cs="Arial"/>
                <w:sz w:val="20"/>
                <w:szCs w:val="20"/>
              </w:rPr>
            </w:pPr>
            <w:r>
              <w:rPr>
                <w:rFonts w:ascii="Arial" w:hAnsi="Arial" w:cs="Arial"/>
                <w:sz w:val="20"/>
                <w:szCs w:val="20"/>
              </w:rPr>
              <w:t xml:space="preserve">$3,000.1 </w:t>
            </w:r>
          </w:p>
        </w:tc>
        <w:tc>
          <w:tcPr>
            <w:tcW w:w="0" w:type="auto"/>
            <w:tcBorders>
              <w:top w:val="nil"/>
              <w:left w:val="nil"/>
              <w:bottom w:val="single" w:color="auto" w:sz="4" w:space="0"/>
              <w:right w:val="single" w:color="auto" w:sz="4" w:space="0"/>
            </w:tcBorders>
            <w:noWrap/>
            <w:vAlign w:val="bottom"/>
          </w:tcPr>
          <w:p w:rsidR="003B0815" w:rsidRDefault="003B0815" w14:paraId="5FD55FA7" w14:textId="77777777">
            <w:pPr>
              <w:jc w:val="right"/>
              <w:rPr>
                <w:rFonts w:ascii="Arial" w:hAnsi="Arial" w:eastAsia="Arial Unicode MS" w:cs="Arial"/>
                <w:sz w:val="20"/>
                <w:szCs w:val="20"/>
              </w:rPr>
            </w:pPr>
            <w:r>
              <w:rPr>
                <w:rFonts w:ascii="Arial" w:hAnsi="Arial" w:cs="Arial"/>
                <w:sz w:val="20"/>
                <w:szCs w:val="20"/>
              </w:rPr>
              <w:t xml:space="preserve">$2,907.5 </w:t>
            </w:r>
          </w:p>
        </w:tc>
        <w:tc>
          <w:tcPr>
            <w:tcW w:w="0" w:type="auto"/>
            <w:tcBorders>
              <w:top w:val="nil"/>
              <w:left w:val="nil"/>
              <w:bottom w:val="single" w:color="auto" w:sz="4" w:space="0"/>
              <w:right w:val="single" w:color="auto" w:sz="8" w:space="0"/>
            </w:tcBorders>
            <w:noWrap/>
            <w:vAlign w:val="bottom"/>
          </w:tcPr>
          <w:p w:rsidR="003B0815" w:rsidRDefault="003B0815" w14:paraId="17C3842E" w14:textId="77777777">
            <w:pPr>
              <w:jc w:val="right"/>
              <w:rPr>
                <w:rFonts w:ascii="Arial" w:hAnsi="Arial" w:eastAsia="Arial Unicode MS" w:cs="Arial"/>
                <w:sz w:val="20"/>
                <w:szCs w:val="20"/>
              </w:rPr>
            </w:pPr>
            <w:r>
              <w:rPr>
                <w:rFonts w:ascii="Arial" w:hAnsi="Arial" w:cs="Arial"/>
                <w:sz w:val="20"/>
                <w:szCs w:val="20"/>
              </w:rPr>
              <w:t xml:space="preserve">$3,022.9 </w:t>
            </w:r>
          </w:p>
        </w:tc>
      </w:tr>
      <w:tr w:rsidR="003B0815" w14:paraId="28A2A349"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569F0046" w14:textId="77777777">
            <w:pPr>
              <w:jc w:val="right"/>
              <w:rPr>
                <w:rFonts w:ascii="Arial" w:hAnsi="Arial" w:eastAsia="Arial Unicode MS" w:cs="Arial"/>
                <w:sz w:val="20"/>
                <w:szCs w:val="20"/>
              </w:rPr>
            </w:pPr>
            <w:r>
              <w:rPr>
                <w:rFonts w:ascii="Arial" w:hAnsi="Arial" w:cs="Arial"/>
                <w:sz w:val="20"/>
                <w:szCs w:val="20"/>
              </w:rPr>
              <w:t>Airline Collection Cost</w:t>
            </w:r>
          </w:p>
        </w:tc>
        <w:tc>
          <w:tcPr>
            <w:tcW w:w="0" w:type="auto"/>
            <w:tcBorders>
              <w:top w:val="nil"/>
              <w:left w:val="nil"/>
              <w:bottom w:val="single" w:color="auto" w:sz="4" w:space="0"/>
              <w:right w:val="single" w:color="auto" w:sz="4" w:space="0"/>
            </w:tcBorders>
            <w:noWrap/>
            <w:vAlign w:val="bottom"/>
          </w:tcPr>
          <w:p w:rsidR="003B0815" w:rsidRDefault="003B0815" w14:paraId="2CDA558C" w14:textId="77777777">
            <w:pPr>
              <w:jc w:val="right"/>
              <w:rPr>
                <w:rFonts w:ascii="Arial" w:hAnsi="Arial" w:eastAsia="Arial Unicode MS" w:cs="Arial"/>
                <w:sz w:val="20"/>
                <w:szCs w:val="20"/>
              </w:rPr>
            </w:pPr>
            <w:r>
              <w:rPr>
                <w:rFonts w:ascii="Arial" w:hAnsi="Arial" w:cs="Arial"/>
                <w:sz w:val="20"/>
                <w:szCs w:val="20"/>
              </w:rPr>
              <w:t xml:space="preserve">$130.7 </w:t>
            </w:r>
          </w:p>
        </w:tc>
        <w:tc>
          <w:tcPr>
            <w:tcW w:w="0" w:type="auto"/>
            <w:tcBorders>
              <w:top w:val="nil"/>
              <w:left w:val="nil"/>
              <w:bottom w:val="single" w:color="auto" w:sz="4" w:space="0"/>
              <w:right w:val="single" w:color="auto" w:sz="4" w:space="0"/>
            </w:tcBorders>
            <w:noWrap/>
            <w:vAlign w:val="bottom"/>
          </w:tcPr>
          <w:p w:rsidR="003B0815" w:rsidRDefault="003B0815" w14:paraId="4F10A6B6" w14:textId="77777777">
            <w:pPr>
              <w:jc w:val="right"/>
              <w:rPr>
                <w:rFonts w:ascii="Arial" w:hAnsi="Arial" w:eastAsia="Arial Unicode MS" w:cs="Arial"/>
                <w:sz w:val="20"/>
                <w:szCs w:val="20"/>
              </w:rPr>
            </w:pPr>
            <w:r>
              <w:rPr>
                <w:rFonts w:ascii="Arial" w:hAnsi="Arial" w:cs="Arial"/>
                <w:sz w:val="20"/>
                <w:szCs w:val="20"/>
              </w:rPr>
              <w:t xml:space="preserve">$103.2 </w:t>
            </w:r>
          </w:p>
        </w:tc>
        <w:tc>
          <w:tcPr>
            <w:tcW w:w="0" w:type="auto"/>
            <w:tcBorders>
              <w:top w:val="nil"/>
              <w:left w:val="nil"/>
              <w:bottom w:val="single" w:color="auto" w:sz="4" w:space="0"/>
              <w:right w:val="single" w:color="auto" w:sz="8" w:space="0"/>
            </w:tcBorders>
            <w:noWrap/>
            <w:vAlign w:val="bottom"/>
          </w:tcPr>
          <w:p w:rsidR="003B0815" w:rsidRDefault="003B0815" w14:paraId="4CD87F90" w14:textId="77777777">
            <w:pPr>
              <w:jc w:val="right"/>
              <w:rPr>
                <w:rFonts w:ascii="Arial" w:hAnsi="Arial" w:eastAsia="Arial Unicode MS" w:cs="Arial"/>
                <w:sz w:val="20"/>
                <w:szCs w:val="20"/>
              </w:rPr>
            </w:pPr>
            <w:r>
              <w:rPr>
                <w:rFonts w:ascii="Arial" w:hAnsi="Arial" w:cs="Arial"/>
                <w:sz w:val="20"/>
                <w:szCs w:val="20"/>
              </w:rPr>
              <w:t xml:space="preserve">$137.3 </w:t>
            </w:r>
          </w:p>
        </w:tc>
      </w:tr>
      <w:tr w:rsidR="003B0815" w14:paraId="6214B1C4" w14:textId="77777777">
        <w:trPr>
          <w:trHeight w:val="255"/>
        </w:trPr>
        <w:tc>
          <w:tcPr>
            <w:tcW w:w="0" w:type="auto"/>
            <w:tcBorders>
              <w:top w:val="nil"/>
              <w:left w:val="single" w:color="auto" w:sz="8" w:space="0"/>
              <w:bottom w:val="single" w:color="auto" w:sz="4" w:space="0"/>
              <w:right w:val="single" w:color="auto" w:sz="8" w:space="0"/>
            </w:tcBorders>
            <w:noWrap/>
            <w:vAlign w:val="bottom"/>
          </w:tcPr>
          <w:p w:rsidR="003B0815" w:rsidRDefault="003B0815" w14:paraId="025EF78C" w14:textId="77777777">
            <w:pPr>
              <w:jc w:val="right"/>
              <w:rPr>
                <w:rFonts w:ascii="Arial" w:hAnsi="Arial" w:eastAsia="Arial Unicode MS" w:cs="Arial"/>
                <w:sz w:val="20"/>
                <w:szCs w:val="20"/>
              </w:rPr>
            </w:pPr>
            <w:r>
              <w:rPr>
                <w:rFonts w:ascii="Arial" w:hAnsi="Arial" w:cs="Arial"/>
                <w:sz w:val="20"/>
                <w:szCs w:val="20"/>
              </w:rPr>
              <w:t>Travel Agent Collection Cost</w:t>
            </w:r>
          </w:p>
        </w:tc>
        <w:tc>
          <w:tcPr>
            <w:tcW w:w="0" w:type="auto"/>
            <w:tcBorders>
              <w:top w:val="nil"/>
              <w:left w:val="nil"/>
              <w:bottom w:val="single" w:color="auto" w:sz="4" w:space="0"/>
              <w:right w:val="single" w:color="auto" w:sz="4" w:space="0"/>
            </w:tcBorders>
            <w:noWrap/>
            <w:vAlign w:val="bottom"/>
          </w:tcPr>
          <w:p w:rsidR="003B0815" w:rsidRDefault="003B0815" w14:paraId="104B690A" w14:textId="77777777">
            <w:pPr>
              <w:jc w:val="right"/>
              <w:rPr>
                <w:rFonts w:ascii="Arial" w:hAnsi="Arial" w:eastAsia="Arial Unicode MS" w:cs="Arial"/>
                <w:sz w:val="20"/>
                <w:szCs w:val="20"/>
              </w:rPr>
            </w:pPr>
            <w:r>
              <w:rPr>
                <w:rFonts w:ascii="Arial" w:hAnsi="Arial" w:cs="Arial"/>
                <w:sz w:val="20"/>
                <w:szCs w:val="20"/>
              </w:rPr>
              <w:t xml:space="preserve">$310.7 </w:t>
            </w:r>
          </w:p>
        </w:tc>
        <w:tc>
          <w:tcPr>
            <w:tcW w:w="0" w:type="auto"/>
            <w:tcBorders>
              <w:top w:val="nil"/>
              <w:left w:val="nil"/>
              <w:bottom w:val="single" w:color="auto" w:sz="4" w:space="0"/>
              <w:right w:val="single" w:color="auto" w:sz="4" w:space="0"/>
            </w:tcBorders>
            <w:noWrap/>
            <w:vAlign w:val="bottom"/>
          </w:tcPr>
          <w:p w:rsidR="003B0815" w:rsidRDefault="003B0815" w14:paraId="38095A6F" w14:textId="77777777">
            <w:pPr>
              <w:jc w:val="right"/>
              <w:rPr>
                <w:rFonts w:ascii="Arial" w:hAnsi="Arial" w:eastAsia="Arial Unicode MS" w:cs="Arial"/>
                <w:sz w:val="20"/>
                <w:szCs w:val="20"/>
              </w:rPr>
            </w:pPr>
            <w:r>
              <w:rPr>
                <w:rFonts w:ascii="Arial" w:hAnsi="Arial" w:cs="Arial"/>
                <w:sz w:val="20"/>
                <w:szCs w:val="20"/>
              </w:rPr>
              <w:t xml:space="preserve">$245.6 </w:t>
            </w:r>
          </w:p>
        </w:tc>
        <w:tc>
          <w:tcPr>
            <w:tcW w:w="0" w:type="auto"/>
            <w:tcBorders>
              <w:top w:val="nil"/>
              <w:left w:val="nil"/>
              <w:bottom w:val="single" w:color="auto" w:sz="4" w:space="0"/>
              <w:right w:val="single" w:color="auto" w:sz="8" w:space="0"/>
            </w:tcBorders>
            <w:noWrap/>
            <w:vAlign w:val="bottom"/>
          </w:tcPr>
          <w:p w:rsidR="003B0815" w:rsidRDefault="003B0815" w14:paraId="59DF2ED6" w14:textId="77777777">
            <w:pPr>
              <w:jc w:val="right"/>
              <w:rPr>
                <w:rFonts w:ascii="Arial" w:hAnsi="Arial" w:eastAsia="Arial Unicode MS" w:cs="Arial"/>
                <w:sz w:val="20"/>
                <w:szCs w:val="20"/>
              </w:rPr>
            </w:pPr>
            <w:r>
              <w:rPr>
                <w:rFonts w:ascii="Arial" w:hAnsi="Arial" w:cs="Arial"/>
                <w:sz w:val="20"/>
                <w:szCs w:val="20"/>
              </w:rPr>
              <w:t xml:space="preserve">$326.9 </w:t>
            </w:r>
          </w:p>
        </w:tc>
      </w:tr>
      <w:tr w:rsidR="003B0815" w14:paraId="0FAD6BBE" w14:textId="77777777">
        <w:trPr>
          <w:trHeight w:val="270"/>
        </w:trPr>
        <w:tc>
          <w:tcPr>
            <w:tcW w:w="0" w:type="auto"/>
            <w:tcBorders>
              <w:top w:val="nil"/>
              <w:left w:val="single" w:color="auto" w:sz="8" w:space="0"/>
              <w:bottom w:val="single" w:color="auto" w:sz="8" w:space="0"/>
              <w:right w:val="single" w:color="auto" w:sz="8" w:space="0"/>
            </w:tcBorders>
            <w:noWrap/>
            <w:vAlign w:val="bottom"/>
          </w:tcPr>
          <w:p w:rsidR="003B0815" w:rsidRDefault="003B0815" w14:paraId="4EF486DE" w14:textId="77777777">
            <w:pPr>
              <w:jc w:val="right"/>
              <w:rPr>
                <w:rFonts w:ascii="Arial" w:hAnsi="Arial" w:eastAsia="Arial Unicode MS" w:cs="Arial"/>
                <w:sz w:val="20"/>
                <w:szCs w:val="20"/>
              </w:rPr>
            </w:pPr>
            <w:r>
              <w:rPr>
                <w:rFonts w:ascii="Arial" w:hAnsi="Arial" w:cs="Arial"/>
                <w:sz w:val="20"/>
                <w:szCs w:val="20"/>
              </w:rPr>
              <w:t xml:space="preserve">Passenger </w:t>
            </w:r>
            <w:smartTag w:uri="urn:schemas-microsoft-com:office:smarttags" w:element="place">
              <w:r>
                <w:rPr>
                  <w:rFonts w:ascii="Arial" w:hAnsi="Arial" w:cs="Arial"/>
                  <w:sz w:val="20"/>
                  <w:szCs w:val="20"/>
                </w:rPr>
                <w:t>Opportunity</w:t>
              </w:r>
            </w:smartTag>
            <w:r>
              <w:rPr>
                <w:rFonts w:ascii="Arial" w:hAnsi="Arial" w:cs="Arial"/>
                <w:sz w:val="20"/>
                <w:szCs w:val="20"/>
              </w:rPr>
              <w:t xml:space="preserve"> Cost</w:t>
            </w:r>
          </w:p>
        </w:tc>
        <w:tc>
          <w:tcPr>
            <w:tcW w:w="0" w:type="auto"/>
            <w:tcBorders>
              <w:top w:val="nil"/>
              <w:left w:val="nil"/>
              <w:bottom w:val="single" w:color="auto" w:sz="8" w:space="0"/>
              <w:right w:val="single" w:color="auto" w:sz="4" w:space="0"/>
            </w:tcBorders>
            <w:noWrap/>
            <w:vAlign w:val="bottom"/>
          </w:tcPr>
          <w:p w:rsidR="003B0815" w:rsidRDefault="003B0815" w14:paraId="15E6C440" w14:textId="77777777">
            <w:pPr>
              <w:jc w:val="right"/>
              <w:rPr>
                <w:rFonts w:ascii="Arial" w:hAnsi="Arial" w:eastAsia="Arial Unicode MS" w:cs="Arial"/>
                <w:sz w:val="20"/>
                <w:szCs w:val="20"/>
              </w:rPr>
            </w:pPr>
            <w:r>
              <w:rPr>
                <w:rFonts w:ascii="Arial" w:hAnsi="Arial" w:cs="Arial"/>
                <w:sz w:val="20"/>
                <w:szCs w:val="20"/>
              </w:rPr>
              <w:t xml:space="preserve">$965.0 </w:t>
            </w:r>
          </w:p>
        </w:tc>
        <w:tc>
          <w:tcPr>
            <w:tcW w:w="0" w:type="auto"/>
            <w:tcBorders>
              <w:top w:val="nil"/>
              <w:left w:val="nil"/>
              <w:bottom w:val="single" w:color="auto" w:sz="8" w:space="0"/>
              <w:right w:val="single" w:color="auto" w:sz="4" w:space="0"/>
            </w:tcBorders>
            <w:noWrap/>
            <w:vAlign w:val="bottom"/>
          </w:tcPr>
          <w:p w:rsidR="003B0815" w:rsidRDefault="003B0815" w14:paraId="5103774F" w14:textId="77777777">
            <w:pPr>
              <w:jc w:val="right"/>
              <w:rPr>
                <w:rFonts w:ascii="Arial" w:hAnsi="Arial" w:eastAsia="Arial Unicode MS" w:cs="Arial"/>
                <w:sz w:val="20"/>
                <w:szCs w:val="20"/>
              </w:rPr>
            </w:pPr>
            <w:r>
              <w:rPr>
                <w:rFonts w:ascii="Arial" w:hAnsi="Arial" w:cs="Arial"/>
                <w:sz w:val="20"/>
                <w:szCs w:val="20"/>
              </w:rPr>
              <w:t xml:space="preserve">$891.5 </w:t>
            </w:r>
          </w:p>
        </w:tc>
        <w:tc>
          <w:tcPr>
            <w:tcW w:w="0" w:type="auto"/>
            <w:tcBorders>
              <w:top w:val="nil"/>
              <w:left w:val="nil"/>
              <w:bottom w:val="single" w:color="auto" w:sz="8" w:space="0"/>
              <w:right w:val="single" w:color="auto" w:sz="8" w:space="0"/>
            </w:tcBorders>
            <w:noWrap/>
            <w:vAlign w:val="bottom"/>
          </w:tcPr>
          <w:p w:rsidR="003B0815" w:rsidRDefault="003B0815" w14:paraId="0D04E40D" w14:textId="77777777">
            <w:pPr>
              <w:jc w:val="right"/>
              <w:rPr>
                <w:rFonts w:ascii="Arial" w:hAnsi="Arial" w:eastAsia="Arial Unicode MS" w:cs="Arial"/>
                <w:sz w:val="20"/>
                <w:szCs w:val="20"/>
              </w:rPr>
            </w:pPr>
            <w:r>
              <w:rPr>
                <w:rFonts w:ascii="Arial" w:hAnsi="Arial" w:cs="Arial"/>
                <w:sz w:val="20"/>
                <w:szCs w:val="20"/>
              </w:rPr>
              <w:t xml:space="preserve">$982.7 </w:t>
            </w:r>
          </w:p>
        </w:tc>
      </w:tr>
    </w:tbl>
    <w:p w:rsidR="003B0815" w:rsidRDefault="003B0815" w14:paraId="0B0B012A" w14:textId="77777777">
      <w:pPr>
        <w:pStyle w:val="RegEvalSectionHeader"/>
        <w:spacing w:line="360" w:lineRule="auto"/>
        <w:sectPr w:rsidR="003B0815">
          <w:pgSz w:w="12240" w:h="15840"/>
          <w:pgMar w:top="1440" w:right="1440" w:bottom="1440" w:left="1440" w:header="720" w:footer="720" w:gutter="0"/>
          <w:cols w:space="720"/>
          <w:docGrid w:linePitch="360"/>
        </w:sectPr>
      </w:pPr>
    </w:p>
    <w:p w:rsidR="003B0815" w:rsidRDefault="003B0815" w14:paraId="40385105" w14:textId="77777777">
      <w:pPr>
        <w:pStyle w:val="RegEvalSectionHeader"/>
        <w:spacing w:line="360" w:lineRule="auto"/>
      </w:pPr>
      <w:bookmarkStart w:name="_Toc202683405" w:id="435"/>
      <w:r>
        <w:t>Section 8: Comparison of Costs and Benefits of Regulatory Alternatives</w:t>
      </w:r>
      <w:bookmarkEnd w:id="426"/>
      <w:bookmarkEnd w:id="427"/>
      <w:bookmarkEnd w:id="428"/>
      <w:bookmarkEnd w:id="435"/>
    </w:p>
    <w:p w:rsidR="003B0815" w:rsidRDefault="003B0815" w14:paraId="4B88FF76" w14:textId="77777777">
      <w:pPr>
        <w:spacing w:line="360" w:lineRule="auto"/>
        <w:ind w:firstLine="720"/>
      </w:pPr>
      <w:r>
        <w:t>EO 12866 requires Federal agencies to consider and analyze alternatives to rulemakings to ensure that a rule is the most cost-effective option that still meets agency objectives and legal mandates.</w:t>
      </w:r>
    </w:p>
    <w:p w:rsidR="003B0815" w:rsidRDefault="003B0815" w14:paraId="61BD391E" w14:textId="77777777">
      <w:pPr>
        <w:keepNext/>
        <w:spacing w:line="360" w:lineRule="auto"/>
        <w:ind w:firstLine="720"/>
      </w:pPr>
      <w:r>
        <w:t>Some of the key agency objectives and legal mandates include:</w:t>
      </w:r>
    </w:p>
    <w:p w:rsidR="003B0815" w:rsidRDefault="003B0815" w14:paraId="33451947" w14:textId="77777777">
      <w:pPr>
        <w:numPr>
          <w:ilvl w:val="0"/>
          <w:numId w:val="2"/>
        </w:numPr>
        <w:tabs>
          <w:tab w:val="clear" w:pos="720"/>
          <w:tab w:val="num" w:pos="1080"/>
        </w:tabs>
        <w:ind w:left="1080"/>
      </w:pPr>
      <w:r>
        <w:t>The government must assume the performance of comparing passenger information to the automatic Selectee and No Fly lists;</w:t>
      </w:r>
    </w:p>
    <w:p w:rsidR="003B0815" w:rsidRDefault="003B0815" w14:paraId="7CE7896A" w14:textId="77777777">
      <w:pPr>
        <w:numPr>
          <w:ilvl w:val="0"/>
          <w:numId w:val="2"/>
        </w:numPr>
        <w:tabs>
          <w:tab w:val="clear" w:pos="720"/>
          <w:tab w:val="num" w:pos="1080"/>
        </w:tabs>
        <w:ind w:left="1080"/>
      </w:pPr>
      <w:r>
        <w:t>Reduce the number of false positive selectees;</w:t>
      </w:r>
    </w:p>
    <w:p w:rsidR="003B0815" w:rsidRDefault="003B0815" w14:paraId="598F926E" w14:textId="77777777">
      <w:pPr>
        <w:numPr>
          <w:ilvl w:val="0"/>
          <w:numId w:val="2"/>
        </w:numPr>
        <w:tabs>
          <w:tab w:val="clear" w:pos="720"/>
          <w:tab w:val="num" w:pos="1080"/>
        </w:tabs>
        <w:ind w:left="1080"/>
      </w:pPr>
      <w:r>
        <w:t>Standardize watch list matching methods; and,</w:t>
      </w:r>
    </w:p>
    <w:p w:rsidR="003B0815" w:rsidRDefault="003B0815" w14:paraId="73F16797" w14:textId="77777777">
      <w:pPr>
        <w:numPr>
          <w:ilvl w:val="0"/>
          <w:numId w:val="2"/>
        </w:numPr>
        <w:tabs>
          <w:tab w:val="clear" w:pos="720"/>
          <w:tab w:val="num" w:pos="1080"/>
        </w:tabs>
        <w:ind w:left="1080"/>
      </w:pPr>
      <w:r>
        <w:t>Centralize watch list matching in order to limit distribution of the watch lists.</w:t>
      </w:r>
    </w:p>
    <w:p w:rsidR="003B0815" w:rsidRDefault="003B0815" w14:paraId="0F1FFFB3" w14:textId="77777777"/>
    <w:p w:rsidR="003B0815" w:rsidRDefault="003B0815" w14:paraId="59A1229C" w14:textId="77777777">
      <w:pPr>
        <w:spacing w:line="360" w:lineRule="auto"/>
        <w:ind w:firstLine="720"/>
      </w:pPr>
      <w:r>
        <w:t>TSA considered a range of alternatives and quantitatively evaluated several of the most likely options.  These alternatives pertain to the domestic portion of the Secure Flight rule.  A qualitative analysis accompanies other alternatives considered but not quantitatively analyzed.  Table 1.8.1.a presents a comparison of the qualitative alternatives; Table 1.8.2.a presents a comparison of the quantitative alternatives.</w:t>
      </w:r>
    </w:p>
    <w:p w:rsidR="003B0815" w:rsidRDefault="003B0815" w14:paraId="15B99770" w14:textId="77777777">
      <w:pPr>
        <w:keepNext/>
        <w:spacing w:line="360" w:lineRule="auto"/>
        <w:ind w:firstLine="720"/>
      </w:pPr>
      <w:r>
        <w:t>Section 1.8.1 qualitatively considers the following possible regulatory actions:</w:t>
      </w:r>
    </w:p>
    <w:p w:rsidR="003B0815" w:rsidRDefault="003B0815" w14:paraId="0BF35239" w14:textId="77777777">
      <w:pPr>
        <w:numPr>
          <w:ilvl w:val="1"/>
          <w:numId w:val="2"/>
        </w:numPr>
        <w:tabs>
          <w:tab w:val="clear" w:pos="1440"/>
          <w:tab w:val="num" w:pos="1080"/>
        </w:tabs>
        <w:ind w:left="1080"/>
      </w:pPr>
      <w:r>
        <w:t>No Action: Individual air carriers compare domestic passenger information to watch lists provided by TSA.  Airlines continue to pre-screen passengers using systems and methods already in place.  There are no additional costs and benefits associated with this alternative and this option does not meet statutory mandates.  Because this alternative is the status quo, discussed in earlier sections, and has no additional costs or benefits, it is not analyzed further.</w:t>
      </w:r>
    </w:p>
    <w:p w:rsidR="003B0815" w:rsidRDefault="003B0815" w14:paraId="10A60078" w14:textId="77777777">
      <w:pPr>
        <w:numPr>
          <w:ilvl w:val="1"/>
          <w:numId w:val="2"/>
        </w:numPr>
        <w:tabs>
          <w:tab w:val="clear" w:pos="1440"/>
          <w:tab w:val="num" w:pos="1080"/>
        </w:tabs>
        <w:ind w:left="1080"/>
      </w:pPr>
      <w:r>
        <w:t xml:space="preserve">Air carriers directly implement Federally-regulated watch list screening standards.  </w:t>
      </w:r>
    </w:p>
    <w:p w:rsidR="003B0815" w:rsidRDefault="003B0815" w14:paraId="4B6CB211" w14:textId="77777777">
      <w:pPr>
        <w:numPr>
          <w:ilvl w:val="1"/>
          <w:numId w:val="2"/>
        </w:numPr>
        <w:tabs>
          <w:tab w:val="clear" w:pos="1440"/>
          <w:tab w:val="num" w:pos="1080"/>
        </w:tabs>
        <w:ind w:left="1080"/>
      </w:pPr>
      <w:r>
        <w:t>TSA replaces its existing watch list matching IT infrastructure and leverages use of the U.S. Custom and Border Protection’s Automated Targeting System (ATS) or APIS Quick Query (AQQ) in the domestic environment.</w:t>
      </w:r>
    </w:p>
    <w:p w:rsidR="003B0815" w:rsidRDefault="003B0815" w14:paraId="23F8120A" w14:textId="77777777">
      <w:pPr>
        <w:numPr>
          <w:ilvl w:val="1"/>
          <w:numId w:val="2"/>
        </w:numPr>
        <w:tabs>
          <w:tab w:val="clear" w:pos="1440"/>
          <w:tab w:val="num" w:pos="1080"/>
        </w:tabs>
        <w:ind w:left="1080"/>
      </w:pPr>
      <w:r>
        <w:t>Preferred Alternative: Airlines request standardized passenger information at time of reservation and transmit to TSA for comparison to the Federal Government’s watch lists.</w:t>
      </w:r>
    </w:p>
    <w:p w:rsidR="003B0815" w:rsidRDefault="003B0815" w14:paraId="7ED8D7A1" w14:textId="77777777"/>
    <w:p w:rsidR="003B0815" w:rsidRDefault="003B0815" w14:paraId="5FD53F10" w14:textId="77777777">
      <w:pPr>
        <w:spacing w:line="360" w:lineRule="auto"/>
        <w:ind w:firstLine="720"/>
      </w:pPr>
      <w:r>
        <w:t>The following alternatives are fundamentally similar to Alternative #4 but include modifications in data, operational, and/or implementation requirements.  Section 1.8.2 quantitatively compares these alternatives.</w:t>
      </w:r>
    </w:p>
    <w:p w:rsidR="003B0815" w:rsidRDefault="003B0815" w14:paraId="12E12128" w14:textId="77777777">
      <w:pPr>
        <w:numPr>
          <w:ilvl w:val="1"/>
          <w:numId w:val="2"/>
        </w:numPr>
        <w:tabs>
          <w:tab w:val="clear" w:pos="1440"/>
          <w:tab w:val="num" w:pos="1080"/>
        </w:tabs>
        <w:ind w:left="1080"/>
      </w:pPr>
      <w:r>
        <w:t>TSA utilizes additional SFPD attributes for watch list matching.  In addition to full name, date of birth, gender, and Redress Number, TSA requires aircraft operators to request home address and home phone number from passengers and non-traveling individuals.</w:t>
      </w:r>
    </w:p>
    <w:p w:rsidR="003B0815" w:rsidRDefault="003B0815" w14:paraId="61C1B4ED" w14:textId="77777777">
      <w:pPr>
        <w:numPr>
          <w:ilvl w:val="1"/>
          <w:numId w:val="2"/>
        </w:numPr>
        <w:tabs>
          <w:tab w:val="clear" w:pos="1440"/>
          <w:tab w:val="num" w:pos="1080"/>
        </w:tabs>
        <w:ind w:left="1080"/>
      </w:pPr>
      <w:r>
        <w:t>TSA requires airlines to give, on behalf of the U.S. Government, a brief privacy statement.  At the discretion of airlines and travel agencies, reservation agents may provide the notice directly to a passenger or reprogram their automated voice response units (VRUs) to provide the notice prior to being transferred to an agent.  Passengers do not have an option to skip the notice.</w:t>
      </w:r>
    </w:p>
    <w:p w:rsidR="003B0815" w:rsidRDefault="003B0815" w14:paraId="5F46C72E" w14:textId="77777777">
      <w:pPr>
        <w:numPr>
          <w:ilvl w:val="1"/>
          <w:numId w:val="2"/>
        </w:numPr>
        <w:tabs>
          <w:tab w:val="clear" w:pos="1440"/>
          <w:tab w:val="num" w:pos="1080"/>
        </w:tabs>
        <w:ind w:left="1080"/>
      </w:pPr>
      <w:r>
        <w:t>TSA requires airlines or their agents to give, on behalf of the U.S. Government, a complete privacy notice to each traveler making a reservation.  At the discretion of airlines and travel agencies, reservation agents may provide the notice directly to a passenger or reprogram their automated voice response units (VRUs) to provide passengers the option to hear the notice prior to being transferred to an agent.  Passengers, in turn, may elect to skip the notice.</w:t>
      </w:r>
    </w:p>
    <w:p w:rsidR="003B0815" w:rsidRDefault="003B0815" w14:paraId="39541CCF" w14:textId="77777777">
      <w:pPr>
        <w:spacing w:line="360" w:lineRule="auto"/>
        <w:ind w:firstLine="720"/>
      </w:pPr>
    </w:p>
    <w:p w:rsidR="003B0815" w:rsidRDefault="003B0815" w14:paraId="6AE1F6A8" w14:textId="77777777">
      <w:pPr>
        <w:pStyle w:val="RegEvalSectionSubheader"/>
        <w:keepNext/>
        <w:spacing w:line="360" w:lineRule="auto"/>
      </w:pPr>
      <w:bookmarkStart w:name="_Toc141000924" w:id="436"/>
      <w:bookmarkStart w:name="_Toc165278450" w:id="437"/>
      <w:bookmarkStart w:name="_Toc202683406" w:id="438"/>
      <w:r>
        <w:t>Section 1.8.1 Qualitative Alternatives</w:t>
      </w:r>
      <w:bookmarkEnd w:id="436"/>
      <w:bookmarkEnd w:id="437"/>
      <w:bookmarkEnd w:id="438"/>
    </w:p>
    <w:p w:rsidR="003B0815" w:rsidRDefault="003B0815" w14:paraId="79C0737A" w14:textId="77777777">
      <w:pPr>
        <w:spacing w:line="360" w:lineRule="auto"/>
        <w:ind w:firstLine="720"/>
        <w:rPr>
          <w:b/>
        </w:rPr>
      </w:pPr>
      <w:r>
        <w:t>These alternatives are further described on the following pages.  The benefits, costs, and impact on security are relative to the baseline status quo, Alternative #1.</w:t>
      </w:r>
    </w:p>
    <w:p w:rsidR="003B0815" w:rsidRDefault="003B0815" w14:paraId="671B179D" w14:textId="77777777">
      <w:pPr>
        <w:keepNext/>
        <w:spacing w:line="360" w:lineRule="auto"/>
        <w:rPr>
          <w:b/>
        </w:rPr>
      </w:pPr>
      <w:r>
        <w:rPr>
          <w:b/>
        </w:rPr>
        <w:t>Alternative #2:  Federally-regulated watch list screening standards.</w:t>
      </w:r>
    </w:p>
    <w:p w:rsidR="003B0815" w:rsidRDefault="003B0815" w14:paraId="1565CB76" w14:textId="77777777">
      <w:pPr>
        <w:spacing w:line="360" w:lineRule="auto"/>
        <w:ind w:firstLine="720"/>
      </w:pPr>
      <w:r>
        <w:t>In this alternative, TSA would not assume the watch list matching function from aircraft operators but rather would require air carriers to compare passenger information to government-issued watch lists in a uniform manner.  Airlines would be required to track their false positive rates and keep them below a ceiling percentage defined by the government.  The airlines would be required to comply with strict guidelines and process passengers in a standard method using government-issued watch lists.  The government would oversee process implementation by air carriers, provide advice, and ensure air carrier compliance.  The method by which airlines achieve compliance, however, would not be regulated by the government.  Air carriers would be responsible for developing/acquiring solutions for watch list comparison and clearing passengers for boarding.</w:t>
      </w:r>
    </w:p>
    <w:p w:rsidR="003B0815" w:rsidRDefault="003B0815" w14:paraId="7D3B3725" w14:textId="77777777">
      <w:pPr>
        <w:spacing w:line="360" w:lineRule="auto"/>
        <w:ind w:firstLine="720"/>
      </w:pPr>
      <w:r>
        <w:t>Because the data collected by the carriers would not be used by the government, there would be no requirement for air carriers and other affected stakeholders such as travel agents to issue a privacy notice at the time of reservation.  This could result in significant opportunity cost and labor savings for passengers, travel agents, and airline reservation agents compared to alternatives in which the Federal Government assumes the matching function, since these alternatives could require regulated entities to provide such a notice.  At the same time, TSA performance standards would likely still require air carriers to modify their systems to collect additional information in order to achieve a specified reduction in the current level of false positives.</w:t>
      </w:r>
    </w:p>
    <w:p w:rsidR="003B0815" w:rsidRDefault="003B0815" w14:paraId="63BF7901" w14:textId="77777777">
      <w:pPr>
        <w:spacing w:line="360" w:lineRule="auto"/>
        <w:ind w:firstLine="720"/>
        <w:rPr>
          <w:b/>
        </w:rPr>
      </w:pPr>
      <w:r>
        <w:t xml:space="preserve">Although this alternative would have a minimal impact on regulated entities and would increase security over the status quo, it would not meet the Congressional mandates directing TSA to conduct passenger matching and cease distribution of the watch lists.  </w:t>
      </w:r>
    </w:p>
    <w:p w:rsidR="003B0815" w:rsidRDefault="003B0815" w14:paraId="4392113A" w14:textId="77777777">
      <w:pPr>
        <w:keepNext/>
        <w:spacing w:line="360" w:lineRule="auto"/>
        <w:rPr>
          <w:b/>
        </w:rPr>
      </w:pPr>
      <w:bookmarkStart w:name="OLE_LINK19" w:id="439"/>
      <w:bookmarkStart w:name="OLE_LINK20" w:id="440"/>
      <w:r>
        <w:rPr>
          <w:b/>
        </w:rPr>
        <w:t>Alternative #3: TSA leverages use of CBP’s ATS or AQQ in the domestic environment.</w:t>
      </w:r>
    </w:p>
    <w:p w:rsidR="003B0815" w:rsidRDefault="003B0815" w14:paraId="55ABAD32" w14:textId="77777777">
      <w:pPr>
        <w:spacing w:line="360" w:lineRule="auto"/>
        <w:ind w:firstLine="720"/>
      </w:pPr>
      <w:r>
        <w:t xml:space="preserve">TSA evaluated leveraging existing IT systems within DHS; however, at the time of Secure Flight’s initial development, only CBP’s Automated Targeting System (ATS) had the potential to conduct passenger watch list matching.  Used at CBP’s </w:t>
      </w:r>
      <w:smartTag w:uri="urn:schemas-microsoft-com:office:smarttags" w:element="place">
        <w:smartTag w:uri="urn:schemas-microsoft-com:office:smarttags" w:element="PlaceName">
          <w:r>
            <w:t>National</w:t>
          </w:r>
        </w:smartTag>
        <w:r>
          <w:t xml:space="preserve"> </w:t>
        </w:r>
        <w:smartTag w:uri="urn:schemas-microsoft-com:office:smarttags" w:element="PlaceName">
          <w:r>
            <w:t>Targeting</w:t>
          </w:r>
        </w:smartTag>
        <w:r>
          <w:t xml:space="preserve"> </w:t>
        </w:r>
        <w:smartTag w:uri="urn:schemas-microsoft-com:office:smarttags" w:element="PlaceType">
          <w:r>
            <w:t>Center</w:t>
          </w:r>
        </w:smartTag>
      </w:smartTag>
      <w:r>
        <w:t xml:space="preserve">, the ATS is a web-based enforcement tool that processes incoming cargo and passenger information.  The ATS picks up on anomalies and “red flags,” providing a basis for analysts at the NTC to determine what cargo or passengers are “high risk,” whether they require additional screening at the port of entry or overseas, or whether they can even enter the country.  </w:t>
      </w:r>
    </w:p>
    <w:p w:rsidR="003B0815" w:rsidRDefault="003B0815" w14:paraId="362029D0" w14:textId="77777777">
      <w:pPr>
        <w:spacing w:line="360" w:lineRule="auto"/>
        <w:ind w:firstLine="720"/>
      </w:pPr>
      <w:r>
        <w:t>This system could be customized to also support domestic airline passenger watch list matching.  Enabling this alternative would require significant modifications be made to the existing ATS in order to effectively meet TSA’s watch list matching objectives.  Compared to building upon TSA’s existing watch list matching infrastructure, TSA determined undertaking the customizations required to utilize the ATS would not be cost-effective.</w:t>
      </w:r>
    </w:p>
    <w:p w:rsidR="003B0815" w:rsidRDefault="003B0815" w14:paraId="0AF0D174" w14:textId="77777777">
      <w:pPr>
        <w:spacing w:line="360" w:lineRule="auto"/>
        <w:ind w:firstLine="720"/>
      </w:pPr>
      <w:bookmarkStart w:name="OLE_LINK23" w:id="441"/>
      <w:bookmarkStart w:name="OLE_LINK24" w:id="442"/>
      <w:r>
        <w:t xml:space="preserve">More recently, CBP has developed APIS Quick Query (AQQ), a system with interactive querying capabilities similar to Secure Flight.  AQQ performs watch list matching for foreign airlines that fly to and from the </w:t>
      </w:r>
      <w:smartTag w:uri="urn:schemas-microsoft-com:office:smarttags" w:element="country-region">
        <w:smartTag w:uri="urn:schemas-microsoft-com:office:smarttags" w:element="place">
          <w:r>
            <w:t>United States</w:t>
          </w:r>
        </w:smartTag>
      </w:smartTag>
      <w:r>
        <w:t>.  While this system could ostensibly be used to also perform watch list matching for domestic passengers, DHS has determined that the volume of passengers far exceeds the volume currently anticipated under AQQ by as much as five to eight times.  Additionally, Secure Flight can be adjusted in accordance with a change in volumes or threat conditions.  To enable CBP to focus on its primary mission of border enforcement, DHS has determined that TSA should conduct watch list matching for domestic passengers and should also take over the watch list matching function from CBP.  AQQ will compare the information from passengers on covered international flights flying to and from the U.S. to the consolidated Federal watch lists until Secure Flight is ready to take over that function   Transferring this watch list matching function from AQQ to Secure Flight ensures a uniform standard is applied to all individuals flying to, from, and within the United States.</w:t>
      </w:r>
      <w:bookmarkEnd w:id="439"/>
      <w:bookmarkEnd w:id="440"/>
      <w:r>
        <w:t xml:space="preserve"> </w:t>
      </w:r>
    </w:p>
    <w:bookmarkEnd w:id="441"/>
    <w:bookmarkEnd w:id="442"/>
    <w:p w:rsidR="003B0815" w:rsidRDefault="003B0815" w14:paraId="53A00E28" w14:textId="77777777">
      <w:pPr>
        <w:keepNext/>
        <w:rPr>
          <w:b/>
        </w:rPr>
      </w:pPr>
      <w:r>
        <w:rPr>
          <w:b/>
        </w:rPr>
        <w:t>Alternative #4 (Preferred Alternative): Airlines request standardized passenger information at time of reservation and transmit to TSA for comparison to the Federal Government’s watch lists.</w:t>
      </w:r>
    </w:p>
    <w:p w:rsidR="003B0815" w:rsidRDefault="003B0815" w14:paraId="3E4BE528" w14:textId="77777777">
      <w:pPr>
        <w:rPr>
          <w:b/>
        </w:rPr>
      </w:pPr>
    </w:p>
    <w:p w:rsidR="003B0815" w:rsidRDefault="003B0815" w14:paraId="00A2F418" w14:textId="77777777">
      <w:pPr>
        <w:spacing w:line="360" w:lineRule="auto"/>
        <w:ind w:firstLine="720"/>
      </w:pPr>
      <w:r>
        <w:t>Under this option, TSA obtains passenger and non-traveler information from aircraft operators, compare such data to the Federal watch lists, and communicate results back to aircraft operators prior to passengers’ arrival at the airport.  TSA relieves airlines of their current responsibility to compare domestic passenger information to Federal Government watch lists.  Based on the gate and boarding pass printing instructions, aircraft operators process passengers in the normal manner, identify them for enhanced screening at a security checkpoint, or deny them transport or authorization to enter the airport sterile area.</w:t>
      </w:r>
    </w:p>
    <w:p w:rsidR="003B0815" w:rsidRDefault="003B0815" w14:paraId="067AF7EA" w14:textId="77777777">
      <w:pPr>
        <w:spacing w:line="360" w:lineRule="auto"/>
        <w:ind w:firstLine="720"/>
      </w:pPr>
      <w:r>
        <w:t xml:space="preserve">Airline reservation systems and GDSs are responsible for making modifications to their IT infrastructure in order to accept additional data fields in a standardized format.  Since passenger information will be transmitted to the Federal Government, airlines are required to make available a privacy notice prior to collecting information on a website or self-service kiosk.  Collecting additional passenger information requires changes at airline reservation call centers and travel agencies.  </w:t>
      </w:r>
    </w:p>
    <w:p w:rsidR="003B0815" w:rsidRDefault="003B0815" w14:paraId="36859284" w14:textId="77777777">
      <w:pPr>
        <w:spacing w:line="360" w:lineRule="auto"/>
        <w:ind w:firstLine="720"/>
      </w:pPr>
      <w:r>
        <w:t>This alternative limits the dissemination of Federal Government watch lists outside the government, increasing aviation security over the status quo and over the Federal Standards alternative.  This alternative also meets the Congressional mandate to reduce false positives by 1) standardizing the collection of information, ensuring uniform comparison of passenger data to watch list records, and 2) centralizing the matching process, reducing the likelihood that a passenger will be falsely selected by multiple airlines.</w:t>
      </w:r>
    </w:p>
    <w:p w:rsidR="003B0815" w:rsidRDefault="003B0815" w14:paraId="3D52B45E" w14:textId="77777777">
      <w:pPr>
        <w:keepNext/>
        <w:spacing w:line="360" w:lineRule="auto"/>
      </w:pPr>
      <w:r>
        <w:rPr>
          <w:b/>
        </w:rPr>
        <w:t>Comparison of Alternatives #1 through #4.</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2347"/>
        <w:gridCol w:w="1200"/>
        <w:gridCol w:w="1397"/>
        <w:gridCol w:w="1216"/>
        <w:gridCol w:w="1619"/>
      </w:tblGrid>
      <w:tr w:rsidR="003B0815" w14:paraId="73A22A14" w14:textId="77777777">
        <w:trPr>
          <w:jc w:val="center"/>
        </w:trPr>
        <w:tc>
          <w:tcPr>
            <w:tcW w:w="7779" w:type="dxa"/>
            <w:gridSpan w:val="5"/>
            <w:tcBorders>
              <w:top w:val="nil"/>
              <w:left w:val="nil"/>
              <w:bottom w:val="single" w:color="auto" w:sz="12" w:space="0"/>
              <w:right w:val="nil"/>
            </w:tcBorders>
            <w:vAlign w:val="bottom"/>
          </w:tcPr>
          <w:p w:rsidR="003B0815" w:rsidRDefault="003B0815" w14:paraId="28DE4FA5" w14:textId="77777777">
            <w:pPr>
              <w:pStyle w:val="RegEvalTableHeader"/>
              <w:keepNext/>
            </w:pPr>
            <w:bookmarkStart w:name="_Toc141000968" w:id="443"/>
            <w:bookmarkStart w:name="_Toc165278411" w:id="444"/>
            <w:bookmarkStart w:name="_Toc174438418" w:id="445"/>
            <w:bookmarkStart w:name="_Toc207109556" w:id="446"/>
            <w:r>
              <w:t>Table 1.8.1.a Qualitative Comparison of Regulatory Alternatives</w:t>
            </w:r>
            <w:bookmarkEnd w:id="443"/>
            <w:bookmarkEnd w:id="444"/>
            <w:bookmarkEnd w:id="445"/>
            <w:bookmarkEnd w:id="446"/>
          </w:p>
        </w:tc>
      </w:tr>
      <w:tr w:rsidR="003B0815" w14:paraId="58ABCDFD" w14:textId="77777777">
        <w:trPr>
          <w:jc w:val="center"/>
        </w:trPr>
        <w:tc>
          <w:tcPr>
            <w:tcW w:w="2347" w:type="dxa"/>
            <w:tcBorders>
              <w:top w:val="single" w:color="auto" w:sz="12" w:space="0"/>
              <w:left w:val="single" w:color="auto" w:sz="12" w:space="0"/>
            </w:tcBorders>
            <w:vAlign w:val="bottom"/>
          </w:tcPr>
          <w:p w:rsidR="003B0815" w:rsidRDefault="003B0815" w14:paraId="2F3549DC" w14:textId="77777777">
            <w:pPr>
              <w:keepNext/>
              <w:jc w:val="center"/>
              <w:rPr>
                <w:rFonts w:ascii="Arial" w:hAnsi="Arial"/>
                <w:b/>
                <w:sz w:val="20"/>
                <w:szCs w:val="20"/>
              </w:rPr>
            </w:pPr>
            <w:r>
              <w:rPr>
                <w:rFonts w:ascii="Arial" w:hAnsi="Arial"/>
                <w:b/>
                <w:sz w:val="20"/>
                <w:szCs w:val="20"/>
              </w:rPr>
              <w:t>Alternative</w:t>
            </w:r>
          </w:p>
        </w:tc>
        <w:tc>
          <w:tcPr>
            <w:tcW w:w="1200" w:type="dxa"/>
            <w:tcBorders>
              <w:top w:val="single" w:color="auto" w:sz="12" w:space="0"/>
            </w:tcBorders>
            <w:vAlign w:val="bottom"/>
          </w:tcPr>
          <w:p w:rsidR="003B0815" w:rsidRDefault="003B0815" w14:paraId="2A5F5BDC" w14:textId="77777777">
            <w:pPr>
              <w:keepNext/>
              <w:jc w:val="center"/>
              <w:rPr>
                <w:rFonts w:ascii="Arial" w:hAnsi="Arial"/>
                <w:b/>
                <w:sz w:val="20"/>
                <w:szCs w:val="20"/>
              </w:rPr>
            </w:pPr>
            <w:r>
              <w:rPr>
                <w:rFonts w:ascii="Arial" w:hAnsi="Arial"/>
                <w:b/>
                <w:sz w:val="20"/>
                <w:szCs w:val="20"/>
              </w:rPr>
              <w:t>1</w:t>
            </w:r>
          </w:p>
        </w:tc>
        <w:tc>
          <w:tcPr>
            <w:tcW w:w="1397" w:type="dxa"/>
            <w:tcBorders>
              <w:top w:val="single" w:color="auto" w:sz="12" w:space="0"/>
            </w:tcBorders>
            <w:vAlign w:val="bottom"/>
          </w:tcPr>
          <w:p w:rsidR="003B0815" w:rsidRDefault="003B0815" w14:paraId="2753BFB8" w14:textId="77777777">
            <w:pPr>
              <w:keepNext/>
              <w:jc w:val="center"/>
              <w:rPr>
                <w:rFonts w:ascii="Arial" w:hAnsi="Arial"/>
                <w:b/>
                <w:sz w:val="20"/>
                <w:szCs w:val="20"/>
              </w:rPr>
            </w:pPr>
            <w:r>
              <w:rPr>
                <w:rFonts w:ascii="Arial" w:hAnsi="Arial"/>
                <w:b/>
                <w:sz w:val="20"/>
                <w:szCs w:val="20"/>
              </w:rPr>
              <w:t>2</w:t>
            </w:r>
          </w:p>
        </w:tc>
        <w:tc>
          <w:tcPr>
            <w:tcW w:w="1216" w:type="dxa"/>
            <w:tcBorders>
              <w:top w:val="single" w:color="auto" w:sz="12" w:space="0"/>
            </w:tcBorders>
            <w:vAlign w:val="bottom"/>
          </w:tcPr>
          <w:p w:rsidR="003B0815" w:rsidRDefault="003B0815" w14:paraId="52EEC38B" w14:textId="77777777">
            <w:pPr>
              <w:keepNext/>
              <w:jc w:val="center"/>
              <w:rPr>
                <w:rFonts w:ascii="Arial" w:hAnsi="Arial"/>
                <w:b/>
                <w:sz w:val="20"/>
                <w:szCs w:val="20"/>
              </w:rPr>
            </w:pPr>
            <w:r>
              <w:rPr>
                <w:rFonts w:ascii="Arial" w:hAnsi="Arial"/>
                <w:b/>
                <w:sz w:val="20"/>
                <w:szCs w:val="20"/>
              </w:rPr>
              <w:t>3</w:t>
            </w:r>
          </w:p>
        </w:tc>
        <w:tc>
          <w:tcPr>
            <w:tcW w:w="1619" w:type="dxa"/>
            <w:tcBorders>
              <w:top w:val="single" w:color="auto" w:sz="12" w:space="0"/>
              <w:right w:val="single" w:color="auto" w:sz="12" w:space="0"/>
            </w:tcBorders>
            <w:vAlign w:val="bottom"/>
          </w:tcPr>
          <w:p w:rsidR="003B0815" w:rsidRDefault="003B0815" w14:paraId="2CD09333" w14:textId="77777777">
            <w:pPr>
              <w:keepNext/>
              <w:jc w:val="center"/>
              <w:rPr>
                <w:rFonts w:ascii="Arial" w:hAnsi="Arial"/>
                <w:b/>
                <w:sz w:val="20"/>
                <w:szCs w:val="20"/>
              </w:rPr>
            </w:pPr>
            <w:r>
              <w:rPr>
                <w:rFonts w:ascii="Arial" w:hAnsi="Arial"/>
                <w:b/>
                <w:sz w:val="20"/>
                <w:szCs w:val="20"/>
              </w:rPr>
              <w:t>4</w:t>
            </w:r>
          </w:p>
        </w:tc>
      </w:tr>
      <w:tr w:rsidR="003B0815" w14:paraId="0F849E3D" w14:textId="77777777">
        <w:trPr>
          <w:jc w:val="center"/>
        </w:trPr>
        <w:tc>
          <w:tcPr>
            <w:tcW w:w="2347" w:type="dxa"/>
            <w:tcBorders>
              <w:left w:val="single" w:color="auto" w:sz="12" w:space="0"/>
              <w:bottom w:val="single" w:color="auto" w:sz="4" w:space="0"/>
            </w:tcBorders>
            <w:vAlign w:val="center"/>
          </w:tcPr>
          <w:p w:rsidR="003B0815" w:rsidRDefault="003B0815" w14:paraId="520A412B" w14:textId="77777777">
            <w:pPr>
              <w:keepNext/>
              <w:jc w:val="center"/>
              <w:rPr>
                <w:rFonts w:ascii="Arial" w:hAnsi="Arial"/>
                <w:b/>
                <w:sz w:val="20"/>
                <w:szCs w:val="20"/>
              </w:rPr>
            </w:pPr>
            <w:r>
              <w:rPr>
                <w:rFonts w:ascii="Arial" w:hAnsi="Arial"/>
                <w:b/>
                <w:sz w:val="20"/>
                <w:szCs w:val="20"/>
              </w:rPr>
              <w:t>Description</w:t>
            </w:r>
          </w:p>
        </w:tc>
        <w:tc>
          <w:tcPr>
            <w:tcW w:w="1200" w:type="dxa"/>
            <w:tcBorders>
              <w:bottom w:val="single" w:color="auto" w:sz="4" w:space="0"/>
            </w:tcBorders>
            <w:vAlign w:val="center"/>
          </w:tcPr>
          <w:p w:rsidR="003B0815" w:rsidRDefault="003B0815" w14:paraId="6E72FBCA" w14:textId="77777777">
            <w:pPr>
              <w:keepNext/>
              <w:jc w:val="center"/>
              <w:rPr>
                <w:rFonts w:ascii="Arial" w:hAnsi="Arial"/>
                <w:b/>
                <w:sz w:val="20"/>
                <w:szCs w:val="20"/>
              </w:rPr>
            </w:pPr>
            <w:r>
              <w:rPr>
                <w:rFonts w:ascii="Arial" w:hAnsi="Arial"/>
                <w:b/>
                <w:sz w:val="20"/>
                <w:szCs w:val="20"/>
              </w:rPr>
              <w:t>Baseline Status Quo</w:t>
            </w:r>
          </w:p>
        </w:tc>
        <w:tc>
          <w:tcPr>
            <w:tcW w:w="1397" w:type="dxa"/>
            <w:tcBorders>
              <w:bottom w:val="single" w:color="auto" w:sz="4" w:space="0"/>
            </w:tcBorders>
            <w:vAlign w:val="center"/>
          </w:tcPr>
          <w:p w:rsidR="003B0815" w:rsidRDefault="003B0815" w14:paraId="4C32672C" w14:textId="77777777">
            <w:pPr>
              <w:keepNext/>
              <w:jc w:val="center"/>
              <w:rPr>
                <w:rFonts w:ascii="Arial" w:hAnsi="Arial"/>
                <w:b/>
                <w:sz w:val="20"/>
                <w:szCs w:val="20"/>
              </w:rPr>
            </w:pPr>
            <w:r>
              <w:rPr>
                <w:rFonts w:ascii="Arial" w:hAnsi="Arial"/>
                <w:b/>
                <w:sz w:val="20"/>
                <w:szCs w:val="20"/>
              </w:rPr>
              <w:t>Federally Regulated Standards</w:t>
            </w:r>
          </w:p>
        </w:tc>
        <w:tc>
          <w:tcPr>
            <w:tcW w:w="1216" w:type="dxa"/>
            <w:tcBorders>
              <w:bottom w:val="single" w:color="auto" w:sz="4" w:space="0"/>
            </w:tcBorders>
            <w:vAlign w:val="center"/>
          </w:tcPr>
          <w:p w:rsidR="003B0815" w:rsidRDefault="003B0815" w14:paraId="44ACE750" w14:textId="77777777">
            <w:pPr>
              <w:keepNext/>
              <w:jc w:val="center"/>
              <w:rPr>
                <w:rFonts w:ascii="Arial" w:hAnsi="Arial"/>
                <w:b/>
                <w:sz w:val="20"/>
                <w:szCs w:val="20"/>
              </w:rPr>
            </w:pPr>
            <w:r>
              <w:rPr>
                <w:rFonts w:ascii="Arial" w:hAnsi="Arial"/>
                <w:b/>
                <w:sz w:val="20"/>
                <w:szCs w:val="20"/>
              </w:rPr>
              <w:t>TSA Leverages Use of CBP’s ATS or AQQ</w:t>
            </w:r>
          </w:p>
        </w:tc>
        <w:tc>
          <w:tcPr>
            <w:tcW w:w="1619" w:type="dxa"/>
            <w:tcBorders>
              <w:bottom w:val="single" w:color="auto" w:sz="4" w:space="0"/>
              <w:right w:val="single" w:color="auto" w:sz="12" w:space="0"/>
            </w:tcBorders>
            <w:vAlign w:val="center"/>
          </w:tcPr>
          <w:p w:rsidR="003B0815" w:rsidRDefault="003B0815" w14:paraId="3832CA38" w14:textId="77777777">
            <w:pPr>
              <w:keepNext/>
              <w:jc w:val="center"/>
              <w:rPr>
                <w:rFonts w:ascii="Arial" w:hAnsi="Arial"/>
                <w:b/>
                <w:sz w:val="20"/>
                <w:szCs w:val="20"/>
              </w:rPr>
            </w:pPr>
            <w:r>
              <w:rPr>
                <w:rFonts w:ascii="Arial" w:hAnsi="Arial"/>
                <w:b/>
                <w:sz w:val="20"/>
                <w:szCs w:val="20"/>
              </w:rPr>
              <w:t>TSA Compares Passenger Info to Watch Lists, Own System</w:t>
            </w:r>
          </w:p>
        </w:tc>
      </w:tr>
      <w:tr w:rsidR="003B0815" w14:paraId="2A23439F" w14:textId="77777777">
        <w:trPr>
          <w:jc w:val="center"/>
        </w:trPr>
        <w:tc>
          <w:tcPr>
            <w:tcW w:w="7779" w:type="dxa"/>
            <w:gridSpan w:val="5"/>
            <w:tcBorders>
              <w:left w:val="single" w:color="auto" w:sz="12" w:space="0"/>
              <w:right w:val="single" w:color="auto" w:sz="12" w:space="0"/>
            </w:tcBorders>
            <w:shd w:val="clear" w:color="auto" w:fill="CCCCCC"/>
          </w:tcPr>
          <w:p w:rsidR="003B0815" w:rsidRDefault="003B0815" w14:paraId="6DB7401B" w14:textId="77777777">
            <w:pPr>
              <w:keepNext/>
              <w:jc w:val="center"/>
              <w:rPr>
                <w:rFonts w:ascii="Arial" w:hAnsi="Arial"/>
                <w:b/>
                <w:sz w:val="20"/>
                <w:szCs w:val="20"/>
              </w:rPr>
            </w:pPr>
            <w:r>
              <w:rPr>
                <w:rFonts w:ascii="Arial" w:hAnsi="Arial"/>
                <w:b/>
                <w:sz w:val="20"/>
                <w:szCs w:val="20"/>
              </w:rPr>
              <w:t>Benefits</w:t>
            </w:r>
          </w:p>
        </w:tc>
      </w:tr>
      <w:tr w:rsidR="003B0815" w14:paraId="49A2244A" w14:textId="77777777">
        <w:trPr>
          <w:jc w:val="center"/>
        </w:trPr>
        <w:tc>
          <w:tcPr>
            <w:tcW w:w="2347" w:type="dxa"/>
            <w:tcBorders>
              <w:left w:val="single" w:color="auto" w:sz="12" w:space="0"/>
            </w:tcBorders>
            <w:vAlign w:val="center"/>
          </w:tcPr>
          <w:p w:rsidR="003B0815" w:rsidRDefault="003B0815" w14:paraId="25E5EF53" w14:textId="77777777">
            <w:pPr>
              <w:keepNext/>
              <w:jc w:val="center"/>
              <w:rPr>
                <w:rFonts w:ascii="Arial" w:hAnsi="Arial"/>
                <w:b/>
                <w:sz w:val="20"/>
                <w:szCs w:val="20"/>
              </w:rPr>
            </w:pPr>
            <w:r>
              <w:rPr>
                <w:rFonts w:ascii="Arial" w:hAnsi="Arial"/>
                <w:b/>
                <w:sz w:val="20"/>
                <w:szCs w:val="20"/>
              </w:rPr>
              <w:t>Government Assumes Responsibility</w:t>
            </w:r>
          </w:p>
        </w:tc>
        <w:tc>
          <w:tcPr>
            <w:tcW w:w="1200" w:type="dxa"/>
            <w:vAlign w:val="center"/>
          </w:tcPr>
          <w:p w:rsidR="003B0815" w:rsidRDefault="003B0815" w14:paraId="011AFE5A" w14:textId="77777777">
            <w:pPr>
              <w:keepNext/>
              <w:jc w:val="center"/>
              <w:rPr>
                <w:rFonts w:ascii="Arial" w:hAnsi="Arial"/>
                <w:sz w:val="20"/>
                <w:szCs w:val="20"/>
              </w:rPr>
            </w:pPr>
            <w:r>
              <w:rPr>
                <w:rFonts w:ascii="Arial" w:hAnsi="Arial"/>
                <w:sz w:val="20"/>
                <w:szCs w:val="20"/>
              </w:rPr>
              <w:t>No</w:t>
            </w:r>
          </w:p>
        </w:tc>
        <w:tc>
          <w:tcPr>
            <w:tcW w:w="1397" w:type="dxa"/>
            <w:vAlign w:val="center"/>
          </w:tcPr>
          <w:p w:rsidR="003B0815" w:rsidRDefault="003B0815" w14:paraId="039C62D8" w14:textId="77777777">
            <w:pPr>
              <w:keepNext/>
              <w:jc w:val="center"/>
              <w:rPr>
                <w:rFonts w:ascii="Arial" w:hAnsi="Arial"/>
                <w:sz w:val="20"/>
                <w:szCs w:val="20"/>
              </w:rPr>
            </w:pPr>
            <w:r>
              <w:rPr>
                <w:rFonts w:ascii="Arial" w:hAnsi="Arial"/>
                <w:sz w:val="20"/>
                <w:szCs w:val="20"/>
              </w:rPr>
              <w:t>No</w:t>
            </w:r>
          </w:p>
        </w:tc>
        <w:tc>
          <w:tcPr>
            <w:tcW w:w="1216" w:type="dxa"/>
            <w:vAlign w:val="center"/>
          </w:tcPr>
          <w:p w:rsidR="003B0815" w:rsidRDefault="003B0815" w14:paraId="2188A907" w14:textId="77777777">
            <w:pPr>
              <w:keepNext/>
              <w:jc w:val="center"/>
              <w:rPr>
                <w:rFonts w:ascii="Arial" w:hAnsi="Arial"/>
                <w:sz w:val="20"/>
                <w:szCs w:val="20"/>
              </w:rPr>
            </w:pPr>
            <w:r>
              <w:rPr>
                <w:rFonts w:ascii="Arial" w:hAnsi="Arial"/>
                <w:sz w:val="20"/>
                <w:szCs w:val="20"/>
              </w:rPr>
              <w:t>Yes</w:t>
            </w:r>
          </w:p>
        </w:tc>
        <w:tc>
          <w:tcPr>
            <w:tcW w:w="1619" w:type="dxa"/>
            <w:tcBorders>
              <w:right w:val="single" w:color="auto" w:sz="12" w:space="0"/>
            </w:tcBorders>
            <w:vAlign w:val="center"/>
          </w:tcPr>
          <w:p w:rsidR="003B0815" w:rsidRDefault="003B0815" w14:paraId="12C92521" w14:textId="77777777">
            <w:pPr>
              <w:keepNext/>
              <w:jc w:val="center"/>
              <w:rPr>
                <w:rFonts w:ascii="Arial" w:hAnsi="Arial"/>
                <w:sz w:val="20"/>
                <w:szCs w:val="20"/>
              </w:rPr>
            </w:pPr>
            <w:r>
              <w:rPr>
                <w:rFonts w:ascii="Arial" w:hAnsi="Arial"/>
                <w:sz w:val="20"/>
                <w:szCs w:val="20"/>
              </w:rPr>
              <w:t>Yes</w:t>
            </w:r>
          </w:p>
        </w:tc>
      </w:tr>
      <w:tr w:rsidR="003B0815" w14:paraId="4D187274" w14:textId="77777777">
        <w:trPr>
          <w:jc w:val="center"/>
        </w:trPr>
        <w:tc>
          <w:tcPr>
            <w:tcW w:w="2347" w:type="dxa"/>
            <w:tcBorders>
              <w:left w:val="single" w:color="auto" w:sz="12" w:space="0"/>
            </w:tcBorders>
            <w:vAlign w:val="center"/>
          </w:tcPr>
          <w:p w:rsidR="003B0815" w:rsidRDefault="003B0815" w14:paraId="6C56FD0A" w14:textId="77777777">
            <w:pPr>
              <w:keepNext/>
              <w:jc w:val="center"/>
              <w:rPr>
                <w:rFonts w:ascii="Arial" w:hAnsi="Arial"/>
                <w:b/>
                <w:sz w:val="20"/>
                <w:szCs w:val="20"/>
              </w:rPr>
            </w:pPr>
            <w:r>
              <w:rPr>
                <w:rFonts w:ascii="Arial" w:hAnsi="Arial"/>
                <w:b/>
                <w:sz w:val="20"/>
                <w:szCs w:val="20"/>
              </w:rPr>
              <w:t>Reduces False Positives</w:t>
            </w:r>
          </w:p>
        </w:tc>
        <w:tc>
          <w:tcPr>
            <w:tcW w:w="1200" w:type="dxa"/>
            <w:vAlign w:val="center"/>
          </w:tcPr>
          <w:p w:rsidR="003B0815" w:rsidRDefault="003B0815" w14:paraId="60365C2C" w14:textId="77777777">
            <w:pPr>
              <w:keepNext/>
              <w:jc w:val="center"/>
              <w:rPr>
                <w:rFonts w:ascii="Arial" w:hAnsi="Arial"/>
                <w:sz w:val="20"/>
                <w:szCs w:val="20"/>
              </w:rPr>
            </w:pPr>
            <w:r>
              <w:rPr>
                <w:rFonts w:ascii="Arial" w:hAnsi="Arial"/>
                <w:sz w:val="20"/>
                <w:szCs w:val="20"/>
              </w:rPr>
              <w:t>No</w:t>
            </w:r>
          </w:p>
        </w:tc>
        <w:tc>
          <w:tcPr>
            <w:tcW w:w="1397" w:type="dxa"/>
            <w:vAlign w:val="center"/>
          </w:tcPr>
          <w:p w:rsidR="003B0815" w:rsidRDefault="003B0815" w14:paraId="207AE16C" w14:textId="77777777">
            <w:pPr>
              <w:keepNext/>
              <w:jc w:val="center"/>
              <w:rPr>
                <w:rFonts w:ascii="Arial" w:hAnsi="Arial"/>
                <w:sz w:val="20"/>
                <w:szCs w:val="20"/>
              </w:rPr>
            </w:pPr>
            <w:r>
              <w:rPr>
                <w:rFonts w:ascii="Arial" w:hAnsi="Arial"/>
                <w:sz w:val="20"/>
                <w:szCs w:val="20"/>
              </w:rPr>
              <w:t>Yes</w:t>
            </w:r>
          </w:p>
        </w:tc>
        <w:tc>
          <w:tcPr>
            <w:tcW w:w="1216" w:type="dxa"/>
            <w:vAlign w:val="center"/>
          </w:tcPr>
          <w:p w:rsidR="003B0815" w:rsidRDefault="003B0815" w14:paraId="2526B31E" w14:textId="77777777">
            <w:pPr>
              <w:keepNext/>
              <w:jc w:val="center"/>
              <w:rPr>
                <w:rFonts w:ascii="Arial" w:hAnsi="Arial"/>
                <w:sz w:val="20"/>
                <w:szCs w:val="20"/>
              </w:rPr>
            </w:pPr>
            <w:r>
              <w:rPr>
                <w:rFonts w:ascii="Arial" w:hAnsi="Arial"/>
                <w:sz w:val="20"/>
                <w:szCs w:val="20"/>
              </w:rPr>
              <w:t>Yes</w:t>
            </w:r>
          </w:p>
        </w:tc>
        <w:tc>
          <w:tcPr>
            <w:tcW w:w="1619" w:type="dxa"/>
            <w:tcBorders>
              <w:right w:val="single" w:color="auto" w:sz="12" w:space="0"/>
            </w:tcBorders>
            <w:vAlign w:val="center"/>
          </w:tcPr>
          <w:p w:rsidR="003B0815" w:rsidRDefault="003B0815" w14:paraId="58B2594B" w14:textId="77777777">
            <w:pPr>
              <w:keepNext/>
              <w:jc w:val="center"/>
              <w:rPr>
                <w:rFonts w:ascii="Arial" w:hAnsi="Arial"/>
                <w:sz w:val="20"/>
                <w:szCs w:val="20"/>
              </w:rPr>
            </w:pPr>
            <w:r>
              <w:rPr>
                <w:rFonts w:ascii="Arial" w:hAnsi="Arial"/>
                <w:sz w:val="20"/>
                <w:szCs w:val="20"/>
              </w:rPr>
              <w:t>Yes</w:t>
            </w:r>
          </w:p>
        </w:tc>
      </w:tr>
      <w:tr w:rsidR="003B0815" w14:paraId="18594387" w14:textId="77777777">
        <w:trPr>
          <w:jc w:val="center"/>
        </w:trPr>
        <w:tc>
          <w:tcPr>
            <w:tcW w:w="2347" w:type="dxa"/>
            <w:tcBorders>
              <w:left w:val="single" w:color="auto" w:sz="12" w:space="0"/>
            </w:tcBorders>
            <w:vAlign w:val="center"/>
          </w:tcPr>
          <w:p w:rsidR="003B0815" w:rsidRDefault="003B0815" w14:paraId="3DEBAEAC" w14:textId="77777777">
            <w:pPr>
              <w:keepNext/>
              <w:jc w:val="center"/>
              <w:rPr>
                <w:rFonts w:ascii="Arial" w:hAnsi="Arial"/>
                <w:b/>
                <w:sz w:val="20"/>
                <w:szCs w:val="20"/>
              </w:rPr>
            </w:pPr>
            <w:r>
              <w:rPr>
                <w:rFonts w:ascii="Arial" w:hAnsi="Arial"/>
                <w:b/>
                <w:sz w:val="20"/>
                <w:szCs w:val="20"/>
              </w:rPr>
              <w:t>Standardizes Matching Method</w:t>
            </w:r>
          </w:p>
        </w:tc>
        <w:tc>
          <w:tcPr>
            <w:tcW w:w="1200" w:type="dxa"/>
            <w:vAlign w:val="center"/>
          </w:tcPr>
          <w:p w:rsidR="003B0815" w:rsidRDefault="003B0815" w14:paraId="1598D0DB" w14:textId="77777777">
            <w:pPr>
              <w:keepNext/>
              <w:jc w:val="center"/>
              <w:rPr>
                <w:rFonts w:ascii="Arial" w:hAnsi="Arial"/>
                <w:sz w:val="20"/>
                <w:szCs w:val="20"/>
              </w:rPr>
            </w:pPr>
            <w:r>
              <w:rPr>
                <w:rFonts w:ascii="Arial" w:hAnsi="Arial"/>
                <w:sz w:val="20"/>
                <w:szCs w:val="20"/>
              </w:rPr>
              <w:t>No</w:t>
            </w:r>
          </w:p>
        </w:tc>
        <w:tc>
          <w:tcPr>
            <w:tcW w:w="1397" w:type="dxa"/>
            <w:vAlign w:val="center"/>
          </w:tcPr>
          <w:p w:rsidR="003B0815" w:rsidRDefault="003B0815" w14:paraId="22912944" w14:textId="77777777">
            <w:pPr>
              <w:keepNext/>
              <w:jc w:val="center"/>
              <w:rPr>
                <w:rFonts w:ascii="Arial" w:hAnsi="Arial"/>
                <w:sz w:val="20"/>
                <w:szCs w:val="20"/>
              </w:rPr>
            </w:pPr>
            <w:r>
              <w:rPr>
                <w:rFonts w:ascii="Arial" w:hAnsi="Arial"/>
                <w:sz w:val="20"/>
                <w:szCs w:val="20"/>
              </w:rPr>
              <w:t>Yes</w:t>
            </w:r>
          </w:p>
        </w:tc>
        <w:tc>
          <w:tcPr>
            <w:tcW w:w="1216" w:type="dxa"/>
            <w:vAlign w:val="center"/>
          </w:tcPr>
          <w:p w:rsidR="003B0815" w:rsidRDefault="003B0815" w14:paraId="35E8E906" w14:textId="77777777">
            <w:pPr>
              <w:keepNext/>
              <w:jc w:val="center"/>
              <w:rPr>
                <w:rFonts w:ascii="Arial" w:hAnsi="Arial"/>
                <w:sz w:val="20"/>
                <w:szCs w:val="20"/>
              </w:rPr>
            </w:pPr>
            <w:r>
              <w:rPr>
                <w:rFonts w:ascii="Arial" w:hAnsi="Arial"/>
                <w:sz w:val="20"/>
                <w:szCs w:val="20"/>
              </w:rPr>
              <w:t>Yes</w:t>
            </w:r>
          </w:p>
        </w:tc>
        <w:tc>
          <w:tcPr>
            <w:tcW w:w="1619" w:type="dxa"/>
            <w:tcBorders>
              <w:right w:val="single" w:color="auto" w:sz="12" w:space="0"/>
            </w:tcBorders>
            <w:vAlign w:val="center"/>
          </w:tcPr>
          <w:p w:rsidR="003B0815" w:rsidRDefault="003B0815" w14:paraId="4340646B" w14:textId="77777777">
            <w:pPr>
              <w:keepNext/>
              <w:jc w:val="center"/>
              <w:rPr>
                <w:rFonts w:ascii="Arial" w:hAnsi="Arial"/>
                <w:sz w:val="20"/>
                <w:szCs w:val="20"/>
              </w:rPr>
            </w:pPr>
            <w:r>
              <w:rPr>
                <w:rFonts w:ascii="Arial" w:hAnsi="Arial"/>
                <w:sz w:val="20"/>
                <w:szCs w:val="20"/>
              </w:rPr>
              <w:t>Yes</w:t>
            </w:r>
          </w:p>
        </w:tc>
      </w:tr>
      <w:tr w:rsidR="003B0815" w14:paraId="34679A6F" w14:textId="77777777">
        <w:trPr>
          <w:jc w:val="center"/>
        </w:trPr>
        <w:tc>
          <w:tcPr>
            <w:tcW w:w="2347" w:type="dxa"/>
            <w:tcBorders>
              <w:left w:val="single" w:color="auto" w:sz="12" w:space="0"/>
            </w:tcBorders>
            <w:vAlign w:val="center"/>
          </w:tcPr>
          <w:p w:rsidR="003B0815" w:rsidRDefault="003B0815" w14:paraId="33803FAD" w14:textId="77777777">
            <w:pPr>
              <w:keepNext/>
              <w:jc w:val="center"/>
              <w:rPr>
                <w:rFonts w:ascii="Arial" w:hAnsi="Arial"/>
                <w:b/>
                <w:sz w:val="20"/>
                <w:szCs w:val="20"/>
              </w:rPr>
            </w:pPr>
            <w:r>
              <w:rPr>
                <w:rFonts w:ascii="Arial" w:hAnsi="Arial"/>
                <w:b/>
                <w:sz w:val="20"/>
                <w:szCs w:val="20"/>
              </w:rPr>
              <w:t>Centralizes Watch Lists</w:t>
            </w:r>
          </w:p>
        </w:tc>
        <w:tc>
          <w:tcPr>
            <w:tcW w:w="1200" w:type="dxa"/>
            <w:vAlign w:val="center"/>
          </w:tcPr>
          <w:p w:rsidR="003B0815" w:rsidRDefault="003B0815" w14:paraId="5A179B13" w14:textId="77777777">
            <w:pPr>
              <w:keepNext/>
              <w:jc w:val="center"/>
              <w:rPr>
                <w:rFonts w:ascii="Arial" w:hAnsi="Arial"/>
                <w:sz w:val="20"/>
                <w:szCs w:val="20"/>
              </w:rPr>
            </w:pPr>
            <w:r>
              <w:rPr>
                <w:rFonts w:ascii="Arial" w:hAnsi="Arial"/>
                <w:sz w:val="20"/>
                <w:szCs w:val="20"/>
              </w:rPr>
              <w:t>No</w:t>
            </w:r>
          </w:p>
        </w:tc>
        <w:tc>
          <w:tcPr>
            <w:tcW w:w="1397" w:type="dxa"/>
            <w:vAlign w:val="center"/>
          </w:tcPr>
          <w:p w:rsidR="003B0815" w:rsidRDefault="003B0815" w14:paraId="56A50FD4" w14:textId="77777777">
            <w:pPr>
              <w:keepNext/>
              <w:jc w:val="center"/>
              <w:rPr>
                <w:rFonts w:ascii="Arial" w:hAnsi="Arial"/>
                <w:sz w:val="20"/>
                <w:szCs w:val="20"/>
              </w:rPr>
            </w:pPr>
            <w:r>
              <w:rPr>
                <w:rFonts w:ascii="Arial" w:hAnsi="Arial"/>
                <w:sz w:val="20"/>
                <w:szCs w:val="20"/>
              </w:rPr>
              <w:t>No</w:t>
            </w:r>
          </w:p>
        </w:tc>
        <w:tc>
          <w:tcPr>
            <w:tcW w:w="1216" w:type="dxa"/>
            <w:vAlign w:val="center"/>
          </w:tcPr>
          <w:p w:rsidR="003B0815" w:rsidRDefault="003B0815" w14:paraId="155D0F63" w14:textId="77777777">
            <w:pPr>
              <w:keepNext/>
              <w:jc w:val="center"/>
              <w:rPr>
                <w:rFonts w:ascii="Arial" w:hAnsi="Arial"/>
                <w:sz w:val="20"/>
                <w:szCs w:val="20"/>
              </w:rPr>
            </w:pPr>
            <w:r>
              <w:rPr>
                <w:rFonts w:ascii="Arial" w:hAnsi="Arial"/>
                <w:sz w:val="20"/>
                <w:szCs w:val="20"/>
              </w:rPr>
              <w:t>Yes</w:t>
            </w:r>
          </w:p>
        </w:tc>
        <w:tc>
          <w:tcPr>
            <w:tcW w:w="1619" w:type="dxa"/>
            <w:tcBorders>
              <w:right w:val="single" w:color="auto" w:sz="12" w:space="0"/>
            </w:tcBorders>
            <w:vAlign w:val="center"/>
          </w:tcPr>
          <w:p w:rsidR="003B0815" w:rsidRDefault="003B0815" w14:paraId="2E23F480" w14:textId="77777777">
            <w:pPr>
              <w:keepNext/>
              <w:jc w:val="center"/>
              <w:rPr>
                <w:rFonts w:ascii="Arial" w:hAnsi="Arial"/>
                <w:sz w:val="20"/>
                <w:szCs w:val="20"/>
              </w:rPr>
            </w:pPr>
            <w:r>
              <w:rPr>
                <w:rFonts w:ascii="Arial" w:hAnsi="Arial"/>
                <w:sz w:val="20"/>
                <w:szCs w:val="20"/>
              </w:rPr>
              <w:t>Yes</w:t>
            </w:r>
          </w:p>
        </w:tc>
      </w:tr>
      <w:tr w:rsidR="003B0815" w14:paraId="7ACD27D3" w14:textId="77777777">
        <w:trPr>
          <w:jc w:val="center"/>
        </w:trPr>
        <w:tc>
          <w:tcPr>
            <w:tcW w:w="2347" w:type="dxa"/>
            <w:tcBorders>
              <w:left w:val="single" w:color="auto" w:sz="12" w:space="0"/>
              <w:bottom w:val="single" w:color="auto" w:sz="4" w:space="0"/>
            </w:tcBorders>
            <w:vAlign w:val="center"/>
          </w:tcPr>
          <w:p w:rsidR="003B0815" w:rsidRDefault="003B0815" w14:paraId="059C5631" w14:textId="77777777">
            <w:pPr>
              <w:keepNext/>
              <w:jc w:val="center"/>
              <w:rPr>
                <w:rFonts w:ascii="Arial" w:hAnsi="Arial"/>
                <w:b/>
                <w:sz w:val="20"/>
                <w:szCs w:val="20"/>
              </w:rPr>
            </w:pPr>
            <w:r>
              <w:rPr>
                <w:rFonts w:ascii="Arial" w:hAnsi="Arial"/>
                <w:b/>
                <w:sz w:val="20"/>
                <w:szCs w:val="20"/>
              </w:rPr>
              <w:t>Impact on Security</w:t>
            </w:r>
          </w:p>
        </w:tc>
        <w:tc>
          <w:tcPr>
            <w:tcW w:w="1200" w:type="dxa"/>
            <w:tcBorders>
              <w:bottom w:val="single" w:color="auto" w:sz="4" w:space="0"/>
            </w:tcBorders>
            <w:vAlign w:val="center"/>
          </w:tcPr>
          <w:p w:rsidR="003B0815" w:rsidRDefault="003B0815" w14:paraId="59A33C50" w14:textId="77777777">
            <w:pPr>
              <w:keepNext/>
              <w:jc w:val="center"/>
              <w:rPr>
                <w:rFonts w:ascii="Arial" w:hAnsi="Arial"/>
                <w:sz w:val="20"/>
                <w:szCs w:val="20"/>
              </w:rPr>
            </w:pPr>
            <w:r>
              <w:rPr>
                <w:rFonts w:ascii="Arial" w:hAnsi="Arial"/>
                <w:sz w:val="20"/>
                <w:szCs w:val="20"/>
              </w:rPr>
              <w:t>None</w:t>
            </w:r>
          </w:p>
        </w:tc>
        <w:tc>
          <w:tcPr>
            <w:tcW w:w="1397" w:type="dxa"/>
            <w:tcBorders>
              <w:bottom w:val="single" w:color="auto" w:sz="4" w:space="0"/>
            </w:tcBorders>
            <w:vAlign w:val="center"/>
          </w:tcPr>
          <w:p w:rsidR="003B0815" w:rsidRDefault="003B0815" w14:paraId="664DB0D6" w14:textId="77777777">
            <w:pPr>
              <w:keepNext/>
              <w:jc w:val="center"/>
              <w:rPr>
                <w:rFonts w:ascii="Arial" w:hAnsi="Arial"/>
                <w:sz w:val="20"/>
                <w:szCs w:val="20"/>
              </w:rPr>
            </w:pPr>
            <w:r>
              <w:rPr>
                <w:rFonts w:ascii="Arial" w:hAnsi="Arial"/>
                <w:sz w:val="20"/>
                <w:szCs w:val="20"/>
              </w:rPr>
              <w:t>Medium</w:t>
            </w:r>
          </w:p>
        </w:tc>
        <w:tc>
          <w:tcPr>
            <w:tcW w:w="1216" w:type="dxa"/>
            <w:tcBorders>
              <w:bottom w:val="single" w:color="auto" w:sz="4" w:space="0"/>
            </w:tcBorders>
            <w:vAlign w:val="center"/>
          </w:tcPr>
          <w:p w:rsidR="003B0815" w:rsidRDefault="003B0815" w14:paraId="4D85F189" w14:textId="77777777">
            <w:pPr>
              <w:keepNext/>
              <w:jc w:val="center"/>
              <w:rPr>
                <w:rFonts w:ascii="Arial" w:hAnsi="Arial"/>
                <w:sz w:val="20"/>
                <w:szCs w:val="20"/>
              </w:rPr>
            </w:pPr>
            <w:r>
              <w:rPr>
                <w:rFonts w:ascii="Arial" w:hAnsi="Arial"/>
                <w:sz w:val="20"/>
                <w:szCs w:val="20"/>
              </w:rPr>
              <w:t>High</w:t>
            </w:r>
          </w:p>
        </w:tc>
        <w:tc>
          <w:tcPr>
            <w:tcW w:w="1619" w:type="dxa"/>
            <w:tcBorders>
              <w:bottom w:val="single" w:color="auto" w:sz="4" w:space="0"/>
              <w:right w:val="single" w:color="auto" w:sz="12" w:space="0"/>
            </w:tcBorders>
            <w:vAlign w:val="center"/>
          </w:tcPr>
          <w:p w:rsidR="003B0815" w:rsidRDefault="003B0815" w14:paraId="268FEEE9" w14:textId="77777777">
            <w:pPr>
              <w:keepNext/>
              <w:jc w:val="center"/>
              <w:rPr>
                <w:rFonts w:ascii="Arial" w:hAnsi="Arial"/>
                <w:sz w:val="20"/>
                <w:szCs w:val="20"/>
              </w:rPr>
            </w:pPr>
            <w:r>
              <w:rPr>
                <w:rFonts w:ascii="Arial" w:hAnsi="Arial"/>
                <w:sz w:val="20"/>
                <w:szCs w:val="20"/>
              </w:rPr>
              <w:t>High</w:t>
            </w:r>
          </w:p>
        </w:tc>
      </w:tr>
      <w:tr w:rsidR="003B0815" w14:paraId="112C0589" w14:textId="77777777">
        <w:trPr>
          <w:jc w:val="center"/>
        </w:trPr>
        <w:tc>
          <w:tcPr>
            <w:tcW w:w="7779" w:type="dxa"/>
            <w:gridSpan w:val="5"/>
            <w:tcBorders>
              <w:left w:val="single" w:color="auto" w:sz="12" w:space="0"/>
              <w:right w:val="single" w:color="auto" w:sz="12" w:space="0"/>
            </w:tcBorders>
            <w:shd w:val="clear" w:color="auto" w:fill="CCCCCC"/>
          </w:tcPr>
          <w:p w:rsidR="003B0815" w:rsidRDefault="003B0815" w14:paraId="2B7DB8EC" w14:textId="77777777">
            <w:pPr>
              <w:keepNext/>
              <w:jc w:val="center"/>
              <w:rPr>
                <w:rFonts w:ascii="Arial" w:hAnsi="Arial"/>
                <w:b/>
                <w:sz w:val="20"/>
                <w:szCs w:val="20"/>
              </w:rPr>
            </w:pPr>
            <w:r>
              <w:rPr>
                <w:rFonts w:ascii="Arial" w:hAnsi="Arial"/>
                <w:b/>
                <w:sz w:val="20"/>
                <w:szCs w:val="20"/>
              </w:rPr>
              <w:t>Costs</w:t>
            </w:r>
          </w:p>
        </w:tc>
      </w:tr>
      <w:tr w:rsidR="003B0815" w14:paraId="744A68E7" w14:textId="77777777">
        <w:trPr>
          <w:jc w:val="center"/>
        </w:trPr>
        <w:tc>
          <w:tcPr>
            <w:tcW w:w="2347" w:type="dxa"/>
            <w:tcBorders>
              <w:left w:val="single" w:color="auto" w:sz="12" w:space="0"/>
              <w:bottom w:val="single" w:color="auto" w:sz="12" w:space="0"/>
            </w:tcBorders>
            <w:vAlign w:val="center"/>
          </w:tcPr>
          <w:p w:rsidR="003B0815" w:rsidRDefault="003B0815" w14:paraId="60DD1D67" w14:textId="77777777">
            <w:pPr>
              <w:keepNext/>
              <w:jc w:val="center"/>
              <w:rPr>
                <w:rFonts w:ascii="Arial" w:hAnsi="Arial"/>
                <w:b/>
                <w:sz w:val="20"/>
                <w:szCs w:val="20"/>
              </w:rPr>
            </w:pPr>
            <w:r>
              <w:rPr>
                <w:rFonts w:ascii="Arial" w:hAnsi="Arial"/>
                <w:b/>
                <w:sz w:val="20"/>
                <w:szCs w:val="20"/>
              </w:rPr>
              <w:t>Additional Costs</w:t>
            </w:r>
          </w:p>
        </w:tc>
        <w:tc>
          <w:tcPr>
            <w:tcW w:w="1200" w:type="dxa"/>
            <w:tcBorders>
              <w:bottom w:val="single" w:color="auto" w:sz="12" w:space="0"/>
            </w:tcBorders>
            <w:vAlign w:val="center"/>
          </w:tcPr>
          <w:p w:rsidR="003B0815" w:rsidRDefault="003B0815" w14:paraId="1DBDE0F2" w14:textId="77777777">
            <w:pPr>
              <w:keepNext/>
              <w:jc w:val="center"/>
              <w:rPr>
                <w:rFonts w:ascii="Arial" w:hAnsi="Arial"/>
                <w:sz w:val="20"/>
                <w:szCs w:val="20"/>
              </w:rPr>
            </w:pPr>
            <w:r>
              <w:rPr>
                <w:rFonts w:ascii="Arial" w:hAnsi="Arial"/>
                <w:sz w:val="20"/>
                <w:szCs w:val="20"/>
              </w:rPr>
              <w:t>None</w:t>
            </w:r>
          </w:p>
        </w:tc>
        <w:tc>
          <w:tcPr>
            <w:tcW w:w="1397" w:type="dxa"/>
            <w:tcBorders>
              <w:bottom w:val="single" w:color="auto" w:sz="12" w:space="0"/>
            </w:tcBorders>
            <w:vAlign w:val="center"/>
          </w:tcPr>
          <w:p w:rsidR="003B0815" w:rsidRDefault="003B0815" w14:paraId="186B664E" w14:textId="77777777">
            <w:pPr>
              <w:keepNext/>
              <w:jc w:val="center"/>
              <w:rPr>
                <w:rFonts w:ascii="Arial" w:hAnsi="Arial"/>
                <w:sz w:val="20"/>
                <w:szCs w:val="20"/>
              </w:rPr>
            </w:pPr>
            <w:r>
              <w:rPr>
                <w:rFonts w:ascii="Arial" w:hAnsi="Arial"/>
                <w:sz w:val="20"/>
                <w:szCs w:val="20"/>
              </w:rPr>
              <w:t>Low</w:t>
            </w:r>
          </w:p>
        </w:tc>
        <w:tc>
          <w:tcPr>
            <w:tcW w:w="1216" w:type="dxa"/>
            <w:tcBorders>
              <w:bottom w:val="single" w:color="auto" w:sz="12" w:space="0"/>
            </w:tcBorders>
            <w:vAlign w:val="center"/>
          </w:tcPr>
          <w:p w:rsidR="003B0815" w:rsidRDefault="003B0815" w14:paraId="6B406F43" w14:textId="77777777">
            <w:pPr>
              <w:keepNext/>
              <w:jc w:val="center"/>
              <w:rPr>
                <w:rFonts w:ascii="Arial" w:hAnsi="Arial"/>
                <w:sz w:val="20"/>
                <w:szCs w:val="20"/>
              </w:rPr>
            </w:pPr>
            <w:r>
              <w:rPr>
                <w:rFonts w:ascii="Arial" w:hAnsi="Arial"/>
                <w:sz w:val="20"/>
                <w:szCs w:val="20"/>
              </w:rPr>
              <w:t>High</w:t>
            </w:r>
          </w:p>
        </w:tc>
        <w:tc>
          <w:tcPr>
            <w:tcW w:w="1619" w:type="dxa"/>
            <w:tcBorders>
              <w:bottom w:val="single" w:color="auto" w:sz="12" w:space="0"/>
              <w:right w:val="single" w:color="auto" w:sz="12" w:space="0"/>
            </w:tcBorders>
            <w:vAlign w:val="center"/>
          </w:tcPr>
          <w:p w:rsidR="003B0815" w:rsidRDefault="003B0815" w14:paraId="21F94EA2" w14:textId="77777777">
            <w:pPr>
              <w:keepNext/>
              <w:jc w:val="center"/>
              <w:rPr>
                <w:rFonts w:ascii="Arial" w:hAnsi="Arial"/>
                <w:sz w:val="20"/>
                <w:szCs w:val="20"/>
              </w:rPr>
            </w:pPr>
            <w:r>
              <w:rPr>
                <w:rFonts w:ascii="Arial" w:hAnsi="Arial"/>
                <w:sz w:val="20"/>
                <w:szCs w:val="20"/>
              </w:rPr>
              <w:t>Medium</w:t>
            </w:r>
          </w:p>
        </w:tc>
      </w:tr>
    </w:tbl>
    <w:p w:rsidR="003B0815" w:rsidRDefault="003B0815" w14:paraId="65A74DC4" w14:textId="77777777">
      <w:pPr>
        <w:spacing w:line="360" w:lineRule="auto"/>
        <w:ind w:firstLine="720"/>
      </w:pPr>
    </w:p>
    <w:p w:rsidR="003B0815" w:rsidRDefault="003B0815" w14:paraId="5E5F4F1D" w14:textId="77777777">
      <w:pPr>
        <w:spacing w:line="360" w:lineRule="auto"/>
        <w:ind w:firstLine="720"/>
      </w:pPr>
      <w:r>
        <w:t>Alternative 4 meets all applicable Congressional mandates in the most cost-effective manner.</w:t>
      </w:r>
    </w:p>
    <w:p w:rsidR="003B0815" w:rsidRDefault="003B0815" w14:paraId="096AEF7E" w14:textId="77777777">
      <w:pPr>
        <w:pStyle w:val="RegEvalSectionSubheader"/>
        <w:keepNext/>
        <w:spacing w:line="360" w:lineRule="auto"/>
      </w:pPr>
      <w:bookmarkStart w:name="_Toc141000925" w:id="447"/>
      <w:bookmarkStart w:name="_Toc165278451" w:id="448"/>
      <w:bookmarkStart w:name="_Toc202683407" w:id="449"/>
      <w:r>
        <w:t>Section 1.8.2 Quantitative Alternatives</w:t>
      </w:r>
      <w:bookmarkEnd w:id="447"/>
      <w:bookmarkEnd w:id="448"/>
      <w:bookmarkEnd w:id="449"/>
    </w:p>
    <w:p w:rsidR="003B0815" w:rsidRDefault="003B0815" w14:paraId="66727416" w14:textId="77777777">
      <w:pPr>
        <w:spacing w:line="360" w:lineRule="auto"/>
        <w:ind w:firstLine="720"/>
      </w:pPr>
      <w:r>
        <w:t xml:space="preserve">The following alternatives are modifications of Alternative #4 and have similar operational requirements, benefits, and impacts on security.  These options were considered by TSA as it evaluated the various means of implementing the chosen alternative for domestic operations.  For example, although Alternative #4 specifies that airlines and travel agents should request additional passenger information, TSA had to determine how much information it should require.  Similarly, while TSA determined airlines should make available a privacy notice to passengers prior to collecting their information, TSA evaluated several means of balancing this interest in transparency with the burden it imposes on both domestic airlines and travel agencies.  </w:t>
      </w:r>
    </w:p>
    <w:p w:rsidR="003B0815" w:rsidRDefault="003B0815" w14:paraId="4FDC5C7D" w14:textId="77777777">
      <w:pPr>
        <w:keepNext/>
        <w:rPr>
          <w:b/>
        </w:rPr>
      </w:pPr>
      <w:r>
        <w:rPr>
          <w:b/>
        </w:rPr>
        <w:t>Alternative #4 (quantified): Require reservation agents to request limited passenger data and post the TSA privacy notice on websites.</w:t>
      </w:r>
      <w:r>
        <w:rPr>
          <w:b/>
        </w:rPr>
        <w:br/>
      </w:r>
    </w:p>
    <w:p w:rsidR="003B0815" w:rsidRDefault="003B0815" w14:paraId="53D501D9" w14:textId="77777777">
      <w:pPr>
        <w:spacing w:line="360" w:lineRule="auto"/>
        <w:ind w:firstLine="720"/>
      </w:pPr>
      <w:r>
        <w:t xml:space="preserve">In this, the chosen alternative, TSA requires covered aircraft operators to request each passenger’s full name, date of birth, gender, and Redress Number or Known Traveler Number, should TSA make this number available to passengers.  Reservation agents are required to also ask passengers if they have one of these numbers, which could be entered in the same field as and in place of the Redress Number.  </w:t>
      </w:r>
    </w:p>
    <w:p w:rsidR="003B0815" w:rsidRDefault="003B0815" w14:paraId="2DB4C4E4" w14:textId="77777777">
      <w:pPr>
        <w:spacing w:line="360" w:lineRule="auto"/>
        <w:ind w:firstLine="720"/>
      </w:pPr>
      <w:r>
        <w:t>TSA chose to require full names because the greater specificity narrows the number of records a name might match in the watch lists.  TSA has determined that aside from passport information, date of birth and gender are the data elements most useful for conducting watch list matching.  Thus, having a passenger’s date of birth and gender allows TSA to rule out a false positive match in most cases.  Finally, by including the Redress Number, TSA will be able to automatically clear passengers who had previously been erroneously matched to the watch lists and who had submitted identification documents to TSA through its redress process.  TSA determined this was the smallest set of data elements it can require and still meet its mandate of reducing false positives.</w:t>
      </w:r>
    </w:p>
    <w:p w:rsidR="003B0815" w:rsidRDefault="003B0815" w14:paraId="0AF21741" w14:textId="77777777">
      <w:pPr>
        <w:spacing w:line="360" w:lineRule="auto"/>
        <w:ind w:firstLine="720"/>
      </w:pPr>
      <w:r>
        <w:t>Airline host reservation systems and GDSs will have to be modified to accept these additional data elements and transmit them to TSA.  Other airline systems will also have to be reprogrammed in order to process the gate and boarding pass printing instructions returned by TSA.</w:t>
      </w:r>
    </w:p>
    <w:p w:rsidR="003B0815" w:rsidRDefault="003B0815" w14:paraId="0472C37A" w14:textId="77777777">
      <w:pPr>
        <w:spacing w:line="360" w:lineRule="auto"/>
        <w:ind w:firstLine="720"/>
      </w:pPr>
      <w:r>
        <w:t xml:space="preserve">Airline reservation agents, including, by extension, travel agents, will realize longer times to complete reservations as a result of the requirement to ask passengers for these additional data elements.  To evaluate these combined impacts, TSA estimated high, primary, and low scenarios.  TSA assumed both airline reservation agents and travel agents will incur costs to request additional passenger information and estimated it will take 10 to 30 seconds to collect the required data elements.  Passengers making Internet reservations will need 10 seconds to enter the additional data. </w:t>
      </w:r>
    </w:p>
    <w:p w:rsidR="003B0815" w:rsidRDefault="003B0815" w14:paraId="41C1CEE6" w14:textId="77777777">
      <w:pPr>
        <w:spacing w:line="360" w:lineRule="auto"/>
        <w:ind w:firstLine="720"/>
      </w:pPr>
      <w:r>
        <w:t>TSA determined that the requirement to provide a privacy notice to passengers in the interest of transparency is satisfied by posting the TSA privacy notice on its own website and requiring airline reservation providers to do likewise.  This requirement avoids imposing additional costs on stakeholders by eliminating the need for airline call centers and travel agencies to reprogram their VRUs or have an agent verbally provide the privacy notice to passengers.  Of the various methods of implementing the privacy notice TSA considered, this alternative was the most cost-efficient.  The costs in the table below thus present the total domestic costs of the rule under Alternative #4.  TSA determined that the flexibility provided in this alternative minimizes the regulatory impact while ensuring a low rate of false positives.</w:t>
      </w:r>
    </w:p>
    <w:tbl>
      <w:tblPr>
        <w:tblW w:w="0" w:type="auto"/>
        <w:jc w:val="center"/>
        <w:tblBorders>
          <w:top w:val="single" w:color="auto" w:sz="4" w:space="0"/>
          <w:left w:val="single" w:color="auto" w:sz="4" w:space="0"/>
          <w:bottom w:val="single" w:color="auto" w:sz="4" w:space="0"/>
          <w:right w:val="single" w:color="auto" w:sz="4" w:space="0"/>
        </w:tblBorders>
        <w:tblLayout w:type="fixed"/>
        <w:tblCellMar>
          <w:left w:w="115" w:type="dxa"/>
          <w:right w:w="115" w:type="dxa"/>
        </w:tblCellMar>
        <w:tblLook w:val="01E0" w:firstRow="1" w:lastRow="1" w:firstColumn="1" w:lastColumn="1" w:noHBand="0" w:noVBand="0"/>
      </w:tblPr>
      <w:tblGrid>
        <w:gridCol w:w="2815"/>
        <w:gridCol w:w="1440"/>
        <w:gridCol w:w="2880"/>
        <w:gridCol w:w="1440"/>
      </w:tblGrid>
      <w:tr w:rsidR="003B0815" w14:paraId="727C54BA" w14:textId="77777777">
        <w:trPr>
          <w:jc w:val="center"/>
        </w:trPr>
        <w:tc>
          <w:tcPr>
            <w:tcW w:w="2815" w:type="dxa"/>
          </w:tcPr>
          <w:p w:rsidR="003B0815" w:rsidRDefault="003B0815" w14:paraId="432B3482" w14:textId="77777777">
            <w:pPr>
              <w:keepNext/>
              <w:rPr>
                <w:sz w:val="20"/>
                <w:u w:val="single"/>
              </w:rPr>
            </w:pPr>
            <w:r>
              <w:rPr>
                <w:sz w:val="20"/>
                <w:u w:val="single"/>
              </w:rPr>
              <w:t>High Cost Scenario</w:t>
            </w:r>
          </w:p>
        </w:tc>
        <w:tc>
          <w:tcPr>
            <w:tcW w:w="1440" w:type="dxa"/>
            <w:tcBorders>
              <w:top w:val="single" w:color="auto" w:sz="4" w:space="0"/>
              <w:bottom w:val="nil"/>
              <w:right w:val="dashSmallGap" w:color="auto" w:sz="4" w:space="0"/>
            </w:tcBorders>
          </w:tcPr>
          <w:p w:rsidR="003B0815" w:rsidRDefault="003B0815" w14:paraId="6B8A28BB" w14:textId="77777777">
            <w:pPr>
              <w:keepNext/>
              <w:rPr>
                <w:sz w:val="20"/>
                <w:u w:val="single"/>
              </w:rPr>
            </w:pPr>
          </w:p>
        </w:tc>
        <w:tc>
          <w:tcPr>
            <w:tcW w:w="2880" w:type="dxa"/>
            <w:tcBorders>
              <w:top w:val="single" w:color="auto" w:sz="4" w:space="0"/>
              <w:left w:val="dashSmallGap" w:color="auto" w:sz="4" w:space="0"/>
              <w:bottom w:val="nil"/>
            </w:tcBorders>
          </w:tcPr>
          <w:p w:rsidR="003B0815" w:rsidRDefault="003B0815" w14:paraId="2E496F0B" w14:textId="77777777">
            <w:pPr>
              <w:keepNext/>
              <w:rPr>
                <w:sz w:val="20"/>
                <w:u w:val="single"/>
              </w:rPr>
            </w:pPr>
            <w:r>
              <w:rPr>
                <w:sz w:val="20"/>
                <w:u w:val="single"/>
              </w:rPr>
              <w:t>Low Cost Scenario</w:t>
            </w:r>
          </w:p>
        </w:tc>
        <w:tc>
          <w:tcPr>
            <w:tcW w:w="1440" w:type="dxa"/>
          </w:tcPr>
          <w:p w:rsidR="003B0815" w:rsidRDefault="003B0815" w14:paraId="5235BC0E" w14:textId="77777777">
            <w:pPr>
              <w:keepNext/>
              <w:rPr>
                <w:sz w:val="20"/>
                <w:u w:val="single"/>
              </w:rPr>
            </w:pPr>
          </w:p>
        </w:tc>
      </w:tr>
      <w:tr w:rsidR="003B0815" w14:paraId="5CDCA91A" w14:textId="77777777">
        <w:trPr>
          <w:jc w:val="center"/>
        </w:trPr>
        <w:tc>
          <w:tcPr>
            <w:tcW w:w="4255" w:type="dxa"/>
            <w:gridSpan w:val="2"/>
            <w:tcBorders>
              <w:top w:val="nil"/>
              <w:bottom w:val="nil"/>
              <w:right w:val="dashSmallGap" w:color="auto" w:sz="4" w:space="0"/>
            </w:tcBorders>
          </w:tcPr>
          <w:p w:rsidR="003B0815" w:rsidRDefault="003B0815" w14:paraId="26CB5623" w14:textId="77777777">
            <w:pPr>
              <w:keepNext/>
              <w:rPr>
                <w:sz w:val="20"/>
              </w:rPr>
            </w:pPr>
          </w:p>
        </w:tc>
        <w:tc>
          <w:tcPr>
            <w:tcW w:w="4320" w:type="dxa"/>
            <w:gridSpan w:val="2"/>
            <w:tcBorders>
              <w:top w:val="nil"/>
              <w:left w:val="dashSmallGap" w:color="auto" w:sz="4" w:space="0"/>
              <w:bottom w:val="nil"/>
            </w:tcBorders>
          </w:tcPr>
          <w:p w:rsidR="003B0815" w:rsidRDefault="003B0815" w14:paraId="61B44C36" w14:textId="77777777">
            <w:pPr>
              <w:keepNext/>
              <w:rPr>
                <w:i/>
                <w:sz w:val="20"/>
              </w:rPr>
            </w:pPr>
          </w:p>
        </w:tc>
      </w:tr>
      <w:tr w:rsidR="003B0815" w14:paraId="035946CD" w14:textId="77777777">
        <w:trPr>
          <w:jc w:val="center"/>
        </w:trPr>
        <w:tc>
          <w:tcPr>
            <w:tcW w:w="2815" w:type="dxa"/>
          </w:tcPr>
          <w:p w:rsidR="003B0815" w:rsidRDefault="003B0815" w14:paraId="18504375" w14:textId="77777777">
            <w:pPr>
              <w:keepNext/>
              <w:rPr>
                <w:sz w:val="20"/>
              </w:rPr>
            </w:pPr>
            <w:r>
              <w:rPr>
                <w:sz w:val="20"/>
              </w:rPr>
              <w:t>First-year Costs:</w:t>
            </w:r>
          </w:p>
        </w:tc>
        <w:tc>
          <w:tcPr>
            <w:tcW w:w="1440" w:type="dxa"/>
            <w:tcBorders>
              <w:top w:val="nil"/>
              <w:bottom w:val="nil"/>
              <w:right w:val="dashSmallGap" w:color="auto" w:sz="4" w:space="0"/>
            </w:tcBorders>
            <w:vAlign w:val="bottom"/>
          </w:tcPr>
          <w:p w:rsidR="003B0815" w:rsidRDefault="003B0815" w14:paraId="5A38A064" w14:textId="77777777">
            <w:pPr>
              <w:keepNext/>
              <w:jc w:val="right"/>
              <w:rPr>
                <w:sz w:val="20"/>
              </w:rPr>
            </w:pPr>
            <w:r>
              <w:rPr>
                <w:sz w:val="20"/>
                <w:szCs w:val="20"/>
              </w:rPr>
              <w:t xml:space="preserve">$405 million </w:t>
            </w:r>
          </w:p>
        </w:tc>
        <w:tc>
          <w:tcPr>
            <w:tcW w:w="2880" w:type="dxa"/>
            <w:tcBorders>
              <w:top w:val="nil"/>
              <w:left w:val="dashSmallGap" w:color="auto" w:sz="4" w:space="0"/>
              <w:bottom w:val="nil"/>
            </w:tcBorders>
          </w:tcPr>
          <w:p w:rsidR="003B0815" w:rsidRDefault="003B0815" w14:paraId="496E01B5" w14:textId="77777777">
            <w:pPr>
              <w:keepNext/>
              <w:rPr>
                <w:sz w:val="20"/>
              </w:rPr>
            </w:pPr>
            <w:r>
              <w:rPr>
                <w:sz w:val="20"/>
              </w:rPr>
              <w:t>First-year Costs:</w:t>
            </w:r>
          </w:p>
        </w:tc>
        <w:tc>
          <w:tcPr>
            <w:tcW w:w="1440" w:type="dxa"/>
            <w:vAlign w:val="bottom"/>
          </w:tcPr>
          <w:p w:rsidR="003B0815" w:rsidRDefault="003B0815" w14:paraId="1C444D61" w14:textId="77777777">
            <w:pPr>
              <w:keepNext/>
              <w:jc w:val="right"/>
              <w:rPr>
                <w:sz w:val="20"/>
              </w:rPr>
            </w:pPr>
            <w:r>
              <w:rPr>
                <w:sz w:val="20"/>
                <w:szCs w:val="20"/>
              </w:rPr>
              <w:t xml:space="preserve">$269 million </w:t>
            </w:r>
          </w:p>
        </w:tc>
      </w:tr>
      <w:tr w:rsidR="003B0815" w14:paraId="6EDAAA17" w14:textId="77777777">
        <w:trPr>
          <w:jc w:val="center"/>
        </w:trPr>
        <w:tc>
          <w:tcPr>
            <w:tcW w:w="2815" w:type="dxa"/>
          </w:tcPr>
          <w:p w:rsidR="003B0815" w:rsidRDefault="003B0815" w14:paraId="12FDE1AB" w14:textId="77777777">
            <w:pPr>
              <w:keepNext/>
              <w:rPr>
                <w:sz w:val="20"/>
              </w:rPr>
            </w:pPr>
            <w:r>
              <w:rPr>
                <w:sz w:val="20"/>
              </w:rPr>
              <w:t>Recurring average annual costs:</w:t>
            </w:r>
          </w:p>
        </w:tc>
        <w:tc>
          <w:tcPr>
            <w:tcW w:w="1440" w:type="dxa"/>
            <w:tcBorders>
              <w:top w:val="nil"/>
              <w:bottom w:val="nil"/>
              <w:right w:val="dashSmallGap" w:color="auto" w:sz="4" w:space="0"/>
            </w:tcBorders>
            <w:vAlign w:val="bottom"/>
          </w:tcPr>
          <w:p w:rsidR="003B0815" w:rsidRDefault="003B0815" w14:paraId="30C723A1" w14:textId="77777777">
            <w:pPr>
              <w:keepNext/>
              <w:jc w:val="right"/>
              <w:rPr>
                <w:sz w:val="20"/>
              </w:rPr>
            </w:pPr>
            <w:r>
              <w:rPr>
                <w:sz w:val="20"/>
                <w:szCs w:val="20"/>
              </w:rPr>
              <w:t xml:space="preserve">$380 million </w:t>
            </w:r>
          </w:p>
        </w:tc>
        <w:tc>
          <w:tcPr>
            <w:tcW w:w="2880" w:type="dxa"/>
            <w:tcBorders>
              <w:top w:val="nil"/>
              <w:left w:val="dashSmallGap" w:color="auto" w:sz="4" w:space="0"/>
              <w:bottom w:val="nil"/>
            </w:tcBorders>
          </w:tcPr>
          <w:p w:rsidR="003B0815" w:rsidRDefault="003B0815" w14:paraId="62AEAE67" w14:textId="77777777">
            <w:pPr>
              <w:keepNext/>
              <w:rPr>
                <w:sz w:val="20"/>
              </w:rPr>
            </w:pPr>
            <w:r>
              <w:rPr>
                <w:sz w:val="20"/>
              </w:rPr>
              <w:t>Recurring average annual costs:</w:t>
            </w:r>
          </w:p>
        </w:tc>
        <w:tc>
          <w:tcPr>
            <w:tcW w:w="1440" w:type="dxa"/>
            <w:vAlign w:val="bottom"/>
          </w:tcPr>
          <w:p w:rsidR="003B0815" w:rsidRDefault="003B0815" w14:paraId="62659A3B" w14:textId="77777777">
            <w:pPr>
              <w:keepNext/>
              <w:jc w:val="right"/>
              <w:rPr>
                <w:sz w:val="20"/>
              </w:rPr>
            </w:pPr>
            <w:r>
              <w:rPr>
                <w:sz w:val="20"/>
                <w:szCs w:val="20"/>
              </w:rPr>
              <w:t xml:space="preserve">$291 million </w:t>
            </w:r>
          </w:p>
        </w:tc>
      </w:tr>
      <w:tr w:rsidR="003B0815" w14:paraId="0CE69D80" w14:textId="77777777">
        <w:trPr>
          <w:jc w:val="center"/>
        </w:trPr>
        <w:tc>
          <w:tcPr>
            <w:tcW w:w="2815" w:type="dxa"/>
            <w:tcBorders>
              <w:bottom w:val="nil"/>
            </w:tcBorders>
          </w:tcPr>
          <w:p w:rsidR="003B0815" w:rsidRDefault="003B0815" w14:paraId="55BC1A55" w14:textId="77777777">
            <w:pPr>
              <w:keepNext/>
              <w:rPr>
                <w:sz w:val="20"/>
              </w:rPr>
            </w:pPr>
            <w:r>
              <w:rPr>
                <w:sz w:val="20"/>
              </w:rPr>
              <w:t>10-year PV costs (7%):</w:t>
            </w:r>
          </w:p>
        </w:tc>
        <w:tc>
          <w:tcPr>
            <w:tcW w:w="1440" w:type="dxa"/>
            <w:tcBorders>
              <w:top w:val="nil"/>
              <w:bottom w:val="nil"/>
              <w:right w:val="dashSmallGap" w:color="auto" w:sz="4" w:space="0"/>
            </w:tcBorders>
            <w:vAlign w:val="bottom"/>
          </w:tcPr>
          <w:p w:rsidR="003B0815" w:rsidRDefault="003B0815" w14:paraId="2C4B10F6" w14:textId="77777777">
            <w:pPr>
              <w:keepNext/>
              <w:jc w:val="right"/>
              <w:rPr>
                <w:sz w:val="20"/>
              </w:rPr>
            </w:pPr>
            <w:r>
              <w:rPr>
                <w:sz w:val="20"/>
                <w:szCs w:val="20"/>
              </w:rPr>
              <w:t xml:space="preserve">$2,693 million </w:t>
            </w:r>
          </w:p>
        </w:tc>
        <w:tc>
          <w:tcPr>
            <w:tcW w:w="2880" w:type="dxa"/>
            <w:tcBorders>
              <w:top w:val="nil"/>
              <w:left w:val="dashSmallGap" w:color="auto" w:sz="4" w:space="0"/>
              <w:bottom w:val="nil"/>
            </w:tcBorders>
          </w:tcPr>
          <w:p w:rsidR="003B0815" w:rsidRDefault="003B0815" w14:paraId="56D67E4A" w14:textId="77777777">
            <w:pPr>
              <w:keepNext/>
              <w:rPr>
                <w:sz w:val="20"/>
              </w:rPr>
            </w:pPr>
            <w:r>
              <w:rPr>
                <w:sz w:val="20"/>
              </w:rPr>
              <w:t>10-year PV costs (7%):</w:t>
            </w:r>
          </w:p>
        </w:tc>
        <w:tc>
          <w:tcPr>
            <w:tcW w:w="1440" w:type="dxa"/>
            <w:tcBorders>
              <w:bottom w:val="nil"/>
            </w:tcBorders>
            <w:vAlign w:val="bottom"/>
          </w:tcPr>
          <w:p w:rsidR="003B0815" w:rsidRDefault="003B0815" w14:paraId="7DB7BD50" w14:textId="77777777">
            <w:pPr>
              <w:keepNext/>
              <w:jc w:val="right"/>
              <w:rPr>
                <w:sz w:val="20"/>
              </w:rPr>
            </w:pPr>
            <w:r>
              <w:rPr>
                <w:sz w:val="20"/>
                <w:szCs w:val="20"/>
              </w:rPr>
              <w:t xml:space="preserve">$2,039 million </w:t>
            </w:r>
          </w:p>
        </w:tc>
      </w:tr>
      <w:tr w:rsidR="003B0815" w14:paraId="6DBAECA4" w14:textId="77777777">
        <w:trPr>
          <w:jc w:val="center"/>
        </w:trPr>
        <w:tc>
          <w:tcPr>
            <w:tcW w:w="2815" w:type="dxa"/>
            <w:tcBorders>
              <w:top w:val="nil"/>
              <w:bottom w:val="single" w:color="auto" w:sz="4" w:space="0"/>
            </w:tcBorders>
          </w:tcPr>
          <w:p w:rsidR="003B0815" w:rsidRDefault="003B0815" w14:paraId="0634FFA9" w14:textId="77777777">
            <w:pPr>
              <w:keepNext/>
              <w:rPr>
                <w:sz w:val="20"/>
              </w:rPr>
            </w:pPr>
            <w:r>
              <w:rPr>
                <w:sz w:val="20"/>
              </w:rPr>
              <w:t>10-year PV costs (3%):</w:t>
            </w:r>
          </w:p>
        </w:tc>
        <w:tc>
          <w:tcPr>
            <w:tcW w:w="1440" w:type="dxa"/>
            <w:tcBorders>
              <w:top w:val="nil"/>
              <w:bottom w:val="single" w:color="auto" w:sz="4" w:space="0"/>
              <w:right w:val="dashSmallGap" w:color="auto" w:sz="4" w:space="0"/>
            </w:tcBorders>
            <w:vAlign w:val="bottom"/>
          </w:tcPr>
          <w:p w:rsidR="003B0815" w:rsidRDefault="003B0815" w14:paraId="3A40A6CD" w14:textId="77777777">
            <w:pPr>
              <w:keepNext/>
              <w:jc w:val="right"/>
              <w:rPr>
                <w:sz w:val="20"/>
              </w:rPr>
            </w:pPr>
            <w:r>
              <w:rPr>
                <w:sz w:val="20"/>
                <w:szCs w:val="20"/>
              </w:rPr>
              <w:t xml:space="preserve">$3,264 million </w:t>
            </w:r>
          </w:p>
        </w:tc>
        <w:tc>
          <w:tcPr>
            <w:tcW w:w="2880" w:type="dxa"/>
            <w:tcBorders>
              <w:top w:val="nil"/>
              <w:left w:val="dashSmallGap" w:color="auto" w:sz="4" w:space="0"/>
              <w:bottom w:val="single" w:color="auto" w:sz="4" w:space="0"/>
            </w:tcBorders>
          </w:tcPr>
          <w:p w:rsidR="003B0815" w:rsidRDefault="003B0815" w14:paraId="5D4BC6FC" w14:textId="77777777">
            <w:pPr>
              <w:keepNext/>
              <w:rPr>
                <w:sz w:val="20"/>
              </w:rPr>
            </w:pPr>
            <w:r>
              <w:rPr>
                <w:sz w:val="20"/>
              </w:rPr>
              <w:t>10-year PV costs (3%):</w:t>
            </w:r>
          </w:p>
        </w:tc>
        <w:tc>
          <w:tcPr>
            <w:tcW w:w="1440" w:type="dxa"/>
            <w:tcBorders>
              <w:top w:val="nil"/>
              <w:bottom w:val="single" w:color="auto" w:sz="4" w:space="0"/>
            </w:tcBorders>
            <w:vAlign w:val="bottom"/>
          </w:tcPr>
          <w:p w:rsidR="003B0815" w:rsidRDefault="003B0815" w14:paraId="3F1D9A72" w14:textId="77777777">
            <w:pPr>
              <w:keepNext/>
              <w:jc w:val="right"/>
              <w:rPr>
                <w:sz w:val="20"/>
              </w:rPr>
            </w:pPr>
            <w:r>
              <w:rPr>
                <w:sz w:val="20"/>
                <w:szCs w:val="20"/>
              </w:rPr>
              <w:t xml:space="preserve">$2,471 million </w:t>
            </w:r>
          </w:p>
        </w:tc>
      </w:tr>
    </w:tbl>
    <w:p w:rsidR="003B0815" w:rsidRDefault="003B0815" w14:paraId="371538A1" w14:textId="77777777">
      <w:pPr>
        <w:spacing w:line="360" w:lineRule="auto"/>
      </w:pPr>
    </w:p>
    <w:p w:rsidR="003B0815" w:rsidRDefault="003B0815" w14:paraId="442A4571" w14:textId="77777777">
      <w:pPr>
        <w:keepNext/>
        <w:spacing w:line="360" w:lineRule="auto"/>
        <w:rPr>
          <w:b/>
        </w:rPr>
      </w:pPr>
      <w:r>
        <w:rPr>
          <w:b/>
        </w:rPr>
        <w:t>Alternative #5: Require additional SFPD attributes for watch list matching.</w:t>
      </w:r>
    </w:p>
    <w:p w:rsidR="003B0815" w:rsidRDefault="003B0815" w14:paraId="24B6C86F" w14:textId="77777777">
      <w:pPr>
        <w:spacing w:line="360" w:lineRule="auto"/>
        <w:ind w:firstLine="720"/>
      </w:pPr>
      <w:r>
        <w:t>In this alternative, TSA would require covered aircraft operators to request each passenger and non-traveler’s home address and home phone number in addition to the full name, date of birth, gender, and Redress Number required under Alternative #4.</w:t>
      </w:r>
    </w:p>
    <w:p w:rsidR="003B0815" w:rsidRDefault="003B0815" w14:paraId="13340FA3" w14:textId="77777777">
      <w:pPr>
        <w:spacing w:line="360" w:lineRule="auto"/>
        <w:ind w:firstLine="720"/>
      </w:pPr>
      <w:r>
        <w:t>Since TSA would require reservation agents to specifically request an individual’s home address and home phone, airlines would be unable to send information from fields they already collect, such as billing address and contact phone number.  As a result, stakeholders would have to make reprogramming changes to reservation and hosting systems beyond the modifications for the data required in Alternative #4.  Aircraft operators and travel agents would also be required to change phone operator scripts and Internet reservation templates.  This alternative would have minimal additional costs to the government, however.</w:t>
      </w:r>
    </w:p>
    <w:p w:rsidR="003B0815" w:rsidRDefault="003B0815" w14:paraId="4F48945D" w14:textId="77777777">
      <w:pPr>
        <w:spacing w:line="360" w:lineRule="auto"/>
        <w:ind w:firstLine="720"/>
      </w:pPr>
      <w:r>
        <w:t>TSA assumed collection of this additional information would require an additional 20 to 30 seconds beyond the data collection time estimated under Alternative #4.  Aircraft operator call centers and travel agents would thus require a total of 60 or 30 seconds to collect all personal data requested under this alternative in the high and low cost scenarios, respectively.  In both scenarios, TSA assumed passengers would need a total of 20 seconds to provide the requested data when making Internet reservations.</w:t>
      </w:r>
    </w:p>
    <w:p w:rsidR="003B0815" w:rsidRDefault="003B0815" w14:paraId="2E709DCF" w14:textId="77777777">
      <w:pPr>
        <w:spacing w:line="360" w:lineRule="auto"/>
        <w:ind w:firstLine="720"/>
      </w:pPr>
      <w:r>
        <w:t>The benefit of this alternative would be that the additional personal data transmitted may result in a lower false positive rate, as TSA would be able to compare additional passenger elements to the information in the watch lists.  Further, TSA would have more information on file for passengers that TSA matching analysts had previously identified as false positive matches against the watch lists, speeding adjudication of those passengers in the future.  Given that TSA will already achieve a low rate of false positives under Alternative #4, however, this alternative would benefit a small percentage of passengers.  For example, TSA testing comparing the relative effects of different data elements indicated a reduction in the match rate of 50% – 85% when full name, date of birth, and gender are present in the SFPD relative to just full name.  TSA determined based on these considerations that the increased costs associated with requesting this additional information from all passengers ($537 million over ten years in the low scenario, discounted at 7%) outweigh the marginal benefit that would be realized by the few passengers affected by the lower false positive rate.</w:t>
      </w:r>
    </w:p>
    <w:tbl>
      <w:tblPr>
        <w:tblW w:w="0" w:type="auto"/>
        <w:jc w:val="center"/>
        <w:tblBorders>
          <w:top w:val="single" w:color="auto" w:sz="4" w:space="0"/>
          <w:left w:val="single" w:color="auto" w:sz="4" w:space="0"/>
          <w:bottom w:val="single" w:color="auto" w:sz="4" w:space="0"/>
          <w:right w:val="single" w:color="auto" w:sz="4" w:space="0"/>
        </w:tblBorders>
        <w:tblLayout w:type="fixed"/>
        <w:tblCellMar>
          <w:left w:w="115" w:type="dxa"/>
          <w:right w:w="115" w:type="dxa"/>
        </w:tblCellMar>
        <w:tblLook w:val="01E0" w:firstRow="1" w:lastRow="1" w:firstColumn="1" w:lastColumn="1" w:noHBand="0" w:noVBand="0"/>
      </w:tblPr>
      <w:tblGrid>
        <w:gridCol w:w="2815"/>
        <w:gridCol w:w="1440"/>
        <w:gridCol w:w="2880"/>
        <w:gridCol w:w="1440"/>
      </w:tblGrid>
      <w:tr w:rsidR="003B0815" w14:paraId="7C9905EB" w14:textId="77777777">
        <w:trPr>
          <w:jc w:val="center"/>
        </w:trPr>
        <w:tc>
          <w:tcPr>
            <w:tcW w:w="2815" w:type="dxa"/>
            <w:tcBorders>
              <w:bottom w:val="nil"/>
            </w:tcBorders>
          </w:tcPr>
          <w:p w:rsidR="003B0815" w:rsidRDefault="003B0815" w14:paraId="3162E8DD" w14:textId="77777777">
            <w:pPr>
              <w:keepNext/>
              <w:rPr>
                <w:sz w:val="20"/>
                <w:u w:val="single"/>
              </w:rPr>
            </w:pPr>
            <w:r>
              <w:rPr>
                <w:sz w:val="20"/>
                <w:u w:val="single"/>
              </w:rPr>
              <w:t>High Cost Scenario</w:t>
            </w:r>
          </w:p>
        </w:tc>
        <w:tc>
          <w:tcPr>
            <w:tcW w:w="1440" w:type="dxa"/>
            <w:tcBorders>
              <w:top w:val="single" w:color="auto" w:sz="4" w:space="0"/>
              <w:bottom w:val="nil"/>
              <w:right w:val="dashSmallGap" w:color="auto" w:sz="4" w:space="0"/>
            </w:tcBorders>
          </w:tcPr>
          <w:p w:rsidR="003B0815" w:rsidRDefault="003B0815" w14:paraId="3A8C37E2" w14:textId="77777777">
            <w:pPr>
              <w:keepNext/>
              <w:rPr>
                <w:sz w:val="20"/>
                <w:u w:val="single"/>
              </w:rPr>
            </w:pPr>
          </w:p>
        </w:tc>
        <w:tc>
          <w:tcPr>
            <w:tcW w:w="2880" w:type="dxa"/>
            <w:tcBorders>
              <w:top w:val="single" w:color="auto" w:sz="4" w:space="0"/>
              <w:left w:val="dashSmallGap" w:color="auto" w:sz="4" w:space="0"/>
              <w:bottom w:val="nil"/>
              <w:right w:val="nil"/>
            </w:tcBorders>
          </w:tcPr>
          <w:p w:rsidR="003B0815" w:rsidRDefault="003B0815" w14:paraId="3048AB86" w14:textId="77777777">
            <w:pPr>
              <w:keepNext/>
              <w:rPr>
                <w:sz w:val="20"/>
                <w:u w:val="single"/>
              </w:rPr>
            </w:pPr>
            <w:r>
              <w:rPr>
                <w:sz w:val="20"/>
                <w:u w:val="single"/>
              </w:rPr>
              <w:t>Low Cost Scenario</w:t>
            </w:r>
          </w:p>
        </w:tc>
        <w:tc>
          <w:tcPr>
            <w:tcW w:w="1440" w:type="dxa"/>
            <w:tcBorders>
              <w:top w:val="single" w:color="auto" w:sz="4" w:space="0"/>
              <w:left w:val="nil"/>
              <w:bottom w:val="nil"/>
            </w:tcBorders>
          </w:tcPr>
          <w:p w:rsidR="003B0815" w:rsidRDefault="003B0815" w14:paraId="6EE90606" w14:textId="77777777">
            <w:pPr>
              <w:keepNext/>
              <w:rPr>
                <w:sz w:val="20"/>
                <w:u w:val="single"/>
              </w:rPr>
            </w:pPr>
          </w:p>
        </w:tc>
      </w:tr>
      <w:tr w:rsidR="003B0815" w14:paraId="21E46E09" w14:textId="77777777">
        <w:trPr>
          <w:jc w:val="center"/>
        </w:trPr>
        <w:tc>
          <w:tcPr>
            <w:tcW w:w="4255" w:type="dxa"/>
            <w:gridSpan w:val="2"/>
            <w:tcBorders>
              <w:top w:val="nil"/>
              <w:bottom w:val="nil"/>
              <w:right w:val="dashSmallGap" w:color="auto" w:sz="4" w:space="0"/>
            </w:tcBorders>
          </w:tcPr>
          <w:p w:rsidR="003B0815" w:rsidRDefault="003B0815" w14:paraId="1584FE63" w14:textId="77777777">
            <w:pPr>
              <w:keepNext/>
              <w:rPr>
                <w:sz w:val="20"/>
              </w:rPr>
            </w:pPr>
          </w:p>
        </w:tc>
        <w:tc>
          <w:tcPr>
            <w:tcW w:w="4320" w:type="dxa"/>
            <w:gridSpan w:val="2"/>
            <w:tcBorders>
              <w:top w:val="nil"/>
              <w:left w:val="dashSmallGap" w:color="auto" w:sz="4" w:space="0"/>
              <w:bottom w:val="nil"/>
            </w:tcBorders>
          </w:tcPr>
          <w:p w:rsidR="003B0815" w:rsidRDefault="003B0815" w14:paraId="2A1FD2BD" w14:textId="77777777">
            <w:pPr>
              <w:keepNext/>
              <w:rPr>
                <w:i/>
                <w:sz w:val="20"/>
              </w:rPr>
            </w:pPr>
          </w:p>
        </w:tc>
      </w:tr>
      <w:tr w:rsidR="003B0815" w14:paraId="1AC02114" w14:textId="77777777">
        <w:trPr>
          <w:jc w:val="center"/>
        </w:trPr>
        <w:tc>
          <w:tcPr>
            <w:tcW w:w="2815" w:type="dxa"/>
            <w:tcBorders>
              <w:top w:val="nil"/>
            </w:tcBorders>
          </w:tcPr>
          <w:p w:rsidR="003B0815" w:rsidRDefault="003B0815" w14:paraId="535E0CC9" w14:textId="77777777">
            <w:pPr>
              <w:keepNext/>
              <w:rPr>
                <w:sz w:val="20"/>
              </w:rPr>
            </w:pPr>
            <w:r>
              <w:rPr>
                <w:sz w:val="20"/>
              </w:rPr>
              <w:t>First-year Costs:</w:t>
            </w:r>
          </w:p>
        </w:tc>
        <w:tc>
          <w:tcPr>
            <w:tcW w:w="1440" w:type="dxa"/>
            <w:tcBorders>
              <w:top w:val="nil"/>
              <w:bottom w:val="nil"/>
              <w:right w:val="dashSmallGap" w:color="auto" w:sz="4" w:space="0"/>
            </w:tcBorders>
            <w:vAlign w:val="bottom"/>
          </w:tcPr>
          <w:p w:rsidR="003B0815" w:rsidRDefault="003B0815" w14:paraId="5A1D59BA" w14:textId="77777777">
            <w:pPr>
              <w:keepNext/>
              <w:jc w:val="right"/>
              <w:rPr>
                <w:sz w:val="20"/>
              </w:rPr>
            </w:pPr>
            <w:r>
              <w:rPr>
                <w:sz w:val="20"/>
                <w:szCs w:val="20"/>
              </w:rPr>
              <w:t xml:space="preserve">$506 million </w:t>
            </w:r>
          </w:p>
        </w:tc>
        <w:tc>
          <w:tcPr>
            <w:tcW w:w="2880" w:type="dxa"/>
            <w:tcBorders>
              <w:top w:val="nil"/>
              <w:left w:val="dashSmallGap" w:color="auto" w:sz="4" w:space="0"/>
              <w:bottom w:val="nil"/>
            </w:tcBorders>
          </w:tcPr>
          <w:p w:rsidR="003B0815" w:rsidRDefault="003B0815" w14:paraId="33082530" w14:textId="77777777">
            <w:pPr>
              <w:keepNext/>
              <w:rPr>
                <w:sz w:val="20"/>
              </w:rPr>
            </w:pPr>
            <w:r>
              <w:rPr>
                <w:sz w:val="20"/>
              </w:rPr>
              <w:t>First-year Costs:</w:t>
            </w:r>
          </w:p>
        </w:tc>
        <w:tc>
          <w:tcPr>
            <w:tcW w:w="1440" w:type="dxa"/>
            <w:tcBorders>
              <w:top w:val="nil"/>
            </w:tcBorders>
            <w:vAlign w:val="bottom"/>
          </w:tcPr>
          <w:p w:rsidR="003B0815" w:rsidRDefault="003B0815" w14:paraId="5A877C80" w14:textId="77777777">
            <w:pPr>
              <w:keepNext/>
              <w:jc w:val="right"/>
              <w:rPr>
                <w:sz w:val="20"/>
              </w:rPr>
            </w:pPr>
            <w:r>
              <w:rPr>
                <w:sz w:val="20"/>
                <w:szCs w:val="20"/>
              </w:rPr>
              <w:t xml:space="preserve">$336 million </w:t>
            </w:r>
          </w:p>
        </w:tc>
      </w:tr>
      <w:tr w:rsidR="003B0815" w14:paraId="2E291BB8" w14:textId="77777777">
        <w:trPr>
          <w:jc w:val="center"/>
        </w:trPr>
        <w:tc>
          <w:tcPr>
            <w:tcW w:w="2815" w:type="dxa"/>
          </w:tcPr>
          <w:p w:rsidR="003B0815" w:rsidRDefault="003B0815" w14:paraId="57C1C94A" w14:textId="77777777">
            <w:pPr>
              <w:keepNext/>
              <w:rPr>
                <w:sz w:val="20"/>
              </w:rPr>
            </w:pPr>
            <w:r>
              <w:rPr>
                <w:sz w:val="20"/>
              </w:rPr>
              <w:t>Recurring average annual costs:</w:t>
            </w:r>
          </w:p>
        </w:tc>
        <w:tc>
          <w:tcPr>
            <w:tcW w:w="1440" w:type="dxa"/>
            <w:tcBorders>
              <w:top w:val="nil"/>
              <w:bottom w:val="nil"/>
              <w:right w:val="dashSmallGap" w:color="auto" w:sz="4" w:space="0"/>
            </w:tcBorders>
            <w:vAlign w:val="bottom"/>
          </w:tcPr>
          <w:p w:rsidR="003B0815" w:rsidRDefault="003B0815" w14:paraId="40541198" w14:textId="77777777">
            <w:pPr>
              <w:keepNext/>
              <w:jc w:val="right"/>
              <w:rPr>
                <w:sz w:val="20"/>
              </w:rPr>
            </w:pPr>
            <w:r>
              <w:rPr>
                <w:sz w:val="20"/>
                <w:szCs w:val="20"/>
              </w:rPr>
              <w:t xml:space="preserve">$499 million </w:t>
            </w:r>
          </w:p>
        </w:tc>
        <w:tc>
          <w:tcPr>
            <w:tcW w:w="2880" w:type="dxa"/>
            <w:tcBorders>
              <w:top w:val="nil"/>
              <w:left w:val="dashSmallGap" w:color="auto" w:sz="4" w:space="0"/>
              <w:bottom w:val="nil"/>
            </w:tcBorders>
          </w:tcPr>
          <w:p w:rsidR="003B0815" w:rsidRDefault="003B0815" w14:paraId="7433DBC4" w14:textId="77777777">
            <w:pPr>
              <w:keepNext/>
              <w:rPr>
                <w:sz w:val="20"/>
              </w:rPr>
            </w:pPr>
            <w:r>
              <w:rPr>
                <w:sz w:val="20"/>
              </w:rPr>
              <w:t>Recurring average annual costs:</w:t>
            </w:r>
          </w:p>
        </w:tc>
        <w:tc>
          <w:tcPr>
            <w:tcW w:w="1440" w:type="dxa"/>
            <w:vAlign w:val="bottom"/>
          </w:tcPr>
          <w:p w:rsidR="003B0815" w:rsidRDefault="003B0815" w14:paraId="0482EF75" w14:textId="77777777">
            <w:pPr>
              <w:keepNext/>
              <w:jc w:val="right"/>
              <w:rPr>
                <w:sz w:val="20"/>
              </w:rPr>
            </w:pPr>
            <w:r>
              <w:rPr>
                <w:sz w:val="20"/>
                <w:szCs w:val="20"/>
              </w:rPr>
              <w:t xml:space="preserve">$370 million </w:t>
            </w:r>
          </w:p>
        </w:tc>
      </w:tr>
      <w:tr w:rsidR="003B0815" w14:paraId="2C27FF5D" w14:textId="77777777">
        <w:trPr>
          <w:jc w:val="center"/>
        </w:trPr>
        <w:tc>
          <w:tcPr>
            <w:tcW w:w="2815" w:type="dxa"/>
            <w:tcBorders>
              <w:bottom w:val="nil"/>
            </w:tcBorders>
          </w:tcPr>
          <w:p w:rsidR="003B0815" w:rsidRDefault="003B0815" w14:paraId="7A192EDE" w14:textId="77777777">
            <w:pPr>
              <w:keepNext/>
              <w:rPr>
                <w:sz w:val="20"/>
              </w:rPr>
            </w:pPr>
            <w:r>
              <w:rPr>
                <w:sz w:val="20"/>
              </w:rPr>
              <w:t>10-year PV costs (7%):</w:t>
            </w:r>
          </w:p>
        </w:tc>
        <w:tc>
          <w:tcPr>
            <w:tcW w:w="1440" w:type="dxa"/>
            <w:tcBorders>
              <w:top w:val="nil"/>
              <w:bottom w:val="nil"/>
              <w:right w:val="dashSmallGap" w:color="auto" w:sz="4" w:space="0"/>
            </w:tcBorders>
            <w:vAlign w:val="bottom"/>
          </w:tcPr>
          <w:p w:rsidR="003B0815" w:rsidRDefault="003B0815" w14:paraId="3327F05D" w14:textId="77777777">
            <w:pPr>
              <w:keepNext/>
              <w:jc w:val="right"/>
              <w:rPr>
                <w:sz w:val="20"/>
              </w:rPr>
            </w:pPr>
            <w:r>
              <w:rPr>
                <w:sz w:val="20"/>
                <w:szCs w:val="20"/>
              </w:rPr>
              <w:t xml:space="preserve">$3,501 million </w:t>
            </w:r>
          </w:p>
        </w:tc>
        <w:tc>
          <w:tcPr>
            <w:tcW w:w="2880" w:type="dxa"/>
            <w:tcBorders>
              <w:top w:val="nil"/>
              <w:left w:val="dashSmallGap" w:color="auto" w:sz="4" w:space="0"/>
              <w:bottom w:val="nil"/>
            </w:tcBorders>
          </w:tcPr>
          <w:p w:rsidR="003B0815" w:rsidRDefault="003B0815" w14:paraId="1E3CE10D" w14:textId="77777777">
            <w:pPr>
              <w:keepNext/>
              <w:rPr>
                <w:sz w:val="20"/>
              </w:rPr>
            </w:pPr>
            <w:r>
              <w:rPr>
                <w:sz w:val="20"/>
              </w:rPr>
              <w:t>10-year PV costs (7%):</w:t>
            </w:r>
          </w:p>
        </w:tc>
        <w:tc>
          <w:tcPr>
            <w:tcW w:w="1440" w:type="dxa"/>
            <w:tcBorders>
              <w:bottom w:val="nil"/>
            </w:tcBorders>
            <w:vAlign w:val="bottom"/>
          </w:tcPr>
          <w:p w:rsidR="003B0815" w:rsidRDefault="003B0815" w14:paraId="20926B38" w14:textId="77777777">
            <w:pPr>
              <w:keepNext/>
              <w:jc w:val="right"/>
              <w:rPr>
                <w:sz w:val="20"/>
              </w:rPr>
            </w:pPr>
            <w:r>
              <w:rPr>
                <w:sz w:val="20"/>
                <w:szCs w:val="20"/>
              </w:rPr>
              <w:t xml:space="preserve">$2,576 million </w:t>
            </w:r>
          </w:p>
        </w:tc>
      </w:tr>
      <w:tr w:rsidR="003B0815" w14:paraId="69E378C0" w14:textId="77777777">
        <w:trPr>
          <w:jc w:val="center"/>
        </w:trPr>
        <w:tc>
          <w:tcPr>
            <w:tcW w:w="2815" w:type="dxa"/>
            <w:tcBorders>
              <w:top w:val="nil"/>
              <w:bottom w:val="nil"/>
            </w:tcBorders>
          </w:tcPr>
          <w:p w:rsidR="003B0815" w:rsidRDefault="003B0815" w14:paraId="157C5938" w14:textId="77777777">
            <w:pPr>
              <w:keepNext/>
              <w:rPr>
                <w:sz w:val="20"/>
              </w:rPr>
            </w:pPr>
            <w:r>
              <w:rPr>
                <w:sz w:val="20"/>
              </w:rPr>
              <w:t>10-year PV costs (3%):</w:t>
            </w:r>
          </w:p>
        </w:tc>
        <w:tc>
          <w:tcPr>
            <w:tcW w:w="1440" w:type="dxa"/>
            <w:tcBorders>
              <w:top w:val="nil"/>
              <w:bottom w:val="nil"/>
              <w:right w:val="dashSmallGap" w:color="auto" w:sz="4" w:space="0"/>
            </w:tcBorders>
            <w:vAlign w:val="bottom"/>
          </w:tcPr>
          <w:p w:rsidR="003B0815" w:rsidRDefault="003B0815" w14:paraId="5E77894A" w14:textId="77777777">
            <w:pPr>
              <w:keepNext/>
              <w:jc w:val="right"/>
              <w:rPr>
                <w:sz w:val="20"/>
              </w:rPr>
            </w:pPr>
            <w:r>
              <w:rPr>
                <w:sz w:val="20"/>
                <w:szCs w:val="20"/>
              </w:rPr>
              <w:t xml:space="preserve">$4,255 million </w:t>
            </w:r>
          </w:p>
        </w:tc>
        <w:tc>
          <w:tcPr>
            <w:tcW w:w="2880" w:type="dxa"/>
            <w:tcBorders>
              <w:top w:val="nil"/>
              <w:left w:val="dashSmallGap" w:color="auto" w:sz="4" w:space="0"/>
              <w:bottom w:val="nil"/>
            </w:tcBorders>
          </w:tcPr>
          <w:p w:rsidR="003B0815" w:rsidRDefault="003B0815" w14:paraId="2ADAD4D2" w14:textId="77777777">
            <w:pPr>
              <w:keepNext/>
              <w:rPr>
                <w:sz w:val="20"/>
              </w:rPr>
            </w:pPr>
            <w:r>
              <w:rPr>
                <w:sz w:val="20"/>
              </w:rPr>
              <w:t>10-year PV costs (3%):</w:t>
            </w:r>
          </w:p>
        </w:tc>
        <w:tc>
          <w:tcPr>
            <w:tcW w:w="1440" w:type="dxa"/>
            <w:tcBorders>
              <w:top w:val="nil"/>
              <w:bottom w:val="nil"/>
            </w:tcBorders>
            <w:vAlign w:val="bottom"/>
          </w:tcPr>
          <w:p w:rsidR="003B0815" w:rsidRDefault="003B0815" w14:paraId="28233636" w14:textId="77777777">
            <w:pPr>
              <w:keepNext/>
              <w:jc w:val="right"/>
              <w:rPr>
                <w:sz w:val="20"/>
              </w:rPr>
            </w:pPr>
            <w:r>
              <w:rPr>
                <w:sz w:val="20"/>
                <w:szCs w:val="20"/>
              </w:rPr>
              <w:t xml:space="preserve">$3,129 million </w:t>
            </w:r>
          </w:p>
        </w:tc>
      </w:tr>
      <w:tr w:rsidR="003B0815" w14:paraId="07DE7FAD" w14:textId="77777777">
        <w:trPr>
          <w:jc w:val="center"/>
        </w:trPr>
        <w:tc>
          <w:tcPr>
            <w:tcW w:w="2815" w:type="dxa"/>
            <w:tcBorders>
              <w:top w:val="nil"/>
              <w:bottom w:val="nil"/>
            </w:tcBorders>
          </w:tcPr>
          <w:p w:rsidR="003B0815" w:rsidRDefault="003B0815" w14:paraId="569C545C" w14:textId="77777777">
            <w:pPr>
              <w:keepNext/>
              <w:rPr>
                <w:sz w:val="20"/>
              </w:rPr>
            </w:pPr>
          </w:p>
        </w:tc>
        <w:tc>
          <w:tcPr>
            <w:tcW w:w="1440" w:type="dxa"/>
            <w:tcBorders>
              <w:top w:val="nil"/>
              <w:bottom w:val="nil"/>
              <w:right w:val="nil"/>
            </w:tcBorders>
          </w:tcPr>
          <w:p w:rsidR="003B0815" w:rsidRDefault="003B0815" w14:paraId="465D3BDE" w14:textId="77777777">
            <w:pPr>
              <w:keepNext/>
              <w:jc w:val="right"/>
              <w:rPr>
                <w:sz w:val="20"/>
              </w:rPr>
            </w:pPr>
          </w:p>
        </w:tc>
        <w:tc>
          <w:tcPr>
            <w:tcW w:w="2880" w:type="dxa"/>
            <w:tcBorders>
              <w:top w:val="nil"/>
              <w:left w:val="nil"/>
              <w:bottom w:val="nil"/>
            </w:tcBorders>
          </w:tcPr>
          <w:p w:rsidR="003B0815" w:rsidRDefault="003B0815" w14:paraId="01CE8374" w14:textId="77777777">
            <w:pPr>
              <w:keepNext/>
              <w:rPr>
                <w:sz w:val="20"/>
              </w:rPr>
            </w:pPr>
          </w:p>
        </w:tc>
        <w:tc>
          <w:tcPr>
            <w:tcW w:w="1440" w:type="dxa"/>
            <w:tcBorders>
              <w:top w:val="nil"/>
              <w:bottom w:val="nil"/>
            </w:tcBorders>
          </w:tcPr>
          <w:p w:rsidR="003B0815" w:rsidRDefault="003B0815" w14:paraId="6A959769" w14:textId="77777777">
            <w:pPr>
              <w:keepNext/>
              <w:jc w:val="right"/>
              <w:rPr>
                <w:sz w:val="20"/>
              </w:rPr>
            </w:pPr>
          </w:p>
        </w:tc>
      </w:tr>
      <w:tr w:rsidR="003B0815" w14:paraId="6644D999" w14:textId="77777777">
        <w:trPr>
          <w:jc w:val="center"/>
        </w:trPr>
        <w:tc>
          <w:tcPr>
            <w:tcW w:w="8575" w:type="dxa"/>
            <w:gridSpan w:val="4"/>
            <w:tcBorders>
              <w:top w:val="nil"/>
            </w:tcBorders>
          </w:tcPr>
          <w:p w:rsidR="003B0815" w:rsidRDefault="003B0815" w14:paraId="7DD4C2DF" w14:textId="77777777">
            <w:pPr>
              <w:keepNext/>
              <w:rPr>
                <w:sz w:val="20"/>
              </w:rPr>
            </w:pPr>
            <w:r>
              <w:rPr>
                <w:sz w:val="20"/>
              </w:rPr>
              <w:t>The benefit of this alternative relative to Alternative #4 would be a slight decrease in the false positive rate due to additional data used for watch list matching.</w:t>
            </w:r>
          </w:p>
        </w:tc>
      </w:tr>
    </w:tbl>
    <w:p w:rsidR="003B0815" w:rsidRDefault="003B0815" w14:paraId="7A5CB4B2" w14:textId="77777777">
      <w:pPr>
        <w:spacing w:line="360" w:lineRule="auto"/>
        <w:rPr>
          <w:b/>
        </w:rPr>
      </w:pPr>
    </w:p>
    <w:p w:rsidR="003B0815" w:rsidRDefault="003B0815" w14:paraId="518D0301" w14:textId="77777777">
      <w:pPr>
        <w:keepNext/>
        <w:rPr>
          <w:b/>
        </w:rPr>
      </w:pPr>
      <w:r>
        <w:rPr>
          <w:b/>
        </w:rPr>
        <w:t>Alternative #6: Require reservation agents to provide a brief privacy notice for every reservation.</w:t>
      </w:r>
      <w:r>
        <w:rPr>
          <w:b/>
        </w:rPr>
        <w:br/>
      </w:r>
    </w:p>
    <w:p w:rsidR="003B0815" w:rsidRDefault="003B0815" w14:paraId="29B91E66" w14:textId="77777777">
      <w:pPr>
        <w:spacing w:line="360" w:lineRule="auto"/>
        <w:ind w:firstLine="720"/>
      </w:pPr>
      <w:r>
        <w:t>This alternative would require airline reservation agents, including, by extension, travel agents to provide a brief privacy notice during every reservation prior to collecting information from passengers.  The reservation process for non-traveling individuals and passengers making both in-person and online reservations would be unchanged from Alternative #4.  By contrast, however, this alternative would require reservation agents to provide a short privacy statement to passengers making reservations over the telephone.</w:t>
      </w:r>
    </w:p>
    <w:p w:rsidR="003B0815" w:rsidRDefault="003B0815" w14:paraId="3DCFEB26" w14:textId="77777777">
      <w:pPr>
        <w:spacing w:line="360" w:lineRule="auto"/>
        <w:ind w:firstLine="720"/>
      </w:pPr>
      <w:r>
        <w:t xml:space="preserve">This alternative would ensure that every passenger was informed that his or her personal information would be shared with TSA.  Rather than requiring reservation agents to provide the entire privacy notice, however, TSA determined a brief statement would be sufficient.  This statement would advise passengers that their reservation information would be shared with TSA and that they should go to </w:t>
      </w:r>
      <w:hyperlink w:history="1" r:id="rId27">
        <w:r>
          <w:rPr>
            <w:rStyle w:val="Hyperlink"/>
          </w:rPr>
          <w:t>www.tsa.gov</w:t>
        </w:r>
      </w:hyperlink>
      <w:r>
        <w:t xml:space="preserve"> for more information.  </w:t>
      </w:r>
    </w:p>
    <w:p w:rsidR="003B0815" w:rsidRDefault="003B0815" w14:paraId="6C7CDE34" w14:textId="77777777">
      <w:pPr>
        <w:spacing w:line="360" w:lineRule="auto"/>
        <w:ind w:firstLine="720"/>
      </w:pPr>
      <w:r>
        <w:t>This interpretation may or may not result in costs to reservation agents due to the availability of automated voice response units (VRUs), which could be modified to provide the notice to passengers prior to transferring them to a reservation agent.  TSA assumed all airline call centers would have VRUs, as would many larger travel agencies.  TSA determined that only small travel agencies, as defined by the Small Business Administration, would actually be affected by the privacy notice requirement in this alternative.  The SBA defines a “small” travel agency as a firm with fewer than $3.5 million in annual revenue.</w:t>
      </w:r>
      <w:r>
        <w:rPr>
          <w:rStyle w:val="FootnoteReference"/>
        </w:rPr>
        <w:footnoteReference w:id="43"/>
      </w:r>
      <w:r>
        <w:t xml:space="preserve">  SBA data indicates that in 2003, the most recent year for which data was available, agencies with less than $5 million in annual revenue accounted for 35% of all reported travel agency revenues.</w:t>
      </w:r>
      <w:r>
        <w:rPr>
          <w:rStyle w:val="FootnoteReference"/>
        </w:rPr>
        <w:footnoteReference w:id="44"/>
      </w:r>
      <w:r>
        <w:t xml:space="preserve">  Consequently, TSA evaluated a high scenario where travel agents verbally provide a 20 second privacy notice to passengers during 35% of their reservations, and a low scenario where neither travel agents nor airline reservation agents realize costs as a result of the notice.  Passengers, however, would incur an opportunity cost of 10 to 20 seconds for every reservation in either scenario since they would not have the option to avoid listening to it.</w:t>
      </w:r>
    </w:p>
    <w:tbl>
      <w:tblPr>
        <w:tblW w:w="0" w:type="auto"/>
        <w:jc w:val="center"/>
        <w:tblBorders>
          <w:top w:val="single" w:color="auto" w:sz="4" w:space="0"/>
          <w:left w:val="single" w:color="auto" w:sz="4" w:space="0"/>
          <w:bottom w:val="single" w:color="auto" w:sz="4" w:space="0"/>
          <w:right w:val="single" w:color="auto" w:sz="4" w:space="0"/>
        </w:tblBorders>
        <w:tblLayout w:type="fixed"/>
        <w:tblCellMar>
          <w:left w:w="115" w:type="dxa"/>
          <w:right w:w="115" w:type="dxa"/>
        </w:tblCellMar>
        <w:tblLook w:val="01E0" w:firstRow="1" w:lastRow="1" w:firstColumn="1" w:lastColumn="1" w:noHBand="0" w:noVBand="0"/>
      </w:tblPr>
      <w:tblGrid>
        <w:gridCol w:w="2815"/>
        <w:gridCol w:w="1440"/>
        <w:gridCol w:w="2880"/>
        <w:gridCol w:w="1440"/>
      </w:tblGrid>
      <w:tr w:rsidR="003B0815" w14:paraId="7828F949" w14:textId="77777777">
        <w:trPr>
          <w:jc w:val="center"/>
        </w:trPr>
        <w:tc>
          <w:tcPr>
            <w:tcW w:w="2815" w:type="dxa"/>
          </w:tcPr>
          <w:p w:rsidR="003B0815" w:rsidRDefault="003B0815" w14:paraId="0D656316" w14:textId="77777777">
            <w:pPr>
              <w:keepNext/>
              <w:rPr>
                <w:sz w:val="20"/>
                <w:u w:val="single"/>
              </w:rPr>
            </w:pPr>
            <w:r>
              <w:rPr>
                <w:sz w:val="20"/>
                <w:u w:val="single"/>
              </w:rPr>
              <w:t>High Cost Scenario</w:t>
            </w:r>
          </w:p>
        </w:tc>
        <w:tc>
          <w:tcPr>
            <w:tcW w:w="1440" w:type="dxa"/>
            <w:tcBorders>
              <w:top w:val="single" w:color="auto" w:sz="4" w:space="0"/>
              <w:bottom w:val="nil"/>
              <w:right w:val="dashSmallGap" w:color="auto" w:sz="4" w:space="0"/>
            </w:tcBorders>
          </w:tcPr>
          <w:p w:rsidR="003B0815" w:rsidRDefault="003B0815" w14:paraId="0596EF94" w14:textId="77777777">
            <w:pPr>
              <w:keepNext/>
              <w:rPr>
                <w:sz w:val="20"/>
                <w:u w:val="single"/>
              </w:rPr>
            </w:pPr>
          </w:p>
        </w:tc>
        <w:tc>
          <w:tcPr>
            <w:tcW w:w="2880" w:type="dxa"/>
            <w:tcBorders>
              <w:top w:val="single" w:color="auto" w:sz="4" w:space="0"/>
              <w:left w:val="dashSmallGap" w:color="auto" w:sz="4" w:space="0"/>
              <w:bottom w:val="nil"/>
            </w:tcBorders>
          </w:tcPr>
          <w:p w:rsidR="003B0815" w:rsidRDefault="003B0815" w14:paraId="0A71B72B" w14:textId="77777777">
            <w:pPr>
              <w:keepNext/>
              <w:rPr>
                <w:sz w:val="20"/>
                <w:u w:val="single"/>
              </w:rPr>
            </w:pPr>
            <w:r>
              <w:rPr>
                <w:sz w:val="20"/>
                <w:u w:val="single"/>
              </w:rPr>
              <w:t>Low Cost Scenario</w:t>
            </w:r>
          </w:p>
        </w:tc>
        <w:tc>
          <w:tcPr>
            <w:tcW w:w="1440" w:type="dxa"/>
          </w:tcPr>
          <w:p w:rsidR="003B0815" w:rsidRDefault="003B0815" w14:paraId="478C9B27" w14:textId="77777777">
            <w:pPr>
              <w:keepNext/>
              <w:rPr>
                <w:sz w:val="20"/>
              </w:rPr>
            </w:pPr>
          </w:p>
        </w:tc>
      </w:tr>
      <w:tr w:rsidR="003B0815" w14:paraId="4B92C0B2" w14:textId="77777777">
        <w:trPr>
          <w:jc w:val="center"/>
        </w:trPr>
        <w:tc>
          <w:tcPr>
            <w:tcW w:w="2815" w:type="dxa"/>
          </w:tcPr>
          <w:p w:rsidR="003B0815" w:rsidRDefault="003B0815" w14:paraId="56F068B8" w14:textId="77777777">
            <w:pPr>
              <w:keepNext/>
              <w:rPr>
                <w:sz w:val="20"/>
              </w:rPr>
            </w:pPr>
          </w:p>
        </w:tc>
        <w:tc>
          <w:tcPr>
            <w:tcW w:w="1440" w:type="dxa"/>
            <w:tcBorders>
              <w:top w:val="nil"/>
              <w:bottom w:val="nil"/>
              <w:right w:val="dashSmallGap" w:color="auto" w:sz="4" w:space="0"/>
            </w:tcBorders>
          </w:tcPr>
          <w:p w:rsidR="003B0815" w:rsidRDefault="003B0815" w14:paraId="5FEE36C7" w14:textId="77777777">
            <w:pPr>
              <w:keepNext/>
              <w:rPr>
                <w:sz w:val="20"/>
              </w:rPr>
            </w:pPr>
          </w:p>
        </w:tc>
        <w:tc>
          <w:tcPr>
            <w:tcW w:w="2880" w:type="dxa"/>
            <w:tcBorders>
              <w:top w:val="nil"/>
              <w:left w:val="dashSmallGap" w:color="auto" w:sz="4" w:space="0"/>
              <w:bottom w:val="nil"/>
            </w:tcBorders>
          </w:tcPr>
          <w:p w:rsidR="003B0815" w:rsidRDefault="003B0815" w14:paraId="50B86BA0" w14:textId="77777777">
            <w:pPr>
              <w:keepNext/>
              <w:rPr>
                <w:sz w:val="20"/>
              </w:rPr>
            </w:pPr>
          </w:p>
        </w:tc>
        <w:tc>
          <w:tcPr>
            <w:tcW w:w="1440" w:type="dxa"/>
          </w:tcPr>
          <w:p w:rsidR="003B0815" w:rsidRDefault="003B0815" w14:paraId="4E05B237" w14:textId="77777777">
            <w:pPr>
              <w:keepNext/>
              <w:rPr>
                <w:sz w:val="20"/>
              </w:rPr>
            </w:pPr>
          </w:p>
        </w:tc>
      </w:tr>
      <w:tr w:rsidR="003B0815" w14:paraId="6B4DB0D2" w14:textId="77777777">
        <w:trPr>
          <w:jc w:val="center"/>
        </w:trPr>
        <w:tc>
          <w:tcPr>
            <w:tcW w:w="2815" w:type="dxa"/>
          </w:tcPr>
          <w:p w:rsidR="003B0815" w:rsidRDefault="003B0815" w14:paraId="57F748E6" w14:textId="77777777">
            <w:pPr>
              <w:keepNext/>
              <w:rPr>
                <w:sz w:val="20"/>
              </w:rPr>
            </w:pPr>
            <w:r>
              <w:rPr>
                <w:sz w:val="20"/>
              </w:rPr>
              <w:t>First-year Costs:</w:t>
            </w:r>
          </w:p>
        </w:tc>
        <w:tc>
          <w:tcPr>
            <w:tcW w:w="1440" w:type="dxa"/>
            <w:tcBorders>
              <w:top w:val="nil"/>
              <w:bottom w:val="nil"/>
              <w:right w:val="dashSmallGap" w:color="auto" w:sz="4" w:space="0"/>
            </w:tcBorders>
            <w:vAlign w:val="bottom"/>
          </w:tcPr>
          <w:p w:rsidR="003B0815" w:rsidRDefault="003B0815" w14:paraId="44B49066" w14:textId="77777777">
            <w:pPr>
              <w:keepNext/>
              <w:jc w:val="right"/>
              <w:rPr>
                <w:sz w:val="20"/>
              </w:rPr>
            </w:pPr>
            <w:r>
              <w:rPr>
                <w:sz w:val="20"/>
                <w:szCs w:val="20"/>
              </w:rPr>
              <w:t xml:space="preserve">$512 million </w:t>
            </w:r>
          </w:p>
        </w:tc>
        <w:tc>
          <w:tcPr>
            <w:tcW w:w="2880" w:type="dxa"/>
            <w:tcBorders>
              <w:top w:val="nil"/>
              <w:left w:val="dashSmallGap" w:color="auto" w:sz="4" w:space="0"/>
              <w:bottom w:val="nil"/>
            </w:tcBorders>
          </w:tcPr>
          <w:p w:rsidR="003B0815" w:rsidRDefault="003B0815" w14:paraId="5E1461A9" w14:textId="77777777">
            <w:pPr>
              <w:keepNext/>
              <w:rPr>
                <w:sz w:val="20"/>
              </w:rPr>
            </w:pPr>
            <w:r>
              <w:rPr>
                <w:sz w:val="20"/>
              </w:rPr>
              <w:t>First-year Costs:</w:t>
            </w:r>
          </w:p>
        </w:tc>
        <w:tc>
          <w:tcPr>
            <w:tcW w:w="1440" w:type="dxa"/>
            <w:vAlign w:val="bottom"/>
          </w:tcPr>
          <w:p w:rsidR="003B0815" w:rsidRDefault="003B0815" w14:paraId="4EF36A9C" w14:textId="77777777">
            <w:pPr>
              <w:keepNext/>
              <w:jc w:val="right"/>
              <w:rPr>
                <w:sz w:val="20"/>
              </w:rPr>
            </w:pPr>
            <w:r>
              <w:rPr>
                <w:sz w:val="20"/>
                <w:szCs w:val="20"/>
              </w:rPr>
              <w:t xml:space="preserve">$336 million </w:t>
            </w:r>
          </w:p>
        </w:tc>
      </w:tr>
      <w:tr w:rsidR="003B0815" w14:paraId="171B4907" w14:textId="77777777">
        <w:trPr>
          <w:jc w:val="center"/>
        </w:trPr>
        <w:tc>
          <w:tcPr>
            <w:tcW w:w="2815" w:type="dxa"/>
          </w:tcPr>
          <w:p w:rsidR="003B0815" w:rsidRDefault="003B0815" w14:paraId="1E855370" w14:textId="77777777">
            <w:pPr>
              <w:keepNext/>
              <w:rPr>
                <w:sz w:val="20"/>
              </w:rPr>
            </w:pPr>
            <w:r>
              <w:rPr>
                <w:sz w:val="20"/>
              </w:rPr>
              <w:t>Recurring average annual costs:</w:t>
            </w:r>
          </w:p>
        </w:tc>
        <w:tc>
          <w:tcPr>
            <w:tcW w:w="1440" w:type="dxa"/>
            <w:tcBorders>
              <w:top w:val="nil"/>
              <w:bottom w:val="nil"/>
              <w:right w:val="dashSmallGap" w:color="auto" w:sz="4" w:space="0"/>
            </w:tcBorders>
            <w:vAlign w:val="bottom"/>
          </w:tcPr>
          <w:p w:rsidR="003B0815" w:rsidRDefault="003B0815" w14:paraId="7BDEBFEF" w14:textId="77777777">
            <w:pPr>
              <w:keepNext/>
              <w:jc w:val="right"/>
              <w:rPr>
                <w:sz w:val="20"/>
              </w:rPr>
            </w:pPr>
            <w:r>
              <w:rPr>
                <w:sz w:val="20"/>
                <w:szCs w:val="20"/>
              </w:rPr>
              <w:t xml:space="preserve">$505 million </w:t>
            </w:r>
          </w:p>
        </w:tc>
        <w:tc>
          <w:tcPr>
            <w:tcW w:w="2880" w:type="dxa"/>
            <w:tcBorders>
              <w:top w:val="nil"/>
              <w:left w:val="dashSmallGap" w:color="auto" w:sz="4" w:space="0"/>
              <w:bottom w:val="nil"/>
            </w:tcBorders>
          </w:tcPr>
          <w:p w:rsidR="003B0815" w:rsidRDefault="003B0815" w14:paraId="2B762245" w14:textId="77777777">
            <w:pPr>
              <w:keepNext/>
              <w:rPr>
                <w:sz w:val="20"/>
              </w:rPr>
            </w:pPr>
            <w:r>
              <w:rPr>
                <w:sz w:val="20"/>
              </w:rPr>
              <w:t>Recurring average annual costs:</w:t>
            </w:r>
          </w:p>
        </w:tc>
        <w:tc>
          <w:tcPr>
            <w:tcW w:w="1440" w:type="dxa"/>
            <w:vAlign w:val="bottom"/>
          </w:tcPr>
          <w:p w:rsidR="003B0815" w:rsidRDefault="003B0815" w14:paraId="6E0D8103" w14:textId="77777777">
            <w:pPr>
              <w:keepNext/>
              <w:jc w:val="right"/>
              <w:rPr>
                <w:sz w:val="20"/>
              </w:rPr>
            </w:pPr>
            <w:r>
              <w:rPr>
                <w:sz w:val="20"/>
                <w:szCs w:val="20"/>
              </w:rPr>
              <w:t xml:space="preserve">$370 million </w:t>
            </w:r>
          </w:p>
        </w:tc>
      </w:tr>
      <w:tr w:rsidR="003B0815" w14:paraId="0D18B341" w14:textId="77777777">
        <w:trPr>
          <w:jc w:val="center"/>
        </w:trPr>
        <w:tc>
          <w:tcPr>
            <w:tcW w:w="2815" w:type="dxa"/>
          </w:tcPr>
          <w:p w:rsidR="003B0815" w:rsidRDefault="003B0815" w14:paraId="0CCD4B9E" w14:textId="77777777">
            <w:pPr>
              <w:keepNext/>
              <w:rPr>
                <w:sz w:val="20"/>
              </w:rPr>
            </w:pPr>
            <w:r>
              <w:rPr>
                <w:sz w:val="20"/>
              </w:rPr>
              <w:t>10-year PV costs (7%):</w:t>
            </w:r>
          </w:p>
        </w:tc>
        <w:tc>
          <w:tcPr>
            <w:tcW w:w="1440" w:type="dxa"/>
            <w:tcBorders>
              <w:top w:val="nil"/>
              <w:bottom w:val="nil"/>
              <w:right w:val="dashSmallGap" w:color="auto" w:sz="4" w:space="0"/>
            </w:tcBorders>
            <w:vAlign w:val="bottom"/>
          </w:tcPr>
          <w:p w:rsidR="003B0815" w:rsidRDefault="003B0815" w14:paraId="3ADA971C" w14:textId="77777777">
            <w:pPr>
              <w:keepNext/>
              <w:jc w:val="right"/>
              <w:rPr>
                <w:sz w:val="20"/>
              </w:rPr>
            </w:pPr>
            <w:r>
              <w:rPr>
                <w:sz w:val="20"/>
                <w:szCs w:val="20"/>
              </w:rPr>
              <w:t xml:space="preserve">$3,546 million </w:t>
            </w:r>
          </w:p>
        </w:tc>
        <w:tc>
          <w:tcPr>
            <w:tcW w:w="2880" w:type="dxa"/>
            <w:tcBorders>
              <w:top w:val="nil"/>
              <w:left w:val="dashSmallGap" w:color="auto" w:sz="4" w:space="0"/>
              <w:bottom w:val="nil"/>
            </w:tcBorders>
          </w:tcPr>
          <w:p w:rsidR="003B0815" w:rsidRDefault="003B0815" w14:paraId="6EE3D52D" w14:textId="77777777">
            <w:pPr>
              <w:keepNext/>
              <w:rPr>
                <w:sz w:val="20"/>
              </w:rPr>
            </w:pPr>
            <w:r>
              <w:rPr>
                <w:sz w:val="20"/>
              </w:rPr>
              <w:t>10-year PV costs (7%):</w:t>
            </w:r>
          </w:p>
        </w:tc>
        <w:tc>
          <w:tcPr>
            <w:tcW w:w="1440" w:type="dxa"/>
            <w:vAlign w:val="bottom"/>
          </w:tcPr>
          <w:p w:rsidR="003B0815" w:rsidRDefault="003B0815" w14:paraId="35760E8B" w14:textId="77777777">
            <w:pPr>
              <w:keepNext/>
              <w:jc w:val="right"/>
              <w:rPr>
                <w:sz w:val="20"/>
              </w:rPr>
            </w:pPr>
            <w:r>
              <w:rPr>
                <w:sz w:val="20"/>
                <w:szCs w:val="20"/>
              </w:rPr>
              <w:t xml:space="preserve">$2,576 million </w:t>
            </w:r>
          </w:p>
        </w:tc>
      </w:tr>
      <w:tr w:rsidR="003B0815" w14:paraId="7AD949F3" w14:textId="77777777">
        <w:trPr>
          <w:jc w:val="center"/>
        </w:trPr>
        <w:tc>
          <w:tcPr>
            <w:tcW w:w="2815" w:type="dxa"/>
          </w:tcPr>
          <w:p w:rsidR="003B0815" w:rsidRDefault="003B0815" w14:paraId="07A18667" w14:textId="77777777">
            <w:pPr>
              <w:keepNext/>
              <w:rPr>
                <w:sz w:val="20"/>
              </w:rPr>
            </w:pPr>
            <w:r>
              <w:rPr>
                <w:sz w:val="20"/>
              </w:rPr>
              <w:t>10-year PV costs (3%):</w:t>
            </w:r>
          </w:p>
        </w:tc>
        <w:tc>
          <w:tcPr>
            <w:tcW w:w="1440" w:type="dxa"/>
            <w:tcBorders>
              <w:top w:val="nil"/>
              <w:bottom w:val="nil"/>
              <w:right w:val="dashSmallGap" w:color="auto" w:sz="4" w:space="0"/>
            </w:tcBorders>
            <w:vAlign w:val="bottom"/>
          </w:tcPr>
          <w:p w:rsidR="003B0815" w:rsidRDefault="003B0815" w14:paraId="5AADE353" w14:textId="77777777">
            <w:pPr>
              <w:keepNext/>
              <w:jc w:val="right"/>
              <w:rPr>
                <w:sz w:val="20"/>
              </w:rPr>
            </w:pPr>
            <w:r>
              <w:rPr>
                <w:sz w:val="20"/>
                <w:szCs w:val="20"/>
              </w:rPr>
              <w:t xml:space="preserve">$4,310 million </w:t>
            </w:r>
          </w:p>
        </w:tc>
        <w:tc>
          <w:tcPr>
            <w:tcW w:w="2880" w:type="dxa"/>
            <w:tcBorders>
              <w:top w:val="nil"/>
              <w:left w:val="dashSmallGap" w:color="auto" w:sz="4" w:space="0"/>
              <w:bottom w:val="nil"/>
            </w:tcBorders>
          </w:tcPr>
          <w:p w:rsidR="003B0815" w:rsidRDefault="003B0815" w14:paraId="5BF6D30C" w14:textId="77777777">
            <w:pPr>
              <w:keepNext/>
              <w:rPr>
                <w:sz w:val="20"/>
              </w:rPr>
            </w:pPr>
            <w:r>
              <w:rPr>
                <w:sz w:val="20"/>
              </w:rPr>
              <w:t>10-year PV costs (3%):</w:t>
            </w:r>
          </w:p>
        </w:tc>
        <w:tc>
          <w:tcPr>
            <w:tcW w:w="1440" w:type="dxa"/>
            <w:vAlign w:val="bottom"/>
          </w:tcPr>
          <w:p w:rsidR="003B0815" w:rsidRDefault="003B0815" w14:paraId="270B62C8" w14:textId="77777777">
            <w:pPr>
              <w:keepNext/>
              <w:jc w:val="right"/>
              <w:rPr>
                <w:sz w:val="20"/>
              </w:rPr>
            </w:pPr>
            <w:r>
              <w:rPr>
                <w:sz w:val="20"/>
                <w:szCs w:val="20"/>
              </w:rPr>
              <w:t xml:space="preserve">$3,129 million </w:t>
            </w:r>
          </w:p>
        </w:tc>
      </w:tr>
      <w:tr w:rsidR="003B0815" w14:paraId="5310E8CD" w14:textId="77777777">
        <w:trPr>
          <w:jc w:val="center"/>
        </w:trPr>
        <w:tc>
          <w:tcPr>
            <w:tcW w:w="2815" w:type="dxa"/>
          </w:tcPr>
          <w:p w:rsidR="003B0815" w:rsidRDefault="003B0815" w14:paraId="7CF6F16D" w14:textId="77777777">
            <w:pPr>
              <w:keepNext/>
              <w:rPr>
                <w:sz w:val="20"/>
              </w:rPr>
            </w:pPr>
          </w:p>
        </w:tc>
        <w:tc>
          <w:tcPr>
            <w:tcW w:w="1440" w:type="dxa"/>
            <w:tcBorders>
              <w:top w:val="nil"/>
              <w:bottom w:val="nil"/>
              <w:right w:val="nil"/>
            </w:tcBorders>
          </w:tcPr>
          <w:p w:rsidR="003B0815" w:rsidRDefault="003B0815" w14:paraId="2898D012" w14:textId="77777777">
            <w:pPr>
              <w:keepNext/>
              <w:jc w:val="right"/>
              <w:rPr>
                <w:sz w:val="20"/>
              </w:rPr>
            </w:pPr>
          </w:p>
        </w:tc>
        <w:tc>
          <w:tcPr>
            <w:tcW w:w="2880" w:type="dxa"/>
            <w:tcBorders>
              <w:top w:val="nil"/>
              <w:left w:val="nil"/>
              <w:bottom w:val="nil"/>
            </w:tcBorders>
          </w:tcPr>
          <w:p w:rsidR="003B0815" w:rsidRDefault="003B0815" w14:paraId="0973048E" w14:textId="77777777">
            <w:pPr>
              <w:keepNext/>
              <w:rPr>
                <w:sz w:val="20"/>
              </w:rPr>
            </w:pPr>
          </w:p>
        </w:tc>
        <w:tc>
          <w:tcPr>
            <w:tcW w:w="1440" w:type="dxa"/>
          </w:tcPr>
          <w:p w:rsidR="003B0815" w:rsidRDefault="003B0815" w14:paraId="1C82700A" w14:textId="77777777">
            <w:pPr>
              <w:keepNext/>
              <w:jc w:val="right"/>
              <w:rPr>
                <w:sz w:val="20"/>
              </w:rPr>
            </w:pPr>
          </w:p>
        </w:tc>
      </w:tr>
      <w:tr w:rsidR="003B0815" w14:paraId="408DF98D" w14:textId="77777777">
        <w:trPr>
          <w:jc w:val="center"/>
        </w:trPr>
        <w:tc>
          <w:tcPr>
            <w:tcW w:w="8575" w:type="dxa"/>
            <w:gridSpan w:val="4"/>
          </w:tcPr>
          <w:p w:rsidR="003B0815" w:rsidRDefault="003B0815" w14:paraId="4ABFF104" w14:textId="77777777">
            <w:pPr>
              <w:keepNext/>
              <w:rPr>
                <w:sz w:val="20"/>
              </w:rPr>
            </w:pPr>
            <w:r>
              <w:rPr>
                <w:sz w:val="20"/>
              </w:rPr>
              <w:t>The benefit of this alternative would be greater assurance that passengers making telephone reservations were aware that their information would be shared with TSA.</w:t>
            </w:r>
          </w:p>
        </w:tc>
      </w:tr>
    </w:tbl>
    <w:p w:rsidR="003B0815" w:rsidRDefault="003B0815" w14:paraId="21AB5A8F" w14:textId="77777777">
      <w:pPr>
        <w:spacing w:line="360" w:lineRule="auto"/>
        <w:ind w:firstLine="720"/>
        <w:rPr>
          <w:b/>
        </w:rPr>
      </w:pPr>
    </w:p>
    <w:p w:rsidR="003B0815" w:rsidRDefault="003B0815" w14:paraId="45BDEC9A" w14:textId="77777777">
      <w:pPr>
        <w:keepNext/>
        <w:spacing w:line="360" w:lineRule="auto"/>
        <w:rPr>
          <w:b/>
        </w:rPr>
      </w:pPr>
      <w:r>
        <w:rPr>
          <w:b/>
        </w:rPr>
        <w:t>Alternative #7: Reservation agents provide full privacy notice.</w:t>
      </w:r>
    </w:p>
    <w:p w:rsidR="003B0815" w:rsidRDefault="003B0815" w14:paraId="222AA2D1" w14:textId="77777777">
      <w:pPr>
        <w:spacing w:line="360" w:lineRule="auto"/>
        <w:ind w:firstLine="720"/>
      </w:pPr>
      <w:r>
        <w:t>In this alternative, TSA would require airlines to provide all persons making domestic air travel reservations with the option of listening to the full privacy notice, which would inform them 1) that the information is being collected on behalf of the government; 2) that provision of the information is voluntary; 3) of the legal authorization for the collection; and, 4) for what purposes the information will be used.  To comply with this requirement airlines and travel agents would orally issue the notice to persons making telephone reservations or reprogram their VRUs.  Persons making reservations using the Internet would have to check a box indicating they had read the privacy notice prior to being able to complete the reservation process and authorize transmission of their information to the airline reservation system.</w:t>
      </w:r>
    </w:p>
    <w:p w:rsidR="003B0815" w:rsidRDefault="003B0815" w14:paraId="58B501B8" w14:textId="77777777">
      <w:pPr>
        <w:spacing w:line="360" w:lineRule="auto"/>
        <w:ind w:firstLine="720"/>
      </w:pPr>
      <w:r>
        <w:t xml:space="preserve">TSA anticipated covered aircraft operators and travel agents would minimize the cost of this alternative by modifying their VRUs to provide the person making the reservation with an option to hear the notice before being transferred to a reservation agent.  </w:t>
      </w:r>
      <w:r>
        <w:rPr>
          <w:bCs/>
        </w:rPr>
        <w:t xml:space="preserve">Given the absence of data on both passenger preferences and the percentage of aircraft operators and travel agents that would use automated systems, however, </w:t>
      </w:r>
      <w:r>
        <w:t xml:space="preserve">TSA evaluated the full range of the possible impact of this alternative by assuming in the high scenario that 100% of persons making telephone reservations would elect to hear the notice and those notices would be given verbally by the reservation agent.  The low scenario assumes all telephone reservations would be provided notice by an automated system and that all passengers would elect to skip the notice.  TSA estimated reservation agents would need 45 seconds to issue the full privacy notice.  TSA estimates of the cost impacts of these various scenarios are shown below.  This alternative yields costs equivalent to Alternative #4 in the low scenario because TSA assumed agents would not incur costs to issue the notice.  Both the primary (midpoint) and high estimates, however, are higher than in Alternative #4.  </w:t>
      </w:r>
      <w:bookmarkStart w:name="OLE_LINK12" w:id="450"/>
      <w:bookmarkStart w:name="OLE_LINK13" w:id="451"/>
    </w:p>
    <w:tbl>
      <w:tblPr>
        <w:tblW w:w="0" w:type="auto"/>
        <w:jc w:val="center"/>
        <w:tblBorders>
          <w:top w:val="single" w:color="auto" w:sz="4" w:space="0"/>
          <w:left w:val="single" w:color="auto" w:sz="4" w:space="0"/>
          <w:bottom w:val="single" w:color="auto" w:sz="4" w:space="0"/>
          <w:right w:val="single" w:color="auto" w:sz="4" w:space="0"/>
        </w:tblBorders>
        <w:tblLayout w:type="fixed"/>
        <w:tblCellMar>
          <w:left w:w="115" w:type="dxa"/>
          <w:right w:w="115" w:type="dxa"/>
        </w:tblCellMar>
        <w:tblLook w:val="01E0" w:firstRow="1" w:lastRow="1" w:firstColumn="1" w:lastColumn="1" w:noHBand="0" w:noVBand="0"/>
      </w:tblPr>
      <w:tblGrid>
        <w:gridCol w:w="2815"/>
        <w:gridCol w:w="1440"/>
        <w:gridCol w:w="2880"/>
        <w:gridCol w:w="1440"/>
      </w:tblGrid>
      <w:tr w:rsidR="003B0815" w14:paraId="56D9DE40" w14:textId="77777777">
        <w:trPr>
          <w:jc w:val="center"/>
        </w:trPr>
        <w:tc>
          <w:tcPr>
            <w:tcW w:w="2815" w:type="dxa"/>
          </w:tcPr>
          <w:p w:rsidR="003B0815" w:rsidRDefault="003B0815" w14:paraId="330FC8DC" w14:textId="77777777">
            <w:pPr>
              <w:keepNext/>
              <w:rPr>
                <w:sz w:val="20"/>
                <w:u w:val="single"/>
              </w:rPr>
            </w:pPr>
            <w:r>
              <w:rPr>
                <w:sz w:val="20"/>
                <w:u w:val="single"/>
              </w:rPr>
              <w:t>High Cost Scenario</w:t>
            </w:r>
          </w:p>
        </w:tc>
        <w:tc>
          <w:tcPr>
            <w:tcW w:w="1440" w:type="dxa"/>
            <w:tcBorders>
              <w:top w:val="single" w:color="auto" w:sz="4" w:space="0"/>
              <w:bottom w:val="nil"/>
              <w:right w:val="dashSmallGap" w:color="auto" w:sz="4" w:space="0"/>
            </w:tcBorders>
          </w:tcPr>
          <w:p w:rsidR="003B0815" w:rsidRDefault="003B0815" w14:paraId="7F9971AA" w14:textId="77777777">
            <w:pPr>
              <w:keepNext/>
              <w:rPr>
                <w:sz w:val="20"/>
                <w:u w:val="single"/>
              </w:rPr>
            </w:pPr>
          </w:p>
        </w:tc>
        <w:tc>
          <w:tcPr>
            <w:tcW w:w="2880" w:type="dxa"/>
            <w:tcBorders>
              <w:top w:val="single" w:color="auto" w:sz="4" w:space="0"/>
              <w:left w:val="dashSmallGap" w:color="auto" w:sz="4" w:space="0"/>
              <w:bottom w:val="nil"/>
            </w:tcBorders>
          </w:tcPr>
          <w:p w:rsidR="003B0815" w:rsidRDefault="003B0815" w14:paraId="3CAA8D7B" w14:textId="77777777">
            <w:pPr>
              <w:keepNext/>
              <w:rPr>
                <w:sz w:val="20"/>
                <w:u w:val="single"/>
              </w:rPr>
            </w:pPr>
            <w:r>
              <w:rPr>
                <w:sz w:val="20"/>
                <w:u w:val="single"/>
              </w:rPr>
              <w:t>Low Cost Scenario</w:t>
            </w:r>
          </w:p>
        </w:tc>
        <w:tc>
          <w:tcPr>
            <w:tcW w:w="1440" w:type="dxa"/>
          </w:tcPr>
          <w:p w:rsidR="003B0815" w:rsidRDefault="003B0815" w14:paraId="760271EF" w14:textId="77777777">
            <w:pPr>
              <w:keepNext/>
              <w:rPr>
                <w:sz w:val="20"/>
                <w:u w:val="single"/>
              </w:rPr>
            </w:pPr>
          </w:p>
        </w:tc>
      </w:tr>
      <w:tr w:rsidR="003B0815" w14:paraId="781ACE46" w14:textId="77777777">
        <w:trPr>
          <w:jc w:val="center"/>
        </w:trPr>
        <w:tc>
          <w:tcPr>
            <w:tcW w:w="4255" w:type="dxa"/>
            <w:gridSpan w:val="2"/>
            <w:tcBorders>
              <w:top w:val="nil"/>
              <w:bottom w:val="nil"/>
              <w:right w:val="dashSmallGap" w:color="auto" w:sz="4" w:space="0"/>
            </w:tcBorders>
          </w:tcPr>
          <w:p w:rsidR="003B0815" w:rsidRDefault="003B0815" w14:paraId="7F3023F9" w14:textId="77777777">
            <w:pPr>
              <w:keepNext/>
              <w:rPr>
                <w:sz w:val="20"/>
              </w:rPr>
            </w:pPr>
          </w:p>
        </w:tc>
        <w:tc>
          <w:tcPr>
            <w:tcW w:w="4320" w:type="dxa"/>
            <w:gridSpan w:val="2"/>
            <w:tcBorders>
              <w:top w:val="nil"/>
              <w:left w:val="dashSmallGap" w:color="auto" w:sz="4" w:space="0"/>
              <w:bottom w:val="nil"/>
            </w:tcBorders>
          </w:tcPr>
          <w:p w:rsidR="003B0815" w:rsidRDefault="003B0815" w14:paraId="74E108C8" w14:textId="77777777">
            <w:pPr>
              <w:keepNext/>
              <w:rPr>
                <w:i/>
                <w:sz w:val="20"/>
              </w:rPr>
            </w:pPr>
          </w:p>
        </w:tc>
      </w:tr>
      <w:tr w:rsidR="003B0815" w14:paraId="63C40773" w14:textId="77777777">
        <w:trPr>
          <w:jc w:val="center"/>
        </w:trPr>
        <w:tc>
          <w:tcPr>
            <w:tcW w:w="2815" w:type="dxa"/>
          </w:tcPr>
          <w:p w:rsidR="003B0815" w:rsidRDefault="003B0815" w14:paraId="376849BE" w14:textId="77777777">
            <w:pPr>
              <w:keepNext/>
              <w:rPr>
                <w:sz w:val="20"/>
              </w:rPr>
            </w:pPr>
            <w:r>
              <w:rPr>
                <w:sz w:val="20"/>
              </w:rPr>
              <w:t>First-year Costs:</w:t>
            </w:r>
          </w:p>
        </w:tc>
        <w:tc>
          <w:tcPr>
            <w:tcW w:w="1440" w:type="dxa"/>
            <w:tcBorders>
              <w:top w:val="nil"/>
              <w:bottom w:val="nil"/>
              <w:right w:val="dashSmallGap" w:color="auto" w:sz="4" w:space="0"/>
            </w:tcBorders>
            <w:vAlign w:val="bottom"/>
          </w:tcPr>
          <w:p w:rsidR="003B0815" w:rsidRDefault="003B0815" w14:paraId="36E1D0AC" w14:textId="77777777">
            <w:pPr>
              <w:keepNext/>
              <w:jc w:val="right"/>
              <w:rPr>
                <w:sz w:val="20"/>
              </w:rPr>
            </w:pPr>
            <w:r>
              <w:rPr>
                <w:sz w:val="20"/>
                <w:szCs w:val="20"/>
              </w:rPr>
              <w:t xml:space="preserve">$659 million </w:t>
            </w:r>
          </w:p>
        </w:tc>
        <w:tc>
          <w:tcPr>
            <w:tcW w:w="2880" w:type="dxa"/>
            <w:tcBorders>
              <w:top w:val="nil"/>
              <w:left w:val="dashSmallGap" w:color="auto" w:sz="4" w:space="0"/>
              <w:bottom w:val="nil"/>
            </w:tcBorders>
          </w:tcPr>
          <w:p w:rsidR="003B0815" w:rsidRDefault="003B0815" w14:paraId="100F1760" w14:textId="77777777">
            <w:pPr>
              <w:keepNext/>
              <w:rPr>
                <w:sz w:val="20"/>
              </w:rPr>
            </w:pPr>
            <w:r>
              <w:rPr>
                <w:sz w:val="20"/>
              </w:rPr>
              <w:t>First-year Costs:</w:t>
            </w:r>
          </w:p>
        </w:tc>
        <w:tc>
          <w:tcPr>
            <w:tcW w:w="1440" w:type="dxa"/>
            <w:vAlign w:val="bottom"/>
          </w:tcPr>
          <w:p w:rsidR="003B0815" w:rsidRDefault="003B0815" w14:paraId="2E007CE4" w14:textId="77777777">
            <w:pPr>
              <w:keepNext/>
              <w:jc w:val="right"/>
              <w:rPr>
                <w:sz w:val="20"/>
              </w:rPr>
            </w:pPr>
            <w:r>
              <w:rPr>
                <w:sz w:val="20"/>
                <w:szCs w:val="20"/>
              </w:rPr>
              <w:t xml:space="preserve">$336 million </w:t>
            </w:r>
          </w:p>
        </w:tc>
      </w:tr>
      <w:tr w:rsidR="003B0815" w14:paraId="08C1A59B" w14:textId="77777777">
        <w:trPr>
          <w:jc w:val="center"/>
        </w:trPr>
        <w:tc>
          <w:tcPr>
            <w:tcW w:w="2815" w:type="dxa"/>
          </w:tcPr>
          <w:p w:rsidR="003B0815" w:rsidRDefault="003B0815" w14:paraId="725EB1B3" w14:textId="77777777">
            <w:pPr>
              <w:keepNext/>
              <w:rPr>
                <w:sz w:val="20"/>
              </w:rPr>
            </w:pPr>
            <w:r>
              <w:rPr>
                <w:sz w:val="20"/>
              </w:rPr>
              <w:t>Recurring average annual costs:</w:t>
            </w:r>
          </w:p>
        </w:tc>
        <w:tc>
          <w:tcPr>
            <w:tcW w:w="1440" w:type="dxa"/>
            <w:tcBorders>
              <w:top w:val="nil"/>
              <w:bottom w:val="nil"/>
              <w:right w:val="dashSmallGap" w:color="auto" w:sz="4" w:space="0"/>
            </w:tcBorders>
            <w:vAlign w:val="bottom"/>
          </w:tcPr>
          <w:p w:rsidR="003B0815" w:rsidRDefault="003B0815" w14:paraId="35D40196" w14:textId="77777777">
            <w:pPr>
              <w:keepNext/>
              <w:jc w:val="right"/>
              <w:rPr>
                <w:sz w:val="20"/>
              </w:rPr>
            </w:pPr>
            <w:r>
              <w:rPr>
                <w:sz w:val="20"/>
                <w:szCs w:val="20"/>
              </w:rPr>
              <w:t xml:space="preserve">$681 million </w:t>
            </w:r>
          </w:p>
        </w:tc>
        <w:tc>
          <w:tcPr>
            <w:tcW w:w="2880" w:type="dxa"/>
            <w:tcBorders>
              <w:top w:val="nil"/>
              <w:left w:val="dashSmallGap" w:color="auto" w:sz="4" w:space="0"/>
              <w:bottom w:val="nil"/>
            </w:tcBorders>
          </w:tcPr>
          <w:p w:rsidR="003B0815" w:rsidRDefault="003B0815" w14:paraId="214D9E27" w14:textId="77777777">
            <w:pPr>
              <w:keepNext/>
              <w:rPr>
                <w:sz w:val="20"/>
              </w:rPr>
            </w:pPr>
            <w:r>
              <w:rPr>
                <w:sz w:val="20"/>
              </w:rPr>
              <w:t>Recurring average annual costs:</w:t>
            </w:r>
          </w:p>
        </w:tc>
        <w:tc>
          <w:tcPr>
            <w:tcW w:w="1440" w:type="dxa"/>
            <w:vAlign w:val="bottom"/>
          </w:tcPr>
          <w:p w:rsidR="003B0815" w:rsidRDefault="003B0815" w14:paraId="39B8FCA9" w14:textId="77777777">
            <w:pPr>
              <w:keepNext/>
              <w:jc w:val="right"/>
              <w:rPr>
                <w:sz w:val="20"/>
              </w:rPr>
            </w:pPr>
            <w:r>
              <w:rPr>
                <w:sz w:val="20"/>
                <w:szCs w:val="20"/>
              </w:rPr>
              <w:t xml:space="preserve">$370 million </w:t>
            </w:r>
          </w:p>
        </w:tc>
      </w:tr>
      <w:tr w:rsidR="003B0815" w14:paraId="46DC0824" w14:textId="77777777">
        <w:trPr>
          <w:jc w:val="center"/>
        </w:trPr>
        <w:tc>
          <w:tcPr>
            <w:tcW w:w="2815" w:type="dxa"/>
          </w:tcPr>
          <w:p w:rsidR="003B0815" w:rsidRDefault="003B0815" w14:paraId="07FAE65B" w14:textId="77777777">
            <w:pPr>
              <w:keepNext/>
              <w:rPr>
                <w:sz w:val="20"/>
              </w:rPr>
            </w:pPr>
            <w:r>
              <w:rPr>
                <w:sz w:val="20"/>
              </w:rPr>
              <w:t>10-year PV costs (7%):</w:t>
            </w:r>
          </w:p>
        </w:tc>
        <w:tc>
          <w:tcPr>
            <w:tcW w:w="1440" w:type="dxa"/>
            <w:tcBorders>
              <w:top w:val="nil"/>
              <w:bottom w:val="nil"/>
              <w:right w:val="dashSmallGap" w:color="auto" w:sz="4" w:space="0"/>
            </w:tcBorders>
            <w:vAlign w:val="bottom"/>
          </w:tcPr>
          <w:p w:rsidR="003B0815" w:rsidRDefault="003B0815" w14:paraId="3F63E9A1" w14:textId="77777777">
            <w:pPr>
              <w:keepNext/>
              <w:jc w:val="right"/>
              <w:rPr>
                <w:sz w:val="20"/>
              </w:rPr>
            </w:pPr>
            <w:r>
              <w:rPr>
                <w:sz w:val="20"/>
                <w:szCs w:val="20"/>
              </w:rPr>
              <w:t xml:space="preserve">$4,739 million </w:t>
            </w:r>
          </w:p>
        </w:tc>
        <w:tc>
          <w:tcPr>
            <w:tcW w:w="2880" w:type="dxa"/>
            <w:tcBorders>
              <w:top w:val="nil"/>
              <w:left w:val="dashSmallGap" w:color="auto" w:sz="4" w:space="0"/>
              <w:bottom w:val="nil"/>
            </w:tcBorders>
          </w:tcPr>
          <w:p w:rsidR="003B0815" w:rsidRDefault="003B0815" w14:paraId="7706A4A5" w14:textId="77777777">
            <w:pPr>
              <w:keepNext/>
              <w:rPr>
                <w:sz w:val="20"/>
              </w:rPr>
            </w:pPr>
            <w:r>
              <w:rPr>
                <w:sz w:val="20"/>
              </w:rPr>
              <w:t>10-year PV costs (7%):</w:t>
            </w:r>
          </w:p>
        </w:tc>
        <w:tc>
          <w:tcPr>
            <w:tcW w:w="1440" w:type="dxa"/>
            <w:vAlign w:val="bottom"/>
          </w:tcPr>
          <w:p w:rsidR="003B0815" w:rsidRDefault="003B0815" w14:paraId="54E74201" w14:textId="77777777">
            <w:pPr>
              <w:keepNext/>
              <w:jc w:val="right"/>
              <w:rPr>
                <w:sz w:val="20"/>
              </w:rPr>
            </w:pPr>
            <w:r>
              <w:rPr>
                <w:sz w:val="20"/>
                <w:szCs w:val="20"/>
              </w:rPr>
              <w:t xml:space="preserve">$2,576 million </w:t>
            </w:r>
          </w:p>
        </w:tc>
      </w:tr>
      <w:tr w:rsidR="003B0815" w14:paraId="63D7DC0A" w14:textId="77777777">
        <w:trPr>
          <w:jc w:val="center"/>
        </w:trPr>
        <w:tc>
          <w:tcPr>
            <w:tcW w:w="2815" w:type="dxa"/>
          </w:tcPr>
          <w:p w:rsidR="003B0815" w:rsidRDefault="003B0815" w14:paraId="02311683" w14:textId="77777777">
            <w:pPr>
              <w:keepNext/>
              <w:rPr>
                <w:sz w:val="20"/>
              </w:rPr>
            </w:pPr>
            <w:r>
              <w:rPr>
                <w:sz w:val="20"/>
              </w:rPr>
              <w:t>10-year PV costs (3%):</w:t>
            </w:r>
          </w:p>
        </w:tc>
        <w:tc>
          <w:tcPr>
            <w:tcW w:w="1440" w:type="dxa"/>
            <w:tcBorders>
              <w:top w:val="nil"/>
              <w:bottom w:val="nil"/>
              <w:right w:val="dashSmallGap" w:color="auto" w:sz="4" w:space="0"/>
            </w:tcBorders>
            <w:vAlign w:val="bottom"/>
          </w:tcPr>
          <w:p w:rsidR="003B0815" w:rsidRDefault="003B0815" w14:paraId="3039535E" w14:textId="77777777">
            <w:pPr>
              <w:keepNext/>
              <w:jc w:val="right"/>
              <w:rPr>
                <w:sz w:val="20"/>
              </w:rPr>
            </w:pPr>
            <w:r>
              <w:rPr>
                <w:sz w:val="20"/>
                <w:szCs w:val="20"/>
              </w:rPr>
              <w:t xml:space="preserve">$5,774 million </w:t>
            </w:r>
          </w:p>
        </w:tc>
        <w:tc>
          <w:tcPr>
            <w:tcW w:w="2880" w:type="dxa"/>
            <w:tcBorders>
              <w:top w:val="nil"/>
              <w:left w:val="dashSmallGap" w:color="auto" w:sz="4" w:space="0"/>
              <w:bottom w:val="nil"/>
            </w:tcBorders>
          </w:tcPr>
          <w:p w:rsidR="003B0815" w:rsidRDefault="003B0815" w14:paraId="22400456" w14:textId="77777777">
            <w:pPr>
              <w:keepNext/>
              <w:rPr>
                <w:sz w:val="20"/>
              </w:rPr>
            </w:pPr>
            <w:r>
              <w:rPr>
                <w:sz w:val="20"/>
              </w:rPr>
              <w:t>10-year PV costs (3%):</w:t>
            </w:r>
          </w:p>
        </w:tc>
        <w:tc>
          <w:tcPr>
            <w:tcW w:w="1440" w:type="dxa"/>
            <w:vAlign w:val="bottom"/>
          </w:tcPr>
          <w:p w:rsidR="003B0815" w:rsidRDefault="003B0815" w14:paraId="0CF310CA" w14:textId="77777777">
            <w:pPr>
              <w:keepNext/>
              <w:jc w:val="right"/>
              <w:rPr>
                <w:sz w:val="20"/>
              </w:rPr>
            </w:pPr>
            <w:r>
              <w:rPr>
                <w:sz w:val="20"/>
                <w:szCs w:val="20"/>
              </w:rPr>
              <w:t xml:space="preserve">$3,129 million </w:t>
            </w:r>
          </w:p>
        </w:tc>
      </w:tr>
      <w:tr w:rsidR="003B0815" w14:paraId="79B6AA7C" w14:textId="77777777">
        <w:trPr>
          <w:jc w:val="center"/>
        </w:trPr>
        <w:tc>
          <w:tcPr>
            <w:tcW w:w="2815" w:type="dxa"/>
          </w:tcPr>
          <w:p w:rsidR="003B0815" w:rsidRDefault="003B0815" w14:paraId="6B21507C" w14:textId="77777777">
            <w:pPr>
              <w:keepNext/>
              <w:rPr>
                <w:sz w:val="20"/>
              </w:rPr>
            </w:pPr>
          </w:p>
        </w:tc>
        <w:tc>
          <w:tcPr>
            <w:tcW w:w="1440" w:type="dxa"/>
            <w:tcBorders>
              <w:top w:val="nil"/>
              <w:bottom w:val="nil"/>
              <w:right w:val="nil"/>
            </w:tcBorders>
          </w:tcPr>
          <w:p w:rsidR="003B0815" w:rsidRDefault="003B0815" w14:paraId="7819919D" w14:textId="77777777">
            <w:pPr>
              <w:keepNext/>
              <w:jc w:val="right"/>
              <w:rPr>
                <w:sz w:val="20"/>
              </w:rPr>
            </w:pPr>
          </w:p>
        </w:tc>
        <w:tc>
          <w:tcPr>
            <w:tcW w:w="2880" w:type="dxa"/>
            <w:tcBorders>
              <w:top w:val="nil"/>
              <w:left w:val="nil"/>
              <w:bottom w:val="nil"/>
            </w:tcBorders>
          </w:tcPr>
          <w:p w:rsidR="003B0815" w:rsidRDefault="003B0815" w14:paraId="07F43BE2" w14:textId="77777777">
            <w:pPr>
              <w:keepNext/>
              <w:rPr>
                <w:sz w:val="20"/>
              </w:rPr>
            </w:pPr>
          </w:p>
        </w:tc>
        <w:tc>
          <w:tcPr>
            <w:tcW w:w="1440" w:type="dxa"/>
          </w:tcPr>
          <w:p w:rsidR="003B0815" w:rsidRDefault="003B0815" w14:paraId="3FAA0CB7" w14:textId="77777777">
            <w:pPr>
              <w:keepNext/>
              <w:jc w:val="right"/>
              <w:rPr>
                <w:sz w:val="20"/>
              </w:rPr>
            </w:pPr>
          </w:p>
        </w:tc>
      </w:tr>
      <w:tr w:rsidR="003B0815" w14:paraId="65399F69" w14:textId="77777777">
        <w:trPr>
          <w:jc w:val="center"/>
        </w:trPr>
        <w:tc>
          <w:tcPr>
            <w:tcW w:w="8575" w:type="dxa"/>
            <w:gridSpan w:val="4"/>
          </w:tcPr>
          <w:p w:rsidR="003B0815" w:rsidRDefault="003B0815" w14:paraId="6FB7475D" w14:textId="77777777">
            <w:pPr>
              <w:keepNext/>
              <w:rPr>
                <w:sz w:val="20"/>
              </w:rPr>
            </w:pPr>
            <w:r>
              <w:rPr>
                <w:sz w:val="20"/>
              </w:rPr>
              <w:t>The benefit of this alternative would be greater flexibility for passengers in choosing whether to listen to the privacy notice when making telephone reservations.</w:t>
            </w:r>
          </w:p>
        </w:tc>
      </w:tr>
      <w:bookmarkEnd w:id="450"/>
      <w:bookmarkEnd w:id="451"/>
    </w:tbl>
    <w:p w:rsidR="003B0815" w:rsidRDefault="003B0815" w14:paraId="6EA57D3F" w14:textId="77777777">
      <w:pPr>
        <w:spacing w:line="360" w:lineRule="auto"/>
      </w:pPr>
    </w:p>
    <w:p w:rsidR="003B0815" w:rsidRDefault="003B0815" w14:paraId="5DC2CEA0" w14:textId="77777777">
      <w:pPr>
        <w:keepNext/>
        <w:spacing w:line="360" w:lineRule="auto"/>
        <w:rPr>
          <w:b/>
        </w:rPr>
      </w:pPr>
      <w:r>
        <w:rPr>
          <w:b/>
        </w:rPr>
        <w:t>Comparison of Alternatives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88"/>
        <w:gridCol w:w="2079"/>
        <w:gridCol w:w="1847"/>
        <w:gridCol w:w="2017"/>
        <w:gridCol w:w="2145"/>
      </w:tblGrid>
      <w:tr w:rsidR="003B0815" w14:paraId="10EE3A68" w14:textId="77777777">
        <w:tc>
          <w:tcPr>
            <w:tcW w:w="0" w:type="auto"/>
            <w:gridSpan w:val="5"/>
            <w:tcBorders>
              <w:top w:val="nil"/>
              <w:left w:val="nil"/>
              <w:bottom w:val="single" w:color="auto" w:sz="12" w:space="0"/>
              <w:right w:val="nil"/>
            </w:tcBorders>
            <w:vAlign w:val="center"/>
          </w:tcPr>
          <w:p w:rsidR="003B0815" w:rsidRDefault="003B0815" w14:paraId="157DA9F8" w14:textId="77777777">
            <w:pPr>
              <w:pStyle w:val="RegEvalTableHeader"/>
              <w:keepNext/>
            </w:pPr>
            <w:bookmarkStart w:name="_Toc141000969" w:id="452"/>
            <w:bookmarkStart w:name="_Toc165278412" w:id="453"/>
            <w:bookmarkStart w:name="_Toc174438419" w:id="454"/>
            <w:bookmarkStart w:name="_Toc207109557" w:id="455"/>
            <w:r>
              <w:t>Table 1.8.2.a Quantitative Comparison of Regulatory Alternatives</w:t>
            </w:r>
            <w:bookmarkEnd w:id="452"/>
            <w:bookmarkEnd w:id="453"/>
            <w:bookmarkEnd w:id="454"/>
            <w:bookmarkEnd w:id="455"/>
          </w:p>
        </w:tc>
      </w:tr>
      <w:tr w:rsidR="003B0815" w14:paraId="6F3257AA" w14:textId="77777777">
        <w:tc>
          <w:tcPr>
            <w:tcW w:w="0" w:type="auto"/>
            <w:tcBorders>
              <w:top w:val="single" w:color="auto" w:sz="12" w:space="0"/>
              <w:left w:val="single" w:color="auto" w:sz="12" w:space="0"/>
            </w:tcBorders>
            <w:vAlign w:val="center"/>
          </w:tcPr>
          <w:p w:rsidR="003B0815" w:rsidRDefault="003B0815" w14:paraId="1E435ACF" w14:textId="77777777">
            <w:pPr>
              <w:keepNext/>
              <w:jc w:val="center"/>
              <w:rPr>
                <w:rFonts w:ascii="Arial" w:hAnsi="Arial"/>
                <w:b/>
                <w:sz w:val="20"/>
              </w:rPr>
            </w:pPr>
            <w:r>
              <w:rPr>
                <w:rFonts w:ascii="Arial" w:hAnsi="Arial"/>
                <w:b/>
                <w:sz w:val="20"/>
              </w:rPr>
              <w:t>Alternative</w:t>
            </w:r>
          </w:p>
        </w:tc>
        <w:tc>
          <w:tcPr>
            <w:tcW w:w="0" w:type="auto"/>
            <w:tcBorders>
              <w:top w:val="single" w:color="auto" w:sz="12" w:space="0"/>
            </w:tcBorders>
            <w:vAlign w:val="center"/>
          </w:tcPr>
          <w:p w:rsidR="003B0815" w:rsidRDefault="003B0815" w14:paraId="18FF856D" w14:textId="77777777">
            <w:pPr>
              <w:keepNext/>
              <w:jc w:val="center"/>
              <w:rPr>
                <w:rFonts w:ascii="Arial" w:hAnsi="Arial"/>
                <w:b/>
                <w:sz w:val="20"/>
              </w:rPr>
            </w:pPr>
            <w:r>
              <w:rPr>
                <w:rFonts w:ascii="Arial" w:hAnsi="Arial"/>
                <w:b/>
                <w:sz w:val="20"/>
              </w:rPr>
              <w:t>4</w:t>
            </w:r>
          </w:p>
        </w:tc>
        <w:tc>
          <w:tcPr>
            <w:tcW w:w="0" w:type="auto"/>
            <w:tcBorders>
              <w:top w:val="single" w:color="auto" w:sz="12" w:space="0"/>
            </w:tcBorders>
            <w:vAlign w:val="center"/>
          </w:tcPr>
          <w:p w:rsidR="003B0815" w:rsidRDefault="003B0815" w14:paraId="1DAE725A" w14:textId="77777777">
            <w:pPr>
              <w:keepNext/>
              <w:jc w:val="center"/>
              <w:rPr>
                <w:rFonts w:ascii="Arial" w:hAnsi="Arial"/>
                <w:b/>
                <w:sz w:val="20"/>
              </w:rPr>
            </w:pPr>
            <w:r>
              <w:rPr>
                <w:rFonts w:ascii="Arial" w:hAnsi="Arial"/>
                <w:b/>
                <w:sz w:val="20"/>
              </w:rPr>
              <w:t>5</w:t>
            </w:r>
          </w:p>
        </w:tc>
        <w:tc>
          <w:tcPr>
            <w:tcW w:w="0" w:type="auto"/>
            <w:tcBorders>
              <w:top w:val="single" w:color="auto" w:sz="12" w:space="0"/>
            </w:tcBorders>
            <w:vAlign w:val="center"/>
          </w:tcPr>
          <w:p w:rsidR="003B0815" w:rsidRDefault="003B0815" w14:paraId="4865B2AC" w14:textId="77777777">
            <w:pPr>
              <w:keepNext/>
              <w:jc w:val="center"/>
              <w:rPr>
                <w:rFonts w:ascii="Arial" w:hAnsi="Arial"/>
                <w:b/>
                <w:sz w:val="20"/>
              </w:rPr>
            </w:pPr>
            <w:r>
              <w:rPr>
                <w:rFonts w:ascii="Arial" w:hAnsi="Arial"/>
                <w:b/>
                <w:sz w:val="20"/>
              </w:rPr>
              <w:t>6</w:t>
            </w:r>
          </w:p>
        </w:tc>
        <w:tc>
          <w:tcPr>
            <w:tcW w:w="0" w:type="auto"/>
            <w:tcBorders>
              <w:top w:val="single" w:color="auto" w:sz="12" w:space="0"/>
              <w:right w:val="single" w:color="auto" w:sz="12" w:space="0"/>
            </w:tcBorders>
            <w:vAlign w:val="center"/>
          </w:tcPr>
          <w:p w:rsidR="003B0815" w:rsidRDefault="003B0815" w14:paraId="0084515F" w14:textId="77777777">
            <w:pPr>
              <w:keepNext/>
              <w:jc w:val="center"/>
              <w:rPr>
                <w:rFonts w:ascii="Arial" w:hAnsi="Arial"/>
                <w:b/>
                <w:sz w:val="20"/>
              </w:rPr>
            </w:pPr>
            <w:r>
              <w:rPr>
                <w:rFonts w:ascii="Arial" w:hAnsi="Arial"/>
                <w:b/>
                <w:sz w:val="20"/>
              </w:rPr>
              <w:t>7</w:t>
            </w:r>
          </w:p>
        </w:tc>
      </w:tr>
      <w:tr w:rsidR="003B0815" w14:paraId="42AA1875" w14:textId="77777777">
        <w:tc>
          <w:tcPr>
            <w:tcW w:w="0" w:type="auto"/>
            <w:tcBorders>
              <w:left w:val="single" w:color="auto" w:sz="12" w:space="0"/>
              <w:bottom w:val="single" w:color="auto" w:sz="4" w:space="0"/>
            </w:tcBorders>
            <w:vAlign w:val="center"/>
          </w:tcPr>
          <w:p w:rsidR="003B0815" w:rsidRDefault="003B0815" w14:paraId="795A10C3" w14:textId="77777777">
            <w:pPr>
              <w:keepNext/>
              <w:jc w:val="center"/>
              <w:rPr>
                <w:rFonts w:ascii="Arial" w:hAnsi="Arial"/>
                <w:b/>
                <w:sz w:val="20"/>
              </w:rPr>
            </w:pPr>
            <w:r>
              <w:rPr>
                <w:rFonts w:ascii="Arial" w:hAnsi="Arial"/>
                <w:b/>
                <w:sz w:val="20"/>
              </w:rPr>
              <w:t>Description</w:t>
            </w:r>
          </w:p>
        </w:tc>
        <w:tc>
          <w:tcPr>
            <w:tcW w:w="0" w:type="auto"/>
            <w:tcBorders>
              <w:bottom w:val="single" w:color="auto" w:sz="4" w:space="0"/>
            </w:tcBorders>
            <w:vAlign w:val="center"/>
          </w:tcPr>
          <w:p w:rsidR="003B0815" w:rsidRDefault="003B0815" w14:paraId="0F4205E6" w14:textId="77777777">
            <w:pPr>
              <w:keepNext/>
              <w:jc w:val="center"/>
              <w:rPr>
                <w:rFonts w:ascii="Arial" w:hAnsi="Arial"/>
                <w:b/>
                <w:sz w:val="20"/>
              </w:rPr>
            </w:pPr>
            <w:r>
              <w:rPr>
                <w:rFonts w:ascii="Arial" w:hAnsi="Arial"/>
                <w:b/>
                <w:sz w:val="20"/>
              </w:rPr>
              <w:t>Full Name, DOB, and Redress Number Required at time of reservation; privacy notice provided online</w:t>
            </w:r>
          </w:p>
        </w:tc>
        <w:tc>
          <w:tcPr>
            <w:tcW w:w="0" w:type="auto"/>
            <w:tcBorders>
              <w:bottom w:val="single" w:color="auto" w:sz="4" w:space="0"/>
            </w:tcBorders>
            <w:vAlign w:val="center"/>
          </w:tcPr>
          <w:p w:rsidR="003B0815" w:rsidRDefault="003B0815" w14:paraId="72E9022C" w14:textId="77777777">
            <w:pPr>
              <w:keepNext/>
              <w:jc w:val="center"/>
              <w:rPr>
                <w:rFonts w:ascii="Arial" w:hAnsi="Arial"/>
                <w:b/>
                <w:sz w:val="20"/>
              </w:rPr>
            </w:pPr>
            <w:r>
              <w:rPr>
                <w:rFonts w:ascii="Arial" w:hAnsi="Arial"/>
                <w:b/>
                <w:sz w:val="20"/>
              </w:rPr>
              <w:t>Alternative 4 + Home Address and Home Phone requested at time of reservation</w:t>
            </w:r>
          </w:p>
        </w:tc>
        <w:tc>
          <w:tcPr>
            <w:tcW w:w="0" w:type="auto"/>
            <w:tcBorders>
              <w:bottom w:val="single" w:color="auto" w:sz="4" w:space="0"/>
            </w:tcBorders>
            <w:vAlign w:val="center"/>
          </w:tcPr>
          <w:p w:rsidR="003B0815" w:rsidRDefault="003B0815" w14:paraId="700545F9" w14:textId="77777777">
            <w:pPr>
              <w:keepNext/>
              <w:jc w:val="center"/>
              <w:rPr>
                <w:rFonts w:ascii="Arial" w:hAnsi="Arial"/>
                <w:b/>
                <w:sz w:val="20"/>
              </w:rPr>
            </w:pPr>
            <w:r>
              <w:rPr>
                <w:rFonts w:ascii="Arial" w:hAnsi="Arial"/>
                <w:b/>
                <w:sz w:val="20"/>
              </w:rPr>
              <w:t>Alternative 4 with requirement for issuance of privacy notices for telephone reservations</w:t>
            </w:r>
          </w:p>
        </w:tc>
        <w:tc>
          <w:tcPr>
            <w:tcW w:w="0" w:type="auto"/>
            <w:tcBorders>
              <w:bottom w:val="single" w:color="auto" w:sz="4" w:space="0"/>
              <w:right w:val="single" w:color="auto" w:sz="12" w:space="0"/>
            </w:tcBorders>
            <w:vAlign w:val="center"/>
          </w:tcPr>
          <w:p w:rsidR="003B0815" w:rsidRDefault="003B0815" w14:paraId="155A4231" w14:textId="77777777">
            <w:pPr>
              <w:keepNext/>
              <w:jc w:val="center"/>
              <w:rPr>
                <w:rFonts w:ascii="Arial" w:hAnsi="Arial"/>
                <w:b/>
                <w:sz w:val="20"/>
              </w:rPr>
            </w:pPr>
            <w:r>
              <w:rPr>
                <w:rFonts w:ascii="Arial" w:hAnsi="Arial"/>
                <w:b/>
                <w:sz w:val="20"/>
              </w:rPr>
              <w:t>Full privacy notice made available during phone reservations; passengers may opt to skip notice</w:t>
            </w:r>
          </w:p>
        </w:tc>
      </w:tr>
      <w:tr w:rsidR="003B0815" w14:paraId="717401E4" w14:textId="77777777">
        <w:tc>
          <w:tcPr>
            <w:tcW w:w="0" w:type="auto"/>
            <w:gridSpan w:val="5"/>
            <w:tcBorders>
              <w:left w:val="single" w:color="auto" w:sz="12" w:space="0"/>
              <w:right w:val="single" w:color="auto" w:sz="12" w:space="0"/>
            </w:tcBorders>
            <w:shd w:val="clear" w:color="auto" w:fill="C0C0C0"/>
          </w:tcPr>
          <w:p w:rsidR="003B0815" w:rsidRDefault="003B0815" w14:paraId="1279255C" w14:textId="77777777">
            <w:pPr>
              <w:keepNext/>
              <w:jc w:val="center"/>
              <w:rPr>
                <w:rFonts w:ascii="Arial" w:hAnsi="Arial"/>
                <w:b/>
                <w:sz w:val="20"/>
              </w:rPr>
            </w:pPr>
            <w:r>
              <w:rPr>
                <w:rFonts w:ascii="Arial" w:hAnsi="Arial"/>
                <w:b/>
                <w:sz w:val="20"/>
              </w:rPr>
              <w:t>Domestic Costs</w:t>
            </w:r>
          </w:p>
          <w:p w:rsidR="003B0815" w:rsidRDefault="003B0815" w14:paraId="4C9B00A1" w14:textId="77777777">
            <w:pPr>
              <w:keepNext/>
              <w:jc w:val="center"/>
              <w:rPr>
                <w:rFonts w:ascii="Arial" w:hAnsi="Arial"/>
                <w:b/>
                <w:sz w:val="20"/>
              </w:rPr>
            </w:pPr>
            <w:r>
              <w:rPr>
                <w:rFonts w:ascii="Arial" w:hAnsi="Arial"/>
                <w:b/>
                <w:sz w:val="20"/>
              </w:rPr>
              <w:t>(Millions of 2005 $, Primary Estimate)</w:t>
            </w:r>
          </w:p>
        </w:tc>
      </w:tr>
      <w:tr w:rsidR="003B0815" w14:paraId="6B8C3532" w14:textId="77777777">
        <w:tc>
          <w:tcPr>
            <w:tcW w:w="0" w:type="auto"/>
            <w:tcBorders>
              <w:left w:val="single" w:color="auto" w:sz="12" w:space="0"/>
            </w:tcBorders>
            <w:vAlign w:val="center"/>
          </w:tcPr>
          <w:p w:rsidR="003B0815" w:rsidRDefault="003B0815" w14:paraId="0A798D21" w14:textId="77777777">
            <w:pPr>
              <w:keepNext/>
              <w:jc w:val="center"/>
              <w:rPr>
                <w:rFonts w:ascii="Arial" w:hAnsi="Arial"/>
                <w:b/>
                <w:sz w:val="20"/>
              </w:rPr>
            </w:pPr>
            <w:r>
              <w:rPr>
                <w:rFonts w:ascii="Arial" w:hAnsi="Arial"/>
                <w:b/>
                <w:sz w:val="20"/>
              </w:rPr>
              <w:t>First Year Costs</w:t>
            </w:r>
          </w:p>
        </w:tc>
        <w:tc>
          <w:tcPr>
            <w:tcW w:w="0" w:type="auto"/>
            <w:vAlign w:val="center"/>
          </w:tcPr>
          <w:p w:rsidR="003B0815" w:rsidRDefault="003B0815" w14:paraId="7427E3DB" w14:textId="77777777">
            <w:pPr>
              <w:keepNext/>
              <w:jc w:val="center"/>
              <w:rPr>
                <w:rFonts w:ascii="Arial" w:hAnsi="Arial"/>
                <w:sz w:val="20"/>
              </w:rPr>
            </w:pPr>
            <w:r>
              <w:rPr>
                <w:rFonts w:ascii="Arial" w:hAnsi="Arial"/>
                <w:sz w:val="20"/>
              </w:rPr>
              <w:t>$331</w:t>
            </w:r>
          </w:p>
        </w:tc>
        <w:tc>
          <w:tcPr>
            <w:tcW w:w="0" w:type="auto"/>
            <w:vAlign w:val="center"/>
          </w:tcPr>
          <w:p w:rsidR="003B0815" w:rsidRDefault="003B0815" w14:paraId="395D4397" w14:textId="77777777">
            <w:pPr>
              <w:keepNext/>
              <w:jc w:val="center"/>
              <w:rPr>
                <w:rFonts w:ascii="Arial" w:hAnsi="Arial"/>
                <w:sz w:val="20"/>
              </w:rPr>
            </w:pPr>
            <w:r>
              <w:rPr>
                <w:rFonts w:ascii="Arial" w:hAnsi="Arial"/>
                <w:sz w:val="20"/>
              </w:rPr>
              <w:t>$415</w:t>
            </w:r>
          </w:p>
        </w:tc>
        <w:tc>
          <w:tcPr>
            <w:tcW w:w="0" w:type="auto"/>
            <w:vAlign w:val="center"/>
          </w:tcPr>
          <w:p w:rsidR="003B0815" w:rsidRDefault="003B0815" w14:paraId="49F6DB96" w14:textId="77777777">
            <w:pPr>
              <w:keepNext/>
              <w:jc w:val="center"/>
              <w:rPr>
                <w:rFonts w:ascii="Arial" w:hAnsi="Arial"/>
                <w:sz w:val="20"/>
              </w:rPr>
            </w:pPr>
            <w:r>
              <w:rPr>
                <w:rFonts w:ascii="Arial" w:hAnsi="Arial"/>
                <w:sz w:val="20"/>
              </w:rPr>
              <w:t>$447</w:t>
            </w:r>
          </w:p>
        </w:tc>
        <w:tc>
          <w:tcPr>
            <w:tcW w:w="0" w:type="auto"/>
            <w:tcBorders>
              <w:right w:val="single" w:color="auto" w:sz="12" w:space="0"/>
            </w:tcBorders>
            <w:vAlign w:val="center"/>
          </w:tcPr>
          <w:p w:rsidR="003B0815" w:rsidRDefault="003B0815" w14:paraId="1E52DA44" w14:textId="77777777">
            <w:pPr>
              <w:keepNext/>
              <w:jc w:val="center"/>
              <w:rPr>
                <w:rFonts w:ascii="Arial" w:hAnsi="Arial"/>
                <w:sz w:val="20"/>
              </w:rPr>
            </w:pPr>
            <w:r>
              <w:rPr>
                <w:rFonts w:ascii="Arial" w:hAnsi="Arial"/>
                <w:sz w:val="20"/>
              </w:rPr>
              <w:t>$561</w:t>
            </w:r>
          </w:p>
        </w:tc>
      </w:tr>
      <w:tr w:rsidR="003B0815" w14:paraId="298E0CC7" w14:textId="77777777">
        <w:tc>
          <w:tcPr>
            <w:tcW w:w="0" w:type="auto"/>
            <w:tcBorders>
              <w:left w:val="single" w:color="auto" w:sz="12" w:space="0"/>
            </w:tcBorders>
            <w:vAlign w:val="center"/>
          </w:tcPr>
          <w:p w:rsidR="003B0815" w:rsidRDefault="003B0815" w14:paraId="7CE1BED7" w14:textId="77777777">
            <w:pPr>
              <w:keepNext/>
              <w:jc w:val="center"/>
              <w:rPr>
                <w:rFonts w:ascii="Arial" w:hAnsi="Arial"/>
                <w:b/>
                <w:sz w:val="20"/>
              </w:rPr>
            </w:pPr>
            <w:r>
              <w:rPr>
                <w:rFonts w:ascii="Arial" w:hAnsi="Arial"/>
                <w:b/>
                <w:sz w:val="20"/>
              </w:rPr>
              <w:t>Average Annual Recurring Costs</w:t>
            </w:r>
          </w:p>
        </w:tc>
        <w:tc>
          <w:tcPr>
            <w:tcW w:w="0" w:type="auto"/>
            <w:vAlign w:val="center"/>
          </w:tcPr>
          <w:p w:rsidR="003B0815" w:rsidRDefault="003B0815" w14:paraId="7B632BB9" w14:textId="77777777">
            <w:pPr>
              <w:keepNext/>
              <w:jc w:val="center"/>
              <w:rPr>
                <w:rFonts w:ascii="Arial" w:hAnsi="Arial"/>
                <w:sz w:val="20"/>
              </w:rPr>
            </w:pPr>
            <w:r>
              <w:rPr>
                <w:rFonts w:ascii="Arial" w:hAnsi="Arial"/>
                <w:sz w:val="20"/>
              </w:rPr>
              <w:t>323</w:t>
            </w:r>
          </w:p>
        </w:tc>
        <w:tc>
          <w:tcPr>
            <w:tcW w:w="0" w:type="auto"/>
            <w:vAlign w:val="center"/>
          </w:tcPr>
          <w:p w:rsidR="003B0815" w:rsidRDefault="003B0815" w14:paraId="26914E85" w14:textId="77777777">
            <w:pPr>
              <w:keepNext/>
              <w:jc w:val="center"/>
              <w:rPr>
                <w:rFonts w:ascii="Arial" w:hAnsi="Arial"/>
                <w:sz w:val="20"/>
              </w:rPr>
            </w:pPr>
            <w:r>
              <w:rPr>
                <w:rFonts w:ascii="Arial" w:hAnsi="Arial"/>
                <w:sz w:val="20"/>
              </w:rPr>
              <w:t>422</w:t>
            </w:r>
          </w:p>
        </w:tc>
        <w:tc>
          <w:tcPr>
            <w:tcW w:w="0" w:type="auto"/>
            <w:vAlign w:val="center"/>
          </w:tcPr>
          <w:p w:rsidR="003B0815" w:rsidRDefault="003B0815" w14:paraId="2F7E16F7" w14:textId="77777777">
            <w:pPr>
              <w:keepNext/>
              <w:jc w:val="center"/>
              <w:rPr>
                <w:rFonts w:ascii="Arial" w:hAnsi="Arial"/>
                <w:sz w:val="20"/>
              </w:rPr>
            </w:pPr>
            <w:r>
              <w:rPr>
                <w:rFonts w:ascii="Arial" w:hAnsi="Arial"/>
                <w:sz w:val="20"/>
              </w:rPr>
              <w:t>460</w:t>
            </w:r>
          </w:p>
        </w:tc>
        <w:tc>
          <w:tcPr>
            <w:tcW w:w="0" w:type="auto"/>
            <w:tcBorders>
              <w:right w:val="single" w:color="auto" w:sz="12" w:space="0"/>
            </w:tcBorders>
            <w:vAlign w:val="center"/>
          </w:tcPr>
          <w:p w:rsidR="003B0815" w:rsidRDefault="003B0815" w14:paraId="1343C29F" w14:textId="77777777">
            <w:pPr>
              <w:keepNext/>
              <w:jc w:val="center"/>
              <w:rPr>
                <w:rFonts w:ascii="Arial" w:hAnsi="Arial"/>
                <w:sz w:val="20"/>
              </w:rPr>
            </w:pPr>
            <w:r>
              <w:rPr>
                <w:rFonts w:ascii="Arial" w:hAnsi="Arial"/>
                <w:sz w:val="20"/>
              </w:rPr>
              <w:t>597</w:t>
            </w:r>
          </w:p>
        </w:tc>
      </w:tr>
      <w:tr w:rsidR="003B0815" w14:paraId="66E22EDC" w14:textId="77777777">
        <w:tc>
          <w:tcPr>
            <w:tcW w:w="0" w:type="auto"/>
            <w:tcBorders>
              <w:left w:val="single" w:color="auto" w:sz="12" w:space="0"/>
            </w:tcBorders>
            <w:vAlign w:val="center"/>
          </w:tcPr>
          <w:p w:rsidR="003B0815" w:rsidRDefault="003B0815" w14:paraId="498CFEEA" w14:textId="77777777">
            <w:pPr>
              <w:keepNext/>
              <w:jc w:val="center"/>
              <w:rPr>
                <w:rFonts w:ascii="Arial" w:hAnsi="Arial"/>
                <w:b/>
                <w:sz w:val="20"/>
              </w:rPr>
            </w:pPr>
            <w:r>
              <w:rPr>
                <w:rFonts w:ascii="Arial" w:hAnsi="Arial"/>
                <w:b/>
                <w:sz w:val="20"/>
              </w:rPr>
              <w:t>10-year PV costs (7%)</w:t>
            </w:r>
          </w:p>
        </w:tc>
        <w:tc>
          <w:tcPr>
            <w:tcW w:w="0" w:type="auto"/>
            <w:vAlign w:val="center"/>
          </w:tcPr>
          <w:p w:rsidR="003B0815" w:rsidRDefault="003B0815" w14:paraId="411C41EE" w14:textId="77777777">
            <w:pPr>
              <w:keepNext/>
              <w:jc w:val="center"/>
              <w:rPr>
                <w:rFonts w:ascii="Arial" w:hAnsi="Arial"/>
                <w:sz w:val="20"/>
              </w:rPr>
            </w:pPr>
            <w:r>
              <w:rPr>
                <w:rFonts w:ascii="Arial" w:hAnsi="Arial"/>
                <w:sz w:val="20"/>
              </w:rPr>
              <w:t>2,301</w:t>
            </w:r>
          </w:p>
        </w:tc>
        <w:tc>
          <w:tcPr>
            <w:tcW w:w="0" w:type="auto"/>
            <w:vAlign w:val="center"/>
          </w:tcPr>
          <w:p w:rsidR="003B0815" w:rsidRDefault="003B0815" w14:paraId="741A2904" w14:textId="77777777">
            <w:pPr>
              <w:keepNext/>
              <w:jc w:val="center"/>
              <w:rPr>
                <w:rFonts w:ascii="Arial" w:hAnsi="Arial"/>
                <w:sz w:val="20"/>
              </w:rPr>
            </w:pPr>
            <w:r>
              <w:rPr>
                <w:rFonts w:ascii="Arial" w:hAnsi="Arial"/>
                <w:sz w:val="20"/>
              </w:rPr>
              <w:t>2,974</w:t>
            </w:r>
          </w:p>
        </w:tc>
        <w:tc>
          <w:tcPr>
            <w:tcW w:w="0" w:type="auto"/>
            <w:vAlign w:val="center"/>
          </w:tcPr>
          <w:p w:rsidR="003B0815" w:rsidRDefault="003B0815" w14:paraId="2AA46B53" w14:textId="77777777">
            <w:pPr>
              <w:keepNext/>
              <w:jc w:val="center"/>
              <w:rPr>
                <w:rFonts w:ascii="Arial" w:hAnsi="Arial"/>
                <w:sz w:val="20"/>
              </w:rPr>
            </w:pPr>
            <w:r>
              <w:rPr>
                <w:rFonts w:ascii="Arial" w:hAnsi="Arial"/>
                <w:sz w:val="20"/>
              </w:rPr>
              <w:t>3,230</w:t>
            </w:r>
          </w:p>
        </w:tc>
        <w:tc>
          <w:tcPr>
            <w:tcW w:w="0" w:type="auto"/>
            <w:tcBorders>
              <w:right w:val="single" w:color="auto" w:sz="12" w:space="0"/>
            </w:tcBorders>
            <w:vAlign w:val="center"/>
          </w:tcPr>
          <w:p w:rsidR="003B0815" w:rsidRDefault="003B0815" w14:paraId="00B62626" w14:textId="77777777">
            <w:pPr>
              <w:keepNext/>
              <w:jc w:val="center"/>
              <w:rPr>
                <w:rFonts w:ascii="Arial" w:hAnsi="Arial"/>
                <w:sz w:val="20"/>
              </w:rPr>
            </w:pPr>
            <w:r>
              <w:rPr>
                <w:rFonts w:ascii="Arial" w:hAnsi="Arial"/>
                <w:sz w:val="20"/>
              </w:rPr>
              <w:t>4,158</w:t>
            </w:r>
          </w:p>
        </w:tc>
      </w:tr>
      <w:tr w:rsidR="003B0815" w14:paraId="1E57D87E" w14:textId="77777777">
        <w:tc>
          <w:tcPr>
            <w:tcW w:w="0" w:type="auto"/>
            <w:tcBorders>
              <w:left w:val="single" w:color="auto" w:sz="12" w:space="0"/>
              <w:bottom w:val="single" w:color="auto" w:sz="4" w:space="0"/>
            </w:tcBorders>
            <w:vAlign w:val="center"/>
          </w:tcPr>
          <w:p w:rsidR="003B0815" w:rsidRDefault="003B0815" w14:paraId="0E2C8A76" w14:textId="77777777">
            <w:pPr>
              <w:keepNext/>
              <w:jc w:val="center"/>
              <w:rPr>
                <w:rFonts w:ascii="Arial" w:hAnsi="Arial"/>
                <w:b/>
                <w:sz w:val="20"/>
              </w:rPr>
            </w:pPr>
            <w:r>
              <w:rPr>
                <w:rFonts w:ascii="Arial" w:hAnsi="Arial"/>
                <w:b/>
                <w:sz w:val="20"/>
              </w:rPr>
              <w:t>10-year PV costs (3%)</w:t>
            </w:r>
          </w:p>
        </w:tc>
        <w:tc>
          <w:tcPr>
            <w:tcW w:w="0" w:type="auto"/>
            <w:tcBorders>
              <w:bottom w:val="single" w:color="auto" w:sz="4" w:space="0"/>
            </w:tcBorders>
            <w:vAlign w:val="center"/>
          </w:tcPr>
          <w:p w:rsidR="003B0815" w:rsidRDefault="003B0815" w14:paraId="5DC89C52" w14:textId="77777777">
            <w:pPr>
              <w:keepNext/>
              <w:jc w:val="center"/>
              <w:rPr>
                <w:rFonts w:ascii="Arial" w:hAnsi="Arial"/>
                <w:sz w:val="20"/>
              </w:rPr>
            </w:pPr>
            <w:r>
              <w:rPr>
                <w:rFonts w:ascii="Arial" w:hAnsi="Arial"/>
                <w:sz w:val="20"/>
              </w:rPr>
              <w:t>$2,787</w:t>
            </w:r>
          </w:p>
        </w:tc>
        <w:tc>
          <w:tcPr>
            <w:tcW w:w="0" w:type="auto"/>
            <w:tcBorders>
              <w:bottom w:val="single" w:color="auto" w:sz="4" w:space="0"/>
            </w:tcBorders>
            <w:vAlign w:val="center"/>
          </w:tcPr>
          <w:p w:rsidR="003B0815" w:rsidRDefault="003B0815" w14:paraId="7421CC41" w14:textId="77777777">
            <w:pPr>
              <w:keepNext/>
              <w:jc w:val="center"/>
              <w:rPr>
                <w:rFonts w:ascii="Arial" w:hAnsi="Arial"/>
                <w:sz w:val="20"/>
              </w:rPr>
            </w:pPr>
            <w:r>
              <w:rPr>
                <w:rFonts w:ascii="Arial" w:hAnsi="Arial"/>
                <w:sz w:val="20"/>
              </w:rPr>
              <w:t>$3,613</w:t>
            </w:r>
          </w:p>
        </w:tc>
        <w:tc>
          <w:tcPr>
            <w:tcW w:w="0" w:type="auto"/>
            <w:tcBorders>
              <w:bottom w:val="single" w:color="auto" w:sz="4" w:space="0"/>
            </w:tcBorders>
            <w:vAlign w:val="center"/>
          </w:tcPr>
          <w:p w:rsidR="003B0815" w:rsidRDefault="003B0815" w14:paraId="4FA5CAFB" w14:textId="77777777">
            <w:pPr>
              <w:keepNext/>
              <w:jc w:val="center"/>
              <w:rPr>
                <w:rFonts w:ascii="Arial" w:hAnsi="Arial"/>
                <w:sz w:val="20"/>
              </w:rPr>
            </w:pPr>
            <w:r>
              <w:rPr>
                <w:rFonts w:ascii="Arial" w:hAnsi="Arial"/>
                <w:sz w:val="20"/>
              </w:rPr>
              <w:t>$3,927</w:t>
            </w:r>
          </w:p>
        </w:tc>
        <w:tc>
          <w:tcPr>
            <w:tcW w:w="0" w:type="auto"/>
            <w:tcBorders>
              <w:bottom w:val="single" w:color="auto" w:sz="4" w:space="0"/>
              <w:right w:val="single" w:color="auto" w:sz="12" w:space="0"/>
            </w:tcBorders>
            <w:vAlign w:val="center"/>
          </w:tcPr>
          <w:p w:rsidR="003B0815" w:rsidRDefault="003B0815" w14:paraId="2668D248" w14:textId="77777777">
            <w:pPr>
              <w:keepNext/>
              <w:jc w:val="center"/>
              <w:rPr>
                <w:rFonts w:ascii="Arial" w:hAnsi="Arial"/>
                <w:sz w:val="20"/>
              </w:rPr>
            </w:pPr>
            <w:r>
              <w:rPr>
                <w:rFonts w:ascii="Arial" w:hAnsi="Arial"/>
                <w:sz w:val="20"/>
              </w:rPr>
              <w:t>$5,066</w:t>
            </w:r>
          </w:p>
        </w:tc>
      </w:tr>
      <w:tr w:rsidR="003B0815" w14:paraId="7EE3F677" w14:textId="77777777">
        <w:tc>
          <w:tcPr>
            <w:tcW w:w="0" w:type="auto"/>
            <w:gridSpan w:val="5"/>
            <w:tcBorders>
              <w:left w:val="single" w:color="auto" w:sz="12" w:space="0"/>
              <w:right w:val="single" w:color="auto" w:sz="12" w:space="0"/>
            </w:tcBorders>
            <w:shd w:val="clear" w:color="auto" w:fill="C0C0C0"/>
          </w:tcPr>
          <w:p w:rsidR="003B0815" w:rsidRDefault="003B0815" w14:paraId="2B19266D" w14:textId="77777777">
            <w:pPr>
              <w:keepNext/>
              <w:jc w:val="center"/>
              <w:rPr>
                <w:rFonts w:ascii="Arial" w:hAnsi="Arial"/>
                <w:b/>
                <w:sz w:val="20"/>
              </w:rPr>
            </w:pPr>
            <w:r>
              <w:rPr>
                <w:rFonts w:ascii="Arial" w:hAnsi="Arial"/>
                <w:b/>
                <w:sz w:val="20"/>
              </w:rPr>
              <w:t>Benefits</w:t>
            </w:r>
          </w:p>
        </w:tc>
      </w:tr>
      <w:tr w:rsidR="003B0815" w14:paraId="0948D131" w14:textId="77777777">
        <w:tc>
          <w:tcPr>
            <w:tcW w:w="0" w:type="auto"/>
            <w:tcBorders>
              <w:left w:val="single" w:color="auto" w:sz="12" w:space="0"/>
              <w:bottom w:val="single" w:color="auto" w:sz="12" w:space="0"/>
            </w:tcBorders>
            <w:vAlign w:val="center"/>
          </w:tcPr>
          <w:p w:rsidR="003B0815" w:rsidRDefault="003B0815" w14:paraId="0A732F64" w14:textId="77777777">
            <w:pPr>
              <w:keepNext/>
              <w:jc w:val="center"/>
              <w:rPr>
                <w:rFonts w:ascii="Arial" w:hAnsi="Arial"/>
                <w:b/>
                <w:sz w:val="20"/>
              </w:rPr>
            </w:pPr>
            <w:r>
              <w:rPr>
                <w:rFonts w:ascii="Arial" w:hAnsi="Arial"/>
                <w:b/>
                <w:sz w:val="20"/>
              </w:rPr>
              <w:t>Compared to Alternative #4.</w:t>
            </w:r>
          </w:p>
        </w:tc>
        <w:tc>
          <w:tcPr>
            <w:tcW w:w="0" w:type="auto"/>
            <w:tcBorders>
              <w:bottom w:val="single" w:color="auto" w:sz="12" w:space="0"/>
            </w:tcBorders>
            <w:vAlign w:val="center"/>
          </w:tcPr>
          <w:p w:rsidR="003B0815" w:rsidRDefault="003B0815" w14:paraId="7FEDC20D" w14:textId="77777777">
            <w:pPr>
              <w:keepNext/>
              <w:jc w:val="center"/>
              <w:rPr>
                <w:rFonts w:ascii="Arial" w:hAnsi="Arial"/>
                <w:sz w:val="20"/>
              </w:rPr>
            </w:pPr>
            <w:r>
              <w:rPr>
                <w:rFonts w:ascii="Arial" w:hAnsi="Arial"/>
                <w:sz w:val="20"/>
              </w:rPr>
              <w:t>--</w:t>
            </w:r>
          </w:p>
        </w:tc>
        <w:tc>
          <w:tcPr>
            <w:tcW w:w="0" w:type="auto"/>
            <w:tcBorders>
              <w:bottom w:val="single" w:color="auto" w:sz="12" w:space="0"/>
            </w:tcBorders>
            <w:vAlign w:val="center"/>
          </w:tcPr>
          <w:p w:rsidR="003B0815" w:rsidRDefault="003B0815" w14:paraId="5F3A6BCD" w14:textId="77777777">
            <w:pPr>
              <w:keepNext/>
              <w:jc w:val="center"/>
              <w:rPr>
                <w:rFonts w:ascii="Arial" w:hAnsi="Arial"/>
                <w:sz w:val="20"/>
              </w:rPr>
            </w:pPr>
            <w:r>
              <w:rPr>
                <w:rFonts w:ascii="Arial" w:hAnsi="Arial"/>
                <w:sz w:val="20"/>
              </w:rPr>
              <w:t>Reduced false positive rate possible.</w:t>
            </w:r>
          </w:p>
        </w:tc>
        <w:tc>
          <w:tcPr>
            <w:tcW w:w="0" w:type="auto"/>
            <w:tcBorders>
              <w:bottom w:val="single" w:color="auto" w:sz="12" w:space="0"/>
            </w:tcBorders>
            <w:vAlign w:val="center"/>
          </w:tcPr>
          <w:p w:rsidR="003B0815" w:rsidRDefault="003B0815" w14:paraId="5F4673B5" w14:textId="77777777">
            <w:pPr>
              <w:keepNext/>
              <w:jc w:val="center"/>
              <w:rPr>
                <w:rFonts w:ascii="Arial" w:hAnsi="Arial"/>
                <w:sz w:val="20"/>
              </w:rPr>
            </w:pPr>
            <w:r>
              <w:rPr>
                <w:rFonts w:ascii="Arial" w:hAnsi="Arial"/>
                <w:sz w:val="20"/>
              </w:rPr>
              <w:t>Passengers making telephone reservations are provided notice.</w:t>
            </w:r>
          </w:p>
        </w:tc>
        <w:tc>
          <w:tcPr>
            <w:tcW w:w="0" w:type="auto"/>
            <w:tcBorders>
              <w:bottom w:val="single" w:color="auto" w:sz="12" w:space="0"/>
              <w:right w:val="single" w:color="auto" w:sz="12" w:space="0"/>
            </w:tcBorders>
            <w:vAlign w:val="center"/>
          </w:tcPr>
          <w:p w:rsidR="003B0815" w:rsidRDefault="003B0815" w14:paraId="2CD1D799" w14:textId="77777777">
            <w:pPr>
              <w:keepNext/>
              <w:jc w:val="center"/>
              <w:rPr>
                <w:rFonts w:ascii="Arial" w:hAnsi="Arial"/>
                <w:sz w:val="20"/>
              </w:rPr>
            </w:pPr>
            <w:r>
              <w:rPr>
                <w:rFonts w:ascii="Arial" w:hAnsi="Arial"/>
                <w:sz w:val="20"/>
                <w:szCs w:val="20"/>
              </w:rPr>
              <w:t>More thorough notification of privacy rights; passengers may skip notice.</w:t>
            </w:r>
          </w:p>
        </w:tc>
      </w:tr>
    </w:tbl>
    <w:p w:rsidR="003B0815" w:rsidRDefault="003B0815" w14:paraId="498DF8A7" w14:textId="77777777">
      <w:pPr>
        <w:spacing w:line="360" w:lineRule="auto"/>
        <w:rPr>
          <w:b/>
        </w:rPr>
      </w:pPr>
    </w:p>
    <w:p w:rsidR="003B0815" w:rsidRDefault="003B0815" w14:paraId="6688ECD1" w14:textId="77777777">
      <w:pPr>
        <w:pStyle w:val="RegEvalSectionSubheader"/>
      </w:pPr>
      <w:bookmarkStart w:name="_Toc202683408" w:id="456"/>
      <w:r>
        <w:t>Section 1.8.3 Comparison of Preferred Alternative Against Timing Variations</w:t>
      </w:r>
      <w:bookmarkEnd w:id="456"/>
    </w:p>
    <w:p w:rsidR="003B0815" w:rsidRDefault="003B0815" w14:paraId="2DF1F913" w14:textId="77777777">
      <w:pPr>
        <w:spacing w:line="360" w:lineRule="auto"/>
        <w:ind w:firstLine="720"/>
      </w:pPr>
      <w:r>
        <w:t>TSA compared the Secure Flight program at full implementation (both domestic and international passengers) at varying times of data submission from the airline operators.  TSA assessed the following alternative times of data submission: 72 hours prior to the scheduled time of flight departure (which is the preferred scenario that TSA adopted); 48 hours prior to the scheduled time of flight departure; 24 hours prior to the scheduled time of flight departure; and 30 minutes prior to the scheduled time of flight departure (which is comparable to the requirements in the  APIS Predeparture Final Rule).  For the 72 hour alternative, TSA calculated the cost to the government, the airline industry, and the traveling public in Section 6 of this Regulatory Evaluation Analysis.  The analysis below discusses and compares the impact on the government, the airline industry, and the traveling public of each alternative.  However, TSA was able to quantify only the Secure Flight hardware, software, and personnel costs for all four alternatives.  With respect to the airline industry and traveling public, the analysis below identifies and discusses the impacts but does not assign specific amounts because TSA was unable to obtain sufficient information to calculate the full costs.</w:t>
      </w:r>
    </w:p>
    <w:p w:rsidR="003B0815" w:rsidRDefault="003B0815" w14:paraId="36ED1E00" w14:textId="77777777">
      <w:pPr>
        <w:keepNext/>
        <w:spacing w:line="360" w:lineRule="auto"/>
        <w:outlineLvl w:val="0"/>
        <w:rPr>
          <w:b/>
        </w:rPr>
      </w:pPr>
    </w:p>
    <w:p w:rsidR="003B0815" w:rsidRDefault="003B0815" w14:paraId="41A4C682" w14:textId="77777777">
      <w:pPr>
        <w:keepNext/>
        <w:spacing w:line="360" w:lineRule="auto"/>
        <w:outlineLvl w:val="0"/>
        <w:rPr>
          <w:b/>
        </w:rPr>
      </w:pPr>
      <w:r>
        <w:rPr>
          <w:b/>
        </w:rPr>
        <w:t>Comparison of Alternatives</w:t>
      </w:r>
    </w:p>
    <w:p w:rsidR="003B0815" w:rsidRDefault="003B0815" w14:paraId="69604144" w14:textId="77777777">
      <w:pPr>
        <w:keepNext/>
        <w:spacing w:line="360" w:lineRule="auto"/>
        <w:outlineLvl w:val="0"/>
        <w:rPr>
          <w:b/>
        </w:rPr>
      </w:pPr>
      <w:r>
        <w:rPr>
          <w:b/>
        </w:rPr>
        <w:t>Alternative #4:  72 Hours Prior to Departure (Preferred Alternative)</w:t>
      </w:r>
    </w:p>
    <w:p w:rsidR="003B0815" w:rsidRDefault="003B0815" w14:paraId="2CB4B7F4" w14:textId="77777777">
      <w:pPr>
        <w:spacing w:line="360" w:lineRule="auto"/>
        <w:ind w:firstLine="720"/>
      </w:pPr>
      <w:r>
        <w:t xml:space="preserve">In this alternative, airline operators will send TSA the initial submission of SFPD no sooner than 72 hours prior to departure.  The preferred 72-hour alternative is the baseline representing the current Secure Flight design and implementation plan.  The economic impact of the preferred 72-hour is discussed in Sections 5, 6, and 7 of this Regulatory and Economic Analysis.  The costs in the table below are the program costs to the government, which are described in total earlier in this evaluation in Table 1.6.5.a.  For this alternative, the column “Baseline Hardware, Licenses Maintenance” corresponds exactly to the “Information Technology” column in Table 1.6.5.a, and the values in the “Baseline CSA &amp; SFA Staffing” column represent a subset of the program costs reported in the “Implementation, Operations Planning and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column of Table 1.6.5.a.</w:t>
      </w:r>
    </w:p>
    <w:p w:rsidR="003B0815" w:rsidRDefault="003B0815" w14:paraId="2C01D4D9" w14:textId="77777777">
      <w:pPr>
        <w:spacing w:line="360" w:lineRule="auto"/>
      </w:pPr>
    </w:p>
    <w:p w:rsidR="003B0815" w:rsidRDefault="003B0815" w14:paraId="5D4F4E10" w14:textId="77777777">
      <w:pPr>
        <w:spacing w:line="360" w:lineRule="auto"/>
      </w:pPr>
      <w:r>
        <w:tab/>
        <w:t xml:space="preserve">TSA chose the 72-hour timing requirements for several reasons.  Under this Final Rule, all Secure Flight processing should be complete for SFPD prior to boarding pass issuance.  Covered aircraft operators currently permit their passengers to check-in and obtain a boarding pass 24 hours prior to the scheduled departure of their flights.  To maintain this current practice, TSA has 48 hours to perform the automated watch list matching and to conduct the appropriate manual processes.  It also provided the government with sufficient time to arrange for any appropriate operational responses.  Secure Flight allocates18 hours to receive batches of SFPD and process them through the automated watch list matching.  This leaves 30 hours for the manual review process.  This manual review process includes review by TSA personnel and, if necessary, review by and coordination with TSC and other governmental agencies involved in identifying and investigating suspected and known terrorists.  The preferred 72-hour alternative will allow TSA sufficient time to clear manually many potential matches identified through the automated watch list matching process and minimize the number of passengers that need to go to the airport for resolution.  In addition, TSA needs sufficient time to coordinate with other governmental agencies to confirm matches and arrange for any appropriate operational responses and the preferred 72-hour alternative provides adequate time. </w:t>
      </w:r>
    </w:p>
    <w:p w:rsidR="003B0815" w:rsidRDefault="003B0815" w14:paraId="4672B5B9" w14:textId="77777777">
      <w:pPr>
        <w:spacing w:line="360" w:lineRule="auto"/>
      </w:pPr>
      <w:r>
        <w:tab/>
        <w:t>According to interviews with aircraft operators in February 2006, TSA was able to estimate that 90% of flight reservations are made in advance of 72 hours before flight departure.  Because TSA will be able to conduct automated watch list matching and manual review for 90 per cent of passengers prior to 24 hours before the scheduled departure time, it will be able to manage its resources to treat SFPD submitted within 24 hours of a flight as a high priority request and will return the results at the rate of up to 2.5 names per second.  Thus, with the preferred 72-hour alternative, TSA will be able to manage its resources in a manner that will minimize disruption in the boarding pass issuance process.</w:t>
      </w:r>
    </w:p>
    <w:p w:rsidR="003B0815" w:rsidRDefault="003B0815" w14:paraId="39B241FD" w14:textId="77777777">
      <w:pPr>
        <w:spacing w:line="360" w:lineRule="auto"/>
        <w:ind w:firstLine="720"/>
      </w:pPr>
      <w:r>
        <w:t>As stated above, TSA is able to quantify the cost of Secure Flight hardware, software, and personnel for all four alternatives considered.  Below are these costs for the preferred 72-hour alternative:</w:t>
      </w:r>
    </w:p>
    <w:p w:rsidR="003B0815" w:rsidRDefault="003B0815" w14:paraId="069A6134" w14:textId="77777777">
      <w:pPr>
        <w:keepNext/>
        <w:spacing w:line="360" w:lineRule="auto"/>
        <w:outlineLvl w:val="0"/>
        <w:rPr>
          <w:b/>
        </w:rPr>
      </w:pPr>
    </w:p>
    <w:p w:rsidR="003B0815" w:rsidRDefault="003B0815" w14:paraId="6B8FB6A5" w14:textId="77777777">
      <w:pPr>
        <w:keepNext/>
        <w:spacing w:line="360" w:lineRule="auto"/>
        <w:jc w:val="center"/>
        <w:outlineLvl w:val="0"/>
        <w:rPr>
          <w:b/>
        </w:rPr>
      </w:pPr>
      <w:r>
        <w:rPr>
          <w:b/>
        </w:rPr>
        <w:t>Alternative #4:  72 Hours Prior to Departure (millions of 2005 $)</w:t>
      </w:r>
    </w:p>
    <w:tbl>
      <w:tblPr>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1"/>
        <w:gridCol w:w="1428"/>
        <w:gridCol w:w="1145"/>
        <w:gridCol w:w="1674"/>
        <w:gridCol w:w="1566"/>
        <w:gridCol w:w="1494"/>
      </w:tblGrid>
      <w:tr w:rsidR="003B0815" w14:paraId="0414BC4B"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035EBEF9" w14:textId="77777777">
            <w:pPr>
              <w:jc w:val="center"/>
              <w:rPr>
                <w:rFonts w:ascii="Arial" w:hAnsi="Arial" w:cs="Arial"/>
                <w:sz w:val="20"/>
                <w:szCs w:val="20"/>
              </w:rPr>
            </w:pPr>
            <w:r>
              <w:rPr>
                <w:rFonts w:ascii="Arial" w:hAnsi="Arial" w:cs="Arial"/>
                <w:sz w:val="20"/>
                <w:szCs w:val="20"/>
              </w:rPr>
              <w:t>Year</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64D100A4" w14:textId="77777777">
            <w:pPr>
              <w:jc w:val="center"/>
              <w:rPr>
                <w:rFonts w:ascii="Arial" w:hAnsi="Arial" w:cs="Arial"/>
                <w:b/>
                <w:bCs/>
                <w:sz w:val="20"/>
                <w:szCs w:val="20"/>
              </w:rPr>
            </w:pPr>
            <w:r>
              <w:rPr>
                <w:rFonts w:ascii="Arial" w:hAnsi="Arial" w:cs="Arial"/>
                <w:b/>
                <w:bCs/>
                <w:sz w:val="20"/>
                <w:szCs w:val="20"/>
              </w:rPr>
              <w:t>Baseline Hardware Licenses</w:t>
            </w:r>
          </w:p>
          <w:p w:rsidR="003B0815" w:rsidRDefault="003B0815" w14:paraId="41127788" w14:textId="77777777">
            <w:pPr>
              <w:jc w:val="center"/>
              <w:rPr>
                <w:rFonts w:ascii="Arial" w:hAnsi="Arial" w:cs="Arial"/>
                <w:b/>
                <w:bCs/>
                <w:sz w:val="20"/>
                <w:szCs w:val="20"/>
              </w:rPr>
            </w:pPr>
            <w:r>
              <w:rPr>
                <w:rFonts w:ascii="Arial" w:hAnsi="Arial" w:cs="Arial"/>
                <w:b/>
                <w:bCs/>
                <w:sz w:val="20"/>
                <w:szCs w:val="20"/>
              </w:rPr>
              <w:t>Maintenance</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7C808215" w14:textId="77777777">
            <w:pPr>
              <w:jc w:val="center"/>
              <w:rPr>
                <w:rFonts w:ascii="Arial" w:hAnsi="Arial" w:cs="Arial"/>
                <w:b/>
                <w:bCs/>
                <w:sz w:val="20"/>
                <w:szCs w:val="20"/>
              </w:rPr>
            </w:pPr>
            <w:r>
              <w:rPr>
                <w:rFonts w:ascii="Arial" w:hAnsi="Arial" w:cs="Arial"/>
                <w:b/>
                <w:bCs/>
                <w:sz w:val="20"/>
                <w:szCs w:val="20"/>
              </w:rPr>
              <w:t>Baseline</w:t>
            </w:r>
          </w:p>
          <w:p w:rsidR="003B0815" w:rsidRDefault="003B0815" w14:paraId="690B4C1F" w14:textId="77777777">
            <w:pPr>
              <w:jc w:val="center"/>
              <w:rPr>
                <w:rFonts w:ascii="Arial" w:hAnsi="Arial" w:cs="Arial"/>
                <w:b/>
                <w:bCs/>
                <w:sz w:val="20"/>
                <w:szCs w:val="20"/>
              </w:rPr>
            </w:pPr>
            <w:r>
              <w:rPr>
                <w:rFonts w:ascii="Arial" w:hAnsi="Arial" w:cs="Arial"/>
                <w:b/>
                <w:bCs/>
                <w:sz w:val="20"/>
                <w:szCs w:val="20"/>
              </w:rPr>
              <w:t>CSA &amp; SFA Staffing</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71744210" w14:textId="77777777">
            <w:pPr>
              <w:jc w:val="center"/>
              <w:rPr>
                <w:rFonts w:ascii="Arial" w:hAnsi="Arial" w:cs="Arial"/>
                <w:b/>
                <w:bCs/>
                <w:sz w:val="20"/>
                <w:szCs w:val="20"/>
              </w:rPr>
            </w:pPr>
            <w:r>
              <w:rPr>
                <w:rFonts w:ascii="Arial" w:hAnsi="Arial" w:cs="Arial"/>
                <w:b/>
                <w:bCs/>
                <w:sz w:val="20"/>
                <w:szCs w:val="20"/>
              </w:rPr>
              <w:t>Total</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141742DF" w14:textId="77777777">
            <w:pPr>
              <w:jc w:val="center"/>
              <w:rPr>
                <w:rFonts w:ascii="Arial" w:hAnsi="Arial" w:cs="Arial"/>
                <w:b/>
                <w:bCs/>
                <w:sz w:val="20"/>
                <w:szCs w:val="20"/>
              </w:rPr>
            </w:pPr>
            <w:r>
              <w:rPr>
                <w:rFonts w:ascii="Arial" w:hAnsi="Arial" w:cs="Arial"/>
                <w:b/>
                <w:bCs/>
                <w:sz w:val="20"/>
                <w:szCs w:val="20"/>
              </w:rPr>
              <w:t>Total 7% Discount</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5B6D1D95" w14:textId="77777777">
            <w:pPr>
              <w:jc w:val="center"/>
              <w:rPr>
                <w:rFonts w:ascii="Arial" w:hAnsi="Arial" w:cs="Arial"/>
                <w:b/>
                <w:bCs/>
                <w:sz w:val="20"/>
                <w:szCs w:val="20"/>
              </w:rPr>
            </w:pPr>
            <w:r>
              <w:rPr>
                <w:rFonts w:ascii="Arial" w:hAnsi="Arial" w:cs="Arial"/>
                <w:b/>
                <w:bCs/>
                <w:sz w:val="20"/>
                <w:szCs w:val="20"/>
              </w:rPr>
              <w:t>Total 3% Discount</w:t>
            </w:r>
          </w:p>
        </w:tc>
      </w:tr>
      <w:tr w:rsidR="003B0815" w14:paraId="75FF8111"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2A883096" w14:textId="77777777">
            <w:pPr>
              <w:jc w:val="center"/>
              <w:rPr>
                <w:rFonts w:ascii="Arial" w:hAnsi="Arial" w:cs="Arial"/>
                <w:sz w:val="20"/>
                <w:szCs w:val="20"/>
              </w:rPr>
            </w:pPr>
            <w:r>
              <w:rPr>
                <w:rFonts w:ascii="Arial" w:hAnsi="Arial" w:cs="Arial"/>
                <w:sz w:val="20"/>
                <w:szCs w:val="20"/>
              </w:rPr>
              <w:t>1</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45BCABD4" w14:textId="77777777">
            <w:pPr>
              <w:jc w:val="center"/>
              <w:rPr>
                <w:rFonts w:ascii="Arial" w:hAnsi="Arial" w:cs="Arial"/>
                <w:b/>
                <w:bCs/>
                <w:sz w:val="20"/>
                <w:szCs w:val="20"/>
              </w:rPr>
            </w:pPr>
            <w:r>
              <w:rPr>
                <w:rFonts w:ascii="Arial" w:hAnsi="Arial" w:cs="Arial"/>
                <w:b/>
                <w:bCs/>
                <w:sz w:val="20"/>
                <w:szCs w:val="20"/>
              </w:rPr>
              <w:t>13.30</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7218CCD6" w14:textId="77777777">
            <w:pPr>
              <w:jc w:val="center"/>
              <w:rPr>
                <w:rFonts w:ascii="Arial" w:hAnsi="Arial" w:cs="Arial"/>
                <w:b/>
                <w:bCs/>
                <w:sz w:val="20"/>
                <w:szCs w:val="20"/>
              </w:rPr>
            </w:pPr>
            <w:r>
              <w:rPr>
                <w:rFonts w:ascii="Arial" w:hAnsi="Arial" w:cs="Arial"/>
                <w:b/>
                <w:bCs/>
                <w:sz w:val="20"/>
                <w:szCs w:val="20"/>
              </w:rPr>
              <w:t>8.67</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C77325E" w14:textId="77777777">
            <w:pPr>
              <w:jc w:val="center"/>
              <w:rPr>
                <w:rFonts w:ascii="Arial" w:hAnsi="Arial" w:cs="Arial"/>
                <w:b/>
                <w:bCs/>
                <w:sz w:val="20"/>
                <w:szCs w:val="20"/>
              </w:rPr>
            </w:pPr>
            <w:r>
              <w:rPr>
                <w:rFonts w:ascii="Arial" w:hAnsi="Arial" w:cs="Arial"/>
                <w:b/>
                <w:bCs/>
                <w:sz w:val="20"/>
                <w:szCs w:val="20"/>
              </w:rPr>
              <w:t>$21.97</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43D4071B" w14:textId="77777777">
            <w:pPr>
              <w:jc w:val="center"/>
              <w:rPr>
                <w:rFonts w:ascii="Arial" w:hAnsi="Arial" w:cs="Arial"/>
                <w:b/>
                <w:bCs/>
                <w:sz w:val="20"/>
                <w:szCs w:val="20"/>
              </w:rPr>
            </w:pPr>
            <w:r>
              <w:rPr>
                <w:rFonts w:ascii="Arial" w:hAnsi="Arial" w:cs="Arial"/>
                <w:b/>
                <w:bCs/>
                <w:sz w:val="20"/>
                <w:szCs w:val="20"/>
              </w:rPr>
              <w:t>$20.5</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821712C" w14:textId="77777777">
            <w:pPr>
              <w:jc w:val="center"/>
              <w:rPr>
                <w:rFonts w:ascii="Arial" w:hAnsi="Arial" w:cs="Arial"/>
                <w:b/>
                <w:bCs/>
                <w:sz w:val="20"/>
                <w:szCs w:val="20"/>
              </w:rPr>
            </w:pPr>
            <w:r>
              <w:rPr>
                <w:rFonts w:ascii="Arial" w:hAnsi="Arial" w:cs="Arial"/>
                <w:b/>
                <w:bCs/>
                <w:sz w:val="20"/>
                <w:szCs w:val="20"/>
              </w:rPr>
              <w:t>$21,3</w:t>
            </w:r>
          </w:p>
        </w:tc>
      </w:tr>
      <w:tr w:rsidR="003B0815" w14:paraId="605EF57B"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66077271" w14:textId="77777777">
            <w:pPr>
              <w:jc w:val="center"/>
              <w:rPr>
                <w:rFonts w:ascii="Arial" w:hAnsi="Arial" w:cs="Arial"/>
                <w:sz w:val="20"/>
                <w:szCs w:val="20"/>
              </w:rPr>
            </w:pPr>
            <w:r>
              <w:rPr>
                <w:rFonts w:ascii="Arial" w:hAnsi="Arial" w:cs="Arial"/>
                <w:sz w:val="20"/>
                <w:szCs w:val="20"/>
              </w:rPr>
              <w:t>2</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46BE5043" w14:textId="77777777">
            <w:pPr>
              <w:jc w:val="center"/>
              <w:rPr>
                <w:rFonts w:ascii="Arial" w:hAnsi="Arial" w:cs="Arial"/>
                <w:b/>
                <w:bCs/>
                <w:sz w:val="20"/>
                <w:szCs w:val="20"/>
              </w:rPr>
            </w:pPr>
            <w:r>
              <w:rPr>
                <w:rFonts w:ascii="Arial" w:hAnsi="Arial" w:cs="Arial"/>
                <w:b/>
                <w:bCs/>
                <w:sz w:val="20"/>
                <w:szCs w:val="20"/>
              </w:rPr>
              <w:t>8.3</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0E19F3CF" w14:textId="77777777">
            <w:pPr>
              <w:jc w:val="center"/>
              <w:rPr>
                <w:rFonts w:ascii="Arial" w:hAnsi="Arial" w:cs="Arial"/>
                <w:b/>
                <w:bCs/>
                <w:sz w:val="20"/>
                <w:szCs w:val="20"/>
              </w:rPr>
            </w:pPr>
            <w:r>
              <w:rPr>
                <w:rFonts w:ascii="Arial" w:hAnsi="Arial" w:cs="Arial"/>
                <w:b/>
                <w:bCs/>
                <w:sz w:val="20"/>
                <w:szCs w:val="20"/>
              </w:rPr>
              <w:t>21.35</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14AAFB08" w14:textId="77777777">
            <w:pPr>
              <w:jc w:val="center"/>
              <w:rPr>
                <w:rFonts w:ascii="Arial" w:hAnsi="Arial" w:cs="Arial"/>
                <w:b/>
                <w:bCs/>
                <w:sz w:val="20"/>
                <w:szCs w:val="20"/>
              </w:rPr>
            </w:pPr>
            <w:r>
              <w:rPr>
                <w:rFonts w:ascii="Arial" w:hAnsi="Arial" w:cs="Arial"/>
                <w:b/>
                <w:bCs/>
                <w:sz w:val="20"/>
                <w:szCs w:val="20"/>
              </w:rPr>
              <w:t>29.65</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7E6D2989" w14:textId="77777777">
            <w:pPr>
              <w:jc w:val="center"/>
              <w:rPr>
                <w:rFonts w:ascii="Arial" w:hAnsi="Arial" w:cs="Arial"/>
                <w:b/>
                <w:bCs/>
                <w:sz w:val="20"/>
                <w:szCs w:val="20"/>
              </w:rPr>
            </w:pPr>
            <w:r>
              <w:rPr>
                <w:rFonts w:ascii="Arial" w:hAnsi="Arial" w:cs="Arial"/>
                <w:b/>
                <w:bCs/>
                <w:sz w:val="20"/>
                <w:szCs w:val="20"/>
              </w:rPr>
              <w:t>25.9</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CDF5F7C" w14:textId="77777777">
            <w:pPr>
              <w:jc w:val="center"/>
              <w:rPr>
                <w:rFonts w:ascii="Arial" w:hAnsi="Arial" w:cs="Arial"/>
                <w:b/>
                <w:bCs/>
                <w:sz w:val="20"/>
                <w:szCs w:val="20"/>
              </w:rPr>
            </w:pPr>
            <w:r>
              <w:rPr>
                <w:rFonts w:ascii="Arial" w:hAnsi="Arial" w:cs="Arial"/>
                <w:b/>
                <w:bCs/>
                <w:sz w:val="20"/>
                <w:szCs w:val="20"/>
              </w:rPr>
              <w:t>27.9</w:t>
            </w:r>
          </w:p>
        </w:tc>
      </w:tr>
      <w:tr w:rsidR="003B0815" w14:paraId="6DCF7E69"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35FC5CEE" w14:textId="77777777">
            <w:pPr>
              <w:jc w:val="center"/>
              <w:rPr>
                <w:rFonts w:ascii="Arial" w:hAnsi="Arial" w:cs="Arial"/>
                <w:sz w:val="20"/>
                <w:szCs w:val="20"/>
              </w:rPr>
            </w:pPr>
            <w:r>
              <w:rPr>
                <w:rFonts w:ascii="Arial" w:hAnsi="Arial" w:cs="Arial"/>
                <w:sz w:val="20"/>
                <w:szCs w:val="20"/>
              </w:rPr>
              <w:t>3</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2D85E9DC" w14:textId="77777777">
            <w:pPr>
              <w:jc w:val="center"/>
              <w:rPr>
                <w:rFonts w:ascii="Arial" w:hAnsi="Arial" w:cs="Arial"/>
                <w:b/>
                <w:bCs/>
                <w:sz w:val="20"/>
                <w:szCs w:val="20"/>
              </w:rPr>
            </w:pPr>
            <w:r>
              <w:rPr>
                <w:rFonts w:ascii="Arial" w:hAnsi="Arial" w:cs="Arial"/>
                <w:b/>
                <w:bCs/>
                <w:sz w:val="20"/>
                <w:szCs w:val="20"/>
              </w:rPr>
              <w:t>7.3</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056956C5" w14:textId="77777777">
            <w:pPr>
              <w:jc w:val="center"/>
              <w:rPr>
                <w:rFonts w:ascii="Arial" w:hAnsi="Arial" w:cs="Arial"/>
                <w:b/>
                <w:bCs/>
                <w:sz w:val="20"/>
                <w:szCs w:val="20"/>
              </w:rPr>
            </w:pPr>
            <w:r>
              <w:rPr>
                <w:rFonts w:ascii="Arial" w:hAnsi="Arial" w:cs="Arial"/>
                <w:b/>
                <w:bCs/>
                <w:sz w:val="20"/>
                <w:szCs w:val="20"/>
              </w:rPr>
              <w:t>21.66</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5327FBC" w14:textId="77777777">
            <w:pPr>
              <w:jc w:val="center"/>
              <w:rPr>
                <w:rFonts w:ascii="Arial" w:hAnsi="Arial" w:cs="Arial"/>
                <w:b/>
                <w:bCs/>
                <w:sz w:val="20"/>
                <w:szCs w:val="20"/>
              </w:rPr>
            </w:pPr>
            <w:r>
              <w:rPr>
                <w:rFonts w:ascii="Arial" w:hAnsi="Arial" w:cs="Arial"/>
                <w:b/>
                <w:bCs/>
                <w:sz w:val="20"/>
                <w:szCs w:val="20"/>
              </w:rPr>
              <w:t>28.96</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6D5B23AA" w14:textId="77777777">
            <w:pPr>
              <w:jc w:val="center"/>
              <w:rPr>
                <w:rFonts w:ascii="Arial" w:hAnsi="Arial" w:cs="Arial"/>
                <w:b/>
                <w:bCs/>
                <w:sz w:val="20"/>
                <w:szCs w:val="20"/>
              </w:rPr>
            </w:pPr>
            <w:r>
              <w:rPr>
                <w:rFonts w:ascii="Arial" w:hAnsi="Arial" w:cs="Arial"/>
                <w:b/>
                <w:bCs/>
                <w:sz w:val="20"/>
                <w:szCs w:val="20"/>
              </w:rPr>
              <w:t>23.6</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5C741ED3" w14:textId="77777777">
            <w:pPr>
              <w:jc w:val="center"/>
              <w:rPr>
                <w:rFonts w:ascii="Arial" w:hAnsi="Arial" w:cs="Arial"/>
                <w:b/>
                <w:bCs/>
                <w:sz w:val="20"/>
                <w:szCs w:val="20"/>
              </w:rPr>
            </w:pPr>
            <w:r>
              <w:rPr>
                <w:rFonts w:ascii="Arial" w:hAnsi="Arial" w:cs="Arial"/>
                <w:b/>
                <w:bCs/>
                <w:sz w:val="20"/>
                <w:szCs w:val="20"/>
              </w:rPr>
              <w:t>26.5</w:t>
            </w:r>
          </w:p>
        </w:tc>
      </w:tr>
      <w:tr w:rsidR="003B0815" w14:paraId="2F3190FC"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4C31625A" w14:textId="77777777">
            <w:pPr>
              <w:jc w:val="center"/>
              <w:rPr>
                <w:rFonts w:ascii="Arial" w:hAnsi="Arial" w:cs="Arial"/>
                <w:sz w:val="20"/>
                <w:szCs w:val="20"/>
              </w:rPr>
            </w:pPr>
            <w:r>
              <w:rPr>
                <w:rFonts w:ascii="Arial" w:hAnsi="Arial" w:cs="Arial"/>
                <w:sz w:val="20"/>
                <w:szCs w:val="20"/>
              </w:rPr>
              <w:t>4</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1D96F93A" w14:textId="77777777">
            <w:pPr>
              <w:jc w:val="center"/>
              <w:rPr>
                <w:rFonts w:ascii="Arial" w:hAnsi="Arial" w:cs="Arial"/>
                <w:b/>
                <w:bCs/>
                <w:sz w:val="20"/>
                <w:szCs w:val="20"/>
              </w:rPr>
            </w:pPr>
            <w:r>
              <w:rPr>
                <w:rFonts w:ascii="Arial" w:hAnsi="Arial" w:cs="Arial"/>
                <w:b/>
                <w:bCs/>
                <w:sz w:val="20"/>
                <w:szCs w:val="20"/>
              </w:rPr>
              <w:t>8.9</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43E3FA71" w14:textId="77777777">
            <w:pPr>
              <w:jc w:val="center"/>
              <w:rPr>
                <w:rFonts w:ascii="Arial" w:hAnsi="Arial" w:cs="Arial"/>
                <w:b/>
                <w:bCs/>
                <w:sz w:val="20"/>
                <w:szCs w:val="20"/>
              </w:rPr>
            </w:pPr>
            <w:r>
              <w:rPr>
                <w:rFonts w:ascii="Arial" w:hAnsi="Arial" w:cs="Arial"/>
                <w:b/>
                <w:bCs/>
                <w:sz w:val="20"/>
                <w:szCs w:val="20"/>
              </w:rPr>
              <w:t>22.60</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1C0B88C2" w14:textId="77777777">
            <w:pPr>
              <w:jc w:val="center"/>
              <w:rPr>
                <w:rFonts w:ascii="Arial" w:hAnsi="Arial" w:cs="Arial"/>
                <w:b/>
                <w:bCs/>
                <w:sz w:val="20"/>
                <w:szCs w:val="20"/>
              </w:rPr>
            </w:pPr>
            <w:r>
              <w:rPr>
                <w:rFonts w:ascii="Arial" w:hAnsi="Arial" w:cs="Arial"/>
                <w:b/>
                <w:bCs/>
                <w:sz w:val="20"/>
                <w:szCs w:val="20"/>
              </w:rPr>
              <w:t>31.50</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018A4DCD" w14:textId="77777777">
            <w:pPr>
              <w:jc w:val="center"/>
              <w:rPr>
                <w:rFonts w:ascii="Arial" w:hAnsi="Arial" w:cs="Arial"/>
                <w:b/>
                <w:bCs/>
                <w:sz w:val="20"/>
                <w:szCs w:val="20"/>
              </w:rPr>
            </w:pPr>
            <w:r>
              <w:rPr>
                <w:rFonts w:ascii="Arial" w:hAnsi="Arial" w:cs="Arial"/>
                <w:b/>
                <w:bCs/>
                <w:sz w:val="20"/>
                <w:szCs w:val="20"/>
              </w:rPr>
              <w:t>24.0</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1D7645A" w14:textId="77777777">
            <w:pPr>
              <w:jc w:val="center"/>
              <w:rPr>
                <w:rFonts w:ascii="Arial" w:hAnsi="Arial" w:cs="Arial"/>
                <w:b/>
                <w:bCs/>
                <w:sz w:val="20"/>
                <w:szCs w:val="20"/>
              </w:rPr>
            </w:pPr>
            <w:r>
              <w:rPr>
                <w:rFonts w:ascii="Arial" w:hAnsi="Arial" w:cs="Arial"/>
                <w:b/>
                <w:bCs/>
                <w:sz w:val="20"/>
                <w:szCs w:val="20"/>
              </w:rPr>
              <w:t>28.0</w:t>
            </w:r>
          </w:p>
        </w:tc>
      </w:tr>
      <w:tr w:rsidR="003B0815" w14:paraId="5C15DD5F"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1B93F30C" w14:textId="77777777">
            <w:pPr>
              <w:jc w:val="center"/>
              <w:rPr>
                <w:rFonts w:ascii="Arial" w:hAnsi="Arial" w:cs="Arial"/>
                <w:sz w:val="20"/>
                <w:szCs w:val="20"/>
              </w:rPr>
            </w:pPr>
            <w:r>
              <w:rPr>
                <w:rFonts w:ascii="Arial" w:hAnsi="Arial" w:cs="Arial"/>
                <w:sz w:val="20"/>
                <w:szCs w:val="20"/>
              </w:rPr>
              <w:t>5</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15DFC6E0" w14:textId="77777777">
            <w:pPr>
              <w:jc w:val="center"/>
              <w:rPr>
                <w:rFonts w:ascii="Arial" w:hAnsi="Arial" w:cs="Arial"/>
                <w:b/>
                <w:bCs/>
                <w:sz w:val="20"/>
                <w:szCs w:val="20"/>
              </w:rPr>
            </w:pPr>
            <w:r>
              <w:rPr>
                <w:rFonts w:ascii="Arial" w:hAnsi="Arial" w:cs="Arial"/>
                <w:b/>
                <w:bCs/>
                <w:sz w:val="20"/>
                <w:szCs w:val="20"/>
              </w:rPr>
              <w:t>11.7</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44DD4159" w14:textId="77777777">
            <w:pPr>
              <w:jc w:val="center"/>
              <w:rPr>
                <w:rFonts w:ascii="Arial" w:hAnsi="Arial" w:cs="Arial"/>
                <w:b/>
                <w:bCs/>
                <w:sz w:val="20"/>
                <w:szCs w:val="20"/>
              </w:rPr>
            </w:pPr>
            <w:r>
              <w:rPr>
                <w:rFonts w:ascii="Arial" w:hAnsi="Arial" w:cs="Arial"/>
                <w:b/>
                <w:bCs/>
                <w:sz w:val="20"/>
                <w:szCs w:val="20"/>
              </w:rPr>
              <w:t>23.59</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7720DDD7" w14:textId="77777777">
            <w:pPr>
              <w:jc w:val="center"/>
              <w:rPr>
                <w:rFonts w:ascii="Arial" w:hAnsi="Arial" w:cs="Arial"/>
                <w:b/>
                <w:bCs/>
                <w:sz w:val="20"/>
                <w:szCs w:val="20"/>
              </w:rPr>
            </w:pPr>
            <w:r>
              <w:rPr>
                <w:rFonts w:ascii="Arial" w:hAnsi="Arial" w:cs="Arial"/>
                <w:b/>
                <w:bCs/>
                <w:sz w:val="20"/>
                <w:szCs w:val="20"/>
              </w:rPr>
              <w:t>35.29</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42EB75D8" w14:textId="77777777">
            <w:pPr>
              <w:jc w:val="center"/>
              <w:rPr>
                <w:rFonts w:ascii="Arial" w:hAnsi="Arial" w:cs="Arial"/>
                <w:b/>
                <w:bCs/>
                <w:sz w:val="20"/>
                <w:szCs w:val="20"/>
              </w:rPr>
            </w:pPr>
            <w:r>
              <w:rPr>
                <w:rFonts w:ascii="Arial" w:hAnsi="Arial" w:cs="Arial"/>
                <w:b/>
                <w:bCs/>
                <w:sz w:val="20"/>
                <w:szCs w:val="20"/>
              </w:rPr>
              <w:t>25.2</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5E14B94E" w14:textId="77777777">
            <w:pPr>
              <w:jc w:val="center"/>
              <w:rPr>
                <w:rFonts w:ascii="Arial" w:hAnsi="Arial" w:cs="Arial"/>
                <w:b/>
                <w:bCs/>
                <w:sz w:val="20"/>
                <w:szCs w:val="20"/>
              </w:rPr>
            </w:pPr>
            <w:r>
              <w:rPr>
                <w:rFonts w:ascii="Arial" w:hAnsi="Arial" w:cs="Arial"/>
                <w:b/>
                <w:bCs/>
                <w:sz w:val="20"/>
                <w:szCs w:val="20"/>
              </w:rPr>
              <w:t>30.4</w:t>
            </w:r>
          </w:p>
        </w:tc>
      </w:tr>
      <w:tr w:rsidR="003B0815" w14:paraId="6F71CB09"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4DDA5EE7" w14:textId="77777777">
            <w:pPr>
              <w:jc w:val="center"/>
              <w:rPr>
                <w:rFonts w:ascii="Arial" w:hAnsi="Arial" w:cs="Arial"/>
                <w:sz w:val="20"/>
                <w:szCs w:val="20"/>
              </w:rPr>
            </w:pPr>
            <w:r>
              <w:rPr>
                <w:rFonts w:ascii="Arial" w:hAnsi="Arial" w:cs="Arial"/>
                <w:sz w:val="20"/>
                <w:szCs w:val="20"/>
              </w:rPr>
              <w:t>6</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4D779225" w14:textId="77777777">
            <w:pPr>
              <w:jc w:val="center"/>
              <w:rPr>
                <w:rFonts w:ascii="Arial" w:hAnsi="Arial" w:cs="Arial"/>
                <w:b/>
                <w:bCs/>
                <w:sz w:val="20"/>
                <w:szCs w:val="20"/>
              </w:rPr>
            </w:pPr>
            <w:r>
              <w:rPr>
                <w:rFonts w:ascii="Arial" w:hAnsi="Arial" w:cs="Arial"/>
                <w:b/>
                <w:bCs/>
                <w:sz w:val="20"/>
                <w:szCs w:val="20"/>
              </w:rPr>
              <w:t>11.4</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7F2E6131" w14:textId="77777777">
            <w:pPr>
              <w:jc w:val="center"/>
              <w:rPr>
                <w:rFonts w:ascii="Arial" w:hAnsi="Arial" w:cs="Arial"/>
                <w:b/>
                <w:bCs/>
                <w:sz w:val="20"/>
                <w:szCs w:val="20"/>
              </w:rPr>
            </w:pPr>
            <w:r>
              <w:rPr>
                <w:rFonts w:ascii="Arial" w:hAnsi="Arial" w:cs="Arial"/>
                <w:b/>
                <w:bCs/>
                <w:sz w:val="20"/>
                <w:szCs w:val="20"/>
              </w:rPr>
              <w:t>24.60</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1538725" w14:textId="77777777">
            <w:pPr>
              <w:jc w:val="center"/>
              <w:rPr>
                <w:rFonts w:ascii="Arial" w:hAnsi="Arial" w:cs="Arial"/>
                <w:b/>
                <w:bCs/>
                <w:sz w:val="20"/>
                <w:szCs w:val="20"/>
              </w:rPr>
            </w:pPr>
            <w:r>
              <w:rPr>
                <w:rFonts w:ascii="Arial" w:hAnsi="Arial" w:cs="Arial"/>
                <w:b/>
                <w:bCs/>
                <w:sz w:val="20"/>
                <w:szCs w:val="20"/>
              </w:rPr>
              <w:t>36.00</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6C74511C" w14:textId="77777777">
            <w:pPr>
              <w:jc w:val="center"/>
              <w:rPr>
                <w:rFonts w:ascii="Arial" w:hAnsi="Arial" w:cs="Arial"/>
                <w:b/>
                <w:bCs/>
                <w:sz w:val="20"/>
                <w:szCs w:val="20"/>
              </w:rPr>
            </w:pPr>
            <w:r>
              <w:rPr>
                <w:rFonts w:ascii="Arial" w:hAnsi="Arial" w:cs="Arial"/>
                <w:b/>
                <w:bCs/>
                <w:sz w:val="20"/>
                <w:szCs w:val="20"/>
              </w:rPr>
              <w:t>24.0</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455881A1" w14:textId="77777777">
            <w:pPr>
              <w:jc w:val="center"/>
              <w:rPr>
                <w:rFonts w:ascii="Arial" w:hAnsi="Arial" w:cs="Arial"/>
                <w:b/>
                <w:bCs/>
                <w:sz w:val="20"/>
                <w:szCs w:val="20"/>
              </w:rPr>
            </w:pPr>
            <w:r>
              <w:rPr>
                <w:rFonts w:ascii="Arial" w:hAnsi="Arial" w:cs="Arial"/>
                <w:b/>
                <w:bCs/>
                <w:sz w:val="20"/>
                <w:szCs w:val="20"/>
              </w:rPr>
              <w:t>30.1</w:t>
            </w:r>
          </w:p>
        </w:tc>
      </w:tr>
      <w:tr w:rsidR="003B0815" w14:paraId="3F1F38F6"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7B871865" w14:textId="77777777">
            <w:pPr>
              <w:jc w:val="center"/>
              <w:rPr>
                <w:rFonts w:ascii="Arial" w:hAnsi="Arial" w:cs="Arial"/>
                <w:sz w:val="20"/>
                <w:szCs w:val="20"/>
              </w:rPr>
            </w:pPr>
            <w:r>
              <w:rPr>
                <w:rFonts w:ascii="Arial" w:hAnsi="Arial" w:cs="Arial"/>
                <w:sz w:val="20"/>
                <w:szCs w:val="20"/>
              </w:rPr>
              <w:t>7</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08BFCBE9" w14:textId="77777777">
            <w:pPr>
              <w:jc w:val="center"/>
              <w:rPr>
                <w:rFonts w:ascii="Arial" w:hAnsi="Arial" w:cs="Arial"/>
                <w:b/>
                <w:bCs/>
                <w:sz w:val="20"/>
                <w:szCs w:val="20"/>
              </w:rPr>
            </w:pPr>
            <w:r>
              <w:rPr>
                <w:rFonts w:ascii="Arial" w:hAnsi="Arial" w:cs="Arial"/>
                <w:b/>
                <w:bCs/>
                <w:sz w:val="20"/>
                <w:szCs w:val="20"/>
              </w:rPr>
              <w:t>9.2</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40FE6ECE" w14:textId="77777777">
            <w:pPr>
              <w:jc w:val="center"/>
              <w:rPr>
                <w:rFonts w:ascii="Arial" w:hAnsi="Arial" w:cs="Arial"/>
                <w:b/>
                <w:bCs/>
                <w:sz w:val="20"/>
                <w:szCs w:val="20"/>
              </w:rPr>
            </w:pPr>
            <w:r>
              <w:rPr>
                <w:rFonts w:ascii="Arial" w:hAnsi="Arial" w:cs="Arial"/>
                <w:b/>
                <w:bCs/>
                <w:sz w:val="20"/>
                <w:szCs w:val="20"/>
              </w:rPr>
              <w:t>25.64</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7BEDA169" w14:textId="77777777">
            <w:pPr>
              <w:jc w:val="center"/>
              <w:rPr>
                <w:rFonts w:ascii="Arial" w:hAnsi="Arial" w:cs="Arial"/>
                <w:b/>
                <w:bCs/>
                <w:sz w:val="20"/>
                <w:szCs w:val="20"/>
              </w:rPr>
            </w:pPr>
            <w:r>
              <w:rPr>
                <w:rFonts w:ascii="Arial" w:hAnsi="Arial" w:cs="Arial"/>
                <w:b/>
                <w:bCs/>
                <w:sz w:val="20"/>
                <w:szCs w:val="20"/>
              </w:rPr>
              <w:t>34.84</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66562B68" w14:textId="77777777">
            <w:pPr>
              <w:jc w:val="center"/>
              <w:rPr>
                <w:rFonts w:ascii="Arial" w:hAnsi="Arial" w:cs="Arial"/>
                <w:b/>
                <w:bCs/>
                <w:sz w:val="20"/>
                <w:szCs w:val="20"/>
              </w:rPr>
            </w:pPr>
            <w:r>
              <w:rPr>
                <w:rFonts w:ascii="Arial" w:hAnsi="Arial" w:cs="Arial"/>
                <w:b/>
                <w:bCs/>
                <w:sz w:val="20"/>
                <w:szCs w:val="20"/>
              </w:rPr>
              <w:t>21.7</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12CC3523" w14:textId="77777777">
            <w:pPr>
              <w:jc w:val="center"/>
              <w:rPr>
                <w:rFonts w:ascii="Arial" w:hAnsi="Arial" w:cs="Arial"/>
                <w:b/>
                <w:bCs/>
                <w:sz w:val="20"/>
                <w:szCs w:val="20"/>
              </w:rPr>
            </w:pPr>
            <w:r>
              <w:rPr>
                <w:rFonts w:ascii="Arial" w:hAnsi="Arial" w:cs="Arial"/>
                <w:b/>
                <w:bCs/>
                <w:sz w:val="20"/>
                <w:szCs w:val="20"/>
              </w:rPr>
              <w:t>28.3</w:t>
            </w:r>
          </w:p>
        </w:tc>
      </w:tr>
      <w:tr w:rsidR="003B0815" w14:paraId="2D828281"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2BD90684" w14:textId="77777777">
            <w:pPr>
              <w:jc w:val="center"/>
              <w:rPr>
                <w:rFonts w:ascii="Arial" w:hAnsi="Arial" w:cs="Arial"/>
                <w:sz w:val="20"/>
                <w:szCs w:val="20"/>
              </w:rPr>
            </w:pPr>
            <w:r>
              <w:rPr>
                <w:rFonts w:ascii="Arial" w:hAnsi="Arial" w:cs="Arial"/>
                <w:sz w:val="20"/>
                <w:szCs w:val="20"/>
              </w:rPr>
              <w:t>8</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3FDBC4EE" w14:textId="77777777">
            <w:pPr>
              <w:jc w:val="center"/>
              <w:rPr>
                <w:rFonts w:ascii="Arial" w:hAnsi="Arial" w:cs="Arial"/>
                <w:b/>
                <w:bCs/>
                <w:sz w:val="20"/>
                <w:szCs w:val="20"/>
              </w:rPr>
            </w:pPr>
            <w:r>
              <w:rPr>
                <w:rFonts w:ascii="Arial" w:hAnsi="Arial" w:cs="Arial"/>
                <w:b/>
                <w:bCs/>
                <w:sz w:val="20"/>
                <w:szCs w:val="20"/>
              </w:rPr>
              <w:t>8.1</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6D1EA32B" w14:textId="77777777">
            <w:pPr>
              <w:jc w:val="center"/>
              <w:rPr>
                <w:rFonts w:ascii="Arial" w:hAnsi="Arial" w:cs="Arial"/>
                <w:b/>
                <w:bCs/>
                <w:sz w:val="20"/>
                <w:szCs w:val="20"/>
              </w:rPr>
            </w:pPr>
            <w:r>
              <w:rPr>
                <w:rFonts w:ascii="Arial" w:hAnsi="Arial" w:cs="Arial"/>
                <w:b/>
                <w:bCs/>
                <w:sz w:val="20"/>
                <w:szCs w:val="20"/>
              </w:rPr>
              <w:t>26.91</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4B66981D" w14:textId="77777777">
            <w:pPr>
              <w:jc w:val="center"/>
              <w:rPr>
                <w:rFonts w:ascii="Arial" w:hAnsi="Arial" w:cs="Arial"/>
                <w:b/>
                <w:bCs/>
                <w:sz w:val="20"/>
                <w:szCs w:val="20"/>
              </w:rPr>
            </w:pPr>
            <w:r>
              <w:rPr>
                <w:rFonts w:ascii="Arial" w:hAnsi="Arial" w:cs="Arial"/>
                <w:b/>
                <w:bCs/>
                <w:sz w:val="20"/>
                <w:szCs w:val="20"/>
              </w:rPr>
              <w:t>35.01</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9E6752A" w14:textId="77777777">
            <w:pPr>
              <w:jc w:val="center"/>
              <w:rPr>
                <w:rFonts w:ascii="Arial" w:hAnsi="Arial" w:cs="Arial"/>
                <w:b/>
                <w:bCs/>
                <w:sz w:val="20"/>
                <w:szCs w:val="20"/>
              </w:rPr>
            </w:pPr>
            <w:r>
              <w:rPr>
                <w:rFonts w:ascii="Arial" w:hAnsi="Arial" w:cs="Arial"/>
                <w:b/>
                <w:bCs/>
                <w:sz w:val="20"/>
                <w:szCs w:val="20"/>
              </w:rPr>
              <w:t>20.4</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5929A3EC" w14:textId="77777777">
            <w:pPr>
              <w:jc w:val="center"/>
              <w:rPr>
                <w:rFonts w:ascii="Arial" w:hAnsi="Arial" w:cs="Arial"/>
                <w:b/>
                <w:bCs/>
                <w:sz w:val="20"/>
                <w:szCs w:val="20"/>
              </w:rPr>
            </w:pPr>
            <w:r>
              <w:rPr>
                <w:rFonts w:ascii="Arial" w:hAnsi="Arial" w:cs="Arial"/>
                <w:b/>
                <w:bCs/>
                <w:sz w:val="20"/>
                <w:szCs w:val="20"/>
              </w:rPr>
              <w:t>27.6</w:t>
            </w:r>
          </w:p>
        </w:tc>
      </w:tr>
      <w:tr w:rsidR="003B0815" w14:paraId="1D107843"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02D56CAD" w14:textId="77777777">
            <w:pPr>
              <w:jc w:val="center"/>
              <w:rPr>
                <w:rFonts w:ascii="Arial" w:hAnsi="Arial" w:cs="Arial"/>
                <w:sz w:val="20"/>
                <w:szCs w:val="20"/>
              </w:rPr>
            </w:pPr>
            <w:r>
              <w:rPr>
                <w:rFonts w:ascii="Arial" w:hAnsi="Arial" w:cs="Arial"/>
                <w:sz w:val="20"/>
                <w:szCs w:val="20"/>
              </w:rPr>
              <w:t>9</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50B6EC35" w14:textId="77777777">
            <w:pPr>
              <w:jc w:val="center"/>
              <w:rPr>
                <w:rFonts w:ascii="Arial" w:hAnsi="Arial" w:cs="Arial"/>
                <w:b/>
                <w:bCs/>
                <w:sz w:val="20"/>
                <w:szCs w:val="20"/>
              </w:rPr>
            </w:pPr>
            <w:r>
              <w:rPr>
                <w:rFonts w:ascii="Arial" w:hAnsi="Arial" w:cs="Arial"/>
                <w:b/>
                <w:bCs/>
                <w:sz w:val="20"/>
                <w:szCs w:val="20"/>
              </w:rPr>
              <w:t>9.8</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1490926A" w14:textId="77777777">
            <w:pPr>
              <w:jc w:val="center"/>
              <w:rPr>
                <w:rFonts w:ascii="Arial" w:hAnsi="Arial" w:cs="Arial"/>
                <w:b/>
                <w:bCs/>
                <w:sz w:val="20"/>
                <w:szCs w:val="20"/>
              </w:rPr>
            </w:pPr>
            <w:r>
              <w:rPr>
                <w:rFonts w:ascii="Arial" w:hAnsi="Arial" w:cs="Arial"/>
                <w:b/>
                <w:bCs/>
                <w:sz w:val="20"/>
                <w:szCs w:val="20"/>
              </w:rPr>
              <w:t>28.04</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094D98DE" w14:textId="77777777">
            <w:pPr>
              <w:jc w:val="center"/>
              <w:rPr>
                <w:rFonts w:ascii="Arial" w:hAnsi="Arial" w:cs="Arial"/>
                <w:b/>
                <w:bCs/>
                <w:sz w:val="20"/>
                <w:szCs w:val="20"/>
              </w:rPr>
            </w:pPr>
            <w:r>
              <w:rPr>
                <w:rFonts w:ascii="Arial" w:hAnsi="Arial" w:cs="Arial"/>
                <w:b/>
                <w:bCs/>
                <w:sz w:val="20"/>
                <w:szCs w:val="20"/>
              </w:rPr>
              <w:t>37.84</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00EE4482" w14:textId="77777777">
            <w:pPr>
              <w:jc w:val="center"/>
              <w:rPr>
                <w:rFonts w:ascii="Arial" w:hAnsi="Arial" w:cs="Arial"/>
                <w:b/>
                <w:bCs/>
                <w:sz w:val="20"/>
                <w:szCs w:val="20"/>
              </w:rPr>
            </w:pPr>
            <w:r>
              <w:rPr>
                <w:rFonts w:ascii="Arial" w:hAnsi="Arial" w:cs="Arial"/>
                <w:b/>
                <w:bCs/>
                <w:sz w:val="20"/>
                <w:szCs w:val="20"/>
              </w:rPr>
              <w:t>20.6</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4FC6EA1F" w14:textId="77777777">
            <w:pPr>
              <w:jc w:val="center"/>
              <w:rPr>
                <w:rFonts w:ascii="Arial" w:hAnsi="Arial" w:cs="Arial"/>
                <w:b/>
                <w:bCs/>
                <w:sz w:val="20"/>
                <w:szCs w:val="20"/>
              </w:rPr>
            </w:pPr>
            <w:r>
              <w:rPr>
                <w:rFonts w:ascii="Arial" w:hAnsi="Arial" w:cs="Arial"/>
                <w:b/>
                <w:bCs/>
                <w:sz w:val="20"/>
                <w:szCs w:val="20"/>
              </w:rPr>
              <w:t>29.0</w:t>
            </w:r>
          </w:p>
        </w:tc>
      </w:tr>
      <w:tr w:rsidR="003B0815" w14:paraId="014EED40"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1BE26ED8" w14:textId="77777777">
            <w:pPr>
              <w:jc w:val="center"/>
              <w:rPr>
                <w:rFonts w:ascii="Arial" w:hAnsi="Arial" w:cs="Arial"/>
                <w:sz w:val="20"/>
                <w:szCs w:val="20"/>
              </w:rPr>
            </w:pPr>
            <w:r>
              <w:rPr>
                <w:rFonts w:ascii="Arial" w:hAnsi="Arial" w:cs="Arial"/>
                <w:sz w:val="20"/>
                <w:szCs w:val="20"/>
              </w:rPr>
              <w:t>10</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58C31967" w14:textId="77777777">
            <w:pPr>
              <w:jc w:val="center"/>
              <w:rPr>
                <w:rFonts w:ascii="Arial" w:hAnsi="Arial" w:cs="Arial"/>
                <w:b/>
                <w:bCs/>
                <w:sz w:val="20"/>
                <w:szCs w:val="20"/>
              </w:rPr>
            </w:pPr>
            <w:r>
              <w:rPr>
                <w:rFonts w:ascii="Arial" w:hAnsi="Arial" w:cs="Arial"/>
                <w:b/>
                <w:bCs/>
                <w:sz w:val="20"/>
                <w:szCs w:val="20"/>
              </w:rPr>
              <w:t>12.9</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4FB26274" w14:textId="77777777">
            <w:pPr>
              <w:jc w:val="center"/>
              <w:rPr>
                <w:rFonts w:ascii="Arial" w:hAnsi="Arial" w:cs="Arial"/>
                <w:b/>
                <w:bCs/>
                <w:sz w:val="20"/>
                <w:szCs w:val="20"/>
              </w:rPr>
            </w:pPr>
            <w:r>
              <w:rPr>
                <w:rFonts w:ascii="Arial" w:hAnsi="Arial" w:cs="Arial"/>
                <w:b/>
                <w:bCs/>
                <w:sz w:val="20"/>
                <w:szCs w:val="20"/>
              </w:rPr>
              <w:t>29.19</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0977D469" w14:textId="77777777">
            <w:pPr>
              <w:jc w:val="center"/>
              <w:rPr>
                <w:rFonts w:ascii="Arial" w:hAnsi="Arial" w:cs="Arial"/>
                <w:b/>
                <w:bCs/>
                <w:sz w:val="20"/>
                <w:szCs w:val="20"/>
              </w:rPr>
            </w:pPr>
            <w:r>
              <w:rPr>
                <w:rFonts w:ascii="Arial" w:hAnsi="Arial" w:cs="Arial"/>
                <w:b/>
                <w:bCs/>
                <w:sz w:val="20"/>
                <w:szCs w:val="20"/>
              </w:rPr>
              <w:t>42.09</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551C7292" w14:textId="77777777">
            <w:pPr>
              <w:jc w:val="center"/>
              <w:rPr>
                <w:rFonts w:ascii="Arial" w:hAnsi="Arial" w:cs="Arial"/>
                <w:b/>
                <w:bCs/>
                <w:sz w:val="20"/>
                <w:szCs w:val="20"/>
              </w:rPr>
            </w:pPr>
            <w:r>
              <w:rPr>
                <w:rFonts w:ascii="Arial" w:hAnsi="Arial" w:cs="Arial"/>
                <w:b/>
                <w:bCs/>
                <w:sz w:val="20"/>
                <w:szCs w:val="20"/>
              </w:rPr>
              <w:t>21.4</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F642E3F" w14:textId="77777777">
            <w:pPr>
              <w:jc w:val="center"/>
              <w:rPr>
                <w:rFonts w:ascii="Arial" w:hAnsi="Arial" w:cs="Arial"/>
                <w:b/>
                <w:bCs/>
                <w:sz w:val="20"/>
                <w:szCs w:val="20"/>
              </w:rPr>
            </w:pPr>
            <w:r>
              <w:rPr>
                <w:rFonts w:ascii="Arial" w:hAnsi="Arial" w:cs="Arial"/>
                <w:b/>
                <w:bCs/>
                <w:sz w:val="20"/>
                <w:szCs w:val="20"/>
              </w:rPr>
              <w:t>31.3</w:t>
            </w:r>
          </w:p>
        </w:tc>
      </w:tr>
      <w:tr w:rsidR="003B0815" w14:paraId="37D9BA1D" w14:textId="77777777">
        <w:trPr>
          <w:trHeight w:val="255"/>
          <w:jc w:val="center"/>
        </w:trPr>
        <w:tc>
          <w:tcPr>
            <w:tcW w:w="1134" w:type="dxa"/>
            <w:tcBorders>
              <w:top w:val="single" w:color="auto" w:sz="4" w:space="0"/>
              <w:left w:val="single" w:color="auto" w:sz="4" w:space="0"/>
              <w:bottom w:val="single" w:color="auto" w:sz="4" w:space="0"/>
              <w:right w:val="single" w:color="auto" w:sz="4" w:space="0"/>
            </w:tcBorders>
            <w:vAlign w:val="center"/>
          </w:tcPr>
          <w:p w:rsidR="003B0815" w:rsidRDefault="003B0815" w14:paraId="4BF052DE" w14:textId="77777777">
            <w:pPr>
              <w:jc w:val="center"/>
              <w:rPr>
                <w:rFonts w:ascii="Arial" w:hAnsi="Arial" w:cs="Arial"/>
                <w:sz w:val="20"/>
                <w:szCs w:val="20"/>
              </w:rPr>
            </w:pPr>
            <w:r>
              <w:rPr>
                <w:rFonts w:ascii="Arial" w:hAnsi="Arial" w:cs="Arial"/>
                <w:sz w:val="20"/>
                <w:szCs w:val="20"/>
              </w:rPr>
              <w:t xml:space="preserve">Total </w:t>
            </w:r>
          </w:p>
        </w:tc>
        <w:tc>
          <w:tcPr>
            <w:tcW w:w="1362" w:type="dxa"/>
            <w:tcBorders>
              <w:top w:val="single" w:color="auto" w:sz="4" w:space="0"/>
              <w:left w:val="single" w:color="auto" w:sz="4" w:space="0"/>
              <w:bottom w:val="single" w:color="auto" w:sz="4" w:space="0"/>
              <w:right w:val="single" w:color="auto" w:sz="4" w:space="0"/>
            </w:tcBorders>
            <w:vAlign w:val="center"/>
          </w:tcPr>
          <w:p w:rsidR="003B0815" w:rsidRDefault="003B0815" w14:paraId="5DA7E557" w14:textId="77777777">
            <w:pPr>
              <w:jc w:val="center"/>
              <w:rPr>
                <w:rFonts w:ascii="Arial" w:hAnsi="Arial" w:cs="Arial"/>
                <w:b/>
                <w:bCs/>
                <w:sz w:val="20"/>
                <w:szCs w:val="20"/>
              </w:rPr>
            </w:pPr>
            <w:r>
              <w:rPr>
                <w:rFonts w:ascii="Arial" w:hAnsi="Arial" w:cs="Arial"/>
                <w:b/>
                <w:bCs/>
                <w:sz w:val="20"/>
                <w:szCs w:val="20"/>
              </w:rPr>
              <w:t>$100.90</w:t>
            </w:r>
          </w:p>
        </w:tc>
        <w:tc>
          <w:tcPr>
            <w:tcW w:w="1158" w:type="dxa"/>
            <w:tcBorders>
              <w:top w:val="single" w:color="auto" w:sz="4" w:space="0"/>
              <w:left w:val="single" w:color="auto" w:sz="4" w:space="0"/>
              <w:bottom w:val="single" w:color="auto" w:sz="4" w:space="0"/>
              <w:right w:val="single" w:color="auto" w:sz="4" w:space="0"/>
            </w:tcBorders>
            <w:vAlign w:val="center"/>
          </w:tcPr>
          <w:p w:rsidR="003B0815" w:rsidRDefault="003B0815" w14:paraId="0D1625FB" w14:textId="77777777">
            <w:pPr>
              <w:jc w:val="center"/>
              <w:rPr>
                <w:rFonts w:ascii="Arial" w:hAnsi="Arial" w:cs="Arial"/>
                <w:b/>
                <w:bCs/>
                <w:sz w:val="20"/>
                <w:szCs w:val="20"/>
              </w:rPr>
            </w:pPr>
            <w:r>
              <w:rPr>
                <w:rFonts w:ascii="Arial" w:hAnsi="Arial" w:cs="Arial"/>
                <w:b/>
                <w:bCs/>
                <w:sz w:val="20"/>
                <w:szCs w:val="20"/>
              </w:rPr>
              <w:t>$232.25</w:t>
            </w:r>
          </w:p>
        </w:tc>
        <w:tc>
          <w:tcPr>
            <w:tcW w:w="167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25BBCCD3" w14:textId="77777777">
            <w:pPr>
              <w:jc w:val="center"/>
              <w:rPr>
                <w:rFonts w:ascii="Arial" w:hAnsi="Arial" w:cs="Arial"/>
                <w:b/>
                <w:bCs/>
                <w:sz w:val="20"/>
                <w:szCs w:val="20"/>
              </w:rPr>
            </w:pPr>
            <w:r>
              <w:rPr>
                <w:rFonts w:ascii="Arial" w:hAnsi="Arial" w:cs="Arial"/>
                <w:b/>
                <w:bCs/>
                <w:sz w:val="20"/>
                <w:szCs w:val="20"/>
              </w:rPr>
              <w:t>$333.15</w:t>
            </w:r>
          </w:p>
        </w:tc>
        <w:tc>
          <w:tcPr>
            <w:tcW w:w="1566"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30AD8ECC" w14:textId="77777777">
            <w:pPr>
              <w:jc w:val="center"/>
              <w:rPr>
                <w:rFonts w:ascii="Arial" w:hAnsi="Arial" w:cs="Arial"/>
                <w:b/>
                <w:bCs/>
                <w:sz w:val="20"/>
                <w:szCs w:val="20"/>
              </w:rPr>
            </w:pPr>
            <w:r>
              <w:rPr>
                <w:rFonts w:ascii="Arial" w:hAnsi="Arial" w:cs="Arial"/>
                <w:b/>
                <w:bCs/>
                <w:sz w:val="20"/>
                <w:szCs w:val="20"/>
              </w:rPr>
              <w:t>$227.3</w:t>
            </w:r>
          </w:p>
        </w:tc>
        <w:tc>
          <w:tcPr>
            <w:tcW w:w="1494" w:type="dxa"/>
            <w:tcBorders>
              <w:top w:val="single" w:color="auto" w:sz="4" w:space="0"/>
              <w:left w:val="single" w:color="auto" w:sz="4" w:space="0"/>
              <w:bottom w:val="single" w:color="auto" w:sz="4" w:space="0"/>
              <w:right w:val="single" w:color="auto" w:sz="4" w:space="0"/>
            </w:tcBorders>
            <w:noWrap/>
            <w:vAlign w:val="center"/>
          </w:tcPr>
          <w:p w:rsidR="003B0815" w:rsidRDefault="003B0815" w14:paraId="0D4C0147" w14:textId="77777777">
            <w:pPr>
              <w:jc w:val="center"/>
              <w:rPr>
                <w:rFonts w:ascii="Arial" w:hAnsi="Arial" w:cs="Arial"/>
                <w:b/>
                <w:bCs/>
                <w:sz w:val="20"/>
                <w:szCs w:val="20"/>
              </w:rPr>
            </w:pPr>
            <w:r>
              <w:rPr>
                <w:rFonts w:ascii="Arial" w:hAnsi="Arial" w:cs="Arial"/>
                <w:b/>
                <w:bCs/>
                <w:sz w:val="20"/>
                <w:szCs w:val="20"/>
              </w:rPr>
              <w:t>$280.6</w:t>
            </w:r>
          </w:p>
        </w:tc>
      </w:tr>
    </w:tbl>
    <w:p w:rsidR="003B0815" w:rsidRDefault="003B0815" w14:paraId="36C5C2A7" w14:textId="77777777">
      <w:pPr>
        <w:keepNext/>
        <w:spacing w:line="360" w:lineRule="auto"/>
        <w:outlineLvl w:val="0"/>
        <w:rPr>
          <w:b/>
        </w:rPr>
      </w:pPr>
    </w:p>
    <w:p w:rsidR="003B0815" w:rsidRDefault="003B0815" w14:paraId="5BC94B85" w14:textId="77777777">
      <w:pPr>
        <w:keepNext/>
        <w:spacing w:line="360" w:lineRule="auto"/>
        <w:outlineLvl w:val="0"/>
        <w:rPr>
          <w:b/>
        </w:rPr>
      </w:pPr>
      <w:r>
        <w:rPr>
          <w:b/>
        </w:rPr>
        <w:t>Alternative #8:  48 Hours Prior to Departure</w:t>
      </w:r>
    </w:p>
    <w:p w:rsidR="003B0815" w:rsidRDefault="003B0815" w14:paraId="546318C3" w14:textId="77777777">
      <w:pPr>
        <w:spacing w:line="360" w:lineRule="auto"/>
        <w:ind w:firstLine="720"/>
      </w:pPr>
      <w:r>
        <w:t xml:space="preserve">Under this alternative, aircraft operators would submit SFPD in batches for each flight, 48 hours prior to the scheduled departure time.  To maintain the current practice of allowing passengers to obtain boarding passes up to 24 hours prior to the scheduled flight departure time, TSA would have 24 hours to perform the automated watch list matching and to conduct the appropriate manual processes.  Processing for each batch would begin immediately upon receipt.  This timeline allows 9 hours to perform the automated watch list matching and 15 hours to conduct the manual review process.  </w:t>
      </w:r>
    </w:p>
    <w:p w:rsidR="003B0815" w:rsidRDefault="003B0815" w14:paraId="78B9DCCF" w14:textId="77777777">
      <w:pPr>
        <w:spacing w:line="360" w:lineRule="auto"/>
        <w:ind w:firstLine="720"/>
      </w:pPr>
      <w:r>
        <w:t>The costs to covered aircraft operators under the 48-hour alternative are similar to the costs identified in Section 6 of this Regulatory and Economic Analysis because they would need to reprogram their systems and implement Secure Flight in a similar manner as they would under the preferred 72-hour alternative.  Covered aircraft operators would incur similar costs for reprogramming the travel reservation system and implementing the requirements of Secure Flight including collection of information from individuals.  Because TSA would have less time to complete the manual processes, TSA may not be able to clear some passengers prior to the passengers checking in at the airport that it may otherwise be able to clear if given more time.  With potentially more passengers going to the ticket counter to present their verifying identity document to obtain a boarding pass, covered aircraft operators may need to hire more personnel to handle the increased number of passengers at the ticket counter.  Thus, the 48-hour alternative may increase staffing costs for covered aircraft operators.  TSA was unable to estimate the amount of the increased staffing costs.</w:t>
      </w:r>
    </w:p>
    <w:p w:rsidR="003B0815" w:rsidRDefault="003B0815" w14:paraId="0D58E797" w14:textId="77777777">
      <w:pPr>
        <w:spacing w:line="360" w:lineRule="auto"/>
        <w:ind w:firstLine="720"/>
      </w:pPr>
      <w:r>
        <w:t>Passengers would also incur similar opportunity costs identified in Section 6 of this Regulatory and Economic Analysis because they would provide the same required information to covered aircraft operators and may also read the Privacy Notice as they would under the preferred 72-hour alternative.  Because TSA would have less time to complete the manual processes, TSA may not be able to clear some passengers prior to the passengers checking in at the airport that it may otherwise be able to clear if given more time.  Thus, if TSA were to adopt the 48-hour alternative, some passengers may incur additional opportunity costs of having to go to the airport to present their verifying identity document to obtain a boarding pass.  Further, some of these passengers may miss their flights because there would not be sufficient time at the airport to clear them.  TSA was unable to estimate the amount of the increased opportunity costs for passengers.</w:t>
      </w:r>
    </w:p>
    <w:p w:rsidR="003B0815" w:rsidRDefault="003B0815" w14:paraId="26B93F09" w14:textId="77777777">
      <w:pPr>
        <w:spacing w:line="360" w:lineRule="auto"/>
        <w:ind w:firstLine="720"/>
      </w:pPr>
      <w:r>
        <w:t>The 48-hour alternative has a significant impact on the government in terms of cost and decreased benefit of the Secure Flight program.  To process all SFPD in a shorter amount time TSA would need to invest in more Secure Flight hardware, software, and personnel.  Below are the total costs of the Secure Flight hardware, software, and personnel for the 48-hour alternative:</w:t>
      </w:r>
    </w:p>
    <w:p w:rsidR="003B0815" w:rsidRDefault="003B0815" w14:paraId="2BB3F212" w14:textId="77777777">
      <w:pPr>
        <w:keepNext/>
        <w:spacing w:line="360" w:lineRule="auto"/>
        <w:jc w:val="center"/>
        <w:outlineLvl w:val="0"/>
        <w:rPr>
          <w:b/>
        </w:rPr>
      </w:pPr>
      <w:r>
        <w:rPr>
          <w:b/>
        </w:rPr>
        <w:t>Alternative #8:  48 Hours Prior to Departure (millions of 2005 $)</w:t>
      </w:r>
    </w:p>
    <w:tbl>
      <w:tblPr>
        <w:tblW w:w="6799" w:type="dxa"/>
        <w:tblInd w:w="1260" w:type="dxa"/>
        <w:tblLook w:val="0000" w:firstRow="0" w:lastRow="0" w:firstColumn="0" w:lastColumn="0" w:noHBand="0" w:noVBand="0"/>
      </w:tblPr>
      <w:tblGrid>
        <w:gridCol w:w="753"/>
        <w:gridCol w:w="1362"/>
        <w:gridCol w:w="1171"/>
        <w:gridCol w:w="1171"/>
        <w:gridCol w:w="1171"/>
        <w:gridCol w:w="1171"/>
      </w:tblGrid>
      <w:tr w:rsidR="003B0815" w14:paraId="076109E6"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315A600D" w14:textId="77777777">
            <w:pPr>
              <w:jc w:val="center"/>
              <w:rPr>
                <w:rFonts w:ascii="Arial" w:hAnsi="Arial" w:cs="Arial"/>
                <w:sz w:val="20"/>
                <w:szCs w:val="20"/>
              </w:rPr>
            </w:pPr>
            <w:r>
              <w:rPr>
                <w:rFonts w:ascii="Arial" w:hAnsi="Arial" w:cs="Arial"/>
                <w:sz w:val="20"/>
                <w:szCs w:val="20"/>
              </w:rPr>
              <w:t>Year</w:t>
            </w:r>
          </w:p>
        </w:tc>
        <w:tc>
          <w:tcPr>
            <w:tcW w:w="1362" w:type="dxa"/>
            <w:tcBorders>
              <w:top w:val="nil"/>
              <w:left w:val="nil"/>
              <w:bottom w:val="single" w:color="auto" w:sz="4" w:space="0"/>
              <w:right w:val="single" w:color="auto" w:sz="4" w:space="0"/>
            </w:tcBorders>
            <w:noWrap/>
            <w:vAlign w:val="bottom"/>
          </w:tcPr>
          <w:p w:rsidR="003B0815" w:rsidRDefault="003B0815" w14:paraId="73239F72" w14:textId="77777777">
            <w:pPr>
              <w:jc w:val="center"/>
              <w:rPr>
                <w:rFonts w:ascii="Arial" w:hAnsi="Arial" w:cs="Arial"/>
                <w:sz w:val="20"/>
                <w:szCs w:val="20"/>
              </w:rPr>
            </w:pPr>
            <w:r>
              <w:rPr>
                <w:rFonts w:ascii="Arial" w:hAnsi="Arial" w:cs="Arial"/>
                <w:sz w:val="20"/>
                <w:szCs w:val="20"/>
              </w:rPr>
              <w:t>Additional</w:t>
            </w:r>
            <w:r>
              <w:rPr>
                <w:rFonts w:ascii="Arial" w:hAnsi="Arial" w:cs="Arial"/>
                <w:sz w:val="20"/>
                <w:szCs w:val="20"/>
              </w:rPr>
              <w:br/>
              <w:t>Hardware</w:t>
            </w:r>
            <w:r>
              <w:rPr>
                <w:rFonts w:ascii="Arial" w:hAnsi="Arial" w:cs="Arial"/>
                <w:sz w:val="20"/>
                <w:szCs w:val="20"/>
              </w:rPr>
              <w:br/>
              <w:t>Licenses</w:t>
            </w:r>
            <w:r>
              <w:rPr>
                <w:rFonts w:ascii="Arial" w:hAnsi="Arial" w:cs="Arial"/>
                <w:sz w:val="20"/>
                <w:szCs w:val="20"/>
              </w:rPr>
              <w:br/>
              <w:t>Maintenance</w:t>
            </w:r>
          </w:p>
        </w:tc>
        <w:tc>
          <w:tcPr>
            <w:tcW w:w="1171" w:type="dxa"/>
            <w:tcBorders>
              <w:top w:val="nil"/>
              <w:left w:val="nil"/>
              <w:bottom w:val="single" w:color="auto" w:sz="4" w:space="0"/>
              <w:right w:val="single" w:color="auto" w:sz="4" w:space="0"/>
            </w:tcBorders>
            <w:noWrap/>
            <w:vAlign w:val="bottom"/>
          </w:tcPr>
          <w:p w:rsidR="003B0815" w:rsidRDefault="003B0815" w14:paraId="38A8D89E" w14:textId="77777777">
            <w:pPr>
              <w:jc w:val="center"/>
              <w:rPr>
                <w:rFonts w:ascii="Arial" w:hAnsi="Arial" w:cs="Arial"/>
                <w:sz w:val="20"/>
                <w:szCs w:val="20"/>
              </w:rPr>
            </w:pPr>
            <w:r>
              <w:rPr>
                <w:rFonts w:ascii="Arial" w:hAnsi="Arial" w:cs="Arial"/>
                <w:sz w:val="20"/>
                <w:szCs w:val="20"/>
              </w:rPr>
              <w:t>Additional</w:t>
            </w:r>
            <w:r>
              <w:rPr>
                <w:rFonts w:ascii="Arial" w:hAnsi="Arial" w:cs="Arial"/>
                <w:sz w:val="20"/>
                <w:szCs w:val="20"/>
              </w:rPr>
              <w:br/>
              <w:t>Staffing</w:t>
            </w:r>
          </w:p>
        </w:tc>
        <w:tc>
          <w:tcPr>
            <w:tcW w:w="1171" w:type="dxa"/>
            <w:tcBorders>
              <w:top w:val="nil"/>
              <w:left w:val="nil"/>
              <w:bottom w:val="single" w:color="auto" w:sz="4" w:space="0"/>
              <w:right w:val="single" w:color="auto" w:sz="4" w:space="0"/>
            </w:tcBorders>
            <w:noWrap/>
            <w:vAlign w:val="bottom"/>
          </w:tcPr>
          <w:p w:rsidR="003B0815" w:rsidRDefault="003B0815" w14:paraId="408AF725" w14:textId="77777777">
            <w:pPr>
              <w:jc w:val="center"/>
              <w:rPr>
                <w:rFonts w:ascii="Arial" w:hAnsi="Arial" w:cs="Arial"/>
                <w:sz w:val="20"/>
                <w:szCs w:val="20"/>
              </w:rPr>
            </w:pPr>
            <w:r>
              <w:rPr>
                <w:rFonts w:ascii="Arial" w:hAnsi="Arial" w:cs="Arial"/>
                <w:sz w:val="20"/>
                <w:szCs w:val="20"/>
              </w:rPr>
              <w:t>Total</w:t>
            </w:r>
          </w:p>
        </w:tc>
        <w:tc>
          <w:tcPr>
            <w:tcW w:w="1171" w:type="dxa"/>
            <w:tcBorders>
              <w:top w:val="nil"/>
              <w:left w:val="nil"/>
              <w:bottom w:val="single" w:color="auto" w:sz="4" w:space="0"/>
              <w:right w:val="single" w:color="auto" w:sz="4" w:space="0"/>
            </w:tcBorders>
            <w:noWrap/>
            <w:vAlign w:val="bottom"/>
          </w:tcPr>
          <w:p w:rsidR="003B0815" w:rsidRDefault="003B0815" w14:paraId="2E3826CD" w14:textId="77777777">
            <w:pPr>
              <w:jc w:val="center"/>
              <w:rPr>
                <w:rFonts w:ascii="Arial" w:hAnsi="Arial" w:cs="Arial"/>
                <w:sz w:val="20"/>
                <w:szCs w:val="20"/>
              </w:rPr>
            </w:pPr>
            <w:r>
              <w:rPr>
                <w:rFonts w:ascii="Arial" w:hAnsi="Arial" w:cs="Arial"/>
                <w:sz w:val="20"/>
                <w:szCs w:val="20"/>
              </w:rPr>
              <w:t>Total 7% Discount</w:t>
            </w:r>
          </w:p>
        </w:tc>
        <w:tc>
          <w:tcPr>
            <w:tcW w:w="1171" w:type="dxa"/>
            <w:tcBorders>
              <w:top w:val="nil"/>
              <w:left w:val="nil"/>
              <w:bottom w:val="single" w:color="auto" w:sz="4" w:space="0"/>
              <w:right w:val="single" w:color="auto" w:sz="4" w:space="0"/>
            </w:tcBorders>
            <w:noWrap/>
            <w:vAlign w:val="bottom"/>
          </w:tcPr>
          <w:p w:rsidR="003B0815" w:rsidRDefault="003B0815" w14:paraId="3B355094" w14:textId="77777777">
            <w:pPr>
              <w:jc w:val="center"/>
              <w:rPr>
                <w:rFonts w:ascii="Arial" w:hAnsi="Arial" w:cs="Arial"/>
                <w:sz w:val="20"/>
                <w:szCs w:val="20"/>
              </w:rPr>
            </w:pPr>
            <w:r>
              <w:rPr>
                <w:rFonts w:ascii="Arial" w:hAnsi="Arial" w:cs="Arial"/>
                <w:sz w:val="20"/>
                <w:szCs w:val="20"/>
              </w:rPr>
              <w:t>Total 3% Discount</w:t>
            </w:r>
          </w:p>
        </w:tc>
      </w:tr>
      <w:tr w:rsidR="003B0815" w14:paraId="637B5531"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30C55EA6" w14:textId="77777777">
            <w:pPr>
              <w:jc w:val="center"/>
              <w:rPr>
                <w:rFonts w:ascii="Arial" w:hAnsi="Arial" w:cs="Arial"/>
                <w:sz w:val="20"/>
                <w:szCs w:val="20"/>
              </w:rPr>
            </w:pPr>
            <w:r>
              <w:rPr>
                <w:rFonts w:ascii="Arial" w:hAnsi="Arial" w:cs="Arial"/>
                <w:sz w:val="20"/>
                <w:szCs w:val="20"/>
              </w:rPr>
              <w:t>1</w:t>
            </w:r>
          </w:p>
        </w:tc>
        <w:tc>
          <w:tcPr>
            <w:tcW w:w="1362" w:type="dxa"/>
            <w:tcBorders>
              <w:top w:val="nil"/>
              <w:left w:val="nil"/>
              <w:bottom w:val="single" w:color="auto" w:sz="4" w:space="0"/>
              <w:right w:val="single" w:color="auto" w:sz="4" w:space="0"/>
            </w:tcBorders>
            <w:noWrap/>
            <w:vAlign w:val="bottom"/>
          </w:tcPr>
          <w:p w:rsidR="003B0815" w:rsidRDefault="003B0815" w14:paraId="1ECCD296" w14:textId="77777777">
            <w:pPr>
              <w:jc w:val="center"/>
              <w:rPr>
                <w:rFonts w:ascii="Arial" w:hAnsi="Arial" w:cs="Arial"/>
                <w:sz w:val="20"/>
                <w:szCs w:val="20"/>
              </w:rPr>
            </w:pPr>
            <w:r>
              <w:rPr>
                <w:rFonts w:ascii="Arial" w:hAnsi="Arial" w:cs="Arial"/>
                <w:sz w:val="20"/>
                <w:szCs w:val="20"/>
              </w:rPr>
              <w:t>$4.50</w:t>
            </w:r>
          </w:p>
        </w:tc>
        <w:tc>
          <w:tcPr>
            <w:tcW w:w="1171" w:type="dxa"/>
            <w:tcBorders>
              <w:top w:val="nil"/>
              <w:left w:val="nil"/>
              <w:bottom w:val="single" w:color="auto" w:sz="4" w:space="0"/>
              <w:right w:val="single" w:color="auto" w:sz="4" w:space="0"/>
            </w:tcBorders>
            <w:noWrap/>
            <w:vAlign w:val="bottom"/>
          </w:tcPr>
          <w:p w:rsidR="003B0815" w:rsidRDefault="003B0815" w14:paraId="32B77486" w14:textId="77777777">
            <w:pPr>
              <w:jc w:val="center"/>
              <w:rPr>
                <w:rFonts w:ascii="Arial" w:hAnsi="Arial" w:cs="Arial"/>
                <w:sz w:val="20"/>
                <w:szCs w:val="20"/>
              </w:rPr>
            </w:pPr>
            <w:r>
              <w:rPr>
                <w:rFonts w:ascii="Arial" w:hAnsi="Arial" w:cs="Arial"/>
                <w:sz w:val="20"/>
                <w:szCs w:val="20"/>
              </w:rPr>
              <w:t>0</w:t>
            </w:r>
          </w:p>
        </w:tc>
        <w:tc>
          <w:tcPr>
            <w:tcW w:w="1171" w:type="dxa"/>
            <w:tcBorders>
              <w:top w:val="nil"/>
              <w:left w:val="nil"/>
              <w:bottom w:val="single" w:color="auto" w:sz="4" w:space="0"/>
              <w:right w:val="single" w:color="auto" w:sz="4" w:space="0"/>
            </w:tcBorders>
            <w:noWrap/>
            <w:vAlign w:val="bottom"/>
          </w:tcPr>
          <w:p w:rsidR="003B0815" w:rsidRDefault="003B0815" w14:paraId="42FDFCB7" w14:textId="77777777">
            <w:pPr>
              <w:jc w:val="center"/>
              <w:rPr>
                <w:rFonts w:ascii="Arial" w:hAnsi="Arial" w:cs="Arial"/>
                <w:sz w:val="20"/>
                <w:szCs w:val="20"/>
              </w:rPr>
            </w:pPr>
            <w:r>
              <w:rPr>
                <w:rFonts w:ascii="Arial" w:hAnsi="Arial" w:cs="Arial"/>
                <w:sz w:val="20"/>
                <w:szCs w:val="20"/>
              </w:rPr>
              <w:t>$4.50</w:t>
            </w:r>
          </w:p>
        </w:tc>
        <w:tc>
          <w:tcPr>
            <w:tcW w:w="1171" w:type="dxa"/>
            <w:tcBorders>
              <w:top w:val="nil"/>
              <w:left w:val="nil"/>
              <w:bottom w:val="single" w:color="auto" w:sz="4" w:space="0"/>
              <w:right w:val="single" w:color="auto" w:sz="4" w:space="0"/>
            </w:tcBorders>
            <w:noWrap/>
            <w:vAlign w:val="bottom"/>
          </w:tcPr>
          <w:p w:rsidR="003B0815" w:rsidRDefault="003B0815" w14:paraId="24D4CFA0" w14:textId="77777777">
            <w:pPr>
              <w:jc w:val="center"/>
              <w:rPr>
                <w:rFonts w:ascii="Arial" w:hAnsi="Arial" w:cs="Arial"/>
                <w:sz w:val="20"/>
                <w:szCs w:val="20"/>
              </w:rPr>
            </w:pPr>
            <w:r>
              <w:rPr>
                <w:rFonts w:ascii="Arial" w:hAnsi="Arial" w:cs="Arial"/>
                <w:sz w:val="20"/>
                <w:szCs w:val="20"/>
              </w:rPr>
              <w:t xml:space="preserve">$4.30 </w:t>
            </w:r>
          </w:p>
        </w:tc>
        <w:tc>
          <w:tcPr>
            <w:tcW w:w="1171" w:type="dxa"/>
            <w:tcBorders>
              <w:top w:val="nil"/>
              <w:left w:val="nil"/>
              <w:bottom w:val="single" w:color="auto" w:sz="4" w:space="0"/>
              <w:right w:val="single" w:color="auto" w:sz="4" w:space="0"/>
            </w:tcBorders>
            <w:noWrap/>
            <w:vAlign w:val="bottom"/>
          </w:tcPr>
          <w:p w:rsidR="003B0815" w:rsidRDefault="003B0815" w14:paraId="132DEA1F" w14:textId="77777777">
            <w:pPr>
              <w:jc w:val="center"/>
              <w:rPr>
                <w:rFonts w:ascii="Arial" w:hAnsi="Arial" w:cs="Arial"/>
                <w:sz w:val="20"/>
                <w:szCs w:val="20"/>
              </w:rPr>
            </w:pPr>
            <w:r>
              <w:rPr>
                <w:rFonts w:ascii="Arial" w:hAnsi="Arial" w:cs="Arial"/>
                <w:sz w:val="20"/>
                <w:szCs w:val="20"/>
              </w:rPr>
              <w:t xml:space="preserve">$4.40 </w:t>
            </w:r>
          </w:p>
        </w:tc>
      </w:tr>
      <w:tr w:rsidR="003B0815" w14:paraId="0506F59B"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0D801FE8" w14:textId="77777777">
            <w:pPr>
              <w:jc w:val="center"/>
              <w:rPr>
                <w:rFonts w:ascii="Arial" w:hAnsi="Arial" w:cs="Arial"/>
                <w:sz w:val="20"/>
                <w:szCs w:val="20"/>
              </w:rPr>
            </w:pPr>
            <w:r>
              <w:rPr>
                <w:rFonts w:ascii="Arial" w:hAnsi="Arial" w:cs="Arial"/>
                <w:sz w:val="20"/>
                <w:szCs w:val="20"/>
              </w:rPr>
              <w:t>2</w:t>
            </w:r>
          </w:p>
        </w:tc>
        <w:tc>
          <w:tcPr>
            <w:tcW w:w="1362" w:type="dxa"/>
            <w:tcBorders>
              <w:top w:val="nil"/>
              <w:left w:val="nil"/>
              <w:bottom w:val="single" w:color="auto" w:sz="4" w:space="0"/>
              <w:right w:val="single" w:color="auto" w:sz="4" w:space="0"/>
            </w:tcBorders>
            <w:noWrap/>
            <w:vAlign w:val="bottom"/>
          </w:tcPr>
          <w:p w:rsidR="003B0815" w:rsidRDefault="003B0815" w14:paraId="0754B85D"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58317A49"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7D2D2CB1"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49186AE7" w14:textId="77777777">
            <w:pPr>
              <w:jc w:val="center"/>
              <w:rPr>
                <w:rFonts w:ascii="Arial" w:hAnsi="Arial" w:cs="Arial"/>
                <w:sz w:val="20"/>
                <w:szCs w:val="20"/>
              </w:rPr>
            </w:pPr>
            <w:r>
              <w:rPr>
                <w:rFonts w:ascii="Arial" w:hAnsi="Arial" w:cs="Arial"/>
                <w:sz w:val="20"/>
                <w:szCs w:val="20"/>
              </w:rPr>
              <w:t xml:space="preserve">$1.17 </w:t>
            </w:r>
          </w:p>
        </w:tc>
        <w:tc>
          <w:tcPr>
            <w:tcW w:w="1171" w:type="dxa"/>
            <w:tcBorders>
              <w:top w:val="nil"/>
              <w:left w:val="nil"/>
              <w:bottom w:val="single" w:color="auto" w:sz="4" w:space="0"/>
              <w:right w:val="single" w:color="auto" w:sz="4" w:space="0"/>
            </w:tcBorders>
            <w:noWrap/>
            <w:vAlign w:val="bottom"/>
          </w:tcPr>
          <w:p w:rsidR="003B0815" w:rsidRDefault="003B0815" w14:paraId="48C9E946" w14:textId="77777777">
            <w:pPr>
              <w:jc w:val="center"/>
              <w:rPr>
                <w:rFonts w:ascii="Arial" w:hAnsi="Arial" w:cs="Arial"/>
                <w:sz w:val="20"/>
                <w:szCs w:val="20"/>
              </w:rPr>
            </w:pPr>
            <w:r>
              <w:rPr>
                <w:rFonts w:ascii="Arial" w:hAnsi="Arial" w:cs="Arial"/>
                <w:sz w:val="20"/>
                <w:szCs w:val="20"/>
              </w:rPr>
              <w:t xml:space="preserve">$1.24 </w:t>
            </w:r>
          </w:p>
        </w:tc>
      </w:tr>
      <w:tr w:rsidR="003B0815" w14:paraId="02690BEA"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7708E03F" w14:textId="77777777">
            <w:pPr>
              <w:jc w:val="center"/>
              <w:rPr>
                <w:rFonts w:ascii="Arial" w:hAnsi="Arial" w:cs="Arial"/>
                <w:sz w:val="20"/>
                <w:szCs w:val="20"/>
              </w:rPr>
            </w:pPr>
            <w:r>
              <w:rPr>
                <w:rFonts w:ascii="Arial" w:hAnsi="Arial" w:cs="Arial"/>
                <w:sz w:val="20"/>
                <w:szCs w:val="20"/>
              </w:rPr>
              <w:t>3</w:t>
            </w:r>
          </w:p>
        </w:tc>
        <w:tc>
          <w:tcPr>
            <w:tcW w:w="1362" w:type="dxa"/>
            <w:tcBorders>
              <w:top w:val="nil"/>
              <w:left w:val="nil"/>
              <w:bottom w:val="single" w:color="auto" w:sz="4" w:space="0"/>
              <w:right w:val="single" w:color="auto" w:sz="4" w:space="0"/>
            </w:tcBorders>
            <w:noWrap/>
            <w:vAlign w:val="bottom"/>
          </w:tcPr>
          <w:p w:rsidR="003B0815" w:rsidRDefault="003B0815" w14:paraId="2A8FBFC8"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67BD2EE6"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5FBD2630"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766EEA35" w14:textId="77777777">
            <w:pPr>
              <w:jc w:val="center"/>
              <w:rPr>
                <w:rFonts w:ascii="Arial" w:hAnsi="Arial" w:cs="Arial"/>
                <w:sz w:val="20"/>
                <w:szCs w:val="20"/>
              </w:rPr>
            </w:pPr>
            <w:r>
              <w:rPr>
                <w:rFonts w:ascii="Arial" w:hAnsi="Arial" w:cs="Arial"/>
                <w:sz w:val="20"/>
                <w:szCs w:val="20"/>
              </w:rPr>
              <w:t xml:space="preserve">$1.09 </w:t>
            </w:r>
          </w:p>
        </w:tc>
        <w:tc>
          <w:tcPr>
            <w:tcW w:w="1171" w:type="dxa"/>
            <w:tcBorders>
              <w:top w:val="nil"/>
              <w:left w:val="nil"/>
              <w:bottom w:val="single" w:color="auto" w:sz="4" w:space="0"/>
              <w:right w:val="single" w:color="auto" w:sz="4" w:space="0"/>
            </w:tcBorders>
            <w:noWrap/>
            <w:vAlign w:val="bottom"/>
          </w:tcPr>
          <w:p w:rsidR="003B0815" w:rsidRDefault="003B0815" w14:paraId="181BED3D" w14:textId="77777777">
            <w:pPr>
              <w:jc w:val="center"/>
              <w:rPr>
                <w:rFonts w:ascii="Arial" w:hAnsi="Arial" w:cs="Arial"/>
                <w:sz w:val="20"/>
                <w:szCs w:val="20"/>
              </w:rPr>
            </w:pPr>
            <w:r>
              <w:rPr>
                <w:rFonts w:ascii="Arial" w:hAnsi="Arial" w:cs="Arial"/>
                <w:sz w:val="20"/>
                <w:szCs w:val="20"/>
              </w:rPr>
              <w:t xml:space="preserve">$1.20 </w:t>
            </w:r>
          </w:p>
        </w:tc>
      </w:tr>
      <w:tr w:rsidR="003B0815" w14:paraId="087D3DF1"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12FABFD1" w14:textId="77777777">
            <w:pPr>
              <w:jc w:val="center"/>
              <w:rPr>
                <w:rFonts w:ascii="Arial" w:hAnsi="Arial" w:cs="Arial"/>
                <w:sz w:val="20"/>
                <w:szCs w:val="20"/>
              </w:rPr>
            </w:pPr>
            <w:r>
              <w:rPr>
                <w:rFonts w:ascii="Arial" w:hAnsi="Arial" w:cs="Arial"/>
                <w:sz w:val="20"/>
                <w:szCs w:val="20"/>
              </w:rPr>
              <w:t>4</w:t>
            </w:r>
          </w:p>
        </w:tc>
        <w:tc>
          <w:tcPr>
            <w:tcW w:w="1362" w:type="dxa"/>
            <w:tcBorders>
              <w:top w:val="nil"/>
              <w:left w:val="nil"/>
              <w:bottom w:val="single" w:color="auto" w:sz="4" w:space="0"/>
              <w:right w:val="single" w:color="auto" w:sz="4" w:space="0"/>
            </w:tcBorders>
            <w:noWrap/>
            <w:vAlign w:val="bottom"/>
          </w:tcPr>
          <w:p w:rsidR="003B0815" w:rsidRDefault="003B0815" w14:paraId="389D640F"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09146799"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6ED70B62"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4ADC8E49" w14:textId="77777777">
            <w:pPr>
              <w:jc w:val="center"/>
              <w:rPr>
                <w:rFonts w:ascii="Arial" w:hAnsi="Arial" w:cs="Arial"/>
                <w:sz w:val="20"/>
                <w:szCs w:val="20"/>
              </w:rPr>
            </w:pPr>
            <w:r>
              <w:rPr>
                <w:rFonts w:ascii="Arial" w:hAnsi="Arial" w:cs="Arial"/>
                <w:sz w:val="20"/>
                <w:szCs w:val="20"/>
              </w:rPr>
              <w:t xml:space="preserve">$1.02 </w:t>
            </w:r>
          </w:p>
        </w:tc>
        <w:tc>
          <w:tcPr>
            <w:tcW w:w="1171" w:type="dxa"/>
            <w:tcBorders>
              <w:top w:val="nil"/>
              <w:left w:val="nil"/>
              <w:bottom w:val="single" w:color="auto" w:sz="4" w:space="0"/>
              <w:right w:val="single" w:color="auto" w:sz="4" w:space="0"/>
            </w:tcBorders>
            <w:noWrap/>
            <w:vAlign w:val="bottom"/>
          </w:tcPr>
          <w:p w:rsidR="003B0815" w:rsidRDefault="003B0815" w14:paraId="0A4B5EB7" w14:textId="77777777">
            <w:pPr>
              <w:jc w:val="center"/>
              <w:rPr>
                <w:rFonts w:ascii="Arial" w:hAnsi="Arial" w:cs="Arial"/>
                <w:sz w:val="20"/>
                <w:szCs w:val="20"/>
              </w:rPr>
            </w:pPr>
            <w:r>
              <w:rPr>
                <w:rFonts w:ascii="Arial" w:hAnsi="Arial" w:cs="Arial"/>
                <w:sz w:val="20"/>
                <w:szCs w:val="20"/>
              </w:rPr>
              <w:t xml:space="preserve">$1.17 </w:t>
            </w:r>
          </w:p>
        </w:tc>
      </w:tr>
      <w:tr w:rsidR="003B0815" w14:paraId="0CC03EBC"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47BE0783" w14:textId="77777777">
            <w:pPr>
              <w:jc w:val="center"/>
              <w:rPr>
                <w:rFonts w:ascii="Arial" w:hAnsi="Arial" w:cs="Arial"/>
                <w:sz w:val="20"/>
                <w:szCs w:val="20"/>
              </w:rPr>
            </w:pPr>
            <w:r>
              <w:rPr>
                <w:rFonts w:ascii="Arial" w:hAnsi="Arial" w:cs="Arial"/>
                <w:sz w:val="20"/>
                <w:szCs w:val="20"/>
              </w:rPr>
              <w:t>5</w:t>
            </w:r>
          </w:p>
        </w:tc>
        <w:tc>
          <w:tcPr>
            <w:tcW w:w="1362" w:type="dxa"/>
            <w:tcBorders>
              <w:top w:val="nil"/>
              <w:left w:val="nil"/>
              <w:bottom w:val="single" w:color="auto" w:sz="4" w:space="0"/>
              <w:right w:val="single" w:color="auto" w:sz="4" w:space="0"/>
            </w:tcBorders>
            <w:noWrap/>
            <w:vAlign w:val="bottom"/>
          </w:tcPr>
          <w:p w:rsidR="003B0815" w:rsidRDefault="003B0815" w14:paraId="603318EF"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23507BB1"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61A5FA3C"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377DADD5" w14:textId="77777777">
            <w:pPr>
              <w:jc w:val="center"/>
              <w:rPr>
                <w:rFonts w:ascii="Arial" w:hAnsi="Arial" w:cs="Arial"/>
                <w:sz w:val="20"/>
                <w:szCs w:val="20"/>
              </w:rPr>
            </w:pPr>
            <w:r>
              <w:rPr>
                <w:rFonts w:ascii="Arial" w:hAnsi="Arial" w:cs="Arial"/>
                <w:sz w:val="20"/>
                <w:szCs w:val="20"/>
              </w:rPr>
              <w:t xml:space="preserve">$0.95 </w:t>
            </w:r>
          </w:p>
        </w:tc>
        <w:tc>
          <w:tcPr>
            <w:tcW w:w="1171" w:type="dxa"/>
            <w:tcBorders>
              <w:top w:val="nil"/>
              <w:left w:val="nil"/>
              <w:bottom w:val="single" w:color="auto" w:sz="4" w:space="0"/>
              <w:right w:val="single" w:color="auto" w:sz="4" w:space="0"/>
            </w:tcBorders>
            <w:noWrap/>
            <w:vAlign w:val="bottom"/>
          </w:tcPr>
          <w:p w:rsidR="003B0815" w:rsidRDefault="003B0815" w14:paraId="6B829CA4" w14:textId="77777777">
            <w:pPr>
              <w:jc w:val="center"/>
              <w:rPr>
                <w:rFonts w:ascii="Arial" w:hAnsi="Arial" w:cs="Arial"/>
                <w:sz w:val="20"/>
                <w:szCs w:val="20"/>
              </w:rPr>
            </w:pPr>
            <w:r>
              <w:rPr>
                <w:rFonts w:ascii="Arial" w:hAnsi="Arial" w:cs="Arial"/>
                <w:sz w:val="20"/>
                <w:szCs w:val="20"/>
              </w:rPr>
              <w:t xml:space="preserve">$1.13 </w:t>
            </w:r>
          </w:p>
        </w:tc>
      </w:tr>
      <w:tr w:rsidR="003B0815" w14:paraId="622A3FD3"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46336F37" w14:textId="77777777">
            <w:pPr>
              <w:jc w:val="center"/>
              <w:rPr>
                <w:rFonts w:ascii="Arial" w:hAnsi="Arial" w:cs="Arial"/>
                <w:sz w:val="20"/>
                <w:szCs w:val="20"/>
              </w:rPr>
            </w:pPr>
            <w:r>
              <w:rPr>
                <w:rFonts w:ascii="Arial" w:hAnsi="Arial" w:cs="Arial"/>
                <w:sz w:val="20"/>
                <w:szCs w:val="20"/>
              </w:rPr>
              <w:t>6</w:t>
            </w:r>
          </w:p>
        </w:tc>
        <w:tc>
          <w:tcPr>
            <w:tcW w:w="1362" w:type="dxa"/>
            <w:tcBorders>
              <w:top w:val="nil"/>
              <w:left w:val="nil"/>
              <w:bottom w:val="single" w:color="auto" w:sz="4" w:space="0"/>
              <w:right w:val="single" w:color="auto" w:sz="4" w:space="0"/>
            </w:tcBorders>
            <w:noWrap/>
            <w:vAlign w:val="bottom"/>
          </w:tcPr>
          <w:p w:rsidR="003B0815" w:rsidRDefault="003B0815" w14:paraId="3E3E5E4F"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79B4C18E"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26726205"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0D270FFE" w14:textId="77777777">
            <w:pPr>
              <w:jc w:val="center"/>
              <w:rPr>
                <w:rFonts w:ascii="Arial" w:hAnsi="Arial" w:cs="Arial"/>
                <w:sz w:val="20"/>
                <w:szCs w:val="20"/>
              </w:rPr>
            </w:pPr>
            <w:r>
              <w:rPr>
                <w:rFonts w:ascii="Arial" w:hAnsi="Arial" w:cs="Arial"/>
                <w:sz w:val="20"/>
                <w:szCs w:val="20"/>
              </w:rPr>
              <w:t xml:space="preserve">$0.89 </w:t>
            </w:r>
          </w:p>
        </w:tc>
        <w:tc>
          <w:tcPr>
            <w:tcW w:w="1171" w:type="dxa"/>
            <w:tcBorders>
              <w:top w:val="nil"/>
              <w:left w:val="nil"/>
              <w:bottom w:val="single" w:color="auto" w:sz="4" w:space="0"/>
              <w:right w:val="single" w:color="auto" w:sz="4" w:space="0"/>
            </w:tcBorders>
            <w:noWrap/>
            <w:vAlign w:val="bottom"/>
          </w:tcPr>
          <w:p w:rsidR="003B0815" w:rsidRDefault="003B0815" w14:paraId="2E9D4343" w14:textId="77777777">
            <w:pPr>
              <w:jc w:val="center"/>
              <w:rPr>
                <w:rFonts w:ascii="Arial" w:hAnsi="Arial" w:cs="Arial"/>
                <w:sz w:val="20"/>
                <w:szCs w:val="20"/>
              </w:rPr>
            </w:pPr>
            <w:r>
              <w:rPr>
                <w:rFonts w:ascii="Arial" w:hAnsi="Arial" w:cs="Arial"/>
                <w:sz w:val="20"/>
                <w:szCs w:val="20"/>
              </w:rPr>
              <w:t xml:space="preserve">$1.10 </w:t>
            </w:r>
          </w:p>
        </w:tc>
      </w:tr>
      <w:tr w:rsidR="003B0815" w14:paraId="00BC854E"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09DF5D5E" w14:textId="77777777">
            <w:pPr>
              <w:jc w:val="center"/>
              <w:rPr>
                <w:rFonts w:ascii="Arial" w:hAnsi="Arial" w:cs="Arial"/>
                <w:sz w:val="20"/>
                <w:szCs w:val="20"/>
              </w:rPr>
            </w:pPr>
            <w:r>
              <w:rPr>
                <w:rFonts w:ascii="Arial" w:hAnsi="Arial" w:cs="Arial"/>
                <w:sz w:val="20"/>
                <w:szCs w:val="20"/>
              </w:rPr>
              <w:t>7</w:t>
            </w:r>
          </w:p>
        </w:tc>
        <w:tc>
          <w:tcPr>
            <w:tcW w:w="1362" w:type="dxa"/>
            <w:tcBorders>
              <w:top w:val="nil"/>
              <w:left w:val="nil"/>
              <w:bottom w:val="single" w:color="auto" w:sz="4" w:space="0"/>
              <w:right w:val="single" w:color="auto" w:sz="4" w:space="0"/>
            </w:tcBorders>
            <w:noWrap/>
            <w:vAlign w:val="bottom"/>
          </w:tcPr>
          <w:p w:rsidR="003B0815" w:rsidRDefault="003B0815" w14:paraId="590D9F36"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7AA1C011"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2A524A22"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31F2BADE" w14:textId="77777777">
            <w:pPr>
              <w:jc w:val="center"/>
              <w:rPr>
                <w:rFonts w:ascii="Arial" w:hAnsi="Arial" w:cs="Arial"/>
                <w:sz w:val="20"/>
                <w:szCs w:val="20"/>
              </w:rPr>
            </w:pPr>
            <w:r>
              <w:rPr>
                <w:rFonts w:ascii="Arial" w:hAnsi="Arial" w:cs="Arial"/>
                <w:sz w:val="20"/>
                <w:szCs w:val="20"/>
              </w:rPr>
              <w:t xml:space="preserve">$0.83 </w:t>
            </w:r>
          </w:p>
        </w:tc>
        <w:tc>
          <w:tcPr>
            <w:tcW w:w="1171" w:type="dxa"/>
            <w:tcBorders>
              <w:top w:val="nil"/>
              <w:left w:val="nil"/>
              <w:bottom w:val="single" w:color="auto" w:sz="4" w:space="0"/>
              <w:right w:val="single" w:color="auto" w:sz="4" w:space="0"/>
            </w:tcBorders>
            <w:noWrap/>
            <w:vAlign w:val="bottom"/>
          </w:tcPr>
          <w:p w:rsidR="003B0815" w:rsidRDefault="003B0815" w14:paraId="47F7992F" w14:textId="77777777">
            <w:pPr>
              <w:jc w:val="center"/>
              <w:rPr>
                <w:rFonts w:ascii="Arial" w:hAnsi="Arial" w:cs="Arial"/>
                <w:sz w:val="20"/>
                <w:szCs w:val="20"/>
              </w:rPr>
            </w:pPr>
            <w:r>
              <w:rPr>
                <w:rFonts w:ascii="Arial" w:hAnsi="Arial" w:cs="Arial"/>
                <w:sz w:val="20"/>
                <w:szCs w:val="20"/>
              </w:rPr>
              <w:t xml:space="preserve">$1.07 </w:t>
            </w:r>
          </w:p>
        </w:tc>
      </w:tr>
      <w:tr w:rsidR="003B0815" w14:paraId="0CE73FAB"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B52C405" w14:textId="77777777">
            <w:pPr>
              <w:jc w:val="center"/>
              <w:rPr>
                <w:rFonts w:ascii="Arial" w:hAnsi="Arial" w:cs="Arial"/>
                <w:sz w:val="20"/>
                <w:szCs w:val="20"/>
              </w:rPr>
            </w:pPr>
            <w:r>
              <w:rPr>
                <w:rFonts w:ascii="Arial" w:hAnsi="Arial" w:cs="Arial"/>
                <w:sz w:val="20"/>
                <w:szCs w:val="20"/>
              </w:rPr>
              <w:t>8</w:t>
            </w:r>
          </w:p>
        </w:tc>
        <w:tc>
          <w:tcPr>
            <w:tcW w:w="1362" w:type="dxa"/>
            <w:tcBorders>
              <w:top w:val="nil"/>
              <w:left w:val="nil"/>
              <w:bottom w:val="single" w:color="auto" w:sz="4" w:space="0"/>
              <w:right w:val="single" w:color="auto" w:sz="4" w:space="0"/>
            </w:tcBorders>
            <w:noWrap/>
            <w:vAlign w:val="bottom"/>
          </w:tcPr>
          <w:p w:rsidR="003B0815" w:rsidRDefault="003B0815" w14:paraId="1136E6FC"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02481776"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22B8A90A"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2139ADB1" w14:textId="77777777">
            <w:pPr>
              <w:jc w:val="center"/>
              <w:rPr>
                <w:rFonts w:ascii="Arial" w:hAnsi="Arial" w:cs="Arial"/>
                <w:sz w:val="20"/>
                <w:szCs w:val="20"/>
              </w:rPr>
            </w:pPr>
            <w:r>
              <w:rPr>
                <w:rFonts w:ascii="Arial" w:hAnsi="Arial" w:cs="Arial"/>
                <w:sz w:val="20"/>
                <w:szCs w:val="20"/>
              </w:rPr>
              <w:t xml:space="preserve">$0.78 </w:t>
            </w:r>
          </w:p>
        </w:tc>
        <w:tc>
          <w:tcPr>
            <w:tcW w:w="1171" w:type="dxa"/>
            <w:tcBorders>
              <w:top w:val="nil"/>
              <w:left w:val="nil"/>
              <w:bottom w:val="single" w:color="auto" w:sz="4" w:space="0"/>
              <w:right w:val="single" w:color="auto" w:sz="4" w:space="0"/>
            </w:tcBorders>
            <w:noWrap/>
            <w:vAlign w:val="bottom"/>
          </w:tcPr>
          <w:p w:rsidR="003B0815" w:rsidRDefault="003B0815" w14:paraId="3CC92D9A" w14:textId="77777777">
            <w:pPr>
              <w:jc w:val="center"/>
              <w:rPr>
                <w:rFonts w:ascii="Arial" w:hAnsi="Arial" w:cs="Arial"/>
                <w:sz w:val="20"/>
                <w:szCs w:val="20"/>
              </w:rPr>
            </w:pPr>
            <w:r>
              <w:rPr>
                <w:rFonts w:ascii="Arial" w:hAnsi="Arial" w:cs="Arial"/>
                <w:sz w:val="20"/>
                <w:szCs w:val="20"/>
              </w:rPr>
              <w:t xml:space="preserve">$1.04 </w:t>
            </w:r>
          </w:p>
        </w:tc>
      </w:tr>
      <w:tr w:rsidR="003B0815" w14:paraId="026FD75A"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1E824AFB" w14:textId="77777777">
            <w:pPr>
              <w:jc w:val="center"/>
              <w:rPr>
                <w:rFonts w:ascii="Arial" w:hAnsi="Arial" w:cs="Arial"/>
                <w:sz w:val="20"/>
                <w:szCs w:val="20"/>
              </w:rPr>
            </w:pPr>
            <w:r>
              <w:rPr>
                <w:rFonts w:ascii="Arial" w:hAnsi="Arial" w:cs="Arial"/>
                <w:sz w:val="20"/>
                <w:szCs w:val="20"/>
              </w:rPr>
              <w:t>9</w:t>
            </w:r>
          </w:p>
        </w:tc>
        <w:tc>
          <w:tcPr>
            <w:tcW w:w="1362" w:type="dxa"/>
            <w:tcBorders>
              <w:top w:val="nil"/>
              <w:left w:val="nil"/>
              <w:bottom w:val="single" w:color="auto" w:sz="4" w:space="0"/>
              <w:right w:val="single" w:color="auto" w:sz="4" w:space="0"/>
            </w:tcBorders>
            <w:noWrap/>
            <w:vAlign w:val="bottom"/>
          </w:tcPr>
          <w:p w:rsidR="003B0815" w:rsidRDefault="003B0815" w14:paraId="07833A15"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5057E243"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56900BBD"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6F1F44F9" w14:textId="77777777">
            <w:pPr>
              <w:jc w:val="center"/>
              <w:rPr>
                <w:rFonts w:ascii="Arial" w:hAnsi="Arial" w:cs="Arial"/>
                <w:sz w:val="20"/>
                <w:szCs w:val="20"/>
              </w:rPr>
            </w:pPr>
            <w:r>
              <w:rPr>
                <w:rFonts w:ascii="Arial" w:hAnsi="Arial" w:cs="Arial"/>
                <w:sz w:val="20"/>
                <w:szCs w:val="20"/>
              </w:rPr>
              <w:t xml:space="preserve">$0.73 </w:t>
            </w:r>
          </w:p>
        </w:tc>
        <w:tc>
          <w:tcPr>
            <w:tcW w:w="1171" w:type="dxa"/>
            <w:tcBorders>
              <w:top w:val="nil"/>
              <w:left w:val="nil"/>
              <w:bottom w:val="single" w:color="auto" w:sz="4" w:space="0"/>
              <w:right w:val="single" w:color="auto" w:sz="4" w:space="0"/>
            </w:tcBorders>
            <w:noWrap/>
            <w:vAlign w:val="bottom"/>
          </w:tcPr>
          <w:p w:rsidR="003B0815" w:rsidRDefault="003B0815" w14:paraId="1DA5F334" w14:textId="77777777">
            <w:pPr>
              <w:jc w:val="center"/>
              <w:rPr>
                <w:rFonts w:ascii="Arial" w:hAnsi="Arial" w:cs="Arial"/>
                <w:sz w:val="20"/>
                <w:szCs w:val="20"/>
              </w:rPr>
            </w:pPr>
            <w:r>
              <w:rPr>
                <w:rFonts w:ascii="Arial" w:hAnsi="Arial" w:cs="Arial"/>
                <w:sz w:val="20"/>
                <w:szCs w:val="20"/>
              </w:rPr>
              <w:t xml:space="preserve">$1.01 </w:t>
            </w:r>
          </w:p>
        </w:tc>
      </w:tr>
      <w:tr w:rsidR="003B0815" w14:paraId="199AA3D1"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17A559C9" w14:textId="77777777">
            <w:pPr>
              <w:jc w:val="center"/>
              <w:rPr>
                <w:rFonts w:ascii="Arial" w:hAnsi="Arial" w:cs="Arial"/>
                <w:sz w:val="20"/>
                <w:szCs w:val="20"/>
              </w:rPr>
            </w:pPr>
            <w:r>
              <w:rPr>
                <w:rFonts w:ascii="Arial" w:hAnsi="Arial" w:cs="Arial"/>
                <w:sz w:val="20"/>
                <w:szCs w:val="20"/>
              </w:rPr>
              <w:t>10</w:t>
            </w:r>
          </w:p>
        </w:tc>
        <w:tc>
          <w:tcPr>
            <w:tcW w:w="1362" w:type="dxa"/>
            <w:tcBorders>
              <w:top w:val="nil"/>
              <w:left w:val="nil"/>
              <w:bottom w:val="single" w:color="auto" w:sz="4" w:space="0"/>
              <w:right w:val="single" w:color="auto" w:sz="4" w:space="0"/>
            </w:tcBorders>
            <w:noWrap/>
            <w:vAlign w:val="bottom"/>
          </w:tcPr>
          <w:p w:rsidR="003B0815" w:rsidRDefault="003B0815" w14:paraId="3D722F71" w14:textId="77777777">
            <w:pPr>
              <w:jc w:val="center"/>
              <w:rPr>
                <w:rFonts w:ascii="Arial" w:hAnsi="Arial" w:cs="Arial"/>
                <w:sz w:val="20"/>
                <w:szCs w:val="20"/>
              </w:rPr>
            </w:pPr>
            <w:r>
              <w:rPr>
                <w:rFonts w:ascii="Arial" w:hAnsi="Arial" w:cs="Arial"/>
                <w:sz w:val="20"/>
                <w:szCs w:val="20"/>
              </w:rPr>
              <w:t>$0.54</w:t>
            </w:r>
          </w:p>
        </w:tc>
        <w:tc>
          <w:tcPr>
            <w:tcW w:w="1171" w:type="dxa"/>
            <w:tcBorders>
              <w:top w:val="nil"/>
              <w:left w:val="nil"/>
              <w:bottom w:val="single" w:color="auto" w:sz="4" w:space="0"/>
              <w:right w:val="single" w:color="auto" w:sz="4" w:space="0"/>
            </w:tcBorders>
            <w:noWrap/>
            <w:vAlign w:val="bottom"/>
          </w:tcPr>
          <w:p w:rsidR="003B0815" w:rsidRDefault="003B0815" w14:paraId="6092CE1A" w14:textId="77777777">
            <w:pPr>
              <w:jc w:val="center"/>
              <w:rPr>
                <w:rFonts w:ascii="Arial" w:hAnsi="Arial" w:cs="Arial"/>
                <w:sz w:val="20"/>
                <w:szCs w:val="20"/>
              </w:rPr>
            </w:pPr>
            <w:r>
              <w:rPr>
                <w:rFonts w:ascii="Arial" w:hAnsi="Arial" w:cs="Arial"/>
                <w:sz w:val="20"/>
                <w:szCs w:val="20"/>
              </w:rPr>
              <w:t>$0.757</w:t>
            </w:r>
          </w:p>
        </w:tc>
        <w:tc>
          <w:tcPr>
            <w:tcW w:w="1171" w:type="dxa"/>
            <w:tcBorders>
              <w:top w:val="nil"/>
              <w:left w:val="nil"/>
              <w:bottom w:val="single" w:color="auto" w:sz="4" w:space="0"/>
              <w:right w:val="single" w:color="auto" w:sz="4" w:space="0"/>
            </w:tcBorders>
            <w:noWrap/>
            <w:vAlign w:val="bottom"/>
          </w:tcPr>
          <w:p w:rsidR="003B0815" w:rsidRDefault="003B0815" w14:paraId="7AF9A34B" w14:textId="77777777">
            <w:pPr>
              <w:jc w:val="center"/>
              <w:rPr>
                <w:rFonts w:ascii="Arial" w:hAnsi="Arial" w:cs="Arial"/>
                <w:sz w:val="20"/>
                <w:szCs w:val="20"/>
              </w:rPr>
            </w:pPr>
            <w:r>
              <w:rPr>
                <w:rFonts w:ascii="Arial" w:hAnsi="Arial" w:cs="Arial"/>
                <w:sz w:val="20"/>
                <w:szCs w:val="20"/>
              </w:rPr>
              <w:t>$1.30</w:t>
            </w:r>
          </w:p>
        </w:tc>
        <w:tc>
          <w:tcPr>
            <w:tcW w:w="1171" w:type="dxa"/>
            <w:tcBorders>
              <w:top w:val="nil"/>
              <w:left w:val="nil"/>
              <w:bottom w:val="single" w:color="auto" w:sz="4" w:space="0"/>
              <w:right w:val="single" w:color="auto" w:sz="4" w:space="0"/>
            </w:tcBorders>
            <w:noWrap/>
            <w:vAlign w:val="bottom"/>
          </w:tcPr>
          <w:p w:rsidR="003B0815" w:rsidRDefault="003B0815" w14:paraId="55FA6B02" w14:textId="77777777">
            <w:pPr>
              <w:jc w:val="center"/>
              <w:rPr>
                <w:rFonts w:ascii="Arial" w:hAnsi="Arial" w:cs="Arial"/>
                <w:sz w:val="20"/>
                <w:szCs w:val="20"/>
              </w:rPr>
            </w:pPr>
            <w:r>
              <w:rPr>
                <w:rFonts w:ascii="Arial" w:hAnsi="Arial" w:cs="Arial"/>
                <w:sz w:val="20"/>
                <w:szCs w:val="20"/>
              </w:rPr>
              <w:t xml:space="preserve">$0.68 </w:t>
            </w:r>
          </w:p>
        </w:tc>
        <w:tc>
          <w:tcPr>
            <w:tcW w:w="1171" w:type="dxa"/>
            <w:tcBorders>
              <w:top w:val="nil"/>
              <w:left w:val="nil"/>
              <w:bottom w:val="single" w:color="auto" w:sz="4" w:space="0"/>
              <w:right w:val="single" w:color="auto" w:sz="4" w:space="0"/>
            </w:tcBorders>
            <w:noWrap/>
            <w:vAlign w:val="bottom"/>
          </w:tcPr>
          <w:p w:rsidR="003B0815" w:rsidRDefault="003B0815" w14:paraId="02E801D3" w14:textId="77777777">
            <w:pPr>
              <w:jc w:val="center"/>
              <w:rPr>
                <w:rFonts w:ascii="Arial" w:hAnsi="Arial" w:cs="Arial"/>
                <w:sz w:val="20"/>
                <w:szCs w:val="20"/>
              </w:rPr>
            </w:pPr>
            <w:r>
              <w:rPr>
                <w:rFonts w:ascii="Arial" w:hAnsi="Arial" w:cs="Arial"/>
                <w:sz w:val="20"/>
                <w:szCs w:val="20"/>
              </w:rPr>
              <w:t xml:space="preserve">$0.98 </w:t>
            </w:r>
          </w:p>
        </w:tc>
      </w:tr>
      <w:tr w:rsidR="003B0815" w14:paraId="158EF701"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C8B4A30" w14:textId="77777777">
            <w:pPr>
              <w:jc w:val="center"/>
              <w:rPr>
                <w:rFonts w:ascii="Arial" w:hAnsi="Arial" w:cs="Arial"/>
                <w:sz w:val="20"/>
                <w:szCs w:val="20"/>
              </w:rPr>
            </w:pPr>
            <w:r>
              <w:rPr>
                <w:rFonts w:ascii="Arial" w:hAnsi="Arial" w:cs="Arial"/>
                <w:sz w:val="20"/>
                <w:szCs w:val="20"/>
              </w:rPr>
              <w:t>total</w:t>
            </w:r>
          </w:p>
        </w:tc>
        <w:tc>
          <w:tcPr>
            <w:tcW w:w="1362" w:type="dxa"/>
            <w:tcBorders>
              <w:top w:val="nil"/>
              <w:left w:val="nil"/>
              <w:bottom w:val="single" w:color="auto" w:sz="4" w:space="0"/>
              <w:right w:val="single" w:color="auto" w:sz="4" w:space="0"/>
            </w:tcBorders>
            <w:noWrap/>
            <w:vAlign w:val="bottom"/>
          </w:tcPr>
          <w:p w:rsidR="003B0815" w:rsidRDefault="003B0815" w14:paraId="66AA0C4B" w14:textId="77777777">
            <w:pPr>
              <w:jc w:val="center"/>
              <w:rPr>
                <w:rFonts w:ascii="Arial" w:hAnsi="Arial" w:cs="Arial"/>
                <w:sz w:val="20"/>
                <w:szCs w:val="20"/>
              </w:rPr>
            </w:pPr>
            <w:r>
              <w:rPr>
                <w:rFonts w:ascii="Arial" w:hAnsi="Arial" w:cs="Arial"/>
                <w:sz w:val="20"/>
                <w:szCs w:val="20"/>
              </w:rPr>
              <w:t>$4.87</w:t>
            </w:r>
          </w:p>
        </w:tc>
        <w:tc>
          <w:tcPr>
            <w:tcW w:w="1171" w:type="dxa"/>
            <w:tcBorders>
              <w:top w:val="nil"/>
              <w:left w:val="nil"/>
              <w:bottom w:val="single" w:color="auto" w:sz="4" w:space="0"/>
              <w:right w:val="single" w:color="auto" w:sz="4" w:space="0"/>
            </w:tcBorders>
            <w:noWrap/>
            <w:vAlign w:val="bottom"/>
          </w:tcPr>
          <w:p w:rsidR="003B0815" w:rsidRDefault="003B0815" w14:paraId="24A698ED" w14:textId="77777777">
            <w:pPr>
              <w:jc w:val="center"/>
              <w:rPr>
                <w:rFonts w:ascii="Arial" w:hAnsi="Arial" w:cs="Arial"/>
                <w:sz w:val="20"/>
                <w:szCs w:val="20"/>
              </w:rPr>
            </w:pPr>
            <w:r>
              <w:rPr>
                <w:rFonts w:ascii="Arial" w:hAnsi="Arial" w:cs="Arial"/>
                <w:sz w:val="20"/>
                <w:szCs w:val="20"/>
              </w:rPr>
              <w:t>$6.815</w:t>
            </w:r>
          </w:p>
        </w:tc>
        <w:tc>
          <w:tcPr>
            <w:tcW w:w="1171" w:type="dxa"/>
            <w:tcBorders>
              <w:top w:val="nil"/>
              <w:left w:val="nil"/>
              <w:bottom w:val="single" w:color="auto" w:sz="4" w:space="0"/>
              <w:right w:val="single" w:color="auto" w:sz="4" w:space="0"/>
            </w:tcBorders>
            <w:noWrap/>
            <w:vAlign w:val="bottom"/>
          </w:tcPr>
          <w:p w:rsidR="003B0815" w:rsidRDefault="003B0815" w14:paraId="2645835B" w14:textId="77777777">
            <w:pPr>
              <w:jc w:val="center"/>
              <w:rPr>
                <w:rFonts w:ascii="Arial" w:hAnsi="Arial" w:cs="Arial"/>
                <w:sz w:val="20"/>
                <w:szCs w:val="20"/>
              </w:rPr>
            </w:pPr>
            <w:r>
              <w:rPr>
                <w:rFonts w:ascii="Arial" w:hAnsi="Arial" w:cs="Arial"/>
                <w:sz w:val="20"/>
                <w:szCs w:val="20"/>
              </w:rPr>
              <w:t>$16.20</w:t>
            </w:r>
          </w:p>
        </w:tc>
        <w:tc>
          <w:tcPr>
            <w:tcW w:w="1171" w:type="dxa"/>
            <w:tcBorders>
              <w:top w:val="nil"/>
              <w:left w:val="nil"/>
              <w:bottom w:val="single" w:color="auto" w:sz="4" w:space="0"/>
              <w:right w:val="single" w:color="auto" w:sz="4" w:space="0"/>
            </w:tcBorders>
            <w:noWrap/>
            <w:vAlign w:val="bottom"/>
          </w:tcPr>
          <w:p w:rsidR="003B0815" w:rsidRDefault="003B0815" w14:paraId="53CD09EE" w14:textId="77777777">
            <w:pPr>
              <w:jc w:val="center"/>
              <w:rPr>
                <w:rFonts w:ascii="Arial" w:hAnsi="Arial" w:cs="Arial"/>
                <w:sz w:val="20"/>
                <w:szCs w:val="20"/>
              </w:rPr>
            </w:pPr>
            <w:r>
              <w:rPr>
                <w:rFonts w:ascii="Arial" w:hAnsi="Arial" w:cs="Arial"/>
                <w:sz w:val="20"/>
                <w:szCs w:val="20"/>
              </w:rPr>
              <w:t>$12.44</w:t>
            </w:r>
          </w:p>
        </w:tc>
        <w:tc>
          <w:tcPr>
            <w:tcW w:w="1171" w:type="dxa"/>
            <w:tcBorders>
              <w:top w:val="nil"/>
              <w:left w:val="nil"/>
              <w:bottom w:val="single" w:color="auto" w:sz="4" w:space="0"/>
              <w:right w:val="single" w:color="auto" w:sz="4" w:space="0"/>
            </w:tcBorders>
            <w:noWrap/>
            <w:vAlign w:val="bottom"/>
          </w:tcPr>
          <w:p w:rsidR="003B0815" w:rsidRDefault="003B0815" w14:paraId="7C02E16C" w14:textId="77777777">
            <w:pPr>
              <w:jc w:val="center"/>
              <w:rPr>
                <w:rFonts w:ascii="Arial" w:hAnsi="Arial" w:cs="Arial"/>
                <w:sz w:val="20"/>
                <w:szCs w:val="20"/>
              </w:rPr>
            </w:pPr>
            <w:r>
              <w:rPr>
                <w:rFonts w:ascii="Arial" w:hAnsi="Arial" w:cs="Arial"/>
                <w:sz w:val="20"/>
                <w:szCs w:val="20"/>
              </w:rPr>
              <w:t>$13.94</w:t>
            </w:r>
          </w:p>
        </w:tc>
      </w:tr>
    </w:tbl>
    <w:p w:rsidR="003B0815" w:rsidRDefault="003B0815" w14:paraId="28A6A420" w14:textId="77777777">
      <w:pPr>
        <w:spacing w:line="360" w:lineRule="auto"/>
        <w:ind w:firstLine="720"/>
      </w:pPr>
    </w:p>
    <w:p w:rsidR="003B0815" w:rsidRDefault="003B0815" w14:paraId="1BF33366" w14:textId="77777777">
      <w:pPr>
        <w:spacing w:line="360" w:lineRule="auto"/>
        <w:ind w:firstLine="720"/>
      </w:pPr>
      <w:r>
        <w:t>One of the security benefits of the Secure Flight program is that the federal government will have greater visibility on potential matches to the watch list.  By obtaining information about potential matches over 50 hours before the scheduled flight departure time under the 72-hour alternative, TSA will have more time to coordinate with other government agencies such as the FBI to confirm a match and to plan any appropriate responses.  Under the 48-hour alternative, TSA would have less than 40 hours to conduct this coordination and planning.  According to the experts in the federal government this difference in time would make this coordination and planning more difficult and would have a negative effect on the security benefit of Secure Flight.</w:t>
      </w:r>
    </w:p>
    <w:p w:rsidR="003B0815" w:rsidRDefault="003B0815" w14:paraId="5C078660" w14:textId="77777777">
      <w:pPr>
        <w:spacing w:line="360" w:lineRule="auto"/>
        <w:ind w:firstLine="720"/>
      </w:pPr>
      <w:r>
        <w:t xml:space="preserve">The 48-hour alternative would not decrease the cost of the Secure Flight program for the covered aircraft operators and passengers and may, in fact, increase some of the costs.  This alternative would increase the overall TSA costs of the program because of the increased hardware, software, and personnel costs.  It would also reduce the security benefit of the Secure Flight program.  Thus, TSA is not adopting the 48-hour alternative because of the impact it would have on the effectiveness of Secure Flight as a security program.  Additionally, this impact is not offset by any cost savings to covered aircraft operators, the passengers, or the federal government.  </w:t>
      </w:r>
    </w:p>
    <w:p w:rsidR="003B0815" w:rsidRDefault="003B0815" w14:paraId="27BB052A" w14:textId="77777777">
      <w:pPr>
        <w:spacing w:line="360" w:lineRule="auto"/>
        <w:ind w:firstLine="720"/>
      </w:pPr>
    </w:p>
    <w:p w:rsidR="003B0815" w:rsidRDefault="003B0815" w14:paraId="4CC1F280" w14:textId="77777777">
      <w:pPr>
        <w:keepNext/>
        <w:spacing w:line="360" w:lineRule="auto"/>
        <w:outlineLvl w:val="0"/>
        <w:rPr>
          <w:b/>
        </w:rPr>
      </w:pPr>
      <w:r>
        <w:rPr>
          <w:b/>
        </w:rPr>
        <w:t>Alternative #9:  24 Hours Prior to Departure</w:t>
      </w:r>
    </w:p>
    <w:p w:rsidR="003B0815" w:rsidRDefault="003B0815" w14:paraId="4780F4F6" w14:textId="77777777">
      <w:pPr>
        <w:spacing w:line="360" w:lineRule="auto"/>
        <w:ind w:firstLine="720"/>
      </w:pPr>
      <w:r>
        <w:t xml:space="preserve">Under this alternative, aircraft operators would submit SFPD in batches for each flight, 24 hours prior to the scheduled departure time.  However, as the 24-hour advance check-in window is also open, many passengers will request to check-in before Secure Flight has processed the corresponding SFPD.  Aircraft operators would submit real-time SFPD transactions for passengers who request check-in before the results of the automated batch and manual review processes are available.  Thus covered aircraft operators may send more than one SFPD request for the same passenger – one request as part of the 24-hour batch transmission and another high priority request when the passenger checks in if the covered aircraft operator has not received a response to the initial batch transmission.  </w:t>
      </w:r>
    </w:p>
    <w:p w:rsidR="003B0815" w:rsidRDefault="003B0815" w14:paraId="394260C0" w14:textId="77777777">
      <w:pPr>
        <w:spacing w:line="360" w:lineRule="auto"/>
        <w:ind w:firstLine="720"/>
      </w:pPr>
      <w:r>
        <w:t>The costs to covered aircraft operators under the 24-hour alternative are similar to the costs identified in Section 6 of this Regulatory and Economic Analysis.  Covered aircraft operators would incur similar costs for reprogramming the travel reservation system and implementing the requirements of Secure Flight including collection of information from individuals as they would under the preferred 72-hour alternative because they would need to reprogram their systems and implement Secure Flight in a similar manner.  Based on testing, TSA estimates that a few thousand SFPD will need to undergo manual review as the result of the automated watch list matching process.  For many passengers whose SFPD must under manual review TSA would not be able to complete the manual review process prior to their checking in at the airport.  Consequently, these passengers would need to go the ticket counter to present their verifying identity document for resolution.  With potentially more passengers going to the ticket counter to present their verifying identity document to obtain a boarding pass, covered aircraft operators may need to hire more personnel to handle the increased number of passengers at the ticket counters.  Thus, the 24-hour alternative may increase staffing costs for covered aircraft operators.  TSA was unable to estimate the amount of the increased staffing costs.</w:t>
      </w:r>
    </w:p>
    <w:p w:rsidR="003B0815" w:rsidRDefault="003B0815" w14:paraId="4286885B" w14:textId="77777777">
      <w:pPr>
        <w:spacing w:line="360" w:lineRule="auto"/>
        <w:ind w:firstLine="720"/>
      </w:pPr>
      <w:r>
        <w:t>Some covered foreign air carriers may obtain some savings with the 24-hour alternative because of how their reservation systems and their departure control systems (DCS) are programmed.  These covered foreign air carriers’ reservations systems, from which the covered foreign air carriers would send the SFPD batch transmission, and DCS, to which the covered foreign air carriers may receive the boarding pass printing instructions, currently do not communicate with each other and they would incur some costs to accommodate this situation under the preferred 72-hour alternative and the 48-hour alternative.  Under the 24-hour alternative, however, these covered foreign air carriers would be able to transmit SFPD and to receive boarding pass printing instructions from their DCS and would not involve their using their reservation systems.  Thus these covered foreign air carriers would not incur the costs of accommodating the two systems.  TSA was unable to estimate the amount of this saving but it is unlikely that the savings would be a substantial amount.</w:t>
      </w:r>
    </w:p>
    <w:p w:rsidR="003B0815" w:rsidRDefault="003B0815" w14:paraId="3E29E666" w14:textId="77777777">
      <w:pPr>
        <w:spacing w:line="360" w:lineRule="auto"/>
        <w:ind w:firstLine="720"/>
      </w:pPr>
      <w:r>
        <w:t>Passengers would also incur similar opportunity costs identified in Section 6 of this Regulatory and Economic Analysis because they would provide the same required information to covered aircraft operators and may also read the Privacy Notice as they would under the preferred 72-hour alternative.  Passengers who are unable to check in via the Internet would need to obtain their boarding pass at the airport causing longer lines for the check-in kiosks.  Longer lines would result in higher opportunity cost to the passengers because of the increased wait time at the airport to check in for their flights.  Additionally, because TSA would have less time to complete the manual processes, TSA may not be able to clear some passengers prior to the passengers checking in at the airport that it may otherwise be able to clear if given more time.  Thus, if TSA were to adopt the 24-hour alternative, some passengers may incur additional opportunity costs of having to go to the airport to present their verifying identity document to obtain a boarding pass.  Further, some of these passengers may miss their flights because there would not be sufficient time at the airport to clear them.  TSA was unable to estimate the amount of the increased opportunity costs for passengers.</w:t>
      </w:r>
    </w:p>
    <w:p w:rsidR="003B0815" w:rsidRDefault="003B0815" w14:paraId="68789AA3" w14:textId="77777777">
      <w:pPr>
        <w:spacing w:line="360" w:lineRule="auto"/>
        <w:ind w:firstLine="720"/>
      </w:pPr>
      <w:r>
        <w:t>The 24-hour alternative has a significant impact on the government in terms of cost and decreased benefit of the Secure Flight program.  TSA calculated that most flights depart in an 18-hour window (0600 EST to 1200 midnight EST).  This means TSA would receive and need to process the majority of the 2.24 million SFPD received each day in an 18-hour window.  In order to do so, the Secure Flight system would need to support automated watch list matching of 40 passengers per second with each transaction taking less than 4 seconds and would need ability to process 80 passengers per second due to flight departures not evenly distributed throughout the day.  To process all SFPD in a shorter amount time TSA would need to invest in more Secure Flight hardware, software, and personnel.  Below are the total costs of the Secure Flight hardware, software, and personnel for the 24-hour alternative:</w:t>
      </w:r>
    </w:p>
    <w:p w:rsidR="003B0815" w:rsidRDefault="003B0815" w14:paraId="75D15945" w14:textId="77777777">
      <w:pPr>
        <w:spacing w:line="360" w:lineRule="auto"/>
        <w:ind w:firstLine="720"/>
      </w:pPr>
    </w:p>
    <w:p w:rsidR="003B0815" w:rsidRDefault="003B0815" w14:paraId="7B5AA825" w14:textId="77777777">
      <w:pPr>
        <w:keepNext/>
        <w:spacing w:line="360" w:lineRule="auto"/>
        <w:jc w:val="center"/>
        <w:outlineLvl w:val="0"/>
        <w:rPr>
          <w:b/>
        </w:rPr>
      </w:pPr>
      <w:r>
        <w:rPr>
          <w:b/>
        </w:rPr>
        <w:t>Alternative #9:  24 Hours Prior to Departure (millions of 2005 $)</w:t>
      </w:r>
    </w:p>
    <w:tbl>
      <w:tblPr>
        <w:tblW w:w="6799" w:type="dxa"/>
        <w:tblInd w:w="1188" w:type="dxa"/>
        <w:tblLook w:val="0000" w:firstRow="0" w:lastRow="0" w:firstColumn="0" w:lastColumn="0" w:noHBand="0" w:noVBand="0"/>
      </w:tblPr>
      <w:tblGrid>
        <w:gridCol w:w="753"/>
        <w:gridCol w:w="1362"/>
        <w:gridCol w:w="1171"/>
        <w:gridCol w:w="1171"/>
        <w:gridCol w:w="1171"/>
        <w:gridCol w:w="1171"/>
      </w:tblGrid>
      <w:tr w:rsidR="003B0815" w14:paraId="4B11B634"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FF18BD9" w14:textId="77777777">
            <w:pPr>
              <w:jc w:val="center"/>
              <w:rPr>
                <w:rFonts w:ascii="Arial" w:hAnsi="Arial" w:cs="Arial"/>
                <w:sz w:val="20"/>
                <w:szCs w:val="20"/>
              </w:rPr>
            </w:pPr>
            <w:r>
              <w:rPr>
                <w:rFonts w:ascii="Arial" w:hAnsi="Arial" w:cs="Arial"/>
                <w:sz w:val="20"/>
                <w:szCs w:val="20"/>
              </w:rPr>
              <w:t>Year</w:t>
            </w:r>
          </w:p>
        </w:tc>
        <w:tc>
          <w:tcPr>
            <w:tcW w:w="1362" w:type="dxa"/>
            <w:tcBorders>
              <w:top w:val="nil"/>
              <w:left w:val="nil"/>
              <w:bottom w:val="single" w:color="auto" w:sz="4" w:space="0"/>
              <w:right w:val="single" w:color="auto" w:sz="4" w:space="0"/>
            </w:tcBorders>
            <w:noWrap/>
            <w:vAlign w:val="bottom"/>
          </w:tcPr>
          <w:p w:rsidR="003B0815" w:rsidRDefault="003B0815" w14:paraId="508F0023" w14:textId="77777777">
            <w:pPr>
              <w:jc w:val="center"/>
              <w:rPr>
                <w:rFonts w:ascii="Arial" w:hAnsi="Arial" w:cs="Arial"/>
                <w:sz w:val="20"/>
                <w:szCs w:val="20"/>
              </w:rPr>
            </w:pPr>
            <w:r>
              <w:rPr>
                <w:rFonts w:ascii="Arial" w:hAnsi="Arial" w:cs="Arial"/>
                <w:sz w:val="20"/>
                <w:szCs w:val="20"/>
              </w:rPr>
              <w:t>Additional</w:t>
            </w:r>
            <w:r>
              <w:rPr>
                <w:rFonts w:ascii="Arial" w:hAnsi="Arial" w:cs="Arial"/>
                <w:sz w:val="20"/>
                <w:szCs w:val="20"/>
              </w:rPr>
              <w:br/>
              <w:t>Hardware</w:t>
            </w:r>
            <w:r>
              <w:rPr>
                <w:rFonts w:ascii="Arial" w:hAnsi="Arial" w:cs="Arial"/>
                <w:sz w:val="20"/>
                <w:szCs w:val="20"/>
              </w:rPr>
              <w:br/>
              <w:t>Licenses</w:t>
            </w:r>
            <w:r>
              <w:rPr>
                <w:rFonts w:ascii="Arial" w:hAnsi="Arial" w:cs="Arial"/>
                <w:sz w:val="20"/>
                <w:szCs w:val="20"/>
              </w:rPr>
              <w:br/>
              <w:t>Maintenance</w:t>
            </w:r>
          </w:p>
        </w:tc>
        <w:tc>
          <w:tcPr>
            <w:tcW w:w="1171" w:type="dxa"/>
            <w:tcBorders>
              <w:top w:val="nil"/>
              <w:left w:val="nil"/>
              <w:bottom w:val="single" w:color="auto" w:sz="4" w:space="0"/>
              <w:right w:val="single" w:color="auto" w:sz="4" w:space="0"/>
            </w:tcBorders>
            <w:noWrap/>
            <w:vAlign w:val="bottom"/>
          </w:tcPr>
          <w:p w:rsidR="003B0815" w:rsidRDefault="003B0815" w14:paraId="190525AB" w14:textId="77777777">
            <w:pPr>
              <w:jc w:val="center"/>
              <w:rPr>
                <w:rFonts w:ascii="Arial" w:hAnsi="Arial" w:cs="Arial"/>
                <w:sz w:val="20"/>
                <w:szCs w:val="20"/>
              </w:rPr>
            </w:pPr>
            <w:r>
              <w:rPr>
                <w:rFonts w:ascii="Arial" w:hAnsi="Arial" w:cs="Arial"/>
                <w:sz w:val="20"/>
                <w:szCs w:val="20"/>
              </w:rPr>
              <w:t>Additional</w:t>
            </w:r>
            <w:r>
              <w:rPr>
                <w:rFonts w:ascii="Arial" w:hAnsi="Arial" w:cs="Arial"/>
                <w:sz w:val="20"/>
                <w:szCs w:val="20"/>
              </w:rPr>
              <w:br/>
              <w:t>Staffing</w:t>
            </w:r>
          </w:p>
        </w:tc>
        <w:tc>
          <w:tcPr>
            <w:tcW w:w="1171" w:type="dxa"/>
            <w:tcBorders>
              <w:top w:val="nil"/>
              <w:left w:val="nil"/>
              <w:bottom w:val="single" w:color="auto" w:sz="4" w:space="0"/>
              <w:right w:val="single" w:color="auto" w:sz="4" w:space="0"/>
            </w:tcBorders>
            <w:noWrap/>
            <w:vAlign w:val="bottom"/>
          </w:tcPr>
          <w:p w:rsidR="003B0815" w:rsidRDefault="003B0815" w14:paraId="7582DA9F" w14:textId="77777777">
            <w:pPr>
              <w:jc w:val="center"/>
              <w:rPr>
                <w:rFonts w:ascii="Arial" w:hAnsi="Arial" w:cs="Arial"/>
                <w:sz w:val="20"/>
                <w:szCs w:val="20"/>
              </w:rPr>
            </w:pPr>
            <w:r>
              <w:rPr>
                <w:rFonts w:ascii="Arial" w:hAnsi="Arial" w:cs="Arial"/>
                <w:sz w:val="20"/>
                <w:szCs w:val="20"/>
              </w:rPr>
              <w:t>Total</w:t>
            </w:r>
          </w:p>
        </w:tc>
        <w:tc>
          <w:tcPr>
            <w:tcW w:w="1171" w:type="dxa"/>
            <w:tcBorders>
              <w:top w:val="nil"/>
              <w:left w:val="nil"/>
              <w:bottom w:val="single" w:color="auto" w:sz="4" w:space="0"/>
              <w:right w:val="single" w:color="auto" w:sz="4" w:space="0"/>
            </w:tcBorders>
            <w:noWrap/>
            <w:vAlign w:val="bottom"/>
          </w:tcPr>
          <w:p w:rsidR="003B0815" w:rsidRDefault="003B0815" w14:paraId="380A0D3C" w14:textId="77777777">
            <w:pPr>
              <w:jc w:val="center"/>
              <w:rPr>
                <w:rFonts w:ascii="Arial" w:hAnsi="Arial" w:cs="Arial"/>
                <w:sz w:val="20"/>
                <w:szCs w:val="20"/>
              </w:rPr>
            </w:pPr>
            <w:r>
              <w:rPr>
                <w:rFonts w:ascii="Arial" w:hAnsi="Arial" w:cs="Arial"/>
                <w:sz w:val="20"/>
                <w:szCs w:val="20"/>
              </w:rPr>
              <w:t>Total 7% Discount</w:t>
            </w:r>
          </w:p>
        </w:tc>
        <w:tc>
          <w:tcPr>
            <w:tcW w:w="1171" w:type="dxa"/>
            <w:tcBorders>
              <w:top w:val="nil"/>
              <w:left w:val="nil"/>
              <w:bottom w:val="single" w:color="auto" w:sz="4" w:space="0"/>
              <w:right w:val="single" w:color="auto" w:sz="4" w:space="0"/>
            </w:tcBorders>
            <w:noWrap/>
            <w:vAlign w:val="bottom"/>
          </w:tcPr>
          <w:p w:rsidR="003B0815" w:rsidRDefault="003B0815" w14:paraId="74AA79DB" w14:textId="77777777">
            <w:pPr>
              <w:jc w:val="center"/>
              <w:rPr>
                <w:rFonts w:ascii="Arial" w:hAnsi="Arial" w:cs="Arial"/>
                <w:sz w:val="20"/>
                <w:szCs w:val="20"/>
              </w:rPr>
            </w:pPr>
            <w:r>
              <w:rPr>
                <w:rFonts w:ascii="Arial" w:hAnsi="Arial" w:cs="Arial"/>
                <w:sz w:val="20"/>
                <w:szCs w:val="20"/>
              </w:rPr>
              <w:t>Total 3% Discount</w:t>
            </w:r>
          </w:p>
        </w:tc>
      </w:tr>
      <w:tr w:rsidR="003B0815" w14:paraId="3D78CFBB"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0187B53F" w14:textId="77777777">
            <w:pPr>
              <w:jc w:val="center"/>
              <w:rPr>
                <w:rFonts w:ascii="Arial" w:hAnsi="Arial" w:cs="Arial"/>
                <w:sz w:val="20"/>
                <w:szCs w:val="20"/>
              </w:rPr>
            </w:pPr>
            <w:r>
              <w:rPr>
                <w:rFonts w:ascii="Arial" w:hAnsi="Arial" w:cs="Arial"/>
                <w:sz w:val="20"/>
                <w:szCs w:val="20"/>
              </w:rPr>
              <w:t>1</w:t>
            </w:r>
          </w:p>
        </w:tc>
        <w:tc>
          <w:tcPr>
            <w:tcW w:w="1362" w:type="dxa"/>
            <w:tcBorders>
              <w:top w:val="nil"/>
              <w:left w:val="nil"/>
              <w:bottom w:val="single" w:color="auto" w:sz="4" w:space="0"/>
              <w:right w:val="single" w:color="auto" w:sz="4" w:space="0"/>
            </w:tcBorders>
            <w:noWrap/>
            <w:vAlign w:val="bottom"/>
          </w:tcPr>
          <w:p w:rsidR="003B0815" w:rsidRDefault="003B0815" w14:paraId="4E40E8E2" w14:textId="77777777">
            <w:pPr>
              <w:jc w:val="center"/>
              <w:rPr>
                <w:rFonts w:ascii="Arial" w:hAnsi="Arial" w:cs="Arial"/>
                <w:sz w:val="20"/>
                <w:szCs w:val="20"/>
              </w:rPr>
            </w:pPr>
            <w:r>
              <w:rPr>
                <w:rFonts w:ascii="Arial" w:hAnsi="Arial" w:cs="Arial"/>
                <w:sz w:val="20"/>
                <w:szCs w:val="20"/>
              </w:rPr>
              <w:t>$10.4</w:t>
            </w:r>
          </w:p>
        </w:tc>
        <w:tc>
          <w:tcPr>
            <w:tcW w:w="1171" w:type="dxa"/>
            <w:tcBorders>
              <w:top w:val="nil"/>
              <w:left w:val="nil"/>
              <w:bottom w:val="single" w:color="auto" w:sz="4" w:space="0"/>
              <w:right w:val="single" w:color="auto" w:sz="4" w:space="0"/>
            </w:tcBorders>
            <w:noWrap/>
            <w:vAlign w:val="bottom"/>
          </w:tcPr>
          <w:p w:rsidR="003B0815" w:rsidRDefault="003B0815" w14:paraId="2B330C62" w14:textId="77777777">
            <w:pPr>
              <w:jc w:val="center"/>
              <w:rPr>
                <w:rFonts w:ascii="Arial" w:hAnsi="Arial" w:cs="Arial"/>
                <w:sz w:val="20"/>
                <w:szCs w:val="20"/>
              </w:rPr>
            </w:pPr>
            <w:r>
              <w:rPr>
                <w:rFonts w:ascii="Arial" w:hAnsi="Arial" w:cs="Arial"/>
                <w:sz w:val="20"/>
                <w:szCs w:val="20"/>
              </w:rPr>
              <w:t>$0.0</w:t>
            </w:r>
          </w:p>
        </w:tc>
        <w:tc>
          <w:tcPr>
            <w:tcW w:w="1171" w:type="dxa"/>
            <w:tcBorders>
              <w:top w:val="nil"/>
              <w:left w:val="nil"/>
              <w:bottom w:val="single" w:color="auto" w:sz="4" w:space="0"/>
              <w:right w:val="single" w:color="auto" w:sz="4" w:space="0"/>
            </w:tcBorders>
            <w:noWrap/>
            <w:vAlign w:val="bottom"/>
          </w:tcPr>
          <w:p w:rsidR="003B0815" w:rsidRDefault="003B0815" w14:paraId="606EC838" w14:textId="77777777">
            <w:pPr>
              <w:jc w:val="center"/>
              <w:rPr>
                <w:rFonts w:ascii="Arial" w:hAnsi="Arial" w:cs="Arial"/>
                <w:sz w:val="20"/>
                <w:szCs w:val="20"/>
              </w:rPr>
            </w:pPr>
            <w:r>
              <w:rPr>
                <w:rFonts w:ascii="Arial" w:hAnsi="Arial" w:cs="Arial"/>
                <w:sz w:val="20"/>
                <w:szCs w:val="20"/>
              </w:rPr>
              <w:t>$10.4</w:t>
            </w:r>
          </w:p>
        </w:tc>
        <w:tc>
          <w:tcPr>
            <w:tcW w:w="1171" w:type="dxa"/>
            <w:tcBorders>
              <w:top w:val="nil"/>
              <w:left w:val="nil"/>
              <w:bottom w:val="single" w:color="auto" w:sz="4" w:space="0"/>
              <w:right w:val="single" w:color="auto" w:sz="4" w:space="0"/>
            </w:tcBorders>
            <w:noWrap/>
            <w:vAlign w:val="bottom"/>
          </w:tcPr>
          <w:p w:rsidR="003B0815" w:rsidRDefault="003B0815" w14:paraId="1503E42A" w14:textId="77777777">
            <w:pPr>
              <w:jc w:val="center"/>
              <w:rPr>
                <w:rFonts w:ascii="Arial" w:hAnsi="Arial" w:cs="Arial"/>
                <w:sz w:val="20"/>
                <w:szCs w:val="20"/>
              </w:rPr>
            </w:pPr>
            <w:r>
              <w:rPr>
                <w:rFonts w:ascii="Arial" w:hAnsi="Arial" w:cs="Arial"/>
                <w:sz w:val="20"/>
                <w:szCs w:val="20"/>
              </w:rPr>
              <w:t xml:space="preserve">$9.70 </w:t>
            </w:r>
          </w:p>
        </w:tc>
        <w:tc>
          <w:tcPr>
            <w:tcW w:w="1171" w:type="dxa"/>
            <w:tcBorders>
              <w:top w:val="nil"/>
              <w:left w:val="nil"/>
              <w:bottom w:val="single" w:color="auto" w:sz="4" w:space="0"/>
              <w:right w:val="single" w:color="auto" w:sz="4" w:space="0"/>
            </w:tcBorders>
            <w:noWrap/>
            <w:vAlign w:val="bottom"/>
          </w:tcPr>
          <w:p w:rsidR="003B0815" w:rsidRDefault="003B0815" w14:paraId="5154CE3D" w14:textId="77777777">
            <w:pPr>
              <w:jc w:val="center"/>
              <w:rPr>
                <w:rFonts w:ascii="Arial" w:hAnsi="Arial" w:cs="Arial"/>
                <w:sz w:val="20"/>
                <w:szCs w:val="20"/>
              </w:rPr>
            </w:pPr>
            <w:r>
              <w:rPr>
                <w:rFonts w:ascii="Arial" w:hAnsi="Arial" w:cs="Arial"/>
                <w:sz w:val="20"/>
                <w:szCs w:val="20"/>
              </w:rPr>
              <w:t xml:space="preserve">$10.08 </w:t>
            </w:r>
          </w:p>
        </w:tc>
      </w:tr>
      <w:tr w:rsidR="003B0815" w14:paraId="695DAAD3"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EC5FD0B" w14:textId="77777777">
            <w:pPr>
              <w:jc w:val="center"/>
              <w:rPr>
                <w:rFonts w:ascii="Arial" w:hAnsi="Arial" w:cs="Arial"/>
                <w:sz w:val="20"/>
                <w:szCs w:val="20"/>
              </w:rPr>
            </w:pPr>
            <w:r>
              <w:rPr>
                <w:rFonts w:ascii="Arial" w:hAnsi="Arial" w:cs="Arial"/>
                <w:sz w:val="20"/>
                <w:szCs w:val="20"/>
              </w:rPr>
              <w:t>2</w:t>
            </w:r>
          </w:p>
        </w:tc>
        <w:tc>
          <w:tcPr>
            <w:tcW w:w="1362" w:type="dxa"/>
            <w:tcBorders>
              <w:top w:val="nil"/>
              <w:left w:val="nil"/>
              <w:bottom w:val="single" w:color="auto" w:sz="4" w:space="0"/>
              <w:right w:val="single" w:color="auto" w:sz="4" w:space="0"/>
            </w:tcBorders>
            <w:noWrap/>
            <w:vAlign w:val="bottom"/>
          </w:tcPr>
          <w:p w:rsidR="003B0815" w:rsidRDefault="003B0815" w14:paraId="6C896D1B"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6F2B840A"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73756EBD"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7B263348" w14:textId="77777777">
            <w:pPr>
              <w:jc w:val="center"/>
              <w:rPr>
                <w:rFonts w:ascii="Arial" w:hAnsi="Arial" w:cs="Arial"/>
                <w:sz w:val="20"/>
                <w:szCs w:val="20"/>
              </w:rPr>
            </w:pPr>
            <w:r>
              <w:rPr>
                <w:rFonts w:ascii="Arial" w:hAnsi="Arial" w:cs="Arial"/>
                <w:sz w:val="20"/>
                <w:szCs w:val="20"/>
              </w:rPr>
              <w:t xml:space="preserve">$2.72 </w:t>
            </w:r>
          </w:p>
        </w:tc>
        <w:tc>
          <w:tcPr>
            <w:tcW w:w="1171" w:type="dxa"/>
            <w:tcBorders>
              <w:top w:val="nil"/>
              <w:left w:val="nil"/>
              <w:bottom w:val="single" w:color="auto" w:sz="4" w:space="0"/>
              <w:right w:val="single" w:color="auto" w:sz="4" w:space="0"/>
            </w:tcBorders>
            <w:noWrap/>
            <w:vAlign w:val="bottom"/>
          </w:tcPr>
          <w:p w:rsidR="003B0815" w:rsidRDefault="003B0815" w14:paraId="038A3D48" w14:textId="77777777">
            <w:pPr>
              <w:jc w:val="center"/>
              <w:rPr>
                <w:rFonts w:ascii="Arial" w:hAnsi="Arial" w:cs="Arial"/>
                <w:sz w:val="20"/>
                <w:szCs w:val="20"/>
              </w:rPr>
            </w:pPr>
            <w:r>
              <w:rPr>
                <w:rFonts w:ascii="Arial" w:hAnsi="Arial" w:cs="Arial"/>
                <w:sz w:val="20"/>
                <w:szCs w:val="20"/>
              </w:rPr>
              <w:t xml:space="preserve">$2.89 </w:t>
            </w:r>
          </w:p>
        </w:tc>
      </w:tr>
      <w:tr w:rsidR="003B0815" w14:paraId="1378AA64"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496F5F48" w14:textId="77777777">
            <w:pPr>
              <w:jc w:val="center"/>
              <w:rPr>
                <w:rFonts w:ascii="Arial" w:hAnsi="Arial" w:cs="Arial"/>
                <w:sz w:val="20"/>
                <w:szCs w:val="20"/>
              </w:rPr>
            </w:pPr>
            <w:r>
              <w:rPr>
                <w:rFonts w:ascii="Arial" w:hAnsi="Arial" w:cs="Arial"/>
                <w:sz w:val="20"/>
                <w:szCs w:val="20"/>
              </w:rPr>
              <w:t>3</w:t>
            </w:r>
          </w:p>
        </w:tc>
        <w:tc>
          <w:tcPr>
            <w:tcW w:w="1362" w:type="dxa"/>
            <w:tcBorders>
              <w:top w:val="nil"/>
              <w:left w:val="nil"/>
              <w:bottom w:val="single" w:color="auto" w:sz="4" w:space="0"/>
              <w:right w:val="single" w:color="auto" w:sz="4" w:space="0"/>
            </w:tcBorders>
            <w:noWrap/>
            <w:vAlign w:val="bottom"/>
          </w:tcPr>
          <w:p w:rsidR="003B0815" w:rsidRDefault="003B0815" w14:paraId="50A725F2"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3767981F"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1C43A39F"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69E8D3BD" w14:textId="77777777">
            <w:pPr>
              <w:jc w:val="center"/>
              <w:rPr>
                <w:rFonts w:ascii="Arial" w:hAnsi="Arial" w:cs="Arial"/>
                <w:sz w:val="20"/>
                <w:szCs w:val="20"/>
              </w:rPr>
            </w:pPr>
            <w:r>
              <w:rPr>
                <w:rFonts w:ascii="Arial" w:hAnsi="Arial" w:cs="Arial"/>
                <w:sz w:val="20"/>
                <w:szCs w:val="20"/>
              </w:rPr>
              <w:t xml:space="preserve">$2.55 </w:t>
            </w:r>
          </w:p>
        </w:tc>
        <w:tc>
          <w:tcPr>
            <w:tcW w:w="1171" w:type="dxa"/>
            <w:tcBorders>
              <w:top w:val="nil"/>
              <w:left w:val="nil"/>
              <w:bottom w:val="single" w:color="auto" w:sz="4" w:space="0"/>
              <w:right w:val="single" w:color="auto" w:sz="4" w:space="0"/>
            </w:tcBorders>
            <w:noWrap/>
            <w:vAlign w:val="bottom"/>
          </w:tcPr>
          <w:p w:rsidR="003B0815" w:rsidRDefault="003B0815" w14:paraId="240FF6B8" w14:textId="77777777">
            <w:pPr>
              <w:jc w:val="center"/>
              <w:rPr>
                <w:rFonts w:ascii="Arial" w:hAnsi="Arial" w:cs="Arial"/>
                <w:sz w:val="20"/>
                <w:szCs w:val="20"/>
              </w:rPr>
            </w:pPr>
            <w:r>
              <w:rPr>
                <w:rFonts w:ascii="Arial" w:hAnsi="Arial" w:cs="Arial"/>
                <w:sz w:val="20"/>
                <w:szCs w:val="20"/>
              </w:rPr>
              <w:t xml:space="preserve">$2.81 </w:t>
            </w:r>
          </w:p>
        </w:tc>
      </w:tr>
      <w:tr w:rsidR="003B0815" w14:paraId="3880ACE8"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172D84FD" w14:textId="77777777">
            <w:pPr>
              <w:jc w:val="center"/>
              <w:rPr>
                <w:rFonts w:ascii="Arial" w:hAnsi="Arial" w:cs="Arial"/>
                <w:sz w:val="20"/>
                <w:szCs w:val="20"/>
              </w:rPr>
            </w:pPr>
            <w:r>
              <w:rPr>
                <w:rFonts w:ascii="Arial" w:hAnsi="Arial" w:cs="Arial"/>
                <w:sz w:val="20"/>
                <w:szCs w:val="20"/>
              </w:rPr>
              <w:t>4</w:t>
            </w:r>
          </w:p>
        </w:tc>
        <w:tc>
          <w:tcPr>
            <w:tcW w:w="1362" w:type="dxa"/>
            <w:tcBorders>
              <w:top w:val="nil"/>
              <w:left w:val="nil"/>
              <w:bottom w:val="single" w:color="auto" w:sz="4" w:space="0"/>
              <w:right w:val="single" w:color="auto" w:sz="4" w:space="0"/>
            </w:tcBorders>
            <w:noWrap/>
            <w:vAlign w:val="bottom"/>
          </w:tcPr>
          <w:p w:rsidR="003B0815" w:rsidRDefault="003B0815" w14:paraId="48539C66"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4AA3E1A0"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0C139889"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66CF7857" w14:textId="77777777">
            <w:pPr>
              <w:jc w:val="center"/>
              <w:rPr>
                <w:rFonts w:ascii="Arial" w:hAnsi="Arial" w:cs="Arial"/>
                <w:sz w:val="20"/>
                <w:szCs w:val="20"/>
              </w:rPr>
            </w:pPr>
            <w:r>
              <w:rPr>
                <w:rFonts w:ascii="Arial" w:hAnsi="Arial" w:cs="Arial"/>
                <w:sz w:val="20"/>
                <w:szCs w:val="20"/>
              </w:rPr>
              <w:t xml:space="preserve">$2.38 </w:t>
            </w:r>
          </w:p>
        </w:tc>
        <w:tc>
          <w:tcPr>
            <w:tcW w:w="1171" w:type="dxa"/>
            <w:tcBorders>
              <w:top w:val="nil"/>
              <w:left w:val="nil"/>
              <w:bottom w:val="single" w:color="auto" w:sz="4" w:space="0"/>
              <w:right w:val="single" w:color="auto" w:sz="4" w:space="0"/>
            </w:tcBorders>
            <w:noWrap/>
            <w:vAlign w:val="bottom"/>
          </w:tcPr>
          <w:p w:rsidR="003B0815" w:rsidRDefault="003B0815" w14:paraId="404880C4" w14:textId="77777777">
            <w:pPr>
              <w:jc w:val="center"/>
              <w:rPr>
                <w:rFonts w:ascii="Arial" w:hAnsi="Arial" w:cs="Arial"/>
                <w:sz w:val="20"/>
                <w:szCs w:val="20"/>
              </w:rPr>
            </w:pPr>
            <w:r>
              <w:rPr>
                <w:rFonts w:ascii="Arial" w:hAnsi="Arial" w:cs="Arial"/>
                <w:sz w:val="20"/>
                <w:szCs w:val="20"/>
              </w:rPr>
              <w:t xml:space="preserve">$2.73 </w:t>
            </w:r>
          </w:p>
        </w:tc>
      </w:tr>
      <w:tr w:rsidR="003B0815" w14:paraId="6C74BCA7"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3B76019F" w14:textId="77777777">
            <w:pPr>
              <w:jc w:val="center"/>
              <w:rPr>
                <w:rFonts w:ascii="Arial" w:hAnsi="Arial" w:cs="Arial"/>
                <w:sz w:val="20"/>
                <w:szCs w:val="20"/>
              </w:rPr>
            </w:pPr>
            <w:r>
              <w:rPr>
                <w:rFonts w:ascii="Arial" w:hAnsi="Arial" w:cs="Arial"/>
                <w:sz w:val="20"/>
                <w:szCs w:val="20"/>
              </w:rPr>
              <w:t>5</w:t>
            </w:r>
          </w:p>
        </w:tc>
        <w:tc>
          <w:tcPr>
            <w:tcW w:w="1362" w:type="dxa"/>
            <w:tcBorders>
              <w:top w:val="nil"/>
              <w:left w:val="nil"/>
              <w:bottom w:val="single" w:color="auto" w:sz="4" w:space="0"/>
              <w:right w:val="single" w:color="auto" w:sz="4" w:space="0"/>
            </w:tcBorders>
            <w:noWrap/>
            <w:vAlign w:val="bottom"/>
          </w:tcPr>
          <w:p w:rsidR="003B0815" w:rsidRDefault="003B0815" w14:paraId="3928F339"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7307AFF7"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08F683E8"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742F016B" w14:textId="77777777">
            <w:pPr>
              <w:jc w:val="center"/>
              <w:rPr>
                <w:rFonts w:ascii="Arial" w:hAnsi="Arial" w:cs="Arial"/>
                <w:sz w:val="20"/>
                <w:szCs w:val="20"/>
              </w:rPr>
            </w:pPr>
            <w:r>
              <w:rPr>
                <w:rFonts w:ascii="Arial" w:hAnsi="Arial" w:cs="Arial"/>
                <w:sz w:val="20"/>
                <w:szCs w:val="20"/>
              </w:rPr>
              <w:t xml:space="preserve">$2.22 </w:t>
            </w:r>
          </w:p>
        </w:tc>
        <w:tc>
          <w:tcPr>
            <w:tcW w:w="1171" w:type="dxa"/>
            <w:tcBorders>
              <w:top w:val="nil"/>
              <w:left w:val="nil"/>
              <w:bottom w:val="single" w:color="auto" w:sz="4" w:space="0"/>
              <w:right w:val="single" w:color="auto" w:sz="4" w:space="0"/>
            </w:tcBorders>
            <w:noWrap/>
            <w:vAlign w:val="bottom"/>
          </w:tcPr>
          <w:p w:rsidR="003B0815" w:rsidRDefault="003B0815" w14:paraId="4A56512B" w14:textId="77777777">
            <w:pPr>
              <w:jc w:val="center"/>
              <w:rPr>
                <w:rFonts w:ascii="Arial" w:hAnsi="Arial" w:cs="Arial"/>
                <w:sz w:val="20"/>
                <w:szCs w:val="20"/>
              </w:rPr>
            </w:pPr>
            <w:r>
              <w:rPr>
                <w:rFonts w:ascii="Arial" w:hAnsi="Arial" w:cs="Arial"/>
                <w:sz w:val="20"/>
                <w:szCs w:val="20"/>
              </w:rPr>
              <w:t xml:space="preserve">$2.65 </w:t>
            </w:r>
          </w:p>
        </w:tc>
      </w:tr>
      <w:tr w:rsidR="003B0815" w14:paraId="4FF07C7B"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576514C" w14:textId="77777777">
            <w:pPr>
              <w:jc w:val="center"/>
              <w:rPr>
                <w:rFonts w:ascii="Arial" w:hAnsi="Arial" w:cs="Arial"/>
                <w:sz w:val="20"/>
                <w:szCs w:val="20"/>
              </w:rPr>
            </w:pPr>
            <w:r>
              <w:rPr>
                <w:rFonts w:ascii="Arial" w:hAnsi="Arial" w:cs="Arial"/>
                <w:sz w:val="20"/>
                <w:szCs w:val="20"/>
              </w:rPr>
              <w:t>6</w:t>
            </w:r>
          </w:p>
        </w:tc>
        <w:tc>
          <w:tcPr>
            <w:tcW w:w="1362" w:type="dxa"/>
            <w:tcBorders>
              <w:top w:val="nil"/>
              <w:left w:val="nil"/>
              <w:bottom w:val="single" w:color="auto" w:sz="4" w:space="0"/>
              <w:right w:val="single" w:color="auto" w:sz="4" w:space="0"/>
            </w:tcBorders>
            <w:noWrap/>
            <w:vAlign w:val="bottom"/>
          </w:tcPr>
          <w:p w:rsidR="003B0815" w:rsidRDefault="003B0815" w14:paraId="3719A98D"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6E8A5100"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4B52517A"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300CA57D" w14:textId="77777777">
            <w:pPr>
              <w:jc w:val="center"/>
              <w:rPr>
                <w:rFonts w:ascii="Arial" w:hAnsi="Arial" w:cs="Arial"/>
                <w:sz w:val="20"/>
                <w:szCs w:val="20"/>
              </w:rPr>
            </w:pPr>
            <w:r>
              <w:rPr>
                <w:rFonts w:ascii="Arial" w:hAnsi="Arial" w:cs="Arial"/>
                <w:sz w:val="20"/>
                <w:szCs w:val="20"/>
              </w:rPr>
              <w:t xml:space="preserve">$2.08 </w:t>
            </w:r>
          </w:p>
        </w:tc>
        <w:tc>
          <w:tcPr>
            <w:tcW w:w="1171" w:type="dxa"/>
            <w:tcBorders>
              <w:top w:val="nil"/>
              <w:left w:val="nil"/>
              <w:bottom w:val="single" w:color="auto" w:sz="4" w:space="0"/>
              <w:right w:val="single" w:color="auto" w:sz="4" w:space="0"/>
            </w:tcBorders>
            <w:noWrap/>
            <w:vAlign w:val="bottom"/>
          </w:tcPr>
          <w:p w:rsidR="003B0815" w:rsidRDefault="003B0815" w14:paraId="70358306" w14:textId="77777777">
            <w:pPr>
              <w:jc w:val="center"/>
              <w:rPr>
                <w:rFonts w:ascii="Arial" w:hAnsi="Arial" w:cs="Arial"/>
                <w:sz w:val="20"/>
                <w:szCs w:val="20"/>
              </w:rPr>
            </w:pPr>
            <w:r>
              <w:rPr>
                <w:rFonts w:ascii="Arial" w:hAnsi="Arial" w:cs="Arial"/>
                <w:sz w:val="20"/>
                <w:szCs w:val="20"/>
              </w:rPr>
              <w:t xml:space="preserve">$2.57 </w:t>
            </w:r>
          </w:p>
        </w:tc>
      </w:tr>
      <w:tr w:rsidR="003B0815" w14:paraId="6A47139D"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7E46BE6" w14:textId="77777777">
            <w:pPr>
              <w:jc w:val="center"/>
              <w:rPr>
                <w:rFonts w:ascii="Arial" w:hAnsi="Arial" w:cs="Arial"/>
                <w:sz w:val="20"/>
                <w:szCs w:val="20"/>
              </w:rPr>
            </w:pPr>
            <w:r>
              <w:rPr>
                <w:rFonts w:ascii="Arial" w:hAnsi="Arial" w:cs="Arial"/>
                <w:sz w:val="20"/>
                <w:szCs w:val="20"/>
              </w:rPr>
              <w:t>7</w:t>
            </w:r>
          </w:p>
        </w:tc>
        <w:tc>
          <w:tcPr>
            <w:tcW w:w="1362" w:type="dxa"/>
            <w:tcBorders>
              <w:top w:val="nil"/>
              <w:left w:val="nil"/>
              <w:bottom w:val="single" w:color="auto" w:sz="4" w:space="0"/>
              <w:right w:val="single" w:color="auto" w:sz="4" w:space="0"/>
            </w:tcBorders>
            <w:noWrap/>
            <w:vAlign w:val="bottom"/>
          </w:tcPr>
          <w:p w:rsidR="003B0815" w:rsidRDefault="003B0815" w14:paraId="710C4200"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7E4CE5F8"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671F518E"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3788952B" w14:textId="77777777">
            <w:pPr>
              <w:jc w:val="center"/>
              <w:rPr>
                <w:rFonts w:ascii="Arial" w:hAnsi="Arial" w:cs="Arial"/>
                <w:sz w:val="20"/>
                <w:szCs w:val="20"/>
              </w:rPr>
            </w:pPr>
            <w:r>
              <w:rPr>
                <w:rFonts w:ascii="Arial" w:hAnsi="Arial" w:cs="Arial"/>
                <w:sz w:val="20"/>
                <w:szCs w:val="20"/>
              </w:rPr>
              <w:t xml:space="preserve">$1.94 </w:t>
            </w:r>
          </w:p>
        </w:tc>
        <w:tc>
          <w:tcPr>
            <w:tcW w:w="1171" w:type="dxa"/>
            <w:tcBorders>
              <w:top w:val="nil"/>
              <w:left w:val="nil"/>
              <w:bottom w:val="single" w:color="auto" w:sz="4" w:space="0"/>
              <w:right w:val="single" w:color="auto" w:sz="4" w:space="0"/>
            </w:tcBorders>
            <w:noWrap/>
            <w:vAlign w:val="bottom"/>
          </w:tcPr>
          <w:p w:rsidR="003B0815" w:rsidRDefault="003B0815" w14:paraId="0DCF71A2" w14:textId="77777777">
            <w:pPr>
              <w:jc w:val="center"/>
              <w:rPr>
                <w:rFonts w:ascii="Arial" w:hAnsi="Arial" w:cs="Arial"/>
                <w:sz w:val="20"/>
                <w:szCs w:val="20"/>
              </w:rPr>
            </w:pPr>
            <w:r>
              <w:rPr>
                <w:rFonts w:ascii="Arial" w:hAnsi="Arial" w:cs="Arial"/>
                <w:sz w:val="20"/>
                <w:szCs w:val="20"/>
              </w:rPr>
              <w:t xml:space="preserve">$2.49 </w:t>
            </w:r>
          </w:p>
        </w:tc>
      </w:tr>
      <w:tr w:rsidR="003B0815" w14:paraId="1F57E494"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43C85DFA" w14:textId="77777777">
            <w:pPr>
              <w:jc w:val="center"/>
              <w:rPr>
                <w:rFonts w:ascii="Arial" w:hAnsi="Arial" w:cs="Arial"/>
                <w:sz w:val="20"/>
                <w:szCs w:val="20"/>
              </w:rPr>
            </w:pPr>
            <w:r>
              <w:rPr>
                <w:rFonts w:ascii="Arial" w:hAnsi="Arial" w:cs="Arial"/>
                <w:sz w:val="20"/>
                <w:szCs w:val="20"/>
              </w:rPr>
              <w:t>8</w:t>
            </w:r>
          </w:p>
        </w:tc>
        <w:tc>
          <w:tcPr>
            <w:tcW w:w="1362" w:type="dxa"/>
            <w:tcBorders>
              <w:top w:val="nil"/>
              <w:left w:val="nil"/>
              <w:bottom w:val="single" w:color="auto" w:sz="4" w:space="0"/>
              <w:right w:val="single" w:color="auto" w:sz="4" w:space="0"/>
            </w:tcBorders>
            <w:noWrap/>
            <w:vAlign w:val="bottom"/>
          </w:tcPr>
          <w:p w:rsidR="003B0815" w:rsidRDefault="003B0815" w14:paraId="78CA27E4"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7E69617E"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2BCE0ECB"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1B1A4A81" w14:textId="77777777">
            <w:pPr>
              <w:jc w:val="center"/>
              <w:rPr>
                <w:rFonts w:ascii="Arial" w:hAnsi="Arial" w:cs="Arial"/>
                <w:sz w:val="20"/>
                <w:szCs w:val="20"/>
              </w:rPr>
            </w:pPr>
            <w:r>
              <w:rPr>
                <w:rFonts w:ascii="Arial" w:hAnsi="Arial" w:cs="Arial"/>
                <w:sz w:val="20"/>
                <w:szCs w:val="20"/>
              </w:rPr>
              <w:t xml:space="preserve">$1.82 </w:t>
            </w:r>
          </w:p>
        </w:tc>
        <w:tc>
          <w:tcPr>
            <w:tcW w:w="1171" w:type="dxa"/>
            <w:tcBorders>
              <w:top w:val="nil"/>
              <w:left w:val="nil"/>
              <w:bottom w:val="single" w:color="auto" w:sz="4" w:space="0"/>
              <w:right w:val="single" w:color="auto" w:sz="4" w:space="0"/>
            </w:tcBorders>
            <w:noWrap/>
            <w:vAlign w:val="bottom"/>
          </w:tcPr>
          <w:p w:rsidR="003B0815" w:rsidRDefault="003B0815" w14:paraId="5AA8F8A6" w14:textId="77777777">
            <w:pPr>
              <w:jc w:val="center"/>
              <w:rPr>
                <w:rFonts w:ascii="Arial" w:hAnsi="Arial" w:cs="Arial"/>
                <w:sz w:val="20"/>
                <w:szCs w:val="20"/>
              </w:rPr>
            </w:pPr>
            <w:r>
              <w:rPr>
                <w:rFonts w:ascii="Arial" w:hAnsi="Arial" w:cs="Arial"/>
                <w:sz w:val="20"/>
                <w:szCs w:val="20"/>
              </w:rPr>
              <w:t xml:space="preserve">$2.42 </w:t>
            </w:r>
          </w:p>
        </w:tc>
      </w:tr>
      <w:tr w:rsidR="003B0815" w14:paraId="268E0087"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09E8C74D" w14:textId="77777777">
            <w:pPr>
              <w:jc w:val="center"/>
              <w:rPr>
                <w:rFonts w:ascii="Arial" w:hAnsi="Arial" w:cs="Arial"/>
                <w:sz w:val="20"/>
                <w:szCs w:val="20"/>
              </w:rPr>
            </w:pPr>
            <w:r>
              <w:rPr>
                <w:rFonts w:ascii="Arial" w:hAnsi="Arial" w:cs="Arial"/>
                <w:sz w:val="20"/>
                <w:szCs w:val="20"/>
              </w:rPr>
              <w:t>9</w:t>
            </w:r>
          </w:p>
        </w:tc>
        <w:tc>
          <w:tcPr>
            <w:tcW w:w="1362" w:type="dxa"/>
            <w:tcBorders>
              <w:top w:val="nil"/>
              <w:left w:val="nil"/>
              <w:bottom w:val="single" w:color="auto" w:sz="4" w:space="0"/>
              <w:right w:val="single" w:color="auto" w:sz="4" w:space="0"/>
            </w:tcBorders>
            <w:noWrap/>
            <w:vAlign w:val="bottom"/>
          </w:tcPr>
          <w:p w:rsidR="003B0815" w:rsidRDefault="003B0815" w14:paraId="42329E07"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2AE55034"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3A42B6AE"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2C66F83F" w14:textId="77777777">
            <w:pPr>
              <w:jc w:val="center"/>
              <w:rPr>
                <w:rFonts w:ascii="Arial" w:hAnsi="Arial" w:cs="Arial"/>
                <w:sz w:val="20"/>
                <w:szCs w:val="20"/>
              </w:rPr>
            </w:pPr>
            <w:r>
              <w:rPr>
                <w:rFonts w:ascii="Arial" w:hAnsi="Arial" w:cs="Arial"/>
                <w:sz w:val="20"/>
                <w:szCs w:val="20"/>
              </w:rPr>
              <w:t xml:space="preserve">$1.70 </w:t>
            </w:r>
          </w:p>
        </w:tc>
        <w:tc>
          <w:tcPr>
            <w:tcW w:w="1171" w:type="dxa"/>
            <w:tcBorders>
              <w:top w:val="nil"/>
              <w:left w:val="nil"/>
              <w:bottom w:val="single" w:color="auto" w:sz="4" w:space="0"/>
              <w:right w:val="single" w:color="auto" w:sz="4" w:space="0"/>
            </w:tcBorders>
            <w:noWrap/>
            <w:vAlign w:val="bottom"/>
          </w:tcPr>
          <w:p w:rsidR="003B0815" w:rsidRDefault="003B0815" w14:paraId="054E43DC" w14:textId="77777777">
            <w:pPr>
              <w:jc w:val="center"/>
              <w:rPr>
                <w:rFonts w:ascii="Arial" w:hAnsi="Arial" w:cs="Arial"/>
                <w:sz w:val="20"/>
                <w:szCs w:val="20"/>
              </w:rPr>
            </w:pPr>
            <w:r>
              <w:rPr>
                <w:rFonts w:ascii="Arial" w:hAnsi="Arial" w:cs="Arial"/>
                <w:sz w:val="20"/>
                <w:szCs w:val="20"/>
              </w:rPr>
              <w:t xml:space="preserve">$2.35 </w:t>
            </w:r>
          </w:p>
        </w:tc>
      </w:tr>
      <w:tr w:rsidR="003B0815" w14:paraId="7C5EB0C9"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30B6F7F6" w14:textId="77777777">
            <w:pPr>
              <w:jc w:val="center"/>
              <w:rPr>
                <w:rFonts w:ascii="Arial" w:hAnsi="Arial" w:cs="Arial"/>
                <w:sz w:val="20"/>
                <w:szCs w:val="20"/>
              </w:rPr>
            </w:pPr>
            <w:r>
              <w:rPr>
                <w:rFonts w:ascii="Arial" w:hAnsi="Arial" w:cs="Arial"/>
                <w:sz w:val="20"/>
                <w:szCs w:val="20"/>
              </w:rPr>
              <w:t>10</w:t>
            </w:r>
          </w:p>
        </w:tc>
        <w:tc>
          <w:tcPr>
            <w:tcW w:w="1362" w:type="dxa"/>
            <w:tcBorders>
              <w:top w:val="nil"/>
              <w:left w:val="nil"/>
              <w:bottom w:val="single" w:color="auto" w:sz="4" w:space="0"/>
              <w:right w:val="single" w:color="auto" w:sz="4" w:space="0"/>
            </w:tcBorders>
            <w:noWrap/>
            <w:vAlign w:val="bottom"/>
          </w:tcPr>
          <w:p w:rsidR="003B0815" w:rsidRDefault="003B0815" w14:paraId="765365B1" w14:textId="77777777">
            <w:pPr>
              <w:jc w:val="center"/>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78712285" w14:textId="77777777">
            <w:pPr>
              <w:jc w:val="center"/>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274645D3" w14:textId="77777777">
            <w:pPr>
              <w:jc w:val="center"/>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4DF16CB8" w14:textId="77777777">
            <w:pPr>
              <w:jc w:val="center"/>
              <w:rPr>
                <w:rFonts w:ascii="Arial" w:hAnsi="Arial" w:cs="Arial"/>
                <w:sz w:val="20"/>
                <w:szCs w:val="20"/>
              </w:rPr>
            </w:pPr>
            <w:r>
              <w:rPr>
                <w:rFonts w:ascii="Arial" w:hAnsi="Arial" w:cs="Arial"/>
                <w:sz w:val="20"/>
                <w:szCs w:val="20"/>
              </w:rPr>
              <w:t xml:space="preserve">$1.59 </w:t>
            </w:r>
          </w:p>
        </w:tc>
        <w:tc>
          <w:tcPr>
            <w:tcW w:w="1171" w:type="dxa"/>
            <w:tcBorders>
              <w:top w:val="nil"/>
              <w:left w:val="nil"/>
              <w:bottom w:val="single" w:color="auto" w:sz="4" w:space="0"/>
              <w:right w:val="single" w:color="auto" w:sz="4" w:space="0"/>
            </w:tcBorders>
            <w:noWrap/>
            <w:vAlign w:val="bottom"/>
          </w:tcPr>
          <w:p w:rsidR="003B0815" w:rsidRDefault="003B0815" w14:paraId="41E4AA1B" w14:textId="77777777">
            <w:pPr>
              <w:jc w:val="center"/>
              <w:rPr>
                <w:rFonts w:ascii="Arial" w:hAnsi="Arial" w:cs="Arial"/>
                <w:sz w:val="20"/>
                <w:szCs w:val="20"/>
              </w:rPr>
            </w:pPr>
            <w:r>
              <w:rPr>
                <w:rFonts w:ascii="Arial" w:hAnsi="Arial" w:cs="Arial"/>
                <w:sz w:val="20"/>
                <w:szCs w:val="20"/>
              </w:rPr>
              <w:t xml:space="preserve">$2.28 </w:t>
            </w:r>
          </w:p>
        </w:tc>
      </w:tr>
      <w:tr w:rsidR="003B0815" w14:paraId="71E890A4"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7B10D33" w14:textId="77777777">
            <w:pPr>
              <w:jc w:val="center"/>
              <w:rPr>
                <w:rFonts w:ascii="Arial" w:hAnsi="Arial" w:cs="Arial"/>
                <w:sz w:val="20"/>
                <w:szCs w:val="20"/>
              </w:rPr>
            </w:pPr>
            <w:r>
              <w:rPr>
                <w:rFonts w:ascii="Arial" w:hAnsi="Arial" w:cs="Arial"/>
                <w:sz w:val="20"/>
                <w:szCs w:val="20"/>
              </w:rPr>
              <w:t>total</w:t>
            </w:r>
          </w:p>
        </w:tc>
        <w:tc>
          <w:tcPr>
            <w:tcW w:w="1362" w:type="dxa"/>
            <w:tcBorders>
              <w:top w:val="nil"/>
              <w:left w:val="nil"/>
              <w:bottom w:val="single" w:color="auto" w:sz="4" w:space="0"/>
              <w:right w:val="single" w:color="auto" w:sz="4" w:space="0"/>
            </w:tcBorders>
            <w:noWrap/>
            <w:vAlign w:val="bottom"/>
          </w:tcPr>
          <w:p w:rsidR="003B0815" w:rsidRDefault="003B0815" w14:paraId="3E5432DF" w14:textId="77777777">
            <w:pPr>
              <w:jc w:val="center"/>
              <w:rPr>
                <w:rFonts w:ascii="Arial" w:hAnsi="Arial" w:cs="Arial"/>
                <w:sz w:val="20"/>
                <w:szCs w:val="20"/>
              </w:rPr>
            </w:pPr>
            <w:r>
              <w:rPr>
                <w:rFonts w:ascii="Arial" w:hAnsi="Arial" w:cs="Arial"/>
                <w:sz w:val="20"/>
                <w:szCs w:val="20"/>
              </w:rPr>
              <w:t xml:space="preserve">$25.96 </w:t>
            </w:r>
          </w:p>
        </w:tc>
        <w:tc>
          <w:tcPr>
            <w:tcW w:w="1171" w:type="dxa"/>
            <w:tcBorders>
              <w:top w:val="nil"/>
              <w:left w:val="nil"/>
              <w:bottom w:val="single" w:color="auto" w:sz="4" w:space="0"/>
              <w:right w:val="single" w:color="auto" w:sz="4" w:space="0"/>
            </w:tcBorders>
            <w:noWrap/>
            <w:vAlign w:val="bottom"/>
          </w:tcPr>
          <w:p w:rsidR="003B0815" w:rsidRDefault="003B0815" w14:paraId="3F306A95" w14:textId="77777777">
            <w:pPr>
              <w:jc w:val="center"/>
              <w:rPr>
                <w:rFonts w:ascii="Arial" w:hAnsi="Arial" w:cs="Arial"/>
                <w:sz w:val="20"/>
                <w:szCs w:val="20"/>
              </w:rPr>
            </w:pPr>
            <w:r>
              <w:rPr>
                <w:rFonts w:ascii="Arial" w:hAnsi="Arial" w:cs="Arial"/>
                <w:sz w:val="20"/>
                <w:szCs w:val="20"/>
              </w:rPr>
              <w:t xml:space="preserve">$11.68 </w:t>
            </w:r>
          </w:p>
        </w:tc>
        <w:tc>
          <w:tcPr>
            <w:tcW w:w="1171" w:type="dxa"/>
            <w:tcBorders>
              <w:top w:val="nil"/>
              <w:left w:val="nil"/>
              <w:bottom w:val="single" w:color="auto" w:sz="4" w:space="0"/>
              <w:right w:val="single" w:color="auto" w:sz="4" w:space="0"/>
            </w:tcBorders>
            <w:noWrap/>
            <w:vAlign w:val="bottom"/>
          </w:tcPr>
          <w:p w:rsidR="003B0815" w:rsidRDefault="003B0815" w14:paraId="3F759A3D" w14:textId="77777777">
            <w:pPr>
              <w:jc w:val="center"/>
              <w:rPr>
                <w:rFonts w:ascii="Arial" w:hAnsi="Arial" w:cs="Arial"/>
                <w:sz w:val="20"/>
                <w:szCs w:val="20"/>
              </w:rPr>
            </w:pPr>
            <w:r>
              <w:rPr>
                <w:rFonts w:ascii="Arial" w:hAnsi="Arial" w:cs="Arial"/>
                <w:sz w:val="20"/>
                <w:szCs w:val="20"/>
              </w:rPr>
              <w:t>$37.6</w:t>
            </w:r>
          </w:p>
        </w:tc>
        <w:tc>
          <w:tcPr>
            <w:tcW w:w="1171" w:type="dxa"/>
            <w:tcBorders>
              <w:top w:val="nil"/>
              <w:left w:val="nil"/>
              <w:bottom w:val="single" w:color="auto" w:sz="4" w:space="0"/>
              <w:right w:val="single" w:color="auto" w:sz="4" w:space="0"/>
            </w:tcBorders>
            <w:noWrap/>
            <w:vAlign w:val="bottom"/>
          </w:tcPr>
          <w:p w:rsidR="003B0815" w:rsidRDefault="003B0815" w14:paraId="1DAAF446" w14:textId="77777777">
            <w:pPr>
              <w:jc w:val="center"/>
              <w:rPr>
                <w:rFonts w:ascii="Arial" w:hAnsi="Arial" w:cs="Arial"/>
                <w:sz w:val="20"/>
                <w:szCs w:val="20"/>
              </w:rPr>
            </w:pPr>
            <w:r>
              <w:rPr>
                <w:rFonts w:ascii="Arial" w:hAnsi="Arial" w:cs="Arial"/>
                <w:sz w:val="20"/>
                <w:szCs w:val="20"/>
              </w:rPr>
              <w:t xml:space="preserve">$28.70 </w:t>
            </w:r>
          </w:p>
        </w:tc>
        <w:tc>
          <w:tcPr>
            <w:tcW w:w="1171" w:type="dxa"/>
            <w:tcBorders>
              <w:top w:val="nil"/>
              <w:left w:val="nil"/>
              <w:bottom w:val="single" w:color="auto" w:sz="4" w:space="0"/>
              <w:right w:val="single" w:color="auto" w:sz="4" w:space="0"/>
            </w:tcBorders>
            <w:noWrap/>
            <w:vAlign w:val="bottom"/>
          </w:tcPr>
          <w:p w:rsidR="003B0815" w:rsidRDefault="003B0815" w14:paraId="4269DA4D" w14:textId="77777777">
            <w:pPr>
              <w:jc w:val="center"/>
              <w:rPr>
                <w:rFonts w:ascii="Arial" w:hAnsi="Arial" w:cs="Arial"/>
                <w:sz w:val="20"/>
                <w:szCs w:val="20"/>
              </w:rPr>
            </w:pPr>
            <w:r>
              <w:rPr>
                <w:rFonts w:ascii="Arial" w:hAnsi="Arial" w:cs="Arial"/>
                <w:sz w:val="20"/>
                <w:szCs w:val="20"/>
              </w:rPr>
              <w:t xml:space="preserve">$33.27 </w:t>
            </w:r>
          </w:p>
        </w:tc>
      </w:tr>
    </w:tbl>
    <w:p w:rsidR="003B0815" w:rsidRDefault="003B0815" w14:paraId="0201C729" w14:textId="77777777">
      <w:pPr>
        <w:spacing w:line="360" w:lineRule="auto"/>
        <w:ind w:firstLine="720"/>
      </w:pPr>
    </w:p>
    <w:p w:rsidR="003B0815" w:rsidRDefault="003B0815" w14:paraId="194232CF" w14:textId="77777777">
      <w:pPr>
        <w:spacing w:line="360" w:lineRule="auto"/>
        <w:ind w:firstLine="720"/>
      </w:pPr>
      <w:r>
        <w:t>One of the security benefits of the Secure Flight program is that the federal government will have greater visibility on potential matches to the watch list.  By obtaining information about potential matches over 50 hours before the scheduled flight departure time under the 72-hour alternative, TSA will have more time to coordinate with other government agencies such as the FBI to confirm a match and to plan any appropriate responses.  Under the 24-hour alternative, TSA would have minimal time to conduct this coordination and planning.  According to the experts in the federal government this difference in time would make this coordination and planning more difficult and would have a negative effect on the security benefit of Secure Flight.</w:t>
      </w:r>
    </w:p>
    <w:p w:rsidR="003B0815" w:rsidRDefault="003B0815" w14:paraId="1BA3EA8C" w14:textId="77777777">
      <w:pPr>
        <w:spacing w:line="360" w:lineRule="auto"/>
        <w:ind w:firstLine="720"/>
      </w:pPr>
      <w:r>
        <w:t xml:space="preserve">The 24-hour alternative would not decrease the cost of the Secure Flight program for the covered aircraft operators and passengers and would likely increase some of the costs.  This alternative would increase the overall TSA costs of the program because of the increased hardware, software, and personnel costs.  It would also reduce the security benefit of the Secure Flight program.  Thus, TSA is not adopting the 24-hour alternative because of the impact it would have on the effectiveness of Secure Flight as a security program.  Additionally, this impact is not offset by cost savings to covered aircraft operators, the passengers, or the federal government.  </w:t>
      </w:r>
    </w:p>
    <w:p w:rsidR="003B0815" w:rsidRDefault="003B0815" w14:paraId="7A69C1F1" w14:textId="77777777">
      <w:pPr>
        <w:spacing w:line="360" w:lineRule="auto"/>
        <w:ind w:firstLine="720"/>
        <w:rPr>
          <w:highlight w:val="yellow"/>
        </w:rPr>
      </w:pPr>
    </w:p>
    <w:p w:rsidR="003B0815" w:rsidRDefault="003B0815" w14:paraId="46422686" w14:textId="77777777">
      <w:pPr>
        <w:keepNext/>
        <w:spacing w:line="360" w:lineRule="auto"/>
        <w:outlineLvl w:val="0"/>
        <w:rPr>
          <w:b/>
        </w:rPr>
      </w:pPr>
      <w:r>
        <w:rPr>
          <w:b/>
        </w:rPr>
        <w:t>Alternative #10:  30 Minutes Prior to Departure (APIS requirement)</w:t>
      </w:r>
    </w:p>
    <w:p w:rsidR="003B0815" w:rsidRDefault="003B0815" w14:paraId="72CCB2C6" w14:textId="77777777">
      <w:pPr>
        <w:spacing w:line="360" w:lineRule="auto"/>
        <w:ind w:firstLine="720"/>
      </w:pPr>
      <w:r>
        <w:t xml:space="preserve">Under this alternative, all Secure Flight processing would take place at 30 minutes prior to a flight departure.  All SFPD transactions would be submitted to Secure Flight as passengers check-in for flights, and automated watch list matching would be performed “just in time” in interactive mode.  This alternative is similar to the requirements in CBP’s APIS Pre-departure Final Rule. </w:t>
      </w:r>
    </w:p>
    <w:p w:rsidR="003B0815" w:rsidRDefault="003B0815" w14:paraId="31F35CCD" w14:textId="77777777">
      <w:pPr>
        <w:spacing w:line="360" w:lineRule="auto"/>
        <w:ind w:firstLine="720"/>
      </w:pPr>
      <w:r>
        <w:t xml:space="preserve">With no batch transmission of SFPD, TSA would not be able to conduct automated watch list matching and any necessary manual review in advance of a passenger check-in request.  Under this alternative, passengers would not longer have the option of checking in during the 24-hour window prior to flight departure as is current aircraft operator practice.  All passengers would need to come to the airport to check in and to wait for TSA to complete the automated watch list matching and any necessary manual review prior to receiving a boarding pass.  This consequence of the 30-minute alternative has considerable impacts on covered aircraft operators, passengers, and the federal government.  </w:t>
      </w:r>
    </w:p>
    <w:p w:rsidR="003B0815" w:rsidRDefault="003B0815" w14:paraId="603BFC83" w14:textId="77777777">
      <w:pPr>
        <w:spacing w:line="360" w:lineRule="auto"/>
        <w:ind w:firstLine="720"/>
      </w:pPr>
      <w:r>
        <w:t xml:space="preserve"> Many of the covered aircraft operators would reprogramming costs because they are not subject to APIS Predeparture Final Rule and have not reprogrammed their systems to comply with the APIS Predeparture Final Rule.  All covered aircraft operators would incur implementation costs including costs for data collection and transmission.  Because all passengers would need to go to the airport to check in and to obtain a boarding pass, covered aircraft operators would lose the benefits and savings of having many of their passengers check in via the Internet.  Covered aircraft operators would need to invest in more kiosks at the airport to handle check in for all of their passengers that do not go to the ticket counter and would need to address congestion at the airport.  Because TSA would have no time to conduct manual review, a few thousand passengers each day would need to go to the ticket counter and wait for the manual review process to be completed before they are able to obtain boarding passes.  As a result, covered aircraft operators’ agents at the ticket counter would likely need to spend more time with each passenger whose SFPD are be subject to manual review.  For most of these passengers, 30 minutes prior to scheduled flight departure time would not likely be sufficient time for TSA to complete the manual review process and for the passengers to proceed through the security checkpoint to their departure gate.  Thus many of these passengers would likely miss their flight and the covered aircraft operators would incur the costs associated with rebooking them on other flights.  </w:t>
      </w:r>
    </w:p>
    <w:p w:rsidR="003B0815" w:rsidRDefault="003B0815" w14:paraId="785317D6" w14:textId="77777777">
      <w:pPr>
        <w:spacing w:line="360" w:lineRule="auto"/>
        <w:ind w:firstLine="720"/>
      </w:pPr>
      <w:r>
        <w:t>Some covered aircraft operators may experience savings under the 30-minute alternative because they have already reprogrammed their systems to comply with the APIS Predeparture Final Rule.  While TSA was unable to estimate the costs of the impact discussed in the paragraph above, TSA believes that these costs would significantly outweigh the savings resulting from these covered aircraft operators not needing to reprogram their systems.</w:t>
      </w:r>
    </w:p>
    <w:p w:rsidR="003B0815" w:rsidRDefault="003B0815" w14:paraId="26C65C50" w14:textId="77777777">
      <w:pPr>
        <w:spacing w:line="360" w:lineRule="auto"/>
        <w:ind w:firstLine="720"/>
      </w:pPr>
      <w:r>
        <w:t xml:space="preserve">Passengers would also incur similar opportunity costs identified in Section 6 of this Regulatory and Economic Analysis because they would provide the same required information to covered aircraft operators and may also read the Privacy Notice as they would under the preferred 72-hour alternative.  Passengers would not be able to check in via the Internet and would need to obtain their boarding pass at the airport causing longer lines for the check-in kiosks.  Longer lines would result in higher opportunity cost to the passengers because of the increased wait time at the airport to check in for their flights.  At some airports, many passengers would likely miss their flights because 30 minutes is not sufficient time to obtain a boarding pass from a kiosk or the ticket counter, to proceed through the security checkpoint, and to travel to the departure gate. </w:t>
      </w:r>
    </w:p>
    <w:p w:rsidR="003B0815" w:rsidRDefault="003B0815" w14:paraId="22D02E60" w14:textId="77777777">
      <w:pPr>
        <w:spacing w:line="360" w:lineRule="auto"/>
        <w:ind w:firstLine="720"/>
      </w:pPr>
      <w:r>
        <w:t>Additionally, because TSA would not be able to conduct the manual processes until the passengers arrive at the airport, TSA would not be able to clear some passengers prior to the passengers checking in at the airport that it may otherwise be able to clear if given more time.  A few thousand passengers each day would incur opportunity costs because the automated watch list matching process identified them as potential matches to the watch list.  These passengers would incur the opportunity cost of having to go to the airport to present their verifying identity document to obtain a boarding pass and of waiting at the ticket counter as TSA completes the manual processes.  For most of these passengers, 30 minutes prior to scheduled flight departure time would not likely be sufficient time for TSA to complete the manual review process and for the passengers to proceed through the security checkpoint to their departure gate.  Thus many of these passengers would incur additional opportunity costs because they would miss their flights.  TSA was unable to estimate the amount of the increased opportunity costs for passengers but believes that these costs would be considerable.</w:t>
      </w:r>
    </w:p>
    <w:p w:rsidR="003B0815" w:rsidRDefault="003B0815" w14:paraId="278FCD07" w14:textId="77777777">
      <w:pPr>
        <w:spacing w:line="360" w:lineRule="auto"/>
        <w:ind w:firstLine="720"/>
      </w:pPr>
      <w:r>
        <w:t>The federal government would also incur additional costs under the 30-minute alternative than it would under the preferred 72-hour alternative.  TSA would need to redesign the Secure Flight infrastructure and design and update of DHS router which could impact CBP’s APIS Pre-departure implementation.  At a minimum, the Secure Flight system would need to support automated watch list matching of 40 passengers per second with each transaction taking less than 4 seconds and would need ability to process 80 passengers per second due to flight departures not evenly distributed throughout the day.   To process all SFPD as “just in time” transactions, TSA would need to invest in more Secure Flight hardware, software, and personnel.  Below are the total costs of the Secure Flight hardware, software, and personnel for the 24-hour alternative:</w:t>
      </w:r>
    </w:p>
    <w:p w:rsidR="003B0815" w:rsidRDefault="003B0815" w14:paraId="52B94934" w14:textId="77777777">
      <w:pPr>
        <w:spacing w:line="360" w:lineRule="auto"/>
        <w:ind w:firstLine="720"/>
      </w:pPr>
    </w:p>
    <w:p w:rsidR="003B0815" w:rsidRDefault="003B0815" w14:paraId="293A2A8E" w14:textId="77777777">
      <w:pPr>
        <w:keepNext/>
        <w:spacing w:line="360" w:lineRule="auto"/>
        <w:jc w:val="center"/>
        <w:outlineLvl w:val="0"/>
        <w:rPr>
          <w:b/>
        </w:rPr>
      </w:pPr>
      <w:r>
        <w:rPr>
          <w:b/>
        </w:rPr>
        <w:t>Alternative #10:  30 Minutes Prior to Departure -- APIS requirement (millions of 2005 $)</w:t>
      </w:r>
    </w:p>
    <w:tbl>
      <w:tblPr>
        <w:tblW w:w="6799" w:type="dxa"/>
        <w:tblInd w:w="1188" w:type="dxa"/>
        <w:tblLook w:val="0000" w:firstRow="0" w:lastRow="0" w:firstColumn="0" w:lastColumn="0" w:noHBand="0" w:noVBand="0"/>
      </w:tblPr>
      <w:tblGrid>
        <w:gridCol w:w="753"/>
        <w:gridCol w:w="1362"/>
        <w:gridCol w:w="1171"/>
        <w:gridCol w:w="1171"/>
        <w:gridCol w:w="1171"/>
        <w:gridCol w:w="1171"/>
      </w:tblGrid>
      <w:tr w:rsidR="003B0815" w14:paraId="38C2BCE7" w14:textId="77777777">
        <w:trPr>
          <w:trHeight w:val="510"/>
        </w:trPr>
        <w:tc>
          <w:tcPr>
            <w:tcW w:w="753" w:type="dxa"/>
            <w:tcBorders>
              <w:top w:val="single" w:color="auto" w:sz="4" w:space="0"/>
              <w:left w:val="single" w:color="auto" w:sz="4" w:space="0"/>
              <w:bottom w:val="single" w:color="auto" w:sz="4" w:space="0"/>
              <w:right w:val="single" w:color="auto" w:sz="4" w:space="0"/>
            </w:tcBorders>
            <w:vAlign w:val="bottom"/>
          </w:tcPr>
          <w:p w:rsidR="003B0815" w:rsidRDefault="003B0815" w14:paraId="377F5B2F" w14:textId="77777777">
            <w:pPr>
              <w:rPr>
                <w:rFonts w:ascii="Arial" w:hAnsi="Arial" w:cs="Arial"/>
                <w:sz w:val="20"/>
                <w:szCs w:val="20"/>
              </w:rPr>
            </w:pPr>
            <w:r>
              <w:rPr>
                <w:rFonts w:ascii="Arial" w:hAnsi="Arial" w:cs="Arial"/>
                <w:sz w:val="20"/>
                <w:szCs w:val="20"/>
              </w:rPr>
              <w:t>Year</w:t>
            </w:r>
          </w:p>
        </w:tc>
        <w:tc>
          <w:tcPr>
            <w:tcW w:w="1362" w:type="dxa"/>
            <w:tcBorders>
              <w:top w:val="nil"/>
              <w:left w:val="nil"/>
              <w:bottom w:val="single" w:color="auto" w:sz="4" w:space="0"/>
              <w:right w:val="single" w:color="auto" w:sz="4" w:space="0"/>
            </w:tcBorders>
            <w:vAlign w:val="bottom"/>
          </w:tcPr>
          <w:p w:rsidR="003B0815" w:rsidRDefault="003B0815" w14:paraId="2BD9EC7F" w14:textId="77777777">
            <w:pPr>
              <w:jc w:val="center"/>
              <w:rPr>
                <w:rFonts w:ascii="Arial" w:hAnsi="Arial" w:cs="Arial"/>
                <w:sz w:val="20"/>
                <w:szCs w:val="20"/>
              </w:rPr>
            </w:pPr>
            <w:r>
              <w:rPr>
                <w:rFonts w:ascii="Arial" w:hAnsi="Arial" w:cs="Arial"/>
                <w:sz w:val="20"/>
                <w:szCs w:val="20"/>
              </w:rPr>
              <w:t>Additional</w:t>
            </w:r>
            <w:r>
              <w:rPr>
                <w:rFonts w:ascii="Arial" w:hAnsi="Arial" w:cs="Arial"/>
                <w:sz w:val="20"/>
                <w:szCs w:val="20"/>
              </w:rPr>
              <w:br/>
              <w:t>Hardware</w:t>
            </w:r>
            <w:r>
              <w:rPr>
                <w:rFonts w:ascii="Arial" w:hAnsi="Arial" w:cs="Arial"/>
                <w:sz w:val="20"/>
                <w:szCs w:val="20"/>
              </w:rPr>
              <w:br/>
              <w:t>Licenses</w:t>
            </w:r>
            <w:r>
              <w:rPr>
                <w:rFonts w:ascii="Arial" w:hAnsi="Arial" w:cs="Arial"/>
                <w:sz w:val="20"/>
                <w:szCs w:val="20"/>
              </w:rPr>
              <w:br/>
              <w:t>Maintenance</w:t>
            </w:r>
          </w:p>
        </w:tc>
        <w:tc>
          <w:tcPr>
            <w:tcW w:w="1171" w:type="dxa"/>
            <w:tcBorders>
              <w:top w:val="nil"/>
              <w:left w:val="nil"/>
              <w:bottom w:val="single" w:color="auto" w:sz="4" w:space="0"/>
              <w:right w:val="single" w:color="auto" w:sz="4" w:space="0"/>
            </w:tcBorders>
            <w:vAlign w:val="bottom"/>
          </w:tcPr>
          <w:p w:rsidR="003B0815" w:rsidRDefault="003B0815" w14:paraId="6252967B" w14:textId="77777777">
            <w:pPr>
              <w:jc w:val="center"/>
              <w:rPr>
                <w:rFonts w:ascii="Arial" w:hAnsi="Arial" w:cs="Arial"/>
                <w:sz w:val="20"/>
                <w:szCs w:val="20"/>
              </w:rPr>
            </w:pPr>
            <w:r>
              <w:rPr>
                <w:rFonts w:ascii="Arial" w:hAnsi="Arial" w:cs="Arial"/>
                <w:sz w:val="20"/>
                <w:szCs w:val="20"/>
              </w:rPr>
              <w:t>Additional</w:t>
            </w:r>
            <w:r>
              <w:rPr>
                <w:rFonts w:ascii="Arial" w:hAnsi="Arial" w:cs="Arial"/>
                <w:sz w:val="20"/>
                <w:szCs w:val="20"/>
              </w:rPr>
              <w:br/>
              <w:t>Staffing</w:t>
            </w:r>
          </w:p>
        </w:tc>
        <w:tc>
          <w:tcPr>
            <w:tcW w:w="1171" w:type="dxa"/>
            <w:tcBorders>
              <w:top w:val="nil"/>
              <w:left w:val="nil"/>
              <w:bottom w:val="single" w:color="auto" w:sz="4" w:space="0"/>
              <w:right w:val="single" w:color="auto" w:sz="4" w:space="0"/>
            </w:tcBorders>
            <w:vAlign w:val="bottom"/>
          </w:tcPr>
          <w:p w:rsidR="003B0815" w:rsidRDefault="003B0815" w14:paraId="1563DE6D" w14:textId="77777777">
            <w:pPr>
              <w:jc w:val="center"/>
              <w:rPr>
                <w:rFonts w:ascii="Arial" w:hAnsi="Arial" w:cs="Arial"/>
                <w:sz w:val="20"/>
                <w:szCs w:val="20"/>
              </w:rPr>
            </w:pPr>
            <w:r>
              <w:rPr>
                <w:rFonts w:ascii="Arial" w:hAnsi="Arial" w:cs="Arial"/>
                <w:sz w:val="20"/>
                <w:szCs w:val="20"/>
              </w:rPr>
              <w:t>Total</w:t>
            </w:r>
          </w:p>
        </w:tc>
        <w:tc>
          <w:tcPr>
            <w:tcW w:w="1171" w:type="dxa"/>
            <w:tcBorders>
              <w:top w:val="nil"/>
              <w:left w:val="nil"/>
              <w:bottom w:val="single" w:color="auto" w:sz="4" w:space="0"/>
              <w:right w:val="single" w:color="auto" w:sz="4" w:space="0"/>
            </w:tcBorders>
            <w:vAlign w:val="bottom"/>
          </w:tcPr>
          <w:p w:rsidR="003B0815" w:rsidRDefault="003B0815" w14:paraId="3358CB19" w14:textId="77777777">
            <w:pPr>
              <w:jc w:val="center"/>
              <w:rPr>
                <w:rFonts w:ascii="Arial" w:hAnsi="Arial" w:cs="Arial"/>
                <w:sz w:val="20"/>
                <w:szCs w:val="20"/>
              </w:rPr>
            </w:pPr>
            <w:r>
              <w:rPr>
                <w:rFonts w:ascii="Arial" w:hAnsi="Arial" w:cs="Arial"/>
                <w:sz w:val="20"/>
                <w:szCs w:val="20"/>
              </w:rPr>
              <w:t>Total 7% Discount</w:t>
            </w:r>
          </w:p>
        </w:tc>
        <w:tc>
          <w:tcPr>
            <w:tcW w:w="1171" w:type="dxa"/>
            <w:tcBorders>
              <w:top w:val="nil"/>
              <w:left w:val="nil"/>
              <w:bottom w:val="single" w:color="auto" w:sz="4" w:space="0"/>
              <w:right w:val="single" w:color="auto" w:sz="4" w:space="0"/>
            </w:tcBorders>
            <w:vAlign w:val="bottom"/>
          </w:tcPr>
          <w:p w:rsidR="003B0815" w:rsidRDefault="003B0815" w14:paraId="70744D34" w14:textId="77777777">
            <w:pPr>
              <w:jc w:val="center"/>
              <w:rPr>
                <w:rFonts w:ascii="Arial" w:hAnsi="Arial" w:cs="Arial"/>
                <w:sz w:val="20"/>
                <w:szCs w:val="20"/>
              </w:rPr>
            </w:pPr>
            <w:r>
              <w:rPr>
                <w:rFonts w:ascii="Arial" w:hAnsi="Arial" w:cs="Arial"/>
                <w:sz w:val="20"/>
                <w:szCs w:val="20"/>
              </w:rPr>
              <w:t>Total 3% Discount</w:t>
            </w:r>
          </w:p>
        </w:tc>
      </w:tr>
      <w:tr w:rsidR="003B0815" w14:paraId="55A192E9"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21D5AAE2" w14:textId="77777777">
            <w:pPr>
              <w:jc w:val="center"/>
              <w:rPr>
                <w:rFonts w:ascii="Arial" w:hAnsi="Arial" w:cs="Arial"/>
                <w:sz w:val="20"/>
                <w:szCs w:val="20"/>
              </w:rPr>
            </w:pPr>
            <w:r>
              <w:rPr>
                <w:rFonts w:ascii="Arial" w:hAnsi="Arial" w:cs="Arial"/>
                <w:sz w:val="20"/>
                <w:szCs w:val="20"/>
              </w:rPr>
              <w:t>1</w:t>
            </w:r>
          </w:p>
        </w:tc>
        <w:tc>
          <w:tcPr>
            <w:tcW w:w="1362" w:type="dxa"/>
            <w:tcBorders>
              <w:top w:val="nil"/>
              <w:left w:val="nil"/>
              <w:bottom w:val="single" w:color="auto" w:sz="4" w:space="0"/>
              <w:right w:val="single" w:color="auto" w:sz="4" w:space="0"/>
            </w:tcBorders>
            <w:noWrap/>
            <w:vAlign w:val="bottom"/>
          </w:tcPr>
          <w:p w:rsidR="003B0815" w:rsidRDefault="003B0815" w14:paraId="1D096616" w14:textId="77777777">
            <w:pPr>
              <w:jc w:val="right"/>
              <w:rPr>
                <w:rFonts w:ascii="Arial" w:hAnsi="Arial" w:cs="Arial"/>
                <w:sz w:val="20"/>
                <w:szCs w:val="20"/>
              </w:rPr>
            </w:pPr>
            <w:r>
              <w:rPr>
                <w:rFonts w:ascii="Arial" w:hAnsi="Arial" w:cs="Arial"/>
                <w:sz w:val="20"/>
                <w:szCs w:val="20"/>
              </w:rPr>
              <w:t>$10.4</w:t>
            </w:r>
          </w:p>
        </w:tc>
        <w:tc>
          <w:tcPr>
            <w:tcW w:w="1171" w:type="dxa"/>
            <w:tcBorders>
              <w:top w:val="nil"/>
              <w:left w:val="nil"/>
              <w:bottom w:val="single" w:color="auto" w:sz="4" w:space="0"/>
              <w:right w:val="single" w:color="auto" w:sz="4" w:space="0"/>
            </w:tcBorders>
            <w:noWrap/>
            <w:vAlign w:val="bottom"/>
          </w:tcPr>
          <w:p w:rsidR="003B0815" w:rsidRDefault="003B0815" w14:paraId="0C9E267F" w14:textId="77777777">
            <w:pPr>
              <w:jc w:val="right"/>
              <w:rPr>
                <w:rFonts w:ascii="Arial" w:hAnsi="Arial" w:cs="Arial"/>
                <w:sz w:val="20"/>
                <w:szCs w:val="20"/>
              </w:rPr>
            </w:pPr>
            <w:r>
              <w:rPr>
                <w:rFonts w:ascii="Arial" w:hAnsi="Arial" w:cs="Arial"/>
                <w:sz w:val="20"/>
                <w:szCs w:val="20"/>
              </w:rPr>
              <w:t>$0.0</w:t>
            </w:r>
          </w:p>
        </w:tc>
        <w:tc>
          <w:tcPr>
            <w:tcW w:w="1171" w:type="dxa"/>
            <w:tcBorders>
              <w:top w:val="nil"/>
              <w:left w:val="nil"/>
              <w:bottom w:val="single" w:color="auto" w:sz="4" w:space="0"/>
              <w:right w:val="single" w:color="auto" w:sz="4" w:space="0"/>
            </w:tcBorders>
            <w:noWrap/>
            <w:vAlign w:val="bottom"/>
          </w:tcPr>
          <w:p w:rsidR="003B0815" w:rsidRDefault="003B0815" w14:paraId="2A379B13" w14:textId="77777777">
            <w:pPr>
              <w:jc w:val="right"/>
              <w:rPr>
                <w:rFonts w:ascii="Arial" w:hAnsi="Arial" w:cs="Arial"/>
                <w:sz w:val="20"/>
                <w:szCs w:val="20"/>
              </w:rPr>
            </w:pPr>
            <w:r>
              <w:rPr>
                <w:rFonts w:ascii="Arial" w:hAnsi="Arial" w:cs="Arial"/>
                <w:sz w:val="20"/>
                <w:szCs w:val="20"/>
              </w:rPr>
              <w:t>$10.4</w:t>
            </w:r>
          </w:p>
        </w:tc>
        <w:tc>
          <w:tcPr>
            <w:tcW w:w="1171" w:type="dxa"/>
            <w:tcBorders>
              <w:top w:val="nil"/>
              <w:left w:val="nil"/>
              <w:bottom w:val="single" w:color="auto" w:sz="4" w:space="0"/>
              <w:right w:val="single" w:color="auto" w:sz="4" w:space="0"/>
            </w:tcBorders>
            <w:noWrap/>
            <w:vAlign w:val="bottom"/>
          </w:tcPr>
          <w:p w:rsidR="003B0815" w:rsidRDefault="003B0815" w14:paraId="3244DF93" w14:textId="77777777">
            <w:pPr>
              <w:jc w:val="right"/>
              <w:rPr>
                <w:rFonts w:ascii="Arial" w:hAnsi="Arial" w:cs="Arial"/>
                <w:sz w:val="20"/>
                <w:szCs w:val="20"/>
              </w:rPr>
            </w:pPr>
            <w:r>
              <w:rPr>
                <w:rFonts w:ascii="Arial" w:hAnsi="Arial" w:cs="Arial"/>
                <w:sz w:val="20"/>
                <w:szCs w:val="20"/>
              </w:rPr>
              <w:t xml:space="preserve">$9.70 </w:t>
            </w:r>
          </w:p>
        </w:tc>
        <w:tc>
          <w:tcPr>
            <w:tcW w:w="1171" w:type="dxa"/>
            <w:tcBorders>
              <w:top w:val="nil"/>
              <w:left w:val="nil"/>
              <w:bottom w:val="single" w:color="auto" w:sz="4" w:space="0"/>
              <w:right w:val="single" w:color="auto" w:sz="4" w:space="0"/>
            </w:tcBorders>
            <w:noWrap/>
            <w:vAlign w:val="bottom"/>
          </w:tcPr>
          <w:p w:rsidR="003B0815" w:rsidRDefault="003B0815" w14:paraId="1741E2AC" w14:textId="77777777">
            <w:pPr>
              <w:jc w:val="right"/>
              <w:rPr>
                <w:rFonts w:ascii="Arial" w:hAnsi="Arial" w:cs="Arial"/>
                <w:sz w:val="20"/>
                <w:szCs w:val="20"/>
              </w:rPr>
            </w:pPr>
            <w:r>
              <w:rPr>
                <w:rFonts w:ascii="Arial" w:hAnsi="Arial" w:cs="Arial"/>
                <w:sz w:val="20"/>
                <w:szCs w:val="20"/>
              </w:rPr>
              <w:t xml:space="preserve">$10.08 </w:t>
            </w:r>
          </w:p>
        </w:tc>
      </w:tr>
      <w:tr w:rsidR="003B0815" w14:paraId="02FEC5AB"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328DD7DA" w14:textId="77777777">
            <w:pPr>
              <w:jc w:val="center"/>
              <w:rPr>
                <w:rFonts w:ascii="Arial" w:hAnsi="Arial" w:cs="Arial"/>
                <w:sz w:val="20"/>
                <w:szCs w:val="20"/>
              </w:rPr>
            </w:pPr>
            <w:r>
              <w:rPr>
                <w:rFonts w:ascii="Arial" w:hAnsi="Arial" w:cs="Arial"/>
                <w:sz w:val="20"/>
                <w:szCs w:val="20"/>
              </w:rPr>
              <w:t>2</w:t>
            </w:r>
          </w:p>
        </w:tc>
        <w:tc>
          <w:tcPr>
            <w:tcW w:w="1362" w:type="dxa"/>
            <w:tcBorders>
              <w:top w:val="nil"/>
              <w:left w:val="nil"/>
              <w:bottom w:val="single" w:color="auto" w:sz="4" w:space="0"/>
              <w:right w:val="single" w:color="auto" w:sz="4" w:space="0"/>
            </w:tcBorders>
            <w:noWrap/>
            <w:vAlign w:val="bottom"/>
          </w:tcPr>
          <w:p w:rsidR="003B0815" w:rsidRDefault="003B0815" w14:paraId="069E8C8F"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0B82EC92"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38BA4D5E"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5E36EF0E" w14:textId="77777777">
            <w:pPr>
              <w:jc w:val="right"/>
              <w:rPr>
                <w:rFonts w:ascii="Arial" w:hAnsi="Arial" w:cs="Arial"/>
                <w:sz w:val="20"/>
                <w:szCs w:val="20"/>
              </w:rPr>
            </w:pPr>
            <w:r>
              <w:rPr>
                <w:rFonts w:ascii="Arial" w:hAnsi="Arial" w:cs="Arial"/>
                <w:sz w:val="20"/>
                <w:szCs w:val="20"/>
              </w:rPr>
              <w:t xml:space="preserve">$2.72 </w:t>
            </w:r>
          </w:p>
        </w:tc>
        <w:tc>
          <w:tcPr>
            <w:tcW w:w="1171" w:type="dxa"/>
            <w:tcBorders>
              <w:top w:val="nil"/>
              <w:left w:val="nil"/>
              <w:bottom w:val="single" w:color="auto" w:sz="4" w:space="0"/>
              <w:right w:val="single" w:color="auto" w:sz="4" w:space="0"/>
            </w:tcBorders>
            <w:noWrap/>
            <w:vAlign w:val="bottom"/>
          </w:tcPr>
          <w:p w:rsidR="003B0815" w:rsidRDefault="003B0815" w14:paraId="7C7DD91A" w14:textId="77777777">
            <w:pPr>
              <w:jc w:val="right"/>
              <w:rPr>
                <w:rFonts w:ascii="Arial" w:hAnsi="Arial" w:cs="Arial"/>
                <w:sz w:val="20"/>
                <w:szCs w:val="20"/>
              </w:rPr>
            </w:pPr>
            <w:r>
              <w:rPr>
                <w:rFonts w:ascii="Arial" w:hAnsi="Arial" w:cs="Arial"/>
                <w:sz w:val="20"/>
                <w:szCs w:val="20"/>
              </w:rPr>
              <w:t xml:space="preserve">$2.89 </w:t>
            </w:r>
          </w:p>
        </w:tc>
      </w:tr>
      <w:tr w:rsidR="003B0815" w14:paraId="3CB3E664"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02F1D11F" w14:textId="77777777">
            <w:pPr>
              <w:jc w:val="center"/>
              <w:rPr>
                <w:rFonts w:ascii="Arial" w:hAnsi="Arial" w:cs="Arial"/>
                <w:sz w:val="20"/>
                <w:szCs w:val="20"/>
              </w:rPr>
            </w:pPr>
            <w:r>
              <w:rPr>
                <w:rFonts w:ascii="Arial" w:hAnsi="Arial" w:cs="Arial"/>
                <w:sz w:val="20"/>
                <w:szCs w:val="20"/>
              </w:rPr>
              <w:t>3</w:t>
            </w:r>
          </w:p>
        </w:tc>
        <w:tc>
          <w:tcPr>
            <w:tcW w:w="1362" w:type="dxa"/>
            <w:tcBorders>
              <w:top w:val="nil"/>
              <w:left w:val="nil"/>
              <w:bottom w:val="single" w:color="auto" w:sz="4" w:space="0"/>
              <w:right w:val="single" w:color="auto" w:sz="4" w:space="0"/>
            </w:tcBorders>
            <w:noWrap/>
            <w:vAlign w:val="bottom"/>
          </w:tcPr>
          <w:p w:rsidR="003B0815" w:rsidRDefault="003B0815" w14:paraId="11F034E2"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4729896E"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1F8A102E"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0E9B8676" w14:textId="77777777">
            <w:pPr>
              <w:jc w:val="right"/>
              <w:rPr>
                <w:rFonts w:ascii="Arial" w:hAnsi="Arial" w:cs="Arial"/>
                <w:sz w:val="20"/>
                <w:szCs w:val="20"/>
              </w:rPr>
            </w:pPr>
            <w:r>
              <w:rPr>
                <w:rFonts w:ascii="Arial" w:hAnsi="Arial" w:cs="Arial"/>
                <w:sz w:val="20"/>
                <w:szCs w:val="20"/>
              </w:rPr>
              <w:t xml:space="preserve">$2.55 </w:t>
            </w:r>
          </w:p>
        </w:tc>
        <w:tc>
          <w:tcPr>
            <w:tcW w:w="1171" w:type="dxa"/>
            <w:tcBorders>
              <w:top w:val="nil"/>
              <w:left w:val="nil"/>
              <w:bottom w:val="single" w:color="auto" w:sz="4" w:space="0"/>
              <w:right w:val="single" w:color="auto" w:sz="4" w:space="0"/>
            </w:tcBorders>
            <w:noWrap/>
            <w:vAlign w:val="bottom"/>
          </w:tcPr>
          <w:p w:rsidR="003B0815" w:rsidRDefault="003B0815" w14:paraId="7F8216DC" w14:textId="77777777">
            <w:pPr>
              <w:jc w:val="right"/>
              <w:rPr>
                <w:rFonts w:ascii="Arial" w:hAnsi="Arial" w:cs="Arial"/>
                <w:sz w:val="20"/>
                <w:szCs w:val="20"/>
              </w:rPr>
            </w:pPr>
            <w:r>
              <w:rPr>
                <w:rFonts w:ascii="Arial" w:hAnsi="Arial" w:cs="Arial"/>
                <w:sz w:val="20"/>
                <w:szCs w:val="20"/>
              </w:rPr>
              <w:t xml:space="preserve">$2.81 </w:t>
            </w:r>
          </w:p>
        </w:tc>
      </w:tr>
      <w:tr w:rsidR="003B0815" w14:paraId="75E30434"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5C9A5687" w14:textId="77777777">
            <w:pPr>
              <w:jc w:val="center"/>
              <w:rPr>
                <w:rFonts w:ascii="Arial" w:hAnsi="Arial" w:cs="Arial"/>
                <w:sz w:val="20"/>
                <w:szCs w:val="20"/>
              </w:rPr>
            </w:pPr>
            <w:r>
              <w:rPr>
                <w:rFonts w:ascii="Arial" w:hAnsi="Arial" w:cs="Arial"/>
                <w:sz w:val="20"/>
                <w:szCs w:val="20"/>
              </w:rPr>
              <w:t>4</w:t>
            </w:r>
          </w:p>
        </w:tc>
        <w:tc>
          <w:tcPr>
            <w:tcW w:w="1362" w:type="dxa"/>
            <w:tcBorders>
              <w:top w:val="nil"/>
              <w:left w:val="nil"/>
              <w:bottom w:val="single" w:color="auto" w:sz="4" w:space="0"/>
              <w:right w:val="single" w:color="auto" w:sz="4" w:space="0"/>
            </w:tcBorders>
            <w:noWrap/>
            <w:vAlign w:val="bottom"/>
          </w:tcPr>
          <w:p w:rsidR="003B0815" w:rsidRDefault="003B0815" w14:paraId="27F66ED5"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3406A989"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7EA2C388"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453445A5" w14:textId="77777777">
            <w:pPr>
              <w:jc w:val="right"/>
              <w:rPr>
                <w:rFonts w:ascii="Arial" w:hAnsi="Arial" w:cs="Arial"/>
                <w:sz w:val="20"/>
                <w:szCs w:val="20"/>
              </w:rPr>
            </w:pPr>
            <w:r>
              <w:rPr>
                <w:rFonts w:ascii="Arial" w:hAnsi="Arial" w:cs="Arial"/>
                <w:sz w:val="20"/>
                <w:szCs w:val="20"/>
              </w:rPr>
              <w:t xml:space="preserve">$2.38 </w:t>
            </w:r>
          </w:p>
        </w:tc>
        <w:tc>
          <w:tcPr>
            <w:tcW w:w="1171" w:type="dxa"/>
            <w:tcBorders>
              <w:top w:val="nil"/>
              <w:left w:val="nil"/>
              <w:bottom w:val="single" w:color="auto" w:sz="4" w:space="0"/>
              <w:right w:val="single" w:color="auto" w:sz="4" w:space="0"/>
            </w:tcBorders>
            <w:noWrap/>
            <w:vAlign w:val="bottom"/>
          </w:tcPr>
          <w:p w:rsidR="003B0815" w:rsidRDefault="003B0815" w14:paraId="0160B3EC" w14:textId="77777777">
            <w:pPr>
              <w:jc w:val="right"/>
              <w:rPr>
                <w:rFonts w:ascii="Arial" w:hAnsi="Arial" w:cs="Arial"/>
                <w:sz w:val="20"/>
                <w:szCs w:val="20"/>
              </w:rPr>
            </w:pPr>
            <w:r>
              <w:rPr>
                <w:rFonts w:ascii="Arial" w:hAnsi="Arial" w:cs="Arial"/>
                <w:sz w:val="20"/>
                <w:szCs w:val="20"/>
              </w:rPr>
              <w:t xml:space="preserve">$2.73 </w:t>
            </w:r>
          </w:p>
        </w:tc>
      </w:tr>
      <w:tr w:rsidR="003B0815" w14:paraId="679AFBF0"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212523D3" w14:textId="77777777">
            <w:pPr>
              <w:jc w:val="center"/>
              <w:rPr>
                <w:rFonts w:ascii="Arial" w:hAnsi="Arial" w:cs="Arial"/>
                <w:sz w:val="20"/>
                <w:szCs w:val="20"/>
              </w:rPr>
            </w:pPr>
            <w:r>
              <w:rPr>
                <w:rFonts w:ascii="Arial" w:hAnsi="Arial" w:cs="Arial"/>
                <w:sz w:val="20"/>
                <w:szCs w:val="20"/>
              </w:rPr>
              <w:t>5</w:t>
            </w:r>
          </w:p>
        </w:tc>
        <w:tc>
          <w:tcPr>
            <w:tcW w:w="1362" w:type="dxa"/>
            <w:tcBorders>
              <w:top w:val="nil"/>
              <w:left w:val="nil"/>
              <w:bottom w:val="single" w:color="auto" w:sz="4" w:space="0"/>
              <w:right w:val="single" w:color="auto" w:sz="4" w:space="0"/>
            </w:tcBorders>
            <w:noWrap/>
            <w:vAlign w:val="bottom"/>
          </w:tcPr>
          <w:p w:rsidR="003B0815" w:rsidRDefault="003B0815" w14:paraId="28DC0815"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1C2ECA79"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4A1A4A50"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6DA1CE67" w14:textId="77777777">
            <w:pPr>
              <w:jc w:val="right"/>
              <w:rPr>
                <w:rFonts w:ascii="Arial" w:hAnsi="Arial" w:cs="Arial"/>
                <w:sz w:val="20"/>
                <w:szCs w:val="20"/>
              </w:rPr>
            </w:pPr>
            <w:r>
              <w:rPr>
                <w:rFonts w:ascii="Arial" w:hAnsi="Arial" w:cs="Arial"/>
                <w:sz w:val="20"/>
                <w:szCs w:val="20"/>
              </w:rPr>
              <w:t xml:space="preserve">$2.22 </w:t>
            </w:r>
          </w:p>
        </w:tc>
        <w:tc>
          <w:tcPr>
            <w:tcW w:w="1171" w:type="dxa"/>
            <w:tcBorders>
              <w:top w:val="nil"/>
              <w:left w:val="nil"/>
              <w:bottom w:val="single" w:color="auto" w:sz="4" w:space="0"/>
              <w:right w:val="single" w:color="auto" w:sz="4" w:space="0"/>
            </w:tcBorders>
            <w:noWrap/>
            <w:vAlign w:val="bottom"/>
          </w:tcPr>
          <w:p w:rsidR="003B0815" w:rsidRDefault="003B0815" w14:paraId="73784278" w14:textId="77777777">
            <w:pPr>
              <w:jc w:val="right"/>
              <w:rPr>
                <w:rFonts w:ascii="Arial" w:hAnsi="Arial" w:cs="Arial"/>
                <w:sz w:val="20"/>
                <w:szCs w:val="20"/>
              </w:rPr>
            </w:pPr>
            <w:r>
              <w:rPr>
                <w:rFonts w:ascii="Arial" w:hAnsi="Arial" w:cs="Arial"/>
                <w:sz w:val="20"/>
                <w:szCs w:val="20"/>
              </w:rPr>
              <w:t xml:space="preserve">$2.65 </w:t>
            </w:r>
          </w:p>
        </w:tc>
      </w:tr>
      <w:tr w:rsidR="003B0815" w14:paraId="439D4EDC"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3FC01A40" w14:textId="77777777">
            <w:pPr>
              <w:jc w:val="center"/>
              <w:rPr>
                <w:rFonts w:ascii="Arial" w:hAnsi="Arial" w:cs="Arial"/>
                <w:sz w:val="20"/>
                <w:szCs w:val="20"/>
              </w:rPr>
            </w:pPr>
            <w:r>
              <w:rPr>
                <w:rFonts w:ascii="Arial" w:hAnsi="Arial" w:cs="Arial"/>
                <w:sz w:val="20"/>
                <w:szCs w:val="20"/>
              </w:rPr>
              <w:t>6</w:t>
            </w:r>
          </w:p>
        </w:tc>
        <w:tc>
          <w:tcPr>
            <w:tcW w:w="1362" w:type="dxa"/>
            <w:tcBorders>
              <w:top w:val="nil"/>
              <w:left w:val="nil"/>
              <w:bottom w:val="single" w:color="auto" w:sz="4" w:space="0"/>
              <w:right w:val="single" w:color="auto" w:sz="4" w:space="0"/>
            </w:tcBorders>
            <w:noWrap/>
            <w:vAlign w:val="bottom"/>
          </w:tcPr>
          <w:p w:rsidR="003B0815" w:rsidRDefault="003B0815" w14:paraId="47BBF0F3"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1017831B"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710D5AB4"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285D9890" w14:textId="77777777">
            <w:pPr>
              <w:jc w:val="right"/>
              <w:rPr>
                <w:rFonts w:ascii="Arial" w:hAnsi="Arial" w:cs="Arial"/>
                <w:sz w:val="20"/>
                <w:szCs w:val="20"/>
              </w:rPr>
            </w:pPr>
            <w:r>
              <w:rPr>
                <w:rFonts w:ascii="Arial" w:hAnsi="Arial" w:cs="Arial"/>
                <w:sz w:val="20"/>
                <w:szCs w:val="20"/>
              </w:rPr>
              <w:t xml:space="preserve">$2.08 </w:t>
            </w:r>
          </w:p>
        </w:tc>
        <w:tc>
          <w:tcPr>
            <w:tcW w:w="1171" w:type="dxa"/>
            <w:tcBorders>
              <w:top w:val="nil"/>
              <w:left w:val="nil"/>
              <w:bottom w:val="single" w:color="auto" w:sz="4" w:space="0"/>
              <w:right w:val="single" w:color="auto" w:sz="4" w:space="0"/>
            </w:tcBorders>
            <w:noWrap/>
            <w:vAlign w:val="bottom"/>
          </w:tcPr>
          <w:p w:rsidR="003B0815" w:rsidRDefault="003B0815" w14:paraId="29B298D1" w14:textId="77777777">
            <w:pPr>
              <w:jc w:val="right"/>
              <w:rPr>
                <w:rFonts w:ascii="Arial" w:hAnsi="Arial" w:cs="Arial"/>
                <w:sz w:val="20"/>
                <w:szCs w:val="20"/>
              </w:rPr>
            </w:pPr>
            <w:r>
              <w:rPr>
                <w:rFonts w:ascii="Arial" w:hAnsi="Arial" w:cs="Arial"/>
                <w:sz w:val="20"/>
                <w:szCs w:val="20"/>
              </w:rPr>
              <w:t xml:space="preserve">$2.57 </w:t>
            </w:r>
          </w:p>
        </w:tc>
      </w:tr>
      <w:tr w:rsidR="003B0815" w14:paraId="6F8D62F0"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04E72BF6" w14:textId="77777777">
            <w:pPr>
              <w:jc w:val="center"/>
              <w:rPr>
                <w:rFonts w:ascii="Arial" w:hAnsi="Arial" w:cs="Arial"/>
                <w:sz w:val="20"/>
                <w:szCs w:val="20"/>
              </w:rPr>
            </w:pPr>
            <w:r>
              <w:rPr>
                <w:rFonts w:ascii="Arial" w:hAnsi="Arial" w:cs="Arial"/>
                <w:sz w:val="20"/>
                <w:szCs w:val="20"/>
              </w:rPr>
              <w:t>7</w:t>
            </w:r>
          </w:p>
        </w:tc>
        <w:tc>
          <w:tcPr>
            <w:tcW w:w="1362" w:type="dxa"/>
            <w:tcBorders>
              <w:top w:val="nil"/>
              <w:left w:val="nil"/>
              <w:bottom w:val="single" w:color="auto" w:sz="4" w:space="0"/>
              <w:right w:val="single" w:color="auto" w:sz="4" w:space="0"/>
            </w:tcBorders>
            <w:noWrap/>
            <w:vAlign w:val="bottom"/>
          </w:tcPr>
          <w:p w:rsidR="003B0815" w:rsidRDefault="003B0815" w14:paraId="338E2E45"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7091E5DB"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282BE5C4"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371A5690" w14:textId="77777777">
            <w:pPr>
              <w:jc w:val="right"/>
              <w:rPr>
                <w:rFonts w:ascii="Arial" w:hAnsi="Arial" w:cs="Arial"/>
                <w:sz w:val="20"/>
                <w:szCs w:val="20"/>
              </w:rPr>
            </w:pPr>
            <w:r>
              <w:rPr>
                <w:rFonts w:ascii="Arial" w:hAnsi="Arial" w:cs="Arial"/>
                <w:sz w:val="20"/>
                <w:szCs w:val="20"/>
              </w:rPr>
              <w:t xml:space="preserve">$1.94 </w:t>
            </w:r>
          </w:p>
        </w:tc>
        <w:tc>
          <w:tcPr>
            <w:tcW w:w="1171" w:type="dxa"/>
            <w:tcBorders>
              <w:top w:val="nil"/>
              <w:left w:val="nil"/>
              <w:bottom w:val="single" w:color="auto" w:sz="4" w:space="0"/>
              <w:right w:val="single" w:color="auto" w:sz="4" w:space="0"/>
            </w:tcBorders>
            <w:noWrap/>
            <w:vAlign w:val="bottom"/>
          </w:tcPr>
          <w:p w:rsidR="003B0815" w:rsidRDefault="003B0815" w14:paraId="08779B4C" w14:textId="77777777">
            <w:pPr>
              <w:jc w:val="right"/>
              <w:rPr>
                <w:rFonts w:ascii="Arial" w:hAnsi="Arial" w:cs="Arial"/>
                <w:sz w:val="20"/>
                <w:szCs w:val="20"/>
              </w:rPr>
            </w:pPr>
            <w:r>
              <w:rPr>
                <w:rFonts w:ascii="Arial" w:hAnsi="Arial" w:cs="Arial"/>
                <w:sz w:val="20"/>
                <w:szCs w:val="20"/>
              </w:rPr>
              <w:t xml:space="preserve">$2.49 </w:t>
            </w:r>
          </w:p>
        </w:tc>
      </w:tr>
      <w:tr w:rsidR="003B0815" w14:paraId="6377F870"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1E197119" w14:textId="77777777">
            <w:pPr>
              <w:jc w:val="center"/>
              <w:rPr>
                <w:rFonts w:ascii="Arial" w:hAnsi="Arial" w:cs="Arial"/>
                <w:sz w:val="20"/>
                <w:szCs w:val="20"/>
              </w:rPr>
            </w:pPr>
            <w:r>
              <w:rPr>
                <w:rFonts w:ascii="Arial" w:hAnsi="Arial" w:cs="Arial"/>
                <w:sz w:val="20"/>
                <w:szCs w:val="20"/>
              </w:rPr>
              <w:t>8</w:t>
            </w:r>
          </w:p>
        </w:tc>
        <w:tc>
          <w:tcPr>
            <w:tcW w:w="1362" w:type="dxa"/>
            <w:tcBorders>
              <w:top w:val="nil"/>
              <w:left w:val="nil"/>
              <w:bottom w:val="single" w:color="auto" w:sz="4" w:space="0"/>
              <w:right w:val="single" w:color="auto" w:sz="4" w:space="0"/>
            </w:tcBorders>
            <w:noWrap/>
            <w:vAlign w:val="bottom"/>
          </w:tcPr>
          <w:p w:rsidR="003B0815" w:rsidRDefault="003B0815" w14:paraId="511492BD"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1D4E4184"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5E342B29"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1268A54E" w14:textId="77777777">
            <w:pPr>
              <w:jc w:val="right"/>
              <w:rPr>
                <w:rFonts w:ascii="Arial" w:hAnsi="Arial" w:cs="Arial"/>
                <w:sz w:val="20"/>
                <w:szCs w:val="20"/>
              </w:rPr>
            </w:pPr>
            <w:r>
              <w:rPr>
                <w:rFonts w:ascii="Arial" w:hAnsi="Arial" w:cs="Arial"/>
                <w:sz w:val="20"/>
                <w:szCs w:val="20"/>
              </w:rPr>
              <w:t xml:space="preserve">$1.82 </w:t>
            </w:r>
          </w:p>
        </w:tc>
        <w:tc>
          <w:tcPr>
            <w:tcW w:w="1171" w:type="dxa"/>
            <w:tcBorders>
              <w:top w:val="nil"/>
              <w:left w:val="nil"/>
              <w:bottom w:val="single" w:color="auto" w:sz="4" w:space="0"/>
              <w:right w:val="single" w:color="auto" w:sz="4" w:space="0"/>
            </w:tcBorders>
            <w:noWrap/>
            <w:vAlign w:val="bottom"/>
          </w:tcPr>
          <w:p w:rsidR="003B0815" w:rsidRDefault="003B0815" w14:paraId="539A59E8" w14:textId="77777777">
            <w:pPr>
              <w:jc w:val="right"/>
              <w:rPr>
                <w:rFonts w:ascii="Arial" w:hAnsi="Arial" w:cs="Arial"/>
                <w:sz w:val="20"/>
                <w:szCs w:val="20"/>
              </w:rPr>
            </w:pPr>
            <w:r>
              <w:rPr>
                <w:rFonts w:ascii="Arial" w:hAnsi="Arial" w:cs="Arial"/>
                <w:sz w:val="20"/>
                <w:szCs w:val="20"/>
              </w:rPr>
              <w:t xml:space="preserve">$2.42 </w:t>
            </w:r>
          </w:p>
        </w:tc>
      </w:tr>
      <w:tr w:rsidR="003B0815" w14:paraId="5EA6A57D"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0C82D4C1" w14:textId="77777777">
            <w:pPr>
              <w:jc w:val="center"/>
              <w:rPr>
                <w:rFonts w:ascii="Arial" w:hAnsi="Arial" w:cs="Arial"/>
                <w:sz w:val="20"/>
                <w:szCs w:val="20"/>
              </w:rPr>
            </w:pPr>
            <w:r>
              <w:rPr>
                <w:rFonts w:ascii="Arial" w:hAnsi="Arial" w:cs="Arial"/>
                <w:sz w:val="20"/>
                <w:szCs w:val="20"/>
              </w:rPr>
              <w:t>9</w:t>
            </w:r>
          </w:p>
        </w:tc>
        <w:tc>
          <w:tcPr>
            <w:tcW w:w="1362" w:type="dxa"/>
            <w:tcBorders>
              <w:top w:val="nil"/>
              <w:left w:val="nil"/>
              <w:bottom w:val="single" w:color="auto" w:sz="4" w:space="0"/>
              <w:right w:val="single" w:color="auto" w:sz="4" w:space="0"/>
            </w:tcBorders>
            <w:noWrap/>
            <w:vAlign w:val="bottom"/>
          </w:tcPr>
          <w:p w:rsidR="003B0815" w:rsidRDefault="003B0815" w14:paraId="1228B174"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3E2C719A"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4A0EFF34"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3C615B10" w14:textId="77777777">
            <w:pPr>
              <w:jc w:val="right"/>
              <w:rPr>
                <w:rFonts w:ascii="Arial" w:hAnsi="Arial" w:cs="Arial"/>
                <w:sz w:val="20"/>
                <w:szCs w:val="20"/>
              </w:rPr>
            </w:pPr>
            <w:r>
              <w:rPr>
                <w:rFonts w:ascii="Arial" w:hAnsi="Arial" w:cs="Arial"/>
                <w:sz w:val="20"/>
                <w:szCs w:val="20"/>
              </w:rPr>
              <w:t xml:space="preserve">$1.70 </w:t>
            </w:r>
          </w:p>
        </w:tc>
        <w:tc>
          <w:tcPr>
            <w:tcW w:w="1171" w:type="dxa"/>
            <w:tcBorders>
              <w:top w:val="nil"/>
              <w:left w:val="nil"/>
              <w:bottom w:val="single" w:color="auto" w:sz="4" w:space="0"/>
              <w:right w:val="single" w:color="auto" w:sz="4" w:space="0"/>
            </w:tcBorders>
            <w:noWrap/>
            <w:vAlign w:val="bottom"/>
          </w:tcPr>
          <w:p w:rsidR="003B0815" w:rsidRDefault="003B0815" w14:paraId="7DEF413C" w14:textId="77777777">
            <w:pPr>
              <w:jc w:val="right"/>
              <w:rPr>
                <w:rFonts w:ascii="Arial" w:hAnsi="Arial" w:cs="Arial"/>
                <w:sz w:val="20"/>
                <w:szCs w:val="20"/>
              </w:rPr>
            </w:pPr>
            <w:r>
              <w:rPr>
                <w:rFonts w:ascii="Arial" w:hAnsi="Arial" w:cs="Arial"/>
                <w:sz w:val="20"/>
                <w:szCs w:val="20"/>
              </w:rPr>
              <w:t xml:space="preserve">$2.35 </w:t>
            </w:r>
          </w:p>
        </w:tc>
      </w:tr>
      <w:tr w:rsidR="003B0815" w14:paraId="0F1A15AB"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3A278EA4" w14:textId="77777777">
            <w:pPr>
              <w:jc w:val="center"/>
              <w:rPr>
                <w:rFonts w:ascii="Arial" w:hAnsi="Arial" w:cs="Arial"/>
                <w:sz w:val="20"/>
                <w:szCs w:val="20"/>
              </w:rPr>
            </w:pPr>
            <w:r>
              <w:rPr>
                <w:rFonts w:ascii="Arial" w:hAnsi="Arial" w:cs="Arial"/>
                <w:sz w:val="20"/>
                <w:szCs w:val="20"/>
              </w:rPr>
              <w:t>10</w:t>
            </w:r>
          </w:p>
        </w:tc>
        <w:tc>
          <w:tcPr>
            <w:tcW w:w="1362" w:type="dxa"/>
            <w:tcBorders>
              <w:top w:val="nil"/>
              <w:left w:val="nil"/>
              <w:bottom w:val="single" w:color="auto" w:sz="4" w:space="0"/>
              <w:right w:val="single" w:color="auto" w:sz="4" w:space="0"/>
            </w:tcBorders>
            <w:noWrap/>
            <w:vAlign w:val="bottom"/>
          </w:tcPr>
          <w:p w:rsidR="003B0815" w:rsidRDefault="003B0815" w14:paraId="1A980871" w14:textId="77777777">
            <w:pPr>
              <w:jc w:val="right"/>
              <w:rPr>
                <w:rFonts w:ascii="Arial" w:hAnsi="Arial" w:cs="Arial"/>
                <w:sz w:val="20"/>
                <w:szCs w:val="20"/>
              </w:rPr>
            </w:pPr>
            <w:r>
              <w:rPr>
                <w:rFonts w:ascii="Arial" w:hAnsi="Arial" w:cs="Arial"/>
                <w:sz w:val="20"/>
                <w:szCs w:val="20"/>
              </w:rPr>
              <w:t>$1.7</w:t>
            </w:r>
          </w:p>
        </w:tc>
        <w:tc>
          <w:tcPr>
            <w:tcW w:w="1171" w:type="dxa"/>
            <w:tcBorders>
              <w:top w:val="nil"/>
              <w:left w:val="nil"/>
              <w:bottom w:val="single" w:color="auto" w:sz="4" w:space="0"/>
              <w:right w:val="single" w:color="auto" w:sz="4" w:space="0"/>
            </w:tcBorders>
            <w:noWrap/>
            <w:vAlign w:val="bottom"/>
          </w:tcPr>
          <w:p w:rsidR="003B0815" w:rsidRDefault="003B0815" w14:paraId="558888E1" w14:textId="77777777">
            <w:pPr>
              <w:jc w:val="right"/>
              <w:rPr>
                <w:rFonts w:ascii="Arial" w:hAnsi="Arial" w:cs="Arial"/>
                <w:sz w:val="20"/>
                <w:szCs w:val="20"/>
              </w:rPr>
            </w:pPr>
            <w:r>
              <w:rPr>
                <w:rFonts w:ascii="Arial" w:hAnsi="Arial" w:cs="Arial"/>
                <w:sz w:val="20"/>
                <w:szCs w:val="20"/>
              </w:rPr>
              <w:t>$1.3</w:t>
            </w:r>
          </w:p>
        </w:tc>
        <w:tc>
          <w:tcPr>
            <w:tcW w:w="1171" w:type="dxa"/>
            <w:tcBorders>
              <w:top w:val="nil"/>
              <w:left w:val="nil"/>
              <w:bottom w:val="single" w:color="auto" w:sz="4" w:space="0"/>
              <w:right w:val="single" w:color="auto" w:sz="4" w:space="0"/>
            </w:tcBorders>
            <w:noWrap/>
            <w:vAlign w:val="bottom"/>
          </w:tcPr>
          <w:p w:rsidR="003B0815" w:rsidRDefault="003B0815" w14:paraId="71F7F18F" w14:textId="77777777">
            <w:pPr>
              <w:jc w:val="right"/>
              <w:rPr>
                <w:rFonts w:ascii="Arial" w:hAnsi="Arial" w:cs="Arial"/>
                <w:sz w:val="20"/>
                <w:szCs w:val="20"/>
              </w:rPr>
            </w:pPr>
            <w:r>
              <w:rPr>
                <w:rFonts w:ascii="Arial" w:hAnsi="Arial" w:cs="Arial"/>
                <w:sz w:val="20"/>
                <w:szCs w:val="20"/>
              </w:rPr>
              <w:t>$3.0</w:t>
            </w:r>
          </w:p>
        </w:tc>
        <w:tc>
          <w:tcPr>
            <w:tcW w:w="1171" w:type="dxa"/>
            <w:tcBorders>
              <w:top w:val="nil"/>
              <w:left w:val="nil"/>
              <w:bottom w:val="single" w:color="auto" w:sz="4" w:space="0"/>
              <w:right w:val="single" w:color="auto" w:sz="4" w:space="0"/>
            </w:tcBorders>
            <w:noWrap/>
            <w:vAlign w:val="bottom"/>
          </w:tcPr>
          <w:p w:rsidR="003B0815" w:rsidRDefault="003B0815" w14:paraId="4FFAE246" w14:textId="77777777">
            <w:pPr>
              <w:jc w:val="right"/>
              <w:rPr>
                <w:rFonts w:ascii="Arial" w:hAnsi="Arial" w:cs="Arial"/>
                <w:sz w:val="20"/>
                <w:szCs w:val="20"/>
              </w:rPr>
            </w:pPr>
            <w:r>
              <w:rPr>
                <w:rFonts w:ascii="Arial" w:hAnsi="Arial" w:cs="Arial"/>
                <w:sz w:val="20"/>
                <w:szCs w:val="20"/>
              </w:rPr>
              <w:t xml:space="preserve">$1.59 </w:t>
            </w:r>
          </w:p>
        </w:tc>
        <w:tc>
          <w:tcPr>
            <w:tcW w:w="1171" w:type="dxa"/>
            <w:tcBorders>
              <w:top w:val="nil"/>
              <w:left w:val="nil"/>
              <w:bottom w:val="single" w:color="auto" w:sz="4" w:space="0"/>
              <w:right w:val="single" w:color="auto" w:sz="4" w:space="0"/>
            </w:tcBorders>
            <w:noWrap/>
            <w:vAlign w:val="bottom"/>
          </w:tcPr>
          <w:p w:rsidR="003B0815" w:rsidRDefault="003B0815" w14:paraId="66C783D9" w14:textId="77777777">
            <w:pPr>
              <w:jc w:val="right"/>
              <w:rPr>
                <w:rFonts w:ascii="Arial" w:hAnsi="Arial" w:cs="Arial"/>
                <w:sz w:val="20"/>
                <w:szCs w:val="20"/>
              </w:rPr>
            </w:pPr>
            <w:r>
              <w:rPr>
                <w:rFonts w:ascii="Arial" w:hAnsi="Arial" w:cs="Arial"/>
                <w:sz w:val="20"/>
                <w:szCs w:val="20"/>
              </w:rPr>
              <w:t xml:space="preserve">$2.28 </w:t>
            </w:r>
          </w:p>
        </w:tc>
      </w:tr>
      <w:tr w:rsidR="003B0815" w14:paraId="209990C7" w14:textId="77777777">
        <w:trPr>
          <w:trHeight w:val="255"/>
        </w:trPr>
        <w:tc>
          <w:tcPr>
            <w:tcW w:w="753" w:type="dxa"/>
            <w:tcBorders>
              <w:top w:val="nil"/>
              <w:left w:val="single" w:color="auto" w:sz="4" w:space="0"/>
              <w:bottom w:val="single" w:color="auto" w:sz="4" w:space="0"/>
              <w:right w:val="single" w:color="auto" w:sz="4" w:space="0"/>
            </w:tcBorders>
            <w:noWrap/>
            <w:vAlign w:val="bottom"/>
          </w:tcPr>
          <w:p w:rsidR="003B0815" w:rsidRDefault="003B0815" w14:paraId="76BE01EE" w14:textId="77777777">
            <w:pPr>
              <w:jc w:val="center"/>
              <w:rPr>
                <w:rFonts w:ascii="Arial" w:hAnsi="Arial" w:cs="Arial"/>
                <w:sz w:val="20"/>
                <w:szCs w:val="20"/>
              </w:rPr>
            </w:pPr>
            <w:r>
              <w:rPr>
                <w:rFonts w:ascii="Arial" w:hAnsi="Arial" w:cs="Arial"/>
                <w:sz w:val="20"/>
                <w:szCs w:val="20"/>
              </w:rPr>
              <w:t>total</w:t>
            </w:r>
          </w:p>
        </w:tc>
        <w:tc>
          <w:tcPr>
            <w:tcW w:w="1362" w:type="dxa"/>
            <w:tcBorders>
              <w:top w:val="nil"/>
              <w:left w:val="nil"/>
              <w:bottom w:val="single" w:color="auto" w:sz="4" w:space="0"/>
              <w:right w:val="single" w:color="auto" w:sz="4" w:space="0"/>
            </w:tcBorders>
            <w:noWrap/>
            <w:vAlign w:val="bottom"/>
          </w:tcPr>
          <w:p w:rsidR="003B0815" w:rsidRDefault="003B0815" w14:paraId="725D0C3B" w14:textId="77777777">
            <w:pPr>
              <w:jc w:val="right"/>
              <w:rPr>
                <w:rFonts w:ascii="Arial" w:hAnsi="Arial" w:cs="Arial"/>
                <w:sz w:val="20"/>
                <w:szCs w:val="20"/>
              </w:rPr>
            </w:pPr>
            <w:r>
              <w:rPr>
                <w:rFonts w:ascii="Arial" w:hAnsi="Arial" w:cs="Arial"/>
                <w:sz w:val="20"/>
                <w:szCs w:val="20"/>
              </w:rPr>
              <w:t xml:space="preserve">$25.96 </w:t>
            </w:r>
          </w:p>
        </w:tc>
        <w:tc>
          <w:tcPr>
            <w:tcW w:w="1171" w:type="dxa"/>
            <w:tcBorders>
              <w:top w:val="nil"/>
              <w:left w:val="nil"/>
              <w:bottom w:val="single" w:color="auto" w:sz="4" w:space="0"/>
              <w:right w:val="single" w:color="auto" w:sz="4" w:space="0"/>
            </w:tcBorders>
            <w:noWrap/>
            <w:vAlign w:val="bottom"/>
          </w:tcPr>
          <w:p w:rsidR="003B0815" w:rsidRDefault="003B0815" w14:paraId="76AB2E8A" w14:textId="77777777">
            <w:pPr>
              <w:jc w:val="right"/>
              <w:rPr>
                <w:rFonts w:ascii="Arial" w:hAnsi="Arial" w:cs="Arial"/>
                <w:sz w:val="20"/>
                <w:szCs w:val="20"/>
              </w:rPr>
            </w:pPr>
            <w:r>
              <w:rPr>
                <w:rFonts w:ascii="Arial" w:hAnsi="Arial" w:cs="Arial"/>
                <w:sz w:val="20"/>
                <w:szCs w:val="20"/>
              </w:rPr>
              <w:t xml:space="preserve">$11.68 </w:t>
            </w:r>
          </w:p>
        </w:tc>
        <w:tc>
          <w:tcPr>
            <w:tcW w:w="1171" w:type="dxa"/>
            <w:tcBorders>
              <w:top w:val="nil"/>
              <w:left w:val="nil"/>
              <w:bottom w:val="single" w:color="auto" w:sz="4" w:space="0"/>
              <w:right w:val="single" w:color="auto" w:sz="4" w:space="0"/>
            </w:tcBorders>
            <w:noWrap/>
            <w:vAlign w:val="bottom"/>
          </w:tcPr>
          <w:p w:rsidR="003B0815" w:rsidRDefault="003B0815" w14:paraId="20254EC2" w14:textId="77777777">
            <w:pPr>
              <w:jc w:val="right"/>
              <w:rPr>
                <w:rFonts w:ascii="Arial" w:hAnsi="Arial" w:cs="Arial"/>
                <w:sz w:val="20"/>
                <w:szCs w:val="20"/>
              </w:rPr>
            </w:pPr>
            <w:r>
              <w:rPr>
                <w:rFonts w:ascii="Arial" w:hAnsi="Arial" w:cs="Arial"/>
                <w:sz w:val="20"/>
                <w:szCs w:val="20"/>
              </w:rPr>
              <w:t>$37.6</w:t>
            </w:r>
          </w:p>
        </w:tc>
        <w:tc>
          <w:tcPr>
            <w:tcW w:w="1171" w:type="dxa"/>
            <w:tcBorders>
              <w:top w:val="nil"/>
              <w:left w:val="nil"/>
              <w:bottom w:val="single" w:color="auto" w:sz="4" w:space="0"/>
              <w:right w:val="single" w:color="auto" w:sz="4" w:space="0"/>
            </w:tcBorders>
            <w:noWrap/>
            <w:vAlign w:val="bottom"/>
          </w:tcPr>
          <w:p w:rsidR="003B0815" w:rsidRDefault="003B0815" w14:paraId="524B2E3C" w14:textId="77777777">
            <w:pPr>
              <w:jc w:val="right"/>
              <w:rPr>
                <w:rFonts w:ascii="Arial" w:hAnsi="Arial" w:cs="Arial"/>
                <w:sz w:val="20"/>
                <w:szCs w:val="20"/>
              </w:rPr>
            </w:pPr>
            <w:r>
              <w:rPr>
                <w:rFonts w:ascii="Arial" w:hAnsi="Arial" w:cs="Arial"/>
                <w:sz w:val="20"/>
                <w:szCs w:val="20"/>
              </w:rPr>
              <w:t xml:space="preserve">$28.70 </w:t>
            </w:r>
          </w:p>
        </w:tc>
        <w:tc>
          <w:tcPr>
            <w:tcW w:w="1171" w:type="dxa"/>
            <w:tcBorders>
              <w:top w:val="nil"/>
              <w:left w:val="nil"/>
              <w:bottom w:val="single" w:color="auto" w:sz="4" w:space="0"/>
              <w:right w:val="single" w:color="auto" w:sz="4" w:space="0"/>
            </w:tcBorders>
            <w:noWrap/>
            <w:vAlign w:val="bottom"/>
          </w:tcPr>
          <w:p w:rsidR="003B0815" w:rsidRDefault="003B0815" w14:paraId="293991C2" w14:textId="77777777">
            <w:pPr>
              <w:jc w:val="right"/>
              <w:rPr>
                <w:rFonts w:ascii="Arial" w:hAnsi="Arial" w:cs="Arial"/>
                <w:sz w:val="20"/>
                <w:szCs w:val="20"/>
              </w:rPr>
            </w:pPr>
            <w:r>
              <w:rPr>
                <w:rFonts w:ascii="Arial" w:hAnsi="Arial" w:cs="Arial"/>
                <w:sz w:val="20"/>
                <w:szCs w:val="20"/>
              </w:rPr>
              <w:t xml:space="preserve">$33.27 </w:t>
            </w:r>
          </w:p>
        </w:tc>
      </w:tr>
    </w:tbl>
    <w:p w:rsidR="003B0815" w:rsidRDefault="003B0815" w14:paraId="3E53D8D7" w14:textId="77777777">
      <w:pPr>
        <w:spacing w:line="360" w:lineRule="auto"/>
        <w:ind w:firstLine="720"/>
      </w:pPr>
    </w:p>
    <w:p w:rsidR="003B0815" w:rsidRDefault="003B0815" w14:paraId="31B292F0" w14:textId="77777777">
      <w:pPr>
        <w:spacing w:line="360" w:lineRule="auto"/>
        <w:ind w:firstLine="720"/>
      </w:pPr>
      <w:r>
        <w:t>One of the security benefits of the Secure Flight program is that the federal government will have greater visibility on potential matches to the watch list.  By obtaining information about potential matches over 50 hours before the scheduled flight departure time under the 72-hour alternative, TSA will have more time to coordinate with other government agencies such as the FBI to confirm a match and to plan any appropriate responses.  Under the 30-minute alternative, TSA would have little to no time to conduct this coordination and planning and this security benefit would be lost.  .</w:t>
      </w:r>
    </w:p>
    <w:p w:rsidR="003B0815" w:rsidRDefault="003B0815" w14:paraId="2ABBCB12" w14:textId="77777777">
      <w:pPr>
        <w:spacing w:line="360" w:lineRule="auto"/>
        <w:ind w:firstLine="720"/>
      </w:pPr>
      <w:r>
        <w:t xml:space="preserve">The 30 minute alternative would not decrease the cost of the Secure Flight program for the covered aircraft operators and passengers and would likely increase some of the costs substantially.  This alternative would increase the overall TSA costs of the program because of the increased hardware, software, and personnel costs.  It would also reduce the security benefit of the Secure Flight program.  Thus, TSA is not adopting the 30 minute alternative because of the impact it would have on the effectiveness of Secure Flight as a security program and the additional costs to covered aircraft operators, the passengers, or the federal government.  </w:t>
      </w:r>
    </w:p>
    <w:p w:rsidR="003B0815" w:rsidRDefault="003B0815" w14:paraId="016A28C4" w14:textId="77777777">
      <w:pPr>
        <w:keepNext/>
        <w:spacing w:line="360" w:lineRule="auto"/>
        <w:outlineLvl w:val="0"/>
        <w:rPr>
          <w:b/>
        </w:rPr>
      </w:pPr>
      <w:r>
        <w:rPr>
          <w:b/>
        </w:rPr>
        <w:t>Summary of Comparison of Alternatives</w:t>
      </w:r>
    </w:p>
    <w:p w:rsidR="003B0815" w:rsidRDefault="003B0815" w14:paraId="60AA95A8" w14:textId="77777777">
      <w:pPr>
        <w:keepNext/>
        <w:spacing w:line="360" w:lineRule="auto"/>
        <w:outlineLvl w:val="0"/>
      </w:pPr>
      <w:r>
        <w:tab/>
        <w:t>The table below, Table 1.8.3a, summarizes the impact of the alternatives on the federal government, covered aircraft operators, and passengers.  The impacts in this table are impacts that TSA was not able to estimate actual costs.</w:t>
      </w:r>
    </w:p>
    <w:p w:rsidR="003B0815" w:rsidRDefault="003B0815" w14:paraId="0B3C3F8D" w14:textId="77777777">
      <w:pPr>
        <w:keepNext/>
        <w:spacing w:line="360" w:lineRule="auto"/>
        <w:outlineLvl w:val="0"/>
        <w:rPr>
          <w:b/>
        </w:rPr>
      </w:pPr>
    </w:p>
    <w:tbl>
      <w:tblPr>
        <w:tblW w:w="99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8"/>
        <w:gridCol w:w="2044"/>
        <w:gridCol w:w="2043"/>
        <w:gridCol w:w="2043"/>
        <w:gridCol w:w="2043"/>
      </w:tblGrid>
      <w:tr w:rsidR="003B0815" w14:paraId="4C82FFA0" w14:textId="77777777">
        <w:trPr>
          <w:tblHeader/>
        </w:trPr>
        <w:tc>
          <w:tcPr>
            <w:tcW w:w="9901" w:type="dxa"/>
            <w:gridSpan w:val="5"/>
            <w:tcBorders>
              <w:top w:val="nil"/>
              <w:left w:val="nil"/>
              <w:bottom w:val="single" w:color="auto" w:sz="12" w:space="0"/>
              <w:right w:val="nil"/>
            </w:tcBorders>
            <w:vAlign w:val="center"/>
          </w:tcPr>
          <w:p w:rsidR="003B0815" w:rsidRDefault="003B0815" w14:paraId="215ECA48" w14:textId="77777777">
            <w:pPr>
              <w:pStyle w:val="RegEvalTableHeader"/>
              <w:keepNext/>
            </w:pPr>
            <w:bookmarkStart w:name="_Toc194733282" w:id="457"/>
            <w:bookmarkStart w:name="_Toc207109558" w:id="458"/>
            <w:r>
              <w:t>Table 1.8.3.a Qualitative Comparison of Regulatory Timing Alternatives</w:t>
            </w:r>
            <w:bookmarkEnd w:id="457"/>
            <w:bookmarkEnd w:id="458"/>
          </w:p>
        </w:tc>
      </w:tr>
      <w:tr w:rsidR="003B0815" w14:paraId="7B5E4AC7" w14:textId="77777777">
        <w:trPr>
          <w:tblHeader/>
        </w:trPr>
        <w:tc>
          <w:tcPr>
            <w:tcW w:w="1728" w:type="dxa"/>
            <w:tcBorders>
              <w:top w:val="single" w:color="auto" w:sz="12" w:space="0"/>
              <w:left w:val="single" w:color="auto" w:sz="12" w:space="0"/>
            </w:tcBorders>
            <w:vAlign w:val="center"/>
          </w:tcPr>
          <w:p w:rsidR="003B0815" w:rsidRDefault="003B0815" w14:paraId="5895844D" w14:textId="77777777">
            <w:pPr>
              <w:keepNext/>
              <w:jc w:val="center"/>
              <w:rPr>
                <w:rFonts w:ascii="Arial" w:hAnsi="Arial"/>
                <w:b/>
                <w:sz w:val="20"/>
                <w:szCs w:val="20"/>
              </w:rPr>
            </w:pPr>
            <w:r>
              <w:rPr>
                <w:rFonts w:ascii="Arial" w:hAnsi="Arial"/>
                <w:b/>
                <w:sz w:val="20"/>
                <w:szCs w:val="20"/>
              </w:rPr>
              <w:t>Alternative</w:t>
            </w:r>
          </w:p>
        </w:tc>
        <w:tc>
          <w:tcPr>
            <w:tcW w:w="2044" w:type="dxa"/>
            <w:tcBorders>
              <w:top w:val="single" w:color="auto" w:sz="12" w:space="0"/>
            </w:tcBorders>
            <w:vAlign w:val="center"/>
          </w:tcPr>
          <w:p w:rsidR="003B0815" w:rsidRDefault="003B0815" w14:paraId="7B015C61" w14:textId="77777777">
            <w:pPr>
              <w:keepNext/>
              <w:jc w:val="center"/>
              <w:rPr>
                <w:rFonts w:ascii="Arial" w:hAnsi="Arial"/>
                <w:b/>
                <w:sz w:val="20"/>
                <w:szCs w:val="20"/>
              </w:rPr>
            </w:pPr>
            <w:r>
              <w:rPr>
                <w:rFonts w:ascii="Arial" w:hAnsi="Arial"/>
                <w:b/>
                <w:sz w:val="20"/>
                <w:szCs w:val="20"/>
              </w:rPr>
              <w:t>4</w:t>
            </w:r>
          </w:p>
        </w:tc>
        <w:tc>
          <w:tcPr>
            <w:tcW w:w="2043" w:type="dxa"/>
            <w:tcBorders>
              <w:top w:val="single" w:color="auto" w:sz="12" w:space="0"/>
            </w:tcBorders>
            <w:vAlign w:val="center"/>
          </w:tcPr>
          <w:p w:rsidR="003B0815" w:rsidRDefault="003B0815" w14:paraId="7E41F058" w14:textId="77777777">
            <w:pPr>
              <w:keepNext/>
              <w:jc w:val="center"/>
              <w:rPr>
                <w:rFonts w:ascii="Arial" w:hAnsi="Arial"/>
                <w:b/>
                <w:sz w:val="20"/>
                <w:szCs w:val="20"/>
              </w:rPr>
            </w:pPr>
            <w:r>
              <w:rPr>
                <w:rFonts w:ascii="Arial" w:hAnsi="Arial"/>
                <w:b/>
                <w:sz w:val="20"/>
                <w:szCs w:val="20"/>
              </w:rPr>
              <w:t>8</w:t>
            </w:r>
          </w:p>
        </w:tc>
        <w:tc>
          <w:tcPr>
            <w:tcW w:w="2043" w:type="dxa"/>
            <w:tcBorders>
              <w:top w:val="single" w:color="auto" w:sz="12" w:space="0"/>
            </w:tcBorders>
            <w:vAlign w:val="center"/>
          </w:tcPr>
          <w:p w:rsidR="003B0815" w:rsidRDefault="003B0815" w14:paraId="42AE4A98" w14:textId="77777777">
            <w:pPr>
              <w:keepNext/>
              <w:jc w:val="center"/>
              <w:rPr>
                <w:rFonts w:ascii="Arial" w:hAnsi="Arial"/>
                <w:b/>
                <w:sz w:val="20"/>
                <w:szCs w:val="20"/>
              </w:rPr>
            </w:pPr>
            <w:r>
              <w:rPr>
                <w:rFonts w:ascii="Arial" w:hAnsi="Arial"/>
                <w:b/>
                <w:sz w:val="20"/>
                <w:szCs w:val="20"/>
              </w:rPr>
              <w:t>9</w:t>
            </w:r>
          </w:p>
        </w:tc>
        <w:tc>
          <w:tcPr>
            <w:tcW w:w="2043" w:type="dxa"/>
            <w:tcBorders>
              <w:top w:val="single" w:color="auto" w:sz="12" w:space="0"/>
              <w:right w:val="single" w:color="auto" w:sz="12" w:space="0"/>
            </w:tcBorders>
            <w:vAlign w:val="center"/>
          </w:tcPr>
          <w:p w:rsidR="003B0815" w:rsidRDefault="003B0815" w14:paraId="33706EFA" w14:textId="77777777">
            <w:pPr>
              <w:keepNext/>
              <w:jc w:val="center"/>
              <w:rPr>
                <w:rFonts w:ascii="Arial" w:hAnsi="Arial"/>
                <w:b/>
                <w:sz w:val="20"/>
                <w:szCs w:val="20"/>
              </w:rPr>
            </w:pPr>
            <w:r>
              <w:rPr>
                <w:rFonts w:ascii="Arial" w:hAnsi="Arial"/>
                <w:b/>
                <w:sz w:val="20"/>
                <w:szCs w:val="20"/>
              </w:rPr>
              <w:t>10</w:t>
            </w:r>
          </w:p>
        </w:tc>
      </w:tr>
      <w:tr w:rsidR="003B0815" w14:paraId="3213271D" w14:textId="77777777">
        <w:trPr>
          <w:tblHeader/>
        </w:trPr>
        <w:tc>
          <w:tcPr>
            <w:tcW w:w="1728" w:type="dxa"/>
            <w:tcBorders>
              <w:left w:val="single" w:color="auto" w:sz="12" w:space="0"/>
              <w:bottom w:val="single" w:color="auto" w:sz="4" w:space="0"/>
            </w:tcBorders>
            <w:vAlign w:val="center"/>
          </w:tcPr>
          <w:p w:rsidR="003B0815" w:rsidRDefault="003B0815" w14:paraId="6B67ABF3" w14:textId="77777777">
            <w:pPr>
              <w:keepNext/>
              <w:jc w:val="center"/>
              <w:rPr>
                <w:rFonts w:ascii="Arial" w:hAnsi="Arial"/>
                <w:b/>
                <w:sz w:val="20"/>
                <w:szCs w:val="20"/>
              </w:rPr>
            </w:pPr>
            <w:r>
              <w:rPr>
                <w:rFonts w:ascii="Arial" w:hAnsi="Arial"/>
                <w:b/>
                <w:sz w:val="20"/>
                <w:szCs w:val="20"/>
              </w:rPr>
              <w:t>Description</w:t>
            </w:r>
          </w:p>
        </w:tc>
        <w:tc>
          <w:tcPr>
            <w:tcW w:w="2044" w:type="dxa"/>
            <w:tcBorders>
              <w:bottom w:val="single" w:color="auto" w:sz="4" w:space="0"/>
            </w:tcBorders>
            <w:vAlign w:val="center"/>
          </w:tcPr>
          <w:p w:rsidR="003B0815" w:rsidRDefault="003B0815" w14:paraId="033C8CA1" w14:textId="77777777">
            <w:pPr>
              <w:keepNext/>
              <w:jc w:val="center"/>
              <w:rPr>
                <w:rFonts w:ascii="Arial" w:hAnsi="Arial"/>
                <w:b/>
                <w:sz w:val="20"/>
                <w:szCs w:val="20"/>
              </w:rPr>
            </w:pPr>
            <w:r>
              <w:rPr>
                <w:rFonts w:ascii="Arial" w:hAnsi="Arial"/>
                <w:b/>
                <w:sz w:val="20"/>
                <w:szCs w:val="20"/>
              </w:rPr>
              <w:t>72 Hour Alternative</w:t>
            </w:r>
          </w:p>
        </w:tc>
        <w:tc>
          <w:tcPr>
            <w:tcW w:w="2043" w:type="dxa"/>
            <w:tcBorders>
              <w:bottom w:val="single" w:color="auto" w:sz="4" w:space="0"/>
            </w:tcBorders>
            <w:vAlign w:val="center"/>
          </w:tcPr>
          <w:p w:rsidR="003B0815" w:rsidRDefault="003B0815" w14:paraId="44EBC000" w14:textId="77777777">
            <w:pPr>
              <w:keepNext/>
              <w:jc w:val="center"/>
              <w:rPr>
                <w:rFonts w:ascii="Arial" w:hAnsi="Arial"/>
                <w:b/>
                <w:sz w:val="20"/>
                <w:szCs w:val="20"/>
              </w:rPr>
            </w:pPr>
            <w:r>
              <w:rPr>
                <w:rFonts w:ascii="Arial" w:hAnsi="Arial"/>
                <w:b/>
                <w:sz w:val="20"/>
                <w:szCs w:val="20"/>
              </w:rPr>
              <w:t>48 Hour Alternative</w:t>
            </w:r>
          </w:p>
        </w:tc>
        <w:tc>
          <w:tcPr>
            <w:tcW w:w="2043" w:type="dxa"/>
            <w:tcBorders>
              <w:bottom w:val="single" w:color="auto" w:sz="4" w:space="0"/>
            </w:tcBorders>
            <w:vAlign w:val="center"/>
          </w:tcPr>
          <w:p w:rsidR="003B0815" w:rsidRDefault="003B0815" w14:paraId="23318CBB" w14:textId="77777777">
            <w:pPr>
              <w:keepNext/>
              <w:jc w:val="center"/>
              <w:rPr>
                <w:rFonts w:ascii="Arial" w:hAnsi="Arial"/>
                <w:b/>
                <w:sz w:val="20"/>
                <w:szCs w:val="20"/>
              </w:rPr>
            </w:pPr>
            <w:r>
              <w:rPr>
                <w:rFonts w:ascii="Arial" w:hAnsi="Arial"/>
                <w:b/>
                <w:sz w:val="20"/>
                <w:szCs w:val="20"/>
              </w:rPr>
              <w:t>24 Hour Alternative</w:t>
            </w:r>
          </w:p>
        </w:tc>
        <w:tc>
          <w:tcPr>
            <w:tcW w:w="2043" w:type="dxa"/>
            <w:tcBorders>
              <w:bottom w:val="single" w:color="auto" w:sz="4" w:space="0"/>
              <w:right w:val="single" w:color="auto" w:sz="12" w:space="0"/>
            </w:tcBorders>
            <w:vAlign w:val="center"/>
          </w:tcPr>
          <w:p w:rsidR="003B0815" w:rsidRDefault="003B0815" w14:paraId="3EF0AC6A" w14:textId="77777777">
            <w:pPr>
              <w:keepNext/>
              <w:jc w:val="center"/>
              <w:rPr>
                <w:rFonts w:ascii="Arial" w:hAnsi="Arial"/>
                <w:b/>
                <w:sz w:val="20"/>
                <w:szCs w:val="20"/>
              </w:rPr>
            </w:pPr>
            <w:r>
              <w:rPr>
                <w:rFonts w:ascii="Arial" w:hAnsi="Arial"/>
                <w:b/>
                <w:sz w:val="20"/>
                <w:szCs w:val="20"/>
              </w:rPr>
              <w:t>30 Minute Alternative (APIS Rule)</w:t>
            </w:r>
          </w:p>
        </w:tc>
      </w:tr>
      <w:tr w:rsidR="003B0815" w14:paraId="4B434EB6" w14:textId="77777777">
        <w:tc>
          <w:tcPr>
            <w:tcW w:w="1728" w:type="dxa"/>
            <w:tcBorders>
              <w:left w:val="single" w:color="auto" w:sz="12" w:space="0"/>
            </w:tcBorders>
            <w:vAlign w:val="center"/>
          </w:tcPr>
          <w:p w:rsidR="003B0815" w:rsidRDefault="003B0815" w14:paraId="23D05DC0" w14:textId="77777777">
            <w:pPr>
              <w:keepNext/>
              <w:rPr>
                <w:rFonts w:ascii="Arial" w:hAnsi="Arial"/>
                <w:b/>
                <w:sz w:val="20"/>
                <w:szCs w:val="20"/>
              </w:rPr>
            </w:pPr>
            <w:r>
              <w:rPr>
                <w:sz w:val="20"/>
                <w:szCs w:val="20"/>
              </w:rPr>
              <w:t>Technologically Feasible</w:t>
            </w:r>
          </w:p>
        </w:tc>
        <w:tc>
          <w:tcPr>
            <w:tcW w:w="2044" w:type="dxa"/>
          </w:tcPr>
          <w:p w:rsidR="003B0815" w:rsidRDefault="003B0815" w14:paraId="0BA95CE7" w14:textId="77777777">
            <w:pPr>
              <w:spacing w:before="120"/>
              <w:rPr>
                <w:sz w:val="20"/>
                <w:szCs w:val="20"/>
              </w:rPr>
            </w:pPr>
            <w:r>
              <w:rPr>
                <w:sz w:val="20"/>
                <w:szCs w:val="20"/>
              </w:rPr>
              <w:t>Current program development and implementation plan.</w:t>
            </w:r>
          </w:p>
          <w:p w:rsidR="003B0815" w:rsidRDefault="003B0815" w14:paraId="7B5DCEB3" w14:textId="77777777">
            <w:pPr>
              <w:spacing w:before="120"/>
              <w:rPr>
                <w:sz w:val="20"/>
                <w:szCs w:val="20"/>
              </w:rPr>
            </w:pPr>
          </w:p>
          <w:p w:rsidR="003B0815" w:rsidRDefault="003B0815" w14:paraId="58CF9F7D" w14:textId="77777777">
            <w:pPr>
              <w:keepNext/>
              <w:rPr>
                <w:rFonts w:ascii="Arial" w:hAnsi="Arial"/>
                <w:sz w:val="20"/>
                <w:szCs w:val="20"/>
              </w:rPr>
            </w:pPr>
            <w:r>
              <w:rPr>
                <w:sz w:val="20"/>
                <w:szCs w:val="20"/>
              </w:rPr>
              <w:t>Based on 18 hours automated watch list matching and 6-30 hours for manual review.</w:t>
            </w:r>
          </w:p>
        </w:tc>
        <w:tc>
          <w:tcPr>
            <w:tcW w:w="2043" w:type="dxa"/>
          </w:tcPr>
          <w:p w:rsidR="003B0815" w:rsidRDefault="003B0815" w14:paraId="30265EFE" w14:textId="77777777">
            <w:pPr>
              <w:spacing w:before="120"/>
              <w:rPr>
                <w:sz w:val="20"/>
                <w:szCs w:val="20"/>
              </w:rPr>
            </w:pPr>
            <w:r>
              <w:rPr>
                <w:sz w:val="20"/>
                <w:szCs w:val="20"/>
              </w:rPr>
              <w:t xml:space="preserve">Need to double the number of servers to cut time required for automated watch list matching in half.  </w:t>
            </w:r>
          </w:p>
          <w:p w:rsidR="003B0815" w:rsidRDefault="003B0815" w14:paraId="4B171548" w14:textId="77777777">
            <w:pPr>
              <w:spacing w:before="120"/>
              <w:rPr>
                <w:sz w:val="20"/>
                <w:szCs w:val="20"/>
              </w:rPr>
            </w:pPr>
          </w:p>
          <w:p w:rsidR="003B0815" w:rsidRDefault="003B0815" w14:paraId="4F985148" w14:textId="77777777">
            <w:pPr>
              <w:keepNext/>
              <w:rPr>
                <w:rFonts w:ascii="Arial" w:hAnsi="Arial"/>
                <w:sz w:val="20"/>
                <w:szCs w:val="20"/>
              </w:rPr>
            </w:pPr>
            <w:r>
              <w:rPr>
                <w:sz w:val="20"/>
                <w:szCs w:val="20"/>
              </w:rPr>
              <w:t xml:space="preserve">Increase in infrastructure servers.  </w:t>
            </w:r>
          </w:p>
        </w:tc>
        <w:tc>
          <w:tcPr>
            <w:tcW w:w="2043" w:type="dxa"/>
          </w:tcPr>
          <w:p w:rsidR="003B0815" w:rsidRDefault="003B0815" w14:paraId="2173271A" w14:textId="77777777">
            <w:pPr>
              <w:spacing w:before="120"/>
              <w:rPr>
                <w:sz w:val="20"/>
                <w:szCs w:val="20"/>
              </w:rPr>
            </w:pPr>
            <w:r>
              <w:rPr>
                <w:sz w:val="20"/>
                <w:szCs w:val="20"/>
              </w:rPr>
              <w:t>Reevaluation of architecture of Secure Flight system and DHS router.</w:t>
            </w:r>
          </w:p>
          <w:p w:rsidR="003B0815" w:rsidRDefault="003B0815" w14:paraId="59AFD228" w14:textId="77777777">
            <w:pPr>
              <w:spacing w:before="120"/>
              <w:rPr>
                <w:sz w:val="20"/>
                <w:szCs w:val="20"/>
              </w:rPr>
            </w:pPr>
          </w:p>
          <w:p w:rsidR="003B0815" w:rsidRDefault="003B0815" w14:paraId="491E2DD6" w14:textId="77777777">
            <w:pPr>
              <w:keepNext/>
              <w:rPr>
                <w:rFonts w:ascii="Arial" w:hAnsi="Arial"/>
                <w:sz w:val="20"/>
                <w:szCs w:val="20"/>
              </w:rPr>
            </w:pPr>
          </w:p>
        </w:tc>
        <w:tc>
          <w:tcPr>
            <w:tcW w:w="2043" w:type="dxa"/>
            <w:tcBorders>
              <w:right w:val="single" w:color="auto" w:sz="12" w:space="0"/>
            </w:tcBorders>
          </w:tcPr>
          <w:p w:rsidR="003B0815" w:rsidRDefault="003B0815" w14:paraId="25D13466" w14:textId="77777777">
            <w:pPr>
              <w:spacing w:before="120"/>
              <w:rPr>
                <w:sz w:val="20"/>
                <w:szCs w:val="20"/>
              </w:rPr>
            </w:pPr>
            <w:r>
              <w:rPr>
                <w:sz w:val="20"/>
                <w:szCs w:val="20"/>
              </w:rPr>
              <w:t>Reevaluation of architecture of Secure Flight system and DHS router.</w:t>
            </w:r>
          </w:p>
          <w:p w:rsidR="003B0815" w:rsidRDefault="003B0815" w14:paraId="65D3F5BC" w14:textId="77777777">
            <w:pPr>
              <w:spacing w:before="120"/>
              <w:rPr>
                <w:sz w:val="20"/>
                <w:szCs w:val="20"/>
              </w:rPr>
            </w:pPr>
            <w:r>
              <w:rPr>
                <w:sz w:val="20"/>
                <w:szCs w:val="20"/>
              </w:rPr>
              <w:t>New hardware and software licenses needed.</w:t>
            </w:r>
          </w:p>
          <w:p w:rsidR="003B0815" w:rsidRDefault="003B0815" w14:paraId="0F870E7B" w14:textId="77777777">
            <w:pPr>
              <w:keepNext/>
              <w:rPr>
                <w:rFonts w:ascii="Arial" w:hAnsi="Arial"/>
                <w:sz w:val="20"/>
                <w:szCs w:val="20"/>
              </w:rPr>
            </w:pPr>
          </w:p>
        </w:tc>
      </w:tr>
      <w:tr w:rsidR="003B0815" w14:paraId="2DFB652C" w14:textId="77777777">
        <w:tc>
          <w:tcPr>
            <w:tcW w:w="1728" w:type="dxa"/>
            <w:tcBorders>
              <w:left w:val="single" w:color="auto" w:sz="12" w:space="0"/>
            </w:tcBorders>
          </w:tcPr>
          <w:p w:rsidR="003B0815" w:rsidRDefault="003B0815" w14:paraId="702F87A3" w14:textId="77777777">
            <w:pPr>
              <w:keepNext/>
              <w:rPr>
                <w:rFonts w:ascii="Arial" w:hAnsi="Arial"/>
                <w:b/>
                <w:sz w:val="20"/>
                <w:szCs w:val="20"/>
              </w:rPr>
            </w:pPr>
            <w:r>
              <w:rPr>
                <w:sz w:val="20"/>
                <w:szCs w:val="20"/>
              </w:rPr>
              <w:t>Effectiveness of Watch List Matching</w:t>
            </w:r>
          </w:p>
        </w:tc>
        <w:tc>
          <w:tcPr>
            <w:tcW w:w="2044" w:type="dxa"/>
          </w:tcPr>
          <w:p w:rsidR="003B0815" w:rsidRDefault="003B0815" w14:paraId="6A736B27" w14:textId="77777777">
            <w:pPr>
              <w:keepNext/>
              <w:rPr>
                <w:rFonts w:ascii="Arial" w:hAnsi="Arial"/>
                <w:sz w:val="20"/>
                <w:szCs w:val="20"/>
              </w:rPr>
            </w:pPr>
            <w:r>
              <w:rPr>
                <w:sz w:val="20"/>
                <w:szCs w:val="20"/>
              </w:rPr>
              <w:t>No impact to effectiveness as it is the baseline.</w:t>
            </w:r>
          </w:p>
        </w:tc>
        <w:tc>
          <w:tcPr>
            <w:tcW w:w="2043" w:type="dxa"/>
          </w:tcPr>
          <w:p w:rsidR="003B0815" w:rsidRDefault="003B0815" w14:paraId="68E2A995" w14:textId="77777777">
            <w:pPr>
              <w:keepNext/>
              <w:rPr>
                <w:rFonts w:ascii="Arial" w:hAnsi="Arial"/>
                <w:sz w:val="20"/>
                <w:szCs w:val="20"/>
              </w:rPr>
            </w:pPr>
            <w:r>
              <w:rPr>
                <w:sz w:val="20"/>
                <w:szCs w:val="20"/>
              </w:rPr>
              <w:t>No impact.</w:t>
            </w:r>
          </w:p>
        </w:tc>
        <w:tc>
          <w:tcPr>
            <w:tcW w:w="2043" w:type="dxa"/>
          </w:tcPr>
          <w:p w:rsidR="003B0815" w:rsidRDefault="003B0815" w14:paraId="5A90A0FA" w14:textId="77777777">
            <w:pPr>
              <w:keepNext/>
              <w:rPr>
                <w:rFonts w:ascii="Arial" w:hAnsi="Arial"/>
                <w:sz w:val="20"/>
                <w:szCs w:val="20"/>
              </w:rPr>
            </w:pPr>
            <w:r>
              <w:rPr>
                <w:sz w:val="20"/>
                <w:szCs w:val="20"/>
              </w:rPr>
              <w:t>Provides minimal time to coordinate an operation response if necessary.</w:t>
            </w:r>
          </w:p>
        </w:tc>
        <w:tc>
          <w:tcPr>
            <w:tcW w:w="2043" w:type="dxa"/>
            <w:tcBorders>
              <w:right w:val="single" w:color="auto" w:sz="12" w:space="0"/>
            </w:tcBorders>
          </w:tcPr>
          <w:p w:rsidR="003B0815" w:rsidRDefault="003B0815" w14:paraId="797C8D94" w14:textId="77777777">
            <w:pPr>
              <w:spacing w:before="120"/>
              <w:rPr>
                <w:sz w:val="20"/>
                <w:szCs w:val="20"/>
              </w:rPr>
            </w:pPr>
            <w:r>
              <w:rPr>
                <w:sz w:val="20"/>
                <w:szCs w:val="20"/>
              </w:rPr>
              <w:t>Provides little to no time to coordinate an operation response if necessary.</w:t>
            </w:r>
          </w:p>
          <w:p w:rsidR="003B0815" w:rsidRDefault="003B0815" w14:paraId="3A506326" w14:textId="77777777">
            <w:pPr>
              <w:spacing w:before="120"/>
              <w:rPr>
                <w:sz w:val="20"/>
                <w:szCs w:val="20"/>
              </w:rPr>
            </w:pPr>
          </w:p>
          <w:p w:rsidR="003B0815" w:rsidRDefault="003B0815" w14:paraId="38F8705D" w14:textId="77777777">
            <w:pPr>
              <w:keepNext/>
              <w:rPr>
                <w:rFonts w:ascii="Arial" w:hAnsi="Arial"/>
                <w:sz w:val="20"/>
                <w:szCs w:val="20"/>
              </w:rPr>
            </w:pPr>
            <w:r>
              <w:rPr>
                <w:sz w:val="20"/>
                <w:szCs w:val="20"/>
              </w:rPr>
              <w:t>Most reservations that require manual review or resolution will result in either delayed or missed flights.</w:t>
            </w:r>
          </w:p>
        </w:tc>
      </w:tr>
      <w:tr w:rsidR="003B0815" w14:paraId="358EF25C" w14:textId="77777777">
        <w:tc>
          <w:tcPr>
            <w:tcW w:w="1728" w:type="dxa"/>
            <w:tcBorders>
              <w:left w:val="single" w:color="auto" w:sz="12" w:space="0"/>
            </w:tcBorders>
          </w:tcPr>
          <w:p w:rsidR="003B0815" w:rsidRDefault="003B0815" w14:paraId="2065041B" w14:textId="77777777">
            <w:pPr>
              <w:keepNext/>
              <w:rPr>
                <w:rFonts w:ascii="Arial" w:hAnsi="Arial"/>
                <w:b/>
                <w:sz w:val="20"/>
                <w:szCs w:val="20"/>
              </w:rPr>
            </w:pPr>
            <w:r>
              <w:rPr>
                <w:sz w:val="20"/>
                <w:szCs w:val="20"/>
              </w:rPr>
              <w:t>Operational Impact</w:t>
            </w:r>
          </w:p>
        </w:tc>
        <w:tc>
          <w:tcPr>
            <w:tcW w:w="2044" w:type="dxa"/>
          </w:tcPr>
          <w:p w:rsidR="003B0815" w:rsidRDefault="003B0815" w14:paraId="5E5B3F59" w14:textId="77777777">
            <w:pPr>
              <w:keepNext/>
              <w:rPr>
                <w:rFonts w:ascii="Arial" w:hAnsi="Arial"/>
                <w:sz w:val="20"/>
                <w:szCs w:val="20"/>
              </w:rPr>
            </w:pPr>
            <w:r>
              <w:rPr>
                <w:sz w:val="20"/>
                <w:szCs w:val="20"/>
              </w:rPr>
              <w:t>No impact as it is the current implementation design.</w:t>
            </w:r>
          </w:p>
        </w:tc>
        <w:tc>
          <w:tcPr>
            <w:tcW w:w="2043" w:type="dxa"/>
          </w:tcPr>
          <w:p w:rsidR="003B0815" w:rsidRDefault="003B0815" w14:paraId="6D9A145E" w14:textId="77777777">
            <w:pPr>
              <w:keepNext/>
              <w:rPr>
                <w:rFonts w:ascii="Arial" w:hAnsi="Arial"/>
                <w:sz w:val="20"/>
                <w:szCs w:val="20"/>
              </w:rPr>
            </w:pPr>
            <w:r>
              <w:rPr>
                <w:sz w:val="20"/>
                <w:szCs w:val="20"/>
              </w:rPr>
              <w:t>Increase in Secure Flight Analysts by 25% compared to 72-hour baseline.</w:t>
            </w:r>
          </w:p>
        </w:tc>
        <w:tc>
          <w:tcPr>
            <w:tcW w:w="2043" w:type="dxa"/>
          </w:tcPr>
          <w:p w:rsidR="003B0815" w:rsidRDefault="003B0815" w14:paraId="4B0C4E96" w14:textId="77777777">
            <w:pPr>
              <w:spacing w:before="120"/>
              <w:rPr>
                <w:sz w:val="20"/>
                <w:szCs w:val="20"/>
              </w:rPr>
            </w:pPr>
            <w:r>
              <w:rPr>
                <w:sz w:val="20"/>
                <w:szCs w:val="20"/>
              </w:rPr>
              <w:t>Increase in Secure Flight Analysts by 25% compared to 72-hour baseline.</w:t>
            </w:r>
          </w:p>
          <w:p w:rsidR="003B0815" w:rsidRDefault="003B0815" w14:paraId="322FB4D3" w14:textId="77777777">
            <w:pPr>
              <w:spacing w:before="120"/>
              <w:rPr>
                <w:sz w:val="20"/>
                <w:szCs w:val="20"/>
              </w:rPr>
            </w:pPr>
          </w:p>
          <w:p w:rsidR="003B0815" w:rsidRDefault="003B0815" w14:paraId="6B38BE71" w14:textId="77777777">
            <w:pPr>
              <w:keepNext/>
              <w:rPr>
                <w:rFonts w:ascii="Arial" w:hAnsi="Arial"/>
                <w:sz w:val="20"/>
                <w:szCs w:val="20"/>
              </w:rPr>
            </w:pPr>
            <w:r>
              <w:rPr>
                <w:sz w:val="20"/>
                <w:szCs w:val="20"/>
              </w:rPr>
              <w:t>Increase Customer Support Agents by 25% compared to 72-hour baseline.</w:t>
            </w:r>
          </w:p>
        </w:tc>
        <w:tc>
          <w:tcPr>
            <w:tcW w:w="2043" w:type="dxa"/>
            <w:tcBorders>
              <w:right w:val="single" w:color="auto" w:sz="12" w:space="0"/>
            </w:tcBorders>
          </w:tcPr>
          <w:p w:rsidR="003B0815" w:rsidRDefault="003B0815" w14:paraId="7AEEF34D" w14:textId="77777777">
            <w:pPr>
              <w:spacing w:before="120"/>
              <w:rPr>
                <w:sz w:val="20"/>
                <w:szCs w:val="20"/>
              </w:rPr>
            </w:pPr>
            <w:r>
              <w:rPr>
                <w:sz w:val="20"/>
                <w:szCs w:val="20"/>
              </w:rPr>
              <w:t xml:space="preserve">All watch list matches must be resolved real-time at check-in counter by calling the </w:t>
            </w:r>
            <w:smartTag w:uri="urn:schemas-microsoft-com:office:smarttags" w:element="place">
              <w:smartTag w:uri="urn:schemas-microsoft-com:office:smarttags" w:element="PlaceName">
                <w:r>
                  <w:rPr>
                    <w:sz w:val="20"/>
                    <w:szCs w:val="20"/>
                  </w:rPr>
                  <w:t>Service</w:t>
                </w:r>
              </w:smartTag>
              <w:r>
                <w:rPr>
                  <w:sz w:val="20"/>
                  <w:szCs w:val="20"/>
                </w:rPr>
                <w:t xml:space="preserve"> </w:t>
              </w:r>
              <w:smartTag w:uri="urn:schemas-microsoft-com:office:smarttags" w:element="PlaceType">
                <w:r>
                  <w:rPr>
                    <w:sz w:val="20"/>
                    <w:szCs w:val="20"/>
                  </w:rPr>
                  <w:t>Center</w:t>
                </w:r>
              </w:smartTag>
            </w:smartTag>
            <w:r>
              <w:rPr>
                <w:sz w:val="20"/>
                <w:szCs w:val="20"/>
              </w:rPr>
              <w:t>. Some resolutions require multiple agencies and the handle time would be greater than 30 minutes.</w:t>
            </w:r>
          </w:p>
          <w:p w:rsidR="003B0815" w:rsidRDefault="003B0815" w14:paraId="3BF8D3B9" w14:textId="77777777">
            <w:pPr>
              <w:spacing w:before="120"/>
              <w:rPr>
                <w:sz w:val="20"/>
                <w:szCs w:val="20"/>
              </w:rPr>
            </w:pPr>
            <w:r>
              <w:rPr>
                <w:sz w:val="20"/>
                <w:szCs w:val="20"/>
              </w:rPr>
              <w:t>Increase in Secure Flight Analysts by 25% compared to 72-hour baseline.</w:t>
            </w:r>
          </w:p>
          <w:p w:rsidR="003B0815" w:rsidRDefault="003B0815" w14:paraId="53DF38B2" w14:textId="77777777">
            <w:pPr>
              <w:keepNext/>
              <w:rPr>
                <w:rFonts w:ascii="Arial" w:hAnsi="Arial"/>
                <w:sz w:val="20"/>
                <w:szCs w:val="20"/>
              </w:rPr>
            </w:pPr>
            <w:r>
              <w:rPr>
                <w:sz w:val="20"/>
                <w:szCs w:val="20"/>
              </w:rPr>
              <w:t>Increase Customer Support Agents by 25% compared to 72-hour baseline.</w:t>
            </w:r>
          </w:p>
        </w:tc>
      </w:tr>
      <w:tr w:rsidR="003B0815" w14:paraId="74918282" w14:textId="77777777">
        <w:tc>
          <w:tcPr>
            <w:tcW w:w="1728" w:type="dxa"/>
            <w:tcBorders>
              <w:left w:val="single" w:color="auto" w:sz="12" w:space="0"/>
              <w:bottom w:val="single" w:color="auto" w:sz="4" w:space="0"/>
            </w:tcBorders>
          </w:tcPr>
          <w:p w:rsidR="003B0815" w:rsidRDefault="003B0815" w14:paraId="47F48A43" w14:textId="77777777">
            <w:pPr>
              <w:keepNext/>
              <w:rPr>
                <w:rFonts w:ascii="Arial" w:hAnsi="Arial"/>
                <w:b/>
                <w:sz w:val="20"/>
                <w:szCs w:val="20"/>
              </w:rPr>
            </w:pPr>
            <w:r>
              <w:rPr>
                <w:sz w:val="20"/>
                <w:szCs w:val="20"/>
              </w:rPr>
              <w:t>Stakeholder Impact</w:t>
            </w:r>
          </w:p>
        </w:tc>
        <w:tc>
          <w:tcPr>
            <w:tcW w:w="2044" w:type="dxa"/>
            <w:tcBorders>
              <w:bottom w:val="single" w:color="auto" w:sz="4" w:space="0"/>
            </w:tcBorders>
          </w:tcPr>
          <w:p w:rsidR="003B0815" w:rsidRDefault="003B0815" w14:paraId="0B691A30" w14:textId="77777777">
            <w:pPr>
              <w:rPr>
                <w:sz w:val="20"/>
                <w:szCs w:val="20"/>
              </w:rPr>
            </w:pPr>
            <w:r>
              <w:rPr>
                <w:sz w:val="20"/>
                <w:szCs w:val="20"/>
              </w:rPr>
              <w:t>The costs to covered aircraft operators are described in Section 6 of this Regulatory and Economic Analysis.</w:t>
            </w:r>
          </w:p>
          <w:p w:rsidR="003B0815" w:rsidRDefault="003B0815" w14:paraId="5A1E61DA" w14:textId="77777777">
            <w:pPr>
              <w:rPr>
                <w:sz w:val="20"/>
                <w:szCs w:val="20"/>
              </w:rPr>
            </w:pPr>
          </w:p>
          <w:p w:rsidR="003B0815" w:rsidRDefault="003B0815" w14:paraId="5A9CCDCC" w14:textId="77777777">
            <w:pPr>
              <w:rPr>
                <w:sz w:val="20"/>
                <w:szCs w:val="20"/>
              </w:rPr>
            </w:pPr>
            <w:r>
              <w:rPr>
                <w:sz w:val="20"/>
                <w:szCs w:val="20"/>
              </w:rPr>
              <w:t>Manual review will clear a percentage of passengers who will not be required to check-in at the ticket counter.</w:t>
            </w:r>
          </w:p>
          <w:p w:rsidR="003B0815" w:rsidRDefault="003B0815" w14:paraId="4C8FF0A3" w14:textId="77777777">
            <w:pPr>
              <w:rPr>
                <w:sz w:val="20"/>
                <w:szCs w:val="20"/>
              </w:rPr>
            </w:pPr>
          </w:p>
          <w:p w:rsidR="003B0815" w:rsidRDefault="003B0815" w14:paraId="490F7BC6" w14:textId="77777777">
            <w:pPr>
              <w:keepNext/>
              <w:rPr>
                <w:rFonts w:ascii="Arial" w:hAnsi="Arial"/>
                <w:sz w:val="20"/>
                <w:szCs w:val="20"/>
              </w:rPr>
            </w:pPr>
            <w:r>
              <w:rPr>
                <w:sz w:val="20"/>
                <w:szCs w:val="20"/>
              </w:rPr>
              <w:t>Systems modifications needed for both reservations and departure control systems.</w:t>
            </w:r>
          </w:p>
        </w:tc>
        <w:tc>
          <w:tcPr>
            <w:tcW w:w="2043" w:type="dxa"/>
            <w:tcBorders>
              <w:bottom w:val="single" w:color="auto" w:sz="4" w:space="0"/>
            </w:tcBorders>
          </w:tcPr>
          <w:p w:rsidR="003B0815" w:rsidRDefault="003B0815" w14:paraId="720C3D9C" w14:textId="77777777">
            <w:pPr>
              <w:keepNext/>
              <w:rPr>
                <w:sz w:val="20"/>
                <w:szCs w:val="20"/>
              </w:rPr>
            </w:pPr>
            <w:r>
              <w:rPr>
                <w:sz w:val="20"/>
                <w:szCs w:val="20"/>
              </w:rPr>
              <w:t>The cost to covered aircraft operators are similar to those described in Section 6 of this Regulatory and Economic Analysis.</w:t>
            </w:r>
          </w:p>
          <w:p w:rsidR="003B0815" w:rsidRDefault="003B0815" w14:paraId="5AA46BFA" w14:textId="77777777">
            <w:pPr>
              <w:keepNext/>
              <w:rPr>
                <w:sz w:val="20"/>
                <w:szCs w:val="20"/>
              </w:rPr>
            </w:pPr>
          </w:p>
          <w:p w:rsidR="003B0815" w:rsidRDefault="003B0815" w14:paraId="70CF3BA5" w14:textId="77777777">
            <w:pPr>
              <w:keepNext/>
              <w:rPr>
                <w:rFonts w:ascii="Arial" w:hAnsi="Arial"/>
                <w:sz w:val="20"/>
                <w:szCs w:val="20"/>
              </w:rPr>
            </w:pPr>
            <w:r>
              <w:rPr>
                <w:sz w:val="20"/>
                <w:szCs w:val="20"/>
              </w:rPr>
              <w:t>Aircraft operators will have different regulatory requirements regarding timing of transactions for APIS and Secure Flight.</w:t>
            </w:r>
          </w:p>
        </w:tc>
        <w:tc>
          <w:tcPr>
            <w:tcW w:w="2043" w:type="dxa"/>
            <w:tcBorders>
              <w:bottom w:val="single" w:color="auto" w:sz="4" w:space="0"/>
            </w:tcBorders>
          </w:tcPr>
          <w:p w:rsidR="003B0815" w:rsidRDefault="003B0815" w14:paraId="5930235F" w14:textId="77777777">
            <w:pPr>
              <w:keepNext/>
              <w:rPr>
                <w:sz w:val="20"/>
                <w:szCs w:val="20"/>
              </w:rPr>
            </w:pPr>
            <w:r>
              <w:rPr>
                <w:sz w:val="20"/>
                <w:szCs w:val="20"/>
              </w:rPr>
              <w:t>The cost to covered aircraft operators are similar to those described in Section 6 of this Regulatory and Economic Analysis.</w:t>
            </w:r>
          </w:p>
          <w:p w:rsidR="003B0815" w:rsidRDefault="003B0815" w14:paraId="26C9EC39" w14:textId="77777777">
            <w:pPr>
              <w:keepNext/>
              <w:rPr>
                <w:sz w:val="20"/>
                <w:szCs w:val="20"/>
              </w:rPr>
            </w:pPr>
          </w:p>
          <w:p w:rsidR="003B0815" w:rsidRDefault="003B0815" w14:paraId="2B781216" w14:textId="77777777">
            <w:pPr>
              <w:keepNext/>
              <w:rPr>
                <w:rFonts w:ascii="Arial" w:hAnsi="Arial"/>
                <w:sz w:val="20"/>
                <w:szCs w:val="20"/>
              </w:rPr>
            </w:pPr>
            <w:r>
              <w:rPr>
                <w:sz w:val="20"/>
                <w:szCs w:val="20"/>
              </w:rPr>
              <w:t>Increased Internet check-in resources, additional self-service kiosks and airport agent counter check-in facilities.</w:t>
            </w:r>
          </w:p>
        </w:tc>
        <w:tc>
          <w:tcPr>
            <w:tcW w:w="2043" w:type="dxa"/>
            <w:tcBorders>
              <w:bottom w:val="single" w:color="auto" w:sz="4" w:space="0"/>
              <w:right w:val="single" w:color="auto" w:sz="12" w:space="0"/>
            </w:tcBorders>
          </w:tcPr>
          <w:p w:rsidR="003B0815" w:rsidRDefault="003B0815" w14:paraId="385AA57E" w14:textId="77777777">
            <w:pPr>
              <w:spacing w:before="120"/>
              <w:rPr>
                <w:sz w:val="20"/>
                <w:szCs w:val="20"/>
              </w:rPr>
            </w:pPr>
            <w:r>
              <w:rPr>
                <w:sz w:val="20"/>
                <w:szCs w:val="20"/>
              </w:rPr>
              <w:t>Additional self-service kiosks and airport agent counter check-in facilities.</w:t>
            </w:r>
          </w:p>
          <w:p w:rsidR="003B0815" w:rsidRDefault="003B0815" w14:paraId="088BA1E7" w14:textId="77777777">
            <w:pPr>
              <w:spacing w:before="120"/>
              <w:rPr>
                <w:sz w:val="20"/>
                <w:szCs w:val="20"/>
              </w:rPr>
            </w:pPr>
            <w:r>
              <w:rPr>
                <w:sz w:val="20"/>
                <w:szCs w:val="20"/>
              </w:rPr>
              <w:t>Simplifies application for poorly integrated reservations and departure systems, but increases infrastructure requirements due to high volume messaging.</w:t>
            </w:r>
          </w:p>
          <w:p w:rsidR="003B0815" w:rsidRDefault="003B0815" w14:paraId="6FCEC733" w14:textId="77777777">
            <w:pPr>
              <w:spacing w:before="120"/>
              <w:rPr>
                <w:sz w:val="20"/>
                <w:szCs w:val="20"/>
              </w:rPr>
            </w:pPr>
            <w:r>
              <w:rPr>
                <w:sz w:val="20"/>
                <w:szCs w:val="20"/>
              </w:rPr>
              <w:t xml:space="preserve">Potential for increased false positives due to no time to perform manual review. </w:t>
            </w:r>
          </w:p>
          <w:p w:rsidR="003B0815" w:rsidRDefault="003B0815" w14:paraId="6ABCD6C7" w14:textId="77777777">
            <w:pPr>
              <w:keepNext/>
              <w:rPr>
                <w:sz w:val="20"/>
                <w:szCs w:val="20"/>
              </w:rPr>
            </w:pPr>
          </w:p>
          <w:p w:rsidR="003B0815" w:rsidRDefault="003B0815" w14:paraId="698875D2" w14:textId="77777777">
            <w:pPr>
              <w:keepNext/>
              <w:rPr>
                <w:sz w:val="20"/>
                <w:szCs w:val="20"/>
              </w:rPr>
            </w:pPr>
            <w:r>
              <w:rPr>
                <w:sz w:val="20"/>
                <w:szCs w:val="20"/>
              </w:rPr>
              <w:t>Covered aircraft operators that have already reprogrammed to comply with APIS Predeparture Final Rule may incur Secure Flight reprogramming costs.</w:t>
            </w:r>
          </w:p>
          <w:p w:rsidR="003B0815" w:rsidRDefault="003B0815" w14:paraId="331CD7DA" w14:textId="77777777">
            <w:pPr>
              <w:keepNext/>
              <w:rPr>
                <w:rFonts w:ascii="Arial" w:hAnsi="Arial"/>
                <w:sz w:val="20"/>
                <w:szCs w:val="20"/>
              </w:rPr>
            </w:pPr>
          </w:p>
        </w:tc>
      </w:tr>
      <w:tr w:rsidR="003B0815" w14:paraId="579AA527" w14:textId="77777777">
        <w:tc>
          <w:tcPr>
            <w:tcW w:w="1728" w:type="dxa"/>
            <w:tcBorders>
              <w:left w:val="single" w:color="auto" w:sz="12" w:space="0"/>
              <w:bottom w:val="single" w:color="auto" w:sz="4" w:space="0"/>
            </w:tcBorders>
          </w:tcPr>
          <w:p w:rsidR="003B0815" w:rsidRDefault="003B0815" w14:paraId="0D48BDE6" w14:textId="77777777">
            <w:pPr>
              <w:keepNext/>
              <w:rPr>
                <w:sz w:val="20"/>
                <w:szCs w:val="20"/>
              </w:rPr>
            </w:pPr>
            <w:r>
              <w:rPr>
                <w:sz w:val="20"/>
                <w:szCs w:val="20"/>
              </w:rPr>
              <w:t>Passenger Impact</w:t>
            </w:r>
          </w:p>
        </w:tc>
        <w:tc>
          <w:tcPr>
            <w:tcW w:w="2044" w:type="dxa"/>
            <w:tcBorders>
              <w:bottom w:val="single" w:color="auto" w:sz="4" w:space="0"/>
            </w:tcBorders>
          </w:tcPr>
          <w:p w:rsidR="003B0815" w:rsidRDefault="003B0815" w14:paraId="3AA9E005" w14:textId="77777777">
            <w:pPr>
              <w:keepNext/>
              <w:rPr>
                <w:sz w:val="20"/>
                <w:szCs w:val="20"/>
              </w:rPr>
            </w:pPr>
            <w:r>
              <w:rPr>
                <w:sz w:val="20"/>
                <w:szCs w:val="20"/>
              </w:rPr>
              <w:t>The opportunity costs to passengers are described in Section 6 of this Regulatory and Economic Analysis.</w:t>
            </w:r>
          </w:p>
          <w:p w:rsidR="003B0815" w:rsidRDefault="003B0815" w14:paraId="2203F3E3" w14:textId="77777777">
            <w:pPr>
              <w:keepNext/>
              <w:rPr>
                <w:sz w:val="20"/>
                <w:szCs w:val="20"/>
              </w:rPr>
            </w:pPr>
          </w:p>
          <w:p w:rsidR="003B0815" w:rsidRDefault="003B0815" w14:paraId="0CB01DAA" w14:textId="77777777">
            <w:pPr>
              <w:keepNext/>
              <w:rPr>
                <w:rFonts w:ascii="Arial" w:hAnsi="Arial"/>
                <w:sz w:val="20"/>
                <w:szCs w:val="20"/>
              </w:rPr>
            </w:pPr>
            <w:r>
              <w:rPr>
                <w:sz w:val="20"/>
                <w:szCs w:val="20"/>
              </w:rPr>
              <w:t>Automatic and manually reviewed cleared passengers will be able to utilize the Internet and kiosks for check-in rather than go to the ticket counter for clearance.</w:t>
            </w:r>
          </w:p>
        </w:tc>
        <w:tc>
          <w:tcPr>
            <w:tcW w:w="2043" w:type="dxa"/>
            <w:tcBorders>
              <w:bottom w:val="single" w:color="auto" w:sz="4" w:space="0"/>
            </w:tcBorders>
          </w:tcPr>
          <w:p w:rsidR="003B0815" w:rsidRDefault="003B0815" w14:paraId="5B6EC033" w14:textId="77777777">
            <w:pPr>
              <w:keepNext/>
              <w:rPr>
                <w:sz w:val="20"/>
                <w:szCs w:val="20"/>
              </w:rPr>
            </w:pPr>
            <w:r>
              <w:rPr>
                <w:sz w:val="20"/>
                <w:szCs w:val="20"/>
              </w:rPr>
              <w:t>The opportunity costs to passengers are similar to those described in Section 6 of this Regulatory and Economic Analysis.</w:t>
            </w:r>
          </w:p>
          <w:p w:rsidR="003B0815" w:rsidRDefault="003B0815" w14:paraId="42D03C45" w14:textId="77777777">
            <w:pPr>
              <w:keepNext/>
              <w:rPr>
                <w:sz w:val="20"/>
                <w:szCs w:val="20"/>
              </w:rPr>
            </w:pPr>
          </w:p>
          <w:p w:rsidR="003B0815" w:rsidRDefault="003B0815" w14:paraId="49A4F171" w14:textId="77777777">
            <w:pPr>
              <w:keepNext/>
              <w:rPr>
                <w:rFonts w:ascii="Arial" w:hAnsi="Arial"/>
                <w:sz w:val="20"/>
                <w:szCs w:val="20"/>
              </w:rPr>
            </w:pPr>
            <w:r>
              <w:rPr>
                <w:sz w:val="20"/>
                <w:szCs w:val="20"/>
              </w:rPr>
              <w:t>Potential matches to the Selectee and/or No Fly watch lists may have increased incidence of missed flights due to time spent at ticket counter for resolution with verifying identity document.</w:t>
            </w:r>
          </w:p>
        </w:tc>
        <w:tc>
          <w:tcPr>
            <w:tcW w:w="2043" w:type="dxa"/>
            <w:tcBorders>
              <w:bottom w:val="single" w:color="auto" w:sz="4" w:space="0"/>
            </w:tcBorders>
          </w:tcPr>
          <w:p w:rsidR="003B0815" w:rsidRDefault="003B0815" w14:paraId="57CF55BD" w14:textId="77777777">
            <w:pPr>
              <w:keepNext/>
              <w:rPr>
                <w:sz w:val="20"/>
                <w:szCs w:val="20"/>
              </w:rPr>
            </w:pPr>
            <w:r>
              <w:rPr>
                <w:sz w:val="20"/>
                <w:szCs w:val="20"/>
              </w:rPr>
              <w:t>The opportunity costs to passengers are similar to those described in Section 6 of this Regulatory and Economic Analysis.</w:t>
            </w:r>
          </w:p>
          <w:p w:rsidR="003B0815" w:rsidRDefault="003B0815" w14:paraId="48191DC2" w14:textId="77777777">
            <w:pPr>
              <w:keepNext/>
              <w:rPr>
                <w:sz w:val="20"/>
                <w:szCs w:val="20"/>
              </w:rPr>
            </w:pPr>
          </w:p>
          <w:p w:rsidR="003B0815" w:rsidRDefault="003B0815" w14:paraId="06977D1D" w14:textId="77777777">
            <w:pPr>
              <w:keepNext/>
              <w:rPr>
                <w:rFonts w:ascii="Arial" w:hAnsi="Arial"/>
                <w:sz w:val="20"/>
                <w:szCs w:val="20"/>
              </w:rPr>
            </w:pPr>
            <w:r>
              <w:rPr>
                <w:sz w:val="20"/>
                <w:szCs w:val="20"/>
              </w:rPr>
              <w:t>Potential matches to the Selectee and/or No Fly watch lists may have increased incidence of missed flights due to time spent at ticket counter for resolution and/or manual review.</w:t>
            </w:r>
          </w:p>
        </w:tc>
        <w:tc>
          <w:tcPr>
            <w:tcW w:w="2043" w:type="dxa"/>
            <w:tcBorders>
              <w:bottom w:val="single" w:color="auto" w:sz="4" w:space="0"/>
              <w:right w:val="single" w:color="auto" w:sz="12" w:space="0"/>
            </w:tcBorders>
          </w:tcPr>
          <w:p w:rsidR="003B0815" w:rsidRDefault="003B0815" w14:paraId="7CA768A5" w14:textId="77777777">
            <w:pPr>
              <w:keepNext/>
              <w:rPr>
                <w:sz w:val="20"/>
                <w:szCs w:val="20"/>
              </w:rPr>
            </w:pPr>
            <w:r>
              <w:rPr>
                <w:sz w:val="20"/>
                <w:szCs w:val="20"/>
              </w:rPr>
              <w:t>The opportunity costs to passengers are similar to those described in Section 6 of this Regulatory and Economic Analysis.</w:t>
            </w:r>
          </w:p>
          <w:p w:rsidR="003B0815" w:rsidRDefault="003B0815" w14:paraId="3D667B1A" w14:textId="77777777">
            <w:pPr>
              <w:spacing w:before="120"/>
              <w:rPr>
                <w:sz w:val="20"/>
                <w:szCs w:val="20"/>
              </w:rPr>
            </w:pPr>
            <w:r>
              <w:rPr>
                <w:sz w:val="20"/>
                <w:szCs w:val="20"/>
              </w:rPr>
              <w:t>Passengers will not be able to receive boarding pass via Internet check-in.  Therefore, all passengers must check in at airport.</w:t>
            </w:r>
          </w:p>
          <w:p w:rsidR="003B0815" w:rsidRDefault="003B0815" w14:paraId="1F8D6359" w14:textId="77777777">
            <w:pPr>
              <w:spacing w:before="120"/>
              <w:rPr>
                <w:sz w:val="20"/>
                <w:szCs w:val="20"/>
              </w:rPr>
            </w:pPr>
          </w:p>
          <w:p w:rsidR="003B0815" w:rsidRDefault="003B0815" w14:paraId="0E290B14" w14:textId="77777777">
            <w:pPr>
              <w:keepNext/>
              <w:rPr>
                <w:rFonts w:ascii="Arial" w:hAnsi="Arial"/>
                <w:sz w:val="20"/>
                <w:szCs w:val="20"/>
              </w:rPr>
            </w:pPr>
            <w:r>
              <w:rPr>
                <w:sz w:val="20"/>
                <w:szCs w:val="20"/>
              </w:rPr>
              <w:t>Potential matches to the Selectee and/or No Fly watch lists may have increased incidence of missed flights due to time spent at ticket counter for resolution and/or manual review.</w:t>
            </w:r>
          </w:p>
        </w:tc>
      </w:tr>
    </w:tbl>
    <w:p w:rsidR="003B0815" w:rsidRDefault="003B0815" w14:paraId="62BEAD6C" w14:textId="77777777">
      <w:pPr>
        <w:spacing w:line="360" w:lineRule="auto"/>
        <w:ind w:firstLine="720"/>
        <w:rPr>
          <w:highlight w:val="yellow"/>
        </w:rPr>
      </w:pPr>
    </w:p>
    <w:p w:rsidR="003B0815" w:rsidRDefault="003B0815" w14:paraId="480FE36C" w14:textId="77777777">
      <w:pPr>
        <w:keepNext/>
        <w:spacing w:line="360" w:lineRule="auto"/>
        <w:rPr>
          <w:b/>
        </w:rPr>
      </w:pPr>
    </w:p>
    <w:p w:rsidR="003B0815" w:rsidRDefault="003B0815" w14:paraId="24948240" w14:textId="77777777">
      <w:pPr>
        <w:keepNext/>
        <w:spacing w:line="360" w:lineRule="auto"/>
        <w:ind w:firstLine="720"/>
      </w:pPr>
      <w:r>
        <w:t xml:space="preserve">The table below, Table 1.8.3.b, represents the total costs for the 72 hour preferred alternative and the total costs for Secure Flight hardware, software, and personnel for the various timing alternatives to the baseline </w:t>
      </w:r>
      <w:r w:rsidR="00496F59">
        <w:t>scenario</w:t>
      </w:r>
      <w:r>
        <w:t xml:space="preserve">.  </w:t>
      </w:r>
    </w:p>
    <w:p w:rsidR="003B0815" w:rsidRDefault="003B0815" w14:paraId="705586D2" w14:textId="77777777">
      <w:pPr>
        <w:keepNext/>
        <w:spacing w:line="360" w:lineRule="auto"/>
        <w:ind w:firstLine="720"/>
      </w:pPr>
    </w:p>
    <w:p w:rsidR="003B0815" w:rsidRDefault="003B0815" w14:paraId="1C2221A0" w14:textId="77777777">
      <w:pPr>
        <w:pStyle w:val="RegEvalTableHeader"/>
        <w:keepNext/>
        <w:outlineLvl w:val="0"/>
      </w:pPr>
      <w:bookmarkStart w:name="_Toc194733283" w:id="459"/>
      <w:bookmarkStart w:name="_Toc207109559" w:id="460"/>
      <w:r>
        <w:t>Table 1.8.3.b Quantitative Comparison* of Regulatory Timing Alternatives</w:t>
      </w:r>
      <w:bookmarkEnd w:id="460"/>
    </w:p>
    <w:p w:rsidR="003B0815" w:rsidRDefault="003B0815" w14:paraId="6470AA00" w14:textId="77777777">
      <w:pPr>
        <w:pStyle w:val="RegEvalTableHeader"/>
        <w:keepNext/>
      </w:pPr>
      <w:bookmarkStart w:name="_Toc207109560" w:id="461"/>
      <w:r>
        <w:t>(millions of 2005 $)</w:t>
      </w:r>
      <w:bookmarkEnd w:id="459"/>
      <w:bookmarkEnd w:id="461"/>
    </w:p>
    <w:tbl>
      <w:tblPr>
        <w:tblW w:w="11517" w:type="dxa"/>
        <w:jc w:val="center"/>
        <w:tblLook w:val="0000" w:firstRow="0" w:lastRow="0" w:firstColumn="0" w:lastColumn="0" w:noHBand="0" w:noVBand="0"/>
      </w:tblPr>
      <w:tblGrid>
        <w:gridCol w:w="617"/>
        <w:gridCol w:w="867"/>
        <w:gridCol w:w="867"/>
        <w:gridCol w:w="867"/>
        <w:gridCol w:w="867"/>
        <w:gridCol w:w="867"/>
        <w:gridCol w:w="867"/>
        <w:gridCol w:w="867"/>
        <w:gridCol w:w="867"/>
        <w:gridCol w:w="867"/>
        <w:gridCol w:w="867"/>
        <w:gridCol w:w="867"/>
        <w:gridCol w:w="1591"/>
      </w:tblGrid>
      <w:tr w:rsidR="003B0815" w14:paraId="06CCD00E" w14:textId="77777777">
        <w:trPr>
          <w:cantSplit/>
          <w:trHeight w:val="255"/>
          <w:jc w:val="center"/>
        </w:trPr>
        <w:tc>
          <w:tcPr>
            <w:tcW w:w="617" w:type="dxa"/>
            <w:vMerge w:val="restart"/>
            <w:tcBorders>
              <w:top w:val="single" w:color="auto" w:sz="4" w:space="0"/>
              <w:left w:val="single" w:color="auto" w:sz="4" w:space="0"/>
              <w:bottom w:val="single" w:color="000000" w:sz="4" w:space="0"/>
              <w:right w:val="single" w:color="auto" w:sz="4" w:space="0"/>
            </w:tcBorders>
            <w:noWrap/>
            <w:vAlign w:val="bottom"/>
          </w:tcPr>
          <w:p w:rsidR="003B0815" w:rsidRDefault="003B0815" w14:paraId="5136A8A7" w14:textId="77777777">
            <w:pPr>
              <w:jc w:val="center"/>
              <w:rPr>
                <w:rFonts w:ascii="Arial" w:hAnsi="Arial" w:cs="Arial"/>
                <w:sz w:val="18"/>
                <w:szCs w:val="18"/>
              </w:rPr>
            </w:pPr>
            <w:r>
              <w:rPr>
                <w:rFonts w:ascii="Arial" w:hAnsi="Arial" w:cs="Arial"/>
                <w:sz w:val="18"/>
                <w:szCs w:val="18"/>
              </w:rPr>
              <w:t>Year</w:t>
            </w:r>
          </w:p>
        </w:tc>
        <w:tc>
          <w:tcPr>
            <w:tcW w:w="2601" w:type="dxa"/>
            <w:gridSpan w:val="3"/>
            <w:tcBorders>
              <w:top w:val="single" w:color="auto" w:sz="4" w:space="0"/>
              <w:left w:val="nil"/>
              <w:bottom w:val="single" w:color="auto" w:sz="4" w:space="0"/>
              <w:right w:val="single" w:color="000000" w:sz="4" w:space="0"/>
            </w:tcBorders>
            <w:noWrap/>
            <w:vAlign w:val="bottom"/>
          </w:tcPr>
          <w:p w:rsidR="003B0815" w:rsidRDefault="003B0815" w14:paraId="38F0E2AA" w14:textId="77777777">
            <w:pPr>
              <w:jc w:val="center"/>
              <w:rPr>
                <w:rFonts w:ascii="Arial" w:hAnsi="Arial" w:cs="Arial"/>
                <w:b/>
                <w:bCs/>
                <w:sz w:val="18"/>
                <w:szCs w:val="18"/>
              </w:rPr>
            </w:pPr>
            <w:r>
              <w:rPr>
                <w:rFonts w:ascii="Arial" w:hAnsi="Arial" w:cs="Arial"/>
                <w:b/>
                <w:bCs/>
                <w:sz w:val="18"/>
                <w:szCs w:val="18"/>
              </w:rPr>
              <w:t>72-Hour (preferred)</w:t>
            </w:r>
          </w:p>
        </w:tc>
        <w:tc>
          <w:tcPr>
            <w:tcW w:w="2601" w:type="dxa"/>
            <w:gridSpan w:val="3"/>
            <w:tcBorders>
              <w:top w:val="single" w:color="auto" w:sz="4" w:space="0"/>
              <w:left w:val="nil"/>
              <w:bottom w:val="single" w:color="auto" w:sz="4" w:space="0"/>
              <w:right w:val="single" w:color="000000" w:sz="4" w:space="0"/>
            </w:tcBorders>
            <w:noWrap/>
            <w:vAlign w:val="bottom"/>
          </w:tcPr>
          <w:p w:rsidR="003B0815" w:rsidRDefault="003B0815" w14:paraId="0C345EFD" w14:textId="77777777">
            <w:pPr>
              <w:jc w:val="center"/>
              <w:rPr>
                <w:rFonts w:ascii="Arial" w:hAnsi="Arial" w:cs="Arial"/>
                <w:b/>
                <w:bCs/>
                <w:sz w:val="18"/>
                <w:szCs w:val="18"/>
              </w:rPr>
            </w:pPr>
            <w:r>
              <w:rPr>
                <w:rFonts w:ascii="Arial" w:hAnsi="Arial" w:cs="Arial"/>
                <w:b/>
                <w:bCs/>
                <w:sz w:val="18"/>
                <w:szCs w:val="18"/>
              </w:rPr>
              <w:t>48-Hour</w:t>
            </w:r>
          </w:p>
        </w:tc>
        <w:tc>
          <w:tcPr>
            <w:tcW w:w="2601" w:type="dxa"/>
            <w:gridSpan w:val="3"/>
            <w:tcBorders>
              <w:top w:val="single" w:color="auto" w:sz="4" w:space="0"/>
              <w:left w:val="nil"/>
              <w:bottom w:val="single" w:color="auto" w:sz="4" w:space="0"/>
              <w:right w:val="single" w:color="000000" w:sz="4" w:space="0"/>
            </w:tcBorders>
            <w:noWrap/>
            <w:vAlign w:val="bottom"/>
          </w:tcPr>
          <w:p w:rsidR="003B0815" w:rsidRDefault="003B0815" w14:paraId="502CD179" w14:textId="77777777">
            <w:pPr>
              <w:jc w:val="center"/>
              <w:rPr>
                <w:rFonts w:ascii="Arial" w:hAnsi="Arial" w:cs="Arial"/>
                <w:b/>
                <w:bCs/>
                <w:sz w:val="18"/>
                <w:szCs w:val="18"/>
              </w:rPr>
            </w:pPr>
            <w:r>
              <w:rPr>
                <w:rFonts w:ascii="Arial" w:hAnsi="Arial" w:cs="Arial"/>
                <w:b/>
                <w:bCs/>
                <w:sz w:val="18"/>
                <w:szCs w:val="18"/>
              </w:rPr>
              <w:t>24-Hour</w:t>
            </w:r>
          </w:p>
        </w:tc>
        <w:tc>
          <w:tcPr>
            <w:tcW w:w="3097" w:type="dxa"/>
            <w:gridSpan w:val="3"/>
            <w:tcBorders>
              <w:top w:val="single" w:color="auto" w:sz="4" w:space="0"/>
              <w:left w:val="nil"/>
              <w:bottom w:val="single" w:color="auto" w:sz="4" w:space="0"/>
              <w:right w:val="single" w:color="000000" w:sz="4" w:space="0"/>
            </w:tcBorders>
            <w:noWrap/>
            <w:vAlign w:val="bottom"/>
          </w:tcPr>
          <w:p w:rsidR="003B0815" w:rsidRDefault="003B0815" w14:paraId="626CE652" w14:textId="77777777">
            <w:pPr>
              <w:jc w:val="center"/>
              <w:rPr>
                <w:rFonts w:ascii="Arial" w:hAnsi="Arial" w:cs="Arial"/>
                <w:b/>
                <w:bCs/>
                <w:sz w:val="18"/>
                <w:szCs w:val="18"/>
              </w:rPr>
            </w:pPr>
            <w:r>
              <w:rPr>
                <w:rFonts w:ascii="Arial" w:hAnsi="Arial" w:cs="Arial"/>
                <w:b/>
                <w:bCs/>
                <w:sz w:val="18"/>
                <w:szCs w:val="18"/>
              </w:rPr>
              <w:t>30-Minute (APIS-like)</w:t>
            </w:r>
          </w:p>
        </w:tc>
      </w:tr>
      <w:tr w:rsidR="003B0815" w14:paraId="70FD3FE1" w14:textId="77777777">
        <w:trPr>
          <w:cantSplit/>
          <w:trHeight w:val="255"/>
          <w:jc w:val="center"/>
        </w:trPr>
        <w:tc>
          <w:tcPr>
            <w:tcW w:w="617" w:type="dxa"/>
            <w:vMerge/>
            <w:tcBorders>
              <w:top w:val="single" w:color="auto" w:sz="4" w:space="0"/>
              <w:left w:val="single" w:color="auto" w:sz="4" w:space="0"/>
              <w:bottom w:val="single" w:color="000000" w:sz="4" w:space="0"/>
              <w:right w:val="single" w:color="auto" w:sz="4" w:space="0"/>
            </w:tcBorders>
            <w:vAlign w:val="center"/>
          </w:tcPr>
          <w:p w:rsidR="003B0815" w:rsidRDefault="003B0815" w14:paraId="7A564AA7" w14:textId="77777777">
            <w:pPr>
              <w:rPr>
                <w:rFonts w:ascii="Arial" w:hAnsi="Arial" w:cs="Arial"/>
                <w:sz w:val="18"/>
                <w:szCs w:val="18"/>
              </w:rPr>
            </w:pPr>
          </w:p>
        </w:tc>
        <w:tc>
          <w:tcPr>
            <w:tcW w:w="2601" w:type="dxa"/>
            <w:gridSpan w:val="3"/>
            <w:tcBorders>
              <w:top w:val="single" w:color="auto" w:sz="4" w:space="0"/>
              <w:left w:val="nil"/>
              <w:bottom w:val="single" w:color="auto" w:sz="4" w:space="0"/>
              <w:right w:val="single" w:color="000000" w:sz="4" w:space="0"/>
            </w:tcBorders>
            <w:vAlign w:val="bottom"/>
          </w:tcPr>
          <w:p w:rsidR="003B0815" w:rsidRDefault="003B0815" w14:paraId="5B7AD0E4" w14:textId="77777777">
            <w:pPr>
              <w:jc w:val="center"/>
              <w:rPr>
                <w:rFonts w:ascii="Arial" w:hAnsi="Arial" w:cs="Arial"/>
                <w:sz w:val="16"/>
                <w:szCs w:val="16"/>
              </w:rPr>
            </w:pPr>
            <w:r>
              <w:rPr>
                <w:rFonts w:ascii="Arial" w:hAnsi="Arial" w:cs="Arial"/>
                <w:sz w:val="16"/>
                <w:szCs w:val="16"/>
              </w:rPr>
              <w:t>Total Costs</w:t>
            </w:r>
          </w:p>
        </w:tc>
        <w:tc>
          <w:tcPr>
            <w:tcW w:w="2601" w:type="dxa"/>
            <w:gridSpan w:val="3"/>
            <w:tcBorders>
              <w:top w:val="single" w:color="auto" w:sz="4" w:space="0"/>
              <w:left w:val="nil"/>
              <w:bottom w:val="single" w:color="auto" w:sz="4" w:space="0"/>
              <w:right w:val="single" w:color="000000" w:sz="4" w:space="0"/>
            </w:tcBorders>
            <w:vAlign w:val="bottom"/>
          </w:tcPr>
          <w:p w:rsidR="003B0815" w:rsidRDefault="003B0815" w14:paraId="11ACAE25" w14:textId="77777777">
            <w:pPr>
              <w:jc w:val="center"/>
              <w:rPr>
                <w:rFonts w:ascii="Arial" w:hAnsi="Arial" w:cs="Arial"/>
                <w:sz w:val="16"/>
                <w:szCs w:val="16"/>
              </w:rPr>
            </w:pPr>
            <w:r>
              <w:rPr>
                <w:rFonts w:ascii="Arial" w:hAnsi="Arial" w:cs="Arial"/>
                <w:sz w:val="16"/>
                <w:szCs w:val="16"/>
              </w:rPr>
              <w:t>Total Costs</w:t>
            </w:r>
          </w:p>
        </w:tc>
        <w:tc>
          <w:tcPr>
            <w:tcW w:w="2601" w:type="dxa"/>
            <w:gridSpan w:val="3"/>
            <w:tcBorders>
              <w:top w:val="single" w:color="auto" w:sz="4" w:space="0"/>
              <w:left w:val="nil"/>
              <w:bottom w:val="single" w:color="auto" w:sz="4" w:space="0"/>
              <w:right w:val="single" w:color="000000" w:sz="4" w:space="0"/>
            </w:tcBorders>
            <w:vAlign w:val="bottom"/>
          </w:tcPr>
          <w:p w:rsidR="003B0815" w:rsidRDefault="003B0815" w14:paraId="28A189D3" w14:textId="77777777">
            <w:pPr>
              <w:jc w:val="center"/>
              <w:rPr>
                <w:rFonts w:ascii="Arial" w:hAnsi="Arial" w:cs="Arial"/>
                <w:sz w:val="16"/>
                <w:szCs w:val="16"/>
              </w:rPr>
            </w:pPr>
            <w:r>
              <w:rPr>
                <w:rFonts w:ascii="Arial" w:hAnsi="Arial" w:cs="Arial"/>
                <w:sz w:val="16"/>
                <w:szCs w:val="16"/>
              </w:rPr>
              <w:t>Total Costs</w:t>
            </w:r>
          </w:p>
        </w:tc>
        <w:tc>
          <w:tcPr>
            <w:tcW w:w="3097" w:type="dxa"/>
            <w:gridSpan w:val="3"/>
            <w:tcBorders>
              <w:top w:val="single" w:color="auto" w:sz="4" w:space="0"/>
              <w:left w:val="nil"/>
              <w:bottom w:val="single" w:color="auto" w:sz="4" w:space="0"/>
              <w:right w:val="single" w:color="000000" w:sz="4" w:space="0"/>
            </w:tcBorders>
            <w:vAlign w:val="bottom"/>
          </w:tcPr>
          <w:p w:rsidR="003B0815" w:rsidRDefault="003B0815" w14:paraId="583128F6" w14:textId="77777777">
            <w:pPr>
              <w:jc w:val="center"/>
              <w:rPr>
                <w:rFonts w:ascii="Arial" w:hAnsi="Arial" w:cs="Arial"/>
                <w:sz w:val="16"/>
                <w:szCs w:val="16"/>
              </w:rPr>
            </w:pPr>
            <w:r>
              <w:rPr>
                <w:rFonts w:ascii="Arial" w:hAnsi="Arial" w:cs="Arial"/>
                <w:sz w:val="16"/>
                <w:szCs w:val="16"/>
              </w:rPr>
              <w:t>Total Costs</w:t>
            </w:r>
          </w:p>
        </w:tc>
      </w:tr>
      <w:tr w:rsidR="003B0815" w14:paraId="33324553" w14:textId="77777777">
        <w:trPr>
          <w:cantSplit/>
          <w:trHeight w:val="450"/>
          <w:jc w:val="center"/>
        </w:trPr>
        <w:tc>
          <w:tcPr>
            <w:tcW w:w="617" w:type="dxa"/>
            <w:vMerge/>
            <w:tcBorders>
              <w:top w:val="single" w:color="auto" w:sz="4" w:space="0"/>
              <w:left w:val="single" w:color="auto" w:sz="4" w:space="0"/>
              <w:bottom w:val="single" w:color="000000" w:sz="4" w:space="0"/>
              <w:right w:val="single" w:color="auto" w:sz="4" w:space="0"/>
            </w:tcBorders>
            <w:vAlign w:val="center"/>
          </w:tcPr>
          <w:p w:rsidR="003B0815" w:rsidRDefault="003B0815" w14:paraId="3E8884C3" w14:textId="77777777">
            <w:pPr>
              <w:rPr>
                <w:rFonts w:ascii="Arial" w:hAnsi="Arial" w:cs="Arial"/>
                <w:sz w:val="18"/>
                <w:szCs w:val="18"/>
              </w:rPr>
            </w:pPr>
          </w:p>
        </w:tc>
        <w:tc>
          <w:tcPr>
            <w:tcW w:w="867" w:type="dxa"/>
            <w:tcBorders>
              <w:top w:val="nil"/>
              <w:left w:val="nil"/>
              <w:bottom w:val="single" w:color="auto" w:sz="4" w:space="0"/>
              <w:right w:val="single" w:color="auto" w:sz="4" w:space="0"/>
            </w:tcBorders>
            <w:vAlign w:val="bottom"/>
          </w:tcPr>
          <w:p w:rsidR="003B0815" w:rsidRDefault="003B0815" w14:paraId="165A0795" w14:textId="77777777">
            <w:pPr>
              <w:rPr>
                <w:rFonts w:ascii="Arial" w:hAnsi="Arial" w:cs="Arial"/>
                <w:sz w:val="16"/>
                <w:szCs w:val="16"/>
              </w:rPr>
            </w:pPr>
            <w:r>
              <w:rPr>
                <w:rFonts w:ascii="Arial" w:hAnsi="Arial" w:cs="Arial"/>
                <w:sz w:val="16"/>
                <w:szCs w:val="16"/>
              </w:rPr>
              <w:t> </w:t>
            </w:r>
          </w:p>
        </w:tc>
        <w:tc>
          <w:tcPr>
            <w:tcW w:w="867" w:type="dxa"/>
            <w:tcBorders>
              <w:top w:val="nil"/>
              <w:left w:val="nil"/>
              <w:bottom w:val="single" w:color="auto" w:sz="4" w:space="0"/>
              <w:right w:val="single" w:color="auto" w:sz="4" w:space="0"/>
            </w:tcBorders>
            <w:vAlign w:val="bottom"/>
          </w:tcPr>
          <w:p w:rsidR="003B0815" w:rsidRDefault="003B0815" w14:paraId="16E19155" w14:textId="77777777">
            <w:pPr>
              <w:jc w:val="center"/>
              <w:rPr>
                <w:rFonts w:ascii="Arial" w:hAnsi="Arial" w:cs="Arial"/>
                <w:sz w:val="16"/>
                <w:szCs w:val="16"/>
              </w:rPr>
            </w:pPr>
            <w:r>
              <w:rPr>
                <w:rFonts w:ascii="Arial" w:hAnsi="Arial" w:cs="Arial"/>
                <w:sz w:val="16"/>
                <w:szCs w:val="16"/>
              </w:rPr>
              <w:t>7%</w:t>
            </w:r>
            <w:r>
              <w:rPr>
                <w:rFonts w:ascii="Arial" w:hAnsi="Arial" w:cs="Arial"/>
                <w:sz w:val="16"/>
                <w:szCs w:val="16"/>
              </w:rPr>
              <w:br/>
              <w:t>Discount</w:t>
            </w:r>
          </w:p>
        </w:tc>
        <w:tc>
          <w:tcPr>
            <w:tcW w:w="867" w:type="dxa"/>
            <w:tcBorders>
              <w:top w:val="nil"/>
              <w:left w:val="nil"/>
              <w:bottom w:val="single" w:color="auto" w:sz="4" w:space="0"/>
              <w:right w:val="single" w:color="auto" w:sz="4" w:space="0"/>
            </w:tcBorders>
            <w:vAlign w:val="bottom"/>
          </w:tcPr>
          <w:p w:rsidR="003B0815" w:rsidRDefault="003B0815" w14:paraId="6691382D" w14:textId="77777777">
            <w:pPr>
              <w:jc w:val="center"/>
              <w:rPr>
                <w:rFonts w:ascii="Arial" w:hAnsi="Arial" w:cs="Arial"/>
                <w:sz w:val="16"/>
                <w:szCs w:val="16"/>
              </w:rPr>
            </w:pPr>
            <w:r>
              <w:rPr>
                <w:rFonts w:ascii="Arial" w:hAnsi="Arial" w:cs="Arial"/>
                <w:sz w:val="16"/>
                <w:szCs w:val="16"/>
              </w:rPr>
              <w:t>3%</w:t>
            </w:r>
            <w:r>
              <w:rPr>
                <w:rFonts w:ascii="Arial" w:hAnsi="Arial" w:cs="Arial"/>
                <w:sz w:val="16"/>
                <w:szCs w:val="16"/>
              </w:rPr>
              <w:br/>
              <w:t>Discount</w:t>
            </w:r>
          </w:p>
        </w:tc>
        <w:tc>
          <w:tcPr>
            <w:tcW w:w="867" w:type="dxa"/>
            <w:tcBorders>
              <w:top w:val="nil"/>
              <w:left w:val="nil"/>
              <w:bottom w:val="single" w:color="auto" w:sz="4" w:space="0"/>
              <w:right w:val="single" w:color="auto" w:sz="4" w:space="0"/>
            </w:tcBorders>
            <w:vAlign w:val="bottom"/>
          </w:tcPr>
          <w:p w:rsidR="003B0815" w:rsidRDefault="003B0815" w14:paraId="6C250F6E" w14:textId="77777777">
            <w:pPr>
              <w:jc w:val="center"/>
              <w:rPr>
                <w:rFonts w:ascii="Arial" w:hAnsi="Arial" w:cs="Arial"/>
                <w:sz w:val="16"/>
                <w:szCs w:val="16"/>
              </w:rPr>
            </w:pPr>
            <w:r>
              <w:rPr>
                <w:rFonts w:ascii="Arial" w:hAnsi="Arial" w:cs="Arial"/>
                <w:sz w:val="16"/>
                <w:szCs w:val="16"/>
              </w:rPr>
              <w:t> </w:t>
            </w:r>
          </w:p>
        </w:tc>
        <w:tc>
          <w:tcPr>
            <w:tcW w:w="867" w:type="dxa"/>
            <w:tcBorders>
              <w:top w:val="nil"/>
              <w:left w:val="nil"/>
              <w:bottom w:val="single" w:color="auto" w:sz="4" w:space="0"/>
              <w:right w:val="single" w:color="auto" w:sz="4" w:space="0"/>
            </w:tcBorders>
            <w:vAlign w:val="bottom"/>
          </w:tcPr>
          <w:p w:rsidR="003B0815" w:rsidRDefault="003B0815" w14:paraId="64CDDD2E" w14:textId="77777777">
            <w:pPr>
              <w:jc w:val="center"/>
              <w:rPr>
                <w:rFonts w:ascii="Arial" w:hAnsi="Arial" w:cs="Arial"/>
                <w:sz w:val="16"/>
                <w:szCs w:val="16"/>
              </w:rPr>
            </w:pPr>
            <w:r>
              <w:rPr>
                <w:rFonts w:ascii="Arial" w:hAnsi="Arial" w:cs="Arial"/>
                <w:sz w:val="16"/>
                <w:szCs w:val="16"/>
              </w:rPr>
              <w:t>7%</w:t>
            </w:r>
            <w:r>
              <w:rPr>
                <w:rFonts w:ascii="Arial" w:hAnsi="Arial" w:cs="Arial"/>
                <w:sz w:val="16"/>
                <w:szCs w:val="16"/>
              </w:rPr>
              <w:br/>
              <w:t>Discount</w:t>
            </w:r>
          </w:p>
        </w:tc>
        <w:tc>
          <w:tcPr>
            <w:tcW w:w="867" w:type="dxa"/>
            <w:tcBorders>
              <w:top w:val="nil"/>
              <w:left w:val="nil"/>
              <w:bottom w:val="single" w:color="auto" w:sz="4" w:space="0"/>
              <w:right w:val="single" w:color="auto" w:sz="4" w:space="0"/>
            </w:tcBorders>
            <w:vAlign w:val="bottom"/>
          </w:tcPr>
          <w:p w:rsidR="003B0815" w:rsidRDefault="003B0815" w14:paraId="48AB0F0B" w14:textId="77777777">
            <w:pPr>
              <w:jc w:val="center"/>
              <w:rPr>
                <w:rFonts w:ascii="Arial" w:hAnsi="Arial" w:cs="Arial"/>
                <w:sz w:val="16"/>
                <w:szCs w:val="16"/>
              </w:rPr>
            </w:pPr>
            <w:r>
              <w:rPr>
                <w:rFonts w:ascii="Arial" w:hAnsi="Arial" w:cs="Arial"/>
                <w:sz w:val="16"/>
                <w:szCs w:val="16"/>
              </w:rPr>
              <w:t>3%</w:t>
            </w:r>
            <w:r>
              <w:rPr>
                <w:rFonts w:ascii="Arial" w:hAnsi="Arial" w:cs="Arial"/>
                <w:sz w:val="16"/>
                <w:szCs w:val="16"/>
              </w:rPr>
              <w:br/>
              <w:t>Discount</w:t>
            </w:r>
          </w:p>
        </w:tc>
        <w:tc>
          <w:tcPr>
            <w:tcW w:w="867" w:type="dxa"/>
            <w:tcBorders>
              <w:top w:val="nil"/>
              <w:left w:val="nil"/>
              <w:bottom w:val="single" w:color="auto" w:sz="4" w:space="0"/>
              <w:right w:val="single" w:color="auto" w:sz="4" w:space="0"/>
            </w:tcBorders>
            <w:vAlign w:val="bottom"/>
          </w:tcPr>
          <w:p w:rsidR="003B0815" w:rsidRDefault="003B0815" w14:paraId="656CF0F6" w14:textId="77777777">
            <w:pPr>
              <w:rPr>
                <w:rFonts w:ascii="Arial" w:hAnsi="Arial" w:cs="Arial"/>
                <w:sz w:val="16"/>
                <w:szCs w:val="16"/>
              </w:rPr>
            </w:pPr>
            <w:r>
              <w:rPr>
                <w:rFonts w:ascii="Arial" w:hAnsi="Arial" w:cs="Arial"/>
                <w:sz w:val="16"/>
                <w:szCs w:val="16"/>
              </w:rPr>
              <w:t> </w:t>
            </w:r>
          </w:p>
        </w:tc>
        <w:tc>
          <w:tcPr>
            <w:tcW w:w="867" w:type="dxa"/>
            <w:tcBorders>
              <w:top w:val="nil"/>
              <w:left w:val="nil"/>
              <w:bottom w:val="single" w:color="auto" w:sz="4" w:space="0"/>
              <w:right w:val="single" w:color="auto" w:sz="4" w:space="0"/>
            </w:tcBorders>
            <w:vAlign w:val="bottom"/>
          </w:tcPr>
          <w:p w:rsidR="003B0815" w:rsidRDefault="003B0815" w14:paraId="1F64F0A6" w14:textId="77777777">
            <w:pPr>
              <w:jc w:val="center"/>
              <w:rPr>
                <w:rFonts w:ascii="Arial" w:hAnsi="Arial" w:cs="Arial"/>
                <w:sz w:val="16"/>
                <w:szCs w:val="16"/>
              </w:rPr>
            </w:pPr>
            <w:r>
              <w:rPr>
                <w:rFonts w:ascii="Arial" w:hAnsi="Arial" w:cs="Arial"/>
                <w:sz w:val="16"/>
                <w:szCs w:val="16"/>
              </w:rPr>
              <w:t>7%</w:t>
            </w:r>
            <w:r>
              <w:rPr>
                <w:rFonts w:ascii="Arial" w:hAnsi="Arial" w:cs="Arial"/>
                <w:sz w:val="16"/>
                <w:szCs w:val="16"/>
              </w:rPr>
              <w:br/>
              <w:t>Discount</w:t>
            </w:r>
          </w:p>
        </w:tc>
        <w:tc>
          <w:tcPr>
            <w:tcW w:w="867" w:type="dxa"/>
            <w:tcBorders>
              <w:top w:val="nil"/>
              <w:left w:val="nil"/>
              <w:bottom w:val="single" w:color="auto" w:sz="4" w:space="0"/>
              <w:right w:val="single" w:color="auto" w:sz="4" w:space="0"/>
            </w:tcBorders>
            <w:vAlign w:val="bottom"/>
          </w:tcPr>
          <w:p w:rsidR="003B0815" w:rsidRDefault="003B0815" w14:paraId="7E70DDA1" w14:textId="77777777">
            <w:pPr>
              <w:jc w:val="center"/>
              <w:rPr>
                <w:rFonts w:ascii="Arial" w:hAnsi="Arial" w:cs="Arial"/>
                <w:sz w:val="16"/>
                <w:szCs w:val="16"/>
              </w:rPr>
            </w:pPr>
            <w:r>
              <w:rPr>
                <w:rFonts w:ascii="Arial" w:hAnsi="Arial" w:cs="Arial"/>
                <w:sz w:val="16"/>
                <w:szCs w:val="16"/>
              </w:rPr>
              <w:t>3%</w:t>
            </w:r>
            <w:r>
              <w:rPr>
                <w:rFonts w:ascii="Arial" w:hAnsi="Arial" w:cs="Arial"/>
                <w:sz w:val="16"/>
                <w:szCs w:val="16"/>
              </w:rPr>
              <w:br/>
              <w:t>Discount</w:t>
            </w:r>
          </w:p>
        </w:tc>
        <w:tc>
          <w:tcPr>
            <w:tcW w:w="667" w:type="dxa"/>
            <w:tcBorders>
              <w:top w:val="nil"/>
              <w:left w:val="nil"/>
              <w:bottom w:val="single" w:color="auto" w:sz="4" w:space="0"/>
              <w:right w:val="single" w:color="auto" w:sz="4" w:space="0"/>
            </w:tcBorders>
            <w:vAlign w:val="bottom"/>
          </w:tcPr>
          <w:p w:rsidR="003B0815" w:rsidRDefault="003B0815" w14:paraId="4AF354B6" w14:textId="77777777">
            <w:pPr>
              <w:rPr>
                <w:rFonts w:ascii="Arial" w:hAnsi="Arial" w:cs="Arial"/>
                <w:sz w:val="16"/>
                <w:szCs w:val="16"/>
              </w:rPr>
            </w:pPr>
            <w:r>
              <w:rPr>
                <w:rFonts w:ascii="Arial" w:hAnsi="Arial" w:cs="Arial"/>
                <w:sz w:val="16"/>
                <w:szCs w:val="16"/>
              </w:rPr>
              <w:t> </w:t>
            </w:r>
          </w:p>
        </w:tc>
        <w:tc>
          <w:tcPr>
            <w:tcW w:w="839" w:type="dxa"/>
            <w:tcBorders>
              <w:top w:val="nil"/>
              <w:left w:val="nil"/>
              <w:bottom w:val="single" w:color="auto" w:sz="4" w:space="0"/>
              <w:right w:val="single" w:color="auto" w:sz="4" w:space="0"/>
            </w:tcBorders>
            <w:vAlign w:val="bottom"/>
          </w:tcPr>
          <w:p w:rsidR="003B0815" w:rsidRDefault="003B0815" w14:paraId="7405A142" w14:textId="77777777">
            <w:pPr>
              <w:jc w:val="center"/>
              <w:rPr>
                <w:rFonts w:ascii="Arial" w:hAnsi="Arial" w:cs="Arial"/>
                <w:sz w:val="16"/>
                <w:szCs w:val="16"/>
              </w:rPr>
            </w:pPr>
            <w:r>
              <w:rPr>
                <w:rFonts w:ascii="Arial" w:hAnsi="Arial" w:cs="Arial"/>
                <w:sz w:val="16"/>
                <w:szCs w:val="16"/>
              </w:rPr>
              <w:t>7%</w:t>
            </w:r>
            <w:r>
              <w:rPr>
                <w:rFonts w:ascii="Arial" w:hAnsi="Arial" w:cs="Arial"/>
                <w:sz w:val="16"/>
                <w:szCs w:val="16"/>
              </w:rPr>
              <w:br/>
              <w:t>Discount</w:t>
            </w:r>
          </w:p>
        </w:tc>
        <w:tc>
          <w:tcPr>
            <w:tcW w:w="1591" w:type="dxa"/>
            <w:tcBorders>
              <w:top w:val="nil"/>
              <w:left w:val="nil"/>
              <w:bottom w:val="single" w:color="auto" w:sz="4" w:space="0"/>
              <w:right w:val="single" w:color="auto" w:sz="4" w:space="0"/>
            </w:tcBorders>
            <w:vAlign w:val="bottom"/>
          </w:tcPr>
          <w:p w:rsidR="003B0815" w:rsidRDefault="003B0815" w14:paraId="17084456" w14:textId="77777777">
            <w:pPr>
              <w:jc w:val="center"/>
              <w:rPr>
                <w:rFonts w:ascii="Arial" w:hAnsi="Arial" w:cs="Arial"/>
                <w:sz w:val="16"/>
                <w:szCs w:val="16"/>
              </w:rPr>
            </w:pPr>
            <w:r>
              <w:rPr>
                <w:rFonts w:ascii="Arial" w:hAnsi="Arial" w:cs="Arial"/>
                <w:sz w:val="16"/>
                <w:szCs w:val="16"/>
              </w:rPr>
              <w:t>3%</w:t>
            </w:r>
            <w:r>
              <w:rPr>
                <w:rFonts w:ascii="Arial" w:hAnsi="Arial" w:cs="Arial"/>
                <w:sz w:val="16"/>
                <w:szCs w:val="16"/>
              </w:rPr>
              <w:br/>
              <w:t>Discount</w:t>
            </w:r>
          </w:p>
        </w:tc>
      </w:tr>
      <w:tr w:rsidR="003B0815" w14:paraId="053AE046"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2A9A4FD4" w14:textId="77777777">
            <w:pPr>
              <w:jc w:val="center"/>
              <w:rPr>
                <w:rFonts w:ascii="Arial" w:hAnsi="Arial" w:cs="Arial"/>
                <w:sz w:val="18"/>
                <w:szCs w:val="18"/>
              </w:rPr>
            </w:pPr>
            <w:r>
              <w:rPr>
                <w:rFonts w:ascii="Arial" w:hAnsi="Arial" w:cs="Arial"/>
                <w:sz w:val="18"/>
                <w:szCs w:val="18"/>
              </w:rPr>
              <w:t>1</w:t>
            </w:r>
          </w:p>
        </w:tc>
        <w:tc>
          <w:tcPr>
            <w:tcW w:w="867" w:type="dxa"/>
            <w:tcBorders>
              <w:top w:val="nil"/>
              <w:left w:val="nil"/>
              <w:bottom w:val="single" w:color="auto" w:sz="4" w:space="0"/>
              <w:right w:val="single" w:color="auto" w:sz="4" w:space="0"/>
            </w:tcBorders>
            <w:vAlign w:val="bottom"/>
          </w:tcPr>
          <w:p w:rsidR="003B0815" w:rsidRDefault="003B0815" w14:paraId="7CF54736" w14:textId="77777777">
            <w:pPr>
              <w:jc w:val="right"/>
              <w:rPr>
                <w:rFonts w:ascii="Arial" w:hAnsi="Arial" w:cs="Arial"/>
                <w:sz w:val="18"/>
                <w:szCs w:val="18"/>
              </w:rPr>
            </w:pPr>
            <w:r>
              <w:rPr>
                <w:rFonts w:ascii="Arial" w:hAnsi="Arial" w:cs="Arial"/>
                <w:sz w:val="18"/>
                <w:szCs w:val="18"/>
              </w:rPr>
              <w:t>$22.66</w:t>
            </w:r>
          </w:p>
        </w:tc>
        <w:tc>
          <w:tcPr>
            <w:tcW w:w="867" w:type="dxa"/>
            <w:tcBorders>
              <w:top w:val="nil"/>
              <w:left w:val="nil"/>
              <w:bottom w:val="single" w:color="auto" w:sz="4" w:space="0"/>
              <w:right w:val="single" w:color="auto" w:sz="4" w:space="0"/>
            </w:tcBorders>
            <w:vAlign w:val="bottom"/>
          </w:tcPr>
          <w:p w:rsidR="003B0815" w:rsidRDefault="003B0815" w14:paraId="68B9E298" w14:textId="77777777">
            <w:pPr>
              <w:jc w:val="right"/>
              <w:rPr>
                <w:rFonts w:ascii="Arial" w:hAnsi="Arial" w:cs="Arial"/>
                <w:sz w:val="18"/>
                <w:szCs w:val="18"/>
              </w:rPr>
            </w:pPr>
            <w:r>
              <w:rPr>
                <w:rFonts w:ascii="Arial" w:hAnsi="Arial" w:cs="Arial"/>
                <w:sz w:val="18"/>
                <w:szCs w:val="18"/>
              </w:rPr>
              <w:t xml:space="preserve">$21.18 </w:t>
            </w:r>
          </w:p>
        </w:tc>
        <w:tc>
          <w:tcPr>
            <w:tcW w:w="867" w:type="dxa"/>
            <w:tcBorders>
              <w:top w:val="nil"/>
              <w:left w:val="nil"/>
              <w:bottom w:val="single" w:color="auto" w:sz="4" w:space="0"/>
              <w:right w:val="single" w:color="auto" w:sz="4" w:space="0"/>
            </w:tcBorders>
            <w:vAlign w:val="bottom"/>
          </w:tcPr>
          <w:p w:rsidR="003B0815" w:rsidRDefault="003B0815" w14:paraId="3E36C459" w14:textId="77777777">
            <w:pPr>
              <w:jc w:val="right"/>
              <w:rPr>
                <w:rFonts w:ascii="Arial" w:hAnsi="Arial" w:cs="Arial"/>
                <w:sz w:val="18"/>
                <w:szCs w:val="18"/>
              </w:rPr>
            </w:pPr>
            <w:r>
              <w:rPr>
                <w:rFonts w:ascii="Arial" w:hAnsi="Arial" w:cs="Arial"/>
                <w:sz w:val="18"/>
                <w:szCs w:val="18"/>
              </w:rPr>
              <w:t xml:space="preserve">$22.00 </w:t>
            </w:r>
          </w:p>
        </w:tc>
        <w:tc>
          <w:tcPr>
            <w:tcW w:w="867" w:type="dxa"/>
            <w:tcBorders>
              <w:top w:val="nil"/>
              <w:left w:val="nil"/>
              <w:bottom w:val="single" w:color="auto" w:sz="4" w:space="0"/>
              <w:right w:val="single" w:color="auto" w:sz="4" w:space="0"/>
            </w:tcBorders>
            <w:vAlign w:val="bottom"/>
          </w:tcPr>
          <w:p w:rsidR="003B0815" w:rsidRDefault="003B0815" w14:paraId="56177015" w14:textId="77777777">
            <w:pPr>
              <w:jc w:val="right"/>
              <w:rPr>
                <w:rFonts w:ascii="Arial" w:hAnsi="Arial" w:cs="Arial"/>
                <w:sz w:val="18"/>
                <w:szCs w:val="18"/>
              </w:rPr>
            </w:pPr>
            <w:r>
              <w:rPr>
                <w:rFonts w:ascii="Arial" w:hAnsi="Arial" w:cs="Arial"/>
                <w:sz w:val="18"/>
                <w:szCs w:val="18"/>
              </w:rPr>
              <w:t xml:space="preserve">$27.16 </w:t>
            </w:r>
          </w:p>
        </w:tc>
        <w:tc>
          <w:tcPr>
            <w:tcW w:w="867" w:type="dxa"/>
            <w:tcBorders>
              <w:top w:val="nil"/>
              <w:left w:val="nil"/>
              <w:bottom w:val="single" w:color="auto" w:sz="4" w:space="0"/>
              <w:right w:val="single" w:color="auto" w:sz="4" w:space="0"/>
            </w:tcBorders>
            <w:noWrap/>
            <w:vAlign w:val="bottom"/>
          </w:tcPr>
          <w:p w:rsidR="003B0815" w:rsidRDefault="003B0815" w14:paraId="5C33C918" w14:textId="77777777">
            <w:pPr>
              <w:jc w:val="right"/>
              <w:rPr>
                <w:rFonts w:ascii="Arial" w:hAnsi="Arial" w:cs="Arial"/>
                <w:sz w:val="18"/>
                <w:szCs w:val="18"/>
              </w:rPr>
            </w:pPr>
            <w:r>
              <w:rPr>
                <w:rFonts w:ascii="Arial" w:hAnsi="Arial" w:cs="Arial"/>
                <w:sz w:val="18"/>
                <w:szCs w:val="18"/>
              </w:rPr>
              <w:t xml:space="preserve">$25.48 </w:t>
            </w:r>
          </w:p>
        </w:tc>
        <w:tc>
          <w:tcPr>
            <w:tcW w:w="867" w:type="dxa"/>
            <w:tcBorders>
              <w:top w:val="nil"/>
              <w:left w:val="nil"/>
              <w:bottom w:val="single" w:color="auto" w:sz="4" w:space="0"/>
              <w:right w:val="single" w:color="auto" w:sz="4" w:space="0"/>
            </w:tcBorders>
            <w:noWrap/>
            <w:vAlign w:val="bottom"/>
          </w:tcPr>
          <w:p w:rsidR="003B0815" w:rsidRDefault="003B0815" w14:paraId="49B67409" w14:textId="77777777">
            <w:pPr>
              <w:jc w:val="right"/>
              <w:rPr>
                <w:rFonts w:ascii="Arial" w:hAnsi="Arial" w:cs="Arial"/>
                <w:sz w:val="18"/>
                <w:szCs w:val="18"/>
              </w:rPr>
            </w:pPr>
            <w:r>
              <w:rPr>
                <w:rFonts w:ascii="Arial" w:hAnsi="Arial" w:cs="Arial"/>
                <w:sz w:val="18"/>
                <w:szCs w:val="18"/>
              </w:rPr>
              <w:t xml:space="preserve">$26.40 </w:t>
            </w:r>
          </w:p>
        </w:tc>
        <w:tc>
          <w:tcPr>
            <w:tcW w:w="867" w:type="dxa"/>
            <w:tcBorders>
              <w:top w:val="nil"/>
              <w:left w:val="nil"/>
              <w:bottom w:val="single" w:color="auto" w:sz="4" w:space="0"/>
              <w:right w:val="single" w:color="auto" w:sz="4" w:space="0"/>
            </w:tcBorders>
            <w:noWrap/>
            <w:vAlign w:val="bottom"/>
          </w:tcPr>
          <w:p w:rsidR="003B0815" w:rsidRDefault="003B0815" w14:paraId="778E60B2" w14:textId="77777777">
            <w:pPr>
              <w:jc w:val="right"/>
              <w:rPr>
                <w:rFonts w:ascii="Arial" w:hAnsi="Arial" w:cs="Arial"/>
                <w:sz w:val="18"/>
                <w:szCs w:val="18"/>
              </w:rPr>
            </w:pPr>
            <w:r>
              <w:rPr>
                <w:rFonts w:ascii="Arial" w:hAnsi="Arial" w:cs="Arial"/>
                <w:sz w:val="18"/>
                <w:szCs w:val="18"/>
              </w:rPr>
              <w:t xml:space="preserve">$33.06 </w:t>
            </w:r>
          </w:p>
        </w:tc>
        <w:tc>
          <w:tcPr>
            <w:tcW w:w="867" w:type="dxa"/>
            <w:tcBorders>
              <w:top w:val="nil"/>
              <w:left w:val="nil"/>
              <w:bottom w:val="single" w:color="auto" w:sz="4" w:space="0"/>
              <w:right w:val="single" w:color="auto" w:sz="4" w:space="0"/>
            </w:tcBorders>
            <w:noWrap/>
            <w:vAlign w:val="bottom"/>
          </w:tcPr>
          <w:p w:rsidR="003B0815" w:rsidRDefault="003B0815" w14:paraId="2C208E4B" w14:textId="77777777">
            <w:pPr>
              <w:jc w:val="right"/>
              <w:rPr>
                <w:rFonts w:ascii="Arial" w:hAnsi="Arial" w:cs="Arial"/>
                <w:sz w:val="18"/>
                <w:szCs w:val="18"/>
              </w:rPr>
            </w:pPr>
            <w:r>
              <w:rPr>
                <w:rFonts w:ascii="Arial" w:hAnsi="Arial" w:cs="Arial"/>
                <w:sz w:val="18"/>
                <w:szCs w:val="18"/>
              </w:rPr>
              <w:t xml:space="preserve">$30.88 </w:t>
            </w:r>
          </w:p>
        </w:tc>
        <w:tc>
          <w:tcPr>
            <w:tcW w:w="867" w:type="dxa"/>
            <w:tcBorders>
              <w:top w:val="nil"/>
              <w:left w:val="nil"/>
              <w:bottom w:val="single" w:color="auto" w:sz="4" w:space="0"/>
              <w:right w:val="single" w:color="auto" w:sz="4" w:space="0"/>
            </w:tcBorders>
            <w:noWrap/>
            <w:vAlign w:val="bottom"/>
          </w:tcPr>
          <w:p w:rsidR="003B0815" w:rsidRDefault="003B0815" w14:paraId="77FF9003" w14:textId="77777777">
            <w:pPr>
              <w:jc w:val="right"/>
              <w:rPr>
                <w:rFonts w:ascii="Arial" w:hAnsi="Arial" w:cs="Arial"/>
                <w:sz w:val="18"/>
                <w:szCs w:val="18"/>
              </w:rPr>
            </w:pPr>
            <w:r>
              <w:rPr>
                <w:rFonts w:ascii="Arial" w:hAnsi="Arial" w:cs="Arial"/>
                <w:sz w:val="18"/>
                <w:szCs w:val="18"/>
              </w:rPr>
              <w:t xml:space="preserve">$32.10 </w:t>
            </w:r>
          </w:p>
        </w:tc>
        <w:tc>
          <w:tcPr>
            <w:tcW w:w="667" w:type="dxa"/>
            <w:tcBorders>
              <w:top w:val="nil"/>
              <w:left w:val="nil"/>
              <w:bottom w:val="single" w:color="auto" w:sz="4" w:space="0"/>
              <w:right w:val="single" w:color="auto" w:sz="4" w:space="0"/>
            </w:tcBorders>
            <w:noWrap/>
            <w:vAlign w:val="bottom"/>
          </w:tcPr>
          <w:p w:rsidR="003B0815" w:rsidRDefault="003B0815" w14:paraId="2244A8D8" w14:textId="77777777">
            <w:pPr>
              <w:jc w:val="right"/>
              <w:rPr>
                <w:rFonts w:ascii="Arial" w:hAnsi="Arial" w:cs="Arial"/>
                <w:sz w:val="18"/>
                <w:szCs w:val="18"/>
              </w:rPr>
            </w:pPr>
            <w:r>
              <w:rPr>
                <w:rFonts w:ascii="Arial" w:hAnsi="Arial" w:cs="Arial"/>
                <w:sz w:val="18"/>
                <w:szCs w:val="20"/>
              </w:rPr>
              <w:t xml:space="preserve">$33.06 </w:t>
            </w:r>
          </w:p>
        </w:tc>
        <w:tc>
          <w:tcPr>
            <w:tcW w:w="839" w:type="dxa"/>
            <w:tcBorders>
              <w:top w:val="nil"/>
              <w:left w:val="nil"/>
              <w:bottom w:val="single" w:color="auto" w:sz="4" w:space="0"/>
              <w:right w:val="single" w:color="auto" w:sz="4" w:space="0"/>
            </w:tcBorders>
            <w:noWrap/>
            <w:vAlign w:val="bottom"/>
          </w:tcPr>
          <w:p w:rsidR="003B0815" w:rsidRDefault="003B0815" w14:paraId="3F0E33B8" w14:textId="77777777">
            <w:pPr>
              <w:jc w:val="right"/>
              <w:rPr>
                <w:rFonts w:ascii="Arial" w:hAnsi="Arial" w:cs="Arial"/>
                <w:sz w:val="18"/>
                <w:szCs w:val="18"/>
              </w:rPr>
            </w:pPr>
            <w:r>
              <w:rPr>
                <w:rFonts w:ascii="Arial" w:hAnsi="Arial" w:cs="Arial"/>
                <w:sz w:val="18"/>
                <w:szCs w:val="20"/>
              </w:rPr>
              <w:t xml:space="preserve">$30.88 </w:t>
            </w:r>
          </w:p>
        </w:tc>
        <w:tc>
          <w:tcPr>
            <w:tcW w:w="1591" w:type="dxa"/>
            <w:tcBorders>
              <w:top w:val="nil"/>
              <w:left w:val="nil"/>
              <w:bottom w:val="single" w:color="auto" w:sz="4" w:space="0"/>
              <w:right w:val="single" w:color="auto" w:sz="4" w:space="0"/>
            </w:tcBorders>
            <w:noWrap/>
            <w:vAlign w:val="bottom"/>
          </w:tcPr>
          <w:p w:rsidR="003B0815" w:rsidRDefault="003B0815" w14:paraId="1EE2FE1A" w14:textId="77777777">
            <w:pPr>
              <w:jc w:val="right"/>
              <w:rPr>
                <w:rFonts w:ascii="Arial" w:hAnsi="Arial" w:cs="Arial"/>
                <w:sz w:val="18"/>
                <w:szCs w:val="18"/>
              </w:rPr>
            </w:pPr>
            <w:r>
              <w:rPr>
                <w:rFonts w:ascii="Arial" w:hAnsi="Arial" w:cs="Arial"/>
                <w:sz w:val="18"/>
                <w:szCs w:val="20"/>
              </w:rPr>
              <w:t xml:space="preserve">$32.10 </w:t>
            </w:r>
          </w:p>
        </w:tc>
      </w:tr>
      <w:tr w:rsidR="003B0815" w14:paraId="0D840F5C"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3EBA9314" w14:textId="77777777">
            <w:pPr>
              <w:jc w:val="center"/>
              <w:rPr>
                <w:rFonts w:ascii="Arial" w:hAnsi="Arial" w:cs="Arial"/>
                <w:sz w:val="18"/>
                <w:szCs w:val="18"/>
              </w:rPr>
            </w:pPr>
            <w:r>
              <w:rPr>
                <w:rFonts w:ascii="Arial" w:hAnsi="Arial" w:cs="Arial"/>
                <w:sz w:val="18"/>
                <w:szCs w:val="18"/>
              </w:rPr>
              <w:t>2</w:t>
            </w:r>
          </w:p>
        </w:tc>
        <w:tc>
          <w:tcPr>
            <w:tcW w:w="867" w:type="dxa"/>
            <w:tcBorders>
              <w:top w:val="nil"/>
              <w:left w:val="nil"/>
              <w:bottom w:val="single" w:color="auto" w:sz="4" w:space="0"/>
              <w:right w:val="single" w:color="auto" w:sz="4" w:space="0"/>
            </w:tcBorders>
            <w:vAlign w:val="bottom"/>
          </w:tcPr>
          <w:p w:rsidR="003B0815" w:rsidRDefault="003B0815" w14:paraId="16A94235" w14:textId="77777777">
            <w:pPr>
              <w:jc w:val="right"/>
              <w:rPr>
                <w:rFonts w:ascii="Arial" w:hAnsi="Arial" w:cs="Arial"/>
                <w:sz w:val="18"/>
                <w:szCs w:val="18"/>
              </w:rPr>
            </w:pPr>
            <w:r>
              <w:rPr>
                <w:rFonts w:ascii="Arial" w:hAnsi="Arial" w:cs="Arial"/>
                <w:sz w:val="18"/>
                <w:szCs w:val="18"/>
              </w:rPr>
              <w:t>$39.42</w:t>
            </w:r>
          </w:p>
        </w:tc>
        <w:tc>
          <w:tcPr>
            <w:tcW w:w="867" w:type="dxa"/>
            <w:tcBorders>
              <w:top w:val="nil"/>
              <w:left w:val="nil"/>
              <w:bottom w:val="single" w:color="auto" w:sz="4" w:space="0"/>
              <w:right w:val="single" w:color="auto" w:sz="4" w:space="0"/>
            </w:tcBorders>
            <w:vAlign w:val="bottom"/>
          </w:tcPr>
          <w:p w:rsidR="003B0815" w:rsidRDefault="003B0815" w14:paraId="765D99DB" w14:textId="77777777">
            <w:pPr>
              <w:jc w:val="right"/>
              <w:rPr>
                <w:rFonts w:ascii="Arial" w:hAnsi="Arial" w:cs="Arial"/>
                <w:sz w:val="18"/>
                <w:szCs w:val="18"/>
              </w:rPr>
            </w:pPr>
            <w:r>
              <w:rPr>
                <w:rFonts w:ascii="Arial" w:hAnsi="Arial" w:cs="Arial"/>
                <w:sz w:val="18"/>
                <w:szCs w:val="18"/>
              </w:rPr>
              <w:t xml:space="preserve">$34.43 </w:t>
            </w:r>
          </w:p>
        </w:tc>
        <w:tc>
          <w:tcPr>
            <w:tcW w:w="867" w:type="dxa"/>
            <w:tcBorders>
              <w:top w:val="nil"/>
              <w:left w:val="nil"/>
              <w:bottom w:val="single" w:color="auto" w:sz="4" w:space="0"/>
              <w:right w:val="single" w:color="auto" w:sz="4" w:space="0"/>
            </w:tcBorders>
            <w:vAlign w:val="bottom"/>
          </w:tcPr>
          <w:p w:rsidR="003B0815" w:rsidRDefault="003B0815" w14:paraId="7FE46602" w14:textId="77777777">
            <w:pPr>
              <w:jc w:val="right"/>
              <w:rPr>
                <w:rFonts w:ascii="Arial" w:hAnsi="Arial" w:cs="Arial"/>
                <w:sz w:val="18"/>
                <w:szCs w:val="18"/>
              </w:rPr>
            </w:pPr>
            <w:r>
              <w:rPr>
                <w:rFonts w:ascii="Arial" w:hAnsi="Arial" w:cs="Arial"/>
                <w:sz w:val="18"/>
                <w:szCs w:val="18"/>
              </w:rPr>
              <w:t xml:space="preserve">$37.16 </w:t>
            </w:r>
          </w:p>
        </w:tc>
        <w:tc>
          <w:tcPr>
            <w:tcW w:w="867" w:type="dxa"/>
            <w:tcBorders>
              <w:top w:val="nil"/>
              <w:left w:val="nil"/>
              <w:bottom w:val="single" w:color="auto" w:sz="4" w:space="0"/>
              <w:right w:val="single" w:color="auto" w:sz="4" w:space="0"/>
            </w:tcBorders>
            <w:vAlign w:val="bottom"/>
          </w:tcPr>
          <w:p w:rsidR="003B0815" w:rsidRDefault="003B0815" w14:paraId="782A59E0" w14:textId="77777777">
            <w:pPr>
              <w:jc w:val="right"/>
              <w:rPr>
                <w:rFonts w:ascii="Arial" w:hAnsi="Arial" w:cs="Arial"/>
                <w:sz w:val="18"/>
                <w:szCs w:val="18"/>
              </w:rPr>
            </w:pPr>
            <w:r>
              <w:rPr>
                <w:rFonts w:ascii="Arial" w:hAnsi="Arial" w:cs="Arial"/>
                <w:sz w:val="18"/>
                <w:szCs w:val="18"/>
              </w:rPr>
              <w:t xml:space="preserve">$40.72 </w:t>
            </w:r>
          </w:p>
        </w:tc>
        <w:tc>
          <w:tcPr>
            <w:tcW w:w="867" w:type="dxa"/>
            <w:tcBorders>
              <w:top w:val="nil"/>
              <w:left w:val="nil"/>
              <w:bottom w:val="single" w:color="auto" w:sz="4" w:space="0"/>
              <w:right w:val="single" w:color="auto" w:sz="4" w:space="0"/>
            </w:tcBorders>
            <w:noWrap/>
            <w:vAlign w:val="bottom"/>
          </w:tcPr>
          <w:p w:rsidR="003B0815" w:rsidRDefault="003B0815" w14:paraId="0BC6F006" w14:textId="77777777">
            <w:pPr>
              <w:jc w:val="right"/>
              <w:rPr>
                <w:rFonts w:ascii="Arial" w:hAnsi="Arial" w:cs="Arial"/>
                <w:sz w:val="18"/>
                <w:szCs w:val="18"/>
              </w:rPr>
            </w:pPr>
            <w:r>
              <w:rPr>
                <w:rFonts w:ascii="Arial" w:hAnsi="Arial" w:cs="Arial"/>
                <w:sz w:val="18"/>
                <w:szCs w:val="18"/>
              </w:rPr>
              <w:t xml:space="preserve">$35.63 </w:t>
            </w:r>
          </w:p>
        </w:tc>
        <w:tc>
          <w:tcPr>
            <w:tcW w:w="867" w:type="dxa"/>
            <w:tcBorders>
              <w:top w:val="nil"/>
              <w:left w:val="nil"/>
              <w:bottom w:val="single" w:color="auto" w:sz="4" w:space="0"/>
              <w:right w:val="single" w:color="auto" w:sz="4" w:space="0"/>
            </w:tcBorders>
            <w:noWrap/>
            <w:vAlign w:val="bottom"/>
          </w:tcPr>
          <w:p w:rsidR="003B0815" w:rsidRDefault="003B0815" w14:paraId="69F2BD37" w14:textId="77777777">
            <w:pPr>
              <w:jc w:val="right"/>
              <w:rPr>
                <w:rFonts w:ascii="Arial" w:hAnsi="Arial" w:cs="Arial"/>
                <w:sz w:val="18"/>
                <w:szCs w:val="18"/>
              </w:rPr>
            </w:pPr>
            <w:r>
              <w:rPr>
                <w:rFonts w:ascii="Arial" w:hAnsi="Arial" w:cs="Arial"/>
                <w:sz w:val="18"/>
                <w:szCs w:val="18"/>
              </w:rPr>
              <w:t xml:space="preserve">$38.36 </w:t>
            </w:r>
          </w:p>
        </w:tc>
        <w:tc>
          <w:tcPr>
            <w:tcW w:w="867" w:type="dxa"/>
            <w:tcBorders>
              <w:top w:val="nil"/>
              <w:left w:val="nil"/>
              <w:bottom w:val="single" w:color="auto" w:sz="4" w:space="0"/>
              <w:right w:val="single" w:color="auto" w:sz="4" w:space="0"/>
            </w:tcBorders>
            <w:noWrap/>
            <w:vAlign w:val="bottom"/>
          </w:tcPr>
          <w:p w:rsidR="003B0815" w:rsidRDefault="003B0815" w14:paraId="2051D92C" w14:textId="77777777">
            <w:pPr>
              <w:jc w:val="right"/>
              <w:rPr>
                <w:rFonts w:ascii="Arial" w:hAnsi="Arial" w:cs="Arial"/>
                <w:sz w:val="18"/>
                <w:szCs w:val="18"/>
              </w:rPr>
            </w:pPr>
            <w:r>
              <w:rPr>
                <w:rFonts w:ascii="Arial" w:hAnsi="Arial" w:cs="Arial"/>
                <w:sz w:val="18"/>
                <w:szCs w:val="18"/>
              </w:rPr>
              <w:t xml:space="preserve">$42.42 </w:t>
            </w:r>
          </w:p>
        </w:tc>
        <w:tc>
          <w:tcPr>
            <w:tcW w:w="867" w:type="dxa"/>
            <w:tcBorders>
              <w:top w:val="nil"/>
              <w:left w:val="nil"/>
              <w:bottom w:val="single" w:color="auto" w:sz="4" w:space="0"/>
              <w:right w:val="single" w:color="auto" w:sz="4" w:space="0"/>
            </w:tcBorders>
            <w:noWrap/>
            <w:vAlign w:val="bottom"/>
          </w:tcPr>
          <w:p w:rsidR="003B0815" w:rsidRDefault="003B0815" w14:paraId="7F053FED" w14:textId="77777777">
            <w:pPr>
              <w:jc w:val="right"/>
              <w:rPr>
                <w:rFonts w:ascii="Arial" w:hAnsi="Arial" w:cs="Arial"/>
                <w:sz w:val="18"/>
                <w:szCs w:val="18"/>
              </w:rPr>
            </w:pPr>
            <w:r>
              <w:rPr>
                <w:rFonts w:ascii="Arial" w:hAnsi="Arial" w:cs="Arial"/>
                <w:sz w:val="18"/>
                <w:szCs w:val="18"/>
              </w:rPr>
              <w:t xml:space="preserve">$37.13 </w:t>
            </w:r>
          </w:p>
        </w:tc>
        <w:tc>
          <w:tcPr>
            <w:tcW w:w="867" w:type="dxa"/>
            <w:tcBorders>
              <w:top w:val="nil"/>
              <w:left w:val="nil"/>
              <w:bottom w:val="single" w:color="auto" w:sz="4" w:space="0"/>
              <w:right w:val="single" w:color="auto" w:sz="4" w:space="0"/>
            </w:tcBorders>
            <w:noWrap/>
            <w:vAlign w:val="bottom"/>
          </w:tcPr>
          <w:p w:rsidR="003B0815" w:rsidRDefault="003B0815" w14:paraId="07726A3A" w14:textId="77777777">
            <w:pPr>
              <w:jc w:val="right"/>
              <w:rPr>
                <w:rFonts w:ascii="Arial" w:hAnsi="Arial" w:cs="Arial"/>
                <w:sz w:val="18"/>
                <w:szCs w:val="18"/>
              </w:rPr>
            </w:pPr>
            <w:r>
              <w:rPr>
                <w:rFonts w:ascii="Arial" w:hAnsi="Arial" w:cs="Arial"/>
                <w:sz w:val="18"/>
                <w:szCs w:val="18"/>
              </w:rPr>
              <w:t xml:space="preserve">$40.06 </w:t>
            </w:r>
          </w:p>
        </w:tc>
        <w:tc>
          <w:tcPr>
            <w:tcW w:w="667" w:type="dxa"/>
            <w:tcBorders>
              <w:top w:val="nil"/>
              <w:left w:val="nil"/>
              <w:bottom w:val="single" w:color="auto" w:sz="4" w:space="0"/>
              <w:right w:val="single" w:color="auto" w:sz="4" w:space="0"/>
            </w:tcBorders>
            <w:noWrap/>
            <w:vAlign w:val="bottom"/>
          </w:tcPr>
          <w:p w:rsidR="003B0815" w:rsidRDefault="003B0815" w14:paraId="4B61E1C0" w14:textId="77777777">
            <w:pPr>
              <w:jc w:val="right"/>
              <w:rPr>
                <w:rFonts w:ascii="Arial" w:hAnsi="Arial" w:cs="Arial"/>
                <w:sz w:val="18"/>
                <w:szCs w:val="18"/>
              </w:rPr>
            </w:pPr>
            <w:r>
              <w:rPr>
                <w:rFonts w:ascii="Arial" w:hAnsi="Arial" w:cs="Arial"/>
                <w:sz w:val="18"/>
                <w:szCs w:val="20"/>
              </w:rPr>
              <w:t xml:space="preserve">$42.42 </w:t>
            </w:r>
          </w:p>
        </w:tc>
        <w:tc>
          <w:tcPr>
            <w:tcW w:w="839" w:type="dxa"/>
            <w:tcBorders>
              <w:top w:val="nil"/>
              <w:left w:val="nil"/>
              <w:bottom w:val="single" w:color="auto" w:sz="4" w:space="0"/>
              <w:right w:val="single" w:color="auto" w:sz="4" w:space="0"/>
            </w:tcBorders>
            <w:noWrap/>
            <w:vAlign w:val="bottom"/>
          </w:tcPr>
          <w:p w:rsidR="003B0815" w:rsidRDefault="003B0815" w14:paraId="051E62D0" w14:textId="77777777">
            <w:pPr>
              <w:jc w:val="right"/>
              <w:rPr>
                <w:rFonts w:ascii="Arial" w:hAnsi="Arial" w:cs="Arial"/>
                <w:sz w:val="18"/>
                <w:szCs w:val="18"/>
              </w:rPr>
            </w:pPr>
            <w:r>
              <w:rPr>
                <w:rFonts w:ascii="Arial" w:hAnsi="Arial" w:cs="Arial"/>
                <w:sz w:val="18"/>
                <w:szCs w:val="20"/>
              </w:rPr>
              <w:t xml:space="preserve">$37.13 </w:t>
            </w:r>
          </w:p>
        </w:tc>
        <w:tc>
          <w:tcPr>
            <w:tcW w:w="1591" w:type="dxa"/>
            <w:tcBorders>
              <w:top w:val="nil"/>
              <w:left w:val="nil"/>
              <w:bottom w:val="single" w:color="auto" w:sz="4" w:space="0"/>
              <w:right w:val="single" w:color="auto" w:sz="4" w:space="0"/>
            </w:tcBorders>
            <w:noWrap/>
            <w:vAlign w:val="bottom"/>
          </w:tcPr>
          <w:p w:rsidR="003B0815" w:rsidRDefault="003B0815" w14:paraId="79C173CA" w14:textId="77777777">
            <w:pPr>
              <w:jc w:val="right"/>
              <w:rPr>
                <w:rFonts w:ascii="Arial" w:hAnsi="Arial" w:cs="Arial"/>
                <w:sz w:val="18"/>
                <w:szCs w:val="18"/>
              </w:rPr>
            </w:pPr>
            <w:r>
              <w:rPr>
                <w:rFonts w:ascii="Arial" w:hAnsi="Arial" w:cs="Arial"/>
                <w:sz w:val="18"/>
                <w:szCs w:val="20"/>
              </w:rPr>
              <w:t xml:space="preserve">$40.06 </w:t>
            </w:r>
          </w:p>
        </w:tc>
      </w:tr>
      <w:tr w:rsidR="003B0815" w14:paraId="0A618783"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1E4E0362" w14:textId="77777777">
            <w:pPr>
              <w:jc w:val="center"/>
              <w:rPr>
                <w:rFonts w:ascii="Arial" w:hAnsi="Arial" w:cs="Arial"/>
                <w:sz w:val="18"/>
                <w:szCs w:val="18"/>
              </w:rPr>
            </w:pPr>
            <w:r>
              <w:rPr>
                <w:rFonts w:ascii="Arial" w:hAnsi="Arial" w:cs="Arial"/>
                <w:sz w:val="18"/>
                <w:szCs w:val="18"/>
              </w:rPr>
              <w:t>3</w:t>
            </w:r>
          </w:p>
        </w:tc>
        <w:tc>
          <w:tcPr>
            <w:tcW w:w="867" w:type="dxa"/>
            <w:tcBorders>
              <w:top w:val="nil"/>
              <w:left w:val="nil"/>
              <w:bottom w:val="single" w:color="auto" w:sz="4" w:space="0"/>
              <w:right w:val="single" w:color="auto" w:sz="4" w:space="0"/>
            </w:tcBorders>
            <w:vAlign w:val="bottom"/>
          </w:tcPr>
          <w:p w:rsidR="003B0815" w:rsidRDefault="003B0815" w14:paraId="31E47A9A" w14:textId="77777777">
            <w:pPr>
              <w:jc w:val="right"/>
              <w:rPr>
                <w:rFonts w:ascii="Arial" w:hAnsi="Arial" w:cs="Arial"/>
                <w:sz w:val="18"/>
                <w:szCs w:val="18"/>
              </w:rPr>
            </w:pPr>
            <w:r>
              <w:rPr>
                <w:rFonts w:ascii="Arial" w:hAnsi="Arial" w:cs="Arial"/>
                <w:sz w:val="18"/>
                <w:szCs w:val="18"/>
              </w:rPr>
              <w:t>$43.38</w:t>
            </w:r>
          </w:p>
        </w:tc>
        <w:tc>
          <w:tcPr>
            <w:tcW w:w="867" w:type="dxa"/>
            <w:tcBorders>
              <w:top w:val="nil"/>
              <w:left w:val="nil"/>
              <w:bottom w:val="single" w:color="auto" w:sz="4" w:space="0"/>
              <w:right w:val="single" w:color="auto" w:sz="4" w:space="0"/>
            </w:tcBorders>
            <w:vAlign w:val="bottom"/>
          </w:tcPr>
          <w:p w:rsidR="003B0815" w:rsidRDefault="003B0815" w14:paraId="25404209" w14:textId="77777777">
            <w:pPr>
              <w:jc w:val="right"/>
              <w:rPr>
                <w:rFonts w:ascii="Arial" w:hAnsi="Arial" w:cs="Arial"/>
                <w:sz w:val="18"/>
                <w:szCs w:val="18"/>
              </w:rPr>
            </w:pPr>
            <w:r>
              <w:rPr>
                <w:rFonts w:ascii="Arial" w:hAnsi="Arial" w:cs="Arial"/>
                <w:sz w:val="18"/>
                <w:szCs w:val="18"/>
              </w:rPr>
              <w:t xml:space="preserve">$35.41 </w:t>
            </w:r>
          </w:p>
        </w:tc>
        <w:tc>
          <w:tcPr>
            <w:tcW w:w="867" w:type="dxa"/>
            <w:tcBorders>
              <w:top w:val="nil"/>
              <w:left w:val="nil"/>
              <w:bottom w:val="single" w:color="auto" w:sz="4" w:space="0"/>
              <w:right w:val="single" w:color="auto" w:sz="4" w:space="0"/>
            </w:tcBorders>
            <w:vAlign w:val="bottom"/>
          </w:tcPr>
          <w:p w:rsidR="003B0815" w:rsidRDefault="003B0815" w14:paraId="2D320FD0" w14:textId="77777777">
            <w:pPr>
              <w:jc w:val="right"/>
              <w:rPr>
                <w:rFonts w:ascii="Arial" w:hAnsi="Arial" w:cs="Arial"/>
                <w:sz w:val="18"/>
                <w:szCs w:val="18"/>
              </w:rPr>
            </w:pPr>
            <w:r>
              <w:rPr>
                <w:rFonts w:ascii="Arial" w:hAnsi="Arial" w:cs="Arial"/>
                <w:sz w:val="18"/>
                <w:szCs w:val="18"/>
              </w:rPr>
              <w:t xml:space="preserve">$39.70 </w:t>
            </w:r>
          </w:p>
        </w:tc>
        <w:tc>
          <w:tcPr>
            <w:tcW w:w="867" w:type="dxa"/>
            <w:tcBorders>
              <w:top w:val="nil"/>
              <w:left w:val="nil"/>
              <w:bottom w:val="single" w:color="auto" w:sz="4" w:space="0"/>
              <w:right w:val="single" w:color="auto" w:sz="4" w:space="0"/>
            </w:tcBorders>
            <w:vAlign w:val="bottom"/>
          </w:tcPr>
          <w:p w:rsidR="003B0815" w:rsidRDefault="003B0815" w14:paraId="74956F68" w14:textId="77777777">
            <w:pPr>
              <w:jc w:val="right"/>
              <w:rPr>
                <w:rFonts w:ascii="Arial" w:hAnsi="Arial" w:cs="Arial"/>
                <w:sz w:val="18"/>
                <w:szCs w:val="18"/>
              </w:rPr>
            </w:pPr>
            <w:r>
              <w:rPr>
                <w:rFonts w:ascii="Arial" w:hAnsi="Arial" w:cs="Arial"/>
                <w:sz w:val="18"/>
                <w:szCs w:val="18"/>
              </w:rPr>
              <w:t xml:space="preserve">$44.68 </w:t>
            </w:r>
          </w:p>
        </w:tc>
        <w:tc>
          <w:tcPr>
            <w:tcW w:w="867" w:type="dxa"/>
            <w:tcBorders>
              <w:top w:val="nil"/>
              <w:left w:val="nil"/>
              <w:bottom w:val="single" w:color="auto" w:sz="4" w:space="0"/>
              <w:right w:val="single" w:color="auto" w:sz="4" w:space="0"/>
            </w:tcBorders>
            <w:noWrap/>
            <w:vAlign w:val="bottom"/>
          </w:tcPr>
          <w:p w:rsidR="003B0815" w:rsidRDefault="003B0815" w14:paraId="23DFE89C" w14:textId="77777777">
            <w:pPr>
              <w:jc w:val="right"/>
              <w:rPr>
                <w:rFonts w:ascii="Arial" w:hAnsi="Arial" w:cs="Arial"/>
                <w:sz w:val="18"/>
                <w:szCs w:val="18"/>
              </w:rPr>
            </w:pPr>
            <w:r>
              <w:rPr>
                <w:rFonts w:ascii="Arial" w:hAnsi="Arial" w:cs="Arial"/>
                <w:sz w:val="18"/>
                <w:szCs w:val="18"/>
              </w:rPr>
              <w:t xml:space="preserve">$36.51 </w:t>
            </w:r>
          </w:p>
        </w:tc>
        <w:tc>
          <w:tcPr>
            <w:tcW w:w="867" w:type="dxa"/>
            <w:tcBorders>
              <w:top w:val="nil"/>
              <w:left w:val="nil"/>
              <w:bottom w:val="single" w:color="auto" w:sz="4" w:space="0"/>
              <w:right w:val="single" w:color="auto" w:sz="4" w:space="0"/>
            </w:tcBorders>
            <w:noWrap/>
            <w:vAlign w:val="bottom"/>
          </w:tcPr>
          <w:p w:rsidR="003B0815" w:rsidRDefault="003B0815" w14:paraId="5FEB7E03" w14:textId="77777777">
            <w:pPr>
              <w:jc w:val="right"/>
              <w:rPr>
                <w:rFonts w:ascii="Arial" w:hAnsi="Arial" w:cs="Arial"/>
                <w:sz w:val="18"/>
                <w:szCs w:val="18"/>
              </w:rPr>
            </w:pPr>
            <w:r>
              <w:rPr>
                <w:rFonts w:ascii="Arial" w:hAnsi="Arial" w:cs="Arial"/>
                <w:sz w:val="18"/>
                <w:szCs w:val="18"/>
              </w:rPr>
              <w:t xml:space="preserve">$40.90 </w:t>
            </w:r>
          </w:p>
        </w:tc>
        <w:tc>
          <w:tcPr>
            <w:tcW w:w="867" w:type="dxa"/>
            <w:tcBorders>
              <w:top w:val="nil"/>
              <w:left w:val="nil"/>
              <w:bottom w:val="single" w:color="auto" w:sz="4" w:space="0"/>
              <w:right w:val="single" w:color="auto" w:sz="4" w:space="0"/>
            </w:tcBorders>
            <w:noWrap/>
            <w:vAlign w:val="bottom"/>
          </w:tcPr>
          <w:p w:rsidR="003B0815" w:rsidRDefault="003B0815" w14:paraId="684E3505" w14:textId="77777777">
            <w:pPr>
              <w:jc w:val="right"/>
              <w:rPr>
                <w:rFonts w:ascii="Arial" w:hAnsi="Arial" w:cs="Arial"/>
                <w:sz w:val="18"/>
                <w:szCs w:val="18"/>
              </w:rPr>
            </w:pPr>
            <w:r>
              <w:rPr>
                <w:rFonts w:ascii="Arial" w:hAnsi="Arial" w:cs="Arial"/>
                <w:sz w:val="18"/>
                <w:szCs w:val="18"/>
              </w:rPr>
              <w:t xml:space="preserve">$46.38 </w:t>
            </w:r>
          </w:p>
        </w:tc>
        <w:tc>
          <w:tcPr>
            <w:tcW w:w="867" w:type="dxa"/>
            <w:tcBorders>
              <w:top w:val="nil"/>
              <w:left w:val="nil"/>
              <w:bottom w:val="single" w:color="auto" w:sz="4" w:space="0"/>
              <w:right w:val="single" w:color="auto" w:sz="4" w:space="0"/>
            </w:tcBorders>
            <w:noWrap/>
            <w:vAlign w:val="bottom"/>
          </w:tcPr>
          <w:p w:rsidR="003B0815" w:rsidRDefault="003B0815" w14:paraId="1B54EB4B" w14:textId="77777777">
            <w:pPr>
              <w:jc w:val="right"/>
              <w:rPr>
                <w:rFonts w:ascii="Arial" w:hAnsi="Arial" w:cs="Arial"/>
                <w:sz w:val="18"/>
                <w:szCs w:val="18"/>
              </w:rPr>
            </w:pPr>
            <w:r>
              <w:rPr>
                <w:rFonts w:ascii="Arial" w:hAnsi="Arial" w:cs="Arial"/>
                <w:sz w:val="18"/>
                <w:szCs w:val="18"/>
              </w:rPr>
              <w:t xml:space="preserve">$37.91 </w:t>
            </w:r>
          </w:p>
        </w:tc>
        <w:tc>
          <w:tcPr>
            <w:tcW w:w="867" w:type="dxa"/>
            <w:tcBorders>
              <w:top w:val="nil"/>
              <w:left w:val="nil"/>
              <w:bottom w:val="single" w:color="auto" w:sz="4" w:space="0"/>
              <w:right w:val="single" w:color="auto" w:sz="4" w:space="0"/>
            </w:tcBorders>
            <w:noWrap/>
            <w:vAlign w:val="bottom"/>
          </w:tcPr>
          <w:p w:rsidR="003B0815" w:rsidRDefault="003B0815" w14:paraId="23D353FF" w14:textId="77777777">
            <w:pPr>
              <w:jc w:val="right"/>
              <w:rPr>
                <w:rFonts w:ascii="Arial" w:hAnsi="Arial" w:cs="Arial"/>
                <w:sz w:val="18"/>
                <w:szCs w:val="18"/>
              </w:rPr>
            </w:pPr>
            <w:r>
              <w:rPr>
                <w:rFonts w:ascii="Arial" w:hAnsi="Arial" w:cs="Arial"/>
                <w:sz w:val="18"/>
                <w:szCs w:val="18"/>
              </w:rPr>
              <w:t xml:space="preserve">$42.50 </w:t>
            </w:r>
          </w:p>
        </w:tc>
        <w:tc>
          <w:tcPr>
            <w:tcW w:w="667" w:type="dxa"/>
            <w:tcBorders>
              <w:top w:val="nil"/>
              <w:left w:val="nil"/>
              <w:bottom w:val="single" w:color="auto" w:sz="4" w:space="0"/>
              <w:right w:val="single" w:color="auto" w:sz="4" w:space="0"/>
            </w:tcBorders>
            <w:noWrap/>
            <w:vAlign w:val="bottom"/>
          </w:tcPr>
          <w:p w:rsidR="003B0815" w:rsidRDefault="003B0815" w14:paraId="7D4A1681" w14:textId="77777777">
            <w:pPr>
              <w:jc w:val="right"/>
              <w:rPr>
                <w:rFonts w:ascii="Arial" w:hAnsi="Arial" w:cs="Arial"/>
                <w:sz w:val="18"/>
                <w:szCs w:val="18"/>
              </w:rPr>
            </w:pPr>
            <w:r>
              <w:rPr>
                <w:rFonts w:ascii="Arial" w:hAnsi="Arial" w:cs="Arial"/>
                <w:sz w:val="18"/>
                <w:szCs w:val="20"/>
              </w:rPr>
              <w:t xml:space="preserve">$46.38 </w:t>
            </w:r>
          </w:p>
        </w:tc>
        <w:tc>
          <w:tcPr>
            <w:tcW w:w="839" w:type="dxa"/>
            <w:tcBorders>
              <w:top w:val="nil"/>
              <w:left w:val="nil"/>
              <w:bottom w:val="single" w:color="auto" w:sz="4" w:space="0"/>
              <w:right w:val="single" w:color="auto" w:sz="4" w:space="0"/>
            </w:tcBorders>
            <w:noWrap/>
            <w:vAlign w:val="bottom"/>
          </w:tcPr>
          <w:p w:rsidR="003B0815" w:rsidRDefault="003B0815" w14:paraId="1E4E4DE6" w14:textId="77777777">
            <w:pPr>
              <w:jc w:val="right"/>
              <w:rPr>
                <w:rFonts w:ascii="Arial" w:hAnsi="Arial" w:cs="Arial"/>
                <w:sz w:val="18"/>
                <w:szCs w:val="18"/>
              </w:rPr>
            </w:pPr>
            <w:r>
              <w:rPr>
                <w:rFonts w:ascii="Arial" w:hAnsi="Arial" w:cs="Arial"/>
                <w:sz w:val="18"/>
                <w:szCs w:val="20"/>
              </w:rPr>
              <w:t xml:space="preserve">$37.91 </w:t>
            </w:r>
          </w:p>
        </w:tc>
        <w:tc>
          <w:tcPr>
            <w:tcW w:w="1591" w:type="dxa"/>
            <w:tcBorders>
              <w:top w:val="nil"/>
              <w:left w:val="nil"/>
              <w:bottom w:val="single" w:color="auto" w:sz="4" w:space="0"/>
              <w:right w:val="single" w:color="auto" w:sz="4" w:space="0"/>
            </w:tcBorders>
            <w:noWrap/>
            <w:vAlign w:val="bottom"/>
          </w:tcPr>
          <w:p w:rsidR="003B0815" w:rsidRDefault="003B0815" w14:paraId="3D0F2DEC" w14:textId="77777777">
            <w:pPr>
              <w:jc w:val="right"/>
              <w:rPr>
                <w:rFonts w:ascii="Arial" w:hAnsi="Arial" w:cs="Arial"/>
                <w:sz w:val="18"/>
                <w:szCs w:val="18"/>
              </w:rPr>
            </w:pPr>
            <w:r>
              <w:rPr>
                <w:rFonts w:ascii="Arial" w:hAnsi="Arial" w:cs="Arial"/>
                <w:sz w:val="18"/>
                <w:szCs w:val="20"/>
              </w:rPr>
              <w:t xml:space="preserve">$42.50 </w:t>
            </w:r>
          </w:p>
        </w:tc>
      </w:tr>
      <w:tr w:rsidR="003B0815" w14:paraId="49FEFEE4"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5A9858B9" w14:textId="77777777">
            <w:pPr>
              <w:jc w:val="center"/>
              <w:rPr>
                <w:rFonts w:ascii="Arial" w:hAnsi="Arial" w:cs="Arial"/>
                <w:sz w:val="18"/>
                <w:szCs w:val="18"/>
              </w:rPr>
            </w:pPr>
            <w:r>
              <w:rPr>
                <w:rFonts w:ascii="Arial" w:hAnsi="Arial" w:cs="Arial"/>
                <w:sz w:val="18"/>
                <w:szCs w:val="18"/>
              </w:rPr>
              <w:t>4</w:t>
            </w:r>
          </w:p>
        </w:tc>
        <w:tc>
          <w:tcPr>
            <w:tcW w:w="867" w:type="dxa"/>
            <w:tcBorders>
              <w:top w:val="nil"/>
              <w:left w:val="nil"/>
              <w:bottom w:val="single" w:color="auto" w:sz="4" w:space="0"/>
              <w:right w:val="single" w:color="auto" w:sz="4" w:space="0"/>
            </w:tcBorders>
            <w:vAlign w:val="bottom"/>
          </w:tcPr>
          <w:p w:rsidR="003B0815" w:rsidRDefault="003B0815" w14:paraId="21908A86" w14:textId="77777777">
            <w:pPr>
              <w:jc w:val="right"/>
              <w:rPr>
                <w:rFonts w:ascii="Arial" w:hAnsi="Arial" w:cs="Arial"/>
                <w:sz w:val="18"/>
                <w:szCs w:val="18"/>
              </w:rPr>
            </w:pPr>
            <w:r>
              <w:rPr>
                <w:rFonts w:ascii="Arial" w:hAnsi="Arial" w:cs="Arial"/>
                <w:sz w:val="18"/>
                <w:szCs w:val="18"/>
              </w:rPr>
              <w:t>$45.34</w:t>
            </w:r>
          </w:p>
        </w:tc>
        <w:tc>
          <w:tcPr>
            <w:tcW w:w="867" w:type="dxa"/>
            <w:tcBorders>
              <w:top w:val="nil"/>
              <w:left w:val="nil"/>
              <w:bottom w:val="single" w:color="auto" w:sz="4" w:space="0"/>
              <w:right w:val="single" w:color="auto" w:sz="4" w:space="0"/>
            </w:tcBorders>
            <w:vAlign w:val="bottom"/>
          </w:tcPr>
          <w:p w:rsidR="003B0815" w:rsidRDefault="003B0815" w14:paraId="411EFDF0" w14:textId="77777777">
            <w:pPr>
              <w:jc w:val="right"/>
              <w:rPr>
                <w:rFonts w:ascii="Arial" w:hAnsi="Arial" w:cs="Arial"/>
                <w:sz w:val="18"/>
                <w:szCs w:val="18"/>
              </w:rPr>
            </w:pPr>
            <w:r>
              <w:rPr>
                <w:rFonts w:ascii="Arial" w:hAnsi="Arial" w:cs="Arial"/>
                <w:sz w:val="18"/>
                <w:szCs w:val="18"/>
              </w:rPr>
              <w:t xml:space="preserve">$34.59 </w:t>
            </w:r>
          </w:p>
        </w:tc>
        <w:tc>
          <w:tcPr>
            <w:tcW w:w="867" w:type="dxa"/>
            <w:tcBorders>
              <w:top w:val="nil"/>
              <w:left w:val="nil"/>
              <w:bottom w:val="single" w:color="auto" w:sz="4" w:space="0"/>
              <w:right w:val="single" w:color="auto" w:sz="4" w:space="0"/>
            </w:tcBorders>
            <w:vAlign w:val="bottom"/>
          </w:tcPr>
          <w:p w:rsidR="003B0815" w:rsidRDefault="003B0815" w14:paraId="5D00B00F" w14:textId="77777777">
            <w:pPr>
              <w:jc w:val="right"/>
              <w:rPr>
                <w:rFonts w:ascii="Arial" w:hAnsi="Arial" w:cs="Arial"/>
                <w:sz w:val="18"/>
                <w:szCs w:val="18"/>
              </w:rPr>
            </w:pPr>
            <w:r>
              <w:rPr>
                <w:rFonts w:ascii="Arial" w:hAnsi="Arial" w:cs="Arial"/>
                <w:sz w:val="18"/>
                <w:szCs w:val="18"/>
              </w:rPr>
              <w:t xml:space="preserve">$40.28 </w:t>
            </w:r>
          </w:p>
        </w:tc>
        <w:tc>
          <w:tcPr>
            <w:tcW w:w="867" w:type="dxa"/>
            <w:tcBorders>
              <w:top w:val="nil"/>
              <w:left w:val="nil"/>
              <w:bottom w:val="single" w:color="auto" w:sz="4" w:space="0"/>
              <w:right w:val="single" w:color="auto" w:sz="4" w:space="0"/>
            </w:tcBorders>
            <w:vAlign w:val="bottom"/>
          </w:tcPr>
          <w:p w:rsidR="003B0815" w:rsidRDefault="003B0815" w14:paraId="7E6F2169" w14:textId="77777777">
            <w:pPr>
              <w:jc w:val="right"/>
              <w:rPr>
                <w:rFonts w:ascii="Arial" w:hAnsi="Arial" w:cs="Arial"/>
                <w:sz w:val="18"/>
                <w:szCs w:val="18"/>
              </w:rPr>
            </w:pPr>
            <w:r>
              <w:rPr>
                <w:rFonts w:ascii="Arial" w:hAnsi="Arial" w:cs="Arial"/>
                <w:sz w:val="18"/>
                <w:szCs w:val="18"/>
              </w:rPr>
              <w:t xml:space="preserve">$46.64 </w:t>
            </w:r>
          </w:p>
        </w:tc>
        <w:tc>
          <w:tcPr>
            <w:tcW w:w="867" w:type="dxa"/>
            <w:tcBorders>
              <w:top w:val="nil"/>
              <w:left w:val="nil"/>
              <w:bottom w:val="single" w:color="auto" w:sz="4" w:space="0"/>
              <w:right w:val="single" w:color="auto" w:sz="4" w:space="0"/>
            </w:tcBorders>
            <w:noWrap/>
            <w:vAlign w:val="bottom"/>
          </w:tcPr>
          <w:p w:rsidR="003B0815" w:rsidRDefault="003B0815" w14:paraId="0861C3EA" w14:textId="77777777">
            <w:pPr>
              <w:jc w:val="right"/>
              <w:rPr>
                <w:rFonts w:ascii="Arial" w:hAnsi="Arial" w:cs="Arial"/>
                <w:sz w:val="18"/>
                <w:szCs w:val="18"/>
              </w:rPr>
            </w:pPr>
            <w:r>
              <w:rPr>
                <w:rFonts w:ascii="Arial" w:hAnsi="Arial" w:cs="Arial"/>
                <w:sz w:val="18"/>
                <w:szCs w:val="18"/>
              </w:rPr>
              <w:t xml:space="preserve">$35.59 </w:t>
            </w:r>
          </w:p>
        </w:tc>
        <w:tc>
          <w:tcPr>
            <w:tcW w:w="867" w:type="dxa"/>
            <w:tcBorders>
              <w:top w:val="nil"/>
              <w:left w:val="nil"/>
              <w:bottom w:val="single" w:color="auto" w:sz="4" w:space="0"/>
              <w:right w:val="single" w:color="auto" w:sz="4" w:space="0"/>
            </w:tcBorders>
            <w:noWrap/>
            <w:vAlign w:val="bottom"/>
          </w:tcPr>
          <w:p w:rsidR="003B0815" w:rsidRDefault="003B0815" w14:paraId="29A5AAC5" w14:textId="77777777">
            <w:pPr>
              <w:jc w:val="right"/>
              <w:rPr>
                <w:rFonts w:ascii="Arial" w:hAnsi="Arial" w:cs="Arial"/>
                <w:sz w:val="18"/>
                <w:szCs w:val="18"/>
              </w:rPr>
            </w:pPr>
            <w:r>
              <w:rPr>
                <w:rFonts w:ascii="Arial" w:hAnsi="Arial" w:cs="Arial"/>
                <w:sz w:val="18"/>
                <w:szCs w:val="18"/>
              </w:rPr>
              <w:t xml:space="preserve">$41.48 </w:t>
            </w:r>
          </w:p>
        </w:tc>
        <w:tc>
          <w:tcPr>
            <w:tcW w:w="867" w:type="dxa"/>
            <w:tcBorders>
              <w:top w:val="nil"/>
              <w:left w:val="nil"/>
              <w:bottom w:val="single" w:color="auto" w:sz="4" w:space="0"/>
              <w:right w:val="single" w:color="auto" w:sz="4" w:space="0"/>
            </w:tcBorders>
            <w:noWrap/>
            <w:vAlign w:val="bottom"/>
          </w:tcPr>
          <w:p w:rsidR="003B0815" w:rsidRDefault="003B0815" w14:paraId="53951B56" w14:textId="77777777">
            <w:pPr>
              <w:jc w:val="right"/>
              <w:rPr>
                <w:rFonts w:ascii="Arial" w:hAnsi="Arial" w:cs="Arial"/>
                <w:sz w:val="18"/>
                <w:szCs w:val="18"/>
              </w:rPr>
            </w:pPr>
            <w:r>
              <w:rPr>
                <w:rFonts w:ascii="Arial" w:hAnsi="Arial" w:cs="Arial"/>
                <w:sz w:val="18"/>
                <w:szCs w:val="18"/>
              </w:rPr>
              <w:t xml:space="preserve">$48.34 </w:t>
            </w:r>
          </w:p>
        </w:tc>
        <w:tc>
          <w:tcPr>
            <w:tcW w:w="867" w:type="dxa"/>
            <w:tcBorders>
              <w:top w:val="nil"/>
              <w:left w:val="nil"/>
              <w:bottom w:val="single" w:color="auto" w:sz="4" w:space="0"/>
              <w:right w:val="single" w:color="auto" w:sz="4" w:space="0"/>
            </w:tcBorders>
            <w:noWrap/>
            <w:vAlign w:val="bottom"/>
          </w:tcPr>
          <w:p w:rsidR="003B0815" w:rsidRDefault="003B0815" w14:paraId="1A468EEE" w14:textId="77777777">
            <w:pPr>
              <w:jc w:val="right"/>
              <w:rPr>
                <w:rFonts w:ascii="Arial" w:hAnsi="Arial" w:cs="Arial"/>
                <w:sz w:val="18"/>
                <w:szCs w:val="18"/>
              </w:rPr>
            </w:pPr>
            <w:r>
              <w:rPr>
                <w:rFonts w:ascii="Arial" w:hAnsi="Arial" w:cs="Arial"/>
                <w:sz w:val="18"/>
                <w:szCs w:val="18"/>
              </w:rPr>
              <w:t xml:space="preserve">$36.99 </w:t>
            </w:r>
          </w:p>
        </w:tc>
        <w:tc>
          <w:tcPr>
            <w:tcW w:w="867" w:type="dxa"/>
            <w:tcBorders>
              <w:top w:val="nil"/>
              <w:left w:val="nil"/>
              <w:bottom w:val="single" w:color="auto" w:sz="4" w:space="0"/>
              <w:right w:val="single" w:color="auto" w:sz="4" w:space="0"/>
            </w:tcBorders>
            <w:noWrap/>
            <w:vAlign w:val="bottom"/>
          </w:tcPr>
          <w:p w:rsidR="003B0815" w:rsidRDefault="003B0815" w14:paraId="1FE60E63" w14:textId="77777777">
            <w:pPr>
              <w:jc w:val="right"/>
              <w:rPr>
                <w:rFonts w:ascii="Arial" w:hAnsi="Arial" w:cs="Arial"/>
                <w:sz w:val="18"/>
                <w:szCs w:val="18"/>
              </w:rPr>
            </w:pPr>
            <w:r>
              <w:rPr>
                <w:rFonts w:ascii="Arial" w:hAnsi="Arial" w:cs="Arial"/>
                <w:sz w:val="18"/>
                <w:szCs w:val="18"/>
              </w:rPr>
              <w:t xml:space="preserve">$42.98 </w:t>
            </w:r>
          </w:p>
        </w:tc>
        <w:tc>
          <w:tcPr>
            <w:tcW w:w="667" w:type="dxa"/>
            <w:tcBorders>
              <w:top w:val="nil"/>
              <w:left w:val="nil"/>
              <w:bottom w:val="single" w:color="auto" w:sz="4" w:space="0"/>
              <w:right w:val="single" w:color="auto" w:sz="4" w:space="0"/>
            </w:tcBorders>
            <w:noWrap/>
            <w:vAlign w:val="bottom"/>
          </w:tcPr>
          <w:p w:rsidR="003B0815" w:rsidRDefault="003B0815" w14:paraId="57C2C235" w14:textId="77777777">
            <w:pPr>
              <w:jc w:val="right"/>
              <w:rPr>
                <w:rFonts w:ascii="Arial" w:hAnsi="Arial" w:cs="Arial"/>
                <w:sz w:val="18"/>
                <w:szCs w:val="18"/>
              </w:rPr>
            </w:pPr>
            <w:r>
              <w:rPr>
                <w:rFonts w:ascii="Arial" w:hAnsi="Arial" w:cs="Arial"/>
                <w:sz w:val="18"/>
                <w:szCs w:val="20"/>
              </w:rPr>
              <w:t xml:space="preserve">$48.34 </w:t>
            </w:r>
          </w:p>
        </w:tc>
        <w:tc>
          <w:tcPr>
            <w:tcW w:w="839" w:type="dxa"/>
            <w:tcBorders>
              <w:top w:val="nil"/>
              <w:left w:val="nil"/>
              <w:bottom w:val="single" w:color="auto" w:sz="4" w:space="0"/>
              <w:right w:val="single" w:color="auto" w:sz="4" w:space="0"/>
            </w:tcBorders>
            <w:noWrap/>
            <w:vAlign w:val="bottom"/>
          </w:tcPr>
          <w:p w:rsidR="003B0815" w:rsidRDefault="003B0815" w14:paraId="65A147B7" w14:textId="77777777">
            <w:pPr>
              <w:jc w:val="right"/>
              <w:rPr>
                <w:rFonts w:ascii="Arial" w:hAnsi="Arial" w:cs="Arial"/>
                <w:sz w:val="18"/>
                <w:szCs w:val="18"/>
              </w:rPr>
            </w:pPr>
            <w:r>
              <w:rPr>
                <w:rFonts w:ascii="Arial" w:hAnsi="Arial" w:cs="Arial"/>
                <w:sz w:val="18"/>
                <w:szCs w:val="20"/>
              </w:rPr>
              <w:t xml:space="preserve">$36.99 </w:t>
            </w:r>
          </w:p>
        </w:tc>
        <w:tc>
          <w:tcPr>
            <w:tcW w:w="1591" w:type="dxa"/>
            <w:tcBorders>
              <w:top w:val="nil"/>
              <w:left w:val="nil"/>
              <w:bottom w:val="single" w:color="auto" w:sz="4" w:space="0"/>
              <w:right w:val="single" w:color="auto" w:sz="4" w:space="0"/>
            </w:tcBorders>
            <w:noWrap/>
            <w:vAlign w:val="bottom"/>
          </w:tcPr>
          <w:p w:rsidR="003B0815" w:rsidRDefault="003B0815" w14:paraId="774916DC" w14:textId="77777777">
            <w:pPr>
              <w:jc w:val="right"/>
              <w:rPr>
                <w:rFonts w:ascii="Arial" w:hAnsi="Arial" w:cs="Arial"/>
                <w:sz w:val="18"/>
                <w:szCs w:val="18"/>
              </w:rPr>
            </w:pPr>
            <w:r>
              <w:rPr>
                <w:rFonts w:ascii="Arial" w:hAnsi="Arial" w:cs="Arial"/>
                <w:sz w:val="18"/>
                <w:szCs w:val="20"/>
              </w:rPr>
              <w:t xml:space="preserve">$42.98 </w:t>
            </w:r>
          </w:p>
        </w:tc>
      </w:tr>
      <w:tr w:rsidR="003B0815" w14:paraId="0667109B"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56854C2A" w14:textId="77777777">
            <w:pPr>
              <w:jc w:val="center"/>
              <w:rPr>
                <w:rFonts w:ascii="Arial" w:hAnsi="Arial" w:cs="Arial"/>
                <w:sz w:val="18"/>
                <w:szCs w:val="18"/>
              </w:rPr>
            </w:pPr>
            <w:r>
              <w:rPr>
                <w:rFonts w:ascii="Arial" w:hAnsi="Arial" w:cs="Arial"/>
                <w:sz w:val="18"/>
                <w:szCs w:val="18"/>
              </w:rPr>
              <w:t>5</w:t>
            </w:r>
          </w:p>
        </w:tc>
        <w:tc>
          <w:tcPr>
            <w:tcW w:w="867" w:type="dxa"/>
            <w:tcBorders>
              <w:top w:val="nil"/>
              <w:left w:val="nil"/>
              <w:bottom w:val="single" w:color="auto" w:sz="4" w:space="0"/>
              <w:right w:val="single" w:color="auto" w:sz="4" w:space="0"/>
            </w:tcBorders>
            <w:vAlign w:val="bottom"/>
          </w:tcPr>
          <w:p w:rsidR="003B0815" w:rsidRDefault="003B0815" w14:paraId="52C7D135" w14:textId="77777777">
            <w:pPr>
              <w:jc w:val="right"/>
              <w:rPr>
                <w:rFonts w:ascii="Arial" w:hAnsi="Arial" w:cs="Arial"/>
                <w:sz w:val="18"/>
                <w:szCs w:val="18"/>
              </w:rPr>
            </w:pPr>
            <w:r>
              <w:rPr>
                <w:rFonts w:ascii="Arial" w:hAnsi="Arial" w:cs="Arial"/>
                <w:sz w:val="18"/>
                <w:szCs w:val="18"/>
              </w:rPr>
              <w:t>$50.12</w:t>
            </w:r>
          </w:p>
        </w:tc>
        <w:tc>
          <w:tcPr>
            <w:tcW w:w="867" w:type="dxa"/>
            <w:tcBorders>
              <w:top w:val="nil"/>
              <w:left w:val="nil"/>
              <w:bottom w:val="single" w:color="auto" w:sz="4" w:space="0"/>
              <w:right w:val="single" w:color="auto" w:sz="4" w:space="0"/>
            </w:tcBorders>
            <w:vAlign w:val="bottom"/>
          </w:tcPr>
          <w:p w:rsidR="003B0815" w:rsidRDefault="003B0815" w14:paraId="56B1B1F3" w14:textId="77777777">
            <w:pPr>
              <w:jc w:val="right"/>
              <w:rPr>
                <w:rFonts w:ascii="Arial" w:hAnsi="Arial" w:cs="Arial"/>
                <w:sz w:val="18"/>
                <w:szCs w:val="18"/>
              </w:rPr>
            </w:pPr>
            <w:r>
              <w:rPr>
                <w:rFonts w:ascii="Arial" w:hAnsi="Arial" w:cs="Arial"/>
                <w:sz w:val="18"/>
                <w:szCs w:val="18"/>
              </w:rPr>
              <w:t xml:space="preserve">$35.73 </w:t>
            </w:r>
          </w:p>
        </w:tc>
        <w:tc>
          <w:tcPr>
            <w:tcW w:w="867" w:type="dxa"/>
            <w:tcBorders>
              <w:top w:val="nil"/>
              <w:left w:val="nil"/>
              <w:bottom w:val="single" w:color="auto" w:sz="4" w:space="0"/>
              <w:right w:val="single" w:color="auto" w:sz="4" w:space="0"/>
            </w:tcBorders>
            <w:vAlign w:val="bottom"/>
          </w:tcPr>
          <w:p w:rsidR="003B0815" w:rsidRDefault="003B0815" w14:paraId="7A048CFE" w14:textId="77777777">
            <w:pPr>
              <w:jc w:val="right"/>
              <w:rPr>
                <w:rFonts w:ascii="Arial" w:hAnsi="Arial" w:cs="Arial"/>
                <w:sz w:val="18"/>
                <w:szCs w:val="18"/>
              </w:rPr>
            </w:pPr>
            <w:r>
              <w:rPr>
                <w:rFonts w:ascii="Arial" w:hAnsi="Arial" w:cs="Arial"/>
                <w:sz w:val="18"/>
                <w:szCs w:val="18"/>
              </w:rPr>
              <w:t xml:space="preserve">$43.23 </w:t>
            </w:r>
          </w:p>
        </w:tc>
        <w:tc>
          <w:tcPr>
            <w:tcW w:w="867" w:type="dxa"/>
            <w:tcBorders>
              <w:top w:val="nil"/>
              <w:left w:val="nil"/>
              <w:bottom w:val="single" w:color="auto" w:sz="4" w:space="0"/>
              <w:right w:val="single" w:color="auto" w:sz="4" w:space="0"/>
            </w:tcBorders>
            <w:vAlign w:val="bottom"/>
          </w:tcPr>
          <w:p w:rsidR="003B0815" w:rsidRDefault="003B0815" w14:paraId="1BA1E4B0" w14:textId="77777777">
            <w:pPr>
              <w:jc w:val="right"/>
              <w:rPr>
                <w:rFonts w:ascii="Arial" w:hAnsi="Arial" w:cs="Arial"/>
                <w:sz w:val="18"/>
                <w:szCs w:val="18"/>
              </w:rPr>
            </w:pPr>
            <w:r>
              <w:rPr>
                <w:rFonts w:ascii="Arial" w:hAnsi="Arial" w:cs="Arial"/>
                <w:sz w:val="18"/>
                <w:szCs w:val="18"/>
              </w:rPr>
              <w:t xml:space="preserve">$51.42 </w:t>
            </w:r>
          </w:p>
        </w:tc>
        <w:tc>
          <w:tcPr>
            <w:tcW w:w="867" w:type="dxa"/>
            <w:tcBorders>
              <w:top w:val="nil"/>
              <w:left w:val="nil"/>
              <w:bottom w:val="single" w:color="auto" w:sz="4" w:space="0"/>
              <w:right w:val="single" w:color="auto" w:sz="4" w:space="0"/>
            </w:tcBorders>
            <w:noWrap/>
            <w:vAlign w:val="bottom"/>
          </w:tcPr>
          <w:p w:rsidR="003B0815" w:rsidRDefault="003B0815" w14:paraId="2CCEE385" w14:textId="77777777">
            <w:pPr>
              <w:jc w:val="right"/>
              <w:rPr>
                <w:rFonts w:ascii="Arial" w:hAnsi="Arial" w:cs="Arial"/>
                <w:sz w:val="18"/>
                <w:szCs w:val="18"/>
              </w:rPr>
            </w:pPr>
            <w:r>
              <w:rPr>
                <w:rFonts w:ascii="Arial" w:hAnsi="Arial" w:cs="Arial"/>
                <w:sz w:val="18"/>
                <w:szCs w:val="18"/>
              </w:rPr>
              <w:t xml:space="preserve">$36.73 </w:t>
            </w:r>
          </w:p>
        </w:tc>
        <w:tc>
          <w:tcPr>
            <w:tcW w:w="867" w:type="dxa"/>
            <w:tcBorders>
              <w:top w:val="nil"/>
              <w:left w:val="nil"/>
              <w:bottom w:val="single" w:color="auto" w:sz="4" w:space="0"/>
              <w:right w:val="single" w:color="auto" w:sz="4" w:space="0"/>
            </w:tcBorders>
            <w:noWrap/>
            <w:vAlign w:val="bottom"/>
          </w:tcPr>
          <w:p w:rsidR="003B0815" w:rsidRDefault="003B0815" w14:paraId="17FB25E8" w14:textId="77777777">
            <w:pPr>
              <w:jc w:val="right"/>
              <w:rPr>
                <w:rFonts w:ascii="Arial" w:hAnsi="Arial" w:cs="Arial"/>
                <w:sz w:val="18"/>
                <w:szCs w:val="18"/>
              </w:rPr>
            </w:pPr>
            <w:r>
              <w:rPr>
                <w:rFonts w:ascii="Arial" w:hAnsi="Arial" w:cs="Arial"/>
                <w:sz w:val="18"/>
                <w:szCs w:val="18"/>
              </w:rPr>
              <w:t xml:space="preserve">$44.33 </w:t>
            </w:r>
          </w:p>
        </w:tc>
        <w:tc>
          <w:tcPr>
            <w:tcW w:w="867" w:type="dxa"/>
            <w:tcBorders>
              <w:top w:val="nil"/>
              <w:left w:val="nil"/>
              <w:bottom w:val="single" w:color="auto" w:sz="4" w:space="0"/>
              <w:right w:val="single" w:color="auto" w:sz="4" w:space="0"/>
            </w:tcBorders>
            <w:noWrap/>
            <w:vAlign w:val="bottom"/>
          </w:tcPr>
          <w:p w:rsidR="003B0815" w:rsidRDefault="003B0815" w14:paraId="18E9FECA" w14:textId="77777777">
            <w:pPr>
              <w:jc w:val="right"/>
              <w:rPr>
                <w:rFonts w:ascii="Arial" w:hAnsi="Arial" w:cs="Arial"/>
                <w:sz w:val="18"/>
                <w:szCs w:val="18"/>
              </w:rPr>
            </w:pPr>
            <w:r>
              <w:rPr>
                <w:rFonts w:ascii="Arial" w:hAnsi="Arial" w:cs="Arial"/>
                <w:sz w:val="18"/>
                <w:szCs w:val="18"/>
              </w:rPr>
              <w:t xml:space="preserve">$53.12 </w:t>
            </w:r>
          </w:p>
        </w:tc>
        <w:tc>
          <w:tcPr>
            <w:tcW w:w="867" w:type="dxa"/>
            <w:tcBorders>
              <w:top w:val="nil"/>
              <w:left w:val="nil"/>
              <w:bottom w:val="single" w:color="auto" w:sz="4" w:space="0"/>
              <w:right w:val="single" w:color="auto" w:sz="4" w:space="0"/>
            </w:tcBorders>
            <w:noWrap/>
            <w:vAlign w:val="bottom"/>
          </w:tcPr>
          <w:p w:rsidR="003B0815" w:rsidRDefault="003B0815" w14:paraId="63E04620" w14:textId="77777777">
            <w:pPr>
              <w:jc w:val="right"/>
              <w:rPr>
                <w:rFonts w:ascii="Arial" w:hAnsi="Arial" w:cs="Arial"/>
                <w:sz w:val="18"/>
                <w:szCs w:val="18"/>
              </w:rPr>
            </w:pPr>
            <w:r>
              <w:rPr>
                <w:rFonts w:ascii="Arial" w:hAnsi="Arial" w:cs="Arial"/>
                <w:sz w:val="18"/>
                <w:szCs w:val="18"/>
              </w:rPr>
              <w:t xml:space="preserve">$37.93 </w:t>
            </w:r>
          </w:p>
        </w:tc>
        <w:tc>
          <w:tcPr>
            <w:tcW w:w="867" w:type="dxa"/>
            <w:tcBorders>
              <w:top w:val="nil"/>
              <w:left w:val="nil"/>
              <w:bottom w:val="single" w:color="auto" w:sz="4" w:space="0"/>
              <w:right w:val="single" w:color="auto" w:sz="4" w:space="0"/>
            </w:tcBorders>
            <w:noWrap/>
            <w:vAlign w:val="bottom"/>
          </w:tcPr>
          <w:p w:rsidR="003B0815" w:rsidRDefault="003B0815" w14:paraId="2DEF230D" w14:textId="77777777">
            <w:pPr>
              <w:jc w:val="right"/>
              <w:rPr>
                <w:rFonts w:ascii="Arial" w:hAnsi="Arial" w:cs="Arial"/>
                <w:sz w:val="18"/>
                <w:szCs w:val="18"/>
              </w:rPr>
            </w:pPr>
            <w:r>
              <w:rPr>
                <w:rFonts w:ascii="Arial" w:hAnsi="Arial" w:cs="Arial"/>
                <w:sz w:val="18"/>
                <w:szCs w:val="18"/>
              </w:rPr>
              <w:t xml:space="preserve">$45.83 </w:t>
            </w:r>
          </w:p>
        </w:tc>
        <w:tc>
          <w:tcPr>
            <w:tcW w:w="667" w:type="dxa"/>
            <w:tcBorders>
              <w:top w:val="nil"/>
              <w:left w:val="nil"/>
              <w:bottom w:val="single" w:color="auto" w:sz="4" w:space="0"/>
              <w:right w:val="single" w:color="auto" w:sz="4" w:space="0"/>
            </w:tcBorders>
            <w:noWrap/>
            <w:vAlign w:val="bottom"/>
          </w:tcPr>
          <w:p w:rsidR="003B0815" w:rsidRDefault="003B0815" w14:paraId="4A207301" w14:textId="77777777">
            <w:pPr>
              <w:jc w:val="right"/>
              <w:rPr>
                <w:rFonts w:ascii="Arial" w:hAnsi="Arial" w:cs="Arial"/>
                <w:sz w:val="18"/>
                <w:szCs w:val="18"/>
              </w:rPr>
            </w:pPr>
            <w:r>
              <w:rPr>
                <w:rFonts w:ascii="Arial" w:hAnsi="Arial" w:cs="Arial"/>
                <w:sz w:val="18"/>
                <w:szCs w:val="20"/>
              </w:rPr>
              <w:t xml:space="preserve">$53.12 </w:t>
            </w:r>
          </w:p>
        </w:tc>
        <w:tc>
          <w:tcPr>
            <w:tcW w:w="839" w:type="dxa"/>
            <w:tcBorders>
              <w:top w:val="nil"/>
              <w:left w:val="nil"/>
              <w:bottom w:val="single" w:color="auto" w:sz="4" w:space="0"/>
              <w:right w:val="single" w:color="auto" w:sz="4" w:space="0"/>
            </w:tcBorders>
            <w:noWrap/>
            <w:vAlign w:val="bottom"/>
          </w:tcPr>
          <w:p w:rsidR="003B0815" w:rsidRDefault="003B0815" w14:paraId="59E8B990" w14:textId="77777777">
            <w:pPr>
              <w:jc w:val="right"/>
              <w:rPr>
                <w:rFonts w:ascii="Arial" w:hAnsi="Arial" w:cs="Arial"/>
                <w:sz w:val="18"/>
                <w:szCs w:val="18"/>
              </w:rPr>
            </w:pPr>
            <w:r>
              <w:rPr>
                <w:rFonts w:ascii="Arial" w:hAnsi="Arial" w:cs="Arial"/>
                <w:sz w:val="18"/>
                <w:szCs w:val="20"/>
              </w:rPr>
              <w:t xml:space="preserve">$37.93 </w:t>
            </w:r>
          </w:p>
        </w:tc>
        <w:tc>
          <w:tcPr>
            <w:tcW w:w="1591" w:type="dxa"/>
            <w:tcBorders>
              <w:top w:val="nil"/>
              <w:left w:val="nil"/>
              <w:bottom w:val="single" w:color="auto" w:sz="4" w:space="0"/>
              <w:right w:val="single" w:color="auto" w:sz="4" w:space="0"/>
            </w:tcBorders>
            <w:noWrap/>
            <w:vAlign w:val="bottom"/>
          </w:tcPr>
          <w:p w:rsidR="003B0815" w:rsidRDefault="003B0815" w14:paraId="5023BF19" w14:textId="77777777">
            <w:pPr>
              <w:jc w:val="right"/>
              <w:rPr>
                <w:rFonts w:ascii="Arial" w:hAnsi="Arial" w:cs="Arial"/>
                <w:sz w:val="18"/>
                <w:szCs w:val="18"/>
              </w:rPr>
            </w:pPr>
            <w:r>
              <w:rPr>
                <w:rFonts w:ascii="Arial" w:hAnsi="Arial" w:cs="Arial"/>
                <w:sz w:val="18"/>
                <w:szCs w:val="20"/>
              </w:rPr>
              <w:t xml:space="preserve">$45.83 </w:t>
            </w:r>
          </w:p>
        </w:tc>
      </w:tr>
      <w:tr w:rsidR="003B0815" w14:paraId="498D56B5"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3AF4BAB7" w14:textId="77777777">
            <w:pPr>
              <w:jc w:val="center"/>
              <w:rPr>
                <w:rFonts w:ascii="Arial" w:hAnsi="Arial" w:cs="Arial"/>
                <w:sz w:val="18"/>
                <w:szCs w:val="18"/>
              </w:rPr>
            </w:pPr>
            <w:r>
              <w:rPr>
                <w:rFonts w:ascii="Arial" w:hAnsi="Arial" w:cs="Arial"/>
                <w:sz w:val="18"/>
                <w:szCs w:val="18"/>
              </w:rPr>
              <w:t>6</w:t>
            </w:r>
          </w:p>
        </w:tc>
        <w:tc>
          <w:tcPr>
            <w:tcW w:w="867" w:type="dxa"/>
            <w:tcBorders>
              <w:top w:val="nil"/>
              <w:left w:val="nil"/>
              <w:bottom w:val="single" w:color="auto" w:sz="4" w:space="0"/>
              <w:right w:val="single" w:color="auto" w:sz="4" w:space="0"/>
            </w:tcBorders>
            <w:vAlign w:val="bottom"/>
          </w:tcPr>
          <w:p w:rsidR="003B0815" w:rsidRDefault="003B0815" w14:paraId="59ABBEFE" w14:textId="77777777">
            <w:pPr>
              <w:jc w:val="right"/>
              <w:rPr>
                <w:rFonts w:ascii="Arial" w:hAnsi="Arial" w:cs="Arial"/>
                <w:sz w:val="18"/>
                <w:szCs w:val="18"/>
              </w:rPr>
            </w:pPr>
            <w:r>
              <w:rPr>
                <w:rFonts w:ascii="Arial" w:hAnsi="Arial" w:cs="Arial"/>
                <w:sz w:val="18"/>
                <w:szCs w:val="18"/>
              </w:rPr>
              <w:t>$50.99</w:t>
            </w:r>
          </w:p>
        </w:tc>
        <w:tc>
          <w:tcPr>
            <w:tcW w:w="867" w:type="dxa"/>
            <w:tcBorders>
              <w:top w:val="nil"/>
              <w:left w:val="nil"/>
              <w:bottom w:val="single" w:color="auto" w:sz="4" w:space="0"/>
              <w:right w:val="single" w:color="auto" w:sz="4" w:space="0"/>
            </w:tcBorders>
            <w:vAlign w:val="bottom"/>
          </w:tcPr>
          <w:p w:rsidR="003B0815" w:rsidRDefault="003B0815" w14:paraId="2CCAFF2D" w14:textId="77777777">
            <w:pPr>
              <w:jc w:val="right"/>
              <w:rPr>
                <w:rFonts w:ascii="Arial" w:hAnsi="Arial" w:cs="Arial"/>
                <w:sz w:val="18"/>
                <w:szCs w:val="18"/>
              </w:rPr>
            </w:pPr>
            <w:r>
              <w:rPr>
                <w:rFonts w:ascii="Arial" w:hAnsi="Arial" w:cs="Arial"/>
                <w:sz w:val="18"/>
                <w:szCs w:val="18"/>
              </w:rPr>
              <w:t xml:space="preserve">$33.98 </w:t>
            </w:r>
          </w:p>
        </w:tc>
        <w:tc>
          <w:tcPr>
            <w:tcW w:w="867" w:type="dxa"/>
            <w:tcBorders>
              <w:top w:val="nil"/>
              <w:left w:val="nil"/>
              <w:bottom w:val="single" w:color="auto" w:sz="4" w:space="0"/>
              <w:right w:val="single" w:color="auto" w:sz="4" w:space="0"/>
            </w:tcBorders>
            <w:vAlign w:val="bottom"/>
          </w:tcPr>
          <w:p w:rsidR="003B0815" w:rsidRDefault="003B0815" w14:paraId="02AC2037" w14:textId="77777777">
            <w:pPr>
              <w:jc w:val="right"/>
              <w:rPr>
                <w:rFonts w:ascii="Arial" w:hAnsi="Arial" w:cs="Arial"/>
                <w:sz w:val="18"/>
                <w:szCs w:val="18"/>
              </w:rPr>
            </w:pPr>
            <w:r>
              <w:rPr>
                <w:rFonts w:ascii="Arial" w:hAnsi="Arial" w:cs="Arial"/>
                <w:sz w:val="18"/>
                <w:szCs w:val="18"/>
              </w:rPr>
              <w:t xml:space="preserve">$42.70 </w:t>
            </w:r>
          </w:p>
        </w:tc>
        <w:tc>
          <w:tcPr>
            <w:tcW w:w="867" w:type="dxa"/>
            <w:tcBorders>
              <w:top w:val="nil"/>
              <w:left w:val="nil"/>
              <w:bottom w:val="single" w:color="auto" w:sz="4" w:space="0"/>
              <w:right w:val="single" w:color="auto" w:sz="4" w:space="0"/>
            </w:tcBorders>
            <w:vAlign w:val="bottom"/>
          </w:tcPr>
          <w:p w:rsidR="003B0815" w:rsidRDefault="003B0815" w14:paraId="205CA0AB" w14:textId="77777777">
            <w:pPr>
              <w:jc w:val="right"/>
              <w:rPr>
                <w:rFonts w:ascii="Arial" w:hAnsi="Arial" w:cs="Arial"/>
                <w:sz w:val="18"/>
                <w:szCs w:val="18"/>
              </w:rPr>
            </w:pPr>
            <w:r>
              <w:rPr>
                <w:rFonts w:ascii="Arial" w:hAnsi="Arial" w:cs="Arial"/>
                <w:sz w:val="18"/>
                <w:szCs w:val="18"/>
              </w:rPr>
              <w:t xml:space="preserve">$52.29 </w:t>
            </w:r>
          </w:p>
        </w:tc>
        <w:tc>
          <w:tcPr>
            <w:tcW w:w="867" w:type="dxa"/>
            <w:tcBorders>
              <w:top w:val="nil"/>
              <w:left w:val="nil"/>
              <w:bottom w:val="single" w:color="auto" w:sz="4" w:space="0"/>
              <w:right w:val="single" w:color="auto" w:sz="4" w:space="0"/>
            </w:tcBorders>
            <w:noWrap/>
            <w:vAlign w:val="bottom"/>
          </w:tcPr>
          <w:p w:rsidR="003B0815" w:rsidRDefault="003B0815" w14:paraId="1C8C8CED" w14:textId="77777777">
            <w:pPr>
              <w:jc w:val="right"/>
              <w:rPr>
                <w:rFonts w:ascii="Arial" w:hAnsi="Arial" w:cs="Arial"/>
                <w:sz w:val="18"/>
                <w:szCs w:val="18"/>
              </w:rPr>
            </w:pPr>
            <w:r>
              <w:rPr>
                <w:rFonts w:ascii="Arial" w:hAnsi="Arial" w:cs="Arial"/>
                <w:sz w:val="18"/>
                <w:szCs w:val="18"/>
              </w:rPr>
              <w:t xml:space="preserve">$34.88 </w:t>
            </w:r>
          </w:p>
        </w:tc>
        <w:tc>
          <w:tcPr>
            <w:tcW w:w="867" w:type="dxa"/>
            <w:tcBorders>
              <w:top w:val="nil"/>
              <w:left w:val="nil"/>
              <w:bottom w:val="single" w:color="auto" w:sz="4" w:space="0"/>
              <w:right w:val="single" w:color="auto" w:sz="4" w:space="0"/>
            </w:tcBorders>
            <w:noWrap/>
            <w:vAlign w:val="bottom"/>
          </w:tcPr>
          <w:p w:rsidR="003B0815" w:rsidRDefault="003B0815" w14:paraId="5707318B" w14:textId="77777777">
            <w:pPr>
              <w:jc w:val="right"/>
              <w:rPr>
                <w:rFonts w:ascii="Arial" w:hAnsi="Arial" w:cs="Arial"/>
                <w:sz w:val="18"/>
                <w:szCs w:val="18"/>
              </w:rPr>
            </w:pPr>
            <w:r>
              <w:rPr>
                <w:rFonts w:ascii="Arial" w:hAnsi="Arial" w:cs="Arial"/>
                <w:sz w:val="18"/>
                <w:szCs w:val="18"/>
              </w:rPr>
              <w:t xml:space="preserve">$43.80 </w:t>
            </w:r>
          </w:p>
        </w:tc>
        <w:tc>
          <w:tcPr>
            <w:tcW w:w="867" w:type="dxa"/>
            <w:tcBorders>
              <w:top w:val="nil"/>
              <w:left w:val="nil"/>
              <w:bottom w:val="single" w:color="auto" w:sz="4" w:space="0"/>
              <w:right w:val="single" w:color="auto" w:sz="4" w:space="0"/>
            </w:tcBorders>
            <w:noWrap/>
            <w:vAlign w:val="bottom"/>
          </w:tcPr>
          <w:p w:rsidR="003B0815" w:rsidRDefault="003B0815" w14:paraId="4A048C58" w14:textId="77777777">
            <w:pPr>
              <w:jc w:val="right"/>
              <w:rPr>
                <w:rFonts w:ascii="Arial" w:hAnsi="Arial" w:cs="Arial"/>
                <w:sz w:val="18"/>
                <w:szCs w:val="18"/>
              </w:rPr>
            </w:pPr>
            <w:r>
              <w:rPr>
                <w:rFonts w:ascii="Arial" w:hAnsi="Arial" w:cs="Arial"/>
                <w:sz w:val="18"/>
                <w:szCs w:val="18"/>
              </w:rPr>
              <w:t xml:space="preserve">$53.99 </w:t>
            </w:r>
          </w:p>
        </w:tc>
        <w:tc>
          <w:tcPr>
            <w:tcW w:w="867" w:type="dxa"/>
            <w:tcBorders>
              <w:top w:val="nil"/>
              <w:left w:val="nil"/>
              <w:bottom w:val="single" w:color="auto" w:sz="4" w:space="0"/>
              <w:right w:val="single" w:color="auto" w:sz="4" w:space="0"/>
            </w:tcBorders>
            <w:noWrap/>
            <w:vAlign w:val="bottom"/>
          </w:tcPr>
          <w:p w:rsidR="003B0815" w:rsidRDefault="003B0815" w14:paraId="2B88E68F" w14:textId="77777777">
            <w:pPr>
              <w:jc w:val="right"/>
              <w:rPr>
                <w:rFonts w:ascii="Arial" w:hAnsi="Arial" w:cs="Arial"/>
                <w:sz w:val="18"/>
                <w:szCs w:val="18"/>
              </w:rPr>
            </w:pPr>
            <w:r>
              <w:rPr>
                <w:rFonts w:ascii="Arial" w:hAnsi="Arial" w:cs="Arial"/>
                <w:sz w:val="18"/>
                <w:szCs w:val="18"/>
              </w:rPr>
              <w:t xml:space="preserve">$36.08 </w:t>
            </w:r>
          </w:p>
        </w:tc>
        <w:tc>
          <w:tcPr>
            <w:tcW w:w="867" w:type="dxa"/>
            <w:tcBorders>
              <w:top w:val="nil"/>
              <w:left w:val="nil"/>
              <w:bottom w:val="single" w:color="auto" w:sz="4" w:space="0"/>
              <w:right w:val="single" w:color="auto" w:sz="4" w:space="0"/>
            </w:tcBorders>
            <w:noWrap/>
            <w:vAlign w:val="bottom"/>
          </w:tcPr>
          <w:p w:rsidR="003B0815" w:rsidRDefault="003B0815" w14:paraId="3E01C694" w14:textId="77777777">
            <w:pPr>
              <w:jc w:val="right"/>
              <w:rPr>
                <w:rFonts w:ascii="Arial" w:hAnsi="Arial" w:cs="Arial"/>
                <w:sz w:val="18"/>
                <w:szCs w:val="18"/>
              </w:rPr>
            </w:pPr>
            <w:r>
              <w:rPr>
                <w:rFonts w:ascii="Arial" w:hAnsi="Arial" w:cs="Arial"/>
                <w:sz w:val="18"/>
                <w:szCs w:val="18"/>
              </w:rPr>
              <w:t xml:space="preserve">$45.30 </w:t>
            </w:r>
          </w:p>
        </w:tc>
        <w:tc>
          <w:tcPr>
            <w:tcW w:w="667" w:type="dxa"/>
            <w:tcBorders>
              <w:top w:val="nil"/>
              <w:left w:val="nil"/>
              <w:bottom w:val="single" w:color="auto" w:sz="4" w:space="0"/>
              <w:right w:val="single" w:color="auto" w:sz="4" w:space="0"/>
            </w:tcBorders>
            <w:noWrap/>
            <w:vAlign w:val="bottom"/>
          </w:tcPr>
          <w:p w:rsidR="003B0815" w:rsidRDefault="003B0815" w14:paraId="652BF24E" w14:textId="77777777">
            <w:pPr>
              <w:jc w:val="right"/>
              <w:rPr>
                <w:rFonts w:ascii="Arial" w:hAnsi="Arial" w:cs="Arial"/>
                <w:sz w:val="18"/>
                <w:szCs w:val="18"/>
              </w:rPr>
            </w:pPr>
            <w:r>
              <w:rPr>
                <w:rFonts w:ascii="Arial" w:hAnsi="Arial" w:cs="Arial"/>
                <w:sz w:val="18"/>
                <w:szCs w:val="20"/>
              </w:rPr>
              <w:t xml:space="preserve">$53.99 </w:t>
            </w:r>
          </w:p>
        </w:tc>
        <w:tc>
          <w:tcPr>
            <w:tcW w:w="839" w:type="dxa"/>
            <w:tcBorders>
              <w:top w:val="nil"/>
              <w:left w:val="nil"/>
              <w:bottom w:val="single" w:color="auto" w:sz="4" w:space="0"/>
              <w:right w:val="single" w:color="auto" w:sz="4" w:space="0"/>
            </w:tcBorders>
            <w:noWrap/>
            <w:vAlign w:val="bottom"/>
          </w:tcPr>
          <w:p w:rsidR="003B0815" w:rsidRDefault="003B0815" w14:paraId="61FB92AB" w14:textId="77777777">
            <w:pPr>
              <w:jc w:val="right"/>
              <w:rPr>
                <w:rFonts w:ascii="Arial" w:hAnsi="Arial" w:cs="Arial"/>
                <w:sz w:val="18"/>
                <w:szCs w:val="18"/>
              </w:rPr>
            </w:pPr>
            <w:r>
              <w:rPr>
                <w:rFonts w:ascii="Arial" w:hAnsi="Arial" w:cs="Arial"/>
                <w:sz w:val="18"/>
                <w:szCs w:val="20"/>
              </w:rPr>
              <w:t xml:space="preserve">$36.08 </w:t>
            </w:r>
          </w:p>
        </w:tc>
        <w:tc>
          <w:tcPr>
            <w:tcW w:w="1591" w:type="dxa"/>
            <w:tcBorders>
              <w:top w:val="nil"/>
              <w:left w:val="nil"/>
              <w:bottom w:val="single" w:color="auto" w:sz="4" w:space="0"/>
              <w:right w:val="single" w:color="auto" w:sz="4" w:space="0"/>
            </w:tcBorders>
            <w:noWrap/>
            <w:vAlign w:val="bottom"/>
          </w:tcPr>
          <w:p w:rsidR="003B0815" w:rsidRDefault="003B0815" w14:paraId="0B369F63" w14:textId="77777777">
            <w:pPr>
              <w:jc w:val="right"/>
              <w:rPr>
                <w:rFonts w:ascii="Arial" w:hAnsi="Arial" w:cs="Arial"/>
                <w:sz w:val="18"/>
                <w:szCs w:val="18"/>
              </w:rPr>
            </w:pPr>
            <w:r>
              <w:rPr>
                <w:rFonts w:ascii="Arial" w:hAnsi="Arial" w:cs="Arial"/>
                <w:sz w:val="18"/>
                <w:szCs w:val="20"/>
              </w:rPr>
              <w:t xml:space="preserve">$45.30 </w:t>
            </w:r>
          </w:p>
        </w:tc>
      </w:tr>
      <w:tr w:rsidR="003B0815" w14:paraId="57680F95"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4E442B01" w14:textId="77777777">
            <w:pPr>
              <w:jc w:val="center"/>
              <w:rPr>
                <w:rFonts w:ascii="Arial" w:hAnsi="Arial" w:cs="Arial"/>
                <w:sz w:val="18"/>
                <w:szCs w:val="18"/>
              </w:rPr>
            </w:pPr>
            <w:r>
              <w:rPr>
                <w:rFonts w:ascii="Arial" w:hAnsi="Arial" w:cs="Arial"/>
                <w:sz w:val="18"/>
                <w:szCs w:val="18"/>
              </w:rPr>
              <w:t>7</w:t>
            </w:r>
          </w:p>
        </w:tc>
        <w:tc>
          <w:tcPr>
            <w:tcW w:w="867" w:type="dxa"/>
            <w:tcBorders>
              <w:top w:val="nil"/>
              <w:left w:val="nil"/>
              <w:bottom w:val="single" w:color="auto" w:sz="4" w:space="0"/>
              <w:right w:val="single" w:color="auto" w:sz="4" w:space="0"/>
            </w:tcBorders>
            <w:vAlign w:val="bottom"/>
          </w:tcPr>
          <w:p w:rsidR="003B0815" w:rsidRDefault="003B0815" w14:paraId="2832A99E" w14:textId="77777777">
            <w:pPr>
              <w:jc w:val="right"/>
              <w:rPr>
                <w:rFonts w:ascii="Arial" w:hAnsi="Arial" w:cs="Arial"/>
                <w:sz w:val="18"/>
                <w:szCs w:val="18"/>
              </w:rPr>
            </w:pPr>
            <w:r>
              <w:rPr>
                <w:rFonts w:ascii="Arial" w:hAnsi="Arial" w:cs="Arial"/>
                <w:sz w:val="18"/>
                <w:szCs w:val="18"/>
              </w:rPr>
              <w:t>$50.02</w:t>
            </w:r>
          </w:p>
        </w:tc>
        <w:tc>
          <w:tcPr>
            <w:tcW w:w="867" w:type="dxa"/>
            <w:tcBorders>
              <w:top w:val="nil"/>
              <w:left w:val="nil"/>
              <w:bottom w:val="single" w:color="auto" w:sz="4" w:space="0"/>
              <w:right w:val="single" w:color="auto" w:sz="4" w:space="0"/>
            </w:tcBorders>
            <w:vAlign w:val="bottom"/>
          </w:tcPr>
          <w:p w:rsidR="003B0815" w:rsidRDefault="003B0815" w14:paraId="3AA1ED96" w14:textId="77777777">
            <w:pPr>
              <w:jc w:val="right"/>
              <w:rPr>
                <w:rFonts w:ascii="Arial" w:hAnsi="Arial" w:cs="Arial"/>
                <w:sz w:val="18"/>
                <w:szCs w:val="18"/>
              </w:rPr>
            </w:pPr>
            <w:r>
              <w:rPr>
                <w:rFonts w:ascii="Arial" w:hAnsi="Arial" w:cs="Arial"/>
                <w:sz w:val="18"/>
                <w:szCs w:val="18"/>
              </w:rPr>
              <w:t xml:space="preserve">$31.15 </w:t>
            </w:r>
          </w:p>
        </w:tc>
        <w:tc>
          <w:tcPr>
            <w:tcW w:w="867" w:type="dxa"/>
            <w:tcBorders>
              <w:top w:val="nil"/>
              <w:left w:val="nil"/>
              <w:bottom w:val="single" w:color="auto" w:sz="4" w:space="0"/>
              <w:right w:val="single" w:color="auto" w:sz="4" w:space="0"/>
            </w:tcBorders>
            <w:vAlign w:val="bottom"/>
          </w:tcPr>
          <w:p w:rsidR="003B0815" w:rsidRDefault="003B0815" w14:paraId="71246F80" w14:textId="77777777">
            <w:pPr>
              <w:jc w:val="right"/>
              <w:rPr>
                <w:rFonts w:ascii="Arial" w:hAnsi="Arial" w:cs="Arial"/>
                <w:sz w:val="18"/>
                <w:szCs w:val="18"/>
              </w:rPr>
            </w:pPr>
            <w:r>
              <w:rPr>
                <w:rFonts w:ascii="Arial" w:hAnsi="Arial" w:cs="Arial"/>
                <w:sz w:val="18"/>
                <w:szCs w:val="18"/>
              </w:rPr>
              <w:t xml:space="preserve">$40.67 </w:t>
            </w:r>
          </w:p>
        </w:tc>
        <w:tc>
          <w:tcPr>
            <w:tcW w:w="867" w:type="dxa"/>
            <w:tcBorders>
              <w:top w:val="nil"/>
              <w:left w:val="nil"/>
              <w:bottom w:val="single" w:color="auto" w:sz="4" w:space="0"/>
              <w:right w:val="single" w:color="auto" w:sz="4" w:space="0"/>
            </w:tcBorders>
            <w:vAlign w:val="bottom"/>
          </w:tcPr>
          <w:p w:rsidR="003B0815" w:rsidRDefault="003B0815" w14:paraId="1DD683CD" w14:textId="77777777">
            <w:pPr>
              <w:jc w:val="right"/>
              <w:rPr>
                <w:rFonts w:ascii="Arial" w:hAnsi="Arial" w:cs="Arial"/>
                <w:sz w:val="18"/>
                <w:szCs w:val="18"/>
              </w:rPr>
            </w:pPr>
            <w:r>
              <w:rPr>
                <w:rFonts w:ascii="Arial" w:hAnsi="Arial" w:cs="Arial"/>
                <w:sz w:val="18"/>
                <w:szCs w:val="18"/>
              </w:rPr>
              <w:t xml:space="preserve">$51.32 </w:t>
            </w:r>
          </w:p>
        </w:tc>
        <w:tc>
          <w:tcPr>
            <w:tcW w:w="867" w:type="dxa"/>
            <w:tcBorders>
              <w:top w:val="nil"/>
              <w:left w:val="nil"/>
              <w:bottom w:val="single" w:color="auto" w:sz="4" w:space="0"/>
              <w:right w:val="single" w:color="auto" w:sz="4" w:space="0"/>
            </w:tcBorders>
            <w:noWrap/>
            <w:vAlign w:val="bottom"/>
          </w:tcPr>
          <w:p w:rsidR="003B0815" w:rsidRDefault="003B0815" w14:paraId="498B2484" w14:textId="77777777">
            <w:pPr>
              <w:jc w:val="right"/>
              <w:rPr>
                <w:rFonts w:ascii="Arial" w:hAnsi="Arial" w:cs="Arial"/>
                <w:sz w:val="18"/>
                <w:szCs w:val="18"/>
              </w:rPr>
            </w:pPr>
            <w:r>
              <w:rPr>
                <w:rFonts w:ascii="Arial" w:hAnsi="Arial" w:cs="Arial"/>
                <w:sz w:val="18"/>
                <w:szCs w:val="18"/>
              </w:rPr>
              <w:t xml:space="preserve">$31.95 </w:t>
            </w:r>
          </w:p>
        </w:tc>
        <w:tc>
          <w:tcPr>
            <w:tcW w:w="867" w:type="dxa"/>
            <w:tcBorders>
              <w:top w:val="nil"/>
              <w:left w:val="nil"/>
              <w:bottom w:val="single" w:color="auto" w:sz="4" w:space="0"/>
              <w:right w:val="single" w:color="auto" w:sz="4" w:space="0"/>
            </w:tcBorders>
            <w:noWrap/>
            <w:vAlign w:val="bottom"/>
          </w:tcPr>
          <w:p w:rsidR="003B0815" w:rsidRDefault="003B0815" w14:paraId="7A04BC02" w14:textId="77777777">
            <w:pPr>
              <w:jc w:val="right"/>
              <w:rPr>
                <w:rFonts w:ascii="Arial" w:hAnsi="Arial" w:cs="Arial"/>
                <w:sz w:val="18"/>
                <w:szCs w:val="18"/>
              </w:rPr>
            </w:pPr>
            <w:r>
              <w:rPr>
                <w:rFonts w:ascii="Arial" w:hAnsi="Arial" w:cs="Arial"/>
                <w:sz w:val="18"/>
                <w:szCs w:val="18"/>
              </w:rPr>
              <w:t xml:space="preserve">$41.77 </w:t>
            </w:r>
          </w:p>
        </w:tc>
        <w:tc>
          <w:tcPr>
            <w:tcW w:w="867" w:type="dxa"/>
            <w:tcBorders>
              <w:top w:val="nil"/>
              <w:left w:val="nil"/>
              <w:bottom w:val="single" w:color="auto" w:sz="4" w:space="0"/>
              <w:right w:val="single" w:color="auto" w:sz="4" w:space="0"/>
            </w:tcBorders>
            <w:noWrap/>
            <w:vAlign w:val="bottom"/>
          </w:tcPr>
          <w:p w:rsidR="003B0815" w:rsidRDefault="003B0815" w14:paraId="22AD93B0" w14:textId="77777777">
            <w:pPr>
              <w:jc w:val="right"/>
              <w:rPr>
                <w:rFonts w:ascii="Arial" w:hAnsi="Arial" w:cs="Arial"/>
                <w:sz w:val="18"/>
                <w:szCs w:val="18"/>
              </w:rPr>
            </w:pPr>
            <w:r>
              <w:rPr>
                <w:rFonts w:ascii="Arial" w:hAnsi="Arial" w:cs="Arial"/>
                <w:sz w:val="18"/>
                <w:szCs w:val="18"/>
              </w:rPr>
              <w:t xml:space="preserve">$53.02 </w:t>
            </w:r>
          </w:p>
        </w:tc>
        <w:tc>
          <w:tcPr>
            <w:tcW w:w="867" w:type="dxa"/>
            <w:tcBorders>
              <w:top w:val="nil"/>
              <w:left w:val="nil"/>
              <w:bottom w:val="single" w:color="auto" w:sz="4" w:space="0"/>
              <w:right w:val="single" w:color="auto" w:sz="4" w:space="0"/>
            </w:tcBorders>
            <w:noWrap/>
            <w:vAlign w:val="bottom"/>
          </w:tcPr>
          <w:p w:rsidR="003B0815" w:rsidRDefault="003B0815" w14:paraId="78077D42" w14:textId="77777777">
            <w:pPr>
              <w:jc w:val="right"/>
              <w:rPr>
                <w:rFonts w:ascii="Arial" w:hAnsi="Arial" w:cs="Arial"/>
                <w:sz w:val="18"/>
                <w:szCs w:val="18"/>
              </w:rPr>
            </w:pPr>
            <w:r>
              <w:rPr>
                <w:rFonts w:ascii="Arial" w:hAnsi="Arial" w:cs="Arial"/>
                <w:sz w:val="18"/>
                <w:szCs w:val="18"/>
              </w:rPr>
              <w:t xml:space="preserve">$33.05 </w:t>
            </w:r>
          </w:p>
        </w:tc>
        <w:tc>
          <w:tcPr>
            <w:tcW w:w="867" w:type="dxa"/>
            <w:tcBorders>
              <w:top w:val="nil"/>
              <w:left w:val="nil"/>
              <w:bottom w:val="single" w:color="auto" w:sz="4" w:space="0"/>
              <w:right w:val="single" w:color="auto" w:sz="4" w:space="0"/>
            </w:tcBorders>
            <w:noWrap/>
            <w:vAlign w:val="bottom"/>
          </w:tcPr>
          <w:p w:rsidR="003B0815" w:rsidRDefault="003B0815" w14:paraId="525D4144" w14:textId="77777777">
            <w:pPr>
              <w:jc w:val="right"/>
              <w:rPr>
                <w:rFonts w:ascii="Arial" w:hAnsi="Arial" w:cs="Arial"/>
                <w:sz w:val="18"/>
                <w:szCs w:val="18"/>
              </w:rPr>
            </w:pPr>
            <w:r>
              <w:rPr>
                <w:rFonts w:ascii="Arial" w:hAnsi="Arial" w:cs="Arial"/>
                <w:sz w:val="18"/>
                <w:szCs w:val="18"/>
              </w:rPr>
              <w:t xml:space="preserve">$43.17 </w:t>
            </w:r>
          </w:p>
        </w:tc>
        <w:tc>
          <w:tcPr>
            <w:tcW w:w="667" w:type="dxa"/>
            <w:tcBorders>
              <w:top w:val="nil"/>
              <w:left w:val="nil"/>
              <w:bottom w:val="single" w:color="auto" w:sz="4" w:space="0"/>
              <w:right w:val="single" w:color="auto" w:sz="4" w:space="0"/>
            </w:tcBorders>
            <w:noWrap/>
            <w:vAlign w:val="bottom"/>
          </w:tcPr>
          <w:p w:rsidR="003B0815" w:rsidRDefault="003B0815" w14:paraId="5E9DA3F2" w14:textId="77777777">
            <w:pPr>
              <w:jc w:val="right"/>
              <w:rPr>
                <w:rFonts w:ascii="Arial" w:hAnsi="Arial" w:cs="Arial"/>
                <w:sz w:val="18"/>
                <w:szCs w:val="18"/>
              </w:rPr>
            </w:pPr>
            <w:r>
              <w:rPr>
                <w:rFonts w:ascii="Arial" w:hAnsi="Arial" w:cs="Arial"/>
                <w:sz w:val="18"/>
                <w:szCs w:val="20"/>
              </w:rPr>
              <w:t xml:space="preserve">$53.02 </w:t>
            </w:r>
          </w:p>
        </w:tc>
        <w:tc>
          <w:tcPr>
            <w:tcW w:w="839" w:type="dxa"/>
            <w:tcBorders>
              <w:top w:val="nil"/>
              <w:left w:val="nil"/>
              <w:bottom w:val="single" w:color="auto" w:sz="4" w:space="0"/>
              <w:right w:val="single" w:color="auto" w:sz="4" w:space="0"/>
            </w:tcBorders>
            <w:noWrap/>
            <w:vAlign w:val="bottom"/>
          </w:tcPr>
          <w:p w:rsidR="003B0815" w:rsidRDefault="003B0815" w14:paraId="60A75760" w14:textId="77777777">
            <w:pPr>
              <w:jc w:val="right"/>
              <w:rPr>
                <w:rFonts w:ascii="Arial" w:hAnsi="Arial" w:cs="Arial"/>
                <w:sz w:val="18"/>
                <w:szCs w:val="18"/>
              </w:rPr>
            </w:pPr>
            <w:r>
              <w:rPr>
                <w:rFonts w:ascii="Arial" w:hAnsi="Arial" w:cs="Arial"/>
                <w:sz w:val="18"/>
                <w:szCs w:val="20"/>
              </w:rPr>
              <w:t xml:space="preserve">$33.05 </w:t>
            </w:r>
          </w:p>
        </w:tc>
        <w:tc>
          <w:tcPr>
            <w:tcW w:w="1591" w:type="dxa"/>
            <w:tcBorders>
              <w:top w:val="nil"/>
              <w:left w:val="nil"/>
              <w:bottom w:val="single" w:color="auto" w:sz="4" w:space="0"/>
              <w:right w:val="single" w:color="auto" w:sz="4" w:space="0"/>
            </w:tcBorders>
            <w:noWrap/>
            <w:vAlign w:val="bottom"/>
          </w:tcPr>
          <w:p w:rsidR="003B0815" w:rsidRDefault="003B0815" w14:paraId="0ECFDD43" w14:textId="77777777">
            <w:pPr>
              <w:jc w:val="right"/>
              <w:rPr>
                <w:rFonts w:ascii="Arial" w:hAnsi="Arial" w:cs="Arial"/>
                <w:sz w:val="18"/>
                <w:szCs w:val="18"/>
              </w:rPr>
            </w:pPr>
            <w:r>
              <w:rPr>
                <w:rFonts w:ascii="Arial" w:hAnsi="Arial" w:cs="Arial"/>
                <w:sz w:val="18"/>
                <w:szCs w:val="20"/>
              </w:rPr>
              <w:t xml:space="preserve">$43.17 </w:t>
            </w:r>
          </w:p>
        </w:tc>
      </w:tr>
      <w:tr w:rsidR="003B0815" w14:paraId="6D2F32ED"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4E2AA277" w14:textId="77777777">
            <w:pPr>
              <w:jc w:val="center"/>
              <w:rPr>
                <w:rFonts w:ascii="Arial" w:hAnsi="Arial" w:cs="Arial"/>
                <w:sz w:val="18"/>
                <w:szCs w:val="18"/>
              </w:rPr>
            </w:pPr>
            <w:r>
              <w:rPr>
                <w:rFonts w:ascii="Arial" w:hAnsi="Arial" w:cs="Arial"/>
                <w:sz w:val="18"/>
                <w:szCs w:val="18"/>
              </w:rPr>
              <w:t>8</w:t>
            </w:r>
          </w:p>
        </w:tc>
        <w:tc>
          <w:tcPr>
            <w:tcW w:w="867" w:type="dxa"/>
            <w:tcBorders>
              <w:top w:val="nil"/>
              <w:left w:val="nil"/>
              <w:bottom w:val="single" w:color="auto" w:sz="4" w:space="0"/>
              <w:right w:val="single" w:color="auto" w:sz="4" w:space="0"/>
            </w:tcBorders>
            <w:vAlign w:val="bottom"/>
          </w:tcPr>
          <w:p w:rsidR="003B0815" w:rsidRDefault="003B0815" w14:paraId="54A7992E" w14:textId="77777777">
            <w:pPr>
              <w:jc w:val="right"/>
              <w:rPr>
                <w:rFonts w:ascii="Arial" w:hAnsi="Arial" w:cs="Arial"/>
                <w:sz w:val="18"/>
                <w:szCs w:val="18"/>
              </w:rPr>
            </w:pPr>
            <w:r>
              <w:rPr>
                <w:rFonts w:ascii="Arial" w:hAnsi="Arial" w:cs="Arial"/>
                <w:sz w:val="18"/>
                <w:szCs w:val="18"/>
              </w:rPr>
              <w:t>$50.21</w:t>
            </w:r>
          </w:p>
        </w:tc>
        <w:tc>
          <w:tcPr>
            <w:tcW w:w="867" w:type="dxa"/>
            <w:tcBorders>
              <w:top w:val="nil"/>
              <w:left w:val="nil"/>
              <w:bottom w:val="single" w:color="auto" w:sz="4" w:space="0"/>
              <w:right w:val="single" w:color="auto" w:sz="4" w:space="0"/>
            </w:tcBorders>
            <w:vAlign w:val="bottom"/>
          </w:tcPr>
          <w:p w:rsidR="003B0815" w:rsidRDefault="003B0815" w14:paraId="3CAC4D68" w14:textId="77777777">
            <w:pPr>
              <w:jc w:val="right"/>
              <w:rPr>
                <w:rFonts w:ascii="Arial" w:hAnsi="Arial" w:cs="Arial"/>
                <w:sz w:val="18"/>
                <w:szCs w:val="18"/>
              </w:rPr>
            </w:pPr>
            <w:r>
              <w:rPr>
                <w:rFonts w:ascii="Arial" w:hAnsi="Arial" w:cs="Arial"/>
                <w:sz w:val="18"/>
                <w:szCs w:val="18"/>
              </w:rPr>
              <w:t xml:space="preserve">$29.22 </w:t>
            </w:r>
          </w:p>
        </w:tc>
        <w:tc>
          <w:tcPr>
            <w:tcW w:w="867" w:type="dxa"/>
            <w:tcBorders>
              <w:top w:val="nil"/>
              <w:left w:val="nil"/>
              <w:bottom w:val="single" w:color="auto" w:sz="4" w:space="0"/>
              <w:right w:val="single" w:color="auto" w:sz="4" w:space="0"/>
            </w:tcBorders>
            <w:vAlign w:val="bottom"/>
          </w:tcPr>
          <w:p w:rsidR="003B0815" w:rsidRDefault="003B0815" w14:paraId="39226480" w14:textId="77777777">
            <w:pPr>
              <w:jc w:val="right"/>
              <w:rPr>
                <w:rFonts w:ascii="Arial" w:hAnsi="Arial" w:cs="Arial"/>
                <w:sz w:val="18"/>
                <w:szCs w:val="18"/>
              </w:rPr>
            </w:pPr>
            <w:r>
              <w:rPr>
                <w:rFonts w:ascii="Arial" w:hAnsi="Arial" w:cs="Arial"/>
                <w:sz w:val="18"/>
                <w:szCs w:val="18"/>
              </w:rPr>
              <w:t xml:space="preserve">$39.64 </w:t>
            </w:r>
          </w:p>
        </w:tc>
        <w:tc>
          <w:tcPr>
            <w:tcW w:w="867" w:type="dxa"/>
            <w:tcBorders>
              <w:top w:val="nil"/>
              <w:left w:val="nil"/>
              <w:bottom w:val="single" w:color="auto" w:sz="4" w:space="0"/>
              <w:right w:val="single" w:color="auto" w:sz="4" w:space="0"/>
            </w:tcBorders>
            <w:vAlign w:val="bottom"/>
          </w:tcPr>
          <w:p w:rsidR="003B0815" w:rsidRDefault="003B0815" w14:paraId="7776548B" w14:textId="77777777">
            <w:pPr>
              <w:jc w:val="right"/>
              <w:rPr>
                <w:rFonts w:ascii="Arial" w:hAnsi="Arial" w:cs="Arial"/>
                <w:sz w:val="18"/>
                <w:szCs w:val="18"/>
              </w:rPr>
            </w:pPr>
            <w:r>
              <w:rPr>
                <w:rFonts w:ascii="Arial" w:hAnsi="Arial" w:cs="Arial"/>
                <w:sz w:val="18"/>
                <w:szCs w:val="18"/>
              </w:rPr>
              <w:t xml:space="preserve">$51.51 </w:t>
            </w:r>
          </w:p>
        </w:tc>
        <w:tc>
          <w:tcPr>
            <w:tcW w:w="867" w:type="dxa"/>
            <w:tcBorders>
              <w:top w:val="nil"/>
              <w:left w:val="nil"/>
              <w:bottom w:val="single" w:color="auto" w:sz="4" w:space="0"/>
              <w:right w:val="single" w:color="auto" w:sz="4" w:space="0"/>
            </w:tcBorders>
            <w:noWrap/>
            <w:vAlign w:val="bottom"/>
          </w:tcPr>
          <w:p w:rsidR="003B0815" w:rsidRDefault="003B0815" w14:paraId="119654BB" w14:textId="77777777">
            <w:pPr>
              <w:jc w:val="right"/>
              <w:rPr>
                <w:rFonts w:ascii="Arial" w:hAnsi="Arial" w:cs="Arial"/>
                <w:sz w:val="18"/>
                <w:szCs w:val="18"/>
              </w:rPr>
            </w:pPr>
            <w:r>
              <w:rPr>
                <w:rFonts w:ascii="Arial" w:hAnsi="Arial" w:cs="Arial"/>
                <w:sz w:val="18"/>
                <w:szCs w:val="18"/>
              </w:rPr>
              <w:t xml:space="preserve">$30.02 </w:t>
            </w:r>
          </w:p>
        </w:tc>
        <w:tc>
          <w:tcPr>
            <w:tcW w:w="867" w:type="dxa"/>
            <w:tcBorders>
              <w:top w:val="nil"/>
              <w:left w:val="nil"/>
              <w:bottom w:val="single" w:color="auto" w:sz="4" w:space="0"/>
              <w:right w:val="single" w:color="auto" w:sz="4" w:space="0"/>
            </w:tcBorders>
            <w:noWrap/>
            <w:vAlign w:val="bottom"/>
          </w:tcPr>
          <w:p w:rsidR="003B0815" w:rsidRDefault="003B0815" w14:paraId="4F3D43B4" w14:textId="77777777">
            <w:pPr>
              <w:jc w:val="right"/>
              <w:rPr>
                <w:rFonts w:ascii="Arial" w:hAnsi="Arial" w:cs="Arial"/>
                <w:sz w:val="18"/>
                <w:szCs w:val="18"/>
              </w:rPr>
            </w:pPr>
            <w:r>
              <w:rPr>
                <w:rFonts w:ascii="Arial" w:hAnsi="Arial" w:cs="Arial"/>
                <w:sz w:val="18"/>
                <w:szCs w:val="18"/>
              </w:rPr>
              <w:t xml:space="preserve">$40.64 </w:t>
            </w:r>
          </w:p>
        </w:tc>
        <w:tc>
          <w:tcPr>
            <w:tcW w:w="867" w:type="dxa"/>
            <w:tcBorders>
              <w:top w:val="nil"/>
              <w:left w:val="nil"/>
              <w:bottom w:val="single" w:color="auto" w:sz="4" w:space="0"/>
              <w:right w:val="single" w:color="auto" w:sz="4" w:space="0"/>
            </w:tcBorders>
            <w:noWrap/>
            <w:vAlign w:val="bottom"/>
          </w:tcPr>
          <w:p w:rsidR="003B0815" w:rsidRDefault="003B0815" w14:paraId="7C5B2BF3" w14:textId="77777777">
            <w:pPr>
              <w:jc w:val="right"/>
              <w:rPr>
                <w:rFonts w:ascii="Arial" w:hAnsi="Arial" w:cs="Arial"/>
                <w:sz w:val="18"/>
                <w:szCs w:val="18"/>
              </w:rPr>
            </w:pPr>
            <w:r>
              <w:rPr>
                <w:rFonts w:ascii="Arial" w:hAnsi="Arial" w:cs="Arial"/>
                <w:sz w:val="18"/>
                <w:szCs w:val="18"/>
              </w:rPr>
              <w:t xml:space="preserve">$53.21 </w:t>
            </w:r>
          </w:p>
        </w:tc>
        <w:tc>
          <w:tcPr>
            <w:tcW w:w="867" w:type="dxa"/>
            <w:tcBorders>
              <w:top w:val="nil"/>
              <w:left w:val="nil"/>
              <w:bottom w:val="single" w:color="auto" w:sz="4" w:space="0"/>
              <w:right w:val="single" w:color="auto" w:sz="4" w:space="0"/>
            </w:tcBorders>
            <w:noWrap/>
            <w:vAlign w:val="bottom"/>
          </w:tcPr>
          <w:p w:rsidR="003B0815" w:rsidRDefault="003B0815" w14:paraId="50B20821" w14:textId="77777777">
            <w:pPr>
              <w:jc w:val="right"/>
              <w:rPr>
                <w:rFonts w:ascii="Arial" w:hAnsi="Arial" w:cs="Arial"/>
                <w:sz w:val="18"/>
                <w:szCs w:val="18"/>
              </w:rPr>
            </w:pPr>
            <w:r>
              <w:rPr>
                <w:rFonts w:ascii="Arial" w:hAnsi="Arial" w:cs="Arial"/>
                <w:sz w:val="18"/>
                <w:szCs w:val="18"/>
              </w:rPr>
              <w:t xml:space="preserve">$31.02 </w:t>
            </w:r>
          </w:p>
        </w:tc>
        <w:tc>
          <w:tcPr>
            <w:tcW w:w="867" w:type="dxa"/>
            <w:tcBorders>
              <w:top w:val="nil"/>
              <w:left w:val="nil"/>
              <w:bottom w:val="single" w:color="auto" w:sz="4" w:space="0"/>
              <w:right w:val="single" w:color="auto" w:sz="4" w:space="0"/>
            </w:tcBorders>
            <w:noWrap/>
            <w:vAlign w:val="bottom"/>
          </w:tcPr>
          <w:p w:rsidR="003B0815" w:rsidRDefault="003B0815" w14:paraId="58EEC7C2" w14:textId="77777777">
            <w:pPr>
              <w:jc w:val="right"/>
              <w:rPr>
                <w:rFonts w:ascii="Arial" w:hAnsi="Arial" w:cs="Arial"/>
                <w:sz w:val="18"/>
                <w:szCs w:val="18"/>
              </w:rPr>
            </w:pPr>
            <w:r>
              <w:rPr>
                <w:rFonts w:ascii="Arial" w:hAnsi="Arial" w:cs="Arial"/>
                <w:sz w:val="18"/>
                <w:szCs w:val="18"/>
              </w:rPr>
              <w:t xml:space="preserve">$42.04 </w:t>
            </w:r>
          </w:p>
        </w:tc>
        <w:tc>
          <w:tcPr>
            <w:tcW w:w="667" w:type="dxa"/>
            <w:tcBorders>
              <w:top w:val="nil"/>
              <w:left w:val="nil"/>
              <w:bottom w:val="single" w:color="auto" w:sz="4" w:space="0"/>
              <w:right w:val="single" w:color="auto" w:sz="4" w:space="0"/>
            </w:tcBorders>
            <w:noWrap/>
            <w:vAlign w:val="bottom"/>
          </w:tcPr>
          <w:p w:rsidR="003B0815" w:rsidRDefault="003B0815" w14:paraId="5B723B49" w14:textId="77777777">
            <w:pPr>
              <w:jc w:val="right"/>
              <w:rPr>
                <w:rFonts w:ascii="Arial" w:hAnsi="Arial" w:cs="Arial"/>
                <w:sz w:val="18"/>
                <w:szCs w:val="18"/>
              </w:rPr>
            </w:pPr>
            <w:r>
              <w:rPr>
                <w:rFonts w:ascii="Arial" w:hAnsi="Arial" w:cs="Arial"/>
                <w:sz w:val="18"/>
                <w:szCs w:val="20"/>
              </w:rPr>
              <w:t xml:space="preserve">$53.21 </w:t>
            </w:r>
          </w:p>
        </w:tc>
        <w:tc>
          <w:tcPr>
            <w:tcW w:w="839" w:type="dxa"/>
            <w:tcBorders>
              <w:top w:val="nil"/>
              <w:left w:val="nil"/>
              <w:bottom w:val="single" w:color="auto" w:sz="4" w:space="0"/>
              <w:right w:val="single" w:color="auto" w:sz="4" w:space="0"/>
            </w:tcBorders>
            <w:noWrap/>
            <w:vAlign w:val="bottom"/>
          </w:tcPr>
          <w:p w:rsidR="003B0815" w:rsidRDefault="003B0815" w14:paraId="4859493E" w14:textId="77777777">
            <w:pPr>
              <w:jc w:val="right"/>
              <w:rPr>
                <w:rFonts w:ascii="Arial" w:hAnsi="Arial" w:cs="Arial"/>
                <w:sz w:val="18"/>
                <w:szCs w:val="18"/>
              </w:rPr>
            </w:pPr>
            <w:r>
              <w:rPr>
                <w:rFonts w:ascii="Arial" w:hAnsi="Arial" w:cs="Arial"/>
                <w:sz w:val="18"/>
                <w:szCs w:val="20"/>
              </w:rPr>
              <w:t xml:space="preserve">$31.02 </w:t>
            </w:r>
          </w:p>
        </w:tc>
        <w:tc>
          <w:tcPr>
            <w:tcW w:w="1591" w:type="dxa"/>
            <w:tcBorders>
              <w:top w:val="nil"/>
              <w:left w:val="nil"/>
              <w:bottom w:val="single" w:color="auto" w:sz="4" w:space="0"/>
              <w:right w:val="single" w:color="auto" w:sz="4" w:space="0"/>
            </w:tcBorders>
            <w:noWrap/>
            <w:vAlign w:val="bottom"/>
          </w:tcPr>
          <w:p w:rsidR="003B0815" w:rsidRDefault="003B0815" w14:paraId="245BB4AE" w14:textId="77777777">
            <w:pPr>
              <w:jc w:val="right"/>
              <w:rPr>
                <w:rFonts w:ascii="Arial" w:hAnsi="Arial" w:cs="Arial"/>
                <w:sz w:val="18"/>
                <w:szCs w:val="18"/>
              </w:rPr>
            </w:pPr>
            <w:r>
              <w:rPr>
                <w:rFonts w:ascii="Arial" w:hAnsi="Arial" w:cs="Arial"/>
                <w:sz w:val="18"/>
                <w:szCs w:val="20"/>
              </w:rPr>
              <w:t xml:space="preserve">$42.04 </w:t>
            </w:r>
          </w:p>
        </w:tc>
      </w:tr>
      <w:tr w:rsidR="003B0815" w14:paraId="0C78E1CB"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46C1A562" w14:textId="77777777">
            <w:pPr>
              <w:jc w:val="center"/>
              <w:rPr>
                <w:rFonts w:ascii="Arial" w:hAnsi="Arial" w:cs="Arial"/>
                <w:sz w:val="18"/>
                <w:szCs w:val="18"/>
              </w:rPr>
            </w:pPr>
            <w:r>
              <w:rPr>
                <w:rFonts w:ascii="Arial" w:hAnsi="Arial" w:cs="Arial"/>
                <w:sz w:val="18"/>
                <w:szCs w:val="18"/>
              </w:rPr>
              <w:t>9</w:t>
            </w:r>
          </w:p>
        </w:tc>
        <w:tc>
          <w:tcPr>
            <w:tcW w:w="867" w:type="dxa"/>
            <w:tcBorders>
              <w:top w:val="nil"/>
              <w:left w:val="nil"/>
              <w:bottom w:val="single" w:color="auto" w:sz="4" w:space="0"/>
              <w:right w:val="single" w:color="auto" w:sz="4" w:space="0"/>
            </w:tcBorders>
            <w:vAlign w:val="bottom"/>
          </w:tcPr>
          <w:p w:rsidR="003B0815" w:rsidRDefault="003B0815" w14:paraId="0DF2810A" w14:textId="77777777">
            <w:pPr>
              <w:jc w:val="right"/>
              <w:rPr>
                <w:rFonts w:ascii="Arial" w:hAnsi="Arial" w:cs="Arial"/>
                <w:sz w:val="18"/>
                <w:szCs w:val="18"/>
              </w:rPr>
            </w:pPr>
            <w:r>
              <w:rPr>
                <w:rFonts w:ascii="Arial" w:hAnsi="Arial" w:cs="Arial"/>
                <w:sz w:val="18"/>
                <w:szCs w:val="18"/>
              </w:rPr>
              <w:t>$53.30</w:t>
            </w:r>
          </w:p>
        </w:tc>
        <w:tc>
          <w:tcPr>
            <w:tcW w:w="867" w:type="dxa"/>
            <w:tcBorders>
              <w:top w:val="nil"/>
              <w:left w:val="nil"/>
              <w:bottom w:val="single" w:color="auto" w:sz="4" w:space="0"/>
              <w:right w:val="single" w:color="auto" w:sz="4" w:space="0"/>
            </w:tcBorders>
            <w:vAlign w:val="bottom"/>
          </w:tcPr>
          <w:p w:rsidR="003B0815" w:rsidRDefault="003B0815" w14:paraId="2B4D0758" w14:textId="77777777">
            <w:pPr>
              <w:jc w:val="right"/>
              <w:rPr>
                <w:rFonts w:ascii="Arial" w:hAnsi="Arial" w:cs="Arial"/>
                <w:sz w:val="18"/>
                <w:szCs w:val="18"/>
              </w:rPr>
            </w:pPr>
            <w:r>
              <w:rPr>
                <w:rFonts w:ascii="Arial" w:hAnsi="Arial" w:cs="Arial"/>
                <w:sz w:val="18"/>
                <w:szCs w:val="18"/>
              </w:rPr>
              <w:t xml:space="preserve">$28.99 </w:t>
            </w:r>
          </w:p>
        </w:tc>
        <w:tc>
          <w:tcPr>
            <w:tcW w:w="867" w:type="dxa"/>
            <w:tcBorders>
              <w:top w:val="nil"/>
              <w:left w:val="nil"/>
              <w:bottom w:val="single" w:color="auto" w:sz="4" w:space="0"/>
              <w:right w:val="single" w:color="auto" w:sz="4" w:space="0"/>
            </w:tcBorders>
            <w:vAlign w:val="bottom"/>
          </w:tcPr>
          <w:p w:rsidR="003B0815" w:rsidRDefault="003B0815" w14:paraId="451F82FA" w14:textId="77777777">
            <w:pPr>
              <w:jc w:val="right"/>
              <w:rPr>
                <w:rFonts w:ascii="Arial" w:hAnsi="Arial" w:cs="Arial"/>
                <w:sz w:val="18"/>
                <w:szCs w:val="18"/>
              </w:rPr>
            </w:pPr>
            <w:r>
              <w:rPr>
                <w:rFonts w:ascii="Arial" w:hAnsi="Arial" w:cs="Arial"/>
                <w:sz w:val="18"/>
                <w:szCs w:val="18"/>
              </w:rPr>
              <w:t xml:space="preserve">$40.85 </w:t>
            </w:r>
          </w:p>
        </w:tc>
        <w:tc>
          <w:tcPr>
            <w:tcW w:w="867" w:type="dxa"/>
            <w:tcBorders>
              <w:top w:val="nil"/>
              <w:left w:val="nil"/>
              <w:bottom w:val="single" w:color="auto" w:sz="4" w:space="0"/>
              <w:right w:val="single" w:color="auto" w:sz="4" w:space="0"/>
            </w:tcBorders>
            <w:vAlign w:val="bottom"/>
          </w:tcPr>
          <w:p w:rsidR="003B0815" w:rsidRDefault="003B0815" w14:paraId="64F079A6" w14:textId="77777777">
            <w:pPr>
              <w:jc w:val="right"/>
              <w:rPr>
                <w:rFonts w:ascii="Arial" w:hAnsi="Arial" w:cs="Arial"/>
                <w:sz w:val="18"/>
                <w:szCs w:val="18"/>
              </w:rPr>
            </w:pPr>
            <w:r>
              <w:rPr>
                <w:rFonts w:ascii="Arial" w:hAnsi="Arial" w:cs="Arial"/>
                <w:sz w:val="18"/>
                <w:szCs w:val="18"/>
              </w:rPr>
              <w:t xml:space="preserve">$54.60 </w:t>
            </w:r>
          </w:p>
        </w:tc>
        <w:tc>
          <w:tcPr>
            <w:tcW w:w="867" w:type="dxa"/>
            <w:tcBorders>
              <w:top w:val="nil"/>
              <w:left w:val="nil"/>
              <w:bottom w:val="single" w:color="auto" w:sz="4" w:space="0"/>
              <w:right w:val="single" w:color="auto" w:sz="4" w:space="0"/>
            </w:tcBorders>
            <w:noWrap/>
            <w:vAlign w:val="bottom"/>
          </w:tcPr>
          <w:p w:rsidR="003B0815" w:rsidRDefault="003B0815" w14:paraId="7877C46C" w14:textId="77777777">
            <w:pPr>
              <w:jc w:val="right"/>
              <w:rPr>
                <w:rFonts w:ascii="Arial" w:hAnsi="Arial" w:cs="Arial"/>
                <w:sz w:val="18"/>
                <w:szCs w:val="18"/>
              </w:rPr>
            </w:pPr>
            <w:r>
              <w:rPr>
                <w:rFonts w:ascii="Arial" w:hAnsi="Arial" w:cs="Arial"/>
                <w:sz w:val="18"/>
                <w:szCs w:val="18"/>
              </w:rPr>
              <w:t xml:space="preserve">$29.69 </w:t>
            </w:r>
          </w:p>
        </w:tc>
        <w:tc>
          <w:tcPr>
            <w:tcW w:w="867" w:type="dxa"/>
            <w:tcBorders>
              <w:top w:val="nil"/>
              <w:left w:val="nil"/>
              <w:bottom w:val="single" w:color="auto" w:sz="4" w:space="0"/>
              <w:right w:val="single" w:color="auto" w:sz="4" w:space="0"/>
            </w:tcBorders>
            <w:noWrap/>
            <w:vAlign w:val="bottom"/>
          </w:tcPr>
          <w:p w:rsidR="003B0815" w:rsidRDefault="003B0815" w14:paraId="25B74B63" w14:textId="77777777">
            <w:pPr>
              <w:jc w:val="right"/>
              <w:rPr>
                <w:rFonts w:ascii="Arial" w:hAnsi="Arial" w:cs="Arial"/>
                <w:sz w:val="18"/>
                <w:szCs w:val="18"/>
              </w:rPr>
            </w:pPr>
            <w:r>
              <w:rPr>
                <w:rFonts w:ascii="Arial" w:hAnsi="Arial" w:cs="Arial"/>
                <w:sz w:val="18"/>
                <w:szCs w:val="18"/>
              </w:rPr>
              <w:t xml:space="preserve">$41.85 </w:t>
            </w:r>
          </w:p>
        </w:tc>
        <w:tc>
          <w:tcPr>
            <w:tcW w:w="867" w:type="dxa"/>
            <w:tcBorders>
              <w:top w:val="nil"/>
              <w:left w:val="nil"/>
              <w:bottom w:val="single" w:color="auto" w:sz="4" w:space="0"/>
              <w:right w:val="single" w:color="auto" w:sz="4" w:space="0"/>
            </w:tcBorders>
            <w:noWrap/>
            <w:vAlign w:val="bottom"/>
          </w:tcPr>
          <w:p w:rsidR="003B0815" w:rsidRDefault="003B0815" w14:paraId="03D3DB07" w14:textId="77777777">
            <w:pPr>
              <w:jc w:val="right"/>
              <w:rPr>
                <w:rFonts w:ascii="Arial" w:hAnsi="Arial" w:cs="Arial"/>
                <w:sz w:val="18"/>
                <w:szCs w:val="18"/>
              </w:rPr>
            </w:pPr>
            <w:r>
              <w:rPr>
                <w:rFonts w:ascii="Arial" w:hAnsi="Arial" w:cs="Arial"/>
                <w:sz w:val="18"/>
                <w:szCs w:val="18"/>
              </w:rPr>
              <w:t xml:space="preserve">$56.30 </w:t>
            </w:r>
          </w:p>
        </w:tc>
        <w:tc>
          <w:tcPr>
            <w:tcW w:w="867" w:type="dxa"/>
            <w:tcBorders>
              <w:top w:val="nil"/>
              <w:left w:val="nil"/>
              <w:bottom w:val="single" w:color="auto" w:sz="4" w:space="0"/>
              <w:right w:val="single" w:color="auto" w:sz="4" w:space="0"/>
            </w:tcBorders>
            <w:noWrap/>
            <w:vAlign w:val="bottom"/>
          </w:tcPr>
          <w:p w:rsidR="003B0815" w:rsidRDefault="003B0815" w14:paraId="718648A6" w14:textId="77777777">
            <w:pPr>
              <w:jc w:val="right"/>
              <w:rPr>
                <w:rFonts w:ascii="Arial" w:hAnsi="Arial" w:cs="Arial"/>
                <w:sz w:val="18"/>
                <w:szCs w:val="18"/>
              </w:rPr>
            </w:pPr>
            <w:r>
              <w:rPr>
                <w:rFonts w:ascii="Arial" w:hAnsi="Arial" w:cs="Arial"/>
                <w:sz w:val="18"/>
                <w:szCs w:val="18"/>
              </w:rPr>
              <w:t xml:space="preserve">$30.69 </w:t>
            </w:r>
          </w:p>
        </w:tc>
        <w:tc>
          <w:tcPr>
            <w:tcW w:w="867" w:type="dxa"/>
            <w:tcBorders>
              <w:top w:val="nil"/>
              <w:left w:val="nil"/>
              <w:bottom w:val="single" w:color="auto" w:sz="4" w:space="0"/>
              <w:right w:val="single" w:color="auto" w:sz="4" w:space="0"/>
            </w:tcBorders>
            <w:noWrap/>
            <w:vAlign w:val="bottom"/>
          </w:tcPr>
          <w:p w:rsidR="003B0815" w:rsidRDefault="003B0815" w14:paraId="479DEF7B" w14:textId="77777777">
            <w:pPr>
              <w:jc w:val="right"/>
              <w:rPr>
                <w:rFonts w:ascii="Arial" w:hAnsi="Arial" w:cs="Arial"/>
                <w:sz w:val="18"/>
                <w:szCs w:val="18"/>
              </w:rPr>
            </w:pPr>
            <w:r>
              <w:rPr>
                <w:rFonts w:ascii="Arial" w:hAnsi="Arial" w:cs="Arial"/>
                <w:sz w:val="18"/>
                <w:szCs w:val="18"/>
              </w:rPr>
              <w:t xml:space="preserve">$43.25 </w:t>
            </w:r>
          </w:p>
        </w:tc>
        <w:tc>
          <w:tcPr>
            <w:tcW w:w="667" w:type="dxa"/>
            <w:tcBorders>
              <w:top w:val="nil"/>
              <w:left w:val="nil"/>
              <w:bottom w:val="single" w:color="auto" w:sz="4" w:space="0"/>
              <w:right w:val="single" w:color="auto" w:sz="4" w:space="0"/>
            </w:tcBorders>
            <w:noWrap/>
            <w:vAlign w:val="bottom"/>
          </w:tcPr>
          <w:p w:rsidR="003B0815" w:rsidRDefault="003B0815" w14:paraId="10F9202C" w14:textId="77777777">
            <w:pPr>
              <w:jc w:val="right"/>
              <w:rPr>
                <w:rFonts w:ascii="Arial" w:hAnsi="Arial" w:cs="Arial"/>
                <w:sz w:val="18"/>
                <w:szCs w:val="18"/>
              </w:rPr>
            </w:pPr>
            <w:r>
              <w:rPr>
                <w:rFonts w:ascii="Arial" w:hAnsi="Arial" w:cs="Arial"/>
                <w:sz w:val="18"/>
                <w:szCs w:val="20"/>
              </w:rPr>
              <w:t xml:space="preserve">$56.30 </w:t>
            </w:r>
          </w:p>
        </w:tc>
        <w:tc>
          <w:tcPr>
            <w:tcW w:w="839" w:type="dxa"/>
            <w:tcBorders>
              <w:top w:val="nil"/>
              <w:left w:val="nil"/>
              <w:bottom w:val="single" w:color="auto" w:sz="4" w:space="0"/>
              <w:right w:val="single" w:color="auto" w:sz="4" w:space="0"/>
            </w:tcBorders>
            <w:noWrap/>
            <w:vAlign w:val="bottom"/>
          </w:tcPr>
          <w:p w:rsidR="003B0815" w:rsidRDefault="003B0815" w14:paraId="4053ED55" w14:textId="77777777">
            <w:pPr>
              <w:jc w:val="right"/>
              <w:rPr>
                <w:rFonts w:ascii="Arial" w:hAnsi="Arial" w:cs="Arial"/>
                <w:sz w:val="18"/>
                <w:szCs w:val="18"/>
              </w:rPr>
            </w:pPr>
            <w:r>
              <w:rPr>
                <w:rFonts w:ascii="Arial" w:hAnsi="Arial" w:cs="Arial"/>
                <w:sz w:val="18"/>
                <w:szCs w:val="20"/>
              </w:rPr>
              <w:t xml:space="preserve">$30.69 </w:t>
            </w:r>
          </w:p>
        </w:tc>
        <w:tc>
          <w:tcPr>
            <w:tcW w:w="1591" w:type="dxa"/>
            <w:tcBorders>
              <w:top w:val="nil"/>
              <w:left w:val="nil"/>
              <w:bottom w:val="single" w:color="auto" w:sz="4" w:space="0"/>
              <w:right w:val="single" w:color="auto" w:sz="4" w:space="0"/>
            </w:tcBorders>
            <w:noWrap/>
            <w:vAlign w:val="bottom"/>
          </w:tcPr>
          <w:p w:rsidR="003B0815" w:rsidRDefault="003B0815" w14:paraId="6EC4BC4E" w14:textId="77777777">
            <w:pPr>
              <w:jc w:val="right"/>
              <w:rPr>
                <w:rFonts w:ascii="Arial" w:hAnsi="Arial" w:cs="Arial"/>
                <w:sz w:val="18"/>
                <w:szCs w:val="18"/>
              </w:rPr>
            </w:pPr>
            <w:r>
              <w:rPr>
                <w:rFonts w:ascii="Arial" w:hAnsi="Arial" w:cs="Arial"/>
                <w:sz w:val="18"/>
                <w:szCs w:val="20"/>
              </w:rPr>
              <w:t xml:space="preserve">$43.25 </w:t>
            </w:r>
          </w:p>
        </w:tc>
      </w:tr>
      <w:tr w:rsidR="003B0815" w14:paraId="40E79529"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147ADA20" w14:textId="77777777">
            <w:pPr>
              <w:jc w:val="center"/>
              <w:rPr>
                <w:rFonts w:ascii="Arial" w:hAnsi="Arial" w:cs="Arial"/>
                <w:sz w:val="18"/>
                <w:szCs w:val="18"/>
              </w:rPr>
            </w:pPr>
            <w:r>
              <w:rPr>
                <w:rFonts w:ascii="Arial" w:hAnsi="Arial" w:cs="Arial"/>
                <w:sz w:val="18"/>
                <w:szCs w:val="18"/>
              </w:rPr>
              <w:t>10</w:t>
            </w:r>
          </w:p>
        </w:tc>
        <w:tc>
          <w:tcPr>
            <w:tcW w:w="867" w:type="dxa"/>
            <w:tcBorders>
              <w:top w:val="nil"/>
              <w:left w:val="nil"/>
              <w:bottom w:val="single" w:color="auto" w:sz="4" w:space="0"/>
              <w:right w:val="single" w:color="auto" w:sz="4" w:space="0"/>
            </w:tcBorders>
            <w:vAlign w:val="bottom"/>
          </w:tcPr>
          <w:p w:rsidR="003B0815" w:rsidRDefault="003B0815" w14:paraId="480ECC00" w14:textId="77777777">
            <w:pPr>
              <w:jc w:val="right"/>
              <w:rPr>
                <w:rFonts w:ascii="Arial" w:hAnsi="Arial" w:cs="Arial"/>
                <w:sz w:val="18"/>
                <w:szCs w:val="18"/>
              </w:rPr>
            </w:pPr>
            <w:r>
              <w:rPr>
                <w:rFonts w:ascii="Arial" w:hAnsi="Arial" w:cs="Arial"/>
                <w:sz w:val="18"/>
                <w:szCs w:val="18"/>
              </w:rPr>
              <w:t>$57.72</w:t>
            </w:r>
          </w:p>
        </w:tc>
        <w:tc>
          <w:tcPr>
            <w:tcW w:w="867" w:type="dxa"/>
            <w:tcBorders>
              <w:top w:val="nil"/>
              <w:left w:val="nil"/>
              <w:bottom w:val="single" w:color="auto" w:sz="4" w:space="0"/>
              <w:right w:val="single" w:color="auto" w:sz="4" w:space="0"/>
            </w:tcBorders>
            <w:vAlign w:val="bottom"/>
          </w:tcPr>
          <w:p w:rsidR="003B0815" w:rsidRDefault="003B0815" w14:paraId="7AB4F5B0" w14:textId="77777777">
            <w:pPr>
              <w:jc w:val="right"/>
              <w:rPr>
                <w:rFonts w:ascii="Arial" w:hAnsi="Arial" w:cs="Arial"/>
                <w:sz w:val="18"/>
                <w:szCs w:val="18"/>
              </w:rPr>
            </w:pPr>
            <w:r>
              <w:rPr>
                <w:rFonts w:ascii="Arial" w:hAnsi="Arial" w:cs="Arial"/>
                <w:sz w:val="18"/>
                <w:szCs w:val="18"/>
              </w:rPr>
              <w:t xml:space="preserve">$29.34 </w:t>
            </w:r>
          </w:p>
        </w:tc>
        <w:tc>
          <w:tcPr>
            <w:tcW w:w="867" w:type="dxa"/>
            <w:tcBorders>
              <w:top w:val="nil"/>
              <w:left w:val="nil"/>
              <w:bottom w:val="single" w:color="auto" w:sz="4" w:space="0"/>
              <w:right w:val="single" w:color="auto" w:sz="4" w:space="0"/>
            </w:tcBorders>
            <w:vAlign w:val="bottom"/>
          </w:tcPr>
          <w:p w:rsidR="003B0815" w:rsidRDefault="003B0815" w14:paraId="0B424B0A" w14:textId="77777777">
            <w:pPr>
              <w:jc w:val="right"/>
              <w:rPr>
                <w:rFonts w:ascii="Arial" w:hAnsi="Arial" w:cs="Arial"/>
                <w:sz w:val="18"/>
                <w:szCs w:val="18"/>
              </w:rPr>
            </w:pPr>
            <w:r>
              <w:rPr>
                <w:rFonts w:ascii="Arial" w:hAnsi="Arial" w:cs="Arial"/>
                <w:sz w:val="18"/>
                <w:szCs w:val="18"/>
              </w:rPr>
              <w:t xml:space="preserve">$42.95 </w:t>
            </w:r>
          </w:p>
        </w:tc>
        <w:tc>
          <w:tcPr>
            <w:tcW w:w="867" w:type="dxa"/>
            <w:tcBorders>
              <w:top w:val="nil"/>
              <w:left w:val="nil"/>
              <w:bottom w:val="single" w:color="auto" w:sz="4" w:space="0"/>
              <w:right w:val="single" w:color="auto" w:sz="4" w:space="0"/>
            </w:tcBorders>
            <w:vAlign w:val="bottom"/>
          </w:tcPr>
          <w:p w:rsidR="003B0815" w:rsidRDefault="003B0815" w14:paraId="094579E8" w14:textId="77777777">
            <w:pPr>
              <w:jc w:val="right"/>
              <w:rPr>
                <w:rFonts w:ascii="Arial" w:hAnsi="Arial" w:cs="Arial"/>
                <w:sz w:val="18"/>
                <w:szCs w:val="18"/>
              </w:rPr>
            </w:pPr>
            <w:r>
              <w:rPr>
                <w:rFonts w:ascii="Arial" w:hAnsi="Arial" w:cs="Arial"/>
                <w:sz w:val="18"/>
                <w:szCs w:val="18"/>
              </w:rPr>
              <w:t xml:space="preserve">$59.02 </w:t>
            </w:r>
          </w:p>
        </w:tc>
        <w:tc>
          <w:tcPr>
            <w:tcW w:w="867" w:type="dxa"/>
            <w:tcBorders>
              <w:top w:val="nil"/>
              <w:left w:val="nil"/>
              <w:bottom w:val="single" w:color="auto" w:sz="4" w:space="0"/>
              <w:right w:val="single" w:color="auto" w:sz="4" w:space="0"/>
            </w:tcBorders>
            <w:noWrap/>
            <w:vAlign w:val="bottom"/>
          </w:tcPr>
          <w:p w:rsidR="003B0815" w:rsidRDefault="003B0815" w14:paraId="49626065" w14:textId="77777777">
            <w:pPr>
              <w:jc w:val="right"/>
              <w:rPr>
                <w:rFonts w:ascii="Arial" w:hAnsi="Arial" w:cs="Arial"/>
                <w:sz w:val="18"/>
                <w:szCs w:val="18"/>
              </w:rPr>
            </w:pPr>
            <w:r>
              <w:rPr>
                <w:rFonts w:ascii="Arial" w:hAnsi="Arial" w:cs="Arial"/>
                <w:sz w:val="18"/>
                <w:szCs w:val="18"/>
              </w:rPr>
              <w:t xml:space="preserve">$30.04 </w:t>
            </w:r>
          </w:p>
        </w:tc>
        <w:tc>
          <w:tcPr>
            <w:tcW w:w="867" w:type="dxa"/>
            <w:tcBorders>
              <w:top w:val="nil"/>
              <w:left w:val="nil"/>
              <w:bottom w:val="single" w:color="auto" w:sz="4" w:space="0"/>
              <w:right w:val="single" w:color="auto" w:sz="4" w:space="0"/>
            </w:tcBorders>
            <w:noWrap/>
            <w:vAlign w:val="bottom"/>
          </w:tcPr>
          <w:p w:rsidR="003B0815" w:rsidRDefault="003B0815" w14:paraId="5E18D57C" w14:textId="77777777">
            <w:pPr>
              <w:jc w:val="right"/>
              <w:rPr>
                <w:rFonts w:ascii="Arial" w:hAnsi="Arial" w:cs="Arial"/>
                <w:sz w:val="18"/>
                <w:szCs w:val="18"/>
              </w:rPr>
            </w:pPr>
            <w:r>
              <w:rPr>
                <w:rFonts w:ascii="Arial" w:hAnsi="Arial" w:cs="Arial"/>
                <w:sz w:val="18"/>
                <w:szCs w:val="18"/>
              </w:rPr>
              <w:t xml:space="preserve">$43.55 </w:t>
            </w:r>
          </w:p>
        </w:tc>
        <w:tc>
          <w:tcPr>
            <w:tcW w:w="867" w:type="dxa"/>
            <w:tcBorders>
              <w:top w:val="nil"/>
              <w:left w:val="nil"/>
              <w:bottom w:val="single" w:color="auto" w:sz="4" w:space="0"/>
              <w:right w:val="single" w:color="auto" w:sz="4" w:space="0"/>
            </w:tcBorders>
            <w:noWrap/>
            <w:vAlign w:val="bottom"/>
          </w:tcPr>
          <w:p w:rsidR="003B0815" w:rsidRDefault="003B0815" w14:paraId="79C2EB3B" w14:textId="77777777">
            <w:pPr>
              <w:jc w:val="right"/>
              <w:rPr>
                <w:rFonts w:ascii="Arial" w:hAnsi="Arial" w:cs="Arial"/>
                <w:sz w:val="18"/>
                <w:szCs w:val="18"/>
              </w:rPr>
            </w:pPr>
            <w:r>
              <w:rPr>
                <w:rFonts w:ascii="Arial" w:hAnsi="Arial" w:cs="Arial"/>
                <w:sz w:val="18"/>
                <w:szCs w:val="18"/>
              </w:rPr>
              <w:t xml:space="preserve">$60.72 </w:t>
            </w:r>
          </w:p>
        </w:tc>
        <w:tc>
          <w:tcPr>
            <w:tcW w:w="867" w:type="dxa"/>
            <w:tcBorders>
              <w:top w:val="nil"/>
              <w:left w:val="nil"/>
              <w:bottom w:val="single" w:color="auto" w:sz="4" w:space="0"/>
              <w:right w:val="single" w:color="auto" w:sz="4" w:space="0"/>
            </w:tcBorders>
            <w:noWrap/>
            <w:vAlign w:val="bottom"/>
          </w:tcPr>
          <w:p w:rsidR="003B0815" w:rsidRDefault="003B0815" w14:paraId="45C739EF" w14:textId="77777777">
            <w:pPr>
              <w:jc w:val="right"/>
              <w:rPr>
                <w:rFonts w:ascii="Arial" w:hAnsi="Arial" w:cs="Arial"/>
                <w:sz w:val="18"/>
                <w:szCs w:val="18"/>
              </w:rPr>
            </w:pPr>
            <w:r>
              <w:rPr>
                <w:rFonts w:ascii="Arial" w:hAnsi="Arial" w:cs="Arial"/>
                <w:sz w:val="18"/>
                <w:szCs w:val="18"/>
              </w:rPr>
              <w:t xml:space="preserve">$30.94 </w:t>
            </w:r>
          </w:p>
        </w:tc>
        <w:tc>
          <w:tcPr>
            <w:tcW w:w="867" w:type="dxa"/>
            <w:tcBorders>
              <w:top w:val="nil"/>
              <w:left w:val="nil"/>
              <w:bottom w:val="single" w:color="auto" w:sz="4" w:space="0"/>
              <w:right w:val="single" w:color="auto" w:sz="4" w:space="0"/>
            </w:tcBorders>
            <w:noWrap/>
            <w:vAlign w:val="bottom"/>
          </w:tcPr>
          <w:p w:rsidR="003B0815" w:rsidRDefault="003B0815" w14:paraId="07065746" w14:textId="77777777">
            <w:pPr>
              <w:jc w:val="right"/>
              <w:rPr>
                <w:rFonts w:ascii="Arial" w:hAnsi="Arial" w:cs="Arial"/>
                <w:sz w:val="18"/>
                <w:szCs w:val="18"/>
              </w:rPr>
            </w:pPr>
            <w:r>
              <w:rPr>
                <w:rFonts w:ascii="Arial" w:hAnsi="Arial" w:cs="Arial"/>
                <w:sz w:val="18"/>
                <w:szCs w:val="18"/>
              </w:rPr>
              <w:t xml:space="preserve">$45.25 </w:t>
            </w:r>
          </w:p>
        </w:tc>
        <w:tc>
          <w:tcPr>
            <w:tcW w:w="667" w:type="dxa"/>
            <w:tcBorders>
              <w:top w:val="nil"/>
              <w:left w:val="nil"/>
              <w:bottom w:val="single" w:color="auto" w:sz="4" w:space="0"/>
              <w:right w:val="single" w:color="auto" w:sz="4" w:space="0"/>
            </w:tcBorders>
            <w:noWrap/>
            <w:vAlign w:val="bottom"/>
          </w:tcPr>
          <w:p w:rsidR="003B0815" w:rsidRDefault="003B0815" w14:paraId="194EDCEB" w14:textId="77777777">
            <w:pPr>
              <w:jc w:val="right"/>
              <w:rPr>
                <w:rFonts w:ascii="Arial" w:hAnsi="Arial" w:cs="Arial"/>
                <w:sz w:val="18"/>
                <w:szCs w:val="18"/>
              </w:rPr>
            </w:pPr>
            <w:r>
              <w:rPr>
                <w:rFonts w:ascii="Arial" w:hAnsi="Arial" w:cs="Arial"/>
                <w:sz w:val="18"/>
                <w:szCs w:val="20"/>
              </w:rPr>
              <w:t xml:space="preserve">$60.72 </w:t>
            </w:r>
          </w:p>
        </w:tc>
        <w:tc>
          <w:tcPr>
            <w:tcW w:w="839" w:type="dxa"/>
            <w:tcBorders>
              <w:top w:val="nil"/>
              <w:left w:val="nil"/>
              <w:bottom w:val="single" w:color="auto" w:sz="4" w:space="0"/>
              <w:right w:val="single" w:color="auto" w:sz="4" w:space="0"/>
            </w:tcBorders>
            <w:noWrap/>
            <w:vAlign w:val="bottom"/>
          </w:tcPr>
          <w:p w:rsidR="003B0815" w:rsidRDefault="003B0815" w14:paraId="017DD79A" w14:textId="77777777">
            <w:pPr>
              <w:jc w:val="right"/>
              <w:rPr>
                <w:rFonts w:ascii="Arial" w:hAnsi="Arial" w:cs="Arial"/>
                <w:sz w:val="18"/>
                <w:szCs w:val="18"/>
              </w:rPr>
            </w:pPr>
            <w:r>
              <w:rPr>
                <w:rFonts w:ascii="Arial" w:hAnsi="Arial" w:cs="Arial"/>
                <w:sz w:val="18"/>
                <w:szCs w:val="20"/>
              </w:rPr>
              <w:t xml:space="preserve">$30.94 </w:t>
            </w:r>
          </w:p>
        </w:tc>
        <w:tc>
          <w:tcPr>
            <w:tcW w:w="1591" w:type="dxa"/>
            <w:tcBorders>
              <w:top w:val="nil"/>
              <w:left w:val="nil"/>
              <w:bottom w:val="single" w:color="auto" w:sz="4" w:space="0"/>
              <w:right w:val="single" w:color="auto" w:sz="4" w:space="0"/>
            </w:tcBorders>
            <w:noWrap/>
            <w:vAlign w:val="bottom"/>
          </w:tcPr>
          <w:p w:rsidR="003B0815" w:rsidRDefault="003B0815" w14:paraId="53C4D336" w14:textId="77777777">
            <w:pPr>
              <w:jc w:val="right"/>
              <w:rPr>
                <w:rFonts w:ascii="Arial" w:hAnsi="Arial" w:cs="Arial"/>
                <w:sz w:val="18"/>
                <w:szCs w:val="18"/>
              </w:rPr>
            </w:pPr>
            <w:r>
              <w:rPr>
                <w:rFonts w:ascii="Arial" w:hAnsi="Arial" w:cs="Arial"/>
                <w:sz w:val="18"/>
                <w:szCs w:val="20"/>
              </w:rPr>
              <w:t xml:space="preserve">$45.25 </w:t>
            </w:r>
          </w:p>
        </w:tc>
      </w:tr>
      <w:tr w:rsidR="003B0815" w14:paraId="7B608024" w14:textId="77777777">
        <w:trPr>
          <w:trHeight w:val="255"/>
          <w:jc w:val="center"/>
        </w:trPr>
        <w:tc>
          <w:tcPr>
            <w:tcW w:w="617" w:type="dxa"/>
            <w:tcBorders>
              <w:top w:val="nil"/>
              <w:left w:val="single" w:color="auto" w:sz="4" w:space="0"/>
              <w:bottom w:val="single" w:color="auto" w:sz="4" w:space="0"/>
              <w:right w:val="single" w:color="auto" w:sz="4" w:space="0"/>
            </w:tcBorders>
            <w:noWrap/>
            <w:vAlign w:val="bottom"/>
          </w:tcPr>
          <w:p w:rsidR="003B0815" w:rsidRDefault="003B0815" w14:paraId="0F522355" w14:textId="77777777">
            <w:pPr>
              <w:jc w:val="center"/>
              <w:rPr>
                <w:rFonts w:ascii="Arial" w:hAnsi="Arial" w:cs="Arial"/>
                <w:sz w:val="18"/>
                <w:szCs w:val="18"/>
              </w:rPr>
            </w:pPr>
            <w:r>
              <w:rPr>
                <w:rFonts w:ascii="Arial" w:hAnsi="Arial" w:cs="Arial"/>
                <w:sz w:val="18"/>
                <w:szCs w:val="18"/>
              </w:rPr>
              <w:t>Total</w:t>
            </w:r>
          </w:p>
        </w:tc>
        <w:tc>
          <w:tcPr>
            <w:tcW w:w="867" w:type="dxa"/>
            <w:tcBorders>
              <w:top w:val="nil"/>
              <w:left w:val="nil"/>
              <w:bottom w:val="single" w:color="auto" w:sz="4" w:space="0"/>
              <w:right w:val="single" w:color="auto" w:sz="4" w:space="0"/>
            </w:tcBorders>
            <w:vAlign w:val="bottom"/>
          </w:tcPr>
          <w:p w:rsidR="003B0815" w:rsidRDefault="003B0815" w14:paraId="5D223AC2" w14:textId="77777777">
            <w:pPr>
              <w:jc w:val="right"/>
              <w:rPr>
                <w:rFonts w:ascii="Arial" w:hAnsi="Arial" w:cs="Arial"/>
                <w:sz w:val="18"/>
                <w:szCs w:val="18"/>
              </w:rPr>
            </w:pPr>
            <w:r>
              <w:rPr>
                <w:rFonts w:ascii="Arial" w:hAnsi="Arial" w:cs="Arial"/>
                <w:sz w:val="18"/>
                <w:szCs w:val="18"/>
              </w:rPr>
              <w:t>$463.16</w:t>
            </w:r>
          </w:p>
        </w:tc>
        <w:tc>
          <w:tcPr>
            <w:tcW w:w="867" w:type="dxa"/>
            <w:tcBorders>
              <w:top w:val="nil"/>
              <w:left w:val="nil"/>
              <w:bottom w:val="single" w:color="auto" w:sz="4" w:space="0"/>
              <w:right w:val="single" w:color="auto" w:sz="4" w:space="0"/>
            </w:tcBorders>
            <w:vAlign w:val="bottom"/>
          </w:tcPr>
          <w:p w:rsidR="003B0815" w:rsidRDefault="003B0815" w14:paraId="05351E3D" w14:textId="77777777">
            <w:pPr>
              <w:jc w:val="right"/>
              <w:rPr>
                <w:rFonts w:ascii="Arial" w:hAnsi="Arial" w:cs="Arial"/>
                <w:sz w:val="18"/>
                <w:szCs w:val="18"/>
              </w:rPr>
            </w:pPr>
            <w:r>
              <w:rPr>
                <w:rFonts w:ascii="Arial" w:hAnsi="Arial" w:cs="Arial"/>
                <w:sz w:val="18"/>
                <w:szCs w:val="18"/>
              </w:rPr>
              <w:t xml:space="preserve">$314.03 </w:t>
            </w:r>
          </w:p>
        </w:tc>
        <w:tc>
          <w:tcPr>
            <w:tcW w:w="867" w:type="dxa"/>
            <w:tcBorders>
              <w:top w:val="nil"/>
              <w:left w:val="nil"/>
              <w:bottom w:val="single" w:color="auto" w:sz="4" w:space="0"/>
              <w:right w:val="single" w:color="auto" w:sz="4" w:space="0"/>
            </w:tcBorders>
            <w:vAlign w:val="bottom"/>
          </w:tcPr>
          <w:p w:rsidR="003B0815" w:rsidRDefault="003B0815" w14:paraId="61D5C401" w14:textId="77777777">
            <w:pPr>
              <w:jc w:val="right"/>
              <w:rPr>
                <w:rFonts w:ascii="Arial" w:hAnsi="Arial" w:cs="Arial"/>
                <w:sz w:val="18"/>
                <w:szCs w:val="18"/>
              </w:rPr>
            </w:pPr>
            <w:r>
              <w:rPr>
                <w:rFonts w:ascii="Arial" w:hAnsi="Arial" w:cs="Arial"/>
                <w:sz w:val="18"/>
                <w:szCs w:val="18"/>
              </w:rPr>
              <w:t xml:space="preserve">$389.18 </w:t>
            </w:r>
          </w:p>
        </w:tc>
        <w:tc>
          <w:tcPr>
            <w:tcW w:w="867" w:type="dxa"/>
            <w:tcBorders>
              <w:top w:val="nil"/>
              <w:left w:val="nil"/>
              <w:bottom w:val="single" w:color="auto" w:sz="4" w:space="0"/>
              <w:right w:val="single" w:color="auto" w:sz="4" w:space="0"/>
            </w:tcBorders>
            <w:vAlign w:val="bottom"/>
          </w:tcPr>
          <w:p w:rsidR="003B0815" w:rsidRDefault="003B0815" w14:paraId="60CD3CE4" w14:textId="77777777">
            <w:pPr>
              <w:jc w:val="right"/>
              <w:rPr>
                <w:rFonts w:ascii="Arial" w:hAnsi="Arial" w:cs="Arial"/>
                <w:sz w:val="18"/>
                <w:szCs w:val="18"/>
              </w:rPr>
            </w:pPr>
            <w:r>
              <w:rPr>
                <w:rFonts w:ascii="Arial" w:hAnsi="Arial" w:cs="Arial"/>
                <w:sz w:val="18"/>
                <w:szCs w:val="18"/>
              </w:rPr>
              <w:t xml:space="preserve">$479.36 </w:t>
            </w:r>
          </w:p>
        </w:tc>
        <w:tc>
          <w:tcPr>
            <w:tcW w:w="867" w:type="dxa"/>
            <w:tcBorders>
              <w:top w:val="nil"/>
              <w:left w:val="nil"/>
              <w:bottom w:val="single" w:color="auto" w:sz="4" w:space="0"/>
              <w:right w:val="single" w:color="auto" w:sz="4" w:space="0"/>
            </w:tcBorders>
            <w:noWrap/>
            <w:vAlign w:val="bottom"/>
          </w:tcPr>
          <w:p w:rsidR="003B0815" w:rsidRDefault="003B0815" w14:paraId="3CA5F190" w14:textId="77777777">
            <w:pPr>
              <w:jc w:val="right"/>
              <w:rPr>
                <w:rFonts w:ascii="Arial" w:hAnsi="Arial" w:cs="Arial"/>
                <w:sz w:val="18"/>
                <w:szCs w:val="18"/>
              </w:rPr>
            </w:pPr>
            <w:r>
              <w:rPr>
                <w:rFonts w:ascii="Arial" w:hAnsi="Arial" w:cs="Arial"/>
                <w:sz w:val="18"/>
                <w:szCs w:val="18"/>
              </w:rPr>
              <w:t xml:space="preserve">$326.53 </w:t>
            </w:r>
          </w:p>
        </w:tc>
        <w:tc>
          <w:tcPr>
            <w:tcW w:w="867" w:type="dxa"/>
            <w:tcBorders>
              <w:top w:val="nil"/>
              <w:left w:val="nil"/>
              <w:bottom w:val="single" w:color="auto" w:sz="4" w:space="0"/>
              <w:right w:val="single" w:color="auto" w:sz="4" w:space="0"/>
            </w:tcBorders>
            <w:noWrap/>
            <w:vAlign w:val="bottom"/>
          </w:tcPr>
          <w:p w:rsidR="003B0815" w:rsidRDefault="003B0815" w14:paraId="4530E905" w14:textId="77777777">
            <w:pPr>
              <w:jc w:val="right"/>
              <w:rPr>
                <w:rFonts w:ascii="Arial" w:hAnsi="Arial" w:cs="Arial"/>
                <w:sz w:val="18"/>
                <w:szCs w:val="18"/>
              </w:rPr>
            </w:pPr>
            <w:r>
              <w:rPr>
                <w:rFonts w:ascii="Arial" w:hAnsi="Arial" w:cs="Arial"/>
                <w:sz w:val="18"/>
                <w:szCs w:val="18"/>
              </w:rPr>
              <w:t xml:space="preserve">$403.08 </w:t>
            </w:r>
          </w:p>
        </w:tc>
        <w:tc>
          <w:tcPr>
            <w:tcW w:w="867" w:type="dxa"/>
            <w:tcBorders>
              <w:top w:val="nil"/>
              <w:left w:val="nil"/>
              <w:bottom w:val="single" w:color="auto" w:sz="4" w:space="0"/>
              <w:right w:val="single" w:color="auto" w:sz="4" w:space="0"/>
            </w:tcBorders>
            <w:noWrap/>
            <w:vAlign w:val="bottom"/>
          </w:tcPr>
          <w:p w:rsidR="003B0815" w:rsidRDefault="003B0815" w14:paraId="00683824" w14:textId="77777777">
            <w:pPr>
              <w:jc w:val="right"/>
              <w:rPr>
                <w:rFonts w:ascii="Arial" w:hAnsi="Arial" w:cs="Arial"/>
                <w:sz w:val="18"/>
                <w:szCs w:val="18"/>
              </w:rPr>
            </w:pPr>
            <w:r>
              <w:rPr>
                <w:rFonts w:ascii="Arial" w:hAnsi="Arial" w:cs="Arial"/>
                <w:sz w:val="18"/>
                <w:szCs w:val="18"/>
              </w:rPr>
              <w:t xml:space="preserve">$500.56 </w:t>
            </w:r>
          </w:p>
        </w:tc>
        <w:tc>
          <w:tcPr>
            <w:tcW w:w="867" w:type="dxa"/>
            <w:tcBorders>
              <w:top w:val="nil"/>
              <w:left w:val="nil"/>
              <w:bottom w:val="single" w:color="auto" w:sz="4" w:space="0"/>
              <w:right w:val="single" w:color="auto" w:sz="4" w:space="0"/>
            </w:tcBorders>
            <w:noWrap/>
            <w:vAlign w:val="bottom"/>
          </w:tcPr>
          <w:p w:rsidR="003B0815" w:rsidRDefault="003B0815" w14:paraId="393E6FF5" w14:textId="77777777">
            <w:pPr>
              <w:jc w:val="right"/>
              <w:rPr>
                <w:rFonts w:ascii="Arial" w:hAnsi="Arial" w:cs="Arial"/>
                <w:sz w:val="18"/>
                <w:szCs w:val="18"/>
              </w:rPr>
            </w:pPr>
            <w:r>
              <w:rPr>
                <w:rFonts w:ascii="Arial" w:hAnsi="Arial" w:cs="Arial"/>
                <w:sz w:val="18"/>
                <w:szCs w:val="18"/>
              </w:rPr>
              <w:t xml:space="preserve">$342.63 </w:t>
            </w:r>
          </w:p>
        </w:tc>
        <w:tc>
          <w:tcPr>
            <w:tcW w:w="867" w:type="dxa"/>
            <w:tcBorders>
              <w:top w:val="nil"/>
              <w:left w:val="nil"/>
              <w:bottom w:val="single" w:color="auto" w:sz="4" w:space="0"/>
              <w:right w:val="single" w:color="auto" w:sz="4" w:space="0"/>
            </w:tcBorders>
            <w:noWrap/>
            <w:vAlign w:val="bottom"/>
          </w:tcPr>
          <w:p w:rsidR="003B0815" w:rsidRDefault="003B0815" w14:paraId="2B59CA4C" w14:textId="77777777">
            <w:pPr>
              <w:jc w:val="right"/>
              <w:rPr>
                <w:rFonts w:ascii="Arial" w:hAnsi="Arial" w:cs="Arial"/>
                <w:sz w:val="18"/>
                <w:szCs w:val="18"/>
              </w:rPr>
            </w:pPr>
            <w:r>
              <w:rPr>
                <w:rFonts w:ascii="Arial" w:hAnsi="Arial" w:cs="Arial"/>
                <w:sz w:val="18"/>
                <w:szCs w:val="18"/>
              </w:rPr>
              <w:t xml:space="preserve">$422.48 </w:t>
            </w:r>
          </w:p>
        </w:tc>
        <w:tc>
          <w:tcPr>
            <w:tcW w:w="667" w:type="dxa"/>
            <w:tcBorders>
              <w:top w:val="nil"/>
              <w:left w:val="nil"/>
              <w:bottom w:val="single" w:color="auto" w:sz="4" w:space="0"/>
              <w:right w:val="single" w:color="auto" w:sz="4" w:space="0"/>
            </w:tcBorders>
            <w:noWrap/>
            <w:vAlign w:val="bottom"/>
          </w:tcPr>
          <w:p w:rsidR="003B0815" w:rsidRDefault="003B0815" w14:paraId="2EB281A1" w14:textId="77777777">
            <w:pPr>
              <w:jc w:val="right"/>
              <w:rPr>
                <w:rFonts w:ascii="Arial" w:hAnsi="Arial" w:cs="Arial"/>
                <w:sz w:val="18"/>
                <w:szCs w:val="18"/>
              </w:rPr>
            </w:pPr>
            <w:r>
              <w:rPr>
                <w:rFonts w:ascii="Arial" w:hAnsi="Arial" w:cs="Arial"/>
                <w:sz w:val="18"/>
                <w:szCs w:val="18"/>
              </w:rPr>
              <w:t xml:space="preserve">$500.56 </w:t>
            </w:r>
          </w:p>
        </w:tc>
        <w:tc>
          <w:tcPr>
            <w:tcW w:w="839" w:type="dxa"/>
            <w:tcBorders>
              <w:top w:val="nil"/>
              <w:left w:val="nil"/>
              <w:bottom w:val="single" w:color="auto" w:sz="4" w:space="0"/>
              <w:right w:val="single" w:color="auto" w:sz="4" w:space="0"/>
            </w:tcBorders>
            <w:noWrap/>
            <w:vAlign w:val="bottom"/>
          </w:tcPr>
          <w:p w:rsidR="003B0815" w:rsidRDefault="003B0815" w14:paraId="1123C3ED" w14:textId="77777777">
            <w:pPr>
              <w:jc w:val="right"/>
              <w:rPr>
                <w:rFonts w:ascii="Arial" w:hAnsi="Arial" w:cs="Arial"/>
                <w:sz w:val="18"/>
                <w:szCs w:val="18"/>
              </w:rPr>
            </w:pPr>
            <w:r>
              <w:rPr>
                <w:rFonts w:ascii="Arial" w:hAnsi="Arial" w:cs="Arial"/>
                <w:sz w:val="18"/>
                <w:szCs w:val="18"/>
              </w:rPr>
              <w:t xml:space="preserve">$342.63 </w:t>
            </w:r>
          </w:p>
        </w:tc>
        <w:tc>
          <w:tcPr>
            <w:tcW w:w="1591" w:type="dxa"/>
            <w:tcBorders>
              <w:top w:val="nil"/>
              <w:left w:val="nil"/>
              <w:bottom w:val="single" w:color="auto" w:sz="4" w:space="0"/>
              <w:right w:val="single" w:color="auto" w:sz="4" w:space="0"/>
            </w:tcBorders>
            <w:noWrap/>
            <w:vAlign w:val="bottom"/>
          </w:tcPr>
          <w:p w:rsidR="003B0815" w:rsidRDefault="003B0815" w14:paraId="242004AF" w14:textId="77777777">
            <w:pPr>
              <w:jc w:val="right"/>
              <w:rPr>
                <w:rFonts w:ascii="Arial" w:hAnsi="Arial" w:cs="Arial"/>
                <w:sz w:val="18"/>
                <w:szCs w:val="18"/>
              </w:rPr>
            </w:pPr>
            <w:r>
              <w:rPr>
                <w:rFonts w:ascii="Arial" w:hAnsi="Arial" w:cs="Arial"/>
                <w:sz w:val="18"/>
                <w:szCs w:val="18"/>
              </w:rPr>
              <w:t xml:space="preserve">$422.48 </w:t>
            </w:r>
          </w:p>
        </w:tc>
      </w:tr>
    </w:tbl>
    <w:p w:rsidR="003B0815" w:rsidRDefault="003B0815" w14:paraId="4020EBB9" w14:textId="77777777">
      <w:pPr>
        <w:spacing w:line="480" w:lineRule="auto"/>
      </w:pPr>
      <w:r>
        <w:rPr>
          <w:color w:val="FF0000"/>
          <w:sz w:val="16"/>
          <w:szCs w:val="16"/>
        </w:rPr>
        <w:t xml:space="preserve"> </w:t>
      </w:r>
    </w:p>
    <w:p w:rsidR="003B0815" w:rsidRDefault="003B0815" w14:paraId="4A0001C8" w14:textId="77777777">
      <w:pPr>
        <w:spacing w:line="360" w:lineRule="auto"/>
        <w:ind w:firstLine="720"/>
      </w:pPr>
    </w:p>
    <w:p w:rsidR="003B0815" w:rsidRDefault="003B0815" w14:paraId="7D512CDF" w14:textId="77777777">
      <w:pPr>
        <w:spacing w:line="360" w:lineRule="auto"/>
      </w:pPr>
      <w:r>
        <w:tab/>
      </w:r>
    </w:p>
    <w:p w:rsidR="003B0815" w:rsidRDefault="003B0815" w14:paraId="2E335156" w14:textId="77777777">
      <w:pPr>
        <w:keepNext/>
        <w:ind w:left="720" w:hanging="720"/>
        <w:rPr>
          <w:b/>
        </w:rPr>
      </w:pPr>
      <w:r>
        <w:rPr>
          <w:b/>
        </w:rPr>
        <w:br w:type="page"/>
        <w:t>Conclusion</w:t>
      </w:r>
    </w:p>
    <w:p w:rsidR="003B0815" w:rsidRDefault="003B0815" w14:paraId="01C4207F" w14:textId="77777777">
      <w:pPr>
        <w:spacing w:line="480" w:lineRule="auto"/>
      </w:pPr>
      <w:r>
        <w:tab/>
        <w:t>The overarching goal for the Secure Flight Program is to enhance security by conducting watch list matching of the names of passengers and non-travelers.  When TSA assumes the watch list matching responsibility under the fully implemented Secure Flight program, TSA will conduct the watch list matching for all flights conducted by covered U.S. aircraft operators, including flights between two international points; for all flights operated by covered foreign air carriers that fly to or from the United States or overfly the continental United States; and for non-travelers who are seeking authorization to enter a sterile area.  While TSA believes that the automated process alone for vetting this significantly larger population of travelers may not take 72 hours, that process, the volume of data involved, and the increase in records requiring a manual review due to a potential match or an insufficient amount of information to differentiate someone from an individual on the watch list, and the time required to coordinate an operational response when necessary, all suggest that a 72 hour lead time is appropriate.</w:t>
      </w:r>
    </w:p>
    <w:p w:rsidR="003B0815" w:rsidRDefault="003B0815" w14:paraId="5C1F49DA" w14:textId="77777777">
      <w:pPr>
        <w:spacing w:line="480" w:lineRule="auto"/>
      </w:pPr>
      <w:r>
        <w:tab/>
        <w:t xml:space="preserve">By requiring covered aircraft operators to transmit available SFPD 72 hours prior to departure, TSA will be able to prioritize SFPD by departure time.  This prioritization will permit TSA to return a boarding pass printing result for the vast majority of passenger in time for them to print their boarding passes 24 hours in advance of their flights while returning a boarding pass printing pass result for individuals who make reservations within 72 hours of the scheduled departure in time for them to obtain their boarding passes prior to the scheduled departure time. </w:t>
      </w:r>
    </w:p>
    <w:p w:rsidR="003B0815" w:rsidRDefault="003B0815" w14:paraId="3761265C" w14:textId="77777777">
      <w:pPr>
        <w:spacing w:line="480" w:lineRule="auto"/>
      </w:pPr>
      <w:r>
        <w:tab/>
        <w:t>In contrast, the alternatives considered (48 hours, 24 hours, and 30-minutes) are not only deficient in terms of providing increased security, but demonstrate an increased cost of regulation in total, to the federal government, and to and the traveling public.  Not only do the other alternatives require additional expenditures for Secure Flight hardware, software, and personnel, the 24 hour and 30-minute timing alternatives most likely would impact the covered aircraft operators’ operations, would require more passengers to check-in at the airport instead of through the Internet, and possibly result in more passengers missing their flights because they are unable to obtain their boarding pass and clear the security checkpoints in time to board their flights.  While TSA is unable to calculate the costs of these impacts, we believe that the costs could be an unnecessary burden.</w:t>
      </w:r>
    </w:p>
    <w:p w:rsidR="003B0815" w:rsidRDefault="003B0815" w14:paraId="25097310" w14:textId="77777777">
      <w:pPr>
        <w:spacing w:line="360" w:lineRule="auto"/>
        <w:ind w:firstLine="720"/>
        <w:sectPr w:rsidR="003B0815">
          <w:pgSz w:w="12240" w:h="15840"/>
          <w:pgMar w:top="1152" w:right="1440" w:bottom="1152" w:left="1440" w:header="720" w:footer="720" w:gutter="0"/>
          <w:cols w:space="720"/>
          <w:docGrid w:linePitch="360"/>
        </w:sectPr>
      </w:pPr>
      <w:r>
        <w:tab/>
        <w:t>TSA believes that the security benefit to covered aircraft operators and passengers is such that the 72 hour requirement is a necessity.</w:t>
      </w:r>
    </w:p>
    <w:p w:rsidR="003B0815" w:rsidRDefault="003B0815" w14:paraId="768FE5E8" w14:textId="77777777">
      <w:pPr>
        <w:spacing w:line="360" w:lineRule="auto"/>
      </w:pPr>
    </w:p>
    <w:p w:rsidR="003B0815" w:rsidRDefault="003B0815" w14:paraId="0973DEDC" w14:textId="77777777">
      <w:pPr>
        <w:pStyle w:val="RegEvalPartHeader"/>
        <w:keepNext/>
        <w:spacing w:line="360" w:lineRule="auto"/>
      </w:pPr>
      <w:bookmarkStart w:name="_Toc111627394" w:id="462"/>
      <w:bookmarkStart w:name="_Toc114566452" w:id="463"/>
      <w:bookmarkStart w:name="_Toc141001095" w:id="464"/>
      <w:bookmarkStart w:name="_Toc141000926" w:id="465"/>
      <w:bookmarkStart w:name="_Toc165278452" w:id="466"/>
      <w:bookmarkStart w:name="_Toc202683409" w:id="467"/>
      <w:bookmarkEnd w:id="423"/>
      <w:bookmarkEnd w:id="424"/>
      <w:bookmarkEnd w:id="425"/>
      <w:r>
        <w:t xml:space="preserve">Part 2: </w:t>
      </w:r>
      <w:bookmarkEnd w:id="462"/>
      <w:bookmarkEnd w:id="463"/>
      <w:bookmarkEnd w:id="464"/>
      <w:bookmarkEnd w:id="465"/>
      <w:bookmarkEnd w:id="466"/>
      <w:r>
        <w:t>Final Regulatory Flexibility Analysis (FRFA)</w:t>
      </w:r>
      <w:bookmarkEnd w:id="467"/>
    </w:p>
    <w:p w:rsidR="003B0815" w:rsidRDefault="003B0815" w14:paraId="3D394EDA" w14:textId="77777777">
      <w:pPr>
        <w:spacing w:line="360" w:lineRule="auto"/>
        <w:ind w:firstLine="720"/>
        <w:rPr>
          <w:rFonts w:eastAsia="MS Mincho"/>
        </w:rPr>
      </w:pPr>
      <w:r>
        <w:rPr>
          <w:rFonts w:eastAsia="MS Mincho"/>
        </w:rPr>
        <w:t>The Regulatory Flexibility Act of 1980 (RFA) establishes “as a principle of regulatory issuance that agencies shall endeavor, consistent with the objective of the rule and of applicable statutes, to fit regulatory and informational requirements to the scale of the business, organizations, and governmental jurisdictions subject to regulation.'' To achieve that principle, the RFA requires agencies to solicit and consider flexible regulatory proposals and to explain the rationale for their actions. The Act covers a wide range of small entities, including small businesses, not-for-profit organizations, and small governmental jurisdictions. Agencies must perform a review to determine whether a proposed or final rule will have a significant economic impact on a substantial number of small entities. If the determination is that it will, the agency must prepare a regulatory flexibility analysis as described in the Act.</w:t>
      </w:r>
    </w:p>
    <w:p w:rsidR="003B0815" w:rsidRDefault="003B0815" w14:paraId="5A92CC1F" w14:textId="77777777">
      <w:pPr>
        <w:spacing w:line="360" w:lineRule="auto"/>
        <w:ind w:firstLine="720"/>
        <w:rPr>
          <w:rFonts w:eastAsia="MS Mincho"/>
        </w:rPr>
      </w:pPr>
      <w:r>
        <w:rPr>
          <w:rFonts w:eastAsia="MS Mincho"/>
        </w:rPr>
        <w:t xml:space="preserve">However, if an agency determines that a proposed or final rule is not expected to have a significant economic impact on a substantial number of small entities, section 605(b) of the 1980 RFA provides that the head of the agency may so certify and a regulatory flexibility analysis is not required. The certification must include a statement providing the factual basis for this determination, and the reasoning should be clear.  Although TSA does not believe the final rule will have a significant impact on a substantial number of small entities; the agency has prepared a Final Regulatory Flexibility Analysis (FRFA).  </w:t>
      </w:r>
    </w:p>
    <w:p w:rsidR="003B0815" w:rsidRDefault="003B0815" w14:paraId="4CADB3AD" w14:textId="77777777">
      <w:pPr>
        <w:pStyle w:val="RegEvalSectionHeader"/>
        <w:keepNext/>
        <w:spacing w:line="360" w:lineRule="auto"/>
        <w:rPr>
          <w:rFonts w:eastAsia="MS Mincho"/>
        </w:rPr>
      </w:pPr>
      <w:bookmarkStart w:name="_Toc135477016" w:id="468"/>
      <w:bookmarkStart w:name="_Toc141001096" w:id="469"/>
      <w:bookmarkStart w:name="_Toc141000927" w:id="470"/>
      <w:bookmarkStart w:name="_Toc165278453" w:id="471"/>
      <w:bookmarkStart w:name="_Toc202683410" w:id="472"/>
      <w:r>
        <w:rPr>
          <w:rFonts w:eastAsia="MS Mincho"/>
        </w:rPr>
        <w:t xml:space="preserve">Section 1: </w:t>
      </w:r>
      <w:bookmarkEnd w:id="468"/>
      <w:r>
        <w:rPr>
          <w:rFonts w:eastAsia="MS Mincho"/>
        </w:rPr>
        <w:t>Reasons for and Objectives of the Final Rule</w:t>
      </w:r>
      <w:bookmarkEnd w:id="469"/>
      <w:bookmarkEnd w:id="470"/>
      <w:bookmarkEnd w:id="471"/>
      <w:bookmarkEnd w:id="472"/>
    </w:p>
    <w:p w:rsidR="003B0815" w:rsidRDefault="003B0815" w14:paraId="3ED2DBB3" w14:textId="77777777">
      <w:pPr>
        <w:pStyle w:val="RegEvalSectionSubheader"/>
        <w:keepNext/>
        <w:spacing w:line="360" w:lineRule="auto"/>
        <w:rPr>
          <w:rFonts w:eastAsia="MS Mincho"/>
        </w:rPr>
      </w:pPr>
      <w:bookmarkStart w:name="_Toc135477017" w:id="473"/>
      <w:bookmarkStart w:name="_Toc141001097" w:id="474"/>
      <w:bookmarkStart w:name="_Toc141000928" w:id="475"/>
      <w:bookmarkStart w:name="_Toc165278454" w:id="476"/>
      <w:bookmarkStart w:name="_Toc202683411" w:id="477"/>
      <w:r>
        <w:rPr>
          <w:rFonts w:eastAsia="MS Mincho"/>
        </w:rPr>
        <w:t>2.1.1 Reason for the Final Rule</w:t>
      </w:r>
      <w:bookmarkEnd w:id="474"/>
      <w:bookmarkEnd w:id="475"/>
      <w:bookmarkEnd w:id="476"/>
      <w:bookmarkEnd w:id="477"/>
    </w:p>
    <w:p w:rsidR="003B0815" w:rsidRDefault="003B0815" w14:paraId="3A43326D" w14:textId="77777777">
      <w:pPr>
        <w:spacing w:line="360" w:lineRule="auto"/>
        <w:ind w:firstLine="720"/>
      </w:pPr>
      <w:r>
        <w:t>Section 4012(a) of the Intelligence Reform and Terrorism Prevention Act requires the Transportation Security Administration (TSA) to assume from aircraft operators the function of conducting pre-flight comparisons of airline passenger information to Federal Government watch lists.</w:t>
      </w:r>
    </w:p>
    <w:p w:rsidR="003B0815" w:rsidRDefault="003B0815" w14:paraId="3EF2559E" w14:textId="77777777">
      <w:pPr>
        <w:pStyle w:val="RegEvalSectionSubheader"/>
        <w:keepNext/>
        <w:spacing w:line="360" w:lineRule="auto"/>
      </w:pPr>
      <w:bookmarkStart w:name="_Toc141001098" w:id="478"/>
      <w:bookmarkStart w:name="_Toc141000929" w:id="479"/>
      <w:bookmarkStart w:name="_Toc165278455" w:id="480"/>
      <w:bookmarkStart w:name="_Toc202683412" w:id="481"/>
      <w:r>
        <w:t>2.1.2 Objective of the Final Rule</w:t>
      </w:r>
      <w:bookmarkEnd w:id="478"/>
      <w:bookmarkEnd w:id="479"/>
      <w:bookmarkEnd w:id="480"/>
      <w:bookmarkEnd w:id="481"/>
    </w:p>
    <w:p w:rsidR="003B0815" w:rsidRDefault="003B0815" w14:paraId="71CB55F4" w14:textId="77777777">
      <w:pPr>
        <w:spacing w:line="360" w:lineRule="auto"/>
        <w:ind w:firstLine="720"/>
        <w:rPr>
          <w:rFonts w:eastAsia="MS Mincho"/>
        </w:rPr>
      </w:pPr>
      <w:r>
        <w:t>This rule allows TSA to begin implementation of the Secure Flight program, under which TSA will receive passenger and non-traveler information, conduct watch list matching, and transmit gate and boarding pass printing instructions back to aircraft operators indicating whether individuals should be cleared to enter the sterile area, marked as selectees, or prohibited from receiving a boarding or gate pass.</w:t>
      </w:r>
    </w:p>
    <w:p w:rsidR="003B0815" w:rsidRDefault="003B0815" w14:paraId="20AD5D64" w14:textId="77777777">
      <w:pPr>
        <w:pStyle w:val="RegEvalSectionHeader"/>
        <w:keepNext/>
        <w:spacing w:line="360" w:lineRule="auto"/>
        <w:rPr>
          <w:rFonts w:eastAsia="MS Mincho"/>
        </w:rPr>
      </w:pPr>
      <w:bookmarkStart w:name="_Toc141001099" w:id="482"/>
      <w:bookmarkStart w:name="_Toc141000930" w:id="483"/>
      <w:bookmarkStart w:name="_Toc165278456" w:id="484"/>
      <w:bookmarkStart w:name="_Toc202683413" w:id="485"/>
      <w:r>
        <w:rPr>
          <w:rFonts w:eastAsia="MS Mincho"/>
        </w:rPr>
        <w:t>Section 2: Affected Small Business Population and Estimated Impact of Compliance</w:t>
      </w:r>
      <w:bookmarkEnd w:id="482"/>
      <w:bookmarkEnd w:id="483"/>
      <w:bookmarkEnd w:id="484"/>
      <w:bookmarkEnd w:id="485"/>
    </w:p>
    <w:p w:rsidR="003B0815" w:rsidRDefault="003B0815" w14:paraId="35E48099" w14:textId="77777777">
      <w:pPr>
        <w:pStyle w:val="RegEvalSectionSubheader"/>
        <w:keepNext/>
        <w:spacing w:line="360" w:lineRule="auto"/>
        <w:rPr>
          <w:rFonts w:eastAsia="MS Mincho"/>
        </w:rPr>
      </w:pPr>
      <w:bookmarkStart w:name="_Toc141001100" w:id="486"/>
      <w:bookmarkStart w:name="_Toc141000931" w:id="487"/>
      <w:bookmarkStart w:name="_Toc165278457" w:id="488"/>
      <w:bookmarkStart w:name="_Toc202683414" w:id="489"/>
      <w:r>
        <w:rPr>
          <w:rFonts w:eastAsia="MS Mincho"/>
        </w:rPr>
        <w:t>2.2.1 Aircraft Operator Small Business Population</w:t>
      </w:r>
      <w:bookmarkEnd w:id="473"/>
      <w:bookmarkEnd w:id="486"/>
      <w:bookmarkEnd w:id="487"/>
      <w:bookmarkEnd w:id="488"/>
      <w:bookmarkEnd w:id="489"/>
    </w:p>
    <w:p w:rsidR="003B0815" w:rsidRDefault="003B0815" w14:paraId="1A263B0F" w14:textId="77777777">
      <w:pPr>
        <w:spacing w:line="360" w:lineRule="auto"/>
        <w:ind w:firstLine="720"/>
        <w:rPr>
          <w:rFonts w:eastAsia="MS Mincho"/>
        </w:rPr>
      </w:pPr>
      <w:r>
        <w:rPr>
          <w:rFonts w:eastAsia="MS Mincho"/>
        </w:rPr>
        <w:t>The final Secure Flight rule affects all aircraft operators conducting flight operations under a full security program per 49 CFR 1544.101(a).  In general, these aircraft operators are the major passenger airlines that offer scheduled and public charter flights from commercial airports.  Specifically, the covered carriers are those performing scheduled service or public charter passenger operations either with an aircraft having a passenger seating configuration of 61 or more seats or having 60 or fewer seats if the aircraft enplanes from or deplanes into a sterile area.</w:t>
      </w:r>
    </w:p>
    <w:p w:rsidR="003B0815" w:rsidRDefault="003B0815" w14:paraId="47B4813F" w14:textId="77777777">
      <w:pPr>
        <w:spacing w:line="360" w:lineRule="auto"/>
        <w:ind w:firstLine="720"/>
        <w:rPr>
          <w:rFonts w:eastAsia="MS Mincho"/>
        </w:rPr>
      </w:pPr>
      <w:r>
        <w:rPr>
          <w:rFonts w:eastAsia="MS Mincho"/>
        </w:rPr>
        <w:t>Of the 66 aircraft operators that are covered by the final rule, TSA estimated that 24 of these can be identified as small business entities.  This is based on the Small Business Administration (SBA) Office of Size Standards’ size standard of “fewer than 1,500 employees” for small businesses within NAICS Code 481111, Scheduled Passenger Air Transportation, and those within NAICS Code 481211, Nonscheduled Chartered Passenger Air Transportation.</w:t>
      </w:r>
      <w:r>
        <w:rPr>
          <w:rStyle w:val="FootnoteReference"/>
          <w:rFonts w:eastAsia="MS Mincho"/>
        </w:rPr>
        <w:footnoteReference w:id="45"/>
      </w:r>
      <w:r>
        <w:rPr>
          <w:rFonts w:eastAsia="MS Mincho"/>
        </w:rPr>
        <w:t xml:space="preserve">  For this analysis, air carrier employee counts were developed from publicly available information and from carrier filings with the U.S. Department of Transportation’s Bureau of Transportation Statistics (BTS) and Federal Aviation Administration (FAA).</w:t>
      </w:r>
    </w:p>
    <w:p w:rsidR="003B0815" w:rsidRDefault="003B0815" w14:paraId="72CF1CB5" w14:textId="77777777">
      <w:pPr>
        <w:spacing w:line="360" w:lineRule="auto"/>
        <w:ind w:firstLine="720"/>
        <w:rPr>
          <w:rFonts w:eastAsia="MS Mincho"/>
        </w:rPr>
      </w:pPr>
      <w:r>
        <w:rPr>
          <w:rFonts w:eastAsia="MS Mincho"/>
        </w:rPr>
        <w:t>In the Secure Flight regulatory evaluation, TSA divided covered carriers into four “cost groups” based on the nature of their reservations systems and BTS size classification (i.e., major, national, large regional, etc.).</w:t>
      </w:r>
      <w:r>
        <w:rPr>
          <w:rStyle w:val="FootnoteReference"/>
          <w:rFonts w:eastAsia="MS Mincho"/>
        </w:rPr>
        <w:footnoteReference w:id="46"/>
      </w:r>
      <w:r>
        <w:rPr>
          <w:rFonts w:eastAsia="MS Mincho"/>
        </w:rPr>
        <w:t xml:space="preserve">  These groupings correspond to the estimated costliness of reprogramming airline reservation systems to comply with the Secure Flight requirements.  </w:t>
      </w:r>
      <w:r>
        <w:t>Implementation Group 1 represents all legacy marketing carriers and their affiliates utilizing an older GDS or host ARS.  Legacy airlines, those flying prior to the Airline Deregulation Act of 1978, are all major airlines and have the oldest computer systems.  Accordingly, TSA assumed this group incurs the highest compliance costs.  Implementation Group 2 includes marketing carriers utilizing a newer GDS or host ARS, as well as national carriers subscribing to an older GDS.  Implementation Group 3 represents carriers with independently maintained reservation systems TSA determined were capable of receiving a direct connection to Secure Flight, as well as regional, commuter, and small airlines subscribing to an older GDS or host ARS.</w:t>
      </w:r>
      <w:r>
        <w:rPr>
          <w:rFonts w:eastAsia="MS Mincho"/>
        </w:rPr>
        <w:t xml:space="preserve">  Airlines with very simple or no computerized reservation systems form Group 4.  Rather than requiring Group 4 carriers to establish complex systems capable of connecting directly with Secure Flight, TSA allows them to transmit passenger information through a secure Internet portal.</w:t>
      </w:r>
    </w:p>
    <w:p w:rsidR="003B0815" w:rsidRDefault="003B0815" w14:paraId="0E8D4F42" w14:textId="77777777">
      <w:pPr>
        <w:spacing w:line="360" w:lineRule="auto"/>
        <w:ind w:firstLine="720"/>
      </w:pPr>
      <w:r>
        <w:t>In Groups 1 and 2, smaller airlines often use the reservation systems of larger airlines.  For example, a passenger may book a reservation with a large, marketing airline, but the flight may be operated by a smaller airline owned by or contracting with the marketing airline (an affiliate).  In such cases, TSA assumed in its regulatory evaluation that the marketing airline bears the cost of changes to the reservation system and designated those carriers as “points of implementation.”  Section 1.4.1 of the regulatory evaluation describes this distinction in greater detail.</w:t>
      </w:r>
    </w:p>
    <w:p w:rsidR="003B0815" w:rsidRDefault="003B0815" w14:paraId="5E26420F" w14:textId="77777777">
      <w:pPr>
        <w:spacing w:line="360" w:lineRule="auto"/>
        <w:ind w:firstLine="720"/>
        <w:rPr>
          <w:rFonts w:eastAsia="MS Mincho"/>
        </w:rPr>
      </w:pPr>
      <w:r>
        <w:t>In the discussion below, TSA relaxes this assumption and treats affiliate carriers as if they are marketing carriers.  Since no Group 1 affiliate carriers are major airlines, they were re-categorized as Group 3 carriers (regional, commuter, or small carriers using an older GDS).  Specifically, these are Carriers 3, 4, 8, and 9 in the tables.</w:t>
      </w:r>
      <w:bookmarkStart w:name="_Ref139638746" w:id="490"/>
      <w:r>
        <w:rPr>
          <w:rStyle w:val="FootnoteReference"/>
        </w:rPr>
        <w:footnoteReference w:id="47"/>
      </w:r>
      <w:bookmarkEnd w:id="490"/>
      <w:r>
        <w:t xml:space="preserve">  Although this method ensures a potential cost is estimated for all small business carriers, TSA notes that it likely overstates the actual cost that will be incurred.  Thus, for this small business analysis, TSA considers </w:t>
      </w:r>
      <w:r>
        <w:rPr>
          <w:rFonts w:eastAsia="MS Mincho"/>
        </w:rPr>
        <w:t>10 carriers under Implementation Groups 2 and 3.  The remaining 14 carriers belong to Group 4.</w:t>
      </w:r>
    </w:p>
    <w:p w:rsidR="003B0815" w:rsidRDefault="003B0815" w14:paraId="7CC1244B" w14:textId="77777777">
      <w:pPr>
        <w:spacing w:line="360" w:lineRule="auto"/>
        <w:ind w:firstLine="720"/>
        <w:rPr>
          <w:rFonts w:eastAsia="MS Mincho"/>
        </w:rPr>
      </w:pPr>
      <w:r>
        <w:rPr>
          <w:rFonts w:eastAsia="MS Mincho"/>
        </w:rPr>
        <w:t>Table 2.2.1.a reports annual 2005 employment and operating revenues or sales</w:t>
      </w:r>
      <w:r>
        <w:rPr>
          <w:rStyle w:val="FootnoteReference"/>
          <w:rFonts w:eastAsia="MS Mincho"/>
        </w:rPr>
        <w:footnoteReference w:id="48"/>
      </w:r>
      <w:r>
        <w:rPr>
          <w:rFonts w:eastAsia="MS Mincho"/>
        </w:rPr>
        <w:t xml:space="preserve"> TSA gathered for these 24 airlines (in one case the financial data is from 2002).  These small air carriers are active in different areas of the passenger air transportation marketplace.  Some provide scheduled passenger service in small niche markets, often as part of the larger route system of an established hub and spoke carrier; others provide charter transportation services to tour groups or organizations such as professional sports teams.  Some of those that provide scheduled passenger services use reservation systems hosted by one of the existing ARS providers, while others handle phone reservations or receive reservations from travel agents.  All of these small airlines are subject to the rule, however, due to the size of aircraft they use and/or because of the airport environments in which they operate.  Thus, these airlines will collect more information from passengers, but TSA will take over their current requirement to compare passenger manifests to the watch lists.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
        <w:gridCol w:w="1106"/>
        <w:gridCol w:w="1874"/>
        <w:gridCol w:w="1692"/>
        <w:gridCol w:w="1583"/>
        <w:gridCol w:w="1791"/>
      </w:tblGrid>
      <w:tr w:rsidR="003B0815" w14:paraId="7350393A" w14:textId="77777777">
        <w:trPr>
          <w:jc w:val="center"/>
        </w:trPr>
        <w:tc>
          <w:tcPr>
            <w:tcW w:w="8874" w:type="dxa"/>
            <w:gridSpan w:val="6"/>
            <w:tcBorders>
              <w:top w:val="nil"/>
              <w:left w:val="nil"/>
              <w:bottom w:val="nil"/>
              <w:right w:val="nil"/>
            </w:tcBorders>
          </w:tcPr>
          <w:p w:rsidR="003B0815" w:rsidRDefault="003B0815" w14:paraId="189A5233" w14:textId="77777777">
            <w:pPr>
              <w:pStyle w:val="RegEvalTableHeader"/>
              <w:keepNext/>
            </w:pPr>
            <w:bookmarkStart w:name="_Toc135477018" w:id="491"/>
            <w:bookmarkStart w:name="_Toc139943624" w:id="492"/>
            <w:bookmarkStart w:name="_Toc141001134" w:id="493"/>
            <w:bookmarkStart w:name="_Toc141000970" w:id="494"/>
            <w:bookmarkStart w:name="_Toc165278413" w:id="495"/>
            <w:bookmarkStart w:name="_Toc174438420" w:id="496"/>
            <w:bookmarkStart w:name="_Toc207109561" w:id="497"/>
            <w:r>
              <w:t>Table 2.2.1.a Secure Flight Small Business Air Carriers (2005 Data)</w:t>
            </w:r>
            <w:bookmarkEnd w:id="491"/>
            <w:bookmarkEnd w:id="492"/>
            <w:bookmarkEnd w:id="493"/>
            <w:bookmarkEnd w:id="494"/>
            <w:bookmarkEnd w:id="495"/>
            <w:bookmarkEnd w:id="496"/>
            <w:bookmarkEnd w:id="497"/>
          </w:p>
        </w:tc>
      </w:tr>
      <w:tr w:rsidR="003B0815" w14:paraId="1F154D0F" w14:textId="77777777">
        <w:trPr>
          <w:jc w:val="center"/>
        </w:trPr>
        <w:tc>
          <w:tcPr>
            <w:tcW w:w="828" w:type="dxa"/>
            <w:tcBorders>
              <w:top w:val="nil"/>
              <w:left w:val="nil"/>
              <w:bottom w:val="single" w:color="auto" w:sz="12" w:space="0"/>
              <w:right w:val="single" w:color="auto" w:sz="12" w:space="0"/>
            </w:tcBorders>
            <w:vAlign w:val="center"/>
          </w:tcPr>
          <w:p w:rsidR="003B0815" w:rsidRDefault="003B0815" w14:paraId="67B069F1" w14:textId="77777777">
            <w:pPr>
              <w:keepNext/>
              <w:jc w:val="center"/>
              <w:rPr>
                <w:rFonts w:ascii="Arial" w:hAnsi="Arial"/>
                <w:sz w:val="20"/>
                <w:szCs w:val="20"/>
              </w:rPr>
            </w:pPr>
          </w:p>
        </w:tc>
        <w:tc>
          <w:tcPr>
            <w:tcW w:w="1106" w:type="dxa"/>
            <w:tcBorders>
              <w:top w:val="single" w:color="auto" w:sz="12" w:space="0"/>
              <w:left w:val="single" w:color="auto" w:sz="12" w:space="0"/>
              <w:bottom w:val="single" w:color="auto" w:sz="12" w:space="0"/>
            </w:tcBorders>
            <w:vAlign w:val="center"/>
          </w:tcPr>
          <w:p w:rsidR="003B0815" w:rsidRDefault="003B0815" w14:paraId="75DD36C3" w14:textId="77777777">
            <w:pPr>
              <w:keepNext/>
              <w:jc w:val="center"/>
              <w:rPr>
                <w:rFonts w:ascii="Arial" w:hAnsi="Arial" w:cs="Arial"/>
                <w:b/>
                <w:bCs/>
                <w:sz w:val="20"/>
                <w:szCs w:val="20"/>
              </w:rPr>
            </w:pPr>
            <w:r>
              <w:rPr>
                <w:rFonts w:ascii="Arial" w:hAnsi="Arial" w:cs="Arial"/>
                <w:b/>
                <w:bCs/>
                <w:sz w:val="20"/>
                <w:szCs w:val="20"/>
              </w:rPr>
              <w:t>Small Business Carrier ID #</w:t>
            </w:r>
          </w:p>
        </w:tc>
        <w:tc>
          <w:tcPr>
            <w:tcW w:w="1874" w:type="dxa"/>
            <w:tcBorders>
              <w:top w:val="single" w:color="auto" w:sz="12" w:space="0"/>
              <w:bottom w:val="single" w:color="auto" w:sz="12" w:space="0"/>
            </w:tcBorders>
            <w:vAlign w:val="center"/>
          </w:tcPr>
          <w:p w:rsidR="003B0815" w:rsidRDefault="003B0815" w14:paraId="428ACC7A" w14:textId="77777777">
            <w:pPr>
              <w:keepNext/>
              <w:jc w:val="center"/>
              <w:rPr>
                <w:rFonts w:ascii="Arial" w:hAnsi="Arial" w:cs="Arial"/>
                <w:b/>
                <w:bCs/>
                <w:sz w:val="20"/>
                <w:szCs w:val="20"/>
              </w:rPr>
            </w:pPr>
            <w:r>
              <w:rPr>
                <w:rFonts w:ascii="Arial" w:hAnsi="Arial" w:cs="Arial"/>
                <w:b/>
                <w:bCs/>
                <w:sz w:val="20"/>
                <w:szCs w:val="20"/>
              </w:rPr>
              <w:t>Employees (Total Full- and Part-Time)</w:t>
            </w:r>
          </w:p>
        </w:tc>
        <w:tc>
          <w:tcPr>
            <w:tcW w:w="1692" w:type="dxa"/>
            <w:tcBorders>
              <w:top w:val="single" w:color="auto" w:sz="12" w:space="0"/>
              <w:bottom w:val="single" w:color="auto" w:sz="12" w:space="0"/>
            </w:tcBorders>
            <w:vAlign w:val="center"/>
          </w:tcPr>
          <w:p w:rsidR="003B0815" w:rsidRDefault="003B0815" w14:paraId="61D3450D" w14:textId="77777777">
            <w:pPr>
              <w:keepNext/>
              <w:jc w:val="center"/>
              <w:rPr>
                <w:rFonts w:ascii="Arial" w:hAnsi="Arial" w:cs="Arial"/>
                <w:b/>
                <w:bCs/>
                <w:sz w:val="20"/>
                <w:szCs w:val="20"/>
              </w:rPr>
            </w:pPr>
            <w:r>
              <w:rPr>
                <w:rFonts w:ascii="Arial" w:hAnsi="Arial" w:cs="Arial"/>
                <w:b/>
                <w:bCs/>
                <w:sz w:val="20"/>
                <w:szCs w:val="20"/>
              </w:rPr>
              <w:t>Annual Operating Revenues</w:t>
            </w:r>
          </w:p>
        </w:tc>
        <w:tc>
          <w:tcPr>
            <w:tcW w:w="1583" w:type="dxa"/>
            <w:tcBorders>
              <w:top w:val="single" w:color="auto" w:sz="12" w:space="0"/>
              <w:bottom w:val="single" w:color="auto" w:sz="12" w:space="0"/>
            </w:tcBorders>
            <w:vAlign w:val="center"/>
          </w:tcPr>
          <w:p w:rsidR="003B0815" w:rsidRDefault="003B0815" w14:paraId="010CF0AC" w14:textId="77777777">
            <w:pPr>
              <w:keepNext/>
              <w:jc w:val="center"/>
              <w:rPr>
                <w:rFonts w:ascii="Arial" w:hAnsi="Arial" w:cs="Arial"/>
                <w:b/>
                <w:bCs/>
                <w:sz w:val="20"/>
                <w:szCs w:val="20"/>
              </w:rPr>
            </w:pPr>
            <w:r>
              <w:rPr>
                <w:rFonts w:ascii="Arial" w:hAnsi="Arial" w:cs="Arial"/>
                <w:b/>
                <w:bCs/>
                <w:sz w:val="20"/>
                <w:szCs w:val="20"/>
              </w:rPr>
              <w:t>Enplanements</w:t>
            </w:r>
          </w:p>
        </w:tc>
        <w:tc>
          <w:tcPr>
            <w:tcW w:w="1791" w:type="dxa"/>
            <w:tcBorders>
              <w:top w:val="single" w:color="auto" w:sz="12" w:space="0"/>
              <w:bottom w:val="single" w:color="auto" w:sz="12" w:space="0"/>
              <w:right w:val="single" w:color="auto" w:sz="12" w:space="0"/>
            </w:tcBorders>
            <w:vAlign w:val="center"/>
          </w:tcPr>
          <w:p w:rsidR="003B0815" w:rsidRDefault="003B0815" w14:paraId="6879AE01" w14:textId="77777777">
            <w:pPr>
              <w:keepNext/>
              <w:jc w:val="center"/>
              <w:rPr>
                <w:rFonts w:ascii="Arial" w:hAnsi="Arial" w:cs="Arial"/>
                <w:b/>
                <w:bCs/>
                <w:sz w:val="20"/>
                <w:szCs w:val="20"/>
              </w:rPr>
            </w:pPr>
            <w:r>
              <w:rPr>
                <w:rFonts w:ascii="Arial" w:hAnsi="Arial" w:cs="Arial"/>
                <w:b/>
                <w:bCs/>
                <w:sz w:val="20"/>
                <w:szCs w:val="20"/>
              </w:rPr>
              <w:t>Share of Total Covered Carrier Enplanements</w:t>
            </w:r>
          </w:p>
        </w:tc>
      </w:tr>
      <w:tr w:rsidR="003B0815" w14:paraId="4BC1F2BD" w14:textId="77777777">
        <w:trPr>
          <w:cantSplit/>
          <w:jc w:val="center"/>
        </w:trPr>
        <w:tc>
          <w:tcPr>
            <w:tcW w:w="828" w:type="dxa"/>
            <w:vMerge w:val="restart"/>
            <w:tcBorders>
              <w:top w:val="single" w:color="auto" w:sz="12" w:space="0"/>
              <w:left w:val="single" w:color="auto" w:sz="12" w:space="0"/>
              <w:right w:val="single" w:color="auto" w:sz="12" w:space="0"/>
            </w:tcBorders>
            <w:textDirection w:val="btLr"/>
          </w:tcPr>
          <w:p w:rsidR="003B0815" w:rsidRDefault="003B0815" w14:paraId="0F39FE96" w14:textId="77777777">
            <w:pPr>
              <w:keepNext/>
              <w:ind w:left="113" w:right="113"/>
              <w:jc w:val="center"/>
              <w:rPr>
                <w:rFonts w:ascii="Arial" w:hAnsi="Arial"/>
                <w:b/>
                <w:sz w:val="20"/>
                <w:szCs w:val="20"/>
              </w:rPr>
            </w:pPr>
            <w:r>
              <w:rPr>
                <w:rFonts w:ascii="Arial" w:hAnsi="Arial"/>
                <w:b/>
                <w:sz w:val="20"/>
                <w:szCs w:val="20"/>
              </w:rPr>
              <w:t>Aircraft Operators in Implementation Groups 2 and 3</w:t>
            </w:r>
          </w:p>
        </w:tc>
        <w:tc>
          <w:tcPr>
            <w:tcW w:w="1106" w:type="dxa"/>
            <w:tcBorders>
              <w:top w:val="single" w:color="auto" w:sz="12" w:space="0"/>
              <w:left w:val="single" w:color="auto" w:sz="12" w:space="0"/>
            </w:tcBorders>
            <w:vAlign w:val="bottom"/>
          </w:tcPr>
          <w:p w:rsidR="003B0815" w:rsidRDefault="003B0815" w14:paraId="3EE87491" w14:textId="77777777">
            <w:pPr>
              <w:keepNext/>
              <w:jc w:val="center"/>
              <w:rPr>
                <w:rFonts w:ascii="Arial" w:hAnsi="Arial" w:cs="Arial"/>
                <w:sz w:val="20"/>
                <w:szCs w:val="20"/>
              </w:rPr>
            </w:pPr>
            <w:r>
              <w:rPr>
                <w:rFonts w:ascii="Arial" w:hAnsi="Arial" w:cs="Arial"/>
                <w:sz w:val="20"/>
                <w:szCs w:val="20"/>
              </w:rPr>
              <w:t>1</w:t>
            </w:r>
          </w:p>
        </w:tc>
        <w:tc>
          <w:tcPr>
            <w:tcW w:w="1874" w:type="dxa"/>
            <w:tcBorders>
              <w:top w:val="single" w:color="auto" w:sz="12" w:space="0"/>
            </w:tcBorders>
            <w:vAlign w:val="bottom"/>
          </w:tcPr>
          <w:p w:rsidR="003B0815" w:rsidRDefault="003B0815" w14:paraId="76CCC1BA" w14:textId="77777777">
            <w:pPr>
              <w:keepNext/>
              <w:ind w:right="612"/>
              <w:jc w:val="right"/>
              <w:rPr>
                <w:rFonts w:ascii="Arial" w:hAnsi="Arial" w:cs="Arial"/>
                <w:sz w:val="20"/>
                <w:szCs w:val="20"/>
              </w:rPr>
            </w:pPr>
            <w:r>
              <w:rPr>
                <w:rFonts w:ascii="Arial" w:hAnsi="Arial" w:cs="Arial"/>
                <w:sz w:val="20"/>
                <w:szCs w:val="20"/>
              </w:rPr>
              <w:t>914</w:t>
            </w:r>
          </w:p>
        </w:tc>
        <w:tc>
          <w:tcPr>
            <w:tcW w:w="1692" w:type="dxa"/>
            <w:tcBorders>
              <w:top w:val="single" w:color="auto" w:sz="12" w:space="0"/>
            </w:tcBorders>
            <w:vAlign w:val="bottom"/>
          </w:tcPr>
          <w:p w:rsidR="003B0815" w:rsidRDefault="003B0815" w14:paraId="283101B8" w14:textId="77777777">
            <w:pPr>
              <w:keepNext/>
              <w:ind w:right="252"/>
              <w:jc w:val="right"/>
              <w:rPr>
                <w:rFonts w:ascii="Arial" w:hAnsi="Arial" w:cs="Arial"/>
                <w:sz w:val="20"/>
                <w:szCs w:val="20"/>
              </w:rPr>
            </w:pPr>
            <w:r>
              <w:rPr>
                <w:rFonts w:ascii="Arial" w:hAnsi="Arial" w:cs="Arial"/>
                <w:sz w:val="20"/>
                <w:szCs w:val="20"/>
              </w:rPr>
              <w:t>$204,000,000</w:t>
            </w:r>
          </w:p>
        </w:tc>
        <w:tc>
          <w:tcPr>
            <w:tcW w:w="1583" w:type="dxa"/>
            <w:tcBorders>
              <w:top w:val="single" w:color="auto" w:sz="12" w:space="0"/>
            </w:tcBorders>
            <w:vAlign w:val="bottom"/>
          </w:tcPr>
          <w:p w:rsidR="003B0815" w:rsidRDefault="003B0815" w14:paraId="7B1BC123" w14:textId="77777777">
            <w:pPr>
              <w:keepNext/>
              <w:jc w:val="right"/>
              <w:rPr>
                <w:rFonts w:ascii="Arial" w:hAnsi="Arial" w:cs="Arial"/>
                <w:sz w:val="20"/>
                <w:szCs w:val="20"/>
              </w:rPr>
            </w:pPr>
            <w:r>
              <w:rPr>
                <w:rFonts w:ascii="Arial" w:hAnsi="Arial" w:cs="Arial"/>
                <w:sz w:val="20"/>
                <w:szCs w:val="20"/>
              </w:rPr>
              <w:t>1,266,293</w:t>
            </w:r>
          </w:p>
        </w:tc>
        <w:tc>
          <w:tcPr>
            <w:tcW w:w="1791" w:type="dxa"/>
            <w:tcBorders>
              <w:top w:val="single" w:color="auto" w:sz="12" w:space="0"/>
              <w:right w:val="single" w:color="auto" w:sz="12" w:space="0"/>
            </w:tcBorders>
            <w:vAlign w:val="bottom"/>
          </w:tcPr>
          <w:p w:rsidR="003B0815" w:rsidRDefault="003B0815" w14:paraId="72CD5EFD" w14:textId="77777777">
            <w:pPr>
              <w:keepNext/>
              <w:jc w:val="right"/>
              <w:rPr>
                <w:rFonts w:ascii="Arial" w:hAnsi="Arial" w:cs="Arial"/>
                <w:sz w:val="20"/>
                <w:szCs w:val="20"/>
              </w:rPr>
            </w:pPr>
            <w:r>
              <w:rPr>
                <w:rFonts w:ascii="Arial" w:hAnsi="Arial" w:cs="Arial"/>
                <w:sz w:val="20"/>
                <w:szCs w:val="20"/>
              </w:rPr>
              <w:t>0.199%</w:t>
            </w:r>
          </w:p>
        </w:tc>
      </w:tr>
      <w:tr w:rsidR="003B0815" w14:paraId="3268693C" w14:textId="77777777">
        <w:trPr>
          <w:cantSplit/>
          <w:jc w:val="center"/>
        </w:trPr>
        <w:tc>
          <w:tcPr>
            <w:tcW w:w="828" w:type="dxa"/>
            <w:vMerge/>
            <w:tcBorders>
              <w:left w:val="single" w:color="auto" w:sz="12" w:space="0"/>
              <w:right w:val="single" w:color="auto" w:sz="12" w:space="0"/>
            </w:tcBorders>
          </w:tcPr>
          <w:p w:rsidR="003B0815" w:rsidRDefault="003B0815" w14:paraId="6A8A2CFA" w14:textId="77777777">
            <w:pPr>
              <w:keepNext/>
              <w:rPr>
                <w:rFonts w:ascii="Arial" w:hAnsi="Arial"/>
                <w:b/>
                <w:sz w:val="20"/>
                <w:szCs w:val="20"/>
              </w:rPr>
            </w:pPr>
          </w:p>
        </w:tc>
        <w:tc>
          <w:tcPr>
            <w:tcW w:w="1106" w:type="dxa"/>
            <w:tcBorders>
              <w:left w:val="single" w:color="auto" w:sz="12" w:space="0"/>
            </w:tcBorders>
            <w:vAlign w:val="bottom"/>
          </w:tcPr>
          <w:p w:rsidR="003B0815" w:rsidRDefault="003B0815" w14:paraId="51EC5760" w14:textId="77777777">
            <w:pPr>
              <w:keepNext/>
              <w:jc w:val="center"/>
              <w:rPr>
                <w:rFonts w:ascii="Arial" w:hAnsi="Arial" w:cs="Arial"/>
                <w:sz w:val="20"/>
                <w:szCs w:val="20"/>
              </w:rPr>
            </w:pPr>
            <w:r>
              <w:rPr>
                <w:rFonts w:ascii="Arial" w:hAnsi="Arial" w:cs="Arial"/>
                <w:sz w:val="20"/>
                <w:szCs w:val="20"/>
              </w:rPr>
              <w:t>2</w:t>
            </w:r>
          </w:p>
        </w:tc>
        <w:tc>
          <w:tcPr>
            <w:tcW w:w="1874" w:type="dxa"/>
            <w:vAlign w:val="bottom"/>
          </w:tcPr>
          <w:p w:rsidR="003B0815" w:rsidRDefault="003B0815" w14:paraId="72E0CE92" w14:textId="77777777">
            <w:pPr>
              <w:keepNext/>
              <w:ind w:right="612"/>
              <w:jc w:val="right"/>
              <w:rPr>
                <w:rFonts w:ascii="Arial" w:hAnsi="Arial" w:cs="Arial"/>
                <w:sz w:val="20"/>
                <w:szCs w:val="20"/>
              </w:rPr>
            </w:pPr>
            <w:r>
              <w:rPr>
                <w:rFonts w:ascii="Arial" w:hAnsi="Arial" w:cs="Arial"/>
                <w:sz w:val="20"/>
                <w:szCs w:val="20"/>
              </w:rPr>
              <w:t>893</w:t>
            </w:r>
          </w:p>
        </w:tc>
        <w:tc>
          <w:tcPr>
            <w:tcW w:w="1692" w:type="dxa"/>
            <w:vAlign w:val="bottom"/>
          </w:tcPr>
          <w:p w:rsidR="003B0815" w:rsidRDefault="003B0815" w14:paraId="3561A8EE" w14:textId="77777777">
            <w:pPr>
              <w:keepNext/>
              <w:ind w:right="252"/>
              <w:jc w:val="right"/>
              <w:rPr>
                <w:rFonts w:ascii="Arial" w:hAnsi="Arial" w:cs="Arial"/>
                <w:sz w:val="20"/>
                <w:szCs w:val="20"/>
              </w:rPr>
            </w:pPr>
            <w:r>
              <w:rPr>
                <w:rFonts w:ascii="Arial" w:hAnsi="Arial" w:cs="Arial"/>
                <w:sz w:val="20"/>
                <w:szCs w:val="20"/>
              </w:rPr>
              <w:t>$80,300,000</w:t>
            </w:r>
          </w:p>
        </w:tc>
        <w:tc>
          <w:tcPr>
            <w:tcW w:w="1583" w:type="dxa"/>
            <w:vAlign w:val="bottom"/>
          </w:tcPr>
          <w:p w:rsidR="003B0815" w:rsidRDefault="003B0815" w14:paraId="7E9A8FE5" w14:textId="77777777">
            <w:pPr>
              <w:keepNext/>
              <w:jc w:val="right"/>
              <w:rPr>
                <w:rFonts w:ascii="Arial" w:hAnsi="Arial" w:cs="Arial"/>
                <w:sz w:val="20"/>
                <w:szCs w:val="20"/>
              </w:rPr>
            </w:pPr>
            <w:r>
              <w:rPr>
                <w:rFonts w:ascii="Arial" w:hAnsi="Arial" w:cs="Arial"/>
                <w:sz w:val="20"/>
                <w:szCs w:val="20"/>
              </w:rPr>
              <w:t>1,132,207</w:t>
            </w:r>
          </w:p>
        </w:tc>
        <w:tc>
          <w:tcPr>
            <w:tcW w:w="1791" w:type="dxa"/>
            <w:tcBorders>
              <w:right w:val="single" w:color="auto" w:sz="12" w:space="0"/>
            </w:tcBorders>
            <w:vAlign w:val="bottom"/>
          </w:tcPr>
          <w:p w:rsidR="003B0815" w:rsidRDefault="003B0815" w14:paraId="0A8F3171" w14:textId="77777777">
            <w:pPr>
              <w:keepNext/>
              <w:jc w:val="right"/>
              <w:rPr>
                <w:rFonts w:ascii="Arial" w:hAnsi="Arial" w:cs="Arial"/>
                <w:sz w:val="20"/>
                <w:szCs w:val="20"/>
              </w:rPr>
            </w:pPr>
            <w:r>
              <w:rPr>
                <w:rFonts w:ascii="Arial" w:hAnsi="Arial" w:cs="Arial"/>
                <w:sz w:val="20"/>
                <w:szCs w:val="20"/>
              </w:rPr>
              <w:t>0.178%</w:t>
            </w:r>
          </w:p>
        </w:tc>
      </w:tr>
      <w:tr w:rsidR="003B0815" w14:paraId="784CFEAD" w14:textId="77777777">
        <w:trPr>
          <w:cantSplit/>
          <w:jc w:val="center"/>
        </w:trPr>
        <w:tc>
          <w:tcPr>
            <w:tcW w:w="828" w:type="dxa"/>
            <w:vMerge/>
            <w:tcBorders>
              <w:left w:val="single" w:color="auto" w:sz="12" w:space="0"/>
              <w:right w:val="single" w:color="auto" w:sz="12" w:space="0"/>
            </w:tcBorders>
          </w:tcPr>
          <w:p w:rsidR="003B0815" w:rsidRDefault="003B0815" w14:paraId="6A99EA93" w14:textId="77777777">
            <w:pPr>
              <w:keepNext/>
              <w:rPr>
                <w:rFonts w:ascii="Arial" w:hAnsi="Arial"/>
                <w:b/>
                <w:sz w:val="20"/>
                <w:szCs w:val="20"/>
              </w:rPr>
            </w:pPr>
          </w:p>
        </w:tc>
        <w:tc>
          <w:tcPr>
            <w:tcW w:w="1106" w:type="dxa"/>
            <w:tcBorders>
              <w:left w:val="single" w:color="auto" w:sz="12" w:space="0"/>
            </w:tcBorders>
            <w:vAlign w:val="bottom"/>
          </w:tcPr>
          <w:p w:rsidR="003B0815" w:rsidRDefault="003B0815" w14:paraId="2DC90A0E" w14:textId="77777777">
            <w:pPr>
              <w:keepNext/>
              <w:jc w:val="center"/>
              <w:rPr>
                <w:rFonts w:ascii="Arial" w:hAnsi="Arial" w:cs="Arial"/>
                <w:sz w:val="20"/>
                <w:szCs w:val="20"/>
              </w:rPr>
            </w:pPr>
            <w:r>
              <w:rPr>
                <w:rFonts w:ascii="Arial" w:hAnsi="Arial" w:cs="Arial"/>
                <w:sz w:val="20"/>
                <w:szCs w:val="20"/>
              </w:rPr>
              <w:t>3</w:t>
            </w:r>
          </w:p>
        </w:tc>
        <w:tc>
          <w:tcPr>
            <w:tcW w:w="1874" w:type="dxa"/>
            <w:vAlign w:val="bottom"/>
          </w:tcPr>
          <w:p w:rsidR="003B0815" w:rsidRDefault="003B0815" w14:paraId="14939035" w14:textId="77777777">
            <w:pPr>
              <w:keepNext/>
              <w:ind w:right="612"/>
              <w:jc w:val="right"/>
              <w:rPr>
                <w:rFonts w:ascii="Arial" w:hAnsi="Arial" w:cs="Arial"/>
                <w:sz w:val="20"/>
                <w:szCs w:val="20"/>
              </w:rPr>
            </w:pPr>
            <w:r>
              <w:rPr>
                <w:rFonts w:ascii="Arial" w:hAnsi="Arial" w:cs="Arial"/>
                <w:sz w:val="20"/>
                <w:szCs w:val="20"/>
              </w:rPr>
              <w:t>546</w:t>
            </w:r>
          </w:p>
        </w:tc>
        <w:tc>
          <w:tcPr>
            <w:tcW w:w="1692" w:type="dxa"/>
            <w:vAlign w:val="bottom"/>
          </w:tcPr>
          <w:p w:rsidR="003B0815" w:rsidRDefault="003B0815" w14:paraId="7C1001EA" w14:textId="77777777">
            <w:pPr>
              <w:keepNext/>
              <w:ind w:right="252"/>
              <w:jc w:val="right"/>
              <w:rPr>
                <w:rFonts w:ascii="Arial" w:hAnsi="Arial" w:cs="Arial"/>
                <w:sz w:val="20"/>
                <w:szCs w:val="20"/>
              </w:rPr>
            </w:pPr>
            <w:r>
              <w:rPr>
                <w:rFonts w:ascii="Arial" w:hAnsi="Arial" w:cs="Arial"/>
                <w:sz w:val="20"/>
                <w:szCs w:val="20"/>
              </w:rPr>
              <w:t>$78,100,000</w:t>
            </w:r>
          </w:p>
        </w:tc>
        <w:tc>
          <w:tcPr>
            <w:tcW w:w="1583" w:type="dxa"/>
            <w:vAlign w:val="bottom"/>
          </w:tcPr>
          <w:p w:rsidR="003B0815" w:rsidRDefault="003B0815" w14:paraId="0D2664D9" w14:textId="77777777">
            <w:pPr>
              <w:keepNext/>
              <w:jc w:val="right"/>
              <w:rPr>
                <w:rFonts w:ascii="Arial" w:hAnsi="Arial" w:cs="Arial"/>
                <w:sz w:val="20"/>
                <w:szCs w:val="20"/>
              </w:rPr>
            </w:pPr>
            <w:r>
              <w:rPr>
                <w:rFonts w:ascii="Arial" w:hAnsi="Arial" w:cs="Arial"/>
                <w:sz w:val="20"/>
                <w:szCs w:val="20"/>
              </w:rPr>
              <w:t>838,959</w:t>
            </w:r>
          </w:p>
        </w:tc>
        <w:tc>
          <w:tcPr>
            <w:tcW w:w="1791" w:type="dxa"/>
            <w:tcBorders>
              <w:right w:val="single" w:color="auto" w:sz="12" w:space="0"/>
            </w:tcBorders>
            <w:vAlign w:val="bottom"/>
          </w:tcPr>
          <w:p w:rsidR="003B0815" w:rsidRDefault="003B0815" w14:paraId="14F78F9C" w14:textId="77777777">
            <w:pPr>
              <w:keepNext/>
              <w:jc w:val="right"/>
              <w:rPr>
                <w:rFonts w:ascii="Arial" w:hAnsi="Arial" w:cs="Arial"/>
                <w:sz w:val="20"/>
                <w:szCs w:val="20"/>
              </w:rPr>
            </w:pPr>
            <w:r>
              <w:rPr>
                <w:rFonts w:ascii="Arial" w:hAnsi="Arial" w:cs="Arial"/>
                <w:sz w:val="20"/>
                <w:szCs w:val="20"/>
              </w:rPr>
              <w:t>0.051%</w:t>
            </w:r>
          </w:p>
        </w:tc>
      </w:tr>
      <w:tr w:rsidR="003B0815" w14:paraId="4CF16C1E" w14:textId="77777777">
        <w:trPr>
          <w:cantSplit/>
          <w:jc w:val="center"/>
        </w:trPr>
        <w:tc>
          <w:tcPr>
            <w:tcW w:w="828" w:type="dxa"/>
            <w:vMerge/>
            <w:tcBorders>
              <w:left w:val="single" w:color="auto" w:sz="12" w:space="0"/>
              <w:right w:val="single" w:color="auto" w:sz="12" w:space="0"/>
            </w:tcBorders>
          </w:tcPr>
          <w:p w:rsidR="003B0815" w:rsidRDefault="003B0815" w14:paraId="3CD33D17" w14:textId="77777777">
            <w:pPr>
              <w:keepNext/>
              <w:rPr>
                <w:rFonts w:ascii="Arial" w:hAnsi="Arial"/>
                <w:b/>
                <w:sz w:val="20"/>
                <w:szCs w:val="20"/>
              </w:rPr>
            </w:pPr>
          </w:p>
        </w:tc>
        <w:tc>
          <w:tcPr>
            <w:tcW w:w="1106" w:type="dxa"/>
            <w:tcBorders>
              <w:left w:val="single" w:color="auto" w:sz="12" w:space="0"/>
            </w:tcBorders>
            <w:vAlign w:val="bottom"/>
          </w:tcPr>
          <w:p w:rsidR="003B0815" w:rsidRDefault="003B0815" w14:paraId="0EDB7A25" w14:textId="77777777">
            <w:pPr>
              <w:keepNext/>
              <w:jc w:val="center"/>
              <w:rPr>
                <w:rFonts w:ascii="Arial" w:hAnsi="Arial" w:cs="Arial"/>
                <w:sz w:val="20"/>
                <w:szCs w:val="20"/>
              </w:rPr>
            </w:pPr>
            <w:r>
              <w:rPr>
                <w:rFonts w:ascii="Arial" w:hAnsi="Arial" w:cs="Arial"/>
                <w:sz w:val="20"/>
                <w:szCs w:val="20"/>
              </w:rPr>
              <w:t>4</w:t>
            </w:r>
          </w:p>
        </w:tc>
        <w:tc>
          <w:tcPr>
            <w:tcW w:w="1874" w:type="dxa"/>
            <w:vAlign w:val="bottom"/>
          </w:tcPr>
          <w:p w:rsidR="003B0815" w:rsidRDefault="003B0815" w14:paraId="14E9884E" w14:textId="77777777">
            <w:pPr>
              <w:keepNext/>
              <w:ind w:right="612"/>
              <w:jc w:val="right"/>
              <w:rPr>
                <w:rFonts w:ascii="Arial" w:hAnsi="Arial" w:cs="Arial"/>
                <w:sz w:val="20"/>
                <w:szCs w:val="20"/>
              </w:rPr>
            </w:pPr>
            <w:r>
              <w:rPr>
                <w:rFonts w:ascii="Arial" w:hAnsi="Arial" w:cs="Arial"/>
                <w:sz w:val="20"/>
                <w:szCs w:val="20"/>
              </w:rPr>
              <w:t>545</w:t>
            </w:r>
          </w:p>
        </w:tc>
        <w:tc>
          <w:tcPr>
            <w:tcW w:w="1692" w:type="dxa"/>
            <w:vAlign w:val="bottom"/>
          </w:tcPr>
          <w:p w:rsidR="003B0815" w:rsidRDefault="003B0815" w14:paraId="5E1EC7EA" w14:textId="77777777">
            <w:pPr>
              <w:keepNext/>
              <w:ind w:right="252"/>
              <w:jc w:val="right"/>
              <w:rPr>
                <w:rFonts w:ascii="Arial" w:hAnsi="Arial" w:cs="Arial"/>
                <w:sz w:val="20"/>
                <w:szCs w:val="20"/>
              </w:rPr>
            </w:pPr>
            <w:r>
              <w:rPr>
                <w:rFonts w:ascii="Arial" w:hAnsi="Arial" w:cs="Arial"/>
                <w:sz w:val="20"/>
                <w:szCs w:val="20"/>
              </w:rPr>
              <w:t>$60,000,000</w:t>
            </w:r>
          </w:p>
        </w:tc>
        <w:tc>
          <w:tcPr>
            <w:tcW w:w="1583" w:type="dxa"/>
            <w:vAlign w:val="bottom"/>
          </w:tcPr>
          <w:p w:rsidR="003B0815" w:rsidRDefault="003B0815" w14:paraId="5DE842F5" w14:textId="77777777">
            <w:pPr>
              <w:keepNext/>
              <w:jc w:val="right"/>
              <w:rPr>
                <w:rFonts w:ascii="Arial" w:hAnsi="Arial" w:cs="Arial"/>
                <w:sz w:val="20"/>
                <w:szCs w:val="20"/>
              </w:rPr>
            </w:pPr>
            <w:r>
              <w:rPr>
                <w:rFonts w:ascii="Arial" w:hAnsi="Arial" w:cs="Arial"/>
                <w:sz w:val="20"/>
                <w:szCs w:val="20"/>
              </w:rPr>
              <w:t>440,865</w:t>
            </w:r>
          </w:p>
        </w:tc>
        <w:tc>
          <w:tcPr>
            <w:tcW w:w="1791" w:type="dxa"/>
            <w:tcBorders>
              <w:right w:val="single" w:color="auto" w:sz="12" w:space="0"/>
            </w:tcBorders>
            <w:vAlign w:val="bottom"/>
          </w:tcPr>
          <w:p w:rsidR="003B0815" w:rsidRDefault="003B0815" w14:paraId="325DA0DF" w14:textId="77777777">
            <w:pPr>
              <w:keepNext/>
              <w:jc w:val="right"/>
              <w:rPr>
                <w:rFonts w:ascii="Arial" w:hAnsi="Arial" w:cs="Arial"/>
                <w:sz w:val="20"/>
                <w:szCs w:val="20"/>
              </w:rPr>
            </w:pPr>
            <w:r>
              <w:rPr>
                <w:rFonts w:ascii="Arial" w:hAnsi="Arial" w:cs="Arial"/>
                <w:sz w:val="20"/>
                <w:szCs w:val="20"/>
              </w:rPr>
              <w:t>0.069%</w:t>
            </w:r>
          </w:p>
        </w:tc>
      </w:tr>
      <w:tr w:rsidR="003B0815" w14:paraId="6FCD3ED4" w14:textId="77777777">
        <w:trPr>
          <w:cantSplit/>
          <w:jc w:val="center"/>
        </w:trPr>
        <w:tc>
          <w:tcPr>
            <w:tcW w:w="828" w:type="dxa"/>
            <w:vMerge/>
            <w:tcBorders>
              <w:left w:val="single" w:color="auto" w:sz="12" w:space="0"/>
              <w:right w:val="single" w:color="auto" w:sz="12" w:space="0"/>
            </w:tcBorders>
          </w:tcPr>
          <w:p w:rsidR="003B0815" w:rsidRDefault="003B0815" w14:paraId="64CDA452" w14:textId="77777777">
            <w:pPr>
              <w:keepNext/>
              <w:rPr>
                <w:rFonts w:ascii="Arial" w:hAnsi="Arial"/>
                <w:b/>
                <w:sz w:val="20"/>
                <w:szCs w:val="20"/>
              </w:rPr>
            </w:pPr>
          </w:p>
        </w:tc>
        <w:tc>
          <w:tcPr>
            <w:tcW w:w="1106" w:type="dxa"/>
            <w:tcBorders>
              <w:left w:val="single" w:color="auto" w:sz="12" w:space="0"/>
            </w:tcBorders>
            <w:vAlign w:val="bottom"/>
          </w:tcPr>
          <w:p w:rsidR="003B0815" w:rsidRDefault="003B0815" w14:paraId="4025CD6F" w14:textId="77777777">
            <w:pPr>
              <w:keepNext/>
              <w:jc w:val="center"/>
              <w:rPr>
                <w:rFonts w:ascii="Arial" w:hAnsi="Arial" w:cs="Arial"/>
                <w:sz w:val="20"/>
                <w:szCs w:val="20"/>
              </w:rPr>
            </w:pPr>
            <w:r>
              <w:rPr>
                <w:rFonts w:ascii="Arial" w:hAnsi="Arial" w:cs="Arial"/>
                <w:sz w:val="20"/>
                <w:szCs w:val="20"/>
              </w:rPr>
              <w:t>5</w:t>
            </w:r>
          </w:p>
        </w:tc>
        <w:tc>
          <w:tcPr>
            <w:tcW w:w="1874" w:type="dxa"/>
            <w:vAlign w:val="bottom"/>
          </w:tcPr>
          <w:p w:rsidR="003B0815" w:rsidRDefault="003B0815" w14:paraId="0546E788" w14:textId="77777777">
            <w:pPr>
              <w:keepNext/>
              <w:ind w:right="612"/>
              <w:jc w:val="right"/>
              <w:rPr>
                <w:rFonts w:ascii="Arial" w:hAnsi="Arial" w:cs="Arial"/>
                <w:sz w:val="20"/>
                <w:szCs w:val="20"/>
              </w:rPr>
            </w:pPr>
            <w:r>
              <w:rPr>
                <w:rFonts w:ascii="Arial" w:hAnsi="Arial" w:cs="Arial"/>
                <w:sz w:val="20"/>
                <w:szCs w:val="20"/>
              </w:rPr>
              <w:t>400</w:t>
            </w:r>
          </w:p>
        </w:tc>
        <w:tc>
          <w:tcPr>
            <w:tcW w:w="1692" w:type="dxa"/>
            <w:vAlign w:val="bottom"/>
          </w:tcPr>
          <w:p w:rsidR="003B0815" w:rsidRDefault="003B0815" w14:paraId="0C2CF578" w14:textId="77777777">
            <w:pPr>
              <w:keepNext/>
              <w:ind w:right="252"/>
              <w:jc w:val="right"/>
              <w:rPr>
                <w:rFonts w:ascii="Arial" w:hAnsi="Arial" w:cs="Arial"/>
                <w:sz w:val="20"/>
                <w:szCs w:val="20"/>
              </w:rPr>
            </w:pPr>
            <w:r>
              <w:rPr>
                <w:rFonts w:ascii="Arial" w:hAnsi="Arial" w:cs="Arial"/>
                <w:sz w:val="20"/>
                <w:szCs w:val="20"/>
              </w:rPr>
              <w:t>$45,100,000</w:t>
            </w:r>
          </w:p>
        </w:tc>
        <w:tc>
          <w:tcPr>
            <w:tcW w:w="1583" w:type="dxa"/>
            <w:vAlign w:val="bottom"/>
          </w:tcPr>
          <w:p w:rsidR="003B0815" w:rsidRDefault="003B0815" w14:paraId="33D1C4C0" w14:textId="77777777">
            <w:pPr>
              <w:keepNext/>
              <w:jc w:val="right"/>
              <w:rPr>
                <w:rFonts w:ascii="Arial" w:hAnsi="Arial" w:cs="Arial"/>
                <w:sz w:val="20"/>
                <w:szCs w:val="20"/>
              </w:rPr>
            </w:pPr>
            <w:r>
              <w:rPr>
                <w:rFonts w:ascii="Arial" w:hAnsi="Arial" w:cs="Arial"/>
                <w:sz w:val="20"/>
                <w:szCs w:val="20"/>
              </w:rPr>
              <w:t>636,768</w:t>
            </w:r>
          </w:p>
        </w:tc>
        <w:tc>
          <w:tcPr>
            <w:tcW w:w="1791" w:type="dxa"/>
            <w:tcBorders>
              <w:right w:val="single" w:color="auto" w:sz="12" w:space="0"/>
            </w:tcBorders>
            <w:vAlign w:val="bottom"/>
          </w:tcPr>
          <w:p w:rsidR="003B0815" w:rsidRDefault="003B0815" w14:paraId="1175D085" w14:textId="77777777">
            <w:pPr>
              <w:keepNext/>
              <w:jc w:val="right"/>
              <w:rPr>
                <w:rFonts w:ascii="Arial" w:hAnsi="Arial" w:cs="Arial"/>
                <w:sz w:val="20"/>
                <w:szCs w:val="20"/>
              </w:rPr>
            </w:pPr>
            <w:r>
              <w:rPr>
                <w:rFonts w:ascii="Arial" w:hAnsi="Arial" w:cs="Arial"/>
                <w:sz w:val="20"/>
                <w:szCs w:val="20"/>
              </w:rPr>
              <w:t>0.100%</w:t>
            </w:r>
          </w:p>
        </w:tc>
      </w:tr>
      <w:tr w:rsidR="003B0815" w14:paraId="454A70AE" w14:textId="77777777">
        <w:trPr>
          <w:cantSplit/>
          <w:jc w:val="center"/>
        </w:trPr>
        <w:tc>
          <w:tcPr>
            <w:tcW w:w="828" w:type="dxa"/>
            <w:vMerge/>
            <w:tcBorders>
              <w:left w:val="single" w:color="auto" w:sz="12" w:space="0"/>
              <w:right w:val="single" w:color="auto" w:sz="12" w:space="0"/>
            </w:tcBorders>
          </w:tcPr>
          <w:p w:rsidR="003B0815" w:rsidRDefault="003B0815" w14:paraId="2FF033EB" w14:textId="77777777">
            <w:pPr>
              <w:keepNext/>
              <w:rPr>
                <w:rFonts w:ascii="Arial" w:hAnsi="Arial"/>
                <w:b/>
                <w:sz w:val="20"/>
                <w:szCs w:val="20"/>
              </w:rPr>
            </w:pPr>
          </w:p>
        </w:tc>
        <w:tc>
          <w:tcPr>
            <w:tcW w:w="1106" w:type="dxa"/>
            <w:tcBorders>
              <w:left w:val="single" w:color="auto" w:sz="12" w:space="0"/>
            </w:tcBorders>
            <w:vAlign w:val="bottom"/>
          </w:tcPr>
          <w:p w:rsidR="003B0815" w:rsidRDefault="003B0815" w14:paraId="2D047D3D" w14:textId="77777777">
            <w:pPr>
              <w:keepNext/>
              <w:jc w:val="center"/>
              <w:rPr>
                <w:rFonts w:ascii="Arial" w:hAnsi="Arial" w:cs="Arial"/>
                <w:sz w:val="20"/>
                <w:szCs w:val="20"/>
              </w:rPr>
            </w:pPr>
            <w:r>
              <w:rPr>
                <w:rFonts w:ascii="Arial" w:hAnsi="Arial" w:cs="Arial"/>
                <w:sz w:val="20"/>
                <w:szCs w:val="20"/>
              </w:rPr>
              <w:t>6</w:t>
            </w:r>
          </w:p>
        </w:tc>
        <w:tc>
          <w:tcPr>
            <w:tcW w:w="1874" w:type="dxa"/>
            <w:vAlign w:val="bottom"/>
          </w:tcPr>
          <w:p w:rsidR="003B0815" w:rsidRDefault="003B0815" w14:paraId="20454FD9" w14:textId="77777777">
            <w:pPr>
              <w:keepNext/>
              <w:ind w:right="612"/>
              <w:jc w:val="right"/>
              <w:rPr>
                <w:rFonts w:ascii="Arial" w:hAnsi="Arial" w:cs="Arial"/>
                <w:sz w:val="20"/>
                <w:szCs w:val="20"/>
              </w:rPr>
            </w:pPr>
            <w:r>
              <w:rPr>
                <w:rFonts w:ascii="Arial" w:hAnsi="Arial" w:cs="Arial"/>
                <w:sz w:val="20"/>
                <w:szCs w:val="20"/>
              </w:rPr>
              <w:t>380</w:t>
            </w:r>
          </w:p>
        </w:tc>
        <w:tc>
          <w:tcPr>
            <w:tcW w:w="1692" w:type="dxa"/>
            <w:vAlign w:val="bottom"/>
          </w:tcPr>
          <w:p w:rsidR="003B0815" w:rsidRDefault="003B0815" w14:paraId="1E1504A3" w14:textId="77777777">
            <w:pPr>
              <w:keepNext/>
              <w:ind w:right="252"/>
              <w:jc w:val="right"/>
              <w:rPr>
                <w:rFonts w:ascii="Arial" w:hAnsi="Arial" w:cs="Arial"/>
                <w:sz w:val="20"/>
                <w:szCs w:val="20"/>
              </w:rPr>
            </w:pPr>
            <w:r>
              <w:rPr>
                <w:rFonts w:ascii="Arial" w:hAnsi="Arial" w:cs="Arial"/>
                <w:sz w:val="20"/>
                <w:szCs w:val="20"/>
              </w:rPr>
              <w:t>$42,800,000</w:t>
            </w:r>
          </w:p>
        </w:tc>
        <w:tc>
          <w:tcPr>
            <w:tcW w:w="1583" w:type="dxa"/>
            <w:vAlign w:val="bottom"/>
          </w:tcPr>
          <w:p w:rsidR="003B0815" w:rsidRDefault="003B0815" w14:paraId="275F9BA9" w14:textId="77777777">
            <w:pPr>
              <w:keepNext/>
              <w:jc w:val="right"/>
              <w:rPr>
                <w:rFonts w:ascii="Arial" w:hAnsi="Arial" w:cs="Arial"/>
                <w:sz w:val="20"/>
                <w:szCs w:val="20"/>
              </w:rPr>
            </w:pPr>
            <w:r>
              <w:rPr>
                <w:rFonts w:ascii="Arial" w:hAnsi="Arial" w:cs="Arial"/>
                <w:sz w:val="20"/>
                <w:szCs w:val="20"/>
              </w:rPr>
              <w:t>570,291</w:t>
            </w:r>
          </w:p>
        </w:tc>
        <w:tc>
          <w:tcPr>
            <w:tcW w:w="1791" w:type="dxa"/>
            <w:tcBorders>
              <w:right w:val="single" w:color="auto" w:sz="12" w:space="0"/>
            </w:tcBorders>
            <w:vAlign w:val="bottom"/>
          </w:tcPr>
          <w:p w:rsidR="003B0815" w:rsidRDefault="003B0815" w14:paraId="19E36FF3" w14:textId="77777777">
            <w:pPr>
              <w:keepNext/>
              <w:jc w:val="right"/>
              <w:rPr>
                <w:rFonts w:ascii="Arial" w:hAnsi="Arial" w:cs="Arial"/>
                <w:sz w:val="20"/>
                <w:szCs w:val="20"/>
              </w:rPr>
            </w:pPr>
            <w:r>
              <w:rPr>
                <w:rFonts w:ascii="Arial" w:hAnsi="Arial" w:cs="Arial"/>
                <w:sz w:val="20"/>
                <w:szCs w:val="20"/>
              </w:rPr>
              <w:t>0.090%</w:t>
            </w:r>
          </w:p>
        </w:tc>
      </w:tr>
      <w:tr w:rsidR="003B0815" w14:paraId="00474F52" w14:textId="77777777">
        <w:trPr>
          <w:cantSplit/>
          <w:jc w:val="center"/>
        </w:trPr>
        <w:tc>
          <w:tcPr>
            <w:tcW w:w="828" w:type="dxa"/>
            <w:vMerge/>
            <w:tcBorders>
              <w:left w:val="single" w:color="auto" w:sz="12" w:space="0"/>
              <w:right w:val="single" w:color="auto" w:sz="12" w:space="0"/>
            </w:tcBorders>
          </w:tcPr>
          <w:p w:rsidR="003B0815" w:rsidRDefault="003B0815" w14:paraId="53D18DEA" w14:textId="77777777">
            <w:pPr>
              <w:keepNext/>
              <w:rPr>
                <w:rFonts w:ascii="Arial" w:hAnsi="Arial"/>
                <w:b/>
                <w:sz w:val="20"/>
                <w:szCs w:val="20"/>
              </w:rPr>
            </w:pPr>
          </w:p>
        </w:tc>
        <w:tc>
          <w:tcPr>
            <w:tcW w:w="1106" w:type="dxa"/>
            <w:tcBorders>
              <w:left w:val="single" w:color="auto" w:sz="12" w:space="0"/>
            </w:tcBorders>
            <w:vAlign w:val="bottom"/>
          </w:tcPr>
          <w:p w:rsidR="003B0815" w:rsidRDefault="003B0815" w14:paraId="293E2785" w14:textId="77777777">
            <w:pPr>
              <w:keepNext/>
              <w:jc w:val="center"/>
              <w:rPr>
                <w:rFonts w:ascii="Arial" w:hAnsi="Arial" w:cs="Arial"/>
                <w:sz w:val="20"/>
                <w:szCs w:val="20"/>
              </w:rPr>
            </w:pPr>
            <w:r>
              <w:rPr>
                <w:rFonts w:ascii="Arial" w:hAnsi="Arial" w:cs="Arial"/>
                <w:sz w:val="20"/>
                <w:szCs w:val="20"/>
              </w:rPr>
              <w:t>7</w:t>
            </w:r>
          </w:p>
        </w:tc>
        <w:tc>
          <w:tcPr>
            <w:tcW w:w="1874" w:type="dxa"/>
            <w:vAlign w:val="bottom"/>
          </w:tcPr>
          <w:p w:rsidR="003B0815" w:rsidRDefault="003B0815" w14:paraId="507EE72B" w14:textId="77777777">
            <w:pPr>
              <w:keepNext/>
              <w:ind w:right="612"/>
              <w:jc w:val="right"/>
              <w:rPr>
                <w:rFonts w:ascii="Arial" w:hAnsi="Arial" w:cs="Arial"/>
                <w:sz w:val="20"/>
                <w:szCs w:val="20"/>
              </w:rPr>
            </w:pPr>
            <w:r>
              <w:rPr>
                <w:rFonts w:ascii="Arial" w:hAnsi="Arial" w:cs="Arial"/>
                <w:sz w:val="20"/>
                <w:szCs w:val="20"/>
              </w:rPr>
              <w:t>255</w:t>
            </w:r>
          </w:p>
        </w:tc>
        <w:tc>
          <w:tcPr>
            <w:tcW w:w="1692" w:type="dxa"/>
            <w:vAlign w:val="bottom"/>
          </w:tcPr>
          <w:p w:rsidR="003B0815" w:rsidRDefault="003B0815" w14:paraId="2F772BE6" w14:textId="77777777">
            <w:pPr>
              <w:keepNext/>
              <w:ind w:right="252"/>
              <w:jc w:val="right"/>
              <w:rPr>
                <w:rFonts w:ascii="Arial" w:hAnsi="Arial" w:cs="Arial"/>
                <w:sz w:val="20"/>
                <w:szCs w:val="20"/>
              </w:rPr>
            </w:pPr>
            <w:r>
              <w:rPr>
                <w:rFonts w:ascii="Arial" w:hAnsi="Arial" w:cs="Arial"/>
                <w:sz w:val="20"/>
                <w:szCs w:val="20"/>
              </w:rPr>
              <w:t>$18,600,000</w:t>
            </w:r>
          </w:p>
        </w:tc>
        <w:tc>
          <w:tcPr>
            <w:tcW w:w="1583" w:type="dxa"/>
            <w:vAlign w:val="bottom"/>
          </w:tcPr>
          <w:p w:rsidR="003B0815" w:rsidRDefault="003B0815" w14:paraId="09DBD0C7" w14:textId="77777777">
            <w:pPr>
              <w:keepNext/>
              <w:jc w:val="right"/>
              <w:rPr>
                <w:rFonts w:ascii="Arial" w:hAnsi="Arial" w:cs="Arial"/>
                <w:sz w:val="20"/>
                <w:szCs w:val="20"/>
              </w:rPr>
            </w:pPr>
            <w:r>
              <w:rPr>
                <w:rFonts w:ascii="Arial" w:hAnsi="Arial" w:cs="Arial"/>
                <w:sz w:val="20"/>
                <w:szCs w:val="20"/>
              </w:rPr>
              <w:t>49,242</w:t>
            </w:r>
          </w:p>
        </w:tc>
        <w:tc>
          <w:tcPr>
            <w:tcW w:w="1791" w:type="dxa"/>
            <w:tcBorders>
              <w:right w:val="single" w:color="auto" w:sz="12" w:space="0"/>
            </w:tcBorders>
            <w:vAlign w:val="bottom"/>
          </w:tcPr>
          <w:p w:rsidR="003B0815" w:rsidRDefault="003B0815" w14:paraId="50E51AF0" w14:textId="77777777">
            <w:pPr>
              <w:keepNext/>
              <w:jc w:val="right"/>
              <w:rPr>
                <w:rFonts w:ascii="Arial" w:hAnsi="Arial" w:cs="Arial"/>
                <w:sz w:val="20"/>
                <w:szCs w:val="20"/>
              </w:rPr>
            </w:pPr>
            <w:r>
              <w:rPr>
                <w:rFonts w:ascii="Arial" w:hAnsi="Arial" w:cs="Arial"/>
                <w:sz w:val="20"/>
                <w:szCs w:val="20"/>
              </w:rPr>
              <w:t>0.008%</w:t>
            </w:r>
          </w:p>
        </w:tc>
      </w:tr>
      <w:tr w:rsidR="003B0815" w14:paraId="0EA42438" w14:textId="77777777">
        <w:trPr>
          <w:cantSplit/>
          <w:jc w:val="center"/>
        </w:trPr>
        <w:tc>
          <w:tcPr>
            <w:tcW w:w="828" w:type="dxa"/>
            <w:vMerge/>
            <w:tcBorders>
              <w:left w:val="single" w:color="auto" w:sz="12" w:space="0"/>
              <w:right w:val="single" w:color="auto" w:sz="12" w:space="0"/>
            </w:tcBorders>
          </w:tcPr>
          <w:p w:rsidR="003B0815" w:rsidRDefault="003B0815" w14:paraId="4ABAA001" w14:textId="77777777">
            <w:pPr>
              <w:keepNext/>
              <w:rPr>
                <w:rFonts w:ascii="Arial" w:hAnsi="Arial"/>
                <w:b/>
                <w:sz w:val="20"/>
                <w:szCs w:val="20"/>
              </w:rPr>
            </w:pPr>
          </w:p>
        </w:tc>
        <w:tc>
          <w:tcPr>
            <w:tcW w:w="1106" w:type="dxa"/>
            <w:tcBorders>
              <w:left w:val="single" w:color="auto" w:sz="12" w:space="0"/>
              <w:bottom w:val="single" w:color="auto" w:sz="4" w:space="0"/>
            </w:tcBorders>
            <w:vAlign w:val="bottom"/>
          </w:tcPr>
          <w:p w:rsidR="003B0815" w:rsidRDefault="003B0815" w14:paraId="74992E70" w14:textId="77777777">
            <w:pPr>
              <w:keepNext/>
              <w:jc w:val="center"/>
              <w:rPr>
                <w:rFonts w:ascii="Arial" w:hAnsi="Arial" w:cs="Arial"/>
                <w:sz w:val="20"/>
                <w:szCs w:val="20"/>
              </w:rPr>
            </w:pPr>
            <w:r>
              <w:rPr>
                <w:rFonts w:ascii="Arial" w:hAnsi="Arial" w:cs="Arial"/>
                <w:sz w:val="20"/>
                <w:szCs w:val="20"/>
              </w:rPr>
              <w:t>8</w:t>
            </w:r>
          </w:p>
        </w:tc>
        <w:tc>
          <w:tcPr>
            <w:tcW w:w="1874" w:type="dxa"/>
            <w:tcBorders>
              <w:bottom w:val="single" w:color="auto" w:sz="4" w:space="0"/>
            </w:tcBorders>
            <w:vAlign w:val="bottom"/>
          </w:tcPr>
          <w:p w:rsidR="003B0815" w:rsidRDefault="003B0815" w14:paraId="33977261" w14:textId="77777777">
            <w:pPr>
              <w:keepNext/>
              <w:ind w:right="612"/>
              <w:jc w:val="right"/>
              <w:rPr>
                <w:rFonts w:ascii="Arial" w:hAnsi="Arial" w:cs="Arial"/>
                <w:sz w:val="20"/>
                <w:szCs w:val="20"/>
              </w:rPr>
            </w:pPr>
            <w:r>
              <w:rPr>
                <w:rFonts w:ascii="Arial" w:hAnsi="Arial" w:cs="Arial"/>
                <w:sz w:val="20"/>
                <w:szCs w:val="20"/>
              </w:rPr>
              <w:t>230</w:t>
            </w:r>
          </w:p>
        </w:tc>
        <w:tc>
          <w:tcPr>
            <w:tcW w:w="1692" w:type="dxa"/>
            <w:tcBorders>
              <w:bottom w:val="single" w:color="auto" w:sz="4" w:space="0"/>
            </w:tcBorders>
            <w:vAlign w:val="bottom"/>
          </w:tcPr>
          <w:p w:rsidR="003B0815" w:rsidRDefault="003B0815" w14:paraId="540BB819" w14:textId="77777777">
            <w:pPr>
              <w:keepNext/>
              <w:ind w:right="252"/>
              <w:jc w:val="right"/>
              <w:rPr>
                <w:rFonts w:ascii="Arial" w:hAnsi="Arial" w:cs="Arial"/>
                <w:sz w:val="20"/>
                <w:szCs w:val="20"/>
              </w:rPr>
            </w:pPr>
            <w:r>
              <w:rPr>
                <w:rFonts w:ascii="Arial" w:hAnsi="Arial" w:cs="Arial"/>
                <w:sz w:val="20"/>
                <w:szCs w:val="20"/>
              </w:rPr>
              <w:t>$39,600,000</w:t>
            </w:r>
          </w:p>
        </w:tc>
        <w:tc>
          <w:tcPr>
            <w:tcW w:w="1583" w:type="dxa"/>
            <w:tcBorders>
              <w:bottom w:val="single" w:color="auto" w:sz="4" w:space="0"/>
            </w:tcBorders>
            <w:vAlign w:val="bottom"/>
          </w:tcPr>
          <w:p w:rsidR="003B0815" w:rsidRDefault="003B0815" w14:paraId="60A26E26" w14:textId="77777777">
            <w:pPr>
              <w:keepNext/>
              <w:jc w:val="right"/>
              <w:rPr>
                <w:rFonts w:ascii="Arial" w:hAnsi="Arial" w:cs="Arial"/>
                <w:sz w:val="20"/>
                <w:szCs w:val="20"/>
              </w:rPr>
            </w:pPr>
            <w:r>
              <w:rPr>
                <w:rFonts w:ascii="Arial" w:hAnsi="Arial" w:cs="Arial"/>
                <w:sz w:val="20"/>
                <w:szCs w:val="20"/>
              </w:rPr>
              <w:t>355,607</w:t>
            </w:r>
          </w:p>
        </w:tc>
        <w:tc>
          <w:tcPr>
            <w:tcW w:w="1791" w:type="dxa"/>
            <w:tcBorders>
              <w:bottom w:val="single" w:color="auto" w:sz="4" w:space="0"/>
              <w:right w:val="single" w:color="auto" w:sz="12" w:space="0"/>
            </w:tcBorders>
            <w:vAlign w:val="bottom"/>
          </w:tcPr>
          <w:p w:rsidR="003B0815" w:rsidRDefault="003B0815" w14:paraId="52688431" w14:textId="77777777">
            <w:pPr>
              <w:keepNext/>
              <w:jc w:val="right"/>
              <w:rPr>
                <w:rFonts w:ascii="Arial" w:hAnsi="Arial" w:cs="Arial"/>
                <w:sz w:val="20"/>
                <w:szCs w:val="20"/>
              </w:rPr>
            </w:pPr>
            <w:r>
              <w:rPr>
                <w:rFonts w:ascii="Arial" w:hAnsi="Arial" w:cs="Arial"/>
                <w:sz w:val="20"/>
                <w:szCs w:val="20"/>
              </w:rPr>
              <w:t>0.056%</w:t>
            </w:r>
          </w:p>
        </w:tc>
      </w:tr>
      <w:tr w:rsidR="003B0815" w14:paraId="38DB0A52" w14:textId="77777777">
        <w:trPr>
          <w:cantSplit/>
          <w:jc w:val="center"/>
        </w:trPr>
        <w:tc>
          <w:tcPr>
            <w:tcW w:w="828" w:type="dxa"/>
            <w:vMerge/>
            <w:tcBorders>
              <w:left w:val="single" w:color="auto" w:sz="12" w:space="0"/>
              <w:right w:val="single" w:color="auto" w:sz="12" w:space="0"/>
            </w:tcBorders>
          </w:tcPr>
          <w:p w:rsidR="003B0815" w:rsidRDefault="003B0815" w14:paraId="4A0E38B5" w14:textId="77777777">
            <w:pPr>
              <w:keepNext/>
              <w:rPr>
                <w:rFonts w:ascii="Arial" w:hAnsi="Arial"/>
                <w:b/>
                <w:sz w:val="20"/>
                <w:szCs w:val="20"/>
              </w:rPr>
            </w:pPr>
          </w:p>
        </w:tc>
        <w:tc>
          <w:tcPr>
            <w:tcW w:w="1106" w:type="dxa"/>
            <w:tcBorders>
              <w:left w:val="single" w:color="auto" w:sz="12" w:space="0"/>
              <w:bottom w:val="single" w:color="auto" w:sz="4" w:space="0"/>
            </w:tcBorders>
            <w:vAlign w:val="bottom"/>
          </w:tcPr>
          <w:p w:rsidR="003B0815" w:rsidRDefault="003B0815" w14:paraId="1EA252B8" w14:textId="77777777">
            <w:pPr>
              <w:keepNext/>
              <w:jc w:val="center"/>
              <w:rPr>
                <w:rFonts w:ascii="Arial" w:hAnsi="Arial" w:cs="Arial"/>
                <w:sz w:val="20"/>
                <w:szCs w:val="20"/>
              </w:rPr>
            </w:pPr>
            <w:r>
              <w:rPr>
                <w:rFonts w:ascii="Arial" w:hAnsi="Arial" w:cs="Arial"/>
                <w:sz w:val="20"/>
                <w:szCs w:val="20"/>
              </w:rPr>
              <w:t>9</w:t>
            </w:r>
          </w:p>
        </w:tc>
        <w:tc>
          <w:tcPr>
            <w:tcW w:w="1874" w:type="dxa"/>
            <w:tcBorders>
              <w:bottom w:val="single" w:color="auto" w:sz="4" w:space="0"/>
            </w:tcBorders>
            <w:vAlign w:val="bottom"/>
          </w:tcPr>
          <w:p w:rsidR="003B0815" w:rsidRDefault="003B0815" w14:paraId="544C23F3" w14:textId="77777777">
            <w:pPr>
              <w:keepNext/>
              <w:ind w:right="612"/>
              <w:jc w:val="right"/>
              <w:rPr>
                <w:rFonts w:ascii="Arial" w:hAnsi="Arial" w:cs="Arial"/>
                <w:sz w:val="20"/>
                <w:szCs w:val="20"/>
              </w:rPr>
            </w:pPr>
            <w:r>
              <w:rPr>
                <w:rFonts w:ascii="Arial" w:hAnsi="Arial" w:cs="Arial"/>
                <w:sz w:val="20"/>
                <w:szCs w:val="20"/>
              </w:rPr>
              <w:t>220</w:t>
            </w:r>
          </w:p>
        </w:tc>
        <w:tc>
          <w:tcPr>
            <w:tcW w:w="1692" w:type="dxa"/>
            <w:tcBorders>
              <w:bottom w:val="single" w:color="auto" w:sz="4" w:space="0"/>
            </w:tcBorders>
            <w:vAlign w:val="bottom"/>
          </w:tcPr>
          <w:p w:rsidR="003B0815" w:rsidRDefault="003B0815" w14:paraId="080C0995" w14:textId="77777777">
            <w:pPr>
              <w:keepNext/>
              <w:ind w:right="252"/>
              <w:jc w:val="right"/>
              <w:rPr>
                <w:rFonts w:ascii="Arial" w:hAnsi="Arial" w:cs="Arial"/>
                <w:sz w:val="20"/>
                <w:szCs w:val="20"/>
              </w:rPr>
            </w:pPr>
            <w:r>
              <w:rPr>
                <w:rFonts w:ascii="Arial" w:hAnsi="Arial" w:cs="Arial"/>
                <w:sz w:val="20"/>
                <w:szCs w:val="20"/>
              </w:rPr>
              <w:t>$24,000,000</w:t>
            </w:r>
          </w:p>
        </w:tc>
        <w:tc>
          <w:tcPr>
            <w:tcW w:w="1583" w:type="dxa"/>
            <w:tcBorders>
              <w:bottom w:val="single" w:color="auto" w:sz="4" w:space="0"/>
            </w:tcBorders>
            <w:vAlign w:val="bottom"/>
          </w:tcPr>
          <w:p w:rsidR="003B0815" w:rsidRDefault="003B0815" w14:paraId="50D8469C" w14:textId="77777777">
            <w:pPr>
              <w:keepNext/>
              <w:jc w:val="right"/>
              <w:rPr>
                <w:rFonts w:ascii="Arial" w:hAnsi="Arial" w:cs="Arial"/>
                <w:sz w:val="20"/>
                <w:szCs w:val="20"/>
              </w:rPr>
            </w:pPr>
            <w:r>
              <w:rPr>
                <w:rFonts w:ascii="Arial" w:hAnsi="Arial" w:cs="Arial"/>
                <w:sz w:val="20"/>
                <w:szCs w:val="20"/>
              </w:rPr>
              <w:t>141,252</w:t>
            </w:r>
          </w:p>
        </w:tc>
        <w:tc>
          <w:tcPr>
            <w:tcW w:w="1791" w:type="dxa"/>
            <w:tcBorders>
              <w:bottom w:val="single" w:color="auto" w:sz="4" w:space="0"/>
              <w:right w:val="single" w:color="auto" w:sz="12" w:space="0"/>
            </w:tcBorders>
            <w:vAlign w:val="bottom"/>
          </w:tcPr>
          <w:p w:rsidR="003B0815" w:rsidRDefault="003B0815" w14:paraId="1419B254" w14:textId="77777777">
            <w:pPr>
              <w:keepNext/>
              <w:jc w:val="right"/>
              <w:rPr>
                <w:rFonts w:ascii="Arial" w:hAnsi="Arial" w:cs="Arial"/>
                <w:sz w:val="20"/>
                <w:szCs w:val="20"/>
              </w:rPr>
            </w:pPr>
            <w:r>
              <w:rPr>
                <w:rFonts w:ascii="Arial" w:hAnsi="Arial" w:cs="Arial"/>
                <w:sz w:val="20"/>
                <w:szCs w:val="20"/>
              </w:rPr>
              <w:t>0.022%</w:t>
            </w:r>
          </w:p>
        </w:tc>
      </w:tr>
      <w:tr w:rsidR="003B0815" w14:paraId="29097EBC" w14:textId="77777777">
        <w:trPr>
          <w:cantSplit/>
          <w:jc w:val="center"/>
        </w:trPr>
        <w:tc>
          <w:tcPr>
            <w:tcW w:w="828" w:type="dxa"/>
            <w:vMerge/>
            <w:tcBorders>
              <w:left w:val="single" w:color="auto" w:sz="12" w:space="0"/>
              <w:bottom w:val="single" w:color="auto" w:sz="12" w:space="0"/>
              <w:right w:val="single" w:color="auto" w:sz="12" w:space="0"/>
            </w:tcBorders>
          </w:tcPr>
          <w:p w:rsidR="003B0815" w:rsidRDefault="003B0815" w14:paraId="4627C268" w14:textId="77777777">
            <w:pPr>
              <w:keepNext/>
              <w:rPr>
                <w:rFonts w:ascii="Arial" w:hAnsi="Arial"/>
                <w:b/>
                <w:sz w:val="20"/>
                <w:szCs w:val="20"/>
              </w:rPr>
            </w:pPr>
          </w:p>
        </w:tc>
        <w:tc>
          <w:tcPr>
            <w:tcW w:w="1106" w:type="dxa"/>
            <w:tcBorders>
              <w:left w:val="single" w:color="auto" w:sz="12" w:space="0"/>
              <w:bottom w:val="single" w:color="auto" w:sz="12" w:space="0"/>
            </w:tcBorders>
            <w:vAlign w:val="bottom"/>
          </w:tcPr>
          <w:p w:rsidR="003B0815" w:rsidRDefault="003B0815" w14:paraId="7E59E8B8" w14:textId="77777777">
            <w:pPr>
              <w:keepNext/>
              <w:jc w:val="center"/>
              <w:rPr>
                <w:rFonts w:ascii="Arial" w:hAnsi="Arial" w:cs="Arial"/>
                <w:sz w:val="20"/>
                <w:szCs w:val="20"/>
              </w:rPr>
            </w:pPr>
            <w:r>
              <w:rPr>
                <w:rFonts w:ascii="Arial" w:hAnsi="Arial" w:cs="Arial"/>
                <w:sz w:val="20"/>
                <w:szCs w:val="20"/>
              </w:rPr>
              <w:t>10</w:t>
            </w:r>
          </w:p>
        </w:tc>
        <w:tc>
          <w:tcPr>
            <w:tcW w:w="1874" w:type="dxa"/>
            <w:tcBorders>
              <w:bottom w:val="single" w:color="auto" w:sz="12" w:space="0"/>
            </w:tcBorders>
            <w:vAlign w:val="bottom"/>
          </w:tcPr>
          <w:p w:rsidR="003B0815" w:rsidRDefault="003B0815" w14:paraId="5A41CBFC" w14:textId="77777777">
            <w:pPr>
              <w:keepNext/>
              <w:ind w:right="612"/>
              <w:jc w:val="right"/>
              <w:rPr>
                <w:rFonts w:ascii="Arial" w:hAnsi="Arial" w:cs="Arial"/>
                <w:sz w:val="20"/>
                <w:szCs w:val="20"/>
              </w:rPr>
            </w:pPr>
            <w:r>
              <w:rPr>
                <w:rFonts w:ascii="Arial" w:hAnsi="Arial" w:cs="Arial"/>
                <w:sz w:val="20"/>
                <w:szCs w:val="20"/>
              </w:rPr>
              <w:t>50</w:t>
            </w:r>
          </w:p>
        </w:tc>
        <w:tc>
          <w:tcPr>
            <w:tcW w:w="1692" w:type="dxa"/>
            <w:tcBorders>
              <w:bottom w:val="single" w:color="auto" w:sz="12" w:space="0"/>
            </w:tcBorders>
            <w:vAlign w:val="bottom"/>
          </w:tcPr>
          <w:p w:rsidR="003B0815" w:rsidRDefault="003B0815" w14:paraId="293B672D" w14:textId="77777777">
            <w:pPr>
              <w:keepNext/>
              <w:ind w:right="252"/>
              <w:jc w:val="right"/>
              <w:rPr>
                <w:rFonts w:ascii="Arial" w:hAnsi="Arial" w:cs="Arial"/>
                <w:sz w:val="20"/>
                <w:szCs w:val="20"/>
              </w:rPr>
            </w:pPr>
            <w:r>
              <w:rPr>
                <w:rFonts w:ascii="Arial" w:hAnsi="Arial" w:cs="Arial"/>
                <w:sz w:val="20"/>
                <w:szCs w:val="20"/>
              </w:rPr>
              <w:t>$5,000,000</w:t>
            </w:r>
          </w:p>
        </w:tc>
        <w:tc>
          <w:tcPr>
            <w:tcW w:w="1583" w:type="dxa"/>
            <w:tcBorders>
              <w:bottom w:val="single" w:color="auto" w:sz="12" w:space="0"/>
            </w:tcBorders>
            <w:vAlign w:val="bottom"/>
          </w:tcPr>
          <w:p w:rsidR="003B0815" w:rsidRDefault="003B0815" w14:paraId="66F20103" w14:textId="77777777">
            <w:pPr>
              <w:keepNext/>
              <w:jc w:val="right"/>
              <w:rPr>
                <w:rFonts w:ascii="Arial" w:hAnsi="Arial" w:cs="Arial"/>
                <w:sz w:val="20"/>
                <w:szCs w:val="20"/>
              </w:rPr>
            </w:pPr>
            <w:r>
              <w:rPr>
                <w:rFonts w:ascii="Arial" w:hAnsi="Arial" w:cs="Arial"/>
                <w:sz w:val="20"/>
                <w:szCs w:val="20"/>
              </w:rPr>
              <w:t>48,221</w:t>
            </w:r>
          </w:p>
        </w:tc>
        <w:tc>
          <w:tcPr>
            <w:tcW w:w="1791" w:type="dxa"/>
            <w:tcBorders>
              <w:bottom w:val="single" w:color="auto" w:sz="12" w:space="0"/>
              <w:right w:val="single" w:color="auto" w:sz="12" w:space="0"/>
            </w:tcBorders>
            <w:vAlign w:val="bottom"/>
          </w:tcPr>
          <w:p w:rsidR="003B0815" w:rsidRDefault="003B0815" w14:paraId="6D1DBDDB" w14:textId="77777777">
            <w:pPr>
              <w:keepNext/>
              <w:jc w:val="right"/>
              <w:rPr>
                <w:rFonts w:ascii="Arial" w:hAnsi="Arial" w:cs="Arial"/>
                <w:sz w:val="20"/>
                <w:szCs w:val="20"/>
              </w:rPr>
            </w:pPr>
            <w:r>
              <w:rPr>
                <w:rFonts w:ascii="Arial" w:hAnsi="Arial" w:cs="Arial"/>
                <w:sz w:val="20"/>
                <w:szCs w:val="20"/>
              </w:rPr>
              <w:t>0.008%</w:t>
            </w:r>
          </w:p>
        </w:tc>
      </w:tr>
      <w:tr w:rsidR="003B0815" w14:paraId="5899E810" w14:textId="77777777">
        <w:trPr>
          <w:cantSplit/>
          <w:jc w:val="center"/>
        </w:trPr>
        <w:tc>
          <w:tcPr>
            <w:tcW w:w="828" w:type="dxa"/>
            <w:vMerge w:val="restart"/>
            <w:tcBorders>
              <w:top w:val="single" w:color="auto" w:sz="12" w:space="0"/>
              <w:left w:val="single" w:color="auto" w:sz="12" w:space="0"/>
              <w:right w:val="single" w:color="auto" w:sz="12" w:space="0"/>
            </w:tcBorders>
            <w:textDirection w:val="btLr"/>
          </w:tcPr>
          <w:p w:rsidR="003B0815" w:rsidRDefault="003B0815" w14:paraId="6C4FB5A8" w14:textId="77777777">
            <w:pPr>
              <w:keepNext/>
              <w:ind w:left="113" w:right="113"/>
              <w:jc w:val="center"/>
              <w:rPr>
                <w:rFonts w:ascii="Arial" w:hAnsi="Arial"/>
                <w:b/>
                <w:sz w:val="20"/>
                <w:szCs w:val="20"/>
              </w:rPr>
            </w:pPr>
            <w:r>
              <w:rPr>
                <w:rFonts w:ascii="Arial" w:hAnsi="Arial"/>
                <w:b/>
                <w:sz w:val="20"/>
                <w:szCs w:val="20"/>
              </w:rPr>
              <w:t>Aircraft Operators in Implementation Group 4</w:t>
            </w:r>
          </w:p>
        </w:tc>
        <w:tc>
          <w:tcPr>
            <w:tcW w:w="1106" w:type="dxa"/>
            <w:tcBorders>
              <w:left w:val="single" w:color="auto" w:sz="12" w:space="0"/>
              <w:bottom w:val="single" w:color="auto" w:sz="4" w:space="0"/>
            </w:tcBorders>
            <w:vAlign w:val="bottom"/>
          </w:tcPr>
          <w:p w:rsidR="003B0815" w:rsidRDefault="003B0815" w14:paraId="48F8D32F" w14:textId="77777777">
            <w:pPr>
              <w:keepNext/>
              <w:jc w:val="center"/>
              <w:rPr>
                <w:rFonts w:ascii="Arial" w:hAnsi="Arial" w:cs="Arial"/>
                <w:sz w:val="20"/>
                <w:szCs w:val="20"/>
              </w:rPr>
            </w:pPr>
            <w:r>
              <w:rPr>
                <w:rFonts w:ascii="Arial" w:hAnsi="Arial" w:cs="Arial"/>
                <w:sz w:val="20"/>
                <w:szCs w:val="20"/>
              </w:rPr>
              <w:t>11</w:t>
            </w:r>
          </w:p>
        </w:tc>
        <w:tc>
          <w:tcPr>
            <w:tcW w:w="1874" w:type="dxa"/>
            <w:tcBorders>
              <w:bottom w:val="single" w:color="auto" w:sz="4" w:space="0"/>
            </w:tcBorders>
            <w:vAlign w:val="bottom"/>
          </w:tcPr>
          <w:p w:rsidR="003B0815" w:rsidRDefault="003B0815" w14:paraId="0CCA944F" w14:textId="77777777">
            <w:pPr>
              <w:keepNext/>
              <w:ind w:right="612"/>
              <w:jc w:val="right"/>
              <w:rPr>
                <w:rFonts w:ascii="Arial" w:hAnsi="Arial" w:cs="Arial"/>
                <w:sz w:val="20"/>
                <w:szCs w:val="20"/>
              </w:rPr>
            </w:pPr>
            <w:r>
              <w:rPr>
                <w:rFonts w:ascii="Arial" w:hAnsi="Arial" w:cs="Arial"/>
                <w:sz w:val="20"/>
                <w:szCs w:val="20"/>
              </w:rPr>
              <w:t>964</w:t>
            </w:r>
          </w:p>
        </w:tc>
        <w:tc>
          <w:tcPr>
            <w:tcW w:w="1692" w:type="dxa"/>
            <w:tcBorders>
              <w:bottom w:val="single" w:color="auto" w:sz="4" w:space="0"/>
            </w:tcBorders>
            <w:vAlign w:val="bottom"/>
          </w:tcPr>
          <w:p w:rsidR="003B0815" w:rsidRDefault="003B0815" w14:paraId="52A85332" w14:textId="77777777">
            <w:pPr>
              <w:keepNext/>
              <w:ind w:right="252"/>
              <w:jc w:val="right"/>
              <w:rPr>
                <w:rFonts w:ascii="Arial" w:hAnsi="Arial" w:cs="Arial"/>
                <w:sz w:val="20"/>
                <w:szCs w:val="20"/>
              </w:rPr>
            </w:pPr>
            <w:r>
              <w:rPr>
                <w:rFonts w:ascii="Arial" w:hAnsi="Arial" w:cs="Arial"/>
                <w:sz w:val="20"/>
                <w:szCs w:val="20"/>
              </w:rPr>
              <w:t>$74,300,000</w:t>
            </w:r>
          </w:p>
        </w:tc>
        <w:tc>
          <w:tcPr>
            <w:tcW w:w="1583" w:type="dxa"/>
            <w:tcBorders>
              <w:bottom w:val="single" w:color="auto" w:sz="4" w:space="0"/>
            </w:tcBorders>
            <w:vAlign w:val="bottom"/>
          </w:tcPr>
          <w:p w:rsidR="003B0815" w:rsidRDefault="003B0815" w14:paraId="1E8C7D5B" w14:textId="77777777">
            <w:pPr>
              <w:keepNext/>
              <w:jc w:val="right"/>
              <w:rPr>
                <w:rFonts w:ascii="Arial" w:hAnsi="Arial" w:cs="Arial"/>
                <w:sz w:val="20"/>
                <w:szCs w:val="20"/>
              </w:rPr>
            </w:pPr>
            <w:r>
              <w:rPr>
                <w:rFonts w:ascii="Arial" w:hAnsi="Arial" w:cs="Arial"/>
                <w:sz w:val="20"/>
                <w:szCs w:val="20"/>
              </w:rPr>
              <w:t>208,120</w:t>
            </w:r>
          </w:p>
        </w:tc>
        <w:tc>
          <w:tcPr>
            <w:tcW w:w="1791" w:type="dxa"/>
            <w:tcBorders>
              <w:bottom w:val="single" w:color="auto" w:sz="4" w:space="0"/>
              <w:right w:val="single" w:color="auto" w:sz="12" w:space="0"/>
            </w:tcBorders>
            <w:vAlign w:val="bottom"/>
          </w:tcPr>
          <w:p w:rsidR="003B0815" w:rsidRDefault="003B0815" w14:paraId="0EB1DDE2" w14:textId="77777777">
            <w:pPr>
              <w:keepNext/>
              <w:jc w:val="right"/>
              <w:rPr>
                <w:rFonts w:ascii="Arial" w:hAnsi="Arial" w:cs="Arial"/>
                <w:sz w:val="20"/>
                <w:szCs w:val="20"/>
              </w:rPr>
            </w:pPr>
            <w:r>
              <w:rPr>
                <w:rFonts w:ascii="Arial" w:hAnsi="Arial" w:cs="Arial"/>
                <w:sz w:val="20"/>
                <w:szCs w:val="20"/>
              </w:rPr>
              <w:t>0.033%</w:t>
            </w:r>
          </w:p>
        </w:tc>
      </w:tr>
      <w:tr w:rsidR="003B0815" w14:paraId="5E0874B5" w14:textId="77777777">
        <w:trPr>
          <w:cantSplit/>
          <w:jc w:val="center"/>
        </w:trPr>
        <w:tc>
          <w:tcPr>
            <w:tcW w:w="828" w:type="dxa"/>
            <w:vMerge/>
            <w:tcBorders>
              <w:left w:val="single" w:color="auto" w:sz="12" w:space="0"/>
              <w:right w:val="single" w:color="auto" w:sz="12" w:space="0"/>
            </w:tcBorders>
          </w:tcPr>
          <w:p w:rsidR="003B0815" w:rsidRDefault="003B0815" w14:paraId="23689A29" w14:textId="77777777">
            <w:pPr>
              <w:keepNext/>
              <w:ind w:left="113" w:right="113"/>
              <w:jc w:val="center"/>
              <w:rPr>
                <w:rFonts w:ascii="Arial" w:hAnsi="Arial"/>
                <w:b/>
                <w:sz w:val="20"/>
                <w:szCs w:val="20"/>
              </w:rPr>
            </w:pPr>
          </w:p>
        </w:tc>
        <w:tc>
          <w:tcPr>
            <w:tcW w:w="1106" w:type="dxa"/>
            <w:tcBorders>
              <w:top w:val="single" w:color="auto" w:sz="4" w:space="0"/>
              <w:left w:val="single" w:color="auto" w:sz="12" w:space="0"/>
            </w:tcBorders>
            <w:vAlign w:val="bottom"/>
          </w:tcPr>
          <w:p w:rsidR="003B0815" w:rsidRDefault="003B0815" w14:paraId="7EEEE365" w14:textId="77777777">
            <w:pPr>
              <w:keepNext/>
              <w:jc w:val="center"/>
              <w:rPr>
                <w:rFonts w:ascii="Arial" w:hAnsi="Arial" w:cs="Arial"/>
                <w:sz w:val="20"/>
                <w:szCs w:val="20"/>
              </w:rPr>
            </w:pPr>
            <w:r>
              <w:rPr>
                <w:rFonts w:ascii="Arial" w:hAnsi="Arial" w:cs="Arial"/>
                <w:sz w:val="20"/>
                <w:szCs w:val="20"/>
              </w:rPr>
              <w:t>12</w:t>
            </w:r>
          </w:p>
        </w:tc>
        <w:tc>
          <w:tcPr>
            <w:tcW w:w="1874" w:type="dxa"/>
            <w:tcBorders>
              <w:top w:val="single" w:color="auto" w:sz="4" w:space="0"/>
            </w:tcBorders>
            <w:vAlign w:val="bottom"/>
          </w:tcPr>
          <w:p w:rsidR="003B0815" w:rsidRDefault="003B0815" w14:paraId="2D9684FD" w14:textId="77777777">
            <w:pPr>
              <w:keepNext/>
              <w:ind w:right="612"/>
              <w:jc w:val="right"/>
              <w:rPr>
                <w:rFonts w:ascii="Arial" w:hAnsi="Arial" w:cs="Arial"/>
                <w:sz w:val="20"/>
                <w:szCs w:val="20"/>
              </w:rPr>
            </w:pPr>
            <w:r>
              <w:rPr>
                <w:rFonts w:ascii="Arial" w:hAnsi="Arial" w:cs="Arial"/>
                <w:sz w:val="20"/>
                <w:szCs w:val="20"/>
              </w:rPr>
              <w:t>826</w:t>
            </w:r>
          </w:p>
        </w:tc>
        <w:tc>
          <w:tcPr>
            <w:tcW w:w="1692" w:type="dxa"/>
            <w:tcBorders>
              <w:top w:val="single" w:color="auto" w:sz="4" w:space="0"/>
            </w:tcBorders>
            <w:vAlign w:val="bottom"/>
          </w:tcPr>
          <w:p w:rsidR="003B0815" w:rsidRDefault="003B0815" w14:paraId="0278BBF3" w14:textId="77777777">
            <w:pPr>
              <w:keepNext/>
              <w:ind w:right="252"/>
              <w:jc w:val="right"/>
              <w:rPr>
                <w:rFonts w:ascii="Arial" w:hAnsi="Arial" w:cs="Arial"/>
                <w:sz w:val="20"/>
                <w:szCs w:val="20"/>
              </w:rPr>
            </w:pPr>
            <w:r>
              <w:rPr>
                <w:rFonts w:ascii="Arial" w:hAnsi="Arial" w:cs="Arial"/>
                <w:sz w:val="20"/>
                <w:szCs w:val="20"/>
              </w:rPr>
              <w:t>$76,392,000</w:t>
            </w:r>
          </w:p>
        </w:tc>
        <w:tc>
          <w:tcPr>
            <w:tcW w:w="1583" w:type="dxa"/>
            <w:tcBorders>
              <w:top w:val="single" w:color="auto" w:sz="4" w:space="0"/>
            </w:tcBorders>
            <w:vAlign w:val="bottom"/>
          </w:tcPr>
          <w:p w:rsidR="003B0815" w:rsidRDefault="003B0815" w14:paraId="6CCF0B2D" w14:textId="77777777">
            <w:pPr>
              <w:keepNext/>
              <w:jc w:val="right"/>
              <w:rPr>
                <w:rFonts w:ascii="Arial" w:hAnsi="Arial" w:cs="Arial"/>
                <w:sz w:val="20"/>
                <w:szCs w:val="20"/>
              </w:rPr>
            </w:pPr>
            <w:r>
              <w:rPr>
                <w:rFonts w:ascii="Arial" w:hAnsi="Arial" w:cs="Arial"/>
                <w:sz w:val="20"/>
                <w:szCs w:val="20"/>
              </w:rPr>
              <w:t>344,741</w:t>
            </w:r>
          </w:p>
        </w:tc>
        <w:tc>
          <w:tcPr>
            <w:tcW w:w="1791" w:type="dxa"/>
            <w:tcBorders>
              <w:top w:val="single" w:color="auto" w:sz="4" w:space="0"/>
              <w:right w:val="single" w:color="auto" w:sz="12" w:space="0"/>
            </w:tcBorders>
            <w:vAlign w:val="bottom"/>
          </w:tcPr>
          <w:p w:rsidR="003B0815" w:rsidRDefault="003B0815" w14:paraId="5DECBC80" w14:textId="77777777">
            <w:pPr>
              <w:keepNext/>
              <w:jc w:val="right"/>
              <w:rPr>
                <w:rFonts w:ascii="Arial" w:hAnsi="Arial" w:cs="Arial"/>
                <w:sz w:val="20"/>
                <w:szCs w:val="20"/>
              </w:rPr>
            </w:pPr>
            <w:r>
              <w:rPr>
                <w:rFonts w:ascii="Arial" w:hAnsi="Arial" w:cs="Arial"/>
                <w:sz w:val="20"/>
                <w:szCs w:val="20"/>
              </w:rPr>
              <w:t>0.054%</w:t>
            </w:r>
          </w:p>
        </w:tc>
      </w:tr>
      <w:tr w:rsidR="003B0815" w14:paraId="6799C052" w14:textId="77777777">
        <w:trPr>
          <w:cantSplit/>
          <w:jc w:val="center"/>
        </w:trPr>
        <w:tc>
          <w:tcPr>
            <w:tcW w:w="828" w:type="dxa"/>
            <w:vMerge/>
            <w:tcBorders>
              <w:left w:val="single" w:color="auto" w:sz="12" w:space="0"/>
              <w:right w:val="single" w:color="auto" w:sz="12" w:space="0"/>
            </w:tcBorders>
            <w:textDirection w:val="btLr"/>
          </w:tcPr>
          <w:p w:rsidR="003B0815" w:rsidRDefault="003B0815" w14:paraId="0572276A" w14:textId="77777777">
            <w:pPr>
              <w:keepNext/>
              <w:ind w:left="113" w:right="113"/>
              <w:jc w:val="center"/>
              <w:rPr>
                <w:rFonts w:ascii="Arial" w:hAnsi="Arial"/>
                <w:b/>
                <w:sz w:val="20"/>
                <w:szCs w:val="20"/>
              </w:rPr>
            </w:pPr>
          </w:p>
        </w:tc>
        <w:tc>
          <w:tcPr>
            <w:tcW w:w="1106" w:type="dxa"/>
            <w:tcBorders>
              <w:left w:val="single" w:color="auto" w:sz="12" w:space="0"/>
            </w:tcBorders>
            <w:vAlign w:val="bottom"/>
          </w:tcPr>
          <w:p w:rsidR="003B0815" w:rsidRDefault="003B0815" w14:paraId="075EB0F4" w14:textId="77777777">
            <w:pPr>
              <w:keepNext/>
              <w:jc w:val="center"/>
              <w:rPr>
                <w:rFonts w:ascii="Arial" w:hAnsi="Arial" w:cs="Arial"/>
                <w:sz w:val="20"/>
                <w:szCs w:val="20"/>
              </w:rPr>
            </w:pPr>
            <w:r>
              <w:rPr>
                <w:rFonts w:ascii="Arial" w:hAnsi="Arial" w:cs="Arial"/>
                <w:sz w:val="20"/>
                <w:szCs w:val="20"/>
              </w:rPr>
              <w:t>13</w:t>
            </w:r>
          </w:p>
        </w:tc>
        <w:tc>
          <w:tcPr>
            <w:tcW w:w="1874" w:type="dxa"/>
            <w:vAlign w:val="bottom"/>
          </w:tcPr>
          <w:p w:rsidR="003B0815" w:rsidRDefault="003B0815" w14:paraId="56B730E5" w14:textId="77777777">
            <w:pPr>
              <w:keepNext/>
              <w:ind w:right="612"/>
              <w:jc w:val="right"/>
              <w:rPr>
                <w:rFonts w:ascii="Arial" w:hAnsi="Arial" w:cs="Arial"/>
                <w:sz w:val="20"/>
                <w:szCs w:val="20"/>
              </w:rPr>
            </w:pPr>
            <w:r>
              <w:rPr>
                <w:rFonts w:ascii="Arial" w:hAnsi="Arial" w:cs="Arial"/>
                <w:sz w:val="20"/>
                <w:szCs w:val="20"/>
              </w:rPr>
              <w:t>739</w:t>
            </w:r>
          </w:p>
        </w:tc>
        <w:tc>
          <w:tcPr>
            <w:tcW w:w="1692" w:type="dxa"/>
            <w:vAlign w:val="bottom"/>
          </w:tcPr>
          <w:p w:rsidR="003B0815" w:rsidRDefault="003B0815" w14:paraId="4CDB9A21" w14:textId="77777777">
            <w:pPr>
              <w:keepNext/>
              <w:ind w:right="252"/>
              <w:jc w:val="right"/>
              <w:rPr>
                <w:rFonts w:ascii="Arial" w:hAnsi="Arial" w:cs="Arial"/>
                <w:sz w:val="20"/>
                <w:szCs w:val="20"/>
              </w:rPr>
            </w:pPr>
            <w:r>
              <w:rPr>
                <w:rFonts w:ascii="Arial" w:hAnsi="Arial" w:cs="Arial"/>
                <w:sz w:val="20"/>
                <w:szCs w:val="20"/>
              </w:rPr>
              <w:t>$137,900,000</w:t>
            </w:r>
          </w:p>
        </w:tc>
        <w:tc>
          <w:tcPr>
            <w:tcW w:w="1583" w:type="dxa"/>
            <w:vAlign w:val="bottom"/>
          </w:tcPr>
          <w:p w:rsidR="003B0815" w:rsidRDefault="003B0815" w14:paraId="1FB4D522" w14:textId="77777777">
            <w:pPr>
              <w:keepNext/>
              <w:jc w:val="right"/>
              <w:rPr>
                <w:rFonts w:ascii="Arial" w:hAnsi="Arial" w:cs="Arial"/>
                <w:sz w:val="20"/>
                <w:szCs w:val="20"/>
              </w:rPr>
            </w:pPr>
            <w:r>
              <w:rPr>
                <w:rFonts w:ascii="Arial" w:hAnsi="Arial" w:cs="Arial"/>
                <w:sz w:val="20"/>
                <w:szCs w:val="20"/>
              </w:rPr>
              <w:t>506,292</w:t>
            </w:r>
          </w:p>
        </w:tc>
        <w:tc>
          <w:tcPr>
            <w:tcW w:w="1791" w:type="dxa"/>
            <w:tcBorders>
              <w:right w:val="single" w:color="auto" w:sz="12" w:space="0"/>
            </w:tcBorders>
            <w:vAlign w:val="bottom"/>
          </w:tcPr>
          <w:p w:rsidR="003B0815" w:rsidRDefault="003B0815" w14:paraId="77613777" w14:textId="77777777">
            <w:pPr>
              <w:keepNext/>
              <w:jc w:val="right"/>
              <w:rPr>
                <w:rFonts w:ascii="Arial" w:hAnsi="Arial" w:cs="Arial"/>
                <w:sz w:val="20"/>
                <w:szCs w:val="20"/>
              </w:rPr>
            </w:pPr>
            <w:r>
              <w:rPr>
                <w:rFonts w:ascii="Arial" w:hAnsi="Arial" w:cs="Arial"/>
                <w:sz w:val="20"/>
                <w:szCs w:val="20"/>
              </w:rPr>
              <w:t>0.080%</w:t>
            </w:r>
          </w:p>
        </w:tc>
      </w:tr>
      <w:tr w:rsidR="003B0815" w14:paraId="45364D0B" w14:textId="77777777">
        <w:trPr>
          <w:cantSplit/>
          <w:jc w:val="center"/>
        </w:trPr>
        <w:tc>
          <w:tcPr>
            <w:tcW w:w="828" w:type="dxa"/>
            <w:vMerge/>
            <w:tcBorders>
              <w:left w:val="single" w:color="auto" w:sz="12" w:space="0"/>
              <w:right w:val="single" w:color="auto" w:sz="12" w:space="0"/>
            </w:tcBorders>
          </w:tcPr>
          <w:p w:rsidR="003B0815" w:rsidRDefault="003B0815" w14:paraId="1073FFCE"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4D293888" w14:textId="77777777">
            <w:pPr>
              <w:keepNext/>
              <w:jc w:val="center"/>
              <w:rPr>
                <w:rFonts w:ascii="Arial" w:hAnsi="Arial" w:cs="Arial"/>
                <w:sz w:val="20"/>
                <w:szCs w:val="20"/>
              </w:rPr>
            </w:pPr>
            <w:r>
              <w:rPr>
                <w:rFonts w:ascii="Arial" w:hAnsi="Arial" w:cs="Arial"/>
                <w:sz w:val="20"/>
                <w:szCs w:val="20"/>
              </w:rPr>
              <w:t>14</w:t>
            </w:r>
          </w:p>
        </w:tc>
        <w:tc>
          <w:tcPr>
            <w:tcW w:w="1874" w:type="dxa"/>
            <w:vAlign w:val="bottom"/>
          </w:tcPr>
          <w:p w:rsidR="003B0815" w:rsidRDefault="003B0815" w14:paraId="416AAA2C" w14:textId="77777777">
            <w:pPr>
              <w:keepNext/>
              <w:ind w:right="612"/>
              <w:jc w:val="right"/>
              <w:rPr>
                <w:rFonts w:ascii="Arial" w:hAnsi="Arial" w:cs="Arial"/>
                <w:sz w:val="20"/>
                <w:szCs w:val="20"/>
              </w:rPr>
            </w:pPr>
            <w:r>
              <w:rPr>
                <w:rFonts w:ascii="Arial" w:hAnsi="Arial" w:cs="Arial"/>
                <w:sz w:val="20"/>
                <w:szCs w:val="20"/>
              </w:rPr>
              <w:t>600</w:t>
            </w:r>
          </w:p>
        </w:tc>
        <w:tc>
          <w:tcPr>
            <w:tcW w:w="1692" w:type="dxa"/>
            <w:vAlign w:val="bottom"/>
          </w:tcPr>
          <w:p w:rsidR="003B0815" w:rsidRDefault="003B0815" w14:paraId="340F41FC" w14:textId="77777777">
            <w:pPr>
              <w:keepNext/>
              <w:ind w:right="252"/>
              <w:jc w:val="right"/>
              <w:rPr>
                <w:rFonts w:ascii="Arial" w:hAnsi="Arial" w:cs="Arial"/>
                <w:sz w:val="20"/>
                <w:szCs w:val="20"/>
              </w:rPr>
            </w:pPr>
            <w:r>
              <w:rPr>
                <w:rFonts w:ascii="Arial" w:hAnsi="Arial" w:cs="Arial"/>
                <w:sz w:val="20"/>
                <w:szCs w:val="20"/>
              </w:rPr>
              <w:t>$68,600,000</w:t>
            </w:r>
          </w:p>
        </w:tc>
        <w:tc>
          <w:tcPr>
            <w:tcW w:w="1583" w:type="dxa"/>
            <w:vAlign w:val="bottom"/>
          </w:tcPr>
          <w:p w:rsidR="003B0815" w:rsidRDefault="003B0815" w14:paraId="48633EE2" w14:textId="77777777">
            <w:pPr>
              <w:keepNext/>
              <w:jc w:val="right"/>
              <w:rPr>
                <w:rFonts w:ascii="Arial" w:hAnsi="Arial" w:cs="Arial"/>
                <w:sz w:val="20"/>
                <w:szCs w:val="20"/>
              </w:rPr>
            </w:pPr>
            <w:r>
              <w:rPr>
                <w:rFonts w:ascii="Arial" w:hAnsi="Arial" w:cs="Arial"/>
                <w:sz w:val="20"/>
                <w:szCs w:val="20"/>
              </w:rPr>
              <w:t>91,571</w:t>
            </w:r>
          </w:p>
        </w:tc>
        <w:tc>
          <w:tcPr>
            <w:tcW w:w="1791" w:type="dxa"/>
            <w:tcBorders>
              <w:right w:val="single" w:color="auto" w:sz="12" w:space="0"/>
            </w:tcBorders>
            <w:vAlign w:val="bottom"/>
          </w:tcPr>
          <w:p w:rsidR="003B0815" w:rsidRDefault="003B0815" w14:paraId="227031E1" w14:textId="77777777">
            <w:pPr>
              <w:keepNext/>
              <w:jc w:val="right"/>
              <w:rPr>
                <w:rFonts w:ascii="Arial" w:hAnsi="Arial" w:cs="Arial"/>
                <w:sz w:val="20"/>
                <w:szCs w:val="20"/>
              </w:rPr>
            </w:pPr>
            <w:r>
              <w:rPr>
                <w:rFonts w:ascii="Arial" w:hAnsi="Arial" w:cs="Arial"/>
                <w:sz w:val="20"/>
                <w:szCs w:val="20"/>
              </w:rPr>
              <w:t>0.014%</w:t>
            </w:r>
          </w:p>
        </w:tc>
      </w:tr>
      <w:tr w:rsidR="003B0815" w14:paraId="36DFEBB0" w14:textId="77777777">
        <w:trPr>
          <w:cantSplit/>
          <w:jc w:val="center"/>
        </w:trPr>
        <w:tc>
          <w:tcPr>
            <w:tcW w:w="828" w:type="dxa"/>
            <w:vMerge/>
            <w:tcBorders>
              <w:left w:val="single" w:color="auto" w:sz="12" w:space="0"/>
              <w:right w:val="single" w:color="auto" w:sz="12" w:space="0"/>
            </w:tcBorders>
          </w:tcPr>
          <w:p w:rsidR="003B0815" w:rsidRDefault="003B0815" w14:paraId="4F3683B3"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796748A9" w14:textId="77777777">
            <w:pPr>
              <w:keepNext/>
              <w:jc w:val="center"/>
              <w:rPr>
                <w:rFonts w:ascii="Arial" w:hAnsi="Arial" w:cs="Arial"/>
                <w:sz w:val="20"/>
                <w:szCs w:val="20"/>
              </w:rPr>
            </w:pPr>
            <w:r>
              <w:rPr>
                <w:rFonts w:ascii="Arial" w:hAnsi="Arial" w:cs="Arial"/>
                <w:sz w:val="20"/>
                <w:szCs w:val="20"/>
              </w:rPr>
              <w:t>15</w:t>
            </w:r>
          </w:p>
        </w:tc>
        <w:tc>
          <w:tcPr>
            <w:tcW w:w="1874" w:type="dxa"/>
            <w:vAlign w:val="bottom"/>
          </w:tcPr>
          <w:p w:rsidR="003B0815" w:rsidRDefault="003B0815" w14:paraId="0A5B650C" w14:textId="77777777">
            <w:pPr>
              <w:keepNext/>
              <w:ind w:right="612"/>
              <w:jc w:val="right"/>
              <w:rPr>
                <w:rFonts w:ascii="Arial" w:hAnsi="Arial" w:cs="Arial"/>
                <w:sz w:val="20"/>
                <w:szCs w:val="20"/>
              </w:rPr>
            </w:pPr>
            <w:r>
              <w:rPr>
                <w:rFonts w:ascii="Arial" w:hAnsi="Arial" w:cs="Arial"/>
                <w:sz w:val="20"/>
                <w:szCs w:val="20"/>
              </w:rPr>
              <w:t>593</w:t>
            </w:r>
          </w:p>
        </w:tc>
        <w:tc>
          <w:tcPr>
            <w:tcW w:w="1692" w:type="dxa"/>
            <w:vAlign w:val="bottom"/>
          </w:tcPr>
          <w:p w:rsidR="003B0815" w:rsidRDefault="003B0815" w14:paraId="6F403554" w14:textId="77777777">
            <w:pPr>
              <w:keepNext/>
              <w:ind w:right="252"/>
              <w:jc w:val="right"/>
              <w:rPr>
                <w:rFonts w:ascii="Arial" w:hAnsi="Arial" w:cs="Arial"/>
                <w:sz w:val="20"/>
                <w:szCs w:val="20"/>
              </w:rPr>
            </w:pPr>
            <w:r>
              <w:rPr>
                <w:rFonts w:ascii="Arial" w:hAnsi="Arial" w:cs="Arial"/>
                <w:sz w:val="20"/>
                <w:szCs w:val="20"/>
              </w:rPr>
              <w:t>$132,500,000</w:t>
            </w:r>
          </w:p>
        </w:tc>
        <w:tc>
          <w:tcPr>
            <w:tcW w:w="1583" w:type="dxa"/>
            <w:vAlign w:val="bottom"/>
          </w:tcPr>
          <w:p w:rsidR="003B0815" w:rsidRDefault="003B0815" w14:paraId="0D4ACBA8" w14:textId="77777777">
            <w:pPr>
              <w:keepNext/>
              <w:jc w:val="right"/>
              <w:rPr>
                <w:rFonts w:ascii="Arial" w:hAnsi="Arial" w:cs="Arial"/>
                <w:sz w:val="20"/>
                <w:szCs w:val="20"/>
              </w:rPr>
            </w:pPr>
            <w:r>
              <w:rPr>
                <w:rFonts w:ascii="Arial" w:hAnsi="Arial" w:cs="Arial"/>
                <w:sz w:val="20"/>
                <w:szCs w:val="20"/>
              </w:rPr>
              <w:t>836,409</w:t>
            </w:r>
          </w:p>
        </w:tc>
        <w:tc>
          <w:tcPr>
            <w:tcW w:w="1791" w:type="dxa"/>
            <w:tcBorders>
              <w:right w:val="single" w:color="auto" w:sz="12" w:space="0"/>
            </w:tcBorders>
            <w:vAlign w:val="bottom"/>
          </w:tcPr>
          <w:p w:rsidR="003B0815" w:rsidRDefault="003B0815" w14:paraId="0973B47E" w14:textId="77777777">
            <w:pPr>
              <w:keepNext/>
              <w:jc w:val="right"/>
              <w:rPr>
                <w:rFonts w:ascii="Arial" w:hAnsi="Arial" w:cs="Arial"/>
                <w:sz w:val="20"/>
                <w:szCs w:val="20"/>
              </w:rPr>
            </w:pPr>
            <w:r>
              <w:rPr>
                <w:rFonts w:ascii="Arial" w:hAnsi="Arial" w:cs="Arial"/>
                <w:sz w:val="20"/>
                <w:szCs w:val="20"/>
              </w:rPr>
              <w:t>0.132%</w:t>
            </w:r>
          </w:p>
        </w:tc>
      </w:tr>
      <w:tr w:rsidR="003B0815" w14:paraId="22B1F05C" w14:textId="77777777">
        <w:trPr>
          <w:cantSplit/>
          <w:jc w:val="center"/>
        </w:trPr>
        <w:tc>
          <w:tcPr>
            <w:tcW w:w="828" w:type="dxa"/>
            <w:vMerge/>
            <w:tcBorders>
              <w:left w:val="single" w:color="auto" w:sz="12" w:space="0"/>
              <w:right w:val="single" w:color="auto" w:sz="12" w:space="0"/>
            </w:tcBorders>
          </w:tcPr>
          <w:p w:rsidR="003B0815" w:rsidRDefault="003B0815" w14:paraId="47619554"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05AAA1EB" w14:textId="77777777">
            <w:pPr>
              <w:keepNext/>
              <w:jc w:val="center"/>
              <w:rPr>
                <w:rFonts w:ascii="Arial" w:hAnsi="Arial" w:cs="Arial"/>
                <w:sz w:val="20"/>
                <w:szCs w:val="20"/>
              </w:rPr>
            </w:pPr>
            <w:r>
              <w:rPr>
                <w:rFonts w:ascii="Arial" w:hAnsi="Arial" w:cs="Arial"/>
                <w:sz w:val="20"/>
                <w:szCs w:val="20"/>
              </w:rPr>
              <w:t>16</w:t>
            </w:r>
          </w:p>
        </w:tc>
        <w:tc>
          <w:tcPr>
            <w:tcW w:w="1874" w:type="dxa"/>
            <w:vAlign w:val="bottom"/>
          </w:tcPr>
          <w:p w:rsidR="003B0815" w:rsidRDefault="003B0815" w14:paraId="7E126525" w14:textId="77777777">
            <w:pPr>
              <w:keepNext/>
              <w:ind w:right="612"/>
              <w:jc w:val="right"/>
              <w:rPr>
                <w:rFonts w:ascii="Arial" w:hAnsi="Arial" w:cs="Arial"/>
                <w:sz w:val="20"/>
                <w:szCs w:val="20"/>
              </w:rPr>
            </w:pPr>
            <w:r>
              <w:rPr>
                <w:rFonts w:ascii="Arial" w:hAnsi="Arial" w:cs="Arial"/>
                <w:sz w:val="20"/>
                <w:szCs w:val="20"/>
              </w:rPr>
              <w:t>549</w:t>
            </w:r>
          </w:p>
        </w:tc>
        <w:tc>
          <w:tcPr>
            <w:tcW w:w="1692" w:type="dxa"/>
            <w:vAlign w:val="bottom"/>
          </w:tcPr>
          <w:p w:rsidR="003B0815" w:rsidRDefault="003B0815" w14:paraId="22BF4629" w14:textId="77777777">
            <w:pPr>
              <w:keepNext/>
              <w:ind w:right="252"/>
              <w:jc w:val="right"/>
              <w:rPr>
                <w:rFonts w:ascii="Arial" w:hAnsi="Arial" w:cs="Arial"/>
                <w:sz w:val="20"/>
                <w:szCs w:val="20"/>
              </w:rPr>
            </w:pPr>
            <w:r>
              <w:rPr>
                <w:rFonts w:ascii="Arial" w:hAnsi="Arial" w:cs="Arial"/>
                <w:sz w:val="20"/>
                <w:szCs w:val="20"/>
              </w:rPr>
              <w:t>$33,400,000</w:t>
            </w:r>
          </w:p>
        </w:tc>
        <w:tc>
          <w:tcPr>
            <w:tcW w:w="1583" w:type="dxa"/>
            <w:vAlign w:val="bottom"/>
          </w:tcPr>
          <w:p w:rsidR="003B0815" w:rsidRDefault="003B0815" w14:paraId="1EF36757" w14:textId="77777777">
            <w:pPr>
              <w:keepNext/>
              <w:jc w:val="right"/>
              <w:rPr>
                <w:rFonts w:ascii="Arial" w:hAnsi="Arial" w:cs="Arial"/>
                <w:sz w:val="20"/>
                <w:szCs w:val="20"/>
              </w:rPr>
            </w:pPr>
            <w:r>
              <w:rPr>
                <w:rFonts w:ascii="Arial" w:hAnsi="Arial" w:cs="Arial"/>
                <w:sz w:val="20"/>
                <w:szCs w:val="20"/>
              </w:rPr>
              <w:t>329,418</w:t>
            </w:r>
          </w:p>
        </w:tc>
        <w:tc>
          <w:tcPr>
            <w:tcW w:w="1791" w:type="dxa"/>
            <w:tcBorders>
              <w:right w:val="single" w:color="auto" w:sz="12" w:space="0"/>
            </w:tcBorders>
            <w:vAlign w:val="bottom"/>
          </w:tcPr>
          <w:p w:rsidR="003B0815" w:rsidRDefault="003B0815" w14:paraId="7AD04347" w14:textId="77777777">
            <w:pPr>
              <w:keepNext/>
              <w:jc w:val="right"/>
              <w:rPr>
                <w:rFonts w:ascii="Arial" w:hAnsi="Arial" w:cs="Arial"/>
                <w:sz w:val="20"/>
                <w:szCs w:val="20"/>
              </w:rPr>
            </w:pPr>
            <w:r>
              <w:rPr>
                <w:rFonts w:ascii="Arial" w:hAnsi="Arial" w:cs="Arial"/>
                <w:sz w:val="20"/>
                <w:szCs w:val="20"/>
              </w:rPr>
              <w:t>0.052%</w:t>
            </w:r>
          </w:p>
        </w:tc>
      </w:tr>
      <w:tr w:rsidR="003B0815" w14:paraId="2A6E1E2E" w14:textId="77777777">
        <w:trPr>
          <w:cantSplit/>
          <w:jc w:val="center"/>
        </w:trPr>
        <w:tc>
          <w:tcPr>
            <w:tcW w:w="828" w:type="dxa"/>
            <w:vMerge/>
            <w:tcBorders>
              <w:left w:val="single" w:color="auto" w:sz="12" w:space="0"/>
              <w:right w:val="single" w:color="auto" w:sz="12" w:space="0"/>
            </w:tcBorders>
          </w:tcPr>
          <w:p w:rsidR="003B0815" w:rsidRDefault="003B0815" w14:paraId="1F5EACC0"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0E16057D" w14:textId="77777777">
            <w:pPr>
              <w:keepNext/>
              <w:jc w:val="center"/>
              <w:rPr>
                <w:rFonts w:ascii="Arial" w:hAnsi="Arial" w:cs="Arial"/>
                <w:sz w:val="20"/>
                <w:szCs w:val="20"/>
              </w:rPr>
            </w:pPr>
            <w:r>
              <w:rPr>
                <w:rFonts w:ascii="Arial" w:hAnsi="Arial" w:cs="Arial"/>
                <w:sz w:val="20"/>
                <w:szCs w:val="20"/>
              </w:rPr>
              <w:t>17</w:t>
            </w:r>
          </w:p>
        </w:tc>
        <w:tc>
          <w:tcPr>
            <w:tcW w:w="1874" w:type="dxa"/>
            <w:vAlign w:val="bottom"/>
          </w:tcPr>
          <w:p w:rsidR="003B0815" w:rsidRDefault="003B0815" w14:paraId="7DDD47AD" w14:textId="77777777">
            <w:pPr>
              <w:keepNext/>
              <w:ind w:right="612"/>
              <w:jc w:val="right"/>
              <w:rPr>
                <w:rFonts w:ascii="Arial" w:hAnsi="Arial" w:cs="Arial"/>
                <w:sz w:val="20"/>
                <w:szCs w:val="20"/>
              </w:rPr>
            </w:pPr>
            <w:r>
              <w:rPr>
                <w:rFonts w:ascii="Arial" w:hAnsi="Arial" w:cs="Arial"/>
                <w:sz w:val="20"/>
                <w:szCs w:val="20"/>
              </w:rPr>
              <w:t>411</w:t>
            </w:r>
          </w:p>
        </w:tc>
        <w:tc>
          <w:tcPr>
            <w:tcW w:w="1692" w:type="dxa"/>
            <w:vAlign w:val="bottom"/>
          </w:tcPr>
          <w:p w:rsidR="003B0815" w:rsidRDefault="003B0815" w14:paraId="2D13ABB0" w14:textId="77777777">
            <w:pPr>
              <w:keepNext/>
              <w:ind w:right="252"/>
              <w:jc w:val="right"/>
              <w:rPr>
                <w:rFonts w:ascii="Arial" w:hAnsi="Arial" w:cs="Arial"/>
                <w:sz w:val="20"/>
                <w:szCs w:val="20"/>
              </w:rPr>
            </w:pPr>
            <w:r>
              <w:rPr>
                <w:rFonts w:ascii="Arial" w:hAnsi="Arial" w:cs="Arial"/>
                <w:sz w:val="20"/>
                <w:szCs w:val="20"/>
              </w:rPr>
              <w:t>$105,266,000</w:t>
            </w:r>
          </w:p>
        </w:tc>
        <w:tc>
          <w:tcPr>
            <w:tcW w:w="1583" w:type="dxa"/>
            <w:vAlign w:val="bottom"/>
          </w:tcPr>
          <w:p w:rsidR="003B0815" w:rsidRDefault="003B0815" w14:paraId="66AE51E2" w14:textId="77777777">
            <w:pPr>
              <w:keepNext/>
              <w:jc w:val="right"/>
              <w:rPr>
                <w:rFonts w:ascii="Arial" w:hAnsi="Arial" w:cs="Arial"/>
                <w:sz w:val="20"/>
                <w:szCs w:val="20"/>
              </w:rPr>
            </w:pPr>
            <w:r>
              <w:rPr>
                <w:rFonts w:ascii="Arial" w:hAnsi="Arial" w:cs="Arial"/>
                <w:sz w:val="20"/>
                <w:szCs w:val="20"/>
              </w:rPr>
              <w:t>82,529</w:t>
            </w:r>
          </w:p>
        </w:tc>
        <w:tc>
          <w:tcPr>
            <w:tcW w:w="1791" w:type="dxa"/>
            <w:tcBorders>
              <w:right w:val="single" w:color="auto" w:sz="12" w:space="0"/>
            </w:tcBorders>
            <w:vAlign w:val="bottom"/>
          </w:tcPr>
          <w:p w:rsidR="003B0815" w:rsidRDefault="003B0815" w14:paraId="488827DD" w14:textId="77777777">
            <w:pPr>
              <w:keepNext/>
              <w:jc w:val="right"/>
              <w:rPr>
                <w:rFonts w:ascii="Arial" w:hAnsi="Arial" w:cs="Arial"/>
                <w:sz w:val="20"/>
                <w:szCs w:val="20"/>
              </w:rPr>
            </w:pPr>
            <w:r>
              <w:rPr>
                <w:rFonts w:ascii="Arial" w:hAnsi="Arial" w:cs="Arial"/>
                <w:sz w:val="20"/>
                <w:szCs w:val="20"/>
              </w:rPr>
              <w:t>0.013%</w:t>
            </w:r>
          </w:p>
        </w:tc>
      </w:tr>
      <w:tr w:rsidR="003B0815" w14:paraId="27C55A1C" w14:textId="77777777">
        <w:trPr>
          <w:cantSplit/>
          <w:jc w:val="center"/>
        </w:trPr>
        <w:tc>
          <w:tcPr>
            <w:tcW w:w="828" w:type="dxa"/>
            <w:vMerge/>
            <w:tcBorders>
              <w:left w:val="single" w:color="auto" w:sz="12" w:space="0"/>
              <w:right w:val="single" w:color="auto" w:sz="12" w:space="0"/>
            </w:tcBorders>
          </w:tcPr>
          <w:p w:rsidR="003B0815" w:rsidRDefault="003B0815" w14:paraId="5D889CD5"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5CF57437" w14:textId="77777777">
            <w:pPr>
              <w:keepNext/>
              <w:jc w:val="center"/>
              <w:rPr>
                <w:rFonts w:ascii="Arial" w:hAnsi="Arial" w:cs="Arial"/>
                <w:sz w:val="20"/>
                <w:szCs w:val="20"/>
              </w:rPr>
            </w:pPr>
            <w:r>
              <w:rPr>
                <w:rFonts w:ascii="Arial" w:hAnsi="Arial" w:cs="Arial"/>
                <w:sz w:val="20"/>
                <w:szCs w:val="20"/>
              </w:rPr>
              <w:t>18</w:t>
            </w:r>
          </w:p>
        </w:tc>
        <w:tc>
          <w:tcPr>
            <w:tcW w:w="1874" w:type="dxa"/>
            <w:vAlign w:val="bottom"/>
          </w:tcPr>
          <w:p w:rsidR="003B0815" w:rsidRDefault="003B0815" w14:paraId="4F783DD8" w14:textId="77777777">
            <w:pPr>
              <w:keepNext/>
              <w:ind w:right="612"/>
              <w:jc w:val="right"/>
              <w:rPr>
                <w:rFonts w:ascii="Arial" w:hAnsi="Arial" w:cs="Arial"/>
                <w:sz w:val="20"/>
                <w:szCs w:val="20"/>
              </w:rPr>
            </w:pPr>
            <w:r>
              <w:rPr>
                <w:rFonts w:ascii="Arial" w:hAnsi="Arial" w:cs="Arial"/>
                <w:sz w:val="20"/>
                <w:szCs w:val="20"/>
              </w:rPr>
              <w:t>220</w:t>
            </w:r>
          </w:p>
        </w:tc>
        <w:tc>
          <w:tcPr>
            <w:tcW w:w="1692" w:type="dxa"/>
            <w:vAlign w:val="bottom"/>
          </w:tcPr>
          <w:p w:rsidR="003B0815" w:rsidRDefault="003B0815" w14:paraId="52E95578" w14:textId="77777777">
            <w:pPr>
              <w:keepNext/>
              <w:ind w:right="252"/>
              <w:jc w:val="right"/>
              <w:rPr>
                <w:rFonts w:ascii="Arial" w:hAnsi="Arial" w:cs="Arial"/>
                <w:sz w:val="20"/>
                <w:szCs w:val="20"/>
              </w:rPr>
            </w:pPr>
            <w:r>
              <w:rPr>
                <w:rFonts w:ascii="Arial" w:hAnsi="Arial" w:cs="Arial"/>
                <w:sz w:val="20"/>
                <w:szCs w:val="20"/>
              </w:rPr>
              <w:t>$6,330,000</w:t>
            </w:r>
          </w:p>
        </w:tc>
        <w:tc>
          <w:tcPr>
            <w:tcW w:w="1583" w:type="dxa"/>
            <w:vAlign w:val="bottom"/>
          </w:tcPr>
          <w:p w:rsidR="003B0815" w:rsidRDefault="003B0815" w14:paraId="5C80B9CE" w14:textId="77777777">
            <w:pPr>
              <w:keepNext/>
              <w:jc w:val="right"/>
              <w:rPr>
                <w:rFonts w:ascii="Arial" w:hAnsi="Arial" w:cs="Arial"/>
                <w:sz w:val="20"/>
                <w:szCs w:val="20"/>
              </w:rPr>
            </w:pPr>
            <w:r>
              <w:rPr>
                <w:rFonts w:ascii="Arial" w:hAnsi="Arial" w:cs="Arial"/>
                <w:sz w:val="20"/>
                <w:szCs w:val="20"/>
              </w:rPr>
              <w:t>18,707</w:t>
            </w:r>
          </w:p>
        </w:tc>
        <w:tc>
          <w:tcPr>
            <w:tcW w:w="1791" w:type="dxa"/>
            <w:tcBorders>
              <w:right w:val="single" w:color="auto" w:sz="12" w:space="0"/>
            </w:tcBorders>
            <w:vAlign w:val="bottom"/>
          </w:tcPr>
          <w:p w:rsidR="003B0815" w:rsidRDefault="003B0815" w14:paraId="5164EC2D" w14:textId="77777777">
            <w:pPr>
              <w:keepNext/>
              <w:jc w:val="right"/>
              <w:rPr>
                <w:rFonts w:ascii="Arial" w:hAnsi="Arial" w:cs="Arial"/>
                <w:sz w:val="20"/>
                <w:szCs w:val="20"/>
              </w:rPr>
            </w:pPr>
            <w:r>
              <w:rPr>
                <w:rFonts w:ascii="Arial" w:hAnsi="Arial" w:cs="Arial"/>
                <w:sz w:val="20"/>
                <w:szCs w:val="20"/>
              </w:rPr>
              <w:t>0.003%</w:t>
            </w:r>
          </w:p>
        </w:tc>
      </w:tr>
      <w:tr w:rsidR="003B0815" w14:paraId="507E160D" w14:textId="77777777">
        <w:trPr>
          <w:cantSplit/>
          <w:jc w:val="center"/>
        </w:trPr>
        <w:tc>
          <w:tcPr>
            <w:tcW w:w="828" w:type="dxa"/>
            <w:vMerge/>
            <w:tcBorders>
              <w:left w:val="single" w:color="auto" w:sz="12" w:space="0"/>
              <w:right w:val="single" w:color="auto" w:sz="12" w:space="0"/>
            </w:tcBorders>
          </w:tcPr>
          <w:p w:rsidR="003B0815" w:rsidRDefault="003B0815" w14:paraId="591E9CE4"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0675C3ED" w14:textId="77777777">
            <w:pPr>
              <w:keepNext/>
              <w:jc w:val="center"/>
              <w:rPr>
                <w:rFonts w:ascii="Arial" w:hAnsi="Arial" w:cs="Arial"/>
                <w:sz w:val="20"/>
                <w:szCs w:val="20"/>
              </w:rPr>
            </w:pPr>
            <w:r>
              <w:rPr>
                <w:rFonts w:ascii="Arial" w:hAnsi="Arial" w:cs="Arial"/>
                <w:sz w:val="20"/>
                <w:szCs w:val="20"/>
              </w:rPr>
              <w:t>19</w:t>
            </w:r>
          </w:p>
        </w:tc>
        <w:tc>
          <w:tcPr>
            <w:tcW w:w="1874" w:type="dxa"/>
            <w:vAlign w:val="bottom"/>
          </w:tcPr>
          <w:p w:rsidR="003B0815" w:rsidRDefault="003B0815" w14:paraId="6EEA208E" w14:textId="77777777">
            <w:pPr>
              <w:keepNext/>
              <w:ind w:right="612"/>
              <w:jc w:val="right"/>
              <w:rPr>
                <w:rFonts w:ascii="Arial" w:hAnsi="Arial" w:cs="Arial"/>
                <w:sz w:val="20"/>
                <w:szCs w:val="20"/>
              </w:rPr>
            </w:pPr>
            <w:r>
              <w:rPr>
                <w:rFonts w:ascii="Arial" w:hAnsi="Arial" w:cs="Arial"/>
                <w:sz w:val="20"/>
                <w:szCs w:val="20"/>
              </w:rPr>
              <w:t>212</w:t>
            </w:r>
          </w:p>
        </w:tc>
        <w:tc>
          <w:tcPr>
            <w:tcW w:w="1692" w:type="dxa"/>
            <w:vAlign w:val="bottom"/>
          </w:tcPr>
          <w:p w:rsidR="003B0815" w:rsidRDefault="003B0815" w14:paraId="26EFD00A" w14:textId="77777777">
            <w:pPr>
              <w:keepNext/>
              <w:ind w:right="252"/>
              <w:jc w:val="right"/>
              <w:rPr>
                <w:rFonts w:ascii="Arial" w:hAnsi="Arial" w:cs="Arial"/>
                <w:sz w:val="20"/>
                <w:szCs w:val="20"/>
              </w:rPr>
            </w:pPr>
            <w:r>
              <w:rPr>
                <w:rFonts w:ascii="Arial" w:hAnsi="Arial" w:cs="Arial"/>
                <w:sz w:val="20"/>
                <w:szCs w:val="20"/>
              </w:rPr>
              <w:t>$35,649,000</w:t>
            </w:r>
          </w:p>
        </w:tc>
        <w:tc>
          <w:tcPr>
            <w:tcW w:w="1583" w:type="dxa"/>
            <w:vAlign w:val="bottom"/>
          </w:tcPr>
          <w:p w:rsidR="003B0815" w:rsidRDefault="003B0815" w14:paraId="590CCB33" w14:textId="77777777">
            <w:pPr>
              <w:keepNext/>
              <w:jc w:val="right"/>
              <w:rPr>
                <w:rFonts w:ascii="Arial" w:hAnsi="Arial" w:cs="Arial"/>
                <w:sz w:val="20"/>
                <w:szCs w:val="20"/>
              </w:rPr>
            </w:pPr>
            <w:r>
              <w:rPr>
                <w:rFonts w:ascii="Arial" w:hAnsi="Arial" w:cs="Arial"/>
                <w:sz w:val="20"/>
                <w:szCs w:val="20"/>
              </w:rPr>
              <w:t>329,083</w:t>
            </w:r>
          </w:p>
        </w:tc>
        <w:tc>
          <w:tcPr>
            <w:tcW w:w="1791" w:type="dxa"/>
            <w:tcBorders>
              <w:right w:val="single" w:color="auto" w:sz="12" w:space="0"/>
            </w:tcBorders>
            <w:vAlign w:val="bottom"/>
          </w:tcPr>
          <w:p w:rsidR="003B0815" w:rsidRDefault="003B0815" w14:paraId="5ADC4CE0" w14:textId="77777777">
            <w:pPr>
              <w:keepNext/>
              <w:jc w:val="right"/>
              <w:rPr>
                <w:rFonts w:ascii="Arial" w:hAnsi="Arial" w:cs="Arial"/>
                <w:sz w:val="20"/>
                <w:szCs w:val="20"/>
              </w:rPr>
            </w:pPr>
            <w:r>
              <w:rPr>
                <w:rFonts w:ascii="Arial" w:hAnsi="Arial" w:cs="Arial"/>
                <w:sz w:val="20"/>
                <w:szCs w:val="20"/>
              </w:rPr>
              <w:t>0.052%</w:t>
            </w:r>
          </w:p>
        </w:tc>
      </w:tr>
      <w:tr w:rsidR="003B0815" w14:paraId="3F66E695" w14:textId="77777777">
        <w:trPr>
          <w:cantSplit/>
          <w:jc w:val="center"/>
        </w:trPr>
        <w:tc>
          <w:tcPr>
            <w:tcW w:w="828" w:type="dxa"/>
            <w:vMerge/>
            <w:tcBorders>
              <w:left w:val="single" w:color="auto" w:sz="12" w:space="0"/>
              <w:right w:val="single" w:color="auto" w:sz="12" w:space="0"/>
            </w:tcBorders>
          </w:tcPr>
          <w:p w:rsidR="003B0815" w:rsidRDefault="003B0815" w14:paraId="1020C10D"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539AB868" w14:textId="77777777">
            <w:pPr>
              <w:keepNext/>
              <w:jc w:val="center"/>
              <w:rPr>
                <w:rFonts w:ascii="Arial" w:hAnsi="Arial" w:cs="Arial"/>
                <w:sz w:val="20"/>
                <w:szCs w:val="20"/>
              </w:rPr>
            </w:pPr>
            <w:r>
              <w:rPr>
                <w:rFonts w:ascii="Arial" w:hAnsi="Arial" w:cs="Arial"/>
                <w:sz w:val="20"/>
                <w:szCs w:val="20"/>
              </w:rPr>
              <w:t>20</w:t>
            </w:r>
          </w:p>
        </w:tc>
        <w:tc>
          <w:tcPr>
            <w:tcW w:w="1874" w:type="dxa"/>
            <w:vAlign w:val="bottom"/>
          </w:tcPr>
          <w:p w:rsidR="003B0815" w:rsidRDefault="003B0815" w14:paraId="71A15FD2" w14:textId="77777777">
            <w:pPr>
              <w:keepNext/>
              <w:ind w:right="612"/>
              <w:jc w:val="right"/>
              <w:rPr>
                <w:rFonts w:ascii="Arial" w:hAnsi="Arial" w:cs="Arial"/>
                <w:sz w:val="20"/>
                <w:szCs w:val="20"/>
              </w:rPr>
            </w:pPr>
            <w:r>
              <w:rPr>
                <w:rFonts w:ascii="Arial" w:hAnsi="Arial" w:cs="Arial"/>
                <w:sz w:val="20"/>
                <w:szCs w:val="20"/>
              </w:rPr>
              <w:t>159</w:t>
            </w:r>
          </w:p>
        </w:tc>
        <w:tc>
          <w:tcPr>
            <w:tcW w:w="1692" w:type="dxa"/>
            <w:vAlign w:val="bottom"/>
          </w:tcPr>
          <w:p w:rsidR="003B0815" w:rsidRDefault="003B0815" w14:paraId="56E5E6A9" w14:textId="77777777">
            <w:pPr>
              <w:keepNext/>
              <w:ind w:right="252"/>
              <w:jc w:val="right"/>
              <w:rPr>
                <w:rFonts w:ascii="Arial" w:hAnsi="Arial" w:cs="Arial"/>
                <w:sz w:val="20"/>
                <w:szCs w:val="20"/>
              </w:rPr>
            </w:pPr>
            <w:r>
              <w:rPr>
                <w:rFonts w:ascii="Arial" w:hAnsi="Arial" w:cs="Arial"/>
                <w:sz w:val="20"/>
                <w:szCs w:val="20"/>
              </w:rPr>
              <w:t>$12,000,000</w:t>
            </w:r>
          </w:p>
        </w:tc>
        <w:tc>
          <w:tcPr>
            <w:tcW w:w="1583" w:type="dxa"/>
            <w:vAlign w:val="bottom"/>
          </w:tcPr>
          <w:p w:rsidR="003B0815" w:rsidRDefault="003B0815" w14:paraId="4CCEC679" w14:textId="77777777">
            <w:pPr>
              <w:keepNext/>
              <w:jc w:val="right"/>
              <w:rPr>
                <w:rFonts w:ascii="Arial" w:hAnsi="Arial" w:cs="Arial"/>
                <w:sz w:val="20"/>
                <w:szCs w:val="20"/>
              </w:rPr>
            </w:pPr>
            <w:r>
              <w:rPr>
                <w:rFonts w:ascii="Arial" w:hAnsi="Arial" w:cs="Arial"/>
                <w:sz w:val="20"/>
                <w:szCs w:val="20"/>
              </w:rPr>
              <w:t>35,788</w:t>
            </w:r>
          </w:p>
        </w:tc>
        <w:tc>
          <w:tcPr>
            <w:tcW w:w="1791" w:type="dxa"/>
            <w:tcBorders>
              <w:right w:val="single" w:color="auto" w:sz="12" w:space="0"/>
            </w:tcBorders>
            <w:vAlign w:val="bottom"/>
          </w:tcPr>
          <w:p w:rsidR="003B0815" w:rsidRDefault="003B0815" w14:paraId="33A0EB12" w14:textId="77777777">
            <w:pPr>
              <w:keepNext/>
              <w:jc w:val="right"/>
              <w:rPr>
                <w:rFonts w:ascii="Arial" w:hAnsi="Arial" w:cs="Arial"/>
                <w:sz w:val="20"/>
                <w:szCs w:val="20"/>
              </w:rPr>
            </w:pPr>
            <w:r>
              <w:rPr>
                <w:rFonts w:ascii="Arial" w:hAnsi="Arial" w:cs="Arial"/>
                <w:sz w:val="20"/>
                <w:szCs w:val="20"/>
              </w:rPr>
              <w:t>0.006%</w:t>
            </w:r>
          </w:p>
        </w:tc>
      </w:tr>
      <w:tr w:rsidR="003B0815" w14:paraId="45993049" w14:textId="77777777">
        <w:trPr>
          <w:cantSplit/>
          <w:jc w:val="center"/>
        </w:trPr>
        <w:tc>
          <w:tcPr>
            <w:tcW w:w="828" w:type="dxa"/>
            <w:vMerge/>
            <w:tcBorders>
              <w:left w:val="single" w:color="auto" w:sz="12" w:space="0"/>
              <w:right w:val="single" w:color="auto" w:sz="12" w:space="0"/>
            </w:tcBorders>
          </w:tcPr>
          <w:p w:rsidR="003B0815" w:rsidRDefault="003B0815" w14:paraId="69A8C22F"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0A2E8009" w14:textId="77777777">
            <w:pPr>
              <w:keepNext/>
              <w:jc w:val="center"/>
              <w:rPr>
                <w:rFonts w:ascii="Arial" w:hAnsi="Arial" w:cs="Arial"/>
                <w:sz w:val="20"/>
                <w:szCs w:val="20"/>
              </w:rPr>
            </w:pPr>
            <w:r>
              <w:rPr>
                <w:rFonts w:ascii="Arial" w:hAnsi="Arial" w:cs="Arial"/>
                <w:sz w:val="20"/>
                <w:szCs w:val="20"/>
              </w:rPr>
              <w:t>21</w:t>
            </w:r>
          </w:p>
        </w:tc>
        <w:tc>
          <w:tcPr>
            <w:tcW w:w="1874" w:type="dxa"/>
            <w:vAlign w:val="bottom"/>
          </w:tcPr>
          <w:p w:rsidR="003B0815" w:rsidRDefault="003B0815" w14:paraId="34F28F85" w14:textId="77777777">
            <w:pPr>
              <w:keepNext/>
              <w:ind w:right="612"/>
              <w:jc w:val="right"/>
              <w:rPr>
                <w:rFonts w:ascii="Arial" w:hAnsi="Arial" w:cs="Arial"/>
                <w:sz w:val="20"/>
                <w:szCs w:val="20"/>
              </w:rPr>
            </w:pPr>
            <w:r>
              <w:rPr>
                <w:rFonts w:ascii="Arial" w:hAnsi="Arial" w:cs="Arial"/>
                <w:sz w:val="20"/>
                <w:szCs w:val="20"/>
              </w:rPr>
              <w:t>75</w:t>
            </w:r>
          </w:p>
        </w:tc>
        <w:tc>
          <w:tcPr>
            <w:tcW w:w="1692" w:type="dxa"/>
            <w:vAlign w:val="bottom"/>
          </w:tcPr>
          <w:p w:rsidR="003B0815" w:rsidRDefault="003B0815" w14:paraId="5878A846" w14:textId="77777777">
            <w:pPr>
              <w:keepNext/>
              <w:ind w:right="252"/>
              <w:jc w:val="right"/>
              <w:rPr>
                <w:rFonts w:ascii="Arial" w:hAnsi="Arial" w:cs="Arial"/>
                <w:sz w:val="20"/>
                <w:szCs w:val="20"/>
              </w:rPr>
            </w:pPr>
            <w:r>
              <w:rPr>
                <w:rFonts w:ascii="Arial" w:hAnsi="Arial" w:cs="Arial"/>
                <w:sz w:val="20"/>
                <w:szCs w:val="20"/>
              </w:rPr>
              <w:t>$14,230,000</w:t>
            </w:r>
          </w:p>
        </w:tc>
        <w:tc>
          <w:tcPr>
            <w:tcW w:w="1583" w:type="dxa"/>
            <w:vAlign w:val="bottom"/>
          </w:tcPr>
          <w:p w:rsidR="003B0815" w:rsidRDefault="003B0815" w14:paraId="27DC5FCC" w14:textId="77777777">
            <w:pPr>
              <w:keepNext/>
              <w:jc w:val="right"/>
              <w:rPr>
                <w:rFonts w:ascii="Arial" w:hAnsi="Arial" w:cs="Arial"/>
                <w:sz w:val="20"/>
                <w:szCs w:val="20"/>
              </w:rPr>
            </w:pPr>
            <w:r>
              <w:rPr>
                <w:rFonts w:ascii="Arial" w:hAnsi="Arial" w:cs="Arial"/>
                <w:sz w:val="20"/>
                <w:szCs w:val="20"/>
              </w:rPr>
              <w:t>22,511</w:t>
            </w:r>
          </w:p>
        </w:tc>
        <w:tc>
          <w:tcPr>
            <w:tcW w:w="1791" w:type="dxa"/>
            <w:tcBorders>
              <w:right w:val="single" w:color="auto" w:sz="12" w:space="0"/>
            </w:tcBorders>
            <w:vAlign w:val="bottom"/>
          </w:tcPr>
          <w:p w:rsidR="003B0815" w:rsidRDefault="003B0815" w14:paraId="4C53CAD5" w14:textId="77777777">
            <w:pPr>
              <w:keepNext/>
              <w:jc w:val="right"/>
              <w:rPr>
                <w:rFonts w:ascii="Arial" w:hAnsi="Arial" w:cs="Arial"/>
                <w:sz w:val="20"/>
                <w:szCs w:val="20"/>
              </w:rPr>
            </w:pPr>
            <w:r>
              <w:rPr>
                <w:rFonts w:ascii="Arial" w:hAnsi="Arial" w:cs="Arial"/>
                <w:sz w:val="20"/>
                <w:szCs w:val="20"/>
              </w:rPr>
              <w:t>0.004%</w:t>
            </w:r>
          </w:p>
        </w:tc>
      </w:tr>
      <w:tr w:rsidR="003B0815" w14:paraId="61064890" w14:textId="77777777">
        <w:trPr>
          <w:cantSplit/>
          <w:jc w:val="center"/>
        </w:trPr>
        <w:tc>
          <w:tcPr>
            <w:tcW w:w="828" w:type="dxa"/>
            <w:vMerge/>
            <w:tcBorders>
              <w:left w:val="single" w:color="auto" w:sz="12" w:space="0"/>
              <w:right w:val="single" w:color="auto" w:sz="12" w:space="0"/>
            </w:tcBorders>
          </w:tcPr>
          <w:p w:rsidR="003B0815" w:rsidRDefault="003B0815" w14:paraId="20DE315F"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0718BC9E" w14:textId="77777777">
            <w:pPr>
              <w:keepNext/>
              <w:jc w:val="center"/>
              <w:rPr>
                <w:rFonts w:ascii="Arial" w:hAnsi="Arial" w:cs="Arial"/>
                <w:sz w:val="20"/>
                <w:szCs w:val="20"/>
              </w:rPr>
            </w:pPr>
            <w:r>
              <w:rPr>
                <w:rFonts w:ascii="Arial" w:hAnsi="Arial" w:cs="Arial"/>
                <w:sz w:val="20"/>
                <w:szCs w:val="20"/>
              </w:rPr>
              <w:t>22</w:t>
            </w:r>
          </w:p>
        </w:tc>
        <w:tc>
          <w:tcPr>
            <w:tcW w:w="1874" w:type="dxa"/>
            <w:vAlign w:val="bottom"/>
          </w:tcPr>
          <w:p w:rsidR="003B0815" w:rsidRDefault="003B0815" w14:paraId="5B08A83A" w14:textId="77777777">
            <w:pPr>
              <w:keepNext/>
              <w:ind w:right="612"/>
              <w:jc w:val="right"/>
              <w:rPr>
                <w:rFonts w:ascii="Arial" w:hAnsi="Arial" w:cs="Arial"/>
                <w:sz w:val="20"/>
                <w:szCs w:val="20"/>
              </w:rPr>
            </w:pPr>
            <w:r>
              <w:rPr>
                <w:rFonts w:ascii="Arial" w:hAnsi="Arial" w:cs="Arial"/>
                <w:sz w:val="20"/>
                <w:szCs w:val="20"/>
              </w:rPr>
              <w:t>19</w:t>
            </w:r>
          </w:p>
        </w:tc>
        <w:tc>
          <w:tcPr>
            <w:tcW w:w="1692" w:type="dxa"/>
            <w:vAlign w:val="bottom"/>
          </w:tcPr>
          <w:p w:rsidR="003B0815" w:rsidRDefault="003B0815" w14:paraId="762AA710" w14:textId="77777777">
            <w:pPr>
              <w:keepNext/>
              <w:ind w:right="252"/>
              <w:jc w:val="right"/>
              <w:rPr>
                <w:rFonts w:ascii="Arial" w:hAnsi="Arial" w:cs="Arial"/>
                <w:sz w:val="20"/>
                <w:szCs w:val="20"/>
              </w:rPr>
            </w:pPr>
            <w:r>
              <w:rPr>
                <w:rFonts w:ascii="Arial" w:hAnsi="Arial" w:cs="Arial"/>
                <w:sz w:val="20"/>
                <w:szCs w:val="20"/>
              </w:rPr>
              <w:t>$930,000</w:t>
            </w:r>
          </w:p>
        </w:tc>
        <w:tc>
          <w:tcPr>
            <w:tcW w:w="1583" w:type="dxa"/>
            <w:vAlign w:val="bottom"/>
          </w:tcPr>
          <w:p w:rsidR="003B0815" w:rsidRDefault="003B0815" w14:paraId="5D580387" w14:textId="77777777">
            <w:pPr>
              <w:keepNext/>
              <w:jc w:val="right"/>
              <w:rPr>
                <w:rFonts w:ascii="Arial" w:hAnsi="Arial" w:cs="Arial"/>
                <w:sz w:val="20"/>
                <w:szCs w:val="20"/>
              </w:rPr>
            </w:pPr>
            <w:r>
              <w:rPr>
                <w:rFonts w:ascii="Arial" w:hAnsi="Arial" w:cs="Arial"/>
                <w:sz w:val="20"/>
                <w:szCs w:val="20"/>
              </w:rPr>
              <w:t>Unavailable</w:t>
            </w:r>
          </w:p>
        </w:tc>
        <w:tc>
          <w:tcPr>
            <w:tcW w:w="1791" w:type="dxa"/>
            <w:tcBorders>
              <w:right w:val="single" w:color="auto" w:sz="12" w:space="0"/>
            </w:tcBorders>
            <w:vAlign w:val="bottom"/>
          </w:tcPr>
          <w:p w:rsidR="003B0815" w:rsidRDefault="003B0815" w14:paraId="148C2F7B" w14:textId="77777777">
            <w:pPr>
              <w:keepNext/>
              <w:jc w:val="right"/>
              <w:rPr>
                <w:rFonts w:ascii="Arial" w:hAnsi="Arial" w:cs="Arial"/>
                <w:sz w:val="20"/>
                <w:szCs w:val="20"/>
              </w:rPr>
            </w:pPr>
            <w:r>
              <w:rPr>
                <w:rFonts w:ascii="Arial" w:hAnsi="Arial" w:cs="Arial"/>
                <w:sz w:val="20"/>
                <w:szCs w:val="20"/>
              </w:rPr>
              <w:t>Unavailable</w:t>
            </w:r>
          </w:p>
        </w:tc>
      </w:tr>
      <w:tr w:rsidR="003B0815" w14:paraId="503623DA" w14:textId="77777777">
        <w:trPr>
          <w:cantSplit/>
          <w:jc w:val="center"/>
        </w:trPr>
        <w:tc>
          <w:tcPr>
            <w:tcW w:w="828" w:type="dxa"/>
            <w:vMerge/>
            <w:tcBorders>
              <w:left w:val="single" w:color="auto" w:sz="12" w:space="0"/>
              <w:right w:val="single" w:color="auto" w:sz="12" w:space="0"/>
            </w:tcBorders>
          </w:tcPr>
          <w:p w:rsidR="003B0815" w:rsidRDefault="003B0815" w14:paraId="491AB612" w14:textId="77777777">
            <w:pPr>
              <w:keepNext/>
              <w:rPr>
                <w:rFonts w:ascii="Arial" w:hAnsi="Arial"/>
                <w:sz w:val="20"/>
                <w:szCs w:val="20"/>
              </w:rPr>
            </w:pPr>
          </w:p>
        </w:tc>
        <w:tc>
          <w:tcPr>
            <w:tcW w:w="1106" w:type="dxa"/>
            <w:tcBorders>
              <w:left w:val="single" w:color="auto" w:sz="12" w:space="0"/>
            </w:tcBorders>
            <w:vAlign w:val="bottom"/>
          </w:tcPr>
          <w:p w:rsidR="003B0815" w:rsidRDefault="003B0815" w14:paraId="20C7B0C0" w14:textId="77777777">
            <w:pPr>
              <w:keepNext/>
              <w:jc w:val="center"/>
              <w:rPr>
                <w:rFonts w:ascii="Arial" w:hAnsi="Arial" w:cs="Arial"/>
                <w:sz w:val="20"/>
                <w:szCs w:val="20"/>
              </w:rPr>
            </w:pPr>
            <w:r>
              <w:rPr>
                <w:rFonts w:ascii="Arial" w:hAnsi="Arial" w:cs="Arial"/>
                <w:sz w:val="20"/>
                <w:szCs w:val="20"/>
              </w:rPr>
              <w:t>23</w:t>
            </w:r>
          </w:p>
        </w:tc>
        <w:tc>
          <w:tcPr>
            <w:tcW w:w="1874" w:type="dxa"/>
            <w:vAlign w:val="bottom"/>
          </w:tcPr>
          <w:p w:rsidR="003B0815" w:rsidRDefault="003B0815" w14:paraId="27D471EB" w14:textId="77777777">
            <w:pPr>
              <w:keepNext/>
              <w:ind w:right="612"/>
              <w:jc w:val="right"/>
              <w:rPr>
                <w:rFonts w:ascii="Arial" w:hAnsi="Arial" w:cs="Arial"/>
                <w:sz w:val="20"/>
                <w:szCs w:val="20"/>
              </w:rPr>
            </w:pPr>
            <w:r>
              <w:rPr>
                <w:rFonts w:ascii="Arial" w:hAnsi="Arial" w:cs="Arial"/>
                <w:sz w:val="20"/>
                <w:szCs w:val="20"/>
              </w:rPr>
              <w:t>Unavailable</w:t>
            </w:r>
          </w:p>
        </w:tc>
        <w:tc>
          <w:tcPr>
            <w:tcW w:w="1692" w:type="dxa"/>
            <w:vAlign w:val="bottom"/>
          </w:tcPr>
          <w:p w:rsidR="003B0815" w:rsidRDefault="003B0815" w14:paraId="1C2318BE" w14:textId="77777777">
            <w:pPr>
              <w:keepNext/>
              <w:ind w:right="252"/>
              <w:jc w:val="right"/>
              <w:rPr>
                <w:rFonts w:ascii="Arial" w:hAnsi="Arial" w:cs="Arial"/>
                <w:sz w:val="20"/>
                <w:szCs w:val="20"/>
              </w:rPr>
            </w:pPr>
            <w:r>
              <w:rPr>
                <w:rFonts w:ascii="Arial" w:hAnsi="Arial" w:cs="Arial"/>
                <w:sz w:val="20"/>
                <w:szCs w:val="20"/>
              </w:rPr>
              <w:t>Unavailable</w:t>
            </w:r>
          </w:p>
        </w:tc>
        <w:tc>
          <w:tcPr>
            <w:tcW w:w="1583" w:type="dxa"/>
            <w:vAlign w:val="bottom"/>
          </w:tcPr>
          <w:p w:rsidR="003B0815" w:rsidRDefault="003B0815" w14:paraId="0978F8BC" w14:textId="77777777">
            <w:pPr>
              <w:keepNext/>
              <w:jc w:val="right"/>
              <w:rPr>
                <w:rFonts w:ascii="Arial" w:hAnsi="Arial" w:cs="Arial"/>
                <w:sz w:val="20"/>
                <w:szCs w:val="20"/>
              </w:rPr>
            </w:pPr>
            <w:r>
              <w:rPr>
                <w:rFonts w:ascii="Arial" w:hAnsi="Arial" w:cs="Arial"/>
                <w:sz w:val="20"/>
                <w:szCs w:val="20"/>
              </w:rPr>
              <w:t>38,471</w:t>
            </w:r>
          </w:p>
        </w:tc>
        <w:tc>
          <w:tcPr>
            <w:tcW w:w="1791" w:type="dxa"/>
            <w:tcBorders>
              <w:right w:val="single" w:color="auto" w:sz="12" w:space="0"/>
            </w:tcBorders>
            <w:vAlign w:val="bottom"/>
          </w:tcPr>
          <w:p w:rsidR="003B0815" w:rsidRDefault="003B0815" w14:paraId="00EAF142" w14:textId="77777777">
            <w:pPr>
              <w:keepNext/>
              <w:jc w:val="right"/>
              <w:rPr>
                <w:rFonts w:ascii="Arial" w:hAnsi="Arial" w:cs="Arial"/>
                <w:sz w:val="20"/>
                <w:szCs w:val="20"/>
              </w:rPr>
            </w:pPr>
            <w:r>
              <w:rPr>
                <w:rFonts w:ascii="Arial" w:hAnsi="Arial" w:cs="Arial"/>
                <w:sz w:val="20"/>
                <w:szCs w:val="20"/>
              </w:rPr>
              <w:t>0.006%</w:t>
            </w:r>
          </w:p>
        </w:tc>
      </w:tr>
      <w:tr w:rsidR="003B0815" w14:paraId="5E418C38" w14:textId="77777777">
        <w:trPr>
          <w:cantSplit/>
          <w:jc w:val="center"/>
        </w:trPr>
        <w:tc>
          <w:tcPr>
            <w:tcW w:w="828" w:type="dxa"/>
            <w:vMerge/>
            <w:tcBorders>
              <w:left w:val="single" w:color="auto" w:sz="12" w:space="0"/>
              <w:bottom w:val="single" w:color="auto" w:sz="12" w:space="0"/>
              <w:right w:val="single" w:color="auto" w:sz="12" w:space="0"/>
            </w:tcBorders>
          </w:tcPr>
          <w:p w:rsidR="003B0815" w:rsidRDefault="003B0815" w14:paraId="480A48D9" w14:textId="77777777">
            <w:pPr>
              <w:keepNext/>
              <w:rPr>
                <w:rFonts w:ascii="Arial" w:hAnsi="Arial"/>
                <w:sz w:val="20"/>
                <w:szCs w:val="20"/>
              </w:rPr>
            </w:pPr>
          </w:p>
        </w:tc>
        <w:tc>
          <w:tcPr>
            <w:tcW w:w="1106" w:type="dxa"/>
            <w:tcBorders>
              <w:left w:val="single" w:color="auto" w:sz="12" w:space="0"/>
              <w:bottom w:val="single" w:color="auto" w:sz="12" w:space="0"/>
            </w:tcBorders>
            <w:vAlign w:val="bottom"/>
          </w:tcPr>
          <w:p w:rsidR="003B0815" w:rsidRDefault="003B0815" w14:paraId="4D998C4A" w14:textId="77777777">
            <w:pPr>
              <w:keepNext/>
              <w:jc w:val="center"/>
              <w:rPr>
                <w:rFonts w:ascii="Arial" w:hAnsi="Arial" w:cs="Arial"/>
                <w:sz w:val="20"/>
                <w:szCs w:val="20"/>
              </w:rPr>
            </w:pPr>
            <w:r>
              <w:rPr>
                <w:rFonts w:ascii="Arial" w:hAnsi="Arial" w:cs="Arial"/>
                <w:sz w:val="20"/>
                <w:szCs w:val="20"/>
              </w:rPr>
              <w:t>24</w:t>
            </w:r>
          </w:p>
        </w:tc>
        <w:tc>
          <w:tcPr>
            <w:tcW w:w="1874" w:type="dxa"/>
            <w:tcBorders>
              <w:bottom w:val="single" w:color="auto" w:sz="12" w:space="0"/>
            </w:tcBorders>
            <w:vAlign w:val="bottom"/>
          </w:tcPr>
          <w:p w:rsidR="003B0815" w:rsidRDefault="003B0815" w14:paraId="16A7DC76" w14:textId="77777777">
            <w:pPr>
              <w:keepNext/>
              <w:ind w:right="612"/>
              <w:jc w:val="right"/>
              <w:rPr>
                <w:rFonts w:ascii="Arial" w:hAnsi="Arial" w:cs="Arial"/>
                <w:sz w:val="20"/>
                <w:szCs w:val="20"/>
              </w:rPr>
            </w:pPr>
            <w:r>
              <w:rPr>
                <w:rFonts w:ascii="Arial" w:hAnsi="Arial" w:cs="Arial"/>
                <w:sz w:val="20"/>
                <w:szCs w:val="20"/>
              </w:rPr>
              <w:t>Unavailable</w:t>
            </w:r>
          </w:p>
        </w:tc>
        <w:tc>
          <w:tcPr>
            <w:tcW w:w="1692" w:type="dxa"/>
            <w:tcBorders>
              <w:bottom w:val="single" w:color="auto" w:sz="12" w:space="0"/>
            </w:tcBorders>
            <w:vAlign w:val="bottom"/>
          </w:tcPr>
          <w:p w:rsidR="003B0815" w:rsidRDefault="003B0815" w14:paraId="40C14BB9" w14:textId="77777777">
            <w:pPr>
              <w:keepNext/>
              <w:ind w:right="252"/>
              <w:jc w:val="right"/>
              <w:rPr>
                <w:rFonts w:ascii="Arial" w:hAnsi="Arial" w:cs="Arial"/>
                <w:sz w:val="20"/>
                <w:szCs w:val="20"/>
              </w:rPr>
            </w:pPr>
            <w:r>
              <w:rPr>
                <w:rFonts w:ascii="Arial" w:hAnsi="Arial" w:cs="Arial"/>
                <w:sz w:val="20"/>
                <w:szCs w:val="20"/>
              </w:rPr>
              <w:t>Unavailable</w:t>
            </w:r>
          </w:p>
        </w:tc>
        <w:tc>
          <w:tcPr>
            <w:tcW w:w="1583" w:type="dxa"/>
            <w:tcBorders>
              <w:bottom w:val="single" w:color="auto" w:sz="12" w:space="0"/>
            </w:tcBorders>
            <w:vAlign w:val="bottom"/>
          </w:tcPr>
          <w:p w:rsidR="003B0815" w:rsidRDefault="003B0815" w14:paraId="5282BC2B" w14:textId="77777777">
            <w:pPr>
              <w:keepNext/>
              <w:jc w:val="right"/>
              <w:rPr>
                <w:rFonts w:ascii="Arial" w:hAnsi="Arial" w:cs="Arial"/>
                <w:sz w:val="20"/>
                <w:szCs w:val="20"/>
              </w:rPr>
            </w:pPr>
            <w:r>
              <w:rPr>
                <w:rFonts w:ascii="Arial" w:hAnsi="Arial" w:cs="Arial"/>
                <w:sz w:val="20"/>
                <w:szCs w:val="20"/>
              </w:rPr>
              <w:t>17,521</w:t>
            </w:r>
          </w:p>
        </w:tc>
        <w:tc>
          <w:tcPr>
            <w:tcW w:w="1791" w:type="dxa"/>
            <w:tcBorders>
              <w:bottom w:val="single" w:color="auto" w:sz="12" w:space="0"/>
              <w:right w:val="single" w:color="auto" w:sz="12" w:space="0"/>
            </w:tcBorders>
            <w:vAlign w:val="bottom"/>
          </w:tcPr>
          <w:p w:rsidR="003B0815" w:rsidRDefault="003B0815" w14:paraId="7C798DCA" w14:textId="77777777">
            <w:pPr>
              <w:keepNext/>
              <w:jc w:val="right"/>
              <w:rPr>
                <w:rFonts w:ascii="Arial" w:hAnsi="Arial" w:cs="Arial"/>
                <w:sz w:val="20"/>
                <w:szCs w:val="20"/>
              </w:rPr>
            </w:pPr>
            <w:r>
              <w:rPr>
                <w:rFonts w:ascii="Arial" w:hAnsi="Arial" w:cs="Arial"/>
                <w:sz w:val="20"/>
                <w:szCs w:val="20"/>
              </w:rPr>
              <w:t>0.003%</w:t>
            </w:r>
          </w:p>
        </w:tc>
      </w:tr>
    </w:tbl>
    <w:p w:rsidR="003B0815" w:rsidRDefault="003B0815" w14:paraId="13AD3AB4" w14:textId="77777777">
      <w:pPr>
        <w:spacing w:line="360" w:lineRule="auto"/>
        <w:ind w:firstLine="720"/>
        <w:rPr>
          <w:rFonts w:eastAsia="MS Mincho"/>
        </w:rPr>
      </w:pPr>
    </w:p>
    <w:p w:rsidR="003B0815" w:rsidRDefault="003B0815" w14:paraId="77B1D69E" w14:textId="77777777">
      <w:pPr>
        <w:pStyle w:val="RegEvalSectionSubheader"/>
        <w:keepNext/>
        <w:spacing w:line="360" w:lineRule="auto"/>
        <w:rPr>
          <w:rFonts w:eastAsia="MS Mincho"/>
        </w:rPr>
      </w:pPr>
      <w:bookmarkStart w:name="_Toc135477019" w:id="498"/>
      <w:bookmarkStart w:name="_Toc141001101" w:id="499"/>
      <w:bookmarkStart w:name="_Toc141000932" w:id="500"/>
      <w:bookmarkStart w:name="_Toc165278458" w:id="501"/>
      <w:bookmarkStart w:name="_Toc202683415" w:id="502"/>
      <w:r>
        <w:rPr>
          <w:rFonts w:eastAsia="MS Mincho"/>
        </w:rPr>
        <w:t>2.2.2 Estimated Impact to Aircraft Operator Small Businesses</w:t>
      </w:r>
      <w:bookmarkEnd w:id="498"/>
      <w:bookmarkEnd w:id="499"/>
      <w:bookmarkEnd w:id="500"/>
      <w:bookmarkEnd w:id="501"/>
      <w:bookmarkEnd w:id="502"/>
    </w:p>
    <w:p w:rsidR="003B0815" w:rsidRDefault="003B0815" w14:paraId="7C835352" w14:textId="77777777">
      <w:pPr>
        <w:spacing w:line="360" w:lineRule="auto"/>
        <w:ind w:firstLine="720"/>
        <w:rPr>
          <w:rFonts w:eastAsia="MS Mincho"/>
        </w:rPr>
      </w:pPr>
      <w:r>
        <w:rPr>
          <w:rFonts w:eastAsia="MS Mincho"/>
        </w:rPr>
        <w:t>TSA determined that the rule does not cause a significant economic impact for a substantial number of these small business entities based on several considerations.  First, under the current procedures, these small airlines must devote effort to matching passenger identification information to TSA watch lists but are not able to establish staff and back office activities that are dedicated to these security functions due to the small scale of their operations.  Instead, the existing security responsibilities are fulfilled by airline personnel who may have other unrelated duties.  These scale considerations suggest that the benefits of changing the current responsibilities by implementing the rule may be weighted toward these smaller airlines, when considered on a per enplanement basis.</w:t>
      </w:r>
    </w:p>
    <w:p w:rsidR="003B0815" w:rsidRDefault="003B0815" w14:paraId="55206E98" w14:textId="77777777">
      <w:pPr>
        <w:spacing w:line="360" w:lineRule="auto"/>
        <w:ind w:firstLine="720"/>
        <w:rPr>
          <w:rFonts w:eastAsia="MS Mincho"/>
        </w:rPr>
      </w:pPr>
      <w:r>
        <w:rPr>
          <w:rFonts w:eastAsia="MS Mincho"/>
        </w:rPr>
        <w:t>In addition, given the variety of business activities pursued by the small carriers under consideration – scheduled passenger operations or charter operations, operations that collaborate with a larger hub and spoke carrier or that are independent of larger carriers, and operations that do or do not make use of an existing ARS host for processing reservations – it is difficult to estimate the costs that are incurred by these small carriers when the rule is implemented.  In order to evaluate the possible economic impact of the rule on small aircraft operators, TSA utilized two calculation methods: one for carriers in Groups 2 and 3 and a second for carriers in Group 4.</w:t>
      </w:r>
    </w:p>
    <w:p w:rsidR="003B0815" w:rsidRDefault="003B0815" w14:paraId="583F9628" w14:textId="77777777">
      <w:pPr>
        <w:spacing w:line="360" w:lineRule="auto"/>
        <w:ind w:firstLine="720"/>
        <w:rPr>
          <w:rFonts w:eastAsia="MS Mincho"/>
        </w:rPr>
      </w:pPr>
      <w:r>
        <w:rPr>
          <w:rFonts w:eastAsia="MS Mincho"/>
        </w:rPr>
        <w:t xml:space="preserve">Since reprogramming and data collection costs have already been presented in the aggregate for Groups 2 and 3 in Sections 1.6.2 and 1.6.3 of the regulatory evaluation, TSA used the same techniques to calculate the potential impact to small business carriers in these two groups.  Table 2.2.2.a below shows the outcome of these calculations.  </w:t>
      </w:r>
    </w:p>
    <w:p w:rsidR="003B0815" w:rsidRDefault="003B0815" w14:paraId="1A706DAD" w14:textId="77777777">
      <w:pPr>
        <w:spacing w:line="360" w:lineRule="auto"/>
        <w:ind w:firstLine="720"/>
        <w:rPr>
          <w:rFonts w:eastAsia="MS Mincho"/>
        </w:rPr>
      </w:pPr>
      <w:r>
        <w:rPr>
          <w:rFonts w:eastAsia="MS Mincho"/>
        </w:rPr>
        <w:t>TSA first assigned an estimated initial reprogramming cost to each small business carrier based on whether it belonged to Group 2 or 3 (column B).  The initial reprogramming cost was used since this is the highest expenditure in any one year.  Each carrier will also experience an increase in the time required to collect passenger data during reservations, as discussed in Section 1.6.3.  To arrive at the maximum annual collection cost (column D), TSA annualized the total High Scenario Airline Collection Costs from Table 1.6.3.a.  These airline collection costs are a function of reservations and TSA assumed an airline’s share of reservations is proportional to its share of enplanements.  Thus, TSA multiplied the total annual collection cost by each carrier’s share of enplanements (column C) to arrive at its proportion of the annual collection cost (column E).  Adding the collection cost to the initial reprogramming cost yielded a per-carrier estimated cost of compliance (column F).  TSA divided these estimated compliance costs by each carrier’s reported revenue to determine the percent of revenue that will be expended on Secure Flight (column G).</w:t>
      </w:r>
    </w:p>
    <w:p w:rsidR="003B0815" w:rsidRDefault="003B0815" w14:paraId="662C43F6" w14:textId="77777777">
      <w:pPr>
        <w:spacing w:line="360" w:lineRule="auto"/>
        <w:ind w:firstLine="720"/>
        <w:rPr>
          <w:rFonts w:eastAsia="MS Mincho"/>
        </w:rPr>
      </w:pPr>
      <w:r>
        <w:rPr>
          <w:rFonts w:eastAsia="MS Mincho"/>
        </w:rPr>
        <w:t>Although there is no hard and fast definition for “significant economic impact,” agencies frequently use 2% of an entity’s revenue as a threshold.  As can be seen in the table, in one case the estimated compliance cost exceeds 2% of the carriers’ reported 2005 revenues and in one case it exceeds 8%.  After reviewing the relevant information, however, TSA determined the threshold may not be applicable in this particular case.  This is because the percentage is extremely sensitive to the estimated reprogramming cost (column B).  TSA’s estimated reprogramming costs for these carriers are based on assumptions about limited data and may overstate the costs to smaller carriers.  This consideration is especially true of carrier 10.  This carrier maintained its own reservation system until August 2005, when it began subscribing to a GDS.  Consequently, its reprogramming costs may be significantly lower than projected here.  Further, these carriers have the option to use the Secure Flight web interface rather than reprogram their reservation systems if they determine reprogramming to be too costly.</w:t>
      </w:r>
    </w:p>
    <w:p w:rsidR="003B0815" w:rsidRDefault="003B0815" w14:paraId="4B382476" w14:textId="77777777">
      <w:pPr>
        <w:spacing w:line="360" w:lineRule="auto"/>
        <w:ind w:firstLine="720"/>
      </w:pPr>
      <w:r>
        <w:rPr>
          <w:rFonts w:eastAsia="MS Mincho"/>
        </w:rPr>
        <w:t>Based on these considerations, TSA determined the estimated compliance cost likely does not meet the requirements of a significant economic impact under the RFA</w:t>
      </w:r>
      <w:bookmarkStart w:name="_Toc135477020" w:id="503"/>
      <w:r>
        <w:rPr>
          <w:rFonts w:eastAsia="MS Mincho"/>
        </w:rPr>
        <w:t>.</w:t>
      </w:r>
    </w:p>
    <w:tbl>
      <w:tblPr>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 w:type="dxa"/>
          <w:right w:w="29" w:type="dxa"/>
        </w:tblCellMar>
        <w:tblLook w:val="01E0" w:firstRow="1" w:lastRow="1" w:firstColumn="1" w:lastColumn="1" w:noHBand="0" w:noVBand="0"/>
      </w:tblPr>
      <w:tblGrid>
        <w:gridCol w:w="977"/>
        <w:gridCol w:w="1080"/>
        <w:gridCol w:w="1143"/>
        <w:gridCol w:w="1049"/>
        <w:gridCol w:w="1260"/>
        <w:gridCol w:w="1080"/>
        <w:gridCol w:w="1260"/>
        <w:gridCol w:w="1181"/>
      </w:tblGrid>
      <w:tr w:rsidR="003B0815" w14:paraId="5990AF03" w14:textId="77777777">
        <w:trPr>
          <w:jc w:val="center"/>
        </w:trPr>
        <w:tc>
          <w:tcPr>
            <w:tcW w:w="9030" w:type="dxa"/>
            <w:gridSpan w:val="8"/>
            <w:tcBorders>
              <w:top w:val="nil"/>
              <w:left w:val="nil"/>
              <w:bottom w:val="single" w:color="auto" w:sz="12" w:space="0"/>
              <w:right w:val="nil"/>
            </w:tcBorders>
          </w:tcPr>
          <w:p w:rsidR="003B0815" w:rsidRDefault="003B0815" w14:paraId="43DB9284" w14:textId="77777777">
            <w:pPr>
              <w:pStyle w:val="RegEvalTableHeader"/>
              <w:keepNext/>
            </w:pPr>
            <w:bookmarkStart w:name="_Toc139943625" w:id="504"/>
            <w:bookmarkStart w:name="_Toc141001135" w:id="505"/>
            <w:bookmarkStart w:name="_Toc141000971" w:id="506"/>
            <w:bookmarkStart w:name="_Toc165278414" w:id="507"/>
            <w:bookmarkStart w:name="_Toc174438421" w:id="508"/>
            <w:bookmarkStart w:name="_Toc207109562" w:id="509"/>
            <w:r>
              <w:t>Table 2.2.2.a Estimated Small Business Impact, Carrier Groups 2 and 3</w:t>
            </w:r>
            <w:bookmarkEnd w:id="503"/>
            <w:bookmarkEnd w:id="504"/>
            <w:bookmarkEnd w:id="505"/>
            <w:bookmarkEnd w:id="506"/>
            <w:bookmarkEnd w:id="507"/>
            <w:bookmarkEnd w:id="508"/>
            <w:bookmarkEnd w:id="509"/>
          </w:p>
        </w:tc>
      </w:tr>
      <w:tr w:rsidR="003B0815" w14:paraId="59660BB6" w14:textId="77777777">
        <w:trPr>
          <w:jc w:val="center"/>
        </w:trPr>
        <w:tc>
          <w:tcPr>
            <w:tcW w:w="977" w:type="dxa"/>
            <w:tcBorders>
              <w:top w:val="single" w:color="auto" w:sz="12" w:space="0"/>
              <w:left w:val="single" w:color="auto" w:sz="12" w:space="0"/>
              <w:bottom w:val="single" w:color="auto" w:sz="8" w:space="0"/>
              <w:right w:val="single" w:color="auto" w:sz="4" w:space="0"/>
            </w:tcBorders>
            <w:vAlign w:val="center"/>
          </w:tcPr>
          <w:p w:rsidR="003B0815" w:rsidRDefault="003B0815" w14:paraId="1E96F6DC" w14:textId="77777777">
            <w:pPr>
              <w:keepNext/>
              <w:jc w:val="center"/>
              <w:rPr>
                <w:rFonts w:ascii="Arial" w:hAnsi="Arial" w:cs="Arial"/>
                <w:b/>
                <w:bCs/>
                <w:sz w:val="20"/>
                <w:szCs w:val="20"/>
              </w:rPr>
            </w:pPr>
            <w:r>
              <w:rPr>
                <w:rFonts w:ascii="Arial" w:hAnsi="Arial" w:cs="Arial"/>
                <w:b/>
                <w:bCs/>
                <w:sz w:val="20"/>
                <w:szCs w:val="20"/>
              </w:rPr>
              <w:t xml:space="preserve">Small Business Carrier </w:t>
            </w:r>
          </w:p>
          <w:p w:rsidR="003B0815" w:rsidRDefault="003B0815" w14:paraId="20891790" w14:textId="77777777">
            <w:pPr>
              <w:keepNext/>
              <w:jc w:val="center"/>
              <w:rPr>
                <w:rFonts w:ascii="Arial" w:hAnsi="Arial" w:cs="Arial"/>
                <w:b/>
                <w:bCs/>
                <w:sz w:val="20"/>
                <w:szCs w:val="20"/>
              </w:rPr>
            </w:pPr>
            <w:r>
              <w:rPr>
                <w:rFonts w:ascii="Arial" w:hAnsi="Arial" w:cs="Arial"/>
                <w:b/>
                <w:bCs/>
                <w:sz w:val="20"/>
                <w:szCs w:val="20"/>
              </w:rPr>
              <w:t>ID #</w:t>
            </w:r>
          </w:p>
        </w:tc>
        <w:tc>
          <w:tcPr>
            <w:tcW w:w="1080" w:type="dxa"/>
            <w:tcBorders>
              <w:top w:val="single" w:color="auto" w:sz="12" w:space="0"/>
              <w:left w:val="single" w:color="auto" w:sz="4" w:space="0"/>
              <w:bottom w:val="single" w:color="auto" w:sz="8" w:space="0"/>
              <w:right w:val="single" w:color="auto" w:sz="4" w:space="0"/>
            </w:tcBorders>
            <w:vAlign w:val="center"/>
          </w:tcPr>
          <w:p w:rsidR="003B0815" w:rsidRDefault="003B0815" w14:paraId="4659A749" w14:textId="77777777">
            <w:pPr>
              <w:keepNext/>
              <w:jc w:val="center"/>
              <w:rPr>
                <w:rFonts w:ascii="Arial" w:hAnsi="Arial" w:cs="Arial"/>
                <w:b/>
                <w:bCs/>
                <w:sz w:val="20"/>
                <w:szCs w:val="20"/>
              </w:rPr>
            </w:pPr>
            <w:r>
              <w:rPr>
                <w:rFonts w:ascii="Arial" w:hAnsi="Arial" w:cs="Arial"/>
                <w:b/>
                <w:bCs/>
                <w:sz w:val="20"/>
                <w:szCs w:val="20"/>
              </w:rPr>
              <w:t>2005</w:t>
            </w:r>
          </w:p>
          <w:p w:rsidR="003B0815" w:rsidRDefault="003B0815" w14:paraId="7873694B" w14:textId="77777777">
            <w:pPr>
              <w:keepNext/>
              <w:jc w:val="center"/>
              <w:rPr>
                <w:rFonts w:ascii="Arial" w:hAnsi="Arial" w:cs="Arial"/>
                <w:b/>
                <w:bCs/>
                <w:sz w:val="20"/>
                <w:szCs w:val="20"/>
              </w:rPr>
            </w:pPr>
            <w:r>
              <w:rPr>
                <w:rFonts w:ascii="Arial" w:hAnsi="Arial" w:cs="Arial"/>
                <w:b/>
                <w:bCs/>
                <w:sz w:val="20"/>
                <w:szCs w:val="20"/>
              </w:rPr>
              <w:t>Annual Operating Revenues (000)</w:t>
            </w:r>
          </w:p>
        </w:tc>
        <w:tc>
          <w:tcPr>
            <w:tcW w:w="1143" w:type="dxa"/>
            <w:tcBorders>
              <w:top w:val="single" w:color="auto" w:sz="12" w:space="0"/>
              <w:left w:val="single" w:color="auto" w:sz="4" w:space="0"/>
              <w:bottom w:val="single" w:color="auto" w:sz="8" w:space="0"/>
              <w:right w:val="single" w:color="auto" w:sz="4" w:space="0"/>
            </w:tcBorders>
            <w:vAlign w:val="center"/>
          </w:tcPr>
          <w:p w:rsidR="003B0815" w:rsidRDefault="003B0815" w14:paraId="7E9B50E9" w14:textId="77777777">
            <w:pPr>
              <w:keepNext/>
              <w:jc w:val="center"/>
              <w:rPr>
                <w:rFonts w:ascii="Arial" w:hAnsi="Arial" w:cs="Arial"/>
                <w:b/>
                <w:bCs/>
                <w:sz w:val="20"/>
                <w:szCs w:val="20"/>
              </w:rPr>
            </w:pPr>
            <w:r>
              <w:rPr>
                <w:rFonts w:ascii="Arial" w:hAnsi="Arial" w:cs="Arial"/>
                <w:b/>
                <w:bCs/>
                <w:sz w:val="20"/>
                <w:szCs w:val="20"/>
              </w:rPr>
              <w:t xml:space="preserve">Estimated Carrier Reprogram Costs </w:t>
            </w:r>
          </w:p>
          <w:p w:rsidR="003B0815" w:rsidRDefault="003B0815" w14:paraId="277C05CA" w14:textId="77777777">
            <w:pPr>
              <w:keepNext/>
              <w:jc w:val="center"/>
              <w:rPr>
                <w:rFonts w:ascii="Arial" w:hAnsi="Arial" w:cs="Arial"/>
                <w:b/>
                <w:bCs/>
                <w:sz w:val="20"/>
                <w:szCs w:val="20"/>
              </w:rPr>
            </w:pPr>
            <w:r>
              <w:rPr>
                <w:rFonts w:ascii="Arial" w:hAnsi="Arial" w:cs="Arial"/>
                <w:b/>
                <w:bCs/>
                <w:sz w:val="20"/>
                <w:szCs w:val="20"/>
              </w:rPr>
              <w:t>(000)</w:t>
            </w:r>
          </w:p>
        </w:tc>
        <w:tc>
          <w:tcPr>
            <w:tcW w:w="1049" w:type="dxa"/>
            <w:tcBorders>
              <w:top w:val="single" w:color="auto" w:sz="12" w:space="0"/>
              <w:left w:val="single" w:color="auto" w:sz="4" w:space="0"/>
              <w:bottom w:val="single" w:color="auto" w:sz="8" w:space="0"/>
              <w:right w:val="single" w:color="auto" w:sz="4" w:space="0"/>
            </w:tcBorders>
            <w:vAlign w:val="center"/>
          </w:tcPr>
          <w:p w:rsidR="003B0815" w:rsidRDefault="003B0815" w14:paraId="5BF6D5B2" w14:textId="77777777">
            <w:pPr>
              <w:keepNext/>
              <w:jc w:val="center"/>
              <w:rPr>
                <w:rFonts w:ascii="Arial" w:hAnsi="Arial" w:cs="Arial"/>
                <w:b/>
                <w:bCs/>
                <w:sz w:val="20"/>
                <w:szCs w:val="20"/>
              </w:rPr>
            </w:pPr>
            <w:r>
              <w:rPr>
                <w:rFonts w:ascii="Arial" w:hAnsi="Arial" w:cs="Arial"/>
                <w:b/>
                <w:bCs/>
                <w:sz w:val="20"/>
                <w:szCs w:val="20"/>
              </w:rPr>
              <w:t>Share of Total Covered Carrier Enp</w:t>
            </w:r>
          </w:p>
        </w:tc>
        <w:tc>
          <w:tcPr>
            <w:tcW w:w="1260" w:type="dxa"/>
            <w:tcBorders>
              <w:top w:val="single" w:color="auto" w:sz="12" w:space="0"/>
              <w:left w:val="single" w:color="auto" w:sz="4" w:space="0"/>
              <w:bottom w:val="single" w:color="auto" w:sz="8" w:space="0"/>
              <w:right w:val="single" w:color="auto" w:sz="4" w:space="0"/>
            </w:tcBorders>
            <w:vAlign w:val="center"/>
          </w:tcPr>
          <w:p w:rsidR="003B0815" w:rsidRDefault="003B0815" w14:paraId="2770FA29" w14:textId="77777777">
            <w:pPr>
              <w:keepNext/>
              <w:jc w:val="center"/>
              <w:rPr>
                <w:rFonts w:ascii="Arial" w:hAnsi="Arial" w:cs="Arial"/>
                <w:b/>
                <w:bCs/>
                <w:sz w:val="20"/>
                <w:szCs w:val="20"/>
              </w:rPr>
            </w:pPr>
            <w:r>
              <w:rPr>
                <w:rFonts w:ascii="Arial" w:hAnsi="Arial" w:cs="Arial"/>
                <w:b/>
                <w:bCs/>
                <w:sz w:val="20"/>
                <w:szCs w:val="20"/>
              </w:rPr>
              <w:t>Annualized Airline Collection Costs*</w:t>
            </w:r>
          </w:p>
          <w:p w:rsidR="003B0815" w:rsidRDefault="003B0815" w14:paraId="3439D156" w14:textId="77777777">
            <w:pPr>
              <w:keepNext/>
              <w:jc w:val="center"/>
              <w:rPr>
                <w:rFonts w:ascii="Arial" w:hAnsi="Arial" w:cs="Arial"/>
                <w:b/>
                <w:bCs/>
                <w:sz w:val="20"/>
                <w:szCs w:val="20"/>
              </w:rPr>
            </w:pPr>
            <w:r>
              <w:rPr>
                <w:rFonts w:ascii="Arial" w:hAnsi="Arial" w:cs="Arial"/>
                <w:b/>
                <w:bCs/>
                <w:sz w:val="20"/>
                <w:szCs w:val="20"/>
              </w:rPr>
              <w:t>(000)</w:t>
            </w:r>
          </w:p>
        </w:tc>
        <w:tc>
          <w:tcPr>
            <w:tcW w:w="1080" w:type="dxa"/>
            <w:tcBorders>
              <w:top w:val="single" w:color="auto" w:sz="12" w:space="0"/>
              <w:left w:val="single" w:color="auto" w:sz="4" w:space="0"/>
              <w:bottom w:val="single" w:color="auto" w:sz="8" w:space="0"/>
              <w:right w:val="single" w:color="auto" w:sz="4" w:space="0"/>
            </w:tcBorders>
            <w:vAlign w:val="center"/>
          </w:tcPr>
          <w:p w:rsidR="003B0815" w:rsidRDefault="003B0815" w14:paraId="29208CF0" w14:textId="77777777">
            <w:pPr>
              <w:keepNext/>
              <w:jc w:val="center"/>
              <w:rPr>
                <w:rFonts w:ascii="Arial" w:hAnsi="Arial" w:cs="Arial"/>
                <w:b/>
                <w:bCs/>
                <w:sz w:val="20"/>
                <w:szCs w:val="20"/>
              </w:rPr>
            </w:pPr>
            <w:r>
              <w:rPr>
                <w:rFonts w:ascii="Arial" w:hAnsi="Arial" w:cs="Arial"/>
                <w:b/>
                <w:bCs/>
                <w:sz w:val="20"/>
                <w:szCs w:val="20"/>
              </w:rPr>
              <w:t>Share of Airline Collection Costs*</w:t>
            </w:r>
          </w:p>
          <w:p w:rsidR="003B0815" w:rsidRDefault="003B0815" w14:paraId="60CB8B9B" w14:textId="77777777">
            <w:pPr>
              <w:keepNext/>
              <w:jc w:val="center"/>
              <w:rPr>
                <w:rFonts w:ascii="Arial" w:hAnsi="Arial" w:cs="Arial"/>
                <w:b/>
                <w:bCs/>
                <w:sz w:val="20"/>
                <w:szCs w:val="20"/>
              </w:rPr>
            </w:pPr>
            <w:r>
              <w:rPr>
                <w:rFonts w:ascii="Arial" w:hAnsi="Arial" w:cs="Arial"/>
                <w:b/>
                <w:bCs/>
                <w:sz w:val="20"/>
                <w:szCs w:val="20"/>
              </w:rPr>
              <w:t>(000)</w:t>
            </w:r>
          </w:p>
        </w:tc>
        <w:tc>
          <w:tcPr>
            <w:tcW w:w="1260" w:type="dxa"/>
            <w:tcBorders>
              <w:top w:val="single" w:color="auto" w:sz="12" w:space="0"/>
              <w:left w:val="single" w:color="auto" w:sz="4" w:space="0"/>
              <w:bottom w:val="single" w:color="auto" w:sz="8" w:space="0"/>
              <w:right w:val="single" w:color="auto" w:sz="4" w:space="0"/>
            </w:tcBorders>
            <w:vAlign w:val="center"/>
          </w:tcPr>
          <w:p w:rsidR="003B0815" w:rsidRDefault="003B0815" w14:paraId="7BB7B0E4" w14:textId="77777777">
            <w:pPr>
              <w:keepNext/>
              <w:jc w:val="center"/>
              <w:rPr>
                <w:rFonts w:ascii="Arial" w:hAnsi="Arial" w:cs="Arial"/>
                <w:b/>
                <w:bCs/>
                <w:sz w:val="20"/>
                <w:szCs w:val="20"/>
              </w:rPr>
            </w:pPr>
            <w:r>
              <w:rPr>
                <w:rFonts w:ascii="Arial" w:hAnsi="Arial" w:cs="Arial"/>
                <w:b/>
                <w:bCs/>
                <w:sz w:val="20"/>
                <w:szCs w:val="20"/>
              </w:rPr>
              <w:t>Estimated Total Compliance Cost*</w:t>
            </w:r>
          </w:p>
          <w:p w:rsidR="003B0815" w:rsidRDefault="003B0815" w14:paraId="510A1722" w14:textId="77777777">
            <w:pPr>
              <w:keepNext/>
              <w:jc w:val="center"/>
              <w:rPr>
                <w:rFonts w:ascii="Arial" w:hAnsi="Arial" w:cs="Arial"/>
                <w:b/>
                <w:bCs/>
                <w:sz w:val="20"/>
                <w:szCs w:val="20"/>
              </w:rPr>
            </w:pPr>
            <w:r>
              <w:rPr>
                <w:rFonts w:ascii="Arial" w:hAnsi="Arial" w:cs="Arial"/>
                <w:b/>
                <w:bCs/>
                <w:sz w:val="20"/>
                <w:szCs w:val="20"/>
              </w:rPr>
              <w:t>(000)</w:t>
            </w:r>
          </w:p>
        </w:tc>
        <w:tc>
          <w:tcPr>
            <w:tcW w:w="1181" w:type="dxa"/>
            <w:tcBorders>
              <w:top w:val="single" w:color="auto" w:sz="12" w:space="0"/>
              <w:left w:val="single" w:color="auto" w:sz="4" w:space="0"/>
              <w:bottom w:val="single" w:color="auto" w:sz="8" w:space="0"/>
              <w:right w:val="single" w:color="auto" w:sz="12" w:space="0"/>
            </w:tcBorders>
            <w:vAlign w:val="center"/>
          </w:tcPr>
          <w:p w:rsidR="003B0815" w:rsidRDefault="003B0815" w14:paraId="0B265A62" w14:textId="77777777">
            <w:pPr>
              <w:keepNext/>
              <w:jc w:val="center"/>
              <w:rPr>
                <w:rFonts w:ascii="Arial" w:hAnsi="Arial" w:cs="Arial"/>
                <w:b/>
                <w:bCs/>
                <w:sz w:val="20"/>
                <w:szCs w:val="20"/>
              </w:rPr>
            </w:pPr>
            <w:r>
              <w:rPr>
                <w:rFonts w:ascii="Arial" w:hAnsi="Arial" w:cs="Arial"/>
                <w:b/>
                <w:bCs/>
                <w:sz w:val="20"/>
                <w:szCs w:val="20"/>
              </w:rPr>
              <w:t>Compliance Cost as % of Revenues*</w:t>
            </w:r>
          </w:p>
        </w:tc>
      </w:tr>
      <w:tr w:rsidR="003B0815" w14:paraId="1D4FF838" w14:textId="77777777">
        <w:trPr>
          <w:jc w:val="center"/>
        </w:trPr>
        <w:tc>
          <w:tcPr>
            <w:tcW w:w="977" w:type="dxa"/>
            <w:tcBorders>
              <w:top w:val="single" w:color="auto" w:sz="8" w:space="0"/>
              <w:left w:val="single" w:color="auto" w:sz="12" w:space="0"/>
              <w:bottom w:val="single" w:color="auto" w:sz="8" w:space="0"/>
              <w:right w:val="single" w:color="auto" w:sz="4" w:space="0"/>
            </w:tcBorders>
            <w:vAlign w:val="bottom"/>
          </w:tcPr>
          <w:p w:rsidR="003B0815" w:rsidRDefault="003B0815" w14:paraId="3ADC221B" w14:textId="77777777">
            <w:pPr>
              <w:keepNext/>
              <w:jc w:val="center"/>
              <w:rPr>
                <w:rFonts w:ascii="Arial" w:hAnsi="Arial" w:cs="Arial"/>
                <w:b/>
                <w:bCs/>
                <w:sz w:val="20"/>
                <w:szCs w:val="20"/>
              </w:rPr>
            </w:pPr>
            <w:r>
              <w:rPr>
                <w:rFonts w:ascii="Arial" w:hAnsi="Arial" w:cs="Arial"/>
                <w:b/>
                <w:bCs/>
                <w:sz w:val="20"/>
                <w:szCs w:val="20"/>
              </w:rPr>
              <w:t> </w:t>
            </w:r>
          </w:p>
        </w:tc>
        <w:tc>
          <w:tcPr>
            <w:tcW w:w="1080" w:type="dxa"/>
            <w:tcBorders>
              <w:top w:val="single" w:color="auto" w:sz="8" w:space="0"/>
              <w:left w:val="single" w:color="auto" w:sz="4" w:space="0"/>
              <w:bottom w:val="single" w:color="auto" w:sz="8" w:space="0"/>
              <w:right w:val="single" w:color="auto" w:sz="4" w:space="0"/>
            </w:tcBorders>
            <w:vAlign w:val="bottom"/>
          </w:tcPr>
          <w:p w:rsidR="003B0815" w:rsidRDefault="003B0815" w14:paraId="2A15293F" w14:textId="77777777">
            <w:pPr>
              <w:keepNext/>
              <w:jc w:val="center"/>
              <w:rPr>
                <w:rFonts w:ascii="Arial" w:hAnsi="Arial" w:cs="Arial"/>
                <w:b/>
                <w:bCs/>
                <w:sz w:val="20"/>
                <w:szCs w:val="20"/>
              </w:rPr>
            </w:pPr>
            <w:r>
              <w:rPr>
                <w:rFonts w:ascii="Arial" w:hAnsi="Arial" w:cs="Arial"/>
                <w:b/>
                <w:bCs/>
                <w:sz w:val="20"/>
                <w:szCs w:val="20"/>
              </w:rPr>
              <w:t>(A)</w:t>
            </w:r>
          </w:p>
        </w:tc>
        <w:tc>
          <w:tcPr>
            <w:tcW w:w="1143" w:type="dxa"/>
            <w:tcBorders>
              <w:top w:val="single" w:color="auto" w:sz="8" w:space="0"/>
              <w:left w:val="single" w:color="auto" w:sz="4" w:space="0"/>
              <w:bottom w:val="single" w:color="auto" w:sz="8" w:space="0"/>
              <w:right w:val="single" w:color="auto" w:sz="4" w:space="0"/>
            </w:tcBorders>
            <w:vAlign w:val="bottom"/>
          </w:tcPr>
          <w:p w:rsidR="003B0815" w:rsidRDefault="003B0815" w14:paraId="08DC1BA6" w14:textId="77777777">
            <w:pPr>
              <w:keepNext/>
              <w:jc w:val="center"/>
              <w:rPr>
                <w:rFonts w:ascii="Arial" w:hAnsi="Arial" w:cs="Arial"/>
                <w:b/>
                <w:bCs/>
                <w:sz w:val="20"/>
                <w:szCs w:val="20"/>
              </w:rPr>
            </w:pPr>
            <w:r>
              <w:rPr>
                <w:rFonts w:ascii="Arial" w:hAnsi="Arial" w:cs="Arial"/>
                <w:b/>
                <w:bCs/>
                <w:sz w:val="20"/>
                <w:szCs w:val="20"/>
              </w:rPr>
              <w:t>(B)</w:t>
            </w:r>
          </w:p>
        </w:tc>
        <w:tc>
          <w:tcPr>
            <w:tcW w:w="1049" w:type="dxa"/>
            <w:tcBorders>
              <w:top w:val="single" w:color="auto" w:sz="8" w:space="0"/>
              <w:left w:val="single" w:color="auto" w:sz="4" w:space="0"/>
              <w:bottom w:val="single" w:color="auto" w:sz="8" w:space="0"/>
              <w:right w:val="single" w:color="auto" w:sz="4" w:space="0"/>
            </w:tcBorders>
            <w:vAlign w:val="bottom"/>
          </w:tcPr>
          <w:p w:rsidR="003B0815" w:rsidRDefault="003B0815" w14:paraId="7F1D66E6" w14:textId="77777777">
            <w:pPr>
              <w:keepNext/>
              <w:jc w:val="center"/>
              <w:rPr>
                <w:rFonts w:ascii="Arial" w:hAnsi="Arial" w:cs="Arial"/>
                <w:b/>
                <w:bCs/>
                <w:sz w:val="20"/>
                <w:szCs w:val="20"/>
              </w:rPr>
            </w:pPr>
            <w:r>
              <w:rPr>
                <w:rFonts w:ascii="Arial" w:hAnsi="Arial" w:cs="Arial"/>
                <w:b/>
                <w:bCs/>
                <w:sz w:val="20"/>
                <w:szCs w:val="20"/>
              </w:rPr>
              <w:t>(C)</w:t>
            </w:r>
          </w:p>
        </w:tc>
        <w:tc>
          <w:tcPr>
            <w:tcW w:w="1260" w:type="dxa"/>
            <w:tcBorders>
              <w:top w:val="single" w:color="auto" w:sz="8" w:space="0"/>
              <w:left w:val="single" w:color="auto" w:sz="4" w:space="0"/>
              <w:bottom w:val="single" w:color="auto" w:sz="8" w:space="0"/>
              <w:right w:val="single" w:color="auto" w:sz="4" w:space="0"/>
            </w:tcBorders>
            <w:vAlign w:val="bottom"/>
          </w:tcPr>
          <w:p w:rsidR="003B0815" w:rsidRDefault="003B0815" w14:paraId="26017D38" w14:textId="77777777">
            <w:pPr>
              <w:keepNext/>
              <w:jc w:val="center"/>
              <w:rPr>
                <w:rFonts w:ascii="Arial" w:hAnsi="Arial" w:cs="Arial"/>
                <w:b/>
                <w:bCs/>
                <w:sz w:val="20"/>
                <w:szCs w:val="20"/>
              </w:rPr>
            </w:pPr>
            <w:r>
              <w:rPr>
                <w:rFonts w:ascii="Arial" w:hAnsi="Arial" w:cs="Arial"/>
                <w:b/>
                <w:bCs/>
                <w:sz w:val="20"/>
                <w:szCs w:val="20"/>
              </w:rPr>
              <w:t>(D)</w:t>
            </w:r>
          </w:p>
        </w:tc>
        <w:tc>
          <w:tcPr>
            <w:tcW w:w="1080" w:type="dxa"/>
            <w:tcBorders>
              <w:top w:val="single" w:color="auto" w:sz="8" w:space="0"/>
              <w:left w:val="single" w:color="auto" w:sz="4" w:space="0"/>
              <w:bottom w:val="single" w:color="auto" w:sz="8" w:space="0"/>
              <w:right w:val="single" w:color="auto" w:sz="4" w:space="0"/>
            </w:tcBorders>
            <w:vAlign w:val="bottom"/>
          </w:tcPr>
          <w:p w:rsidR="003B0815" w:rsidRDefault="003B0815" w14:paraId="222D83F8" w14:textId="77777777">
            <w:pPr>
              <w:keepNext/>
              <w:jc w:val="center"/>
              <w:rPr>
                <w:rFonts w:ascii="Arial" w:hAnsi="Arial" w:cs="Arial"/>
                <w:b/>
                <w:bCs/>
                <w:sz w:val="20"/>
                <w:szCs w:val="20"/>
              </w:rPr>
            </w:pPr>
            <w:r>
              <w:rPr>
                <w:rFonts w:ascii="Arial" w:hAnsi="Arial" w:cs="Arial"/>
                <w:b/>
                <w:bCs/>
                <w:sz w:val="20"/>
                <w:szCs w:val="20"/>
              </w:rPr>
              <w:t>(E) = C*D</w:t>
            </w:r>
          </w:p>
        </w:tc>
        <w:tc>
          <w:tcPr>
            <w:tcW w:w="1260" w:type="dxa"/>
            <w:tcBorders>
              <w:top w:val="single" w:color="auto" w:sz="8" w:space="0"/>
              <w:left w:val="single" w:color="auto" w:sz="4" w:space="0"/>
              <w:bottom w:val="single" w:color="auto" w:sz="8" w:space="0"/>
              <w:right w:val="single" w:color="auto" w:sz="4" w:space="0"/>
            </w:tcBorders>
            <w:vAlign w:val="bottom"/>
          </w:tcPr>
          <w:p w:rsidR="003B0815" w:rsidRDefault="003B0815" w14:paraId="472C8487" w14:textId="77777777">
            <w:pPr>
              <w:keepNext/>
              <w:jc w:val="center"/>
              <w:rPr>
                <w:rFonts w:ascii="Arial" w:hAnsi="Arial" w:cs="Arial"/>
                <w:b/>
                <w:bCs/>
                <w:sz w:val="20"/>
                <w:szCs w:val="20"/>
              </w:rPr>
            </w:pPr>
            <w:r>
              <w:rPr>
                <w:rFonts w:ascii="Arial" w:hAnsi="Arial" w:cs="Arial"/>
                <w:b/>
                <w:bCs/>
                <w:sz w:val="20"/>
                <w:szCs w:val="20"/>
              </w:rPr>
              <w:t>(F) = B+E</w:t>
            </w:r>
          </w:p>
        </w:tc>
        <w:tc>
          <w:tcPr>
            <w:tcW w:w="1181" w:type="dxa"/>
            <w:tcBorders>
              <w:top w:val="single" w:color="auto" w:sz="8" w:space="0"/>
              <w:left w:val="single" w:color="auto" w:sz="4" w:space="0"/>
              <w:bottom w:val="single" w:color="auto" w:sz="8" w:space="0"/>
              <w:right w:val="single" w:color="auto" w:sz="12" w:space="0"/>
            </w:tcBorders>
            <w:vAlign w:val="bottom"/>
          </w:tcPr>
          <w:p w:rsidR="003B0815" w:rsidRDefault="003B0815" w14:paraId="11E51B2B" w14:textId="77777777">
            <w:pPr>
              <w:keepNext/>
              <w:jc w:val="center"/>
              <w:rPr>
                <w:rFonts w:ascii="Arial" w:hAnsi="Arial" w:cs="Arial"/>
                <w:b/>
                <w:bCs/>
                <w:sz w:val="20"/>
                <w:szCs w:val="20"/>
              </w:rPr>
            </w:pPr>
            <w:r>
              <w:rPr>
                <w:rFonts w:ascii="Arial" w:hAnsi="Arial" w:cs="Arial"/>
                <w:b/>
                <w:bCs/>
                <w:sz w:val="20"/>
                <w:szCs w:val="20"/>
              </w:rPr>
              <w:t>(G) = F/A</w:t>
            </w:r>
          </w:p>
        </w:tc>
      </w:tr>
      <w:tr w:rsidR="003B0815" w14:paraId="5964F9C4" w14:textId="77777777">
        <w:trPr>
          <w:jc w:val="center"/>
        </w:trPr>
        <w:tc>
          <w:tcPr>
            <w:tcW w:w="977" w:type="dxa"/>
            <w:tcBorders>
              <w:top w:val="single" w:color="auto" w:sz="8" w:space="0"/>
              <w:left w:val="single" w:color="auto" w:sz="12" w:space="0"/>
              <w:bottom w:val="single" w:color="auto" w:sz="8" w:space="0"/>
              <w:right w:val="single" w:color="auto" w:sz="4" w:space="0"/>
            </w:tcBorders>
            <w:vAlign w:val="bottom"/>
          </w:tcPr>
          <w:p w:rsidR="003B0815" w:rsidRDefault="003B0815" w14:paraId="1FF24DA5" w14:textId="77777777">
            <w:pPr>
              <w:keepNext/>
              <w:jc w:val="center"/>
              <w:rPr>
                <w:rFonts w:ascii="Arial" w:hAnsi="Arial" w:cs="Arial"/>
                <w:sz w:val="20"/>
                <w:szCs w:val="20"/>
              </w:rPr>
            </w:pPr>
            <w:r>
              <w:rPr>
                <w:rFonts w:ascii="Arial" w:hAnsi="Arial" w:cs="Arial"/>
                <w:sz w:val="20"/>
                <w:szCs w:val="20"/>
              </w:rPr>
              <w:t>1</w:t>
            </w:r>
          </w:p>
        </w:tc>
        <w:tc>
          <w:tcPr>
            <w:tcW w:w="1080" w:type="dxa"/>
            <w:tcBorders>
              <w:top w:val="single" w:color="auto" w:sz="8" w:space="0"/>
              <w:left w:val="single" w:color="auto" w:sz="4" w:space="0"/>
              <w:bottom w:val="single" w:color="auto" w:sz="8" w:space="0"/>
              <w:right w:val="single" w:color="auto" w:sz="4" w:space="0"/>
            </w:tcBorders>
            <w:vAlign w:val="bottom"/>
          </w:tcPr>
          <w:p w:rsidR="003B0815" w:rsidRDefault="003B0815" w14:paraId="2D99697E" w14:textId="77777777">
            <w:pPr>
              <w:keepNext/>
              <w:ind w:right="150"/>
              <w:jc w:val="right"/>
              <w:rPr>
                <w:rFonts w:ascii="Arial" w:hAnsi="Arial" w:cs="Arial"/>
                <w:sz w:val="20"/>
                <w:szCs w:val="20"/>
              </w:rPr>
            </w:pPr>
            <w:r>
              <w:rPr>
                <w:rFonts w:ascii="Arial" w:hAnsi="Arial" w:cs="Arial"/>
                <w:sz w:val="20"/>
                <w:szCs w:val="20"/>
              </w:rPr>
              <w:t>$204,000</w:t>
            </w:r>
          </w:p>
        </w:tc>
        <w:tc>
          <w:tcPr>
            <w:tcW w:w="1143" w:type="dxa"/>
            <w:tcBorders>
              <w:top w:val="single" w:color="auto" w:sz="8" w:space="0"/>
              <w:left w:val="single" w:color="auto" w:sz="4" w:space="0"/>
              <w:bottom w:val="single" w:color="auto" w:sz="8" w:space="0"/>
              <w:right w:val="single" w:color="auto" w:sz="4" w:space="0"/>
            </w:tcBorders>
            <w:vAlign w:val="bottom"/>
          </w:tcPr>
          <w:p w:rsidR="003B0815" w:rsidRDefault="003B0815" w14:paraId="7170C33D" w14:textId="77777777">
            <w:pPr>
              <w:keepNext/>
              <w:ind w:right="185"/>
              <w:jc w:val="right"/>
              <w:rPr>
                <w:rFonts w:ascii="Arial" w:hAnsi="Arial" w:cs="Arial"/>
                <w:sz w:val="20"/>
                <w:szCs w:val="20"/>
              </w:rPr>
            </w:pPr>
            <w:r>
              <w:rPr>
                <w:rFonts w:ascii="Arial" w:hAnsi="Arial" w:cs="Arial"/>
                <w:sz w:val="20"/>
                <w:szCs w:val="20"/>
              </w:rPr>
              <w:t>$850</w:t>
            </w:r>
          </w:p>
        </w:tc>
        <w:tc>
          <w:tcPr>
            <w:tcW w:w="1049" w:type="dxa"/>
            <w:tcBorders>
              <w:top w:val="single" w:color="auto" w:sz="8" w:space="0"/>
              <w:left w:val="single" w:color="auto" w:sz="4" w:space="0"/>
              <w:bottom w:val="single" w:color="auto" w:sz="8" w:space="0"/>
              <w:right w:val="single" w:color="auto" w:sz="4" w:space="0"/>
            </w:tcBorders>
            <w:vAlign w:val="bottom"/>
          </w:tcPr>
          <w:p w:rsidR="003B0815" w:rsidRDefault="003B0815" w14:paraId="0DFEEB68" w14:textId="77777777">
            <w:pPr>
              <w:keepNext/>
              <w:jc w:val="center"/>
              <w:rPr>
                <w:rFonts w:ascii="Arial" w:hAnsi="Arial" w:cs="Arial"/>
                <w:sz w:val="20"/>
                <w:szCs w:val="20"/>
              </w:rPr>
            </w:pPr>
            <w:r>
              <w:rPr>
                <w:rFonts w:ascii="Arial" w:hAnsi="Arial" w:cs="Arial"/>
                <w:sz w:val="20"/>
                <w:szCs w:val="20"/>
              </w:rPr>
              <w:t>0.20%</w:t>
            </w:r>
          </w:p>
        </w:tc>
        <w:tc>
          <w:tcPr>
            <w:tcW w:w="1260" w:type="dxa"/>
            <w:tcBorders>
              <w:top w:val="single" w:color="auto" w:sz="8" w:space="0"/>
              <w:left w:val="single" w:color="auto" w:sz="4" w:space="0"/>
              <w:bottom w:val="single" w:color="auto" w:sz="8" w:space="0"/>
              <w:right w:val="single" w:color="auto" w:sz="4" w:space="0"/>
            </w:tcBorders>
            <w:vAlign w:val="bottom"/>
          </w:tcPr>
          <w:p w:rsidR="003B0815" w:rsidRDefault="003B0815" w14:paraId="0799AC28"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4" w:space="0"/>
              <w:bottom w:val="single" w:color="auto" w:sz="8" w:space="0"/>
              <w:right w:val="single" w:color="auto" w:sz="4" w:space="0"/>
            </w:tcBorders>
            <w:vAlign w:val="bottom"/>
          </w:tcPr>
          <w:p w:rsidR="003B0815" w:rsidRDefault="003B0815" w14:paraId="2D6E36ED" w14:textId="77777777">
            <w:pPr>
              <w:keepNext/>
              <w:ind w:right="151"/>
              <w:jc w:val="right"/>
              <w:rPr>
                <w:rFonts w:ascii="Arial" w:hAnsi="Arial" w:cs="Arial"/>
                <w:sz w:val="20"/>
                <w:szCs w:val="20"/>
              </w:rPr>
            </w:pPr>
            <w:r>
              <w:rPr>
                <w:rFonts w:ascii="Arial" w:hAnsi="Arial" w:cs="Arial"/>
                <w:sz w:val="20"/>
                <w:szCs w:val="20"/>
              </w:rPr>
              <w:t>$23</w:t>
            </w:r>
          </w:p>
        </w:tc>
        <w:tc>
          <w:tcPr>
            <w:tcW w:w="1260" w:type="dxa"/>
            <w:tcBorders>
              <w:top w:val="single" w:color="auto" w:sz="8" w:space="0"/>
              <w:left w:val="single" w:color="auto" w:sz="4" w:space="0"/>
              <w:bottom w:val="single" w:color="auto" w:sz="8" w:space="0"/>
              <w:right w:val="single" w:color="auto" w:sz="4" w:space="0"/>
            </w:tcBorders>
            <w:vAlign w:val="bottom"/>
          </w:tcPr>
          <w:p w:rsidR="003B0815" w:rsidRDefault="003B0815" w14:paraId="783DE501" w14:textId="77777777">
            <w:pPr>
              <w:keepNext/>
              <w:ind w:right="68"/>
              <w:jc w:val="right"/>
              <w:rPr>
                <w:rFonts w:ascii="Arial" w:hAnsi="Arial" w:cs="Arial"/>
                <w:sz w:val="20"/>
                <w:szCs w:val="20"/>
              </w:rPr>
            </w:pPr>
            <w:r>
              <w:rPr>
                <w:rFonts w:ascii="Arial" w:hAnsi="Arial" w:cs="Arial"/>
                <w:sz w:val="20"/>
                <w:szCs w:val="20"/>
              </w:rPr>
              <w:t>$873</w:t>
            </w:r>
          </w:p>
        </w:tc>
        <w:tc>
          <w:tcPr>
            <w:tcW w:w="1181" w:type="dxa"/>
            <w:tcBorders>
              <w:top w:val="single" w:color="auto" w:sz="8" w:space="0"/>
              <w:left w:val="single" w:color="auto" w:sz="4" w:space="0"/>
              <w:bottom w:val="single" w:color="auto" w:sz="8" w:space="0"/>
              <w:right w:val="single" w:color="auto" w:sz="12" w:space="0"/>
            </w:tcBorders>
            <w:vAlign w:val="bottom"/>
          </w:tcPr>
          <w:p w:rsidR="003B0815" w:rsidRDefault="003B0815" w14:paraId="79875F6E" w14:textId="77777777">
            <w:pPr>
              <w:keepNext/>
              <w:jc w:val="center"/>
              <w:rPr>
                <w:rFonts w:ascii="Arial" w:hAnsi="Arial" w:cs="Arial"/>
                <w:sz w:val="20"/>
                <w:szCs w:val="20"/>
              </w:rPr>
            </w:pPr>
            <w:r>
              <w:rPr>
                <w:rFonts w:ascii="Arial" w:hAnsi="Arial" w:cs="Arial"/>
                <w:sz w:val="20"/>
                <w:szCs w:val="20"/>
              </w:rPr>
              <w:t>0.43%</w:t>
            </w:r>
          </w:p>
        </w:tc>
      </w:tr>
      <w:tr w:rsidR="003B0815" w14:paraId="7EC93FC0"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11CEC952" w14:textId="77777777">
            <w:pPr>
              <w:keepNext/>
              <w:jc w:val="center"/>
              <w:rPr>
                <w:rFonts w:ascii="Arial" w:hAnsi="Arial" w:cs="Arial"/>
                <w:sz w:val="20"/>
                <w:szCs w:val="20"/>
              </w:rPr>
            </w:pPr>
            <w:r>
              <w:rPr>
                <w:rFonts w:ascii="Arial" w:hAnsi="Arial" w:cs="Arial"/>
                <w:sz w:val="20"/>
                <w:szCs w:val="20"/>
              </w:rPr>
              <w:t>2</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450DFE98" w14:textId="77777777">
            <w:pPr>
              <w:keepNext/>
              <w:ind w:right="150"/>
              <w:jc w:val="right"/>
              <w:rPr>
                <w:rFonts w:ascii="Arial" w:hAnsi="Arial" w:cs="Arial"/>
                <w:sz w:val="20"/>
                <w:szCs w:val="20"/>
              </w:rPr>
            </w:pPr>
            <w:r>
              <w:rPr>
                <w:rFonts w:ascii="Arial" w:hAnsi="Arial" w:cs="Arial"/>
                <w:sz w:val="20"/>
                <w:szCs w:val="20"/>
              </w:rPr>
              <w:t>80,300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44ECE2B6"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4EC2439F" w14:textId="77777777">
            <w:pPr>
              <w:keepNext/>
              <w:jc w:val="center"/>
              <w:rPr>
                <w:rFonts w:ascii="Arial" w:hAnsi="Arial" w:cs="Arial"/>
                <w:sz w:val="20"/>
                <w:szCs w:val="20"/>
              </w:rPr>
            </w:pPr>
            <w:r>
              <w:rPr>
                <w:rFonts w:ascii="Arial" w:hAnsi="Arial" w:cs="Arial"/>
                <w:sz w:val="20"/>
                <w:szCs w:val="20"/>
              </w:rPr>
              <w:t>0.18</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0DA90CFF"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29644B22" w14:textId="77777777">
            <w:pPr>
              <w:keepNext/>
              <w:ind w:right="151"/>
              <w:jc w:val="right"/>
              <w:rPr>
                <w:rFonts w:ascii="Arial" w:hAnsi="Arial" w:cs="Arial"/>
                <w:sz w:val="20"/>
                <w:szCs w:val="20"/>
              </w:rPr>
            </w:pPr>
            <w:r>
              <w:rPr>
                <w:rFonts w:ascii="Arial" w:hAnsi="Arial" w:cs="Arial"/>
                <w:sz w:val="20"/>
                <w:szCs w:val="20"/>
              </w:rPr>
              <w:t>21</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07A32F8C" w14:textId="77777777">
            <w:pPr>
              <w:keepNext/>
              <w:ind w:right="68"/>
              <w:jc w:val="right"/>
              <w:rPr>
                <w:rFonts w:ascii="Arial" w:hAnsi="Arial" w:cs="Arial"/>
                <w:sz w:val="20"/>
                <w:szCs w:val="20"/>
              </w:rPr>
            </w:pPr>
            <w:r>
              <w:rPr>
                <w:rFonts w:ascii="Arial" w:hAnsi="Arial" w:cs="Arial"/>
                <w:sz w:val="20"/>
                <w:szCs w:val="20"/>
              </w:rPr>
              <w:t>446</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1A63B952" w14:textId="77777777">
            <w:pPr>
              <w:keepNext/>
              <w:jc w:val="center"/>
              <w:rPr>
                <w:rFonts w:ascii="Arial" w:hAnsi="Arial" w:cs="Arial"/>
                <w:sz w:val="20"/>
                <w:szCs w:val="20"/>
              </w:rPr>
            </w:pPr>
            <w:r>
              <w:rPr>
                <w:rFonts w:ascii="Arial" w:hAnsi="Arial" w:cs="Arial"/>
                <w:sz w:val="20"/>
                <w:szCs w:val="20"/>
              </w:rPr>
              <w:t>0.56</w:t>
            </w:r>
          </w:p>
        </w:tc>
      </w:tr>
      <w:tr w:rsidR="003B0815" w14:paraId="5F6F1689"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099F951A" w14:textId="77777777">
            <w:pPr>
              <w:keepNext/>
              <w:jc w:val="center"/>
              <w:rPr>
                <w:rFonts w:ascii="Arial" w:hAnsi="Arial" w:cs="Arial"/>
                <w:sz w:val="20"/>
                <w:szCs w:val="20"/>
              </w:rPr>
            </w:pPr>
            <w:r>
              <w:rPr>
                <w:rFonts w:ascii="Arial" w:hAnsi="Arial" w:cs="Arial"/>
                <w:sz w:val="20"/>
                <w:szCs w:val="20"/>
              </w:rPr>
              <w:t>3</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4A27ACBC" w14:textId="77777777">
            <w:pPr>
              <w:keepNext/>
              <w:ind w:right="150"/>
              <w:jc w:val="right"/>
              <w:rPr>
                <w:rFonts w:ascii="Arial" w:hAnsi="Arial" w:cs="Arial"/>
                <w:sz w:val="20"/>
                <w:szCs w:val="20"/>
              </w:rPr>
            </w:pPr>
            <w:r>
              <w:rPr>
                <w:rFonts w:ascii="Arial" w:hAnsi="Arial" w:cs="Arial"/>
                <w:sz w:val="20"/>
                <w:szCs w:val="20"/>
              </w:rPr>
              <w:t>78,100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6F1A7B2A"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65F3F669" w14:textId="77777777">
            <w:pPr>
              <w:keepNext/>
              <w:jc w:val="center"/>
              <w:rPr>
                <w:rFonts w:ascii="Arial" w:hAnsi="Arial" w:cs="Arial"/>
                <w:sz w:val="20"/>
                <w:szCs w:val="20"/>
              </w:rPr>
            </w:pPr>
            <w:r>
              <w:rPr>
                <w:rFonts w:ascii="Arial" w:hAnsi="Arial" w:cs="Arial"/>
                <w:sz w:val="20"/>
                <w:szCs w:val="20"/>
              </w:rPr>
              <w:t>0.13</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5B411999"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6B7FDB4B" w14:textId="77777777">
            <w:pPr>
              <w:keepNext/>
              <w:ind w:right="151"/>
              <w:jc w:val="right"/>
              <w:rPr>
                <w:rFonts w:ascii="Arial" w:hAnsi="Arial" w:cs="Arial"/>
                <w:sz w:val="20"/>
                <w:szCs w:val="20"/>
              </w:rPr>
            </w:pPr>
            <w:r>
              <w:rPr>
                <w:rFonts w:ascii="Arial" w:hAnsi="Arial" w:cs="Arial"/>
                <w:sz w:val="20"/>
                <w:szCs w:val="20"/>
              </w:rPr>
              <w:t>15</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230CCED9" w14:textId="77777777">
            <w:pPr>
              <w:keepNext/>
              <w:ind w:right="68"/>
              <w:jc w:val="right"/>
              <w:rPr>
                <w:rFonts w:ascii="Arial" w:hAnsi="Arial" w:cs="Arial"/>
                <w:sz w:val="20"/>
                <w:szCs w:val="20"/>
              </w:rPr>
            </w:pPr>
            <w:r>
              <w:rPr>
                <w:rFonts w:ascii="Arial" w:hAnsi="Arial" w:cs="Arial"/>
                <w:sz w:val="20"/>
                <w:szCs w:val="20"/>
              </w:rPr>
              <w:t>440</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3D682563" w14:textId="77777777">
            <w:pPr>
              <w:keepNext/>
              <w:jc w:val="center"/>
              <w:rPr>
                <w:rFonts w:ascii="Arial" w:hAnsi="Arial" w:cs="Arial"/>
                <w:sz w:val="20"/>
                <w:szCs w:val="20"/>
              </w:rPr>
            </w:pPr>
            <w:r>
              <w:rPr>
                <w:rFonts w:ascii="Arial" w:hAnsi="Arial" w:cs="Arial"/>
                <w:sz w:val="20"/>
                <w:szCs w:val="20"/>
              </w:rPr>
              <w:t>0.56</w:t>
            </w:r>
          </w:p>
        </w:tc>
      </w:tr>
      <w:tr w:rsidR="003B0815" w14:paraId="00D6EADF"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43C0823A" w14:textId="77777777">
            <w:pPr>
              <w:keepNext/>
              <w:jc w:val="center"/>
              <w:rPr>
                <w:rFonts w:ascii="Arial" w:hAnsi="Arial" w:cs="Arial"/>
                <w:sz w:val="20"/>
                <w:szCs w:val="20"/>
              </w:rPr>
            </w:pPr>
            <w:r>
              <w:rPr>
                <w:rFonts w:ascii="Arial" w:hAnsi="Arial" w:cs="Arial"/>
                <w:sz w:val="20"/>
                <w:szCs w:val="20"/>
              </w:rPr>
              <w:t>4</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4B50B998" w14:textId="77777777">
            <w:pPr>
              <w:keepNext/>
              <w:ind w:right="150"/>
              <w:jc w:val="right"/>
              <w:rPr>
                <w:rFonts w:ascii="Arial" w:hAnsi="Arial" w:cs="Arial"/>
                <w:sz w:val="20"/>
                <w:szCs w:val="20"/>
              </w:rPr>
            </w:pPr>
            <w:r>
              <w:rPr>
                <w:rFonts w:ascii="Arial" w:hAnsi="Arial" w:cs="Arial"/>
                <w:sz w:val="20"/>
                <w:szCs w:val="20"/>
              </w:rPr>
              <w:t>60,000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72ECE3D7"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04EDB754" w14:textId="77777777">
            <w:pPr>
              <w:keepNext/>
              <w:jc w:val="center"/>
              <w:rPr>
                <w:rFonts w:ascii="Arial" w:hAnsi="Arial" w:cs="Arial"/>
                <w:sz w:val="20"/>
                <w:szCs w:val="20"/>
              </w:rPr>
            </w:pPr>
            <w:r>
              <w:rPr>
                <w:rFonts w:ascii="Arial" w:hAnsi="Arial" w:cs="Arial"/>
                <w:sz w:val="20"/>
                <w:szCs w:val="20"/>
              </w:rPr>
              <w:t>0.07</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2E9ECDAF"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1D4586F2" w14:textId="77777777">
            <w:pPr>
              <w:keepNext/>
              <w:ind w:right="151"/>
              <w:jc w:val="right"/>
              <w:rPr>
                <w:rFonts w:ascii="Arial" w:hAnsi="Arial" w:cs="Arial"/>
                <w:sz w:val="20"/>
                <w:szCs w:val="20"/>
              </w:rPr>
            </w:pPr>
            <w:r>
              <w:rPr>
                <w:rFonts w:ascii="Arial" w:hAnsi="Arial" w:cs="Arial"/>
                <w:sz w:val="20"/>
                <w:szCs w:val="20"/>
              </w:rPr>
              <w:t>8</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0F56B9A0" w14:textId="77777777">
            <w:pPr>
              <w:keepNext/>
              <w:ind w:right="68"/>
              <w:jc w:val="right"/>
              <w:rPr>
                <w:rFonts w:ascii="Arial" w:hAnsi="Arial" w:cs="Arial"/>
                <w:sz w:val="20"/>
                <w:szCs w:val="20"/>
              </w:rPr>
            </w:pPr>
            <w:r>
              <w:rPr>
                <w:rFonts w:ascii="Arial" w:hAnsi="Arial" w:cs="Arial"/>
                <w:sz w:val="20"/>
                <w:szCs w:val="20"/>
              </w:rPr>
              <w:t>433</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0D1BDC16" w14:textId="77777777">
            <w:pPr>
              <w:keepNext/>
              <w:jc w:val="center"/>
              <w:rPr>
                <w:rFonts w:ascii="Arial" w:hAnsi="Arial" w:cs="Arial"/>
                <w:sz w:val="20"/>
                <w:szCs w:val="20"/>
              </w:rPr>
            </w:pPr>
            <w:r>
              <w:rPr>
                <w:rFonts w:ascii="Arial" w:hAnsi="Arial" w:cs="Arial"/>
                <w:sz w:val="20"/>
                <w:szCs w:val="20"/>
              </w:rPr>
              <w:t>0.72</w:t>
            </w:r>
          </w:p>
        </w:tc>
      </w:tr>
      <w:tr w:rsidR="003B0815" w14:paraId="48614CFA"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4FFD2D4D" w14:textId="77777777">
            <w:pPr>
              <w:keepNext/>
              <w:jc w:val="center"/>
              <w:rPr>
                <w:rFonts w:ascii="Arial" w:hAnsi="Arial" w:cs="Arial"/>
                <w:sz w:val="20"/>
                <w:szCs w:val="20"/>
              </w:rPr>
            </w:pPr>
            <w:r>
              <w:rPr>
                <w:rFonts w:ascii="Arial" w:hAnsi="Arial" w:cs="Arial"/>
                <w:sz w:val="20"/>
                <w:szCs w:val="20"/>
              </w:rPr>
              <w:t>5</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3EBFB6F8" w14:textId="77777777">
            <w:pPr>
              <w:keepNext/>
              <w:ind w:right="150"/>
              <w:jc w:val="right"/>
              <w:rPr>
                <w:rFonts w:ascii="Arial" w:hAnsi="Arial" w:cs="Arial"/>
                <w:sz w:val="20"/>
                <w:szCs w:val="20"/>
              </w:rPr>
            </w:pPr>
            <w:r>
              <w:rPr>
                <w:rFonts w:ascii="Arial" w:hAnsi="Arial" w:cs="Arial"/>
                <w:sz w:val="20"/>
                <w:szCs w:val="20"/>
              </w:rPr>
              <w:t>45,100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5BDB1EC9"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0038E4EF" w14:textId="77777777">
            <w:pPr>
              <w:keepNext/>
              <w:jc w:val="center"/>
              <w:rPr>
                <w:rFonts w:ascii="Arial" w:hAnsi="Arial" w:cs="Arial"/>
                <w:sz w:val="20"/>
                <w:szCs w:val="20"/>
              </w:rPr>
            </w:pPr>
            <w:r>
              <w:rPr>
                <w:rFonts w:ascii="Arial" w:hAnsi="Arial" w:cs="Arial"/>
                <w:sz w:val="20"/>
                <w:szCs w:val="20"/>
              </w:rPr>
              <w:t>0.10</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21B3451F"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756F74C0" w14:textId="77777777">
            <w:pPr>
              <w:keepNext/>
              <w:ind w:right="151"/>
              <w:jc w:val="right"/>
              <w:rPr>
                <w:rFonts w:ascii="Arial" w:hAnsi="Arial" w:cs="Arial"/>
                <w:sz w:val="20"/>
                <w:szCs w:val="20"/>
              </w:rPr>
            </w:pPr>
            <w:r>
              <w:rPr>
                <w:rFonts w:ascii="Arial" w:hAnsi="Arial" w:cs="Arial"/>
                <w:sz w:val="20"/>
                <w:szCs w:val="20"/>
              </w:rPr>
              <w:t>12</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4FDEE4B5" w14:textId="77777777">
            <w:pPr>
              <w:keepNext/>
              <w:ind w:right="68"/>
              <w:jc w:val="right"/>
              <w:rPr>
                <w:rFonts w:ascii="Arial" w:hAnsi="Arial" w:cs="Arial"/>
                <w:sz w:val="20"/>
                <w:szCs w:val="20"/>
              </w:rPr>
            </w:pPr>
            <w:r>
              <w:rPr>
                <w:rFonts w:ascii="Arial" w:hAnsi="Arial" w:cs="Arial"/>
                <w:sz w:val="20"/>
                <w:szCs w:val="20"/>
              </w:rPr>
              <w:t>437</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34F8D071" w14:textId="77777777">
            <w:pPr>
              <w:keepNext/>
              <w:jc w:val="center"/>
              <w:rPr>
                <w:rFonts w:ascii="Arial" w:hAnsi="Arial" w:cs="Arial"/>
                <w:sz w:val="20"/>
                <w:szCs w:val="20"/>
              </w:rPr>
            </w:pPr>
            <w:r>
              <w:rPr>
                <w:rFonts w:ascii="Arial" w:hAnsi="Arial" w:cs="Arial"/>
                <w:sz w:val="20"/>
                <w:szCs w:val="20"/>
              </w:rPr>
              <w:t>0.97</w:t>
            </w:r>
          </w:p>
        </w:tc>
      </w:tr>
      <w:tr w:rsidR="003B0815" w14:paraId="4DB61C6A"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57D2E910" w14:textId="77777777">
            <w:pPr>
              <w:keepNext/>
              <w:jc w:val="center"/>
              <w:rPr>
                <w:rFonts w:ascii="Arial" w:hAnsi="Arial" w:cs="Arial"/>
                <w:sz w:val="20"/>
                <w:szCs w:val="20"/>
              </w:rPr>
            </w:pPr>
            <w:r>
              <w:rPr>
                <w:rFonts w:ascii="Arial" w:hAnsi="Arial" w:cs="Arial"/>
                <w:sz w:val="20"/>
                <w:szCs w:val="20"/>
              </w:rPr>
              <w:t>6</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5143E746" w14:textId="77777777">
            <w:pPr>
              <w:keepNext/>
              <w:ind w:right="150"/>
              <w:jc w:val="right"/>
              <w:rPr>
                <w:rFonts w:ascii="Arial" w:hAnsi="Arial" w:cs="Arial"/>
                <w:sz w:val="20"/>
                <w:szCs w:val="20"/>
              </w:rPr>
            </w:pPr>
            <w:r>
              <w:rPr>
                <w:rFonts w:ascii="Arial" w:hAnsi="Arial" w:cs="Arial"/>
                <w:sz w:val="20"/>
                <w:szCs w:val="20"/>
              </w:rPr>
              <w:t>42,800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350C47D0"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332BD92B" w14:textId="77777777">
            <w:pPr>
              <w:keepNext/>
              <w:jc w:val="center"/>
              <w:rPr>
                <w:rFonts w:ascii="Arial" w:hAnsi="Arial" w:cs="Arial"/>
                <w:sz w:val="20"/>
                <w:szCs w:val="20"/>
              </w:rPr>
            </w:pPr>
            <w:r>
              <w:rPr>
                <w:rFonts w:ascii="Arial" w:hAnsi="Arial" w:cs="Arial"/>
                <w:sz w:val="20"/>
                <w:szCs w:val="20"/>
              </w:rPr>
              <w:t>0.09</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343721F6"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421E9DF4" w14:textId="77777777">
            <w:pPr>
              <w:keepNext/>
              <w:ind w:right="151"/>
              <w:jc w:val="right"/>
              <w:rPr>
                <w:rFonts w:ascii="Arial" w:hAnsi="Arial" w:cs="Arial"/>
                <w:sz w:val="20"/>
                <w:szCs w:val="20"/>
              </w:rPr>
            </w:pPr>
            <w:r>
              <w:rPr>
                <w:rFonts w:ascii="Arial" w:hAnsi="Arial" w:cs="Arial"/>
                <w:sz w:val="20"/>
                <w:szCs w:val="20"/>
              </w:rPr>
              <w:t>11</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2B9E6D56" w14:textId="77777777">
            <w:pPr>
              <w:keepNext/>
              <w:ind w:right="68"/>
              <w:jc w:val="right"/>
              <w:rPr>
                <w:rFonts w:ascii="Arial" w:hAnsi="Arial" w:cs="Arial"/>
                <w:sz w:val="20"/>
                <w:szCs w:val="20"/>
              </w:rPr>
            </w:pPr>
            <w:r>
              <w:rPr>
                <w:rFonts w:ascii="Arial" w:hAnsi="Arial" w:cs="Arial"/>
                <w:sz w:val="20"/>
                <w:szCs w:val="20"/>
              </w:rPr>
              <w:t>436</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77D551F5" w14:textId="77777777">
            <w:pPr>
              <w:keepNext/>
              <w:jc w:val="center"/>
              <w:rPr>
                <w:rFonts w:ascii="Arial" w:hAnsi="Arial" w:cs="Arial"/>
                <w:sz w:val="20"/>
                <w:szCs w:val="20"/>
              </w:rPr>
            </w:pPr>
            <w:r>
              <w:rPr>
                <w:rFonts w:ascii="Arial" w:hAnsi="Arial" w:cs="Arial"/>
                <w:sz w:val="20"/>
                <w:szCs w:val="20"/>
              </w:rPr>
              <w:t>1.02</w:t>
            </w:r>
          </w:p>
        </w:tc>
      </w:tr>
      <w:tr w:rsidR="003B0815" w14:paraId="4FA64EE9"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5E6CE473" w14:textId="77777777">
            <w:pPr>
              <w:keepNext/>
              <w:jc w:val="center"/>
              <w:rPr>
                <w:rFonts w:ascii="Arial" w:hAnsi="Arial" w:cs="Arial"/>
                <w:sz w:val="20"/>
                <w:szCs w:val="20"/>
              </w:rPr>
            </w:pPr>
            <w:r>
              <w:rPr>
                <w:rFonts w:ascii="Arial" w:hAnsi="Arial" w:cs="Arial"/>
                <w:sz w:val="20"/>
                <w:szCs w:val="20"/>
              </w:rPr>
              <w:t>7</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1284F6BB" w14:textId="77777777">
            <w:pPr>
              <w:keepNext/>
              <w:ind w:right="150"/>
              <w:jc w:val="right"/>
              <w:rPr>
                <w:rFonts w:ascii="Arial" w:hAnsi="Arial" w:cs="Arial"/>
                <w:sz w:val="20"/>
                <w:szCs w:val="20"/>
              </w:rPr>
            </w:pPr>
            <w:r>
              <w:rPr>
                <w:rFonts w:ascii="Arial" w:hAnsi="Arial" w:cs="Arial"/>
                <w:sz w:val="20"/>
                <w:szCs w:val="20"/>
              </w:rPr>
              <w:t>18,600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11FA2D71"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45AE02CB" w14:textId="77777777">
            <w:pPr>
              <w:keepNext/>
              <w:jc w:val="center"/>
              <w:rPr>
                <w:rFonts w:ascii="Arial" w:hAnsi="Arial" w:cs="Arial"/>
                <w:sz w:val="20"/>
                <w:szCs w:val="20"/>
              </w:rPr>
            </w:pPr>
            <w:r>
              <w:rPr>
                <w:rFonts w:ascii="Arial" w:hAnsi="Arial" w:cs="Arial"/>
                <w:sz w:val="20"/>
                <w:szCs w:val="20"/>
              </w:rPr>
              <w:t>0.01</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3FAE0F2C"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1388D444" w14:textId="77777777">
            <w:pPr>
              <w:keepNext/>
              <w:ind w:right="151"/>
              <w:jc w:val="right"/>
              <w:rPr>
                <w:rFonts w:ascii="Arial" w:hAnsi="Arial" w:cs="Arial"/>
                <w:sz w:val="20"/>
                <w:szCs w:val="20"/>
              </w:rPr>
            </w:pPr>
            <w:r>
              <w:rPr>
                <w:rFonts w:ascii="Arial" w:hAnsi="Arial" w:cs="Arial"/>
                <w:sz w:val="20"/>
                <w:szCs w:val="20"/>
              </w:rPr>
              <w:t>1</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034400E9" w14:textId="77777777">
            <w:pPr>
              <w:keepNext/>
              <w:ind w:right="68"/>
              <w:jc w:val="right"/>
              <w:rPr>
                <w:rFonts w:ascii="Arial" w:hAnsi="Arial" w:cs="Arial"/>
                <w:sz w:val="20"/>
                <w:szCs w:val="20"/>
              </w:rPr>
            </w:pPr>
            <w:r>
              <w:rPr>
                <w:rFonts w:ascii="Arial" w:hAnsi="Arial" w:cs="Arial"/>
                <w:sz w:val="20"/>
                <w:szCs w:val="20"/>
              </w:rPr>
              <w:t>426</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62E393B4" w14:textId="77777777">
            <w:pPr>
              <w:keepNext/>
              <w:jc w:val="center"/>
              <w:rPr>
                <w:rFonts w:ascii="Arial" w:hAnsi="Arial" w:cs="Arial"/>
                <w:sz w:val="20"/>
                <w:szCs w:val="20"/>
              </w:rPr>
            </w:pPr>
            <w:r>
              <w:rPr>
                <w:rFonts w:ascii="Arial" w:hAnsi="Arial" w:cs="Arial"/>
                <w:sz w:val="20"/>
                <w:szCs w:val="20"/>
              </w:rPr>
              <w:t>2.29</w:t>
            </w:r>
          </w:p>
        </w:tc>
      </w:tr>
      <w:tr w:rsidR="003B0815" w14:paraId="7504D2A1"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3A2E2E6A" w14:textId="77777777">
            <w:pPr>
              <w:keepNext/>
              <w:jc w:val="center"/>
              <w:rPr>
                <w:rFonts w:ascii="Arial" w:hAnsi="Arial" w:cs="Arial"/>
                <w:sz w:val="20"/>
                <w:szCs w:val="20"/>
              </w:rPr>
            </w:pPr>
            <w:r>
              <w:rPr>
                <w:rFonts w:ascii="Arial" w:hAnsi="Arial" w:cs="Arial"/>
                <w:sz w:val="20"/>
                <w:szCs w:val="20"/>
              </w:rPr>
              <w:t>8</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18B77652" w14:textId="77777777">
            <w:pPr>
              <w:keepNext/>
              <w:ind w:right="150"/>
              <w:jc w:val="right"/>
              <w:rPr>
                <w:rFonts w:ascii="Arial" w:hAnsi="Arial" w:cs="Arial"/>
                <w:sz w:val="20"/>
                <w:szCs w:val="20"/>
              </w:rPr>
            </w:pPr>
            <w:r>
              <w:rPr>
                <w:rFonts w:ascii="Arial" w:hAnsi="Arial" w:cs="Arial"/>
                <w:sz w:val="20"/>
                <w:szCs w:val="20"/>
              </w:rPr>
              <w:t>39,600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5142EB26"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0F43F5F6" w14:textId="77777777">
            <w:pPr>
              <w:keepNext/>
              <w:jc w:val="center"/>
              <w:rPr>
                <w:rFonts w:ascii="Arial" w:hAnsi="Arial" w:cs="Arial"/>
                <w:sz w:val="20"/>
                <w:szCs w:val="20"/>
              </w:rPr>
            </w:pPr>
            <w:r>
              <w:rPr>
                <w:rFonts w:ascii="Arial" w:hAnsi="Arial" w:cs="Arial"/>
                <w:sz w:val="20"/>
                <w:szCs w:val="20"/>
              </w:rPr>
              <w:t>0.06</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3D3F9A16"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4C070EEA" w14:textId="77777777">
            <w:pPr>
              <w:keepNext/>
              <w:ind w:right="151"/>
              <w:jc w:val="right"/>
              <w:rPr>
                <w:rFonts w:ascii="Arial" w:hAnsi="Arial" w:cs="Arial"/>
                <w:sz w:val="20"/>
                <w:szCs w:val="20"/>
              </w:rPr>
            </w:pPr>
            <w:r>
              <w:rPr>
                <w:rFonts w:ascii="Arial" w:hAnsi="Arial" w:cs="Arial"/>
                <w:sz w:val="20"/>
                <w:szCs w:val="20"/>
              </w:rPr>
              <w:t>7</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45D40771" w14:textId="77777777">
            <w:pPr>
              <w:keepNext/>
              <w:ind w:right="68"/>
              <w:jc w:val="right"/>
              <w:rPr>
                <w:rFonts w:ascii="Arial" w:hAnsi="Arial" w:cs="Arial"/>
                <w:sz w:val="20"/>
                <w:szCs w:val="20"/>
              </w:rPr>
            </w:pPr>
            <w:r>
              <w:rPr>
                <w:rFonts w:ascii="Arial" w:hAnsi="Arial" w:cs="Arial"/>
                <w:sz w:val="20"/>
                <w:szCs w:val="20"/>
              </w:rPr>
              <w:t>432</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722E4B1F" w14:textId="77777777">
            <w:pPr>
              <w:keepNext/>
              <w:jc w:val="center"/>
              <w:rPr>
                <w:rFonts w:ascii="Arial" w:hAnsi="Arial" w:cs="Arial"/>
                <w:sz w:val="20"/>
                <w:szCs w:val="20"/>
              </w:rPr>
            </w:pPr>
            <w:r>
              <w:rPr>
                <w:rFonts w:ascii="Arial" w:hAnsi="Arial" w:cs="Arial"/>
                <w:sz w:val="20"/>
                <w:szCs w:val="20"/>
              </w:rPr>
              <w:t>1.09</w:t>
            </w:r>
          </w:p>
        </w:tc>
      </w:tr>
      <w:tr w:rsidR="003B0815" w14:paraId="6F9A045A"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551159C1" w14:textId="77777777">
            <w:pPr>
              <w:keepNext/>
              <w:jc w:val="center"/>
              <w:rPr>
                <w:rFonts w:ascii="Arial" w:hAnsi="Arial" w:cs="Arial"/>
                <w:sz w:val="20"/>
                <w:szCs w:val="20"/>
              </w:rPr>
            </w:pPr>
            <w:r>
              <w:rPr>
                <w:rFonts w:ascii="Arial" w:hAnsi="Arial" w:cs="Arial"/>
                <w:sz w:val="20"/>
                <w:szCs w:val="20"/>
              </w:rPr>
              <w:t>9</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15AD3747" w14:textId="77777777">
            <w:pPr>
              <w:keepNext/>
              <w:ind w:right="150"/>
              <w:jc w:val="right"/>
              <w:rPr>
                <w:rFonts w:ascii="Arial" w:hAnsi="Arial" w:cs="Arial"/>
                <w:sz w:val="20"/>
                <w:szCs w:val="20"/>
              </w:rPr>
            </w:pPr>
            <w:r>
              <w:rPr>
                <w:rFonts w:ascii="Arial" w:hAnsi="Arial" w:cs="Arial"/>
                <w:sz w:val="20"/>
                <w:szCs w:val="20"/>
              </w:rPr>
              <w:t>24,000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312E636E"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5BA9351F" w14:textId="77777777">
            <w:pPr>
              <w:keepNext/>
              <w:jc w:val="center"/>
              <w:rPr>
                <w:rFonts w:ascii="Arial" w:hAnsi="Arial" w:cs="Arial"/>
                <w:sz w:val="20"/>
                <w:szCs w:val="20"/>
              </w:rPr>
            </w:pPr>
            <w:r>
              <w:rPr>
                <w:rFonts w:ascii="Arial" w:hAnsi="Arial" w:cs="Arial"/>
                <w:sz w:val="20"/>
                <w:szCs w:val="20"/>
              </w:rPr>
              <w:t>0.02</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0567CF04"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7A7D7D61" w14:textId="77777777">
            <w:pPr>
              <w:keepNext/>
              <w:ind w:right="151"/>
              <w:jc w:val="right"/>
              <w:rPr>
                <w:rFonts w:ascii="Arial" w:hAnsi="Arial" w:cs="Arial"/>
                <w:sz w:val="20"/>
                <w:szCs w:val="20"/>
              </w:rPr>
            </w:pPr>
            <w:r>
              <w:rPr>
                <w:rFonts w:ascii="Arial" w:hAnsi="Arial" w:cs="Arial"/>
                <w:sz w:val="20"/>
                <w:szCs w:val="20"/>
              </w:rPr>
              <w:t>2</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3B3FE388" w14:textId="77777777">
            <w:pPr>
              <w:keepNext/>
              <w:ind w:right="68"/>
              <w:jc w:val="right"/>
              <w:rPr>
                <w:rFonts w:ascii="Arial" w:hAnsi="Arial" w:cs="Arial"/>
                <w:sz w:val="20"/>
                <w:szCs w:val="20"/>
              </w:rPr>
            </w:pPr>
            <w:r>
              <w:rPr>
                <w:rFonts w:ascii="Arial" w:hAnsi="Arial" w:cs="Arial"/>
                <w:sz w:val="20"/>
                <w:szCs w:val="20"/>
              </w:rPr>
              <w:t>427</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1D08A476" w14:textId="77777777">
            <w:pPr>
              <w:keepNext/>
              <w:jc w:val="center"/>
              <w:rPr>
                <w:rFonts w:ascii="Arial" w:hAnsi="Arial" w:cs="Arial"/>
                <w:sz w:val="20"/>
                <w:szCs w:val="20"/>
              </w:rPr>
            </w:pPr>
            <w:r>
              <w:rPr>
                <w:rFonts w:ascii="Arial" w:hAnsi="Arial" w:cs="Arial"/>
                <w:sz w:val="20"/>
                <w:szCs w:val="20"/>
              </w:rPr>
              <w:t>1.78</w:t>
            </w:r>
          </w:p>
        </w:tc>
      </w:tr>
      <w:tr w:rsidR="003B0815" w14:paraId="559B039E" w14:textId="77777777">
        <w:trPr>
          <w:jc w:val="center"/>
        </w:trPr>
        <w:tc>
          <w:tcPr>
            <w:tcW w:w="977" w:type="dxa"/>
            <w:tcBorders>
              <w:top w:val="single" w:color="auto" w:sz="8" w:space="0"/>
              <w:left w:val="single" w:color="auto" w:sz="12" w:space="0"/>
              <w:bottom w:val="single" w:color="auto" w:sz="8" w:space="0"/>
              <w:right w:val="single" w:color="auto" w:sz="8" w:space="0"/>
            </w:tcBorders>
            <w:vAlign w:val="bottom"/>
          </w:tcPr>
          <w:p w:rsidR="003B0815" w:rsidRDefault="003B0815" w14:paraId="02A5E776" w14:textId="77777777">
            <w:pPr>
              <w:keepNext/>
              <w:jc w:val="center"/>
              <w:rPr>
                <w:rFonts w:ascii="Arial" w:hAnsi="Arial" w:cs="Arial"/>
                <w:sz w:val="20"/>
                <w:szCs w:val="20"/>
              </w:rPr>
            </w:pPr>
            <w:r>
              <w:rPr>
                <w:rFonts w:ascii="Arial" w:hAnsi="Arial" w:cs="Arial"/>
                <w:sz w:val="20"/>
                <w:szCs w:val="20"/>
              </w:rPr>
              <w:t>10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31AD4999" w14:textId="77777777">
            <w:pPr>
              <w:keepNext/>
              <w:ind w:right="150"/>
              <w:jc w:val="right"/>
              <w:rPr>
                <w:rFonts w:ascii="Arial" w:hAnsi="Arial" w:cs="Arial"/>
                <w:sz w:val="20"/>
                <w:szCs w:val="20"/>
              </w:rPr>
            </w:pPr>
            <w:r>
              <w:rPr>
                <w:rFonts w:ascii="Arial" w:hAnsi="Arial" w:cs="Arial"/>
                <w:sz w:val="20"/>
                <w:szCs w:val="20"/>
              </w:rPr>
              <w:t>$5,000</w:t>
            </w:r>
          </w:p>
        </w:tc>
        <w:tc>
          <w:tcPr>
            <w:tcW w:w="1143" w:type="dxa"/>
            <w:tcBorders>
              <w:top w:val="single" w:color="auto" w:sz="8" w:space="0"/>
              <w:left w:val="single" w:color="auto" w:sz="8" w:space="0"/>
              <w:bottom w:val="single" w:color="auto" w:sz="8" w:space="0"/>
              <w:right w:val="single" w:color="auto" w:sz="8" w:space="0"/>
            </w:tcBorders>
            <w:vAlign w:val="bottom"/>
          </w:tcPr>
          <w:p w:rsidR="003B0815" w:rsidRDefault="003B0815" w14:paraId="5FED411C" w14:textId="77777777">
            <w:pPr>
              <w:keepNext/>
              <w:ind w:right="185"/>
              <w:jc w:val="right"/>
              <w:rPr>
                <w:rFonts w:ascii="Arial" w:hAnsi="Arial" w:cs="Arial"/>
                <w:sz w:val="20"/>
                <w:szCs w:val="20"/>
              </w:rPr>
            </w:pPr>
            <w:r>
              <w:rPr>
                <w:rFonts w:ascii="Arial" w:hAnsi="Arial" w:cs="Arial"/>
                <w:sz w:val="20"/>
                <w:szCs w:val="20"/>
              </w:rPr>
              <w:t>$425</w:t>
            </w:r>
          </w:p>
        </w:tc>
        <w:tc>
          <w:tcPr>
            <w:tcW w:w="1049" w:type="dxa"/>
            <w:tcBorders>
              <w:top w:val="single" w:color="auto" w:sz="8" w:space="0"/>
              <w:left w:val="single" w:color="auto" w:sz="8" w:space="0"/>
              <w:bottom w:val="single" w:color="auto" w:sz="8" w:space="0"/>
              <w:right w:val="single" w:color="auto" w:sz="8" w:space="0"/>
            </w:tcBorders>
            <w:vAlign w:val="bottom"/>
          </w:tcPr>
          <w:p w:rsidR="003B0815" w:rsidRDefault="003B0815" w14:paraId="2BE7A770" w14:textId="77777777">
            <w:pPr>
              <w:keepNext/>
              <w:jc w:val="center"/>
              <w:rPr>
                <w:rFonts w:ascii="Arial" w:hAnsi="Arial" w:cs="Arial"/>
                <w:sz w:val="20"/>
                <w:szCs w:val="20"/>
              </w:rPr>
            </w:pPr>
            <w:r>
              <w:rPr>
                <w:rFonts w:ascii="Arial" w:hAnsi="Arial" w:cs="Arial"/>
                <w:sz w:val="20"/>
                <w:szCs w:val="20"/>
              </w:rPr>
              <w:t>0.01%</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710F4C7A" w14:textId="77777777">
            <w:pPr>
              <w:keepNext/>
              <w:ind w:right="119"/>
              <w:jc w:val="right"/>
              <w:rPr>
                <w:rFonts w:ascii="Arial" w:hAnsi="Arial" w:cs="Arial"/>
                <w:sz w:val="20"/>
                <w:szCs w:val="20"/>
              </w:rPr>
            </w:pPr>
            <w:r>
              <w:rPr>
                <w:rFonts w:ascii="Arial" w:hAnsi="Arial" w:cs="Arial"/>
                <w:sz w:val="20"/>
                <w:szCs w:val="20"/>
              </w:rPr>
              <w:t>$11,690</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72F5C786" w14:textId="77777777">
            <w:pPr>
              <w:keepNext/>
              <w:ind w:right="151"/>
              <w:jc w:val="right"/>
              <w:rPr>
                <w:rFonts w:ascii="Arial" w:hAnsi="Arial" w:cs="Arial"/>
                <w:sz w:val="20"/>
                <w:szCs w:val="20"/>
              </w:rPr>
            </w:pPr>
            <w:r>
              <w:rPr>
                <w:rFonts w:ascii="Arial" w:hAnsi="Arial" w:cs="Arial"/>
                <w:sz w:val="20"/>
                <w:szCs w:val="20"/>
              </w:rPr>
              <w:t>$1</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59F44C66" w14:textId="77777777">
            <w:pPr>
              <w:keepNext/>
              <w:ind w:right="68"/>
              <w:jc w:val="right"/>
              <w:rPr>
                <w:rFonts w:ascii="Arial" w:hAnsi="Arial" w:cs="Arial"/>
                <w:sz w:val="20"/>
                <w:szCs w:val="20"/>
              </w:rPr>
            </w:pPr>
            <w:r>
              <w:rPr>
                <w:rFonts w:ascii="Arial" w:hAnsi="Arial" w:cs="Arial"/>
                <w:sz w:val="20"/>
                <w:szCs w:val="20"/>
              </w:rPr>
              <w:t>$426</w:t>
            </w:r>
          </w:p>
        </w:tc>
        <w:tc>
          <w:tcPr>
            <w:tcW w:w="1181" w:type="dxa"/>
            <w:tcBorders>
              <w:top w:val="single" w:color="auto" w:sz="8" w:space="0"/>
              <w:left w:val="single" w:color="auto" w:sz="8" w:space="0"/>
              <w:bottom w:val="single" w:color="auto" w:sz="8" w:space="0"/>
              <w:right w:val="single" w:color="auto" w:sz="12" w:space="0"/>
            </w:tcBorders>
            <w:vAlign w:val="bottom"/>
          </w:tcPr>
          <w:p w:rsidR="003B0815" w:rsidRDefault="003B0815" w14:paraId="0C23D47A" w14:textId="77777777">
            <w:pPr>
              <w:keepNext/>
              <w:jc w:val="center"/>
              <w:rPr>
                <w:rFonts w:ascii="Arial" w:hAnsi="Arial" w:cs="Arial"/>
                <w:sz w:val="20"/>
                <w:szCs w:val="20"/>
              </w:rPr>
            </w:pPr>
            <w:r>
              <w:rPr>
                <w:rFonts w:ascii="Arial" w:hAnsi="Arial" w:cs="Arial"/>
                <w:sz w:val="20"/>
                <w:szCs w:val="20"/>
              </w:rPr>
              <w:t>8.52%</w:t>
            </w:r>
          </w:p>
        </w:tc>
      </w:tr>
      <w:tr w:rsidR="003B0815" w14:paraId="489C1878" w14:textId="77777777">
        <w:trPr>
          <w:jc w:val="center"/>
        </w:trPr>
        <w:tc>
          <w:tcPr>
            <w:tcW w:w="9030" w:type="dxa"/>
            <w:gridSpan w:val="8"/>
            <w:tcBorders>
              <w:top w:val="single" w:color="auto" w:sz="12" w:space="0"/>
              <w:left w:val="nil"/>
              <w:bottom w:val="nil"/>
              <w:right w:val="nil"/>
            </w:tcBorders>
            <w:vAlign w:val="bottom"/>
          </w:tcPr>
          <w:p w:rsidR="003B0815" w:rsidRDefault="003B0815" w14:paraId="36E6A030" w14:textId="77777777">
            <w:pPr>
              <w:keepNext/>
              <w:rPr>
                <w:rFonts w:ascii="Arial" w:hAnsi="Arial" w:cs="Arial"/>
                <w:sz w:val="20"/>
                <w:szCs w:val="20"/>
              </w:rPr>
            </w:pPr>
            <w:r>
              <w:rPr>
                <w:rFonts w:ascii="Arial" w:hAnsi="Arial" w:cs="Arial"/>
                <w:sz w:val="20"/>
                <w:szCs w:val="20"/>
              </w:rPr>
              <w:t>* Reflect totals from the high case scenario presented in the regulatory evaluation.</w:t>
            </w:r>
          </w:p>
        </w:tc>
      </w:tr>
    </w:tbl>
    <w:p w:rsidR="003B0815" w:rsidRDefault="003B0815" w14:paraId="276394ED" w14:textId="77777777">
      <w:pPr>
        <w:spacing w:line="360" w:lineRule="auto"/>
        <w:rPr>
          <w:rFonts w:eastAsia="MS Mincho"/>
        </w:rPr>
      </w:pPr>
    </w:p>
    <w:p w:rsidR="003B0815" w:rsidRDefault="003B0815" w14:paraId="32552011" w14:textId="77777777">
      <w:pPr>
        <w:spacing w:line="360" w:lineRule="auto"/>
        <w:ind w:firstLine="720"/>
        <w:rPr>
          <w:rFonts w:eastAsia="MS Mincho"/>
        </w:rPr>
      </w:pPr>
      <w:r>
        <w:rPr>
          <w:rFonts w:eastAsia="MS Mincho"/>
        </w:rPr>
        <w:t>As discussed in Section 1.6.2 of the regulatory evaluation, TSA assumed Group 4 carriers will not have any reprogramming costs associated with implementation of Secure Flight but that 13 of the 16 Group 4 carriers will spend $100,000 in the first year of the program on staff retraining and customer outreach.  TSA did not have sufficient information, however, to reliably estimate costs incurred by these carriers due to changes in their reservation process.  For the purpose of discussion, TSA here calculates a unit compliance cost per enplanement in order to illustrate the average impact of the rule.  The results of this calculation are shown in Table 2.2.2.b.</w:t>
      </w:r>
    </w:p>
    <w:p w:rsidR="003B0815" w:rsidRDefault="003B0815" w14:paraId="06BBE919" w14:textId="77777777">
      <w:pPr>
        <w:spacing w:line="360" w:lineRule="auto"/>
        <w:ind w:firstLine="720"/>
        <w:rPr>
          <w:rFonts w:eastAsia="MS Mincho"/>
        </w:rPr>
      </w:pPr>
      <w:r>
        <w:rPr>
          <w:rFonts w:eastAsia="MS Mincho"/>
        </w:rPr>
        <w:t>TSA chose to use a broad assumption in developing its unit cost and therefore included the annual costs related to the entire reservations process for air transportation providers.  As reported in Tables 1.6.3.a and 1.6.4.a, costs associated with the reservations process include airline and travel agency costs to make available privacy notices and request additional passenger information.  In TSA’s high scenario, these two categories total to approximately $34.2 million in fiscal year 2008.  This value can be normalized to a per enplanement basis using the reservations forecast reported in Table 1.4.1.a, which totals 672.1 million in 2008.  This normalized cost per enplanement equals $34.2/672.1, or about $0.05 per enplanement (column B).</w:t>
      </w:r>
    </w:p>
    <w:p w:rsidR="003B0815" w:rsidRDefault="003B0815" w14:paraId="71EA0B0B" w14:textId="77777777">
      <w:pPr>
        <w:spacing w:line="360" w:lineRule="auto"/>
        <w:ind w:firstLine="720"/>
        <w:rPr>
          <w:rFonts w:eastAsia="MS Mincho"/>
        </w:rPr>
      </w:pPr>
      <w:r>
        <w:rPr>
          <w:rFonts w:eastAsia="MS Mincho"/>
        </w:rPr>
        <w:t>Multiplying this normalized value by each carrier’s 2005 annual enplanements total (column B) and adding in the implementation expenditure where applicable (column A), TSA estimated the cost to each of the small business entities identified (column D).  As column F of Table 2.2.2.b indicates, this estimate for costs never exceeds 2% of 2005 annual revenues for these small carriers.  Note further that the annual enplanements value is unadjusted for round trip itineraries or for reservations that may have been generated as part of a marketing carrier’s reservations process.  Thus, the estimated values in Table 2.2.2.b are very likely to be overstatements of the impact of the rule on these small carriers.</w:t>
      </w:r>
    </w:p>
    <w:p w:rsidR="003B0815" w:rsidRDefault="003B0815" w14:paraId="3AB69038" w14:textId="77777777">
      <w:pPr>
        <w:spacing w:line="360" w:lineRule="auto"/>
        <w:ind w:firstLine="720"/>
      </w:pPr>
      <w:r>
        <w:rPr>
          <w:rFonts w:eastAsia="MS Mincho"/>
        </w:rPr>
        <w:t>Finally, as noted previously, DHS will make available a Secure Flight Internet portal for the transmittal of passenger and other itinerary data from Group 4 small airlines to TSA.  The availability of this interface simplifies the transition to the environment that will prevail once the rule is implemented, while providing greater assurance regarding the provision of the relevant security data to TSA for comparison to the watch lists.</w:t>
      </w:r>
    </w:p>
    <w:tbl>
      <w:tblPr>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1016"/>
        <w:gridCol w:w="1080"/>
        <w:gridCol w:w="1440"/>
        <w:gridCol w:w="1472"/>
        <w:gridCol w:w="1260"/>
        <w:gridCol w:w="1440"/>
        <w:gridCol w:w="1260"/>
      </w:tblGrid>
      <w:tr w:rsidR="003B0815" w14:paraId="6A3EF766" w14:textId="77777777">
        <w:trPr>
          <w:jc w:val="center"/>
        </w:trPr>
        <w:tc>
          <w:tcPr>
            <w:tcW w:w="8968" w:type="dxa"/>
            <w:gridSpan w:val="7"/>
            <w:tcBorders>
              <w:top w:val="nil"/>
              <w:left w:val="nil"/>
              <w:bottom w:val="single" w:color="auto" w:sz="12" w:space="0"/>
              <w:right w:val="nil"/>
            </w:tcBorders>
            <w:vAlign w:val="center"/>
          </w:tcPr>
          <w:p w:rsidR="003B0815" w:rsidRDefault="003B0815" w14:paraId="08C78B7D" w14:textId="77777777">
            <w:pPr>
              <w:pStyle w:val="RegEvalTableHeader"/>
              <w:keepNext/>
            </w:pPr>
            <w:bookmarkStart w:name="_Toc139943626" w:id="510"/>
            <w:bookmarkStart w:name="_Toc141001136" w:id="511"/>
            <w:bookmarkStart w:name="_Toc165278415" w:id="512"/>
            <w:bookmarkStart w:name="_Toc174438422" w:id="513"/>
            <w:bookmarkStart w:name="_Toc207109563" w:id="514"/>
            <w:r>
              <w:t>Table 2.2.2.b Illustrative Small Business Impact, Carrier Group 4</w:t>
            </w:r>
            <w:bookmarkEnd w:id="510"/>
            <w:bookmarkEnd w:id="511"/>
            <w:bookmarkEnd w:id="512"/>
            <w:bookmarkEnd w:id="513"/>
            <w:bookmarkEnd w:id="514"/>
          </w:p>
        </w:tc>
      </w:tr>
      <w:tr w:rsidR="003B0815" w14:paraId="74B0B3D5" w14:textId="77777777">
        <w:trPr>
          <w:jc w:val="center"/>
        </w:trPr>
        <w:tc>
          <w:tcPr>
            <w:tcW w:w="1016" w:type="dxa"/>
            <w:tcBorders>
              <w:top w:val="single" w:color="auto" w:sz="12" w:space="0"/>
              <w:left w:val="single" w:color="auto" w:sz="12" w:space="0"/>
              <w:bottom w:val="single" w:color="auto" w:sz="8" w:space="0"/>
              <w:right w:val="single" w:color="auto" w:sz="8" w:space="0"/>
            </w:tcBorders>
            <w:vAlign w:val="center"/>
          </w:tcPr>
          <w:p w:rsidR="003B0815" w:rsidRDefault="003B0815" w14:paraId="0CA5FEB7" w14:textId="77777777">
            <w:pPr>
              <w:keepNext/>
              <w:jc w:val="center"/>
              <w:rPr>
                <w:rFonts w:ascii="Arial" w:hAnsi="Arial" w:cs="Arial"/>
                <w:b/>
                <w:bCs/>
                <w:sz w:val="20"/>
                <w:szCs w:val="20"/>
              </w:rPr>
            </w:pPr>
            <w:r>
              <w:rPr>
                <w:rFonts w:ascii="Arial" w:hAnsi="Arial" w:cs="Arial"/>
                <w:b/>
                <w:bCs/>
                <w:sz w:val="20"/>
                <w:szCs w:val="20"/>
              </w:rPr>
              <w:t>Small Business Carrier ID #</w:t>
            </w:r>
          </w:p>
        </w:tc>
        <w:tc>
          <w:tcPr>
            <w:tcW w:w="1080" w:type="dxa"/>
            <w:tcBorders>
              <w:top w:val="single" w:color="auto" w:sz="12" w:space="0"/>
              <w:left w:val="single" w:color="auto" w:sz="8" w:space="0"/>
              <w:bottom w:val="single" w:color="auto" w:sz="8" w:space="0"/>
              <w:right w:val="single" w:color="auto" w:sz="8" w:space="0"/>
            </w:tcBorders>
          </w:tcPr>
          <w:p w:rsidR="003B0815" w:rsidRDefault="003B0815" w14:paraId="57297338" w14:textId="77777777">
            <w:pPr>
              <w:keepNext/>
              <w:jc w:val="center"/>
              <w:rPr>
                <w:rFonts w:ascii="Arial" w:hAnsi="Arial" w:cs="Arial"/>
                <w:b/>
                <w:bCs/>
                <w:sz w:val="20"/>
                <w:szCs w:val="20"/>
              </w:rPr>
            </w:pPr>
            <w:r>
              <w:rPr>
                <w:rFonts w:ascii="Arial" w:hAnsi="Arial" w:cs="Arial"/>
                <w:b/>
                <w:bCs/>
                <w:sz w:val="20"/>
                <w:szCs w:val="20"/>
              </w:rPr>
              <w:t xml:space="preserve">Assumed </w:t>
            </w:r>
          </w:p>
          <w:p w:rsidR="003B0815" w:rsidRDefault="003B0815" w14:paraId="6C3602C8" w14:textId="77777777">
            <w:pPr>
              <w:keepNext/>
              <w:jc w:val="center"/>
              <w:rPr>
                <w:rFonts w:ascii="Arial" w:hAnsi="Arial" w:cs="Arial"/>
                <w:b/>
                <w:bCs/>
                <w:sz w:val="20"/>
                <w:szCs w:val="20"/>
              </w:rPr>
            </w:pPr>
            <w:r>
              <w:rPr>
                <w:rFonts w:ascii="Arial" w:hAnsi="Arial" w:cs="Arial"/>
                <w:b/>
                <w:bCs/>
                <w:sz w:val="20"/>
                <w:szCs w:val="20"/>
              </w:rPr>
              <w:t>Start-up Outlay</w:t>
            </w:r>
          </w:p>
        </w:tc>
        <w:tc>
          <w:tcPr>
            <w:tcW w:w="1440" w:type="dxa"/>
            <w:tcBorders>
              <w:top w:val="single" w:color="auto" w:sz="12" w:space="0"/>
              <w:left w:val="single" w:color="auto" w:sz="8" w:space="0"/>
              <w:bottom w:val="single" w:color="auto" w:sz="8" w:space="0"/>
              <w:right w:val="single" w:color="auto" w:sz="8" w:space="0"/>
            </w:tcBorders>
            <w:vAlign w:val="center"/>
          </w:tcPr>
          <w:p w:rsidR="003B0815" w:rsidRDefault="003B0815" w14:paraId="6F15B1E2" w14:textId="77777777">
            <w:pPr>
              <w:keepNext/>
              <w:jc w:val="center"/>
              <w:rPr>
                <w:rFonts w:ascii="Arial" w:hAnsi="Arial" w:cs="Arial"/>
                <w:b/>
                <w:bCs/>
                <w:sz w:val="20"/>
                <w:szCs w:val="20"/>
              </w:rPr>
            </w:pPr>
            <w:r>
              <w:rPr>
                <w:rFonts w:ascii="Arial" w:hAnsi="Arial" w:cs="Arial"/>
                <w:b/>
                <w:bCs/>
                <w:sz w:val="20"/>
                <w:szCs w:val="20"/>
              </w:rPr>
              <w:t>FY 2005 Enplanements</w:t>
            </w:r>
          </w:p>
        </w:tc>
        <w:tc>
          <w:tcPr>
            <w:tcW w:w="1472" w:type="dxa"/>
            <w:tcBorders>
              <w:top w:val="single" w:color="auto" w:sz="12" w:space="0"/>
              <w:left w:val="single" w:color="auto" w:sz="8" w:space="0"/>
              <w:bottom w:val="single" w:color="auto" w:sz="8" w:space="0"/>
              <w:right w:val="single" w:color="auto" w:sz="8" w:space="0"/>
            </w:tcBorders>
            <w:vAlign w:val="center"/>
          </w:tcPr>
          <w:p w:rsidR="003B0815" w:rsidRDefault="003B0815" w14:paraId="2E56156D" w14:textId="77777777">
            <w:pPr>
              <w:keepNext/>
              <w:jc w:val="center"/>
              <w:rPr>
                <w:rFonts w:ascii="Arial" w:hAnsi="Arial" w:cs="Arial"/>
                <w:b/>
                <w:bCs/>
                <w:sz w:val="20"/>
                <w:szCs w:val="20"/>
              </w:rPr>
            </w:pPr>
            <w:r>
              <w:rPr>
                <w:rFonts w:ascii="Arial" w:hAnsi="Arial" w:cs="Arial"/>
                <w:b/>
                <w:bCs/>
                <w:sz w:val="20"/>
                <w:szCs w:val="20"/>
              </w:rPr>
              <w:t>Maximum Unit Compliance Cost per Enplanement</w:t>
            </w:r>
          </w:p>
        </w:tc>
        <w:tc>
          <w:tcPr>
            <w:tcW w:w="1260" w:type="dxa"/>
            <w:tcBorders>
              <w:top w:val="single" w:color="auto" w:sz="12" w:space="0"/>
              <w:left w:val="single" w:color="auto" w:sz="8" w:space="0"/>
              <w:bottom w:val="single" w:color="auto" w:sz="8" w:space="0"/>
              <w:right w:val="single" w:color="auto" w:sz="8" w:space="0"/>
            </w:tcBorders>
            <w:vAlign w:val="center"/>
          </w:tcPr>
          <w:p w:rsidR="003B0815" w:rsidRDefault="003B0815" w14:paraId="3780C6D9" w14:textId="77777777">
            <w:pPr>
              <w:keepNext/>
              <w:jc w:val="center"/>
              <w:rPr>
                <w:rFonts w:ascii="Arial" w:hAnsi="Arial" w:cs="Arial"/>
                <w:b/>
                <w:bCs/>
                <w:sz w:val="20"/>
                <w:szCs w:val="20"/>
              </w:rPr>
            </w:pPr>
            <w:r>
              <w:rPr>
                <w:rFonts w:ascii="Arial" w:hAnsi="Arial" w:cs="Arial"/>
                <w:b/>
                <w:bCs/>
                <w:sz w:val="20"/>
                <w:szCs w:val="20"/>
              </w:rPr>
              <w:t xml:space="preserve">Compliance Cost </w:t>
            </w:r>
          </w:p>
        </w:tc>
        <w:tc>
          <w:tcPr>
            <w:tcW w:w="1440" w:type="dxa"/>
            <w:tcBorders>
              <w:top w:val="single" w:color="auto" w:sz="12" w:space="0"/>
              <w:left w:val="single" w:color="auto" w:sz="8" w:space="0"/>
              <w:bottom w:val="single" w:color="auto" w:sz="8" w:space="0"/>
              <w:right w:val="single" w:color="auto" w:sz="8" w:space="0"/>
            </w:tcBorders>
            <w:vAlign w:val="center"/>
          </w:tcPr>
          <w:p w:rsidR="003B0815" w:rsidRDefault="003B0815" w14:paraId="62593AE9" w14:textId="77777777">
            <w:pPr>
              <w:keepNext/>
              <w:jc w:val="center"/>
              <w:rPr>
                <w:rFonts w:ascii="Arial" w:hAnsi="Arial" w:cs="Arial"/>
                <w:b/>
                <w:bCs/>
                <w:sz w:val="20"/>
                <w:szCs w:val="20"/>
              </w:rPr>
            </w:pPr>
            <w:r>
              <w:rPr>
                <w:rFonts w:ascii="Arial" w:hAnsi="Arial" w:cs="Arial"/>
                <w:b/>
                <w:bCs/>
                <w:sz w:val="20"/>
                <w:szCs w:val="20"/>
              </w:rPr>
              <w:t>2005 Annual Operating Revenues</w:t>
            </w:r>
          </w:p>
        </w:tc>
        <w:tc>
          <w:tcPr>
            <w:tcW w:w="1260" w:type="dxa"/>
            <w:tcBorders>
              <w:top w:val="single" w:color="auto" w:sz="12" w:space="0"/>
              <w:left w:val="single" w:color="auto" w:sz="8" w:space="0"/>
              <w:bottom w:val="single" w:color="auto" w:sz="8" w:space="0"/>
              <w:right w:val="single" w:color="auto" w:sz="12" w:space="0"/>
            </w:tcBorders>
            <w:vAlign w:val="center"/>
          </w:tcPr>
          <w:p w:rsidR="003B0815" w:rsidRDefault="003B0815" w14:paraId="1435F2CF" w14:textId="77777777">
            <w:pPr>
              <w:keepNext/>
              <w:jc w:val="center"/>
              <w:rPr>
                <w:rFonts w:ascii="Arial" w:hAnsi="Arial" w:cs="Arial"/>
                <w:b/>
                <w:bCs/>
                <w:sz w:val="20"/>
                <w:szCs w:val="20"/>
              </w:rPr>
            </w:pPr>
            <w:r>
              <w:rPr>
                <w:rFonts w:ascii="Arial" w:hAnsi="Arial" w:cs="Arial"/>
                <w:b/>
                <w:bCs/>
                <w:sz w:val="20"/>
                <w:szCs w:val="20"/>
              </w:rPr>
              <w:t>Compliance Cost as % of 2005 Revenues</w:t>
            </w:r>
          </w:p>
        </w:tc>
      </w:tr>
      <w:tr w:rsidR="003B0815" w14:paraId="21B65B16" w14:textId="77777777">
        <w:trPr>
          <w:jc w:val="center"/>
        </w:trPr>
        <w:tc>
          <w:tcPr>
            <w:tcW w:w="1016" w:type="dxa"/>
            <w:tcBorders>
              <w:top w:val="single" w:color="auto" w:sz="8" w:space="0"/>
              <w:left w:val="single" w:color="auto" w:sz="12" w:space="0"/>
              <w:bottom w:val="single" w:color="auto" w:sz="8" w:space="0"/>
              <w:right w:val="single" w:color="auto" w:sz="8" w:space="0"/>
            </w:tcBorders>
            <w:vAlign w:val="bottom"/>
          </w:tcPr>
          <w:p w:rsidR="003B0815" w:rsidRDefault="003B0815" w14:paraId="39EFDAE8" w14:textId="77777777">
            <w:pPr>
              <w:keepNext/>
              <w:jc w:val="center"/>
              <w:rPr>
                <w:rFonts w:ascii="Arial" w:hAnsi="Arial" w:cs="Arial"/>
                <w:b/>
                <w:bCs/>
                <w:sz w:val="20"/>
                <w:szCs w:val="20"/>
              </w:rPr>
            </w:pPr>
          </w:p>
        </w:tc>
        <w:tc>
          <w:tcPr>
            <w:tcW w:w="1080" w:type="dxa"/>
            <w:tcBorders>
              <w:top w:val="single" w:color="auto" w:sz="8" w:space="0"/>
              <w:left w:val="single" w:color="auto" w:sz="8" w:space="0"/>
              <w:bottom w:val="single" w:color="auto" w:sz="8" w:space="0"/>
              <w:right w:val="single" w:color="auto" w:sz="8" w:space="0"/>
            </w:tcBorders>
          </w:tcPr>
          <w:p w:rsidR="003B0815" w:rsidRDefault="003B0815" w14:paraId="41ADB8BE" w14:textId="77777777">
            <w:pPr>
              <w:keepNext/>
              <w:jc w:val="center"/>
              <w:rPr>
                <w:rFonts w:ascii="Arial" w:hAnsi="Arial" w:cs="Arial"/>
                <w:b/>
                <w:sz w:val="20"/>
                <w:szCs w:val="20"/>
              </w:rPr>
            </w:pPr>
            <w:r>
              <w:rPr>
                <w:rFonts w:ascii="Arial" w:hAnsi="Arial" w:cs="Arial"/>
                <w:b/>
                <w:sz w:val="20"/>
                <w:szCs w:val="20"/>
              </w:rPr>
              <w:t>(A)</w:t>
            </w:r>
          </w:p>
        </w:tc>
        <w:tc>
          <w:tcPr>
            <w:tcW w:w="1440" w:type="dxa"/>
            <w:tcBorders>
              <w:top w:val="single" w:color="auto" w:sz="8" w:space="0"/>
              <w:left w:val="single" w:color="auto" w:sz="8" w:space="0"/>
              <w:bottom w:val="single" w:color="auto" w:sz="8" w:space="0"/>
              <w:right w:val="single" w:color="auto" w:sz="8" w:space="0"/>
            </w:tcBorders>
            <w:vAlign w:val="bottom"/>
          </w:tcPr>
          <w:p w:rsidR="003B0815" w:rsidRDefault="003B0815" w14:paraId="40952F49" w14:textId="77777777">
            <w:pPr>
              <w:keepNext/>
              <w:jc w:val="center"/>
              <w:rPr>
                <w:rFonts w:ascii="Arial" w:hAnsi="Arial" w:cs="Arial"/>
                <w:b/>
                <w:sz w:val="20"/>
                <w:szCs w:val="20"/>
              </w:rPr>
            </w:pPr>
            <w:r>
              <w:rPr>
                <w:rFonts w:ascii="Arial" w:hAnsi="Arial" w:cs="Arial"/>
                <w:b/>
                <w:sz w:val="20"/>
                <w:szCs w:val="20"/>
              </w:rPr>
              <w:t>(B)</w:t>
            </w:r>
          </w:p>
        </w:tc>
        <w:tc>
          <w:tcPr>
            <w:tcW w:w="1472" w:type="dxa"/>
            <w:tcBorders>
              <w:top w:val="single" w:color="auto" w:sz="8" w:space="0"/>
              <w:left w:val="single" w:color="auto" w:sz="8" w:space="0"/>
              <w:bottom w:val="single" w:color="auto" w:sz="8" w:space="0"/>
              <w:right w:val="single" w:color="auto" w:sz="8" w:space="0"/>
            </w:tcBorders>
            <w:vAlign w:val="bottom"/>
          </w:tcPr>
          <w:p w:rsidR="003B0815" w:rsidRDefault="003B0815" w14:paraId="3643CA54" w14:textId="77777777">
            <w:pPr>
              <w:keepNext/>
              <w:jc w:val="center"/>
              <w:rPr>
                <w:rFonts w:ascii="Arial" w:hAnsi="Arial" w:cs="Arial"/>
                <w:b/>
                <w:sz w:val="20"/>
                <w:szCs w:val="20"/>
              </w:rPr>
            </w:pPr>
            <w:r>
              <w:rPr>
                <w:rFonts w:ascii="Arial" w:hAnsi="Arial" w:cs="Arial"/>
                <w:b/>
                <w:sz w:val="20"/>
                <w:szCs w:val="20"/>
              </w:rPr>
              <w:t>(C)</w:t>
            </w:r>
          </w:p>
        </w:tc>
        <w:tc>
          <w:tcPr>
            <w:tcW w:w="1260" w:type="dxa"/>
            <w:tcBorders>
              <w:top w:val="single" w:color="auto" w:sz="8" w:space="0"/>
              <w:left w:val="single" w:color="auto" w:sz="8" w:space="0"/>
              <w:bottom w:val="single" w:color="auto" w:sz="8" w:space="0"/>
              <w:right w:val="single" w:color="auto" w:sz="8" w:space="0"/>
            </w:tcBorders>
            <w:vAlign w:val="bottom"/>
          </w:tcPr>
          <w:p w:rsidR="003B0815" w:rsidRDefault="003B0815" w14:paraId="61B5C4F1" w14:textId="77777777">
            <w:pPr>
              <w:keepNext/>
              <w:jc w:val="center"/>
              <w:rPr>
                <w:rFonts w:ascii="Arial" w:hAnsi="Arial" w:cs="Arial"/>
                <w:b/>
                <w:sz w:val="20"/>
                <w:szCs w:val="20"/>
              </w:rPr>
            </w:pPr>
            <w:r>
              <w:rPr>
                <w:rFonts w:ascii="Arial" w:hAnsi="Arial" w:cs="Arial"/>
                <w:b/>
                <w:sz w:val="20"/>
                <w:szCs w:val="20"/>
              </w:rPr>
              <w:t>(D) = A+B*C</w:t>
            </w:r>
          </w:p>
        </w:tc>
        <w:tc>
          <w:tcPr>
            <w:tcW w:w="1440" w:type="dxa"/>
            <w:tcBorders>
              <w:top w:val="single" w:color="auto" w:sz="8" w:space="0"/>
              <w:left w:val="single" w:color="auto" w:sz="8" w:space="0"/>
              <w:bottom w:val="single" w:color="auto" w:sz="8" w:space="0"/>
              <w:right w:val="single" w:color="auto" w:sz="8" w:space="0"/>
            </w:tcBorders>
            <w:vAlign w:val="bottom"/>
          </w:tcPr>
          <w:p w:rsidR="003B0815" w:rsidRDefault="003B0815" w14:paraId="155135E2" w14:textId="77777777">
            <w:pPr>
              <w:keepNext/>
              <w:jc w:val="center"/>
              <w:rPr>
                <w:rFonts w:ascii="Arial" w:hAnsi="Arial" w:cs="Arial"/>
                <w:b/>
                <w:sz w:val="20"/>
                <w:szCs w:val="20"/>
              </w:rPr>
            </w:pPr>
            <w:r>
              <w:rPr>
                <w:rFonts w:ascii="Arial" w:hAnsi="Arial" w:cs="Arial"/>
                <w:b/>
                <w:sz w:val="20"/>
                <w:szCs w:val="20"/>
              </w:rPr>
              <w:t>(E)</w:t>
            </w:r>
          </w:p>
        </w:tc>
        <w:tc>
          <w:tcPr>
            <w:tcW w:w="1260" w:type="dxa"/>
            <w:tcBorders>
              <w:top w:val="single" w:color="auto" w:sz="8" w:space="0"/>
              <w:left w:val="single" w:color="auto" w:sz="8" w:space="0"/>
              <w:bottom w:val="single" w:color="auto" w:sz="8" w:space="0"/>
              <w:right w:val="single" w:color="auto" w:sz="12" w:space="0"/>
            </w:tcBorders>
            <w:vAlign w:val="bottom"/>
          </w:tcPr>
          <w:p w:rsidR="003B0815" w:rsidRDefault="003B0815" w14:paraId="678CDAE4" w14:textId="77777777">
            <w:pPr>
              <w:keepNext/>
              <w:jc w:val="center"/>
              <w:rPr>
                <w:rFonts w:ascii="Arial" w:hAnsi="Arial" w:cs="Arial"/>
                <w:b/>
                <w:sz w:val="20"/>
                <w:szCs w:val="20"/>
              </w:rPr>
            </w:pPr>
            <w:r>
              <w:rPr>
                <w:rFonts w:ascii="Arial" w:hAnsi="Arial" w:cs="Arial"/>
                <w:b/>
                <w:sz w:val="20"/>
                <w:szCs w:val="20"/>
              </w:rPr>
              <w:t>(F) = D/E</w:t>
            </w:r>
          </w:p>
        </w:tc>
      </w:tr>
      <w:tr w:rsidR="003B0815" w14:paraId="1EF8F29F" w14:textId="77777777">
        <w:trPr>
          <w:jc w:val="center"/>
        </w:trPr>
        <w:tc>
          <w:tcPr>
            <w:tcW w:w="1016" w:type="dxa"/>
            <w:tcBorders>
              <w:top w:val="single" w:color="auto" w:sz="8" w:space="0"/>
              <w:left w:val="single" w:color="auto" w:sz="12" w:space="0"/>
              <w:right w:val="single" w:color="auto" w:sz="8" w:space="0"/>
            </w:tcBorders>
            <w:vAlign w:val="bottom"/>
          </w:tcPr>
          <w:p w:rsidR="003B0815" w:rsidRDefault="003B0815" w14:paraId="6BD110F0" w14:textId="77777777">
            <w:pPr>
              <w:keepNext/>
              <w:jc w:val="center"/>
              <w:rPr>
                <w:rFonts w:ascii="Arial" w:hAnsi="Arial" w:cs="Arial"/>
                <w:sz w:val="20"/>
                <w:szCs w:val="20"/>
              </w:rPr>
            </w:pPr>
            <w:r>
              <w:rPr>
                <w:rFonts w:ascii="Arial" w:hAnsi="Arial" w:cs="Arial"/>
                <w:sz w:val="20"/>
                <w:szCs w:val="20"/>
              </w:rPr>
              <w:t>11</w:t>
            </w:r>
          </w:p>
        </w:tc>
        <w:tc>
          <w:tcPr>
            <w:tcW w:w="1080" w:type="dxa"/>
            <w:tcBorders>
              <w:top w:val="single" w:color="auto" w:sz="8" w:space="0"/>
              <w:left w:val="single" w:color="auto" w:sz="8" w:space="0"/>
              <w:right w:val="single" w:color="auto" w:sz="8" w:space="0"/>
            </w:tcBorders>
            <w:vAlign w:val="bottom"/>
          </w:tcPr>
          <w:p w:rsidR="003B0815" w:rsidRDefault="003B0815" w14:paraId="4E83BEFF"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top w:val="single" w:color="auto" w:sz="8" w:space="0"/>
              <w:left w:val="single" w:color="auto" w:sz="8" w:space="0"/>
              <w:right w:val="single" w:color="auto" w:sz="8" w:space="0"/>
            </w:tcBorders>
            <w:vAlign w:val="bottom"/>
          </w:tcPr>
          <w:p w:rsidR="003B0815" w:rsidRDefault="003B0815" w14:paraId="2F432790" w14:textId="77777777">
            <w:pPr>
              <w:keepNext/>
              <w:jc w:val="center"/>
              <w:rPr>
                <w:rFonts w:ascii="Arial" w:hAnsi="Arial" w:cs="Arial"/>
                <w:sz w:val="20"/>
                <w:szCs w:val="20"/>
              </w:rPr>
            </w:pPr>
            <w:r>
              <w:rPr>
                <w:rFonts w:ascii="Arial" w:hAnsi="Arial" w:cs="Arial"/>
                <w:sz w:val="20"/>
                <w:szCs w:val="20"/>
              </w:rPr>
              <w:t>208,120</w:t>
            </w:r>
          </w:p>
        </w:tc>
        <w:tc>
          <w:tcPr>
            <w:tcW w:w="1472" w:type="dxa"/>
            <w:tcBorders>
              <w:top w:val="single" w:color="auto" w:sz="8" w:space="0"/>
              <w:left w:val="single" w:color="auto" w:sz="8" w:space="0"/>
              <w:right w:val="single" w:color="auto" w:sz="8" w:space="0"/>
            </w:tcBorders>
            <w:vAlign w:val="bottom"/>
          </w:tcPr>
          <w:p w:rsidR="003B0815" w:rsidRDefault="003B0815" w14:paraId="3E517A82" w14:textId="77777777">
            <w:pPr>
              <w:keepNext/>
              <w:jc w:val="center"/>
              <w:rPr>
                <w:rFonts w:ascii="Arial" w:hAnsi="Arial" w:cs="Arial"/>
                <w:sz w:val="20"/>
                <w:szCs w:val="20"/>
              </w:rPr>
            </w:pPr>
            <w:r>
              <w:rPr>
                <w:rFonts w:ascii="Arial" w:hAnsi="Arial" w:cs="Arial"/>
                <w:sz w:val="20"/>
                <w:szCs w:val="20"/>
              </w:rPr>
              <w:t>$0.05</w:t>
            </w:r>
          </w:p>
        </w:tc>
        <w:tc>
          <w:tcPr>
            <w:tcW w:w="1260" w:type="dxa"/>
            <w:tcBorders>
              <w:top w:val="single" w:color="auto" w:sz="8" w:space="0"/>
              <w:left w:val="single" w:color="auto" w:sz="8" w:space="0"/>
              <w:right w:val="single" w:color="auto" w:sz="8" w:space="0"/>
            </w:tcBorders>
            <w:vAlign w:val="bottom"/>
          </w:tcPr>
          <w:p w:rsidR="003B0815" w:rsidRDefault="003B0815" w14:paraId="56D593BC" w14:textId="77777777">
            <w:pPr>
              <w:keepNext/>
              <w:ind w:right="135"/>
              <w:jc w:val="right"/>
              <w:rPr>
                <w:rFonts w:ascii="Arial" w:hAnsi="Arial" w:cs="Arial"/>
                <w:sz w:val="20"/>
                <w:szCs w:val="20"/>
              </w:rPr>
            </w:pPr>
            <w:r>
              <w:rPr>
                <w:rFonts w:ascii="Arial" w:hAnsi="Arial" w:cs="Arial"/>
                <w:sz w:val="20"/>
                <w:szCs w:val="20"/>
              </w:rPr>
              <w:t>$110,400</w:t>
            </w:r>
          </w:p>
        </w:tc>
        <w:tc>
          <w:tcPr>
            <w:tcW w:w="1440" w:type="dxa"/>
            <w:tcBorders>
              <w:top w:val="single" w:color="auto" w:sz="8" w:space="0"/>
              <w:left w:val="single" w:color="auto" w:sz="8" w:space="0"/>
              <w:right w:val="single" w:color="auto" w:sz="8" w:space="0"/>
            </w:tcBorders>
            <w:vAlign w:val="bottom"/>
          </w:tcPr>
          <w:p w:rsidR="003B0815" w:rsidRDefault="003B0815" w14:paraId="5A916A36" w14:textId="77777777">
            <w:pPr>
              <w:keepNext/>
              <w:ind w:right="72"/>
              <w:jc w:val="right"/>
              <w:rPr>
                <w:rFonts w:ascii="Arial" w:hAnsi="Arial" w:cs="Arial"/>
                <w:sz w:val="20"/>
                <w:szCs w:val="20"/>
              </w:rPr>
            </w:pPr>
            <w:r>
              <w:rPr>
                <w:rFonts w:ascii="Arial" w:hAnsi="Arial" w:cs="Arial"/>
                <w:sz w:val="20"/>
                <w:szCs w:val="20"/>
              </w:rPr>
              <w:t>$74,300,000</w:t>
            </w:r>
          </w:p>
        </w:tc>
        <w:tc>
          <w:tcPr>
            <w:tcW w:w="1260" w:type="dxa"/>
            <w:tcBorders>
              <w:top w:val="single" w:color="auto" w:sz="8" w:space="0"/>
              <w:left w:val="single" w:color="auto" w:sz="8" w:space="0"/>
              <w:right w:val="single" w:color="auto" w:sz="12" w:space="0"/>
            </w:tcBorders>
            <w:vAlign w:val="bottom"/>
          </w:tcPr>
          <w:p w:rsidR="003B0815" w:rsidRDefault="003B0815" w14:paraId="17A48E6F" w14:textId="77777777">
            <w:pPr>
              <w:keepNext/>
              <w:jc w:val="center"/>
              <w:rPr>
                <w:rFonts w:ascii="Arial" w:hAnsi="Arial" w:cs="Arial"/>
                <w:sz w:val="20"/>
                <w:szCs w:val="20"/>
              </w:rPr>
            </w:pPr>
            <w:r>
              <w:rPr>
                <w:rFonts w:ascii="Arial" w:hAnsi="Arial" w:cs="Arial"/>
                <w:sz w:val="20"/>
                <w:szCs w:val="20"/>
              </w:rPr>
              <w:t>0.15%</w:t>
            </w:r>
          </w:p>
        </w:tc>
      </w:tr>
      <w:tr w:rsidR="003B0815" w14:paraId="65D6B7F3" w14:textId="77777777">
        <w:trPr>
          <w:jc w:val="center"/>
        </w:trPr>
        <w:tc>
          <w:tcPr>
            <w:tcW w:w="1016" w:type="dxa"/>
            <w:tcBorders>
              <w:left w:val="single" w:color="auto" w:sz="12" w:space="0"/>
              <w:right w:val="single" w:color="auto" w:sz="8" w:space="0"/>
            </w:tcBorders>
            <w:vAlign w:val="bottom"/>
          </w:tcPr>
          <w:p w:rsidR="003B0815" w:rsidRDefault="003B0815" w14:paraId="4F807D60" w14:textId="77777777">
            <w:pPr>
              <w:keepNext/>
              <w:jc w:val="center"/>
              <w:rPr>
                <w:rFonts w:ascii="Arial" w:hAnsi="Arial" w:cs="Arial"/>
                <w:sz w:val="20"/>
                <w:szCs w:val="20"/>
              </w:rPr>
            </w:pPr>
            <w:r>
              <w:rPr>
                <w:rFonts w:ascii="Arial" w:hAnsi="Arial" w:cs="Arial"/>
                <w:sz w:val="20"/>
                <w:szCs w:val="20"/>
              </w:rPr>
              <w:t>12</w:t>
            </w:r>
          </w:p>
        </w:tc>
        <w:tc>
          <w:tcPr>
            <w:tcW w:w="1080" w:type="dxa"/>
            <w:tcBorders>
              <w:left w:val="single" w:color="auto" w:sz="8" w:space="0"/>
              <w:right w:val="single" w:color="auto" w:sz="8" w:space="0"/>
            </w:tcBorders>
            <w:vAlign w:val="bottom"/>
          </w:tcPr>
          <w:p w:rsidR="003B0815" w:rsidRDefault="003B0815" w14:paraId="0F56ADE2"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0B59810F" w14:textId="77777777">
            <w:pPr>
              <w:keepNext/>
              <w:jc w:val="center"/>
              <w:rPr>
                <w:rFonts w:ascii="Arial" w:hAnsi="Arial" w:cs="Arial"/>
                <w:sz w:val="20"/>
                <w:szCs w:val="20"/>
              </w:rPr>
            </w:pPr>
            <w:r>
              <w:rPr>
                <w:rFonts w:ascii="Arial" w:hAnsi="Arial" w:cs="Arial"/>
                <w:sz w:val="20"/>
                <w:szCs w:val="20"/>
              </w:rPr>
              <w:t>344,741</w:t>
            </w:r>
          </w:p>
        </w:tc>
        <w:tc>
          <w:tcPr>
            <w:tcW w:w="1472" w:type="dxa"/>
            <w:tcBorders>
              <w:left w:val="single" w:color="auto" w:sz="8" w:space="0"/>
              <w:right w:val="single" w:color="auto" w:sz="8" w:space="0"/>
            </w:tcBorders>
            <w:vAlign w:val="bottom"/>
          </w:tcPr>
          <w:p w:rsidR="003B0815" w:rsidRDefault="003B0815" w14:paraId="03B8DAA5"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65A89646" w14:textId="77777777">
            <w:pPr>
              <w:keepNext/>
              <w:ind w:right="135"/>
              <w:jc w:val="right"/>
              <w:rPr>
                <w:rFonts w:ascii="Arial" w:hAnsi="Arial" w:cs="Arial"/>
                <w:sz w:val="20"/>
                <w:szCs w:val="20"/>
              </w:rPr>
            </w:pPr>
            <w:r>
              <w:rPr>
                <w:rFonts w:ascii="Arial" w:hAnsi="Arial" w:cs="Arial"/>
                <w:sz w:val="20"/>
                <w:szCs w:val="20"/>
              </w:rPr>
              <w:t>117,200</w:t>
            </w:r>
          </w:p>
        </w:tc>
        <w:tc>
          <w:tcPr>
            <w:tcW w:w="1440" w:type="dxa"/>
            <w:tcBorders>
              <w:left w:val="single" w:color="auto" w:sz="8" w:space="0"/>
              <w:right w:val="single" w:color="auto" w:sz="8" w:space="0"/>
            </w:tcBorders>
            <w:vAlign w:val="bottom"/>
          </w:tcPr>
          <w:p w:rsidR="003B0815" w:rsidRDefault="003B0815" w14:paraId="0F99ED53" w14:textId="77777777">
            <w:pPr>
              <w:keepNext/>
              <w:ind w:right="72"/>
              <w:jc w:val="right"/>
              <w:rPr>
                <w:rFonts w:ascii="Arial" w:hAnsi="Arial" w:cs="Arial"/>
                <w:sz w:val="20"/>
                <w:szCs w:val="20"/>
              </w:rPr>
            </w:pPr>
            <w:r>
              <w:rPr>
                <w:rFonts w:ascii="Arial" w:hAnsi="Arial" w:cs="Arial"/>
                <w:sz w:val="20"/>
                <w:szCs w:val="20"/>
              </w:rPr>
              <w:t>76,392,000</w:t>
            </w:r>
          </w:p>
        </w:tc>
        <w:tc>
          <w:tcPr>
            <w:tcW w:w="1260" w:type="dxa"/>
            <w:tcBorders>
              <w:left w:val="single" w:color="auto" w:sz="8" w:space="0"/>
              <w:right w:val="single" w:color="auto" w:sz="12" w:space="0"/>
            </w:tcBorders>
            <w:vAlign w:val="bottom"/>
          </w:tcPr>
          <w:p w:rsidR="003B0815" w:rsidRDefault="003B0815" w14:paraId="1F32403A" w14:textId="77777777">
            <w:pPr>
              <w:keepNext/>
              <w:jc w:val="center"/>
              <w:rPr>
                <w:rFonts w:ascii="Arial" w:hAnsi="Arial" w:cs="Arial"/>
                <w:sz w:val="20"/>
                <w:szCs w:val="20"/>
              </w:rPr>
            </w:pPr>
            <w:r>
              <w:rPr>
                <w:rFonts w:ascii="Arial" w:hAnsi="Arial" w:cs="Arial"/>
                <w:sz w:val="20"/>
                <w:szCs w:val="20"/>
              </w:rPr>
              <w:t>0.15</w:t>
            </w:r>
          </w:p>
        </w:tc>
      </w:tr>
      <w:tr w:rsidR="003B0815" w14:paraId="6386DE1B" w14:textId="77777777">
        <w:trPr>
          <w:jc w:val="center"/>
        </w:trPr>
        <w:tc>
          <w:tcPr>
            <w:tcW w:w="1016" w:type="dxa"/>
            <w:tcBorders>
              <w:left w:val="single" w:color="auto" w:sz="12" w:space="0"/>
              <w:right w:val="single" w:color="auto" w:sz="8" w:space="0"/>
            </w:tcBorders>
            <w:vAlign w:val="bottom"/>
          </w:tcPr>
          <w:p w:rsidR="003B0815" w:rsidRDefault="003B0815" w14:paraId="795BDF08" w14:textId="77777777">
            <w:pPr>
              <w:keepNext/>
              <w:jc w:val="center"/>
              <w:rPr>
                <w:rFonts w:ascii="Arial" w:hAnsi="Arial" w:cs="Arial"/>
                <w:sz w:val="20"/>
                <w:szCs w:val="20"/>
              </w:rPr>
            </w:pPr>
            <w:r>
              <w:rPr>
                <w:rFonts w:ascii="Arial" w:hAnsi="Arial" w:cs="Arial"/>
                <w:sz w:val="20"/>
                <w:szCs w:val="20"/>
              </w:rPr>
              <w:t>13</w:t>
            </w:r>
          </w:p>
        </w:tc>
        <w:tc>
          <w:tcPr>
            <w:tcW w:w="1080" w:type="dxa"/>
            <w:tcBorders>
              <w:left w:val="single" w:color="auto" w:sz="8" w:space="0"/>
              <w:right w:val="single" w:color="auto" w:sz="8" w:space="0"/>
            </w:tcBorders>
            <w:vAlign w:val="bottom"/>
          </w:tcPr>
          <w:p w:rsidR="003B0815" w:rsidRDefault="003B0815" w14:paraId="54883C7A"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0984F6DB" w14:textId="77777777">
            <w:pPr>
              <w:keepNext/>
              <w:jc w:val="center"/>
              <w:rPr>
                <w:rFonts w:ascii="Arial" w:hAnsi="Arial" w:cs="Arial"/>
                <w:sz w:val="20"/>
                <w:szCs w:val="20"/>
              </w:rPr>
            </w:pPr>
            <w:r>
              <w:rPr>
                <w:rFonts w:ascii="Arial" w:hAnsi="Arial" w:cs="Arial"/>
                <w:sz w:val="20"/>
                <w:szCs w:val="20"/>
              </w:rPr>
              <w:t>506,292</w:t>
            </w:r>
          </w:p>
        </w:tc>
        <w:tc>
          <w:tcPr>
            <w:tcW w:w="1472" w:type="dxa"/>
            <w:tcBorders>
              <w:left w:val="single" w:color="auto" w:sz="8" w:space="0"/>
              <w:right w:val="single" w:color="auto" w:sz="8" w:space="0"/>
            </w:tcBorders>
            <w:vAlign w:val="bottom"/>
          </w:tcPr>
          <w:p w:rsidR="003B0815" w:rsidRDefault="003B0815" w14:paraId="4CFEDD90"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6886CB61" w14:textId="77777777">
            <w:pPr>
              <w:keepNext/>
              <w:ind w:right="135"/>
              <w:jc w:val="right"/>
              <w:rPr>
                <w:rFonts w:ascii="Arial" w:hAnsi="Arial" w:cs="Arial"/>
                <w:sz w:val="20"/>
                <w:szCs w:val="20"/>
              </w:rPr>
            </w:pPr>
            <w:r>
              <w:rPr>
                <w:rFonts w:ascii="Arial" w:hAnsi="Arial" w:cs="Arial"/>
                <w:sz w:val="20"/>
                <w:szCs w:val="20"/>
              </w:rPr>
              <w:t>125,300</w:t>
            </w:r>
          </w:p>
        </w:tc>
        <w:tc>
          <w:tcPr>
            <w:tcW w:w="1440" w:type="dxa"/>
            <w:tcBorders>
              <w:left w:val="single" w:color="auto" w:sz="8" w:space="0"/>
              <w:right w:val="single" w:color="auto" w:sz="8" w:space="0"/>
            </w:tcBorders>
            <w:vAlign w:val="bottom"/>
          </w:tcPr>
          <w:p w:rsidR="003B0815" w:rsidRDefault="003B0815" w14:paraId="163541ED" w14:textId="77777777">
            <w:pPr>
              <w:keepNext/>
              <w:ind w:right="72"/>
              <w:jc w:val="right"/>
              <w:rPr>
                <w:rFonts w:ascii="Arial" w:hAnsi="Arial" w:cs="Arial"/>
                <w:sz w:val="20"/>
                <w:szCs w:val="20"/>
              </w:rPr>
            </w:pPr>
            <w:r>
              <w:rPr>
                <w:rFonts w:ascii="Arial" w:hAnsi="Arial" w:cs="Arial"/>
                <w:sz w:val="20"/>
                <w:szCs w:val="20"/>
              </w:rPr>
              <w:t>137,900,000</w:t>
            </w:r>
          </w:p>
        </w:tc>
        <w:tc>
          <w:tcPr>
            <w:tcW w:w="1260" w:type="dxa"/>
            <w:tcBorders>
              <w:left w:val="single" w:color="auto" w:sz="8" w:space="0"/>
              <w:right w:val="single" w:color="auto" w:sz="12" w:space="0"/>
            </w:tcBorders>
            <w:vAlign w:val="bottom"/>
          </w:tcPr>
          <w:p w:rsidR="003B0815" w:rsidRDefault="003B0815" w14:paraId="142ED3FA" w14:textId="77777777">
            <w:pPr>
              <w:keepNext/>
              <w:jc w:val="center"/>
              <w:rPr>
                <w:rFonts w:ascii="Arial" w:hAnsi="Arial" w:cs="Arial"/>
                <w:sz w:val="20"/>
                <w:szCs w:val="20"/>
              </w:rPr>
            </w:pPr>
            <w:r>
              <w:rPr>
                <w:rFonts w:ascii="Arial" w:hAnsi="Arial" w:cs="Arial"/>
                <w:sz w:val="20"/>
                <w:szCs w:val="20"/>
              </w:rPr>
              <w:t>0.09</w:t>
            </w:r>
          </w:p>
        </w:tc>
      </w:tr>
      <w:tr w:rsidR="003B0815" w14:paraId="722F4E7C" w14:textId="77777777">
        <w:trPr>
          <w:jc w:val="center"/>
        </w:trPr>
        <w:tc>
          <w:tcPr>
            <w:tcW w:w="1016" w:type="dxa"/>
            <w:tcBorders>
              <w:left w:val="single" w:color="auto" w:sz="12" w:space="0"/>
              <w:right w:val="single" w:color="auto" w:sz="8" w:space="0"/>
            </w:tcBorders>
            <w:vAlign w:val="bottom"/>
          </w:tcPr>
          <w:p w:rsidR="003B0815" w:rsidRDefault="003B0815" w14:paraId="4803AC2B" w14:textId="77777777">
            <w:pPr>
              <w:keepNext/>
              <w:jc w:val="center"/>
              <w:rPr>
                <w:rFonts w:ascii="Arial" w:hAnsi="Arial" w:cs="Arial"/>
                <w:sz w:val="20"/>
                <w:szCs w:val="20"/>
              </w:rPr>
            </w:pPr>
            <w:r>
              <w:rPr>
                <w:rFonts w:ascii="Arial" w:hAnsi="Arial" w:cs="Arial"/>
                <w:sz w:val="20"/>
                <w:szCs w:val="20"/>
              </w:rPr>
              <w:t>14</w:t>
            </w:r>
          </w:p>
        </w:tc>
        <w:tc>
          <w:tcPr>
            <w:tcW w:w="1080" w:type="dxa"/>
            <w:tcBorders>
              <w:left w:val="single" w:color="auto" w:sz="8" w:space="0"/>
              <w:right w:val="single" w:color="auto" w:sz="8" w:space="0"/>
            </w:tcBorders>
            <w:vAlign w:val="bottom"/>
          </w:tcPr>
          <w:p w:rsidR="003B0815" w:rsidRDefault="003B0815" w14:paraId="4FF0B8D9"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60F044C2" w14:textId="77777777">
            <w:pPr>
              <w:keepNext/>
              <w:jc w:val="center"/>
              <w:rPr>
                <w:rFonts w:ascii="Arial" w:hAnsi="Arial" w:cs="Arial"/>
                <w:sz w:val="20"/>
                <w:szCs w:val="20"/>
              </w:rPr>
            </w:pPr>
            <w:r>
              <w:rPr>
                <w:rFonts w:ascii="Arial" w:hAnsi="Arial" w:cs="Arial"/>
                <w:sz w:val="20"/>
                <w:szCs w:val="20"/>
              </w:rPr>
              <w:t>91,571</w:t>
            </w:r>
          </w:p>
        </w:tc>
        <w:tc>
          <w:tcPr>
            <w:tcW w:w="1472" w:type="dxa"/>
            <w:tcBorders>
              <w:left w:val="single" w:color="auto" w:sz="8" w:space="0"/>
              <w:right w:val="single" w:color="auto" w:sz="8" w:space="0"/>
            </w:tcBorders>
            <w:vAlign w:val="bottom"/>
          </w:tcPr>
          <w:p w:rsidR="003B0815" w:rsidRDefault="003B0815" w14:paraId="7C8A9DD7"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6CD6395D" w14:textId="77777777">
            <w:pPr>
              <w:keepNext/>
              <w:ind w:right="135"/>
              <w:jc w:val="right"/>
              <w:rPr>
                <w:rFonts w:ascii="Arial" w:hAnsi="Arial" w:cs="Arial"/>
                <w:sz w:val="20"/>
                <w:szCs w:val="20"/>
              </w:rPr>
            </w:pPr>
            <w:r>
              <w:rPr>
                <w:rFonts w:ascii="Arial" w:hAnsi="Arial" w:cs="Arial"/>
                <w:sz w:val="20"/>
                <w:szCs w:val="20"/>
              </w:rPr>
              <w:t>104,600</w:t>
            </w:r>
          </w:p>
        </w:tc>
        <w:tc>
          <w:tcPr>
            <w:tcW w:w="1440" w:type="dxa"/>
            <w:tcBorders>
              <w:left w:val="single" w:color="auto" w:sz="8" w:space="0"/>
              <w:right w:val="single" w:color="auto" w:sz="8" w:space="0"/>
            </w:tcBorders>
            <w:vAlign w:val="bottom"/>
          </w:tcPr>
          <w:p w:rsidR="003B0815" w:rsidRDefault="003B0815" w14:paraId="71639327" w14:textId="77777777">
            <w:pPr>
              <w:keepNext/>
              <w:ind w:right="72"/>
              <w:jc w:val="right"/>
              <w:rPr>
                <w:rFonts w:ascii="Arial" w:hAnsi="Arial" w:cs="Arial"/>
                <w:sz w:val="20"/>
                <w:szCs w:val="20"/>
              </w:rPr>
            </w:pPr>
            <w:r>
              <w:rPr>
                <w:rFonts w:ascii="Arial" w:hAnsi="Arial" w:cs="Arial"/>
                <w:sz w:val="20"/>
                <w:szCs w:val="20"/>
              </w:rPr>
              <w:t>68,600,000</w:t>
            </w:r>
          </w:p>
        </w:tc>
        <w:tc>
          <w:tcPr>
            <w:tcW w:w="1260" w:type="dxa"/>
            <w:tcBorders>
              <w:left w:val="single" w:color="auto" w:sz="8" w:space="0"/>
              <w:right w:val="single" w:color="auto" w:sz="12" w:space="0"/>
            </w:tcBorders>
            <w:vAlign w:val="bottom"/>
          </w:tcPr>
          <w:p w:rsidR="003B0815" w:rsidRDefault="003B0815" w14:paraId="14112E71" w14:textId="77777777">
            <w:pPr>
              <w:keepNext/>
              <w:jc w:val="center"/>
              <w:rPr>
                <w:rFonts w:ascii="Arial" w:hAnsi="Arial" w:cs="Arial"/>
                <w:sz w:val="20"/>
                <w:szCs w:val="20"/>
              </w:rPr>
            </w:pPr>
            <w:r>
              <w:rPr>
                <w:rFonts w:ascii="Arial" w:hAnsi="Arial" w:cs="Arial"/>
                <w:sz w:val="20"/>
                <w:szCs w:val="20"/>
              </w:rPr>
              <w:t>0.15</w:t>
            </w:r>
          </w:p>
        </w:tc>
      </w:tr>
      <w:tr w:rsidR="003B0815" w14:paraId="0FD21092" w14:textId="77777777">
        <w:trPr>
          <w:jc w:val="center"/>
        </w:trPr>
        <w:tc>
          <w:tcPr>
            <w:tcW w:w="1016" w:type="dxa"/>
            <w:tcBorders>
              <w:left w:val="single" w:color="auto" w:sz="12" w:space="0"/>
              <w:right w:val="single" w:color="auto" w:sz="8" w:space="0"/>
            </w:tcBorders>
            <w:vAlign w:val="bottom"/>
          </w:tcPr>
          <w:p w:rsidR="003B0815" w:rsidRDefault="003B0815" w14:paraId="1BE2D60C" w14:textId="77777777">
            <w:pPr>
              <w:keepNext/>
              <w:jc w:val="center"/>
              <w:rPr>
                <w:rFonts w:ascii="Arial" w:hAnsi="Arial" w:cs="Arial"/>
                <w:sz w:val="20"/>
                <w:szCs w:val="20"/>
              </w:rPr>
            </w:pPr>
            <w:r>
              <w:rPr>
                <w:rFonts w:ascii="Arial" w:hAnsi="Arial" w:cs="Arial"/>
                <w:sz w:val="20"/>
                <w:szCs w:val="20"/>
              </w:rPr>
              <w:t>15</w:t>
            </w:r>
          </w:p>
        </w:tc>
        <w:tc>
          <w:tcPr>
            <w:tcW w:w="1080" w:type="dxa"/>
            <w:tcBorders>
              <w:left w:val="single" w:color="auto" w:sz="8" w:space="0"/>
              <w:right w:val="single" w:color="auto" w:sz="8" w:space="0"/>
            </w:tcBorders>
            <w:vAlign w:val="bottom"/>
          </w:tcPr>
          <w:p w:rsidR="003B0815" w:rsidRDefault="003B0815" w14:paraId="683A4C85"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1F967312" w14:textId="77777777">
            <w:pPr>
              <w:keepNext/>
              <w:jc w:val="center"/>
              <w:rPr>
                <w:rFonts w:ascii="Arial" w:hAnsi="Arial" w:cs="Arial"/>
                <w:sz w:val="20"/>
                <w:szCs w:val="20"/>
              </w:rPr>
            </w:pPr>
            <w:r>
              <w:rPr>
                <w:rFonts w:ascii="Arial" w:hAnsi="Arial" w:cs="Arial"/>
                <w:sz w:val="20"/>
                <w:szCs w:val="20"/>
              </w:rPr>
              <w:t>836,409</w:t>
            </w:r>
          </w:p>
        </w:tc>
        <w:tc>
          <w:tcPr>
            <w:tcW w:w="1472" w:type="dxa"/>
            <w:tcBorders>
              <w:left w:val="single" w:color="auto" w:sz="8" w:space="0"/>
              <w:right w:val="single" w:color="auto" w:sz="8" w:space="0"/>
            </w:tcBorders>
            <w:vAlign w:val="bottom"/>
          </w:tcPr>
          <w:p w:rsidR="003B0815" w:rsidRDefault="003B0815" w14:paraId="69C92A77"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656F0885" w14:textId="77777777">
            <w:pPr>
              <w:keepNext/>
              <w:ind w:right="135"/>
              <w:jc w:val="right"/>
              <w:rPr>
                <w:rFonts w:ascii="Arial" w:hAnsi="Arial" w:cs="Arial"/>
                <w:sz w:val="20"/>
                <w:szCs w:val="20"/>
              </w:rPr>
            </w:pPr>
            <w:r>
              <w:rPr>
                <w:rFonts w:ascii="Arial" w:hAnsi="Arial" w:cs="Arial"/>
                <w:sz w:val="20"/>
                <w:szCs w:val="20"/>
              </w:rPr>
              <w:t>141,800</w:t>
            </w:r>
          </w:p>
        </w:tc>
        <w:tc>
          <w:tcPr>
            <w:tcW w:w="1440" w:type="dxa"/>
            <w:tcBorders>
              <w:left w:val="single" w:color="auto" w:sz="8" w:space="0"/>
              <w:right w:val="single" w:color="auto" w:sz="8" w:space="0"/>
            </w:tcBorders>
            <w:vAlign w:val="bottom"/>
          </w:tcPr>
          <w:p w:rsidR="003B0815" w:rsidRDefault="003B0815" w14:paraId="6FA6C8BB" w14:textId="77777777">
            <w:pPr>
              <w:keepNext/>
              <w:ind w:right="72"/>
              <w:jc w:val="right"/>
              <w:rPr>
                <w:rFonts w:ascii="Arial" w:hAnsi="Arial" w:cs="Arial"/>
                <w:sz w:val="20"/>
                <w:szCs w:val="20"/>
              </w:rPr>
            </w:pPr>
            <w:r>
              <w:rPr>
                <w:rFonts w:ascii="Arial" w:hAnsi="Arial" w:cs="Arial"/>
                <w:sz w:val="20"/>
                <w:szCs w:val="20"/>
              </w:rPr>
              <w:t>132,500,000</w:t>
            </w:r>
          </w:p>
        </w:tc>
        <w:tc>
          <w:tcPr>
            <w:tcW w:w="1260" w:type="dxa"/>
            <w:tcBorders>
              <w:left w:val="single" w:color="auto" w:sz="8" w:space="0"/>
              <w:right w:val="single" w:color="auto" w:sz="12" w:space="0"/>
            </w:tcBorders>
            <w:vAlign w:val="bottom"/>
          </w:tcPr>
          <w:p w:rsidR="003B0815" w:rsidRDefault="003B0815" w14:paraId="6C6F95C8" w14:textId="77777777">
            <w:pPr>
              <w:keepNext/>
              <w:jc w:val="center"/>
              <w:rPr>
                <w:rFonts w:ascii="Arial" w:hAnsi="Arial" w:cs="Arial"/>
                <w:sz w:val="20"/>
                <w:szCs w:val="20"/>
              </w:rPr>
            </w:pPr>
            <w:r>
              <w:rPr>
                <w:rFonts w:ascii="Arial" w:hAnsi="Arial" w:cs="Arial"/>
                <w:sz w:val="20"/>
                <w:szCs w:val="20"/>
              </w:rPr>
              <w:t>0.11</w:t>
            </w:r>
          </w:p>
        </w:tc>
      </w:tr>
      <w:tr w:rsidR="003B0815" w14:paraId="468B05C7" w14:textId="77777777">
        <w:trPr>
          <w:jc w:val="center"/>
        </w:trPr>
        <w:tc>
          <w:tcPr>
            <w:tcW w:w="1016" w:type="dxa"/>
            <w:tcBorders>
              <w:left w:val="single" w:color="auto" w:sz="12" w:space="0"/>
              <w:right w:val="single" w:color="auto" w:sz="8" w:space="0"/>
            </w:tcBorders>
            <w:vAlign w:val="bottom"/>
          </w:tcPr>
          <w:p w:rsidR="003B0815" w:rsidRDefault="003B0815" w14:paraId="08D26EB5" w14:textId="77777777">
            <w:pPr>
              <w:keepNext/>
              <w:jc w:val="center"/>
              <w:rPr>
                <w:rFonts w:ascii="Arial" w:hAnsi="Arial" w:cs="Arial"/>
                <w:sz w:val="20"/>
                <w:szCs w:val="20"/>
              </w:rPr>
            </w:pPr>
            <w:r>
              <w:rPr>
                <w:rFonts w:ascii="Arial" w:hAnsi="Arial" w:cs="Arial"/>
                <w:sz w:val="20"/>
                <w:szCs w:val="20"/>
              </w:rPr>
              <w:t>16</w:t>
            </w:r>
          </w:p>
        </w:tc>
        <w:tc>
          <w:tcPr>
            <w:tcW w:w="1080" w:type="dxa"/>
            <w:tcBorders>
              <w:left w:val="single" w:color="auto" w:sz="8" w:space="0"/>
              <w:right w:val="single" w:color="auto" w:sz="8" w:space="0"/>
            </w:tcBorders>
            <w:vAlign w:val="bottom"/>
          </w:tcPr>
          <w:p w:rsidR="003B0815" w:rsidRDefault="003B0815" w14:paraId="0BEDDC0A"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3F1F2DA5" w14:textId="77777777">
            <w:pPr>
              <w:keepNext/>
              <w:jc w:val="center"/>
              <w:rPr>
                <w:rFonts w:ascii="Arial" w:hAnsi="Arial" w:cs="Arial"/>
                <w:sz w:val="20"/>
                <w:szCs w:val="20"/>
              </w:rPr>
            </w:pPr>
            <w:r>
              <w:rPr>
                <w:rFonts w:ascii="Arial" w:hAnsi="Arial" w:cs="Arial"/>
                <w:sz w:val="20"/>
                <w:szCs w:val="20"/>
              </w:rPr>
              <w:t>329,418</w:t>
            </w:r>
          </w:p>
        </w:tc>
        <w:tc>
          <w:tcPr>
            <w:tcW w:w="1472" w:type="dxa"/>
            <w:tcBorders>
              <w:left w:val="single" w:color="auto" w:sz="8" w:space="0"/>
              <w:right w:val="single" w:color="auto" w:sz="8" w:space="0"/>
            </w:tcBorders>
            <w:vAlign w:val="bottom"/>
          </w:tcPr>
          <w:p w:rsidR="003B0815" w:rsidRDefault="003B0815" w14:paraId="2A26EDC2"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327BE4A6" w14:textId="77777777">
            <w:pPr>
              <w:keepNext/>
              <w:ind w:right="135"/>
              <w:jc w:val="right"/>
              <w:rPr>
                <w:rFonts w:ascii="Arial" w:hAnsi="Arial" w:cs="Arial"/>
                <w:sz w:val="20"/>
                <w:szCs w:val="20"/>
              </w:rPr>
            </w:pPr>
            <w:r>
              <w:rPr>
                <w:rFonts w:ascii="Arial" w:hAnsi="Arial" w:cs="Arial"/>
                <w:sz w:val="20"/>
                <w:szCs w:val="20"/>
              </w:rPr>
              <w:t>116,500</w:t>
            </w:r>
          </w:p>
        </w:tc>
        <w:tc>
          <w:tcPr>
            <w:tcW w:w="1440" w:type="dxa"/>
            <w:tcBorders>
              <w:left w:val="single" w:color="auto" w:sz="8" w:space="0"/>
              <w:right w:val="single" w:color="auto" w:sz="8" w:space="0"/>
            </w:tcBorders>
            <w:vAlign w:val="bottom"/>
          </w:tcPr>
          <w:p w:rsidR="003B0815" w:rsidRDefault="003B0815" w14:paraId="55FF7E7C" w14:textId="77777777">
            <w:pPr>
              <w:keepNext/>
              <w:ind w:right="72"/>
              <w:jc w:val="right"/>
              <w:rPr>
                <w:rFonts w:ascii="Arial" w:hAnsi="Arial" w:cs="Arial"/>
                <w:sz w:val="20"/>
                <w:szCs w:val="20"/>
              </w:rPr>
            </w:pPr>
            <w:r>
              <w:rPr>
                <w:rFonts w:ascii="Arial" w:hAnsi="Arial" w:cs="Arial"/>
                <w:sz w:val="20"/>
                <w:szCs w:val="20"/>
              </w:rPr>
              <w:t>33,400,000</w:t>
            </w:r>
          </w:p>
        </w:tc>
        <w:tc>
          <w:tcPr>
            <w:tcW w:w="1260" w:type="dxa"/>
            <w:tcBorders>
              <w:left w:val="single" w:color="auto" w:sz="8" w:space="0"/>
              <w:right w:val="single" w:color="auto" w:sz="12" w:space="0"/>
            </w:tcBorders>
            <w:vAlign w:val="bottom"/>
          </w:tcPr>
          <w:p w:rsidR="003B0815" w:rsidRDefault="003B0815" w14:paraId="45A42E24" w14:textId="77777777">
            <w:pPr>
              <w:keepNext/>
              <w:jc w:val="center"/>
              <w:rPr>
                <w:rFonts w:ascii="Arial" w:hAnsi="Arial" w:cs="Arial"/>
                <w:sz w:val="20"/>
                <w:szCs w:val="20"/>
              </w:rPr>
            </w:pPr>
            <w:r>
              <w:rPr>
                <w:rFonts w:ascii="Arial" w:hAnsi="Arial" w:cs="Arial"/>
                <w:sz w:val="20"/>
                <w:szCs w:val="20"/>
              </w:rPr>
              <w:t>0.35</w:t>
            </w:r>
          </w:p>
        </w:tc>
      </w:tr>
      <w:tr w:rsidR="003B0815" w14:paraId="0E73CC79" w14:textId="77777777">
        <w:trPr>
          <w:jc w:val="center"/>
        </w:trPr>
        <w:tc>
          <w:tcPr>
            <w:tcW w:w="1016" w:type="dxa"/>
            <w:tcBorders>
              <w:left w:val="single" w:color="auto" w:sz="12" w:space="0"/>
              <w:right w:val="single" w:color="auto" w:sz="8" w:space="0"/>
            </w:tcBorders>
            <w:vAlign w:val="bottom"/>
          </w:tcPr>
          <w:p w:rsidR="003B0815" w:rsidRDefault="003B0815" w14:paraId="5E696FF1" w14:textId="77777777">
            <w:pPr>
              <w:keepNext/>
              <w:jc w:val="center"/>
              <w:rPr>
                <w:rFonts w:ascii="Arial" w:hAnsi="Arial" w:cs="Arial"/>
                <w:sz w:val="20"/>
                <w:szCs w:val="20"/>
              </w:rPr>
            </w:pPr>
            <w:r>
              <w:rPr>
                <w:rFonts w:ascii="Arial" w:hAnsi="Arial" w:cs="Arial"/>
                <w:sz w:val="20"/>
                <w:szCs w:val="20"/>
              </w:rPr>
              <w:t>17</w:t>
            </w:r>
          </w:p>
        </w:tc>
        <w:tc>
          <w:tcPr>
            <w:tcW w:w="1080" w:type="dxa"/>
            <w:tcBorders>
              <w:left w:val="single" w:color="auto" w:sz="8" w:space="0"/>
              <w:right w:val="single" w:color="auto" w:sz="8" w:space="0"/>
            </w:tcBorders>
            <w:vAlign w:val="bottom"/>
          </w:tcPr>
          <w:p w:rsidR="003B0815" w:rsidRDefault="003B0815" w14:paraId="0DF869CA"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0DFF19D1" w14:textId="77777777">
            <w:pPr>
              <w:keepNext/>
              <w:jc w:val="center"/>
              <w:rPr>
                <w:rFonts w:ascii="Arial" w:hAnsi="Arial" w:cs="Arial"/>
                <w:sz w:val="20"/>
                <w:szCs w:val="20"/>
              </w:rPr>
            </w:pPr>
            <w:r>
              <w:rPr>
                <w:rFonts w:ascii="Arial" w:hAnsi="Arial" w:cs="Arial"/>
                <w:sz w:val="20"/>
                <w:szCs w:val="20"/>
              </w:rPr>
              <w:t>82,529</w:t>
            </w:r>
          </w:p>
        </w:tc>
        <w:tc>
          <w:tcPr>
            <w:tcW w:w="1472" w:type="dxa"/>
            <w:tcBorders>
              <w:left w:val="single" w:color="auto" w:sz="8" w:space="0"/>
              <w:right w:val="single" w:color="auto" w:sz="8" w:space="0"/>
            </w:tcBorders>
            <w:vAlign w:val="bottom"/>
          </w:tcPr>
          <w:p w:rsidR="003B0815" w:rsidRDefault="003B0815" w14:paraId="0E8E1995"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7C781482" w14:textId="77777777">
            <w:pPr>
              <w:keepNext/>
              <w:ind w:right="135"/>
              <w:jc w:val="right"/>
              <w:rPr>
                <w:rFonts w:ascii="Arial" w:hAnsi="Arial" w:cs="Arial"/>
                <w:sz w:val="20"/>
                <w:szCs w:val="20"/>
              </w:rPr>
            </w:pPr>
            <w:r>
              <w:rPr>
                <w:rFonts w:ascii="Arial" w:hAnsi="Arial" w:cs="Arial"/>
                <w:sz w:val="20"/>
                <w:szCs w:val="20"/>
              </w:rPr>
              <w:t>104,100</w:t>
            </w:r>
          </w:p>
        </w:tc>
        <w:tc>
          <w:tcPr>
            <w:tcW w:w="1440" w:type="dxa"/>
            <w:tcBorders>
              <w:left w:val="single" w:color="auto" w:sz="8" w:space="0"/>
              <w:right w:val="single" w:color="auto" w:sz="8" w:space="0"/>
            </w:tcBorders>
            <w:vAlign w:val="bottom"/>
          </w:tcPr>
          <w:p w:rsidR="003B0815" w:rsidRDefault="003B0815" w14:paraId="25B7C5F3" w14:textId="77777777">
            <w:pPr>
              <w:keepNext/>
              <w:ind w:right="72"/>
              <w:jc w:val="right"/>
              <w:rPr>
                <w:rFonts w:ascii="Arial" w:hAnsi="Arial" w:cs="Arial"/>
                <w:sz w:val="20"/>
                <w:szCs w:val="20"/>
              </w:rPr>
            </w:pPr>
            <w:r>
              <w:rPr>
                <w:rFonts w:ascii="Arial" w:hAnsi="Arial" w:cs="Arial"/>
                <w:sz w:val="20"/>
                <w:szCs w:val="20"/>
              </w:rPr>
              <w:t>105,265,872</w:t>
            </w:r>
          </w:p>
        </w:tc>
        <w:tc>
          <w:tcPr>
            <w:tcW w:w="1260" w:type="dxa"/>
            <w:tcBorders>
              <w:left w:val="single" w:color="auto" w:sz="8" w:space="0"/>
              <w:right w:val="single" w:color="auto" w:sz="12" w:space="0"/>
            </w:tcBorders>
            <w:vAlign w:val="bottom"/>
          </w:tcPr>
          <w:p w:rsidR="003B0815" w:rsidRDefault="003B0815" w14:paraId="1631C589" w14:textId="77777777">
            <w:pPr>
              <w:keepNext/>
              <w:jc w:val="center"/>
              <w:rPr>
                <w:rFonts w:ascii="Arial" w:hAnsi="Arial" w:cs="Arial"/>
                <w:sz w:val="20"/>
                <w:szCs w:val="20"/>
              </w:rPr>
            </w:pPr>
            <w:r>
              <w:rPr>
                <w:rFonts w:ascii="Arial" w:hAnsi="Arial" w:cs="Arial"/>
                <w:sz w:val="20"/>
                <w:szCs w:val="20"/>
              </w:rPr>
              <w:t>0.10</w:t>
            </w:r>
          </w:p>
        </w:tc>
      </w:tr>
      <w:tr w:rsidR="003B0815" w14:paraId="2BCF71AA" w14:textId="77777777">
        <w:trPr>
          <w:jc w:val="center"/>
        </w:trPr>
        <w:tc>
          <w:tcPr>
            <w:tcW w:w="1016" w:type="dxa"/>
            <w:tcBorders>
              <w:left w:val="single" w:color="auto" w:sz="12" w:space="0"/>
              <w:right w:val="single" w:color="auto" w:sz="8" w:space="0"/>
            </w:tcBorders>
            <w:vAlign w:val="bottom"/>
          </w:tcPr>
          <w:p w:rsidR="003B0815" w:rsidRDefault="003B0815" w14:paraId="0B77FE2D" w14:textId="77777777">
            <w:pPr>
              <w:keepNext/>
              <w:jc w:val="center"/>
              <w:rPr>
                <w:rFonts w:ascii="Arial" w:hAnsi="Arial" w:cs="Arial"/>
                <w:sz w:val="20"/>
                <w:szCs w:val="20"/>
              </w:rPr>
            </w:pPr>
            <w:r>
              <w:rPr>
                <w:rFonts w:ascii="Arial" w:hAnsi="Arial" w:cs="Arial"/>
                <w:sz w:val="20"/>
                <w:szCs w:val="20"/>
              </w:rPr>
              <w:t>18</w:t>
            </w:r>
          </w:p>
        </w:tc>
        <w:tc>
          <w:tcPr>
            <w:tcW w:w="1080" w:type="dxa"/>
            <w:tcBorders>
              <w:left w:val="single" w:color="auto" w:sz="8" w:space="0"/>
              <w:right w:val="single" w:color="auto" w:sz="8" w:space="0"/>
            </w:tcBorders>
            <w:vAlign w:val="bottom"/>
          </w:tcPr>
          <w:p w:rsidR="003B0815" w:rsidRDefault="003B0815" w14:paraId="155EAB03"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6BD36170" w14:textId="77777777">
            <w:pPr>
              <w:keepNext/>
              <w:jc w:val="center"/>
              <w:rPr>
                <w:rFonts w:ascii="Arial" w:hAnsi="Arial" w:cs="Arial"/>
                <w:sz w:val="20"/>
                <w:szCs w:val="20"/>
              </w:rPr>
            </w:pPr>
            <w:r>
              <w:rPr>
                <w:rFonts w:ascii="Arial" w:hAnsi="Arial" w:cs="Arial"/>
                <w:sz w:val="20"/>
                <w:szCs w:val="20"/>
              </w:rPr>
              <w:t>18,707</w:t>
            </w:r>
          </w:p>
        </w:tc>
        <w:tc>
          <w:tcPr>
            <w:tcW w:w="1472" w:type="dxa"/>
            <w:tcBorders>
              <w:left w:val="single" w:color="auto" w:sz="8" w:space="0"/>
              <w:right w:val="single" w:color="auto" w:sz="8" w:space="0"/>
            </w:tcBorders>
            <w:vAlign w:val="bottom"/>
          </w:tcPr>
          <w:p w:rsidR="003B0815" w:rsidRDefault="003B0815" w14:paraId="274DED3E"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73931832" w14:textId="77777777">
            <w:pPr>
              <w:keepNext/>
              <w:ind w:right="135"/>
              <w:jc w:val="right"/>
              <w:rPr>
                <w:rFonts w:ascii="Arial" w:hAnsi="Arial" w:cs="Arial"/>
                <w:sz w:val="20"/>
                <w:szCs w:val="20"/>
              </w:rPr>
            </w:pPr>
            <w:r>
              <w:rPr>
                <w:rFonts w:ascii="Arial" w:hAnsi="Arial" w:cs="Arial"/>
                <w:sz w:val="20"/>
                <w:szCs w:val="20"/>
              </w:rPr>
              <w:t>100,900</w:t>
            </w:r>
          </w:p>
        </w:tc>
        <w:tc>
          <w:tcPr>
            <w:tcW w:w="1440" w:type="dxa"/>
            <w:tcBorders>
              <w:left w:val="single" w:color="auto" w:sz="8" w:space="0"/>
              <w:right w:val="single" w:color="auto" w:sz="8" w:space="0"/>
            </w:tcBorders>
            <w:vAlign w:val="bottom"/>
          </w:tcPr>
          <w:p w:rsidR="003B0815" w:rsidRDefault="003B0815" w14:paraId="6D142A9A" w14:textId="77777777">
            <w:pPr>
              <w:keepNext/>
              <w:ind w:right="72"/>
              <w:jc w:val="right"/>
              <w:rPr>
                <w:rFonts w:ascii="Arial" w:hAnsi="Arial" w:cs="Arial"/>
                <w:sz w:val="20"/>
                <w:szCs w:val="20"/>
              </w:rPr>
            </w:pPr>
            <w:r>
              <w:rPr>
                <w:rFonts w:ascii="Arial" w:hAnsi="Arial" w:cs="Arial"/>
                <w:sz w:val="20"/>
                <w:szCs w:val="20"/>
              </w:rPr>
              <w:t>6,330,280</w:t>
            </w:r>
          </w:p>
        </w:tc>
        <w:tc>
          <w:tcPr>
            <w:tcW w:w="1260" w:type="dxa"/>
            <w:tcBorders>
              <w:left w:val="single" w:color="auto" w:sz="8" w:space="0"/>
              <w:right w:val="single" w:color="auto" w:sz="12" w:space="0"/>
            </w:tcBorders>
            <w:vAlign w:val="bottom"/>
          </w:tcPr>
          <w:p w:rsidR="003B0815" w:rsidRDefault="003B0815" w14:paraId="39B33A46" w14:textId="77777777">
            <w:pPr>
              <w:keepNext/>
              <w:jc w:val="center"/>
              <w:rPr>
                <w:rFonts w:ascii="Arial" w:hAnsi="Arial" w:cs="Arial"/>
                <w:sz w:val="20"/>
                <w:szCs w:val="20"/>
              </w:rPr>
            </w:pPr>
            <w:r>
              <w:rPr>
                <w:rFonts w:ascii="Arial" w:hAnsi="Arial" w:cs="Arial"/>
                <w:sz w:val="20"/>
                <w:szCs w:val="20"/>
              </w:rPr>
              <w:t>1.59</w:t>
            </w:r>
          </w:p>
        </w:tc>
      </w:tr>
      <w:tr w:rsidR="003B0815" w14:paraId="1AAD4635" w14:textId="77777777">
        <w:trPr>
          <w:jc w:val="center"/>
        </w:trPr>
        <w:tc>
          <w:tcPr>
            <w:tcW w:w="1016" w:type="dxa"/>
            <w:tcBorders>
              <w:left w:val="single" w:color="auto" w:sz="12" w:space="0"/>
              <w:right w:val="single" w:color="auto" w:sz="8" w:space="0"/>
            </w:tcBorders>
            <w:vAlign w:val="bottom"/>
          </w:tcPr>
          <w:p w:rsidR="003B0815" w:rsidRDefault="003B0815" w14:paraId="50483F41" w14:textId="77777777">
            <w:pPr>
              <w:keepNext/>
              <w:jc w:val="center"/>
              <w:rPr>
                <w:rFonts w:ascii="Arial" w:hAnsi="Arial" w:cs="Arial"/>
                <w:sz w:val="20"/>
                <w:szCs w:val="20"/>
              </w:rPr>
            </w:pPr>
            <w:r>
              <w:rPr>
                <w:rFonts w:ascii="Arial" w:hAnsi="Arial" w:cs="Arial"/>
                <w:sz w:val="20"/>
                <w:szCs w:val="20"/>
              </w:rPr>
              <w:t>19</w:t>
            </w:r>
          </w:p>
        </w:tc>
        <w:tc>
          <w:tcPr>
            <w:tcW w:w="1080" w:type="dxa"/>
            <w:tcBorders>
              <w:left w:val="single" w:color="auto" w:sz="8" w:space="0"/>
              <w:right w:val="single" w:color="auto" w:sz="8" w:space="0"/>
            </w:tcBorders>
            <w:vAlign w:val="bottom"/>
          </w:tcPr>
          <w:p w:rsidR="003B0815" w:rsidRDefault="003B0815" w14:paraId="7EAF78CD"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2CBA48A9" w14:textId="77777777">
            <w:pPr>
              <w:keepNext/>
              <w:jc w:val="center"/>
              <w:rPr>
                <w:rFonts w:ascii="Arial" w:hAnsi="Arial" w:cs="Arial"/>
                <w:sz w:val="20"/>
                <w:szCs w:val="20"/>
              </w:rPr>
            </w:pPr>
            <w:r>
              <w:rPr>
                <w:rFonts w:ascii="Arial" w:hAnsi="Arial" w:cs="Arial"/>
                <w:sz w:val="20"/>
                <w:szCs w:val="20"/>
              </w:rPr>
              <w:t>329,083</w:t>
            </w:r>
          </w:p>
        </w:tc>
        <w:tc>
          <w:tcPr>
            <w:tcW w:w="1472" w:type="dxa"/>
            <w:tcBorders>
              <w:left w:val="single" w:color="auto" w:sz="8" w:space="0"/>
              <w:right w:val="single" w:color="auto" w:sz="8" w:space="0"/>
            </w:tcBorders>
            <w:vAlign w:val="bottom"/>
          </w:tcPr>
          <w:p w:rsidR="003B0815" w:rsidRDefault="003B0815" w14:paraId="01823C5D"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7C525B67" w14:textId="77777777">
            <w:pPr>
              <w:keepNext/>
              <w:ind w:right="135"/>
              <w:jc w:val="right"/>
              <w:rPr>
                <w:rFonts w:ascii="Arial" w:hAnsi="Arial" w:cs="Arial"/>
                <w:sz w:val="20"/>
                <w:szCs w:val="20"/>
              </w:rPr>
            </w:pPr>
            <w:r>
              <w:rPr>
                <w:rFonts w:ascii="Arial" w:hAnsi="Arial" w:cs="Arial"/>
                <w:sz w:val="20"/>
                <w:szCs w:val="20"/>
              </w:rPr>
              <w:t>116,500</w:t>
            </w:r>
          </w:p>
        </w:tc>
        <w:tc>
          <w:tcPr>
            <w:tcW w:w="1440" w:type="dxa"/>
            <w:tcBorders>
              <w:left w:val="single" w:color="auto" w:sz="8" w:space="0"/>
              <w:right w:val="single" w:color="auto" w:sz="8" w:space="0"/>
            </w:tcBorders>
            <w:vAlign w:val="bottom"/>
          </w:tcPr>
          <w:p w:rsidR="003B0815" w:rsidRDefault="003B0815" w14:paraId="7E897148" w14:textId="77777777">
            <w:pPr>
              <w:keepNext/>
              <w:ind w:right="72"/>
              <w:jc w:val="right"/>
              <w:rPr>
                <w:rFonts w:ascii="Arial" w:hAnsi="Arial" w:cs="Arial"/>
                <w:sz w:val="20"/>
                <w:szCs w:val="20"/>
              </w:rPr>
            </w:pPr>
            <w:r>
              <w:rPr>
                <w:rFonts w:ascii="Arial" w:hAnsi="Arial" w:cs="Arial"/>
                <w:sz w:val="20"/>
                <w:szCs w:val="20"/>
              </w:rPr>
              <w:t>35,649,201</w:t>
            </w:r>
          </w:p>
        </w:tc>
        <w:tc>
          <w:tcPr>
            <w:tcW w:w="1260" w:type="dxa"/>
            <w:tcBorders>
              <w:left w:val="single" w:color="auto" w:sz="8" w:space="0"/>
              <w:right w:val="single" w:color="auto" w:sz="12" w:space="0"/>
            </w:tcBorders>
            <w:vAlign w:val="bottom"/>
          </w:tcPr>
          <w:p w:rsidR="003B0815" w:rsidRDefault="003B0815" w14:paraId="79CBCE10" w14:textId="77777777">
            <w:pPr>
              <w:keepNext/>
              <w:jc w:val="center"/>
              <w:rPr>
                <w:rFonts w:ascii="Arial" w:hAnsi="Arial" w:cs="Arial"/>
                <w:sz w:val="20"/>
                <w:szCs w:val="20"/>
              </w:rPr>
            </w:pPr>
            <w:r>
              <w:rPr>
                <w:rFonts w:ascii="Arial" w:hAnsi="Arial" w:cs="Arial"/>
                <w:sz w:val="20"/>
                <w:szCs w:val="20"/>
              </w:rPr>
              <w:t>0.33</w:t>
            </w:r>
          </w:p>
        </w:tc>
      </w:tr>
      <w:tr w:rsidR="003B0815" w14:paraId="756EA45D" w14:textId="77777777">
        <w:trPr>
          <w:jc w:val="center"/>
        </w:trPr>
        <w:tc>
          <w:tcPr>
            <w:tcW w:w="1016" w:type="dxa"/>
            <w:tcBorders>
              <w:left w:val="single" w:color="auto" w:sz="12" w:space="0"/>
              <w:right w:val="single" w:color="auto" w:sz="8" w:space="0"/>
            </w:tcBorders>
            <w:vAlign w:val="bottom"/>
          </w:tcPr>
          <w:p w:rsidR="003B0815" w:rsidRDefault="003B0815" w14:paraId="046B259E" w14:textId="77777777">
            <w:pPr>
              <w:keepNext/>
              <w:jc w:val="center"/>
              <w:rPr>
                <w:rFonts w:ascii="Arial" w:hAnsi="Arial" w:cs="Arial"/>
                <w:sz w:val="20"/>
                <w:szCs w:val="20"/>
              </w:rPr>
            </w:pPr>
            <w:r>
              <w:rPr>
                <w:rFonts w:ascii="Arial" w:hAnsi="Arial" w:cs="Arial"/>
                <w:sz w:val="20"/>
                <w:szCs w:val="20"/>
              </w:rPr>
              <w:t>20</w:t>
            </w:r>
          </w:p>
        </w:tc>
        <w:tc>
          <w:tcPr>
            <w:tcW w:w="1080" w:type="dxa"/>
            <w:tcBorders>
              <w:left w:val="single" w:color="auto" w:sz="8" w:space="0"/>
              <w:right w:val="single" w:color="auto" w:sz="8" w:space="0"/>
            </w:tcBorders>
            <w:vAlign w:val="bottom"/>
          </w:tcPr>
          <w:p w:rsidR="003B0815" w:rsidRDefault="003B0815" w14:paraId="1D8EC105"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088F8D26" w14:textId="77777777">
            <w:pPr>
              <w:keepNext/>
              <w:jc w:val="center"/>
              <w:rPr>
                <w:rFonts w:ascii="Arial" w:hAnsi="Arial" w:cs="Arial"/>
                <w:sz w:val="20"/>
                <w:szCs w:val="20"/>
              </w:rPr>
            </w:pPr>
            <w:r>
              <w:rPr>
                <w:rFonts w:ascii="Arial" w:hAnsi="Arial" w:cs="Arial"/>
                <w:sz w:val="20"/>
                <w:szCs w:val="20"/>
              </w:rPr>
              <w:t>35,788</w:t>
            </w:r>
          </w:p>
        </w:tc>
        <w:tc>
          <w:tcPr>
            <w:tcW w:w="1472" w:type="dxa"/>
            <w:tcBorders>
              <w:left w:val="single" w:color="auto" w:sz="8" w:space="0"/>
              <w:right w:val="single" w:color="auto" w:sz="8" w:space="0"/>
            </w:tcBorders>
            <w:vAlign w:val="bottom"/>
          </w:tcPr>
          <w:p w:rsidR="003B0815" w:rsidRDefault="003B0815" w14:paraId="0626A45A"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137BD75B" w14:textId="77777777">
            <w:pPr>
              <w:keepNext/>
              <w:ind w:right="135"/>
              <w:jc w:val="right"/>
              <w:rPr>
                <w:rFonts w:ascii="Arial" w:hAnsi="Arial" w:cs="Arial"/>
                <w:sz w:val="20"/>
                <w:szCs w:val="20"/>
              </w:rPr>
            </w:pPr>
            <w:r>
              <w:rPr>
                <w:rFonts w:ascii="Arial" w:hAnsi="Arial" w:cs="Arial"/>
                <w:sz w:val="20"/>
                <w:szCs w:val="20"/>
              </w:rPr>
              <w:t>101,800</w:t>
            </w:r>
          </w:p>
        </w:tc>
        <w:tc>
          <w:tcPr>
            <w:tcW w:w="1440" w:type="dxa"/>
            <w:tcBorders>
              <w:left w:val="single" w:color="auto" w:sz="8" w:space="0"/>
              <w:right w:val="single" w:color="auto" w:sz="8" w:space="0"/>
            </w:tcBorders>
            <w:vAlign w:val="bottom"/>
          </w:tcPr>
          <w:p w:rsidR="003B0815" w:rsidRDefault="003B0815" w14:paraId="11017C8D" w14:textId="77777777">
            <w:pPr>
              <w:keepNext/>
              <w:ind w:right="72"/>
              <w:jc w:val="right"/>
              <w:rPr>
                <w:rFonts w:ascii="Arial" w:hAnsi="Arial" w:cs="Arial"/>
                <w:sz w:val="20"/>
                <w:szCs w:val="20"/>
              </w:rPr>
            </w:pPr>
            <w:r>
              <w:rPr>
                <w:rFonts w:ascii="Arial" w:hAnsi="Arial" w:cs="Arial"/>
                <w:sz w:val="20"/>
                <w:szCs w:val="20"/>
              </w:rPr>
              <w:t>12,000,000</w:t>
            </w:r>
          </w:p>
        </w:tc>
        <w:tc>
          <w:tcPr>
            <w:tcW w:w="1260" w:type="dxa"/>
            <w:tcBorders>
              <w:left w:val="single" w:color="auto" w:sz="8" w:space="0"/>
              <w:right w:val="single" w:color="auto" w:sz="12" w:space="0"/>
            </w:tcBorders>
            <w:vAlign w:val="bottom"/>
          </w:tcPr>
          <w:p w:rsidR="003B0815" w:rsidRDefault="003B0815" w14:paraId="0113F36F" w14:textId="77777777">
            <w:pPr>
              <w:keepNext/>
              <w:jc w:val="center"/>
              <w:rPr>
                <w:rFonts w:ascii="Arial" w:hAnsi="Arial" w:cs="Arial"/>
                <w:sz w:val="20"/>
                <w:szCs w:val="20"/>
              </w:rPr>
            </w:pPr>
            <w:r>
              <w:rPr>
                <w:rFonts w:ascii="Arial" w:hAnsi="Arial" w:cs="Arial"/>
                <w:sz w:val="20"/>
                <w:szCs w:val="20"/>
              </w:rPr>
              <w:t>0.85</w:t>
            </w:r>
          </w:p>
        </w:tc>
      </w:tr>
      <w:tr w:rsidR="003B0815" w14:paraId="15673ABF" w14:textId="77777777">
        <w:trPr>
          <w:jc w:val="center"/>
        </w:trPr>
        <w:tc>
          <w:tcPr>
            <w:tcW w:w="1016" w:type="dxa"/>
            <w:tcBorders>
              <w:left w:val="single" w:color="auto" w:sz="12" w:space="0"/>
              <w:right w:val="single" w:color="auto" w:sz="8" w:space="0"/>
            </w:tcBorders>
            <w:vAlign w:val="bottom"/>
          </w:tcPr>
          <w:p w:rsidR="003B0815" w:rsidRDefault="003B0815" w14:paraId="30A48916" w14:textId="77777777">
            <w:pPr>
              <w:keepNext/>
              <w:jc w:val="center"/>
              <w:rPr>
                <w:rFonts w:ascii="Arial" w:hAnsi="Arial" w:cs="Arial"/>
                <w:sz w:val="20"/>
                <w:szCs w:val="20"/>
              </w:rPr>
            </w:pPr>
            <w:r>
              <w:rPr>
                <w:rFonts w:ascii="Arial" w:hAnsi="Arial" w:cs="Arial"/>
                <w:sz w:val="20"/>
                <w:szCs w:val="20"/>
              </w:rPr>
              <w:t>21</w:t>
            </w:r>
          </w:p>
        </w:tc>
        <w:tc>
          <w:tcPr>
            <w:tcW w:w="1080" w:type="dxa"/>
            <w:tcBorders>
              <w:left w:val="single" w:color="auto" w:sz="8" w:space="0"/>
              <w:right w:val="single" w:color="auto" w:sz="8" w:space="0"/>
            </w:tcBorders>
            <w:vAlign w:val="bottom"/>
          </w:tcPr>
          <w:p w:rsidR="003B0815" w:rsidRDefault="003B0815" w14:paraId="332BD567" w14:textId="77777777">
            <w:pPr>
              <w:keepNext/>
              <w:ind w:right="103"/>
              <w:jc w:val="right"/>
              <w:rPr>
                <w:rFonts w:ascii="Arial" w:hAnsi="Arial" w:cs="Arial"/>
                <w:sz w:val="20"/>
                <w:szCs w:val="20"/>
              </w:rPr>
            </w:pPr>
            <w:r>
              <w:rPr>
                <w:rFonts w:ascii="Arial" w:hAnsi="Arial" w:cs="Arial"/>
                <w:sz w:val="20"/>
                <w:szCs w:val="20"/>
              </w:rPr>
              <w:t>100,000</w:t>
            </w:r>
          </w:p>
        </w:tc>
        <w:tc>
          <w:tcPr>
            <w:tcW w:w="1440" w:type="dxa"/>
            <w:tcBorders>
              <w:left w:val="single" w:color="auto" w:sz="8" w:space="0"/>
              <w:right w:val="single" w:color="auto" w:sz="8" w:space="0"/>
            </w:tcBorders>
            <w:vAlign w:val="bottom"/>
          </w:tcPr>
          <w:p w:rsidR="003B0815" w:rsidRDefault="003B0815" w14:paraId="33A6A40A" w14:textId="77777777">
            <w:pPr>
              <w:keepNext/>
              <w:jc w:val="center"/>
              <w:rPr>
                <w:rFonts w:ascii="Arial" w:hAnsi="Arial" w:cs="Arial"/>
                <w:sz w:val="20"/>
                <w:szCs w:val="20"/>
              </w:rPr>
            </w:pPr>
            <w:r>
              <w:rPr>
                <w:rFonts w:ascii="Arial" w:hAnsi="Arial" w:cs="Arial"/>
                <w:sz w:val="20"/>
                <w:szCs w:val="20"/>
              </w:rPr>
              <w:t>22,511</w:t>
            </w:r>
          </w:p>
        </w:tc>
        <w:tc>
          <w:tcPr>
            <w:tcW w:w="1472" w:type="dxa"/>
            <w:tcBorders>
              <w:left w:val="single" w:color="auto" w:sz="8" w:space="0"/>
              <w:right w:val="single" w:color="auto" w:sz="8" w:space="0"/>
            </w:tcBorders>
            <w:vAlign w:val="bottom"/>
          </w:tcPr>
          <w:p w:rsidR="003B0815" w:rsidRDefault="003B0815" w14:paraId="1AEFE263"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7FCC9FC4" w14:textId="77777777">
            <w:pPr>
              <w:keepNext/>
              <w:ind w:right="135"/>
              <w:jc w:val="right"/>
              <w:rPr>
                <w:rFonts w:ascii="Arial" w:hAnsi="Arial" w:cs="Arial"/>
                <w:sz w:val="20"/>
                <w:szCs w:val="20"/>
              </w:rPr>
            </w:pPr>
            <w:r>
              <w:rPr>
                <w:rFonts w:ascii="Arial" w:hAnsi="Arial" w:cs="Arial"/>
                <w:sz w:val="20"/>
                <w:szCs w:val="20"/>
              </w:rPr>
              <w:t>101,100</w:t>
            </w:r>
          </w:p>
        </w:tc>
        <w:tc>
          <w:tcPr>
            <w:tcW w:w="1440" w:type="dxa"/>
            <w:tcBorders>
              <w:left w:val="single" w:color="auto" w:sz="8" w:space="0"/>
              <w:right w:val="single" w:color="auto" w:sz="8" w:space="0"/>
            </w:tcBorders>
            <w:vAlign w:val="bottom"/>
          </w:tcPr>
          <w:p w:rsidR="003B0815" w:rsidRDefault="003B0815" w14:paraId="681A1E0F" w14:textId="77777777">
            <w:pPr>
              <w:keepNext/>
              <w:ind w:right="72"/>
              <w:jc w:val="right"/>
              <w:rPr>
                <w:rFonts w:ascii="Arial" w:hAnsi="Arial" w:cs="Arial"/>
                <w:sz w:val="20"/>
                <w:szCs w:val="20"/>
              </w:rPr>
            </w:pPr>
            <w:r>
              <w:rPr>
                <w:rFonts w:ascii="Arial" w:hAnsi="Arial" w:cs="Arial"/>
                <w:sz w:val="20"/>
                <w:szCs w:val="20"/>
              </w:rPr>
              <w:t>14,229,510</w:t>
            </w:r>
          </w:p>
        </w:tc>
        <w:tc>
          <w:tcPr>
            <w:tcW w:w="1260" w:type="dxa"/>
            <w:tcBorders>
              <w:left w:val="single" w:color="auto" w:sz="8" w:space="0"/>
              <w:right w:val="single" w:color="auto" w:sz="12" w:space="0"/>
            </w:tcBorders>
            <w:vAlign w:val="bottom"/>
          </w:tcPr>
          <w:p w:rsidR="003B0815" w:rsidRDefault="003B0815" w14:paraId="4D000907" w14:textId="77777777">
            <w:pPr>
              <w:keepNext/>
              <w:jc w:val="center"/>
              <w:rPr>
                <w:rFonts w:ascii="Arial" w:hAnsi="Arial" w:cs="Arial"/>
                <w:sz w:val="20"/>
                <w:szCs w:val="20"/>
              </w:rPr>
            </w:pPr>
            <w:r>
              <w:rPr>
                <w:rFonts w:ascii="Arial" w:hAnsi="Arial" w:cs="Arial"/>
                <w:sz w:val="20"/>
                <w:szCs w:val="20"/>
              </w:rPr>
              <w:t>0.71</w:t>
            </w:r>
          </w:p>
        </w:tc>
      </w:tr>
      <w:tr w:rsidR="003B0815" w14:paraId="65FDC19C" w14:textId="77777777">
        <w:trPr>
          <w:jc w:val="center"/>
        </w:trPr>
        <w:tc>
          <w:tcPr>
            <w:tcW w:w="1016" w:type="dxa"/>
            <w:tcBorders>
              <w:left w:val="single" w:color="auto" w:sz="12" w:space="0"/>
              <w:right w:val="single" w:color="auto" w:sz="8" w:space="0"/>
            </w:tcBorders>
            <w:vAlign w:val="bottom"/>
          </w:tcPr>
          <w:p w:rsidR="003B0815" w:rsidRDefault="003B0815" w14:paraId="344565C3" w14:textId="77777777">
            <w:pPr>
              <w:keepNext/>
              <w:jc w:val="center"/>
              <w:rPr>
                <w:rFonts w:ascii="Arial" w:hAnsi="Arial" w:cs="Arial"/>
                <w:sz w:val="20"/>
                <w:szCs w:val="20"/>
              </w:rPr>
            </w:pPr>
            <w:r>
              <w:rPr>
                <w:rFonts w:ascii="Arial" w:hAnsi="Arial" w:cs="Arial"/>
                <w:sz w:val="20"/>
                <w:szCs w:val="20"/>
              </w:rPr>
              <w:t>22</w:t>
            </w:r>
          </w:p>
        </w:tc>
        <w:tc>
          <w:tcPr>
            <w:tcW w:w="1080" w:type="dxa"/>
            <w:tcBorders>
              <w:left w:val="single" w:color="auto" w:sz="8" w:space="0"/>
              <w:right w:val="single" w:color="auto" w:sz="8" w:space="0"/>
            </w:tcBorders>
            <w:vAlign w:val="bottom"/>
          </w:tcPr>
          <w:p w:rsidR="003B0815" w:rsidRDefault="003B0815" w14:paraId="655DC267" w14:textId="77777777">
            <w:pPr>
              <w:keepNext/>
              <w:ind w:right="103"/>
              <w:jc w:val="right"/>
              <w:rPr>
                <w:rFonts w:ascii="Arial" w:hAnsi="Arial" w:cs="Arial"/>
                <w:sz w:val="20"/>
                <w:szCs w:val="20"/>
              </w:rPr>
            </w:pPr>
            <w:r>
              <w:rPr>
                <w:rFonts w:ascii="Arial" w:hAnsi="Arial" w:cs="Arial"/>
                <w:sz w:val="20"/>
                <w:szCs w:val="20"/>
              </w:rPr>
              <w:t>0</w:t>
            </w:r>
          </w:p>
        </w:tc>
        <w:tc>
          <w:tcPr>
            <w:tcW w:w="1440" w:type="dxa"/>
            <w:tcBorders>
              <w:left w:val="single" w:color="auto" w:sz="8" w:space="0"/>
              <w:right w:val="single" w:color="auto" w:sz="8" w:space="0"/>
            </w:tcBorders>
            <w:vAlign w:val="bottom"/>
          </w:tcPr>
          <w:p w:rsidR="003B0815" w:rsidRDefault="003B0815" w14:paraId="58F7DE15" w14:textId="77777777">
            <w:pPr>
              <w:keepNext/>
              <w:jc w:val="center"/>
              <w:rPr>
                <w:rFonts w:ascii="Arial" w:hAnsi="Arial" w:cs="Arial"/>
                <w:sz w:val="20"/>
                <w:szCs w:val="20"/>
              </w:rPr>
            </w:pPr>
            <w:r>
              <w:rPr>
                <w:rFonts w:ascii="Arial" w:hAnsi="Arial" w:cs="Arial"/>
                <w:sz w:val="20"/>
                <w:szCs w:val="20"/>
              </w:rPr>
              <w:t>0*</w:t>
            </w:r>
          </w:p>
        </w:tc>
        <w:tc>
          <w:tcPr>
            <w:tcW w:w="1472" w:type="dxa"/>
            <w:tcBorders>
              <w:left w:val="single" w:color="auto" w:sz="8" w:space="0"/>
              <w:right w:val="single" w:color="auto" w:sz="8" w:space="0"/>
            </w:tcBorders>
            <w:vAlign w:val="bottom"/>
          </w:tcPr>
          <w:p w:rsidR="003B0815" w:rsidRDefault="003B0815" w14:paraId="380F9E5A"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4A3AAA8D" w14:textId="77777777">
            <w:pPr>
              <w:keepNext/>
              <w:ind w:right="135"/>
              <w:jc w:val="right"/>
              <w:rPr>
                <w:rFonts w:ascii="Arial" w:hAnsi="Arial" w:cs="Arial"/>
                <w:sz w:val="20"/>
                <w:szCs w:val="20"/>
              </w:rPr>
            </w:pPr>
            <w:r>
              <w:rPr>
                <w:rFonts w:ascii="Arial" w:hAnsi="Arial" w:cs="Arial"/>
                <w:sz w:val="20"/>
                <w:szCs w:val="20"/>
              </w:rPr>
              <w:t>0</w:t>
            </w:r>
          </w:p>
        </w:tc>
        <w:tc>
          <w:tcPr>
            <w:tcW w:w="1440" w:type="dxa"/>
            <w:tcBorders>
              <w:left w:val="single" w:color="auto" w:sz="8" w:space="0"/>
              <w:right w:val="single" w:color="auto" w:sz="8" w:space="0"/>
            </w:tcBorders>
            <w:vAlign w:val="bottom"/>
          </w:tcPr>
          <w:p w:rsidR="003B0815" w:rsidRDefault="003B0815" w14:paraId="47ADC47B" w14:textId="77777777">
            <w:pPr>
              <w:keepNext/>
              <w:ind w:right="72"/>
              <w:jc w:val="right"/>
              <w:rPr>
                <w:rFonts w:ascii="Arial" w:hAnsi="Arial" w:cs="Arial"/>
                <w:sz w:val="20"/>
                <w:szCs w:val="20"/>
              </w:rPr>
            </w:pPr>
            <w:r>
              <w:rPr>
                <w:rFonts w:ascii="Arial" w:hAnsi="Arial" w:cs="Arial"/>
                <w:sz w:val="20"/>
                <w:szCs w:val="20"/>
              </w:rPr>
              <w:t>930,000</w:t>
            </w:r>
          </w:p>
        </w:tc>
        <w:tc>
          <w:tcPr>
            <w:tcW w:w="1260" w:type="dxa"/>
            <w:tcBorders>
              <w:left w:val="single" w:color="auto" w:sz="8" w:space="0"/>
              <w:right w:val="single" w:color="auto" w:sz="12" w:space="0"/>
            </w:tcBorders>
            <w:vAlign w:val="bottom"/>
          </w:tcPr>
          <w:p w:rsidR="003B0815" w:rsidRDefault="003B0815" w14:paraId="705773AE" w14:textId="77777777">
            <w:pPr>
              <w:keepNext/>
              <w:jc w:val="center"/>
              <w:rPr>
                <w:rFonts w:ascii="Arial" w:hAnsi="Arial" w:cs="Arial"/>
                <w:sz w:val="20"/>
                <w:szCs w:val="20"/>
              </w:rPr>
            </w:pPr>
            <w:r>
              <w:rPr>
                <w:rFonts w:ascii="Arial" w:hAnsi="Arial" w:cs="Arial"/>
                <w:sz w:val="20"/>
                <w:szCs w:val="20"/>
              </w:rPr>
              <w:t>Data Not Available</w:t>
            </w:r>
          </w:p>
        </w:tc>
      </w:tr>
      <w:tr w:rsidR="003B0815" w14:paraId="07BD31C1" w14:textId="77777777">
        <w:trPr>
          <w:jc w:val="center"/>
        </w:trPr>
        <w:tc>
          <w:tcPr>
            <w:tcW w:w="1016" w:type="dxa"/>
            <w:tcBorders>
              <w:left w:val="single" w:color="auto" w:sz="12" w:space="0"/>
              <w:right w:val="single" w:color="auto" w:sz="8" w:space="0"/>
            </w:tcBorders>
            <w:vAlign w:val="bottom"/>
          </w:tcPr>
          <w:p w:rsidR="003B0815" w:rsidRDefault="003B0815" w14:paraId="52F970FC" w14:textId="77777777">
            <w:pPr>
              <w:keepNext/>
              <w:jc w:val="center"/>
              <w:rPr>
                <w:rFonts w:ascii="Arial" w:hAnsi="Arial" w:cs="Arial"/>
                <w:sz w:val="20"/>
                <w:szCs w:val="20"/>
              </w:rPr>
            </w:pPr>
            <w:r>
              <w:rPr>
                <w:rFonts w:ascii="Arial" w:hAnsi="Arial" w:cs="Arial"/>
                <w:sz w:val="20"/>
                <w:szCs w:val="20"/>
              </w:rPr>
              <w:t>23</w:t>
            </w:r>
          </w:p>
        </w:tc>
        <w:tc>
          <w:tcPr>
            <w:tcW w:w="1080" w:type="dxa"/>
            <w:tcBorders>
              <w:left w:val="single" w:color="auto" w:sz="8" w:space="0"/>
              <w:right w:val="single" w:color="auto" w:sz="8" w:space="0"/>
            </w:tcBorders>
            <w:vAlign w:val="bottom"/>
          </w:tcPr>
          <w:p w:rsidR="003B0815" w:rsidRDefault="003B0815" w14:paraId="4670624A" w14:textId="77777777">
            <w:pPr>
              <w:keepNext/>
              <w:ind w:right="103"/>
              <w:jc w:val="right"/>
              <w:rPr>
                <w:rFonts w:ascii="Arial" w:hAnsi="Arial" w:cs="Arial"/>
                <w:sz w:val="20"/>
                <w:szCs w:val="20"/>
              </w:rPr>
            </w:pPr>
            <w:r>
              <w:rPr>
                <w:rFonts w:ascii="Arial" w:hAnsi="Arial" w:cs="Arial"/>
                <w:sz w:val="20"/>
                <w:szCs w:val="20"/>
              </w:rPr>
              <w:t>0</w:t>
            </w:r>
          </w:p>
        </w:tc>
        <w:tc>
          <w:tcPr>
            <w:tcW w:w="1440" w:type="dxa"/>
            <w:tcBorders>
              <w:left w:val="single" w:color="auto" w:sz="8" w:space="0"/>
              <w:right w:val="single" w:color="auto" w:sz="8" w:space="0"/>
            </w:tcBorders>
            <w:vAlign w:val="bottom"/>
          </w:tcPr>
          <w:p w:rsidR="003B0815" w:rsidRDefault="003B0815" w14:paraId="60779C8E" w14:textId="77777777">
            <w:pPr>
              <w:keepNext/>
              <w:jc w:val="center"/>
              <w:rPr>
                <w:rFonts w:ascii="Arial" w:hAnsi="Arial" w:cs="Arial"/>
                <w:sz w:val="20"/>
                <w:szCs w:val="20"/>
              </w:rPr>
            </w:pPr>
            <w:r>
              <w:rPr>
                <w:rFonts w:ascii="Arial" w:hAnsi="Arial" w:cs="Arial"/>
                <w:sz w:val="20"/>
                <w:szCs w:val="20"/>
              </w:rPr>
              <w:t>38,471</w:t>
            </w:r>
          </w:p>
        </w:tc>
        <w:tc>
          <w:tcPr>
            <w:tcW w:w="1472" w:type="dxa"/>
            <w:tcBorders>
              <w:left w:val="single" w:color="auto" w:sz="8" w:space="0"/>
              <w:right w:val="single" w:color="auto" w:sz="8" w:space="0"/>
            </w:tcBorders>
            <w:vAlign w:val="bottom"/>
          </w:tcPr>
          <w:p w:rsidR="003B0815" w:rsidRDefault="003B0815" w14:paraId="67BDCE19"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77987F1A" w14:textId="77777777">
            <w:pPr>
              <w:keepNext/>
              <w:ind w:right="135"/>
              <w:jc w:val="right"/>
              <w:rPr>
                <w:rFonts w:ascii="Arial" w:hAnsi="Arial" w:cs="Arial"/>
                <w:sz w:val="20"/>
                <w:szCs w:val="20"/>
              </w:rPr>
            </w:pPr>
            <w:r>
              <w:rPr>
                <w:rFonts w:ascii="Arial" w:hAnsi="Arial" w:cs="Arial"/>
                <w:sz w:val="20"/>
                <w:szCs w:val="20"/>
              </w:rPr>
              <w:t>1,900</w:t>
            </w:r>
          </w:p>
        </w:tc>
        <w:tc>
          <w:tcPr>
            <w:tcW w:w="1440" w:type="dxa"/>
            <w:tcBorders>
              <w:left w:val="single" w:color="auto" w:sz="8" w:space="0"/>
              <w:right w:val="single" w:color="auto" w:sz="8" w:space="0"/>
            </w:tcBorders>
            <w:vAlign w:val="bottom"/>
          </w:tcPr>
          <w:p w:rsidR="003B0815" w:rsidRDefault="003B0815" w14:paraId="30510979" w14:textId="77777777">
            <w:pPr>
              <w:keepNext/>
              <w:ind w:right="72"/>
              <w:jc w:val="right"/>
              <w:rPr>
                <w:rFonts w:ascii="Arial" w:hAnsi="Arial" w:cs="Arial"/>
                <w:sz w:val="20"/>
                <w:szCs w:val="20"/>
              </w:rPr>
            </w:pPr>
            <w:r>
              <w:rPr>
                <w:rFonts w:ascii="Arial" w:hAnsi="Arial" w:cs="Arial"/>
                <w:sz w:val="20"/>
                <w:szCs w:val="20"/>
              </w:rPr>
              <w:t>0</w:t>
            </w:r>
          </w:p>
        </w:tc>
        <w:tc>
          <w:tcPr>
            <w:tcW w:w="1260" w:type="dxa"/>
            <w:tcBorders>
              <w:left w:val="single" w:color="auto" w:sz="8" w:space="0"/>
              <w:right w:val="single" w:color="auto" w:sz="12" w:space="0"/>
            </w:tcBorders>
            <w:vAlign w:val="bottom"/>
          </w:tcPr>
          <w:p w:rsidR="003B0815" w:rsidRDefault="003B0815" w14:paraId="2FE538B5" w14:textId="77777777">
            <w:pPr>
              <w:keepNext/>
              <w:jc w:val="center"/>
              <w:rPr>
                <w:rFonts w:ascii="Arial" w:hAnsi="Arial" w:cs="Arial"/>
                <w:sz w:val="20"/>
                <w:szCs w:val="20"/>
              </w:rPr>
            </w:pPr>
            <w:r>
              <w:rPr>
                <w:rFonts w:ascii="Arial" w:hAnsi="Arial" w:cs="Arial"/>
                <w:sz w:val="20"/>
                <w:szCs w:val="20"/>
              </w:rPr>
              <w:t>Data Not Available</w:t>
            </w:r>
          </w:p>
        </w:tc>
      </w:tr>
      <w:tr w:rsidR="003B0815" w14:paraId="5BD71307" w14:textId="77777777">
        <w:trPr>
          <w:jc w:val="center"/>
        </w:trPr>
        <w:tc>
          <w:tcPr>
            <w:tcW w:w="1016" w:type="dxa"/>
            <w:tcBorders>
              <w:left w:val="single" w:color="auto" w:sz="12" w:space="0"/>
              <w:right w:val="single" w:color="auto" w:sz="8" w:space="0"/>
            </w:tcBorders>
            <w:vAlign w:val="bottom"/>
          </w:tcPr>
          <w:p w:rsidR="003B0815" w:rsidRDefault="003B0815" w14:paraId="002A5CDC" w14:textId="77777777">
            <w:pPr>
              <w:keepNext/>
              <w:jc w:val="center"/>
              <w:rPr>
                <w:rFonts w:ascii="Arial" w:hAnsi="Arial" w:cs="Arial"/>
                <w:sz w:val="20"/>
                <w:szCs w:val="20"/>
              </w:rPr>
            </w:pPr>
            <w:r>
              <w:rPr>
                <w:rFonts w:ascii="Arial" w:hAnsi="Arial" w:cs="Arial"/>
                <w:sz w:val="20"/>
                <w:szCs w:val="20"/>
              </w:rPr>
              <w:t>24</w:t>
            </w:r>
          </w:p>
        </w:tc>
        <w:tc>
          <w:tcPr>
            <w:tcW w:w="1080" w:type="dxa"/>
            <w:tcBorders>
              <w:left w:val="single" w:color="auto" w:sz="8" w:space="0"/>
              <w:right w:val="single" w:color="auto" w:sz="8" w:space="0"/>
            </w:tcBorders>
            <w:vAlign w:val="bottom"/>
          </w:tcPr>
          <w:p w:rsidR="003B0815" w:rsidRDefault="003B0815" w14:paraId="743909AF" w14:textId="77777777">
            <w:pPr>
              <w:keepNext/>
              <w:ind w:right="103"/>
              <w:jc w:val="right"/>
              <w:rPr>
                <w:rFonts w:ascii="Arial" w:hAnsi="Arial" w:cs="Arial"/>
                <w:sz w:val="20"/>
                <w:szCs w:val="20"/>
              </w:rPr>
            </w:pPr>
            <w:r>
              <w:rPr>
                <w:rFonts w:ascii="Arial" w:hAnsi="Arial" w:cs="Arial"/>
                <w:sz w:val="20"/>
                <w:szCs w:val="20"/>
              </w:rPr>
              <w:t>$0</w:t>
            </w:r>
          </w:p>
        </w:tc>
        <w:tc>
          <w:tcPr>
            <w:tcW w:w="1440" w:type="dxa"/>
            <w:tcBorders>
              <w:left w:val="single" w:color="auto" w:sz="8" w:space="0"/>
              <w:right w:val="single" w:color="auto" w:sz="8" w:space="0"/>
            </w:tcBorders>
            <w:vAlign w:val="bottom"/>
          </w:tcPr>
          <w:p w:rsidR="003B0815" w:rsidRDefault="003B0815" w14:paraId="4B356D65" w14:textId="77777777">
            <w:pPr>
              <w:keepNext/>
              <w:jc w:val="center"/>
              <w:rPr>
                <w:rFonts w:ascii="Arial" w:hAnsi="Arial" w:cs="Arial"/>
                <w:sz w:val="20"/>
                <w:szCs w:val="20"/>
              </w:rPr>
            </w:pPr>
            <w:r>
              <w:rPr>
                <w:rFonts w:ascii="Arial" w:hAnsi="Arial" w:cs="Arial"/>
                <w:sz w:val="20"/>
                <w:szCs w:val="20"/>
              </w:rPr>
              <w:t>17,521</w:t>
            </w:r>
          </w:p>
        </w:tc>
        <w:tc>
          <w:tcPr>
            <w:tcW w:w="1472" w:type="dxa"/>
            <w:tcBorders>
              <w:left w:val="single" w:color="auto" w:sz="8" w:space="0"/>
              <w:right w:val="single" w:color="auto" w:sz="8" w:space="0"/>
            </w:tcBorders>
            <w:vAlign w:val="bottom"/>
          </w:tcPr>
          <w:p w:rsidR="003B0815" w:rsidRDefault="003B0815" w14:paraId="5BB2966E" w14:textId="77777777">
            <w:pPr>
              <w:keepNext/>
              <w:jc w:val="center"/>
              <w:rPr>
                <w:rFonts w:ascii="Arial" w:hAnsi="Arial" w:cs="Arial"/>
                <w:sz w:val="20"/>
                <w:szCs w:val="20"/>
              </w:rPr>
            </w:pPr>
            <w:r>
              <w:rPr>
                <w:rFonts w:ascii="Arial" w:hAnsi="Arial" w:cs="Arial"/>
                <w:sz w:val="20"/>
                <w:szCs w:val="20"/>
              </w:rPr>
              <w:t>$0.05</w:t>
            </w:r>
          </w:p>
        </w:tc>
        <w:tc>
          <w:tcPr>
            <w:tcW w:w="1260" w:type="dxa"/>
            <w:tcBorders>
              <w:left w:val="single" w:color="auto" w:sz="8" w:space="0"/>
              <w:right w:val="single" w:color="auto" w:sz="8" w:space="0"/>
            </w:tcBorders>
            <w:vAlign w:val="bottom"/>
          </w:tcPr>
          <w:p w:rsidR="003B0815" w:rsidRDefault="003B0815" w14:paraId="6D41D286" w14:textId="77777777">
            <w:pPr>
              <w:keepNext/>
              <w:ind w:right="135"/>
              <w:jc w:val="right"/>
              <w:rPr>
                <w:rFonts w:ascii="Arial" w:hAnsi="Arial" w:cs="Arial"/>
                <w:sz w:val="20"/>
                <w:szCs w:val="20"/>
              </w:rPr>
            </w:pPr>
            <w:r>
              <w:rPr>
                <w:rFonts w:ascii="Arial" w:hAnsi="Arial" w:cs="Arial"/>
                <w:sz w:val="20"/>
                <w:szCs w:val="20"/>
              </w:rPr>
              <w:t>$900</w:t>
            </w:r>
          </w:p>
        </w:tc>
        <w:tc>
          <w:tcPr>
            <w:tcW w:w="1440" w:type="dxa"/>
            <w:tcBorders>
              <w:left w:val="single" w:color="auto" w:sz="8" w:space="0"/>
              <w:right w:val="single" w:color="auto" w:sz="8" w:space="0"/>
            </w:tcBorders>
            <w:vAlign w:val="bottom"/>
          </w:tcPr>
          <w:p w:rsidR="003B0815" w:rsidRDefault="003B0815" w14:paraId="11365359" w14:textId="77777777">
            <w:pPr>
              <w:keepNext/>
              <w:ind w:right="72"/>
              <w:jc w:val="right"/>
              <w:rPr>
                <w:rFonts w:ascii="Arial" w:hAnsi="Arial" w:cs="Arial"/>
                <w:sz w:val="20"/>
                <w:szCs w:val="20"/>
              </w:rPr>
            </w:pPr>
            <w:r>
              <w:rPr>
                <w:rFonts w:ascii="Arial" w:hAnsi="Arial" w:cs="Arial"/>
                <w:sz w:val="20"/>
                <w:szCs w:val="20"/>
              </w:rPr>
              <w:t>$0</w:t>
            </w:r>
          </w:p>
        </w:tc>
        <w:tc>
          <w:tcPr>
            <w:tcW w:w="1260" w:type="dxa"/>
            <w:tcBorders>
              <w:left w:val="single" w:color="auto" w:sz="8" w:space="0"/>
              <w:right w:val="single" w:color="auto" w:sz="12" w:space="0"/>
            </w:tcBorders>
            <w:vAlign w:val="bottom"/>
          </w:tcPr>
          <w:p w:rsidR="003B0815" w:rsidRDefault="003B0815" w14:paraId="6C2829C3" w14:textId="77777777">
            <w:pPr>
              <w:keepNext/>
              <w:jc w:val="center"/>
              <w:rPr>
                <w:rFonts w:ascii="Arial" w:hAnsi="Arial" w:cs="Arial"/>
                <w:sz w:val="20"/>
                <w:szCs w:val="20"/>
              </w:rPr>
            </w:pPr>
            <w:r>
              <w:rPr>
                <w:rFonts w:ascii="Arial" w:hAnsi="Arial" w:cs="Arial"/>
                <w:sz w:val="20"/>
                <w:szCs w:val="20"/>
              </w:rPr>
              <w:t>Data Not Available</w:t>
            </w:r>
          </w:p>
        </w:tc>
      </w:tr>
      <w:tr w:rsidR="003B0815" w14:paraId="11AF7496" w14:textId="77777777">
        <w:trPr>
          <w:jc w:val="center"/>
        </w:trPr>
        <w:tc>
          <w:tcPr>
            <w:tcW w:w="8968" w:type="dxa"/>
            <w:gridSpan w:val="7"/>
            <w:tcBorders>
              <w:top w:val="single" w:color="auto" w:sz="12" w:space="0"/>
              <w:left w:val="nil"/>
              <w:bottom w:val="nil"/>
              <w:right w:val="nil"/>
            </w:tcBorders>
            <w:vAlign w:val="bottom"/>
          </w:tcPr>
          <w:p w:rsidR="003B0815" w:rsidRDefault="003B0815" w14:paraId="6501D0AD" w14:textId="77777777">
            <w:pPr>
              <w:keepNext/>
              <w:rPr>
                <w:rFonts w:ascii="Arial" w:hAnsi="Arial" w:cs="Arial"/>
                <w:sz w:val="20"/>
                <w:szCs w:val="20"/>
              </w:rPr>
            </w:pPr>
            <w:r>
              <w:rPr>
                <w:rFonts w:ascii="Arial" w:hAnsi="Arial" w:cs="Arial"/>
                <w:sz w:val="20"/>
                <w:szCs w:val="20"/>
              </w:rPr>
              <w:t>* Carrier had not yet begun reporting enplanements to BTS.</w:t>
            </w:r>
          </w:p>
        </w:tc>
      </w:tr>
    </w:tbl>
    <w:p w:rsidR="003B0815" w:rsidRDefault="003B0815" w14:paraId="13185C03" w14:textId="77777777">
      <w:pPr>
        <w:spacing w:line="360" w:lineRule="auto"/>
        <w:ind w:firstLine="720"/>
        <w:rPr>
          <w:rFonts w:eastAsia="MS Mincho"/>
        </w:rPr>
      </w:pPr>
    </w:p>
    <w:p w:rsidR="003B0815" w:rsidRDefault="003B0815" w14:paraId="288E9770" w14:textId="77777777">
      <w:pPr>
        <w:spacing w:line="360" w:lineRule="auto"/>
        <w:ind w:firstLine="720"/>
        <w:rPr>
          <w:rFonts w:eastAsia="MS Mincho"/>
        </w:rPr>
      </w:pPr>
      <w:r>
        <w:rPr>
          <w:rFonts w:eastAsia="MS Mincho"/>
        </w:rPr>
        <w:t xml:space="preserve">The estimates provided in Table 2.2.2.b show how Group 4 small businesses would be impacted by Secure Flight were their operations comparable to those of airlines in Groups 1 through 3.  As has been noted above, however, this is not the case.  Consequently, the costs Group 4 airlines actually incur to comply with Secure Flight may diverge significantly from the estimates presented.  Nevertheless, the table illustrates that these costs would have to increase dramatically before they would constitute a significant economic impact.  </w:t>
      </w:r>
    </w:p>
    <w:p w:rsidR="003B0815" w:rsidRDefault="003B0815" w14:paraId="01546DF2" w14:textId="77777777">
      <w:pPr>
        <w:spacing w:line="360" w:lineRule="auto"/>
        <w:ind w:firstLine="720"/>
        <w:rPr>
          <w:rFonts w:eastAsia="MS Mincho"/>
        </w:rPr>
      </w:pPr>
    </w:p>
    <w:p w:rsidR="003B0815" w:rsidRDefault="003B0815" w14:paraId="1F0A909E" w14:textId="77777777">
      <w:pPr>
        <w:pStyle w:val="RegEvalSectionSubheader"/>
        <w:keepNext/>
        <w:spacing w:line="360" w:lineRule="auto"/>
      </w:pPr>
      <w:bookmarkStart w:name="_Toc135477023" w:id="515"/>
      <w:bookmarkStart w:name="_Toc141001102" w:id="516"/>
      <w:bookmarkStart w:name="_Toc141000933" w:id="517"/>
      <w:bookmarkStart w:name="_Toc165278459" w:id="518"/>
      <w:bookmarkStart w:name="_Toc202683416" w:id="519"/>
      <w:r>
        <w:t>2.2.3 Travel Agency Small Business Population</w:t>
      </w:r>
      <w:bookmarkEnd w:id="515"/>
      <w:bookmarkEnd w:id="516"/>
      <w:bookmarkEnd w:id="517"/>
      <w:bookmarkEnd w:id="518"/>
      <w:bookmarkEnd w:id="519"/>
    </w:p>
    <w:p w:rsidR="003B0815" w:rsidRDefault="003B0815" w14:paraId="735ABD9C" w14:textId="77777777">
      <w:pPr>
        <w:spacing w:line="360" w:lineRule="auto"/>
        <w:ind w:firstLine="720"/>
      </w:pPr>
      <w:r>
        <w:t>The Small Business Administration (SBA) classifies any travel agency as a small business if it has revenues of less than $3.5 million annually.</w:t>
      </w:r>
      <w:r>
        <w:rPr>
          <w:rStyle w:val="FootnoteReference"/>
        </w:rPr>
        <w:footnoteReference w:id="49"/>
      </w:r>
      <w:r>
        <w:t xml:space="preserve">  The SBA data provided in Table 2.2.3.a indicate that in 2003 more than 98% of travel agencies had annual revenues less than $5 million.  Although the division of the SBA revenue categories do not allow for a precise count of the number of small business, the average revenue per firm of $1.9 million for the $1 million to $5 million category indicates that many of the firms in this category have revenues below the $3.5 million threshold.  Consequently, the discussion of small businesses in the travel agency industry will be a discussion about the vast number of firms.</w:t>
      </w:r>
      <w:bookmarkStart w:name="_Ref111469302" w:id="520"/>
      <w:bookmarkStart w:name="_Ref111518670" w:id="52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929"/>
        <w:gridCol w:w="900"/>
        <w:gridCol w:w="1015"/>
        <w:gridCol w:w="1214"/>
        <w:gridCol w:w="1214"/>
        <w:gridCol w:w="1436"/>
        <w:gridCol w:w="1355"/>
        <w:gridCol w:w="1355"/>
      </w:tblGrid>
      <w:tr w:rsidR="003B0815" w14:paraId="703A5A58" w14:textId="77777777">
        <w:tc>
          <w:tcPr>
            <w:tcW w:w="0" w:type="auto"/>
            <w:gridSpan w:val="8"/>
            <w:tcBorders>
              <w:top w:val="nil"/>
              <w:left w:val="nil"/>
              <w:bottom w:val="nil"/>
              <w:right w:val="nil"/>
            </w:tcBorders>
          </w:tcPr>
          <w:p w:rsidR="003B0815" w:rsidRDefault="003B0815" w14:paraId="7B29088F" w14:textId="77777777">
            <w:pPr>
              <w:pStyle w:val="RegEvalTableHeader"/>
              <w:keepNext/>
            </w:pPr>
            <w:bookmarkStart w:name="_Toc135477024" w:id="522"/>
            <w:bookmarkStart w:name="_Toc139943627" w:id="523"/>
            <w:bookmarkStart w:name="_Toc141001137" w:id="524"/>
            <w:bookmarkStart w:name="_Toc165278416" w:id="525"/>
            <w:bookmarkStart w:name="_Toc174438423" w:id="526"/>
            <w:bookmarkStart w:name="_Toc207109564" w:id="527"/>
            <w:r>
              <w:t>Table 2.2.3.a Distribution of Travel Agencies (NAICS 561510) by Revenue, 2003</w:t>
            </w:r>
            <w:r>
              <w:rPr>
                <w:rStyle w:val="FootnoteReference"/>
              </w:rPr>
              <w:footnoteReference w:id="50"/>
            </w:r>
            <w:bookmarkEnd w:id="522"/>
            <w:bookmarkEnd w:id="523"/>
            <w:bookmarkEnd w:id="524"/>
            <w:bookmarkEnd w:id="525"/>
            <w:bookmarkEnd w:id="526"/>
            <w:bookmarkEnd w:id="527"/>
          </w:p>
        </w:tc>
      </w:tr>
      <w:tr w:rsidR="003B0815" w14:paraId="477644F4" w14:textId="77777777">
        <w:tc>
          <w:tcPr>
            <w:tcW w:w="929" w:type="dxa"/>
            <w:tcBorders>
              <w:top w:val="nil"/>
              <w:left w:val="nil"/>
              <w:bottom w:val="single" w:color="auto" w:sz="12" w:space="0"/>
              <w:right w:val="single" w:color="auto" w:sz="12" w:space="0"/>
            </w:tcBorders>
            <w:vAlign w:val="center"/>
          </w:tcPr>
          <w:p w:rsidR="003B0815" w:rsidRDefault="003B0815" w14:paraId="09A8E0AD" w14:textId="77777777">
            <w:pPr>
              <w:keepNext/>
              <w:jc w:val="center"/>
            </w:pPr>
          </w:p>
        </w:tc>
        <w:tc>
          <w:tcPr>
            <w:tcW w:w="900" w:type="dxa"/>
            <w:tcBorders>
              <w:top w:val="single" w:color="auto" w:sz="12" w:space="0"/>
              <w:left w:val="single" w:color="auto" w:sz="12" w:space="0"/>
              <w:bottom w:val="single" w:color="auto" w:sz="12" w:space="0"/>
            </w:tcBorders>
            <w:vAlign w:val="center"/>
          </w:tcPr>
          <w:p w:rsidR="003B0815" w:rsidRDefault="003B0815" w14:paraId="2EC00652" w14:textId="77777777">
            <w:pPr>
              <w:keepNext/>
              <w:jc w:val="center"/>
            </w:pPr>
            <w:r>
              <w:rPr>
                <w:rFonts w:ascii="Arial" w:hAnsi="Arial" w:cs="Arial"/>
                <w:b/>
                <w:bCs/>
                <w:sz w:val="20"/>
                <w:szCs w:val="20"/>
              </w:rPr>
              <w:t>Total</w:t>
            </w:r>
          </w:p>
        </w:tc>
        <w:tc>
          <w:tcPr>
            <w:tcW w:w="1015" w:type="dxa"/>
            <w:tcBorders>
              <w:top w:val="single" w:color="auto" w:sz="12" w:space="0"/>
              <w:bottom w:val="single" w:color="auto" w:sz="12" w:space="0"/>
            </w:tcBorders>
            <w:vAlign w:val="center"/>
          </w:tcPr>
          <w:p w:rsidR="003B0815" w:rsidRDefault="003B0815" w14:paraId="17BF377B" w14:textId="77777777">
            <w:pPr>
              <w:keepNext/>
              <w:jc w:val="center"/>
            </w:pPr>
            <w:r>
              <w:rPr>
                <w:rFonts w:ascii="Arial" w:hAnsi="Arial" w:cs="Arial"/>
                <w:b/>
                <w:bCs/>
                <w:sz w:val="20"/>
                <w:szCs w:val="20"/>
              </w:rPr>
              <w:t>$0 -$99,999</w:t>
            </w:r>
          </w:p>
        </w:tc>
        <w:tc>
          <w:tcPr>
            <w:tcW w:w="0" w:type="auto"/>
            <w:tcBorders>
              <w:top w:val="single" w:color="auto" w:sz="12" w:space="0"/>
              <w:bottom w:val="single" w:color="auto" w:sz="12" w:space="0"/>
            </w:tcBorders>
            <w:vAlign w:val="center"/>
          </w:tcPr>
          <w:p w:rsidR="003B0815" w:rsidRDefault="003B0815" w14:paraId="1DC02C4C" w14:textId="77777777">
            <w:pPr>
              <w:keepNext/>
              <w:jc w:val="center"/>
            </w:pPr>
            <w:r>
              <w:rPr>
                <w:rFonts w:ascii="Arial" w:hAnsi="Arial" w:cs="Arial"/>
                <w:b/>
                <w:bCs/>
                <w:sz w:val="20"/>
                <w:szCs w:val="20"/>
              </w:rPr>
              <w:t>$100,000 -$499,999</w:t>
            </w:r>
          </w:p>
        </w:tc>
        <w:tc>
          <w:tcPr>
            <w:tcW w:w="0" w:type="auto"/>
            <w:tcBorders>
              <w:top w:val="single" w:color="auto" w:sz="12" w:space="0"/>
              <w:bottom w:val="single" w:color="auto" w:sz="12" w:space="0"/>
            </w:tcBorders>
            <w:vAlign w:val="center"/>
          </w:tcPr>
          <w:p w:rsidR="003B0815" w:rsidRDefault="003B0815" w14:paraId="70702571" w14:textId="77777777">
            <w:pPr>
              <w:keepNext/>
              <w:jc w:val="center"/>
            </w:pPr>
            <w:r>
              <w:rPr>
                <w:rFonts w:ascii="Arial" w:hAnsi="Arial" w:cs="Arial"/>
                <w:b/>
                <w:bCs/>
                <w:sz w:val="20"/>
                <w:szCs w:val="20"/>
              </w:rPr>
              <w:t>$500,000 -$999,999</w:t>
            </w:r>
          </w:p>
        </w:tc>
        <w:tc>
          <w:tcPr>
            <w:tcW w:w="0" w:type="auto"/>
            <w:tcBorders>
              <w:top w:val="single" w:color="auto" w:sz="12" w:space="0"/>
              <w:bottom w:val="single" w:color="auto" w:sz="12" w:space="0"/>
            </w:tcBorders>
            <w:vAlign w:val="center"/>
          </w:tcPr>
          <w:p w:rsidR="003B0815" w:rsidRDefault="003B0815" w14:paraId="195944FB" w14:textId="77777777">
            <w:pPr>
              <w:keepNext/>
              <w:jc w:val="center"/>
            </w:pPr>
            <w:r>
              <w:rPr>
                <w:rFonts w:ascii="Arial" w:hAnsi="Arial" w:cs="Arial"/>
                <w:b/>
                <w:bCs/>
                <w:sz w:val="20"/>
                <w:szCs w:val="20"/>
              </w:rPr>
              <w:t>$1,000,000 -$4,999,999</w:t>
            </w:r>
          </w:p>
        </w:tc>
        <w:tc>
          <w:tcPr>
            <w:tcW w:w="0" w:type="auto"/>
            <w:tcBorders>
              <w:top w:val="single" w:color="auto" w:sz="12" w:space="0"/>
              <w:bottom w:val="single" w:color="auto" w:sz="12" w:space="0"/>
            </w:tcBorders>
            <w:vAlign w:val="center"/>
          </w:tcPr>
          <w:p w:rsidR="003B0815" w:rsidRDefault="003B0815" w14:paraId="10B81E70" w14:textId="77777777">
            <w:pPr>
              <w:keepNext/>
              <w:jc w:val="center"/>
            </w:pPr>
            <w:r>
              <w:rPr>
                <w:rFonts w:ascii="Arial" w:hAnsi="Arial" w:cs="Arial"/>
                <w:b/>
                <w:bCs/>
                <w:sz w:val="20"/>
                <w:szCs w:val="20"/>
              </w:rPr>
              <w:t>Total &lt;$5,000,000</w:t>
            </w:r>
          </w:p>
        </w:tc>
        <w:tc>
          <w:tcPr>
            <w:tcW w:w="0" w:type="auto"/>
            <w:tcBorders>
              <w:top w:val="single" w:color="auto" w:sz="12" w:space="0"/>
              <w:bottom w:val="single" w:color="auto" w:sz="12" w:space="0"/>
              <w:right w:val="single" w:color="auto" w:sz="12" w:space="0"/>
            </w:tcBorders>
            <w:vAlign w:val="center"/>
          </w:tcPr>
          <w:p w:rsidR="003B0815" w:rsidRDefault="003B0815" w14:paraId="02746C95" w14:textId="77777777">
            <w:pPr>
              <w:keepNext/>
              <w:jc w:val="center"/>
            </w:pPr>
            <w:r>
              <w:rPr>
                <w:rFonts w:ascii="Arial" w:hAnsi="Arial" w:cs="Arial"/>
                <w:b/>
                <w:bCs/>
                <w:sz w:val="20"/>
                <w:szCs w:val="20"/>
              </w:rPr>
              <w:t>Total &gt;$5,000,000</w:t>
            </w:r>
          </w:p>
        </w:tc>
      </w:tr>
      <w:tr w:rsidR="003B0815" w14:paraId="3B91624B" w14:textId="77777777">
        <w:tc>
          <w:tcPr>
            <w:tcW w:w="929" w:type="dxa"/>
            <w:tcBorders>
              <w:top w:val="single" w:color="auto" w:sz="12" w:space="0"/>
              <w:left w:val="single" w:color="auto" w:sz="12" w:space="0"/>
              <w:right w:val="single" w:color="auto" w:sz="12" w:space="0"/>
            </w:tcBorders>
            <w:vAlign w:val="center"/>
          </w:tcPr>
          <w:p w:rsidR="003B0815" w:rsidRDefault="003B0815" w14:paraId="1F4020A8" w14:textId="77777777">
            <w:pPr>
              <w:keepNext/>
              <w:rPr>
                <w:b/>
              </w:rPr>
            </w:pPr>
            <w:r>
              <w:rPr>
                <w:rFonts w:ascii="Arial" w:hAnsi="Arial" w:cs="Arial"/>
                <w:b/>
                <w:sz w:val="20"/>
                <w:szCs w:val="20"/>
              </w:rPr>
              <w:t>Number of Firms</w:t>
            </w:r>
          </w:p>
        </w:tc>
        <w:tc>
          <w:tcPr>
            <w:tcW w:w="900" w:type="dxa"/>
            <w:tcBorders>
              <w:left w:val="single" w:color="auto" w:sz="12" w:space="0"/>
            </w:tcBorders>
            <w:vAlign w:val="center"/>
          </w:tcPr>
          <w:p w:rsidR="003B0815" w:rsidRDefault="003B0815" w14:paraId="7A31999B" w14:textId="77777777">
            <w:pPr>
              <w:keepNext/>
              <w:jc w:val="center"/>
            </w:pPr>
            <w:r>
              <w:rPr>
                <w:rFonts w:ascii="Arial" w:hAnsi="Arial" w:cs="Arial"/>
                <w:sz w:val="20"/>
                <w:szCs w:val="20"/>
              </w:rPr>
              <w:t>14,838</w:t>
            </w:r>
          </w:p>
        </w:tc>
        <w:tc>
          <w:tcPr>
            <w:tcW w:w="1015" w:type="dxa"/>
            <w:vAlign w:val="center"/>
          </w:tcPr>
          <w:p w:rsidR="003B0815" w:rsidRDefault="003B0815" w14:paraId="5BDEC193" w14:textId="77777777">
            <w:pPr>
              <w:keepNext/>
              <w:jc w:val="center"/>
            </w:pPr>
            <w:r>
              <w:rPr>
                <w:rFonts w:ascii="Arial" w:hAnsi="Arial" w:cs="Arial"/>
                <w:sz w:val="20"/>
                <w:szCs w:val="20"/>
              </w:rPr>
              <w:t>6,125</w:t>
            </w:r>
          </w:p>
        </w:tc>
        <w:tc>
          <w:tcPr>
            <w:tcW w:w="0" w:type="auto"/>
            <w:vAlign w:val="center"/>
          </w:tcPr>
          <w:p w:rsidR="003B0815" w:rsidRDefault="003B0815" w14:paraId="0BB4FE65" w14:textId="77777777">
            <w:pPr>
              <w:keepNext/>
              <w:jc w:val="center"/>
            </w:pPr>
            <w:r>
              <w:rPr>
                <w:rFonts w:ascii="Arial" w:hAnsi="Arial" w:cs="Arial"/>
                <w:sz w:val="20"/>
                <w:szCs w:val="20"/>
              </w:rPr>
              <w:t>6,627</w:t>
            </w:r>
          </w:p>
        </w:tc>
        <w:tc>
          <w:tcPr>
            <w:tcW w:w="0" w:type="auto"/>
            <w:vAlign w:val="center"/>
          </w:tcPr>
          <w:p w:rsidR="003B0815" w:rsidRDefault="003B0815" w14:paraId="399021F0" w14:textId="77777777">
            <w:pPr>
              <w:keepNext/>
              <w:jc w:val="center"/>
            </w:pPr>
            <w:r>
              <w:rPr>
                <w:rFonts w:ascii="Arial" w:hAnsi="Arial" w:cs="Arial"/>
                <w:sz w:val="20"/>
                <w:szCs w:val="20"/>
              </w:rPr>
              <w:t>1,098</w:t>
            </w:r>
          </w:p>
        </w:tc>
        <w:tc>
          <w:tcPr>
            <w:tcW w:w="0" w:type="auto"/>
            <w:vAlign w:val="center"/>
          </w:tcPr>
          <w:p w:rsidR="003B0815" w:rsidRDefault="003B0815" w14:paraId="6972C555" w14:textId="77777777">
            <w:pPr>
              <w:keepNext/>
              <w:jc w:val="center"/>
            </w:pPr>
            <w:r>
              <w:rPr>
                <w:rFonts w:ascii="Arial" w:hAnsi="Arial" w:cs="Arial"/>
                <w:sz w:val="20"/>
                <w:szCs w:val="20"/>
              </w:rPr>
              <w:t>714</w:t>
            </w:r>
          </w:p>
        </w:tc>
        <w:tc>
          <w:tcPr>
            <w:tcW w:w="0" w:type="auto"/>
            <w:shd w:val="clear" w:color="auto" w:fill="C0C0C0"/>
            <w:vAlign w:val="center"/>
          </w:tcPr>
          <w:p w:rsidR="003B0815" w:rsidRDefault="003B0815" w14:paraId="73094337" w14:textId="77777777">
            <w:pPr>
              <w:keepNext/>
              <w:jc w:val="center"/>
            </w:pPr>
            <w:r>
              <w:rPr>
                <w:rFonts w:ascii="Arial" w:hAnsi="Arial" w:cs="Arial"/>
                <w:sz w:val="20"/>
                <w:szCs w:val="20"/>
              </w:rPr>
              <w:t>14,564</w:t>
            </w:r>
          </w:p>
        </w:tc>
        <w:tc>
          <w:tcPr>
            <w:tcW w:w="0" w:type="auto"/>
            <w:tcBorders>
              <w:right w:val="single" w:color="auto" w:sz="12" w:space="0"/>
            </w:tcBorders>
            <w:vAlign w:val="center"/>
          </w:tcPr>
          <w:p w:rsidR="003B0815" w:rsidRDefault="003B0815" w14:paraId="4564800E" w14:textId="77777777">
            <w:pPr>
              <w:keepNext/>
              <w:jc w:val="center"/>
            </w:pPr>
            <w:r>
              <w:rPr>
                <w:rFonts w:ascii="Arial" w:hAnsi="Arial" w:cs="Arial"/>
                <w:sz w:val="20"/>
                <w:szCs w:val="20"/>
              </w:rPr>
              <w:t>274</w:t>
            </w:r>
          </w:p>
        </w:tc>
      </w:tr>
      <w:tr w:rsidR="003B0815" w14:paraId="6EB998AC" w14:textId="77777777">
        <w:tc>
          <w:tcPr>
            <w:tcW w:w="929" w:type="dxa"/>
            <w:tcBorders>
              <w:left w:val="single" w:color="auto" w:sz="12" w:space="0"/>
              <w:bottom w:val="single" w:color="auto" w:sz="12" w:space="0"/>
              <w:right w:val="single" w:color="auto" w:sz="12" w:space="0"/>
            </w:tcBorders>
            <w:vAlign w:val="center"/>
          </w:tcPr>
          <w:p w:rsidR="003B0815" w:rsidRDefault="003B0815" w14:paraId="53749C7B" w14:textId="77777777">
            <w:pPr>
              <w:keepNext/>
              <w:rPr>
                <w:b/>
              </w:rPr>
            </w:pPr>
            <w:r>
              <w:rPr>
                <w:rFonts w:ascii="Arial" w:hAnsi="Arial" w:cs="Arial"/>
                <w:b/>
                <w:sz w:val="20"/>
                <w:szCs w:val="20"/>
              </w:rPr>
              <w:t>Percent of Total</w:t>
            </w:r>
          </w:p>
        </w:tc>
        <w:tc>
          <w:tcPr>
            <w:tcW w:w="900" w:type="dxa"/>
            <w:tcBorders>
              <w:left w:val="single" w:color="auto" w:sz="12" w:space="0"/>
              <w:bottom w:val="single" w:color="auto" w:sz="12" w:space="0"/>
            </w:tcBorders>
            <w:vAlign w:val="center"/>
          </w:tcPr>
          <w:p w:rsidR="003B0815" w:rsidRDefault="003B0815" w14:paraId="3BA3EE3B" w14:textId="77777777">
            <w:pPr>
              <w:keepNext/>
              <w:jc w:val="center"/>
            </w:pPr>
            <w:r>
              <w:rPr>
                <w:rFonts w:ascii="Arial" w:hAnsi="Arial" w:cs="Arial"/>
                <w:sz w:val="20"/>
                <w:szCs w:val="20"/>
              </w:rPr>
              <w:t>100.00%</w:t>
            </w:r>
          </w:p>
        </w:tc>
        <w:tc>
          <w:tcPr>
            <w:tcW w:w="1015" w:type="dxa"/>
            <w:tcBorders>
              <w:bottom w:val="single" w:color="auto" w:sz="12" w:space="0"/>
            </w:tcBorders>
            <w:vAlign w:val="center"/>
          </w:tcPr>
          <w:p w:rsidR="003B0815" w:rsidRDefault="003B0815" w14:paraId="1AF71538" w14:textId="77777777">
            <w:pPr>
              <w:keepNext/>
              <w:jc w:val="center"/>
            </w:pPr>
            <w:r>
              <w:rPr>
                <w:rFonts w:ascii="Arial" w:hAnsi="Arial" w:cs="Arial"/>
                <w:sz w:val="20"/>
                <w:szCs w:val="20"/>
              </w:rPr>
              <w:t>41.28%</w:t>
            </w:r>
          </w:p>
        </w:tc>
        <w:tc>
          <w:tcPr>
            <w:tcW w:w="0" w:type="auto"/>
            <w:tcBorders>
              <w:bottom w:val="single" w:color="auto" w:sz="12" w:space="0"/>
            </w:tcBorders>
            <w:vAlign w:val="center"/>
          </w:tcPr>
          <w:p w:rsidR="003B0815" w:rsidRDefault="003B0815" w14:paraId="13F5B946" w14:textId="77777777">
            <w:pPr>
              <w:keepNext/>
              <w:jc w:val="center"/>
            </w:pPr>
            <w:r>
              <w:rPr>
                <w:rFonts w:ascii="Arial" w:hAnsi="Arial" w:cs="Arial"/>
                <w:sz w:val="20"/>
                <w:szCs w:val="20"/>
              </w:rPr>
              <w:t>44.66%</w:t>
            </w:r>
          </w:p>
        </w:tc>
        <w:tc>
          <w:tcPr>
            <w:tcW w:w="0" w:type="auto"/>
            <w:tcBorders>
              <w:bottom w:val="single" w:color="auto" w:sz="12" w:space="0"/>
            </w:tcBorders>
            <w:vAlign w:val="center"/>
          </w:tcPr>
          <w:p w:rsidR="003B0815" w:rsidRDefault="003B0815" w14:paraId="54D1612F" w14:textId="77777777">
            <w:pPr>
              <w:keepNext/>
              <w:jc w:val="center"/>
            </w:pPr>
            <w:r>
              <w:rPr>
                <w:rFonts w:ascii="Arial" w:hAnsi="Arial" w:cs="Arial"/>
                <w:sz w:val="20"/>
                <w:szCs w:val="20"/>
              </w:rPr>
              <w:t>7.40%</w:t>
            </w:r>
          </w:p>
        </w:tc>
        <w:tc>
          <w:tcPr>
            <w:tcW w:w="0" w:type="auto"/>
            <w:tcBorders>
              <w:bottom w:val="single" w:color="auto" w:sz="12" w:space="0"/>
            </w:tcBorders>
            <w:vAlign w:val="center"/>
          </w:tcPr>
          <w:p w:rsidR="003B0815" w:rsidRDefault="003B0815" w14:paraId="7F8A2F19" w14:textId="77777777">
            <w:pPr>
              <w:keepNext/>
              <w:jc w:val="center"/>
            </w:pPr>
            <w:r>
              <w:rPr>
                <w:rFonts w:ascii="Arial" w:hAnsi="Arial" w:cs="Arial"/>
                <w:sz w:val="20"/>
                <w:szCs w:val="20"/>
              </w:rPr>
              <w:t>4.81%</w:t>
            </w:r>
          </w:p>
        </w:tc>
        <w:tc>
          <w:tcPr>
            <w:tcW w:w="0" w:type="auto"/>
            <w:tcBorders>
              <w:bottom w:val="single" w:color="auto" w:sz="12" w:space="0"/>
            </w:tcBorders>
            <w:shd w:val="clear" w:color="auto" w:fill="C0C0C0"/>
            <w:vAlign w:val="center"/>
          </w:tcPr>
          <w:p w:rsidR="003B0815" w:rsidRDefault="003B0815" w14:paraId="733DC8EA" w14:textId="77777777">
            <w:pPr>
              <w:keepNext/>
              <w:jc w:val="center"/>
            </w:pPr>
            <w:r>
              <w:rPr>
                <w:rFonts w:ascii="Arial" w:hAnsi="Arial" w:cs="Arial"/>
                <w:sz w:val="20"/>
                <w:szCs w:val="20"/>
              </w:rPr>
              <w:t>98.15%</w:t>
            </w:r>
          </w:p>
        </w:tc>
        <w:tc>
          <w:tcPr>
            <w:tcW w:w="0" w:type="auto"/>
            <w:tcBorders>
              <w:bottom w:val="single" w:color="auto" w:sz="12" w:space="0"/>
              <w:right w:val="single" w:color="auto" w:sz="12" w:space="0"/>
            </w:tcBorders>
            <w:vAlign w:val="center"/>
          </w:tcPr>
          <w:p w:rsidR="003B0815" w:rsidRDefault="003B0815" w14:paraId="2451BC82" w14:textId="77777777">
            <w:pPr>
              <w:keepNext/>
              <w:jc w:val="center"/>
            </w:pPr>
            <w:r>
              <w:rPr>
                <w:rFonts w:ascii="Arial" w:hAnsi="Arial" w:cs="Arial"/>
                <w:sz w:val="20"/>
                <w:szCs w:val="20"/>
              </w:rPr>
              <w:t>1.85%</w:t>
            </w:r>
          </w:p>
        </w:tc>
      </w:tr>
      <w:bookmarkEnd w:id="520"/>
      <w:bookmarkEnd w:id="521"/>
    </w:tbl>
    <w:p w:rsidR="003B0815" w:rsidRDefault="003B0815" w14:paraId="6122E955" w14:textId="77777777">
      <w:pPr>
        <w:spacing w:line="360" w:lineRule="auto"/>
        <w:rPr>
          <w:b/>
        </w:rPr>
      </w:pPr>
    </w:p>
    <w:p w:rsidR="003B0815" w:rsidRDefault="003B0815" w14:paraId="135E3C9F" w14:textId="77777777">
      <w:pPr>
        <w:spacing w:line="360" w:lineRule="auto"/>
        <w:ind w:firstLine="720"/>
      </w:pPr>
      <w:r>
        <w:t>Tables 2.2.3.b through 2.2.3.d below reflect the recent story of the travel agent industry.  The first two tables are based on 2002 data provided by the Airlines Reporting Corporation (ARC) to the National Commission to Ensure Consumer Information and Choice in the Airline Industry (the Commission).</w:t>
      </w:r>
    </w:p>
    <w:p w:rsidR="003B0815" w:rsidRDefault="003B0815" w14:paraId="214851F7" w14:textId="77777777">
      <w:pPr>
        <w:spacing w:line="360" w:lineRule="auto"/>
        <w:ind w:firstLine="720"/>
      </w:pPr>
      <w:r>
        <w:t xml:space="preserve">When the Commission prepared its report </w:t>
      </w:r>
      <w:r>
        <w:rPr>
          <w:i/>
        </w:rPr>
        <w:t>Upheaval in Travel Distribution: Impact on Consumers and Travel Agents, Report to Congress and the President</w:t>
      </w:r>
      <w:r>
        <w:t xml:space="preserve"> (Commission Report), the SBA had just increased the small business revenue threshold from $1 million to $3 million for travel agents.  Consequently, the Commission used $5 million in total revenue (approximately $2.5 million in commission and fee revenue) as a proxy threshold for small businesses when creating Tables 2.2.3.b and 2.2.3.c below.  Although these tables do not capture the full universe of travel agency small businesses, they nevertheless illustrate general trends affecting these entities.</w:t>
      </w:r>
    </w:p>
    <w:p w:rsidR="003B0815" w:rsidRDefault="003B0815" w14:paraId="6E7D3F07" w14:textId="77777777">
      <w:pPr>
        <w:spacing w:line="360" w:lineRule="auto"/>
        <w:ind w:firstLine="720"/>
      </w:pPr>
      <w:r>
        <w:t>As can be seen in Tables 2.2.3.b and 2.2.3.c, the number of travel agencies whose sales are less than $5 million per year declined steadily through 2001.  Correspondingly, the share of industry sales by these smaller firms also fell.  At the same time, however, the largest firms increased both their share of industry sales and the dollar value of their sales.</w:t>
      </w:r>
      <w:bookmarkStart w:name="_Ref111516879" w:id="528"/>
      <w:bookmarkStart w:name="_Ref111518701" w:id="529"/>
    </w:p>
    <w:p w:rsidR="003B0815" w:rsidRDefault="003B0815" w14:paraId="55E7E8A0"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1274"/>
        <w:gridCol w:w="1426"/>
        <w:gridCol w:w="1620"/>
        <w:gridCol w:w="1440"/>
      </w:tblGrid>
      <w:tr w:rsidR="003B0815" w14:paraId="334F813A" w14:textId="77777777">
        <w:trPr>
          <w:jc w:val="center"/>
        </w:trPr>
        <w:tc>
          <w:tcPr>
            <w:tcW w:w="8028" w:type="dxa"/>
            <w:gridSpan w:val="5"/>
            <w:tcBorders>
              <w:top w:val="nil"/>
              <w:left w:val="nil"/>
              <w:bottom w:val="single" w:color="auto" w:sz="12" w:space="0"/>
              <w:right w:val="nil"/>
            </w:tcBorders>
          </w:tcPr>
          <w:p w:rsidR="003B0815" w:rsidRDefault="003B0815" w14:paraId="3CD43058" w14:textId="77777777">
            <w:pPr>
              <w:pStyle w:val="RegEvalTableHeader"/>
              <w:keepNext/>
            </w:pPr>
            <w:bookmarkStart w:name="_Toc135477025" w:id="530"/>
            <w:bookmarkStart w:name="_Toc139943628" w:id="531"/>
            <w:bookmarkStart w:name="_Toc141001138" w:id="532"/>
            <w:bookmarkStart w:name="_Toc165278417" w:id="533"/>
            <w:bookmarkStart w:name="_Toc174438424" w:id="534"/>
            <w:bookmarkStart w:name="_Toc207109565" w:id="535"/>
            <w:r>
              <w:t>Table</w:t>
            </w:r>
            <w:bookmarkEnd w:id="529"/>
            <w:r>
              <w:t xml:space="preserve"> 2.2.3.b Number of Travel Agencies by Size Category</w:t>
            </w:r>
            <w:r>
              <w:rPr>
                <w:rStyle w:val="FootnoteReference"/>
              </w:rPr>
              <w:footnoteReference w:id="51"/>
            </w:r>
            <w:bookmarkEnd w:id="528"/>
            <w:bookmarkEnd w:id="530"/>
            <w:bookmarkEnd w:id="531"/>
            <w:bookmarkEnd w:id="532"/>
            <w:bookmarkEnd w:id="533"/>
            <w:bookmarkEnd w:id="534"/>
            <w:bookmarkEnd w:id="535"/>
          </w:p>
        </w:tc>
      </w:tr>
      <w:tr w:rsidR="003B0815" w14:paraId="171F6CC1" w14:textId="77777777">
        <w:trPr>
          <w:jc w:val="center"/>
        </w:trPr>
        <w:tc>
          <w:tcPr>
            <w:tcW w:w="2268" w:type="dxa"/>
            <w:tcBorders>
              <w:top w:val="single" w:color="auto" w:sz="12" w:space="0"/>
              <w:left w:val="single" w:color="auto" w:sz="12" w:space="0"/>
            </w:tcBorders>
          </w:tcPr>
          <w:p w:rsidR="003B0815" w:rsidRDefault="003B0815" w14:paraId="0C1D5F12" w14:textId="77777777">
            <w:pPr>
              <w:keepNext/>
              <w:rPr>
                <w:rFonts w:ascii="Arial" w:hAnsi="Arial"/>
                <w:b/>
                <w:sz w:val="20"/>
                <w:szCs w:val="20"/>
              </w:rPr>
            </w:pPr>
            <w:r>
              <w:rPr>
                <w:rFonts w:ascii="Arial" w:hAnsi="Arial"/>
                <w:b/>
                <w:sz w:val="20"/>
                <w:szCs w:val="20"/>
              </w:rPr>
              <w:t>Agency Size</w:t>
            </w:r>
          </w:p>
        </w:tc>
        <w:tc>
          <w:tcPr>
            <w:tcW w:w="1274" w:type="dxa"/>
            <w:tcBorders>
              <w:top w:val="single" w:color="auto" w:sz="12" w:space="0"/>
            </w:tcBorders>
            <w:vAlign w:val="bottom"/>
          </w:tcPr>
          <w:p w:rsidR="003B0815" w:rsidRDefault="003B0815" w14:paraId="5DD4F693" w14:textId="77777777">
            <w:pPr>
              <w:keepNext/>
              <w:jc w:val="center"/>
              <w:rPr>
                <w:rFonts w:ascii="Arial" w:hAnsi="Arial"/>
                <w:b/>
                <w:sz w:val="20"/>
                <w:szCs w:val="20"/>
              </w:rPr>
            </w:pPr>
            <w:r>
              <w:rPr>
                <w:rFonts w:ascii="Arial" w:hAnsi="Arial"/>
                <w:b/>
                <w:sz w:val="20"/>
                <w:szCs w:val="20"/>
              </w:rPr>
              <w:t>1995</w:t>
            </w:r>
          </w:p>
        </w:tc>
        <w:tc>
          <w:tcPr>
            <w:tcW w:w="1426" w:type="dxa"/>
            <w:tcBorders>
              <w:top w:val="single" w:color="auto" w:sz="12" w:space="0"/>
            </w:tcBorders>
            <w:vAlign w:val="bottom"/>
          </w:tcPr>
          <w:p w:rsidR="003B0815" w:rsidRDefault="003B0815" w14:paraId="4E0458B7" w14:textId="77777777">
            <w:pPr>
              <w:keepNext/>
              <w:jc w:val="center"/>
              <w:rPr>
                <w:rFonts w:ascii="Arial" w:hAnsi="Arial"/>
                <w:b/>
                <w:sz w:val="20"/>
                <w:szCs w:val="20"/>
              </w:rPr>
            </w:pPr>
            <w:r>
              <w:rPr>
                <w:rFonts w:ascii="Arial" w:hAnsi="Arial"/>
                <w:b/>
                <w:sz w:val="20"/>
                <w:szCs w:val="20"/>
              </w:rPr>
              <w:t>1997</w:t>
            </w:r>
          </w:p>
        </w:tc>
        <w:tc>
          <w:tcPr>
            <w:tcW w:w="1620" w:type="dxa"/>
            <w:tcBorders>
              <w:top w:val="single" w:color="auto" w:sz="12" w:space="0"/>
            </w:tcBorders>
            <w:vAlign w:val="bottom"/>
          </w:tcPr>
          <w:p w:rsidR="003B0815" w:rsidRDefault="003B0815" w14:paraId="17CC533A" w14:textId="77777777">
            <w:pPr>
              <w:keepNext/>
              <w:jc w:val="center"/>
              <w:rPr>
                <w:rFonts w:ascii="Arial" w:hAnsi="Arial"/>
                <w:b/>
                <w:sz w:val="20"/>
                <w:szCs w:val="20"/>
              </w:rPr>
            </w:pPr>
            <w:r>
              <w:rPr>
                <w:rFonts w:ascii="Arial" w:hAnsi="Arial"/>
                <w:b/>
                <w:sz w:val="20"/>
                <w:szCs w:val="20"/>
              </w:rPr>
              <w:t>1999</w:t>
            </w:r>
          </w:p>
        </w:tc>
        <w:tc>
          <w:tcPr>
            <w:tcW w:w="1440" w:type="dxa"/>
            <w:tcBorders>
              <w:top w:val="single" w:color="auto" w:sz="12" w:space="0"/>
              <w:right w:val="single" w:color="auto" w:sz="12" w:space="0"/>
            </w:tcBorders>
            <w:vAlign w:val="bottom"/>
          </w:tcPr>
          <w:p w:rsidR="003B0815" w:rsidRDefault="003B0815" w14:paraId="14A19D62" w14:textId="77777777">
            <w:pPr>
              <w:keepNext/>
              <w:jc w:val="center"/>
              <w:rPr>
                <w:rFonts w:ascii="Arial" w:hAnsi="Arial"/>
                <w:b/>
                <w:sz w:val="20"/>
                <w:szCs w:val="20"/>
              </w:rPr>
            </w:pPr>
            <w:r>
              <w:rPr>
                <w:rFonts w:ascii="Arial" w:hAnsi="Arial"/>
                <w:b/>
                <w:sz w:val="20"/>
                <w:szCs w:val="20"/>
              </w:rPr>
              <w:t>2001</w:t>
            </w:r>
          </w:p>
        </w:tc>
      </w:tr>
      <w:tr w:rsidR="003B0815" w14:paraId="5FD39796" w14:textId="77777777">
        <w:trPr>
          <w:jc w:val="center"/>
        </w:trPr>
        <w:tc>
          <w:tcPr>
            <w:tcW w:w="2268" w:type="dxa"/>
            <w:tcBorders>
              <w:left w:val="single" w:color="auto" w:sz="12" w:space="0"/>
            </w:tcBorders>
          </w:tcPr>
          <w:p w:rsidR="003B0815" w:rsidRDefault="003B0815" w14:paraId="2B9BEBC6" w14:textId="77777777">
            <w:pPr>
              <w:keepNext/>
              <w:rPr>
                <w:rFonts w:ascii="Arial" w:hAnsi="Arial"/>
                <w:sz w:val="20"/>
                <w:szCs w:val="20"/>
              </w:rPr>
            </w:pPr>
            <w:r>
              <w:rPr>
                <w:rFonts w:ascii="Arial" w:hAnsi="Arial"/>
                <w:sz w:val="20"/>
                <w:szCs w:val="20"/>
              </w:rPr>
              <w:t>$2M or Less</w:t>
            </w:r>
          </w:p>
        </w:tc>
        <w:tc>
          <w:tcPr>
            <w:tcW w:w="1274" w:type="dxa"/>
            <w:vAlign w:val="bottom"/>
          </w:tcPr>
          <w:p w:rsidR="003B0815" w:rsidRDefault="003B0815" w14:paraId="17B0E599" w14:textId="77777777">
            <w:pPr>
              <w:keepNext/>
              <w:jc w:val="center"/>
              <w:rPr>
                <w:rFonts w:ascii="Arial" w:hAnsi="Arial"/>
                <w:sz w:val="20"/>
                <w:szCs w:val="20"/>
              </w:rPr>
            </w:pPr>
            <w:r>
              <w:rPr>
                <w:rFonts w:ascii="Arial" w:hAnsi="Arial"/>
                <w:sz w:val="20"/>
                <w:szCs w:val="20"/>
              </w:rPr>
              <w:t>19,851</w:t>
            </w:r>
          </w:p>
        </w:tc>
        <w:tc>
          <w:tcPr>
            <w:tcW w:w="1426" w:type="dxa"/>
            <w:vAlign w:val="bottom"/>
          </w:tcPr>
          <w:p w:rsidR="003B0815" w:rsidRDefault="003B0815" w14:paraId="7864C9D0" w14:textId="77777777">
            <w:pPr>
              <w:keepNext/>
              <w:jc w:val="center"/>
              <w:rPr>
                <w:rFonts w:ascii="Arial" w:hAnsi="Arial"/>
                <w:sz w:val="20"/>
                <w:szCs w:val="20"/>
              </w:rPr>
            </w:pPr>
            <w:r>
              <w:rPr>
                <w:rFonts w:ascii="Arial" w:hAnsi="Arial"/>
                <w:sz w:val="20"/>
                <w:szCs w:val="20"/>
              </w:rPr>
              <w:t>19,226</w:t>
            </w:r>
          </w:p>
        </w:tc>
        <w:tc>
          <w:tcPr>
            <w:tcW w:w="1620" w:type="dxa"/>
            <w:vAlign w:val="bottom"/>
          </w:tcPr>
          <w:p w:rsidR="003B0815" w:rsidRDefault="003B0815" w14:paraId="4D9F2959" w14:textId="77777777">
            <w:pPr>
              <w:keepNext/>
              <w:jc w:val="center"/>
              <w:rPr>
                <w:rFonts w:ascii="Arial" w:hAnsi="Arial"/>
                <w:sz w:val="20"/>
                <w:szCs w:val="20"/>
              </w:rPr>
            </w:pPr>
            <w:r>
              <w:rPr>
                <w:rFonts w:ascii="Arial" w:hAnsi="Arial"/>
                <w:sz w:val="20"/>
                <w:szCs w:val="20"/>
              </w:rPr>
              <w:t>17,855</w:t>
            </w:r>
          </w:p>
        </w:tc>
        <w:tc>
          <w:tcPr>
            <w:tcW w:w="1440" w:type="dxa"/>
            <w:tcBorders>
              <w:right w:val="single" w:color="auto" w:sz="12" w:space="0"/>
            </w:tcBorders>
            <w:vAlign w:val="bottom"/>
          </w:tcPr>
          <w:p w:rsidR="003B0815" w:rsidRDefault="003B0815" w14:paraId="6E020DAD" w14:textId="77777777">
            <w:pPr>
              <w:keepNext/>
              <w:jc w:val="center"/>
              <w:rPr>
                <w:rFonts w:ascii="Arial" w:hAnsi="Arial"/>
                <w:sz w:val="20"/>
                <w:szCs w:val="20"/>
              </w:rPr>
            </w:pPr>
            <w:r>
              <w:rPr>
                <w:rFonts w:ascii="Arial" w:hAnsi="Arial"/>
                <w:sz w:val="20"/>
                <w:szCs w:val="20"/>
              </w:rPr>
              <w:t>15,253</w:t>
            </w:r>
          </w:p>
        </w:tc>
      </w:tr>
      <w:tr w:rsidR="003B0815" w14:paraId="65517784" w14:textId="77777777">
        <w:trPr>
          <w:jc w:val="center"/>
        </w:trPr>
        <w:tc>
          <w:tcPr>
            <w:tcW w:w="2268" w:type="dxa"/>
            <w:tcBorders>
              <w:left w:val="single" w:color="auto" w:sz="12" w:space="0"/>
            </w:tcBorders>
          </w:tcPr>
          <w:p w:rsidR="003B0815" w:rsidRDefault="003B0815" w14:paraId="536B4B81" w14:textId="77777777">
            <w:pPr>
              <w:keepNext/>
              <w:rPr>
                <w:rFonts w:ascii="Arial" w:hAnsi="Arial"/>
                <w:sz w:val="20"/>
                <w:szCs w:val="20"/>
              </w:rPr>
            </w:pPr>
            <w:r>
              <w:rPr>
                <w:rFonts w:ascii="Arial" w:hAnsi="Arial"/>
                <w:sz w:val="20"/>
                <w:szCs w:val="20"/>
              </w:rPr>
              <w:t>$2M - $5M</w:t>
            </w:r>
          </w:p>
        </w:tc>
        <w:tc>
          <w:tcPr>
            <w:tcW w:w="1274" w:type="dxa"/>
            <w:vAlign w:val="bottom"/>
          </w:tcPr>
          <w:p w:rsidR="003B0815" w:rsidRDefault="003B0815" w14:paraId="563C70EC" w14:textId="77777777">
            <w:pPr>
              <w:keepNext/>
              <w:jc w:val="center"/>
              <w:rPr>
                <w:rFonts w:ascii="Arial" w:hAnsi="Arial"/>
                <w:sz w:val="20"/>
                <w:szCs w:val="20"/>
              </w:rPr>
            </w:pPr>
            <w:r>
              <w:rPr>
                <w:rFonts w:ascii="Arial" w:hAnsi="Arial"/>
                <w:sz w:val="20"/>
                <w:szCs w:val="20"/>
              </w:rPr>
              <w:t>2,356</w:t>
            </w:r>
          </w:p>
        </w:tc>
        <w:tc>
          <w:tcPr>
            <w:tcW w:w="1426" w:type="dxa"/>
            <w:vAlign w:val="bottom"/>
          </w:tcPr>
          <w:p w:rsidR="003B0815" w:rsidRDefault="003B0815" w14:paraId="67C4FE80" w14:textId="77777777">
            <w:pPr>
              <w:keepNext/>
              <w:jc w:val="center"/>
              <w:rPr>
                <w:rFonts w:ascii="Arial" w:hAnsi="Arial"/>
                <w:sz w:val="20"/>
                <w:szCs w:val="20"/>
              </w:rPr>
            </w:pPr>
            <w:r>
              <w:rPr>
                <w:rFonts w:ascii="Arial" w:hAnsi="Arial"/>
                <w:sz w:val="20"/>
                <w:szCs w:val="20"/>
              </w:rPr>
              <w:t>2,803</w:t>
            </w:r>
          </w:p>
        </w:tc>
        <w:tc>
          <w:tcPr>
            <w:tcW w:w="1620" w:type="dxa"/>
            <w:vAlign w:val="bottom"/>
          </w:tcPr>
          <w:p w:rsidR="003B0815" w:rsidRDefault="003B0815" w14:paraId="0B645C81" w14:textId="77777777">
            <w:pPr>
              <w:keepNext/>
              <w:jc w:val="center"/>
              <w:rPr>
                <w:rFonts w:ascii="Arial" w:hAnsi="Arial"/>
                <w:sz w:val="20"/>
                <w:szCs w:val="20"/>
              </w:rPr>
            </w:pPr>
            <w:r>
              <w:rPr>
                <w:rFonts w:ascii="Arial" w:hAnsi="Arial"/>
                <w:sz w:val="20"/>
                <w:szCs w:val="20"/>
              </w:rPr>
              <w:t>2,482</w:t>
            </w:r>
          </w:p>
        </w:tc>
        <w:tc>
          <w:tcPr>
            <w:tcW w:w="1440" w:type="dxa"/>
            <w:tcBorders>
              <w:right w:val="single" w:color="auto" w:sz="12" w:space="0"/>
            </w:tcBorders>
            <w:vAlign w:val="bottom"/>
          </w:tcPr>
          <w:p w:rsidR="003B0815" w:rsidRDefault="003B0815" w14:paraId="243D78D6" w14:textId="77777777">
            <w:pPr>
              <w:keepNext/>
              <w:jc w:val="center"/>
              <w:rPr>
                <w:rFonts w:ascii="Arial" w:hAnsi="Arial"/>
                <w:sz w:val="20"/>
                <w:szCs w:val="20"/>
              </w:rPr>
            </w:pPr>
            <w:r>
              <w:rPr>
                <w:rFonts w:ascii="Arial" w:hAnsi="Arial"/>
                <w:sz w:val="20"/>
                <w:szCs w:val="20"/>
              </w:rPr>
              <w:t>1,770</w:t>
            </w:r>
          </w:p>
        </w:tc>
      </w:tr>
      <w:tr w:rsidR="003B0815" w14:paraId="64236233" w14:textId="77777777">
        <w:trPr>
          <w:jc w:val="center"/>
        </w:trPr>
        <w:tc>
          <w:tcPr>
            <w:tcW w:w="2268" w:type="dxa"/>
            <w:tcBorders>
              <w:left w:val="single" w:color="auto" w:sz="12" w:space="0"/>
            </w:tcBorders>
          </w:tcPr>
          <w:p w:rsidR="003B0815" w:rsidRDefault="003B0815" w14:paraId="0162F1A0" w14:textId="77777777">
            <w:pPr>
              <w:keepNext/>
              <w:rPr>
                <w:rFonts w:ascii="Arial" w:hAnsi="Arial"/>
                <w:sz w:val="20"/>
                <w:szCs w:val="20"/>
              </w:rPr>
            </w:pPr>
            <w:r>
              <w:rPr>
                <w:rFonts w:ascii="Arial" w:hAnsi="Arial"/>
                <w:sz w:val="20"/>
                <w:szCs w:val="20"/>
              </w:rPr>
              <w:t>$5M - $50M</w:t>
            </w:r>
          </w:p>
        </w:tc>
        <w:tc>
          <w:tcPr>
            <w:tcW w:w="1274" w:type="dxa"/>
            <w:vAlign w:val="bottom"/>
          </w:tcPr>
          <w:p w:rsidR="003B0815" w:rsidRDefault="003B0815" w14:paraId="4BDC4577" w14:textId="77777777">
            <w:pPr>
              <w:keepNext/>
              <w:jc w:val="center"/>
              <w:rPr>
                <w:rFonts w:ascii="Arial" w:hAnsi="Arial"/>
                <w:sz w:val="20"/>
                <w:szCs w:val="20"/>
              </w:rPr>
            </w:pPr>
            <w:r>
              <w:rPr>
                <w:rFonts w:ascii="Arial" w:hAnsi="Arial"/>
                <w:sz w:val="20"/>
                <w:szCs w:val="20"/>
              </w:rPr>
              <w:t>1,059</w:t>
            </w:r>
          </w:p>
        </w:tc>
        <w:tc>
          <w:tcPr>
            <w:tcW w:w="1426" w:type="dxa"/>
            <w:vAlign w:val="bottom"/>
          </w:tcPr>
          <w:p w:rsidR="003B0815" w:rsidRDefault="003B0815" w14:paraId="5C61C4DD" w14:textId="77777777">
            <w:pPr>
              <w:keepNext/>
              <w:jc w:val="center"/>
              <w:rPr>
                <w:rFonts w:ascii="Arial" w:hAnsi="Arial"/>
                <w:sz w:val="20"/>
                <w:szCs w:val="20"/>
              </w:rPr>
            </w:pPr>
            <w:r>
              <w:rPr>
                <w:rFonts w:ascii="Arial" w:hAnsi="Arial" w:cs="Arial"/>
                <w:sz w:val="20"/>
                <w:szCs w:val="20"/>
              </w:rPr>
              <w:t>1,277</w:t>
            </w:r>
          </w:p>
        </w:tc>
        <w:tc>
          <w:tcPr>
            <w:tcW w:w="1620" w:type="dxa"/>
            <w:vAlign w:val="bottom"/>
          </w:tcPr>
          <w:p w:rsidR="003B0815" w:rsidRDefault="003B0815" w14:paraId="2DCA4766" w14:textId="77777777">
            <w:pPr>
              <w:keepNext/>
              <w:jc w:val="center"/>
              <w:rPr>
                <w:rFonts w:ascii="Arial" w:hAnsi="Arial"/>
                <w:sz w:val="20"/>
                <w:szCs w:val="20"/>
              </w:rPr>
            </w:pPr>
            <w:r>
              <w:rPr>
                <w:rFonts w:ascii="Arial" w:hAnsi="Arial"/>
                <w:sz w:val="20"/>
                <w:szCs w:val="20"/>
              </w:rPr>
              <w:t>1,236</w:t>
            </w:r>
          </w:p>
        </w:tc>
        <w:tc>
          <w:tcPr>
            <w:tcW w:w="1440" w:type="dxa"/>
            <w:tcBorders>
              <w:right w:val="single" w:color="auto" w:sz="12" w:space="0"/>
            </w:tcBorders>
            <w:vAlign w:val="bottom"/>
          </w:tcPr>
          <w:p w:rsidR="003B0815" w:rsidRDefault="003B0815" w14:paraId="4421EA39" w14:textId="77777777">
            <w:pPr>
              <w:keepNext/>
              <w:jc w:val="center"/>
              <w:rPr>
                <w:rFonts w:ascii="Arial" w:hAnsi="Arial"/>
                <w:sz w:val="20"/>
                <w:szCs w:val="20"/>
              </w:rPr>
            </w:pPr>
            <w:r>
              <w:rPr>
                <w:rFonts w:ascii="Arial" w:hAnsi="Arial" w:cs="Arial"/>
                <w:sz w:val="20"/>
                <w:szCs w:val="20"/>
              </w:rPr>
              <w:t>1,015</w:t>
            </w:r>
          </w:p>
        </w:tc>
      </w:tr>
      <w:tr w:rsidR="003B0815" w14:paraId="2AA242F6" w14:textId="77777777">
        <w:trPr>
          <w:jc w:val="center"/>
        </w:trPr>
        <w:tc>
          <w:tcPr>
            <w:tcW w:w="2268" w:type="dxa"/>
            <w:tcBorders>
              <w:left w:val="single" w:color="auto" w:sz="12" w:space="0"/>
            </w:tcBorders>
          </w:tcPr>
          <w:p w:rsidR="003B0815" w:rsidRDefault="003B0815" w14:paraId="3C7B2208" w14:textId="77777777">
            <w:pPr>
              <w:keepNext/>
              <w:rPr>
                <w:rFonts w:ascii="Arial" w:hAnsi="Arial"/>
                <w:sz w:val="20"/>
                <w:szCs w:val="20"/>
              </w:rPr>
            </w:pPr>
            <w:r>
              <w:rPr>
                <w:rFonts w:ascii="Arial" w:hAnsi="Arial"/>
                <w:sz w:val="20"/>
                <w:szCs w:val="20"/>
              </w:rPr>
              <w:t>Greater than $50M</w:t>
            </w:r>
          </w:p>
        </w:tc>
        <w:tc>
          <w:tcPr>
            <w:tcW w:w="1274" w:type="dxa"/>
            <w:vAlign w:val="bottom"/>
          </w:tcPr>
          <w:p w:rsidR="003B0815" w:rsidRDefault="003B0815" w14:paraId="5AD56F23" w14:textId="77777777">
            <w:pPr>
              <w:keepNext/>
              <w:jc w:val="center"/>
              <w:rPr>
                <w:rFonts w:ascii="Arial" w:hAnsi="Arial"/>
                <w:sz w:val="20"/>
                <w:szCs w:val="20"/>
              </w:rPr>
            </w:pPr>
            <w:r>
              <w:rPr>
                <w:rFonts w:ascii="Arial" w:hAnsi="Arial"/>
                <w:sz w:val="20"/>
                <w:szCs w:val="20"/>
              </w:rPr>
              <w:t>77</w:t>
            </w:r>
          </w:p>
        </w:tc>
        <w:tc>
          <w:tcPr>
            <w:tcW w:w="1426" w:type="dxa"/>
            <w:vAlign w:val="bottom"/>
          </w:tcPr>
          <w:p w:rsidR="003B0815" w:rsidRDefault="003B0815" w14:paraId="49157093" w14:textId="77777777">
            <w:pPr>
              <w:keepNext/>
              <w:jc w:val="center"/>
              <w:rPr>
                <w:rFonts w:ascii="Arial" w:hAnsi="Arial"/>
                <w:sz w:val="20"/>
                <w:szCs w:val="20"/>
              </w:rPr>
            </w:pPr>
            <w:r>
              <w:rPr>
                <w:rFonts w:ascii="Arial" w:hAnsi="Arial"/>
                <w:sz w:val="20"/>
                <w:szCs w:val="20"/>
              </w:rPr>
              <w:t>107</w:t>
            </w:r>
          </w:p>
        </w:tc>
        <w:tc>
          <w:tcPr>
            <w:tcW w:w="1620" w:type="dxa"/>
            <w:vAlign w:val="bottom"/>
          </w:tcPr>
          <w:p w:rsidR="003B0815" w:rsidRDefault="003B0815" w14:paraId="568C8F98" w14:textId="77777777">
            <w:pPr>
              <w:keepNext/>
              <w:jc w:val="center"/>
              <w:rPr>
                <w:rFonts w:ascii="Arial" w:hAnsi="Arial"/>
                <w:sz w:val="20"/>
                <w:szCs w:val="20"/>
              </w:rPr>
            </w:pPr>
            <w:r>
              <w:rPr>
                <w:rFonts w:ascii="Arial" w:hAnsi="Arial"/>
                <w:sz w:val="20"/>
                <w:szCs w:val="20"/>
              </w:rPr>
              <w:t>117</w:t>
            </w:r>
          </w:p>
        </w:tc>
        <w:tc>
          <w:tcPr>
            <w:tcW w:w="1440" w:type="dxa"/>
            <w:tcBorders>
              <w:right w:val="single" w:color="auto" w:sz="12" w:space="0"/>
            </w:tcBorders>
            <w:vAlign w:val="bottom"/>
          </w:tcPr>
          <w:p w:rsidR="003B0815" w:rsidRDefault="003B0815" w14:paraId="696D8C0A" w14:textId="77777777">
            <w:pPr>
              <w:keepNext/>
              <w:jc w:val="center"/>
              <w:rPr>
                <w:rFonts w:ascii="Arial" w:hAnsi="Arial"/>
                <w:sz w:val="20"/>
                <w:szCs w:val="20"/>
              </w:rPr>
            </w:pPr>
            <w:r>
              <w:rPr>
                <w:rFonts w:ascii="Arial" w:hAnsi="Arial"/>
                <w:sz w:val="20"/>
                <w:szCs w:val="20"/>
              </w:rPr>
              <w:t>117</w:t>
            </w:r>
          </w:p>
        </w:tc>
      </w:tr>
      <w:tr w:rsidR="003B0815" w14:paraId="5F938CBC" w14:textId="77777777">
        <w:trPr>
          <w:jc w:val="center"/>
        </w:trPr>
        <w:tc>
          <w:tcPr>
            <w:tcW w:w="2268" w:type="dxa"/>
            <w:tcBorders>
              <w:left w:val="single" w:color="auto" w:sz="12" w:space="0"/>
              <w:bottom w:val="single" w:color="auto" w:sz="12" w:space="0"/>
            </w:tcBorders>
          </w:tcPr>
          <w:p w:rsidR="003B0815" w:rsidRDefault="003B0815" w14:paraId="2DEF9D5A" w14:textId="77777777">
            <w:pPr>
              <w:keepNext/>
              <w:rPr>
                <w:rFonts w:ascii="Arial" w:hAnsi="Arial"/>
                <w:b/>
                <w:sz w:val="20"/>
                <w:szCs w:val="20"/>
              </w:rPr>
            </w:pPr>
            <w:r>
              <w:rPr>
                <w:rFonts w:ascii="Arial" w:hAnsi="Arial"/>
                <w:b/>
                <w:sz w:val="20"/>
                <w:szCs w:val="20"/>
              </w:rPr>
              <w:t>Total</w:t>
            </w:r>
          </w:p>
        </w:tc>
        <w:tc>
          <w:tcPr>
            <w:tcW w:w="1274" w:type="dxa"/>
            <w:tcBorders>
              <w:bottom w:val="single" w:color="auto" w:sz="12" w:space="0"/>
            </w:tcBorders>
            <w:vAlign w:val="bottom"/>
          </w:tcPr>
          <w:p w:rsidR="003B0815" w:rsidRDefault="003B0815" w14:paraId="5C745232" w14:textId="77777777">
            <w:pPr>
              <w:keepNext/>
              <w:jc w:val="center"/>
              <w:rPr>
                <w:rFonts w:ascii="Arial" w:hAnsi="Arial"/>
                <w:b/>
                <w:sz w:val="20"/>
                <w:szCs w:val="20"/>
              </w:rPr>
            </w:pPr>
            <w:r>
              <w:rPr>
                <w:rFonts w:ascii="Arial" w:hAnsi="Arial"/>
                <w:b/>
                <w:sz w:val="20"/>
                <w:szCs w:val="20"/>
              </w:rPr>
              <w:t>23,343</w:t>
            </w:r>
          </w:p>
        </w:tc>
        <w:tc>
          <w:tcPr>
            <w:tcW w:w="1426" w:type="dxa"/>
            <w:tcBorders>
              <w:bottom w:val="single" w:color="auto" w:sz="12" w:space="0"/>
            </w:tcBorders>
            <w:vAlign w:val="bottom"/>
          </w:tcPr>
          <w:p w:rsidR="003B0815" w:rsidRDefault="003B0815" w14:paraId="75823375" w14:textId="77777777">
            <w:pPr>
              <w:keepNext/>
              <w:jc w:val="center"/>
              <w:rPr>
                <w:rFonts w:ascii="Arial" w:hAnsi="Arial"/>
                <w:b/>
                <w:sz w:val="20"/>
                <w:szCs w:val="20"/>
              </w:rPr>
            </w:pPr>
            <w:r>
              <w:rPr>
                <w:rFonts w:ascii="Arial" w:hAnsi="Arial"/>
                <w:b/>
                <w:sz w:val="20"/>
                <w:szCs w:val="20"/>
              </w:rPr>
              <w:t>23,413</w:t>
            </w:r>
          </w:p>
        </w:tc>
        <w:tc>
          <w:tcPr>
            <w:tcW w:w="1620" w:type="dxa"/>
            <w:tcBorders>
              <w:bottom w:val="single" w:color="auto" w:sz="12" w:space="0"/>
            </w:tcBorders>
            <w:vAlign w:val="bottom"/>
          </w:tcPr>
          <w:p w:rsidR="003B0815" w:rsidRDefault="003B0815" w14:paraId="1EFD13E8" w14:textId="77777777">
            <w:pPr>
              <w:keepNext/>
              <w:jc w:val="center"/>
              <w:rPr>
                <w:rFonts w:ascii="Arial" w:hAnsi="Arial"/>
                <w:b/>
                <w:sz w:val="20"/>
                <w:szCs w:val="20"/>
              </w:rPr>
            </w:pPr>
            <w:r>
              <w:rPr>
                <w:rFonts w:ascii="Arial" w:hAnsi="Arial"/>
                <w:b/>
                <w:sz w:val="20"/>
                <w:szCs w:val="20"/>
              </w:rPr>
              <w:t>21,690</w:t>
            </w:r>
          </w:p>
        </w:tc>
        <w:tc>
          <w:tcPr>
            <w:tcW w:w="1440" w:type="dxa"/>
            <w:tcBorders>
              <w:bottom w:val="single" w:color="auto" w:sz="12" w:space="0"/>
              <w:right w:val="single" w:color="auto" w:sz="12" w:space="0"/>
            </w:tcBorders>
            <w:vAlign w:val="bottom"/>
          </w:tcPr>
          <w:p w:rsidR="003B0815" w:rsidRDefault="003B0815" w14:paraId="6DF15D42" w14:textId="77777777">
            <w:pPr>
              <w:keepNext/>
              <w:jc w:val="center"/>
              <w:rPr>
                <w:rFonts w:ascii="Arial" w:hAnsi="Arial"/>
                <w:b/>
                <w:sz w:val="20"/>
                <w:szCs w:val="20"/>
              </w:rPr>
            </w:pPr>
            <w:r>
              <w:rPr>
                <w:rFonts w:ascii="Arial" w:hAnsi="Arial"/>
                <w:b/>
                <w:sz w:val="20"/>
                <w:szCs w:val="20"/>
              </w:rPr>
              <w:t>18,425</w:t>
            </w:r>
          </w:p>
        </w:tc>
      </w:tr>
    </w:tbl>
    <w:p w:rsidR="003B0815" w:rsidRDefault="003B0815" w14:paraId="3A8AE788" w14:textId="77777777">
      <w:bookmarkStart w:name="_Toc135477026" w:id="536"/>
    </w:p>
    <w:tbl>
      <w:tblPr>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ook w:val="01E0" w:firstRow="1" w:lastRow="1" w:firstColumn="1" w:lastColumn="1" w:noHBand="0" w:noVBand="0"/>
      </w:tblPr>
      <w:tblGrid>
        <w:gridCol w:w="2268"/>
        <w:gridCol w:w="1274"/>
        <w:gridCol w:w="1246"/>
        <w:gridCol w:w="1080"/>
        <w:gridCol w:w="1080"/>
      </w:tblGrid>
      <w:tr w:rsidR="003B0815" w14:paraId="40BEB97B" w14:textId="77777777">
        <w:trPr>
          <w:jc w:val="center"/>
        </w:trPr>
        <w:tc>
          <w:tcPr>
            <w:tcW w:w="6948" w:type="dxa"/>
            <w:gridSpan w:val="5"/>
            <w:tcBorders>
              <w:top w:val="nil"/>
              <w:left w:val="nil"/>
              <w:bottom w:val="single" w:color="auto" w:sz="12" w:space="0"/>
              <w:right w:val="nil"/>
            </w:tcBorders>
          </w:tcPr>
          <w:p w:rsidR="003B0815" w:rsidRDefault="003B0815" w14:paraId="7DE12112" w14:textId="77777777">
            <w:pPr>
              <w:pStyle w:val="RegEvalTableHeader"/>
              <w:keepNext/>
            </w:pPr>
            <w:bookmarkStart w:name="_Toc139943629" w:id="537"/>
            <w:bookmarkStart w:name="_Toc141001139" w:id="538"/>
            <w:bookmarkStart w:name="_Toc165278418" w:id="539"/>
            <w:bookmarkStart w:name="_Toc174438425" w:id="540"/>
            <w:bookmarkStart w:name="_Toc207109566" w:id="541"/>
            <w:r>
              <w:t>Table 2.2.3.c Share of Travel Agent Sales by Size Category</w:t>
            </w:r>
            <w:r>
              <w:rPr>
                <w:rStyle w:val="FootnoteReference"/>
              </w:rPr>
              <w:footnoteReference w:id="52"/>
            </w:r>
            <w:bookmarkEnd w:id="536"/>
            <w:bookmarkEnd w:id="537"/>
            <w:bookmarkEnd w:id="538"/>
            <w:bookmarkEnd w:id="539"/>
            <w:bookmarkEnd w:id="540"/>
            <w:bookmarkEnd w:id="541"/>
          </w:p>
        </w:tc>
      </w:tr>
      <w:tr w:rsidR="003B0815" w14:paraId="6BE82886" w14:textId="77777777">
        <w:trPr>
          <w:jc w:val="center"/>
        </w:trPr>
        <w:tc>
          <w:tcPr>
            <w:tcW w:w="2268" w:type="dxa"/>
            <w:tcBorders>
              <w:top w:val="single" w:color="auto" w:sz="12" w:space="0"/>
              <w:bottom w:val="single" w:color="auto" w:sz="8" w:space="0"/>
              <w:right w:val="single" w:color="auto" w:sz="8" w:space="0"/>
            </w:tcBorders>
          </w:tcPr>
          <w:p w:rsidR="003B0815" w:rsidRDefault="003B0815" w14:paraId="6FDE8CF5" w14:textId="77777777">
            <w:pPr>
              <w:keepNext/>
              <w:rPr>
                <w:rFonts w:ascii="Arial" w:hAnsi="Arial"/>
                <w:b/>
                <w:sz w:val="20"/>
                <w:szCs w:val="20"/>
              </w:rPr>
            </w:pPr>
            <w:r>
              <w:rPr>
                <w:rFonts w:ascii="Arial" w:hAnsi="Arial"/>
                <w:b/>
                <w:sz w:val="20"/>
                <w:szCs w:val="20"/>
              </w:rPr>
              <w:t>Agency Size</w:t>
            </w:r>
          </w:p>
        </w:tc>
        <w:tc>
          <w:tcPr>
            <w:tcW w:w="1274" w:type="dxa"/>
            <w:tcBorders>
              <w:top w:val="single" w:color="auto" w:sz="12" w:space="0"/>
              <w:left w:val="single" w:color="auto" w:sz="8" w:space="0"/>
              <w:bottom w:val="single" w:color="auto" w:sz="8" w:space="0"/>
              <w:right w:val="single" w:color="auto" w:sz="8" w:space="0"/>
            </w:tcBorders>
            <w:vAlign w:val="bottom"/>
          </w:tcPr>
          <w:p w:rsidR="003B0815" w:rsidRDefault="003B0815" w14:paraId="47D274B6" w14:textId="77777777">
            <w:pPr>
              <w:keepNext/>
              <w:jc w:val="center"/>
              <w:rPr>
                <w:rFonts w:ascii="Arial" w:hAnsi="Arial"/>
                <w:b/>
                <w:sz w:val="20"/>
                <w:szCs w:val="20"/>
              </w:rPr>
            </w:pPr>
            <w:r>
              <w:rPr>
                <w:rFonts w:ascii="Arial" w:hAnsi="Arial"/>
                <w:b/>
                <w:sz w:val="20"/>
                <w:szCs w:val="20"/>
              </w:rPr>
              <w:t>1995</w:t>
            </w:r>
          </w:p>
        </w:tc>
        <w:tc>
          <w:tcPr>
            <w:tcW w:w="1246" w:type="dxa"/>
            <w:tcBorders>
              <w:top w:val="single" w:color="auto" w:sz="12" w:space="0"/>
              <w:left w:val="single" w:color="auto" w:sz="8" w:space="0"/>
              <w:bottom w:val="single" w:color="auto" w:sz="8" w:space="0"/>
              <w:right w:val="single" w:color="auto" w:sz="8" w:space="0"/>
            </w:tcBorders>
            <w:vAlign w:val="bottom"/>
          </w:tcPr>
          <w:p w:rsidR="003B0815" w:rsidRDefault="003B0815" w14:paraId="6FD43E8F" w14:textId="77777777">
            <w:pPr>
              <w:keepNext/>
              <w:jc w:val="center"/>
              <w:rPr>
                <w:rFonts w:ascii="Arial" w:hAnsi="Arial"/>
                <w:b/>
                <w:sz w:val="20"/>
                <w:szCs w:val="20"/>
              </w:rPr>
            </w:pPr>
            <w:r>
              <w:rPr>
                <w:rFonts w:ascii="Arial" w:hAnsi="Arial"/>
                <w:b/>
                <w:sz w:val="20"/>
                <w:szCs w:val="20"/>
              </w:rPr>
              <w:t>1997</w:t>
            </w:r>
          </w:p>
        </w:tc>
        <w:tc>
          <w:tcPr>
            <w:tcW w:w="1080" w:type="dxa"/>
            <w:tcBorders>
              <w:top w:val="single" w:color="auto" w:sz="12" w:space="0"/>
              <w:left w:val="single" w:color="auto" w:sz="8" w:space="0"/>
              <w:bottom w:val="single" w:color="auto" w:sz="8" w:space="0"/>
              <w:right w:val="single" w:color="auto" w:sz="8" w:space="0"/>
            </w:tcBorders>
            <w:vAlign w:val="bottom"/>
          </w:tcPr>
          <w:p w:rsidR="003B0815" w:rsidRDefault="003B0815" w14:paraId="3C70E8FD" w14:textId="77777777">
            <w:pPr>
              <w:keepNext/>
              <w:jc w:val="center"/>
              <w:rPr>
                <w:rFonts w:ascii="Arial" w:hAnsi="Arial"/>
                <w:b/>
                <w:sz w:val="20"/>
                <w:szCs w:val="20"/>
              </w:rPr>
            </w:pPr>
            <w:r>
              <w:rPr>
                <w:rFonts w:ascii="Arial" w:hAnsi="Arial"/>
                <w:b/>
                <w:sz w:val="20"/>
                <w:szCs w:val="20"/>
              </w:rPr>
              <w:t>1999</w:t>
            </w:r>
          </w:p>
        </w:tc>
        <w:tc>
          <w:tcPr>
            <w:tcW w:w="1080" w:type="dxa"/>
            <w:tcBorders>
              <w:top w:val="single" w:color="auto" w:sz="12" w:space="0"/>
              <w:left w:val="single" w:color="auto" w:sz="8" w:space="0"/>
              <w:bottom w:val="single" w:color="auto" w:sz="8" w:space="0"/>
            </w:tcBorders>
            <w:vAlign w:val="bottom"/>
          </w:tcPr>
          <w:p w:rsidR="003B0815" w:rsidRDefault="003B0815" w14:paraId="52A70142" w14:textId="77777777">
            <w:pPr>
              <w:keepNext/>
              <w:jc w:val="center"/>
              <w:rPr>
                <w:rFonts w:ascii="Arial" w:hAnsi="Arial"/>
                <w:b/>
                <w:sz w:val="20"/>
                <w:szCs w:val="20"/>
              </w:rPr>
            </w:pPr>
            <w:r>
              <w:rPr>
                <w:rFonts w:ascii="Arial" w:hAnsi="Arial"/>
                <w:b/>
                <w:sz w:val="20"/>
                <w:szCs w:val="20"/>
              </w:rPr>
              <w:t>2001</w:t>
            </w:r>
          </w:p>
        </w:tc>
      </w:tr>
      <w:tr w:rsidR="003B0815" w14:paraId="4852AA4A" w14:textId="77777777">
        <w:trPr>
          <w:jc w:val="center"/>
        </w:trPr>
        <w:tc>
          <w:tcPr>
            <w:tcW w:w="2268" w:type="dxa"/>
            <w:tcBorders>
              <w:top w:val="single" w:color="auto" w:sz="8" w:space="0"/>
              <w:bottom w:val="single" w:color="auto" w:sz="8" w:space="0"/>
              <w:right w:val="single" w:color="auto" w:sz="8" w:space="0"/>
            </w:tcBorders>
          </w:tcPr>
          <w:p w:rsidR="003B0815" w:rsidRDefault="003B0815" w14:paraId="44679DEE" w14:textId="77777777">
            <w:pPr>
              <w:keepNext/>
              <w:rPr>
                <w:rFonts w:ascii="Arial" w:hAnsi="Arial"/>
                <w:sz w:val="20"/>
                <w:szCs w:val="20"/>
              </w:rPr>
            </w:pPr>
            <w:r>
              <w:rPr>
                <w:rFonts w:ascii="Arial" w:hAnsi="Arial"/>
                <w:sz w:val="20"/>
                <w:szCs w:val="20"/>
              </w:rPr>
              <w:t>$2M or Less</w:t>
            </w:r>
          </w:p>
        </w:tc>
        <w:tc>
          <w:tcPr>
            <w:tcW w:w="1274" w:type="dxa"/>
            <w:tcBorders>
              <w:top w:val="single" w:color="auto" w:sz="8" w:space="0"/>
              <w:left w:val="single" w:color="auto" w:sz="8" w:space="0"/>
              <w:bottom w:val="single" w:color="auto" w:sz="8" w:space="0"/>
              <w:right w:val="single" w:color="auto" w:sz="8" w:space="0"/>
            </w:tcBorders>
            <w:vAlign w:val="bottom"/>
          </w:tcPr>
          <w:p w:rsidR="003B0815" w:rsidRDefault="003B0815" w14:paraId="56229A09" w14:textId="77777777">
            <w:pPr>
              <w:keepNext/>
              <w:jc w:val="center"/>
              <w:rPr>
                <w:rFonts w:ascii="Arial" w:hAnsi="Arial"/>
                <w:sz w:val="20"/>
                <w:szCs w:val="20"/>
              </w:rPr>
            </w:pPr>
            <w:r>
              <w:rPr>
                <w:rFonts w:ascii="Arial" w:hAnsi="Arial"/>
                <w:sz w:val="20"/>
                <w:szCs w:val="20"/>
              </w:rPr>
              <w:t>25.3%</w:t>
            </w:r>
          </w:p>
        </w:tc>
        <w:tc>
          <w:tcPr>
            <w:tcW w:w="1246" w:type="dxa"/>
            <w:tcBorders>
              <w:top w:val="single" w:color="auto" w:sz="8" w:space="0"/>
              <w:left w:val="single" w:color="auto" w:sz="8" w:space="0"/>
              <w:bottom w:val="single" w:color="auto" w:sz="8" w:space="0"/>
              <w:right w:val="single" w:color="auto" w:sz="8" w:space="0"/>
            </w:tcBorders>
            <w:vAlign w:val="bottom"/>
          </w:tcPr>
          <w:p w:rsidR="003B0815" w:rsidRDefault="003B0815" w14:paraId="087C3EAA" w14:textId="77777777">
            <w:pPr>
              <w:keepNext/>
              <w:jc w:val="center"/>
              <w:rPr>
                <w:rFonts w:ascii="Arial" w:hAnsi="Arial"/>
                <w:sz w:val="20"/>
                <w:szCs w:val="20"/>
              </w:rPr>
            </w:pPr>
            <w:r>
              <w:rPr>
                <w:rFonts w:ascii="Arial" w:hAnsi="Arial"/>
                <w:sz w:val="20"/>
                <w:szCs w:val="20"/>
              </w:rPr>
              <w:t>20.6%</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217CA8BF" w14:textId="77777777">
            <w:pPr>
              <w:keepNext/>
              <w:jc w:val="center"/>
              <w:rPr>
                <w:rFonts w:ascii="Arial" w:hAnsi="Arial"/>
                <w:sz w:val="20"/>
                <w:szCs w:val="20"/>
              </w:rPr>
            </w:pPr>
            <w:r>
              <w:rPr>
                <w:rFonts w:ascii="Arial" w:hAnsi="Arial"/>
                <w:sz w:val="20"/>
                <w:szCs w:val="20"/>
              </w:rPr>
              <w:t>16.9%</w:t>
            </w:r>
          </w:p>
        </w:tc>
        <w:tc>
          <w:tcPr>
            <w:tcW w:w="1080" w:type="dxa"/>
            <w:tcBorders>
              <w:top w:val="single" w:color="auto" w:sz="8" w:space="0"/>
              <w:left w:val="single" w:color="auto" w:sz="8" w:space="0"/>
              <w:bottom w:val="single" w:color="auto" w:sz="8" w:space="0"/>
            </w:tcBorders>
            <w:vAlign w:val="bottom"/>
          </w:tcPr>
          <w:p w:rsidR="003B0815" w:rsidRDefault="003B0815" w14:paraId="46626893" w14:textId="77777777">
            <w:pPr>
              <w:keepNext/>
              <w:jc w:val="center"/>
              <w:rPr>
                <w:rFonts w:ascii="Arial" w:hAnsi="Arial"/>
                <w:sz w:val="20"/>
                <w:szCs w:val="20"/>
              </w:rPr>
            </w:pPr>
            <w:r>
              <w:rPr>
                <w:rFonts w:ascii="Arial" w:hAnsi="Arial"/>
                <w:sz w:val="20"/>
                <w:szCs w:val="20"/>
              </w:rPr>
              <w:t>14.2%</w:t>
            </w:r>
          </w:p>
        </w:tc>
      </w:tr>
      <w:tr w:rsidR="003B0815" w14:paraId="75C07176" w14:textId="77777777">
        <w:trPr>
          <w:jc w:val="center"/>
        </w:trPr>
        <w:tc>
          <w:tcPr>
            <w:tcW w:w="2268" w:type="dxa"/>
            <w:tcBorders>
              <w:top w:val="single" w:color="auto" w:sz="8" w:space="0"/>
              <w:bottom w:val="single" w:color="auto" w:sz="8" w:space="0"/>
              <w:right w:val="single" w:color="auto" w:sz="8" w:space="0"/>
            </w:tcBorders>
          </w:tcPr>
          <w:p w:rsidR="003B0815" w:rsidRDefault="003B0815" w14:paraId="265BBF63" w14:textId="77777777">
            <w:pPr>
              <w:keepNext/>
              <w:rPr>
                <w:rFonts w:ascii="Arial" w:hAnsi="Arial"/>
                <w:sz w:val="20"/>
                <w:szCs w:val="20"/>
              </w:rPr>
            </w:pPr>
            <w:r>
              <w:rPr>
                <w:rFonts w:ascii="Arial" w:hAnsi="Arial"/>
                <w:sz w:val="20"/>
                <w:szCs w:val="20"/>
              </w:rPr>
              <w:t>$2M - $5M</w:t>
            </w:r>
          </w:p>
        </w:tc>
        <w:tc>
          <w:tcPr>
            <w:tcW w:w="1274" w:type="dxa"/>
            <w:tcBorders>
              <w:top w:val="single" w:color="auto" w:sz="8" w:space="0"/>
              <w:left w:val="single" w:color="auto" w:sz="8" w:space="0"/>
              <w:bottom w:val="single" w:color="auto" w:sz="8" w:space="0"/>
              <w:right w:val="single" w:color="auto" w:sz="8" w:space="0"/>
            </w:tcBorders>
            <w:vAlign w:val="bottom"/>
          </w:tcPr>
          <w:p w:rsidR="003B0815" w:rsidRDefault="003B0815" w14:paraId="28C9FF06" w14:textId="77777777">
            <w:pPr>
              <w:keepNext/>
              <w:jc w:val="center"/>
              <w:rPr>
                <w:rFonts w:ascii="Arial" w:hAnsi="Arial"/>
                <w:sz w:val="20"/>
                <w:szCs w:val="20"/>
              </w:rPr>
            </w:pPr>
            <w:r>
              <w:rPr>
                <w:rFonts w:ascii="Arial" w:hAnsi="Arial"/>
                <w:sz w:val="20"/>
                <w:szCs w:val="20"/>
              </w:rPr>
              <w:t>13.5</w:t>
            </w:r>
          </w:p>
        </w:tc>
        <w:tc>
          <w:tcPr>
            <w:tcW w:w="1246" w:type="dxa"/>
            <w:tcBorders>
              <w:top w:val="single" w:color="auto" w:sz="8" w:space="0"/>
              <w:left w:val="single" w:color="auto" w:sz="8" w:space="0"/>
              <w:bottom w:val="single" w:color="auto" w:sz="8" w:space="0"/>
              <w:right w:val="single" w:color="auto" w:sz="8" w:space="0"/>
            </w:tcBorders>
            <w:vAlign w:val="bottom"/>
          </w:tcPr>
          <w:p w:rsidR="003B0815" w:rsidRDefault="003B0815" w14:paraId="68495CA6" w14:textId="77777777">
            <w:pPr>
              <w:keepNext/>
              <w:jc w:val="center"/>
              <w:rPr>
                <w:rFonts w:ascii="Arial" w:hAnsi="Arial"/>
                <w:sz w:val="20"/>
                <w:szCs w:val="20"/>
              </w:rPr>
            </w:pPr>
            <w:r>
              <w:rPr>
                <w:rFonts w:ascii="Arial" w:hAnsi="Arial"/>
                <w:sz w:val="20"/>
                <w:szCs w:val="20"/>
              </w:rPr>
              <w:t>12.8</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6174337B" w14:textId="77777777">
            <w:pPr>
              <w:keepNext/>
              <w:jc w:val="center"/>
              <w:rPr>
                <w:rFonts w:ascii="Arial" w:hAnsi="Arial"/>
                <w:sz w:val="20"/>
                <w:szCs w:val="20"/>
              </w:rPr>
            </w:pPr>
            <w:r>
              <w:rPr>
                <w:rFonts w:ascii="Arial" w:hAnsi="Arial"/>
                <w:sz w:val="20"/>
                <w:szCs w:val="20"/>
              </w:rPr>
              <w:t>10.7</w:t>
            </w:r>
          </w:p>
        </w:tc>
        <w:tc>
          <w:tcPr>
            <w:tcW w:w="1080" w:type="dxa"/>
            <w:tcBorders>
              <w:top w:val="single" w:color="auto" w:sz="8" w:space="0"/>
              <w:left w:val="single" w:color="auto" w:sz="8" w:space="0"/>
              <w:bottom w:val="single" w:color="auto" w:sz="8" w:space="0"/>
            </w:tcBorders>
            <w:vAlign w:val="bottom"/>
          </w:tcPr>
          <w:p w:rsidR="003B0815" w:rsidRDefault="003B0815" w14:paraId="41E7D418" w14:textId="77777777">
            <w:pPr>
              <w:keepNext/>
              <w:jc w:val="center"/>
              <w:rPr>
                <w:rFonts w:ascii="Arial" w:hAnsi="Arial"/>
                <w:sz w:val="20"/>
                <w:szCs w:val="20"/>
              </w:rPr>
            </w:pPr>
            <w:r>
              <w:rPr>
                <w:rFonts w:ascii="Arial" w:hAnsi="Arial"/>
                <w:sz w:val="20"/>
                <w:szCs w:val="20"/>
              </w:rPr>
              <w:t>8.4</w:t>
            </w:r>
          </w:p>
        </w:tc>
      </w:tr>
      <w:tr w:rsidR="003B0815" w14:paraId="7748C0A5" w14:textId="77777777">
        <w:trPr>
          <w:jc w:val="center"/>
        </w:trPr>
        <w:tc>
          <w:tcPr>
            <w:tcW w:w="2268" w:type="dxa"/>
            <w:tcBorders>
              <w:top w:val="single" w:color="auto" w:sz="8" w:space="0"/>
              <w:bottom w:val="single" w:color="auto" w:sz="8" w:space="0"/>
              <w:right w:val="single" w:color="auto" w:sz="8" w:space="0"/>
            </w:tcBorders>
          </w:tcPr>
          <w:p w:rsidR="003B0815" w:rsidRDefault="003B0815" w14:paraId="72CDA66A" w14:textId="77777777">
            <w:pPr>
              <w:keepNext/>
              <w:rPr>
                <w:rFonts w:ascii="Arial" w:hAnsi="Arial"/>
                <w:sz w:val="20"/>
                <w:szCs w:val="20"/>
              </w:rPr>
            </w:pPr>
            <w:r>
              <w:rPr>
                <w:rFonts w:ascii="Arial" w:hAnsi="Arial"/>
                <w:sz w:val="20"/>
                <w:szCs w:val="20"/>
              </w:rPr>
              <w:t>$5M - $50M</w:t>
            </w:r>
          </w:p>
        </w:tc>
        <w:tc>
          <w:tcPr>
            <w:tcW w:w="1274" w:type="dxa"/>
            <w:tcBorders>
              <w:top w:val="single" w:color="auto" w:sz="8" w:space="0"/>
              <w:left w:val="single" w:color="auto" w:sz="8" w:space="0"/>
              <w:bottom w:val="single" w:color="auto" w:sz="8" w:space="0"/>
              <w:right w:val="single" w:color="auto" w:sz="8" w:space="0"/>
            </w:tcBorders>
            <w:vAlign w:val="bottom"/>
          </w:tcPr>
          <w:p w:rsidR="003B0815" w:rsidRDefault="003B0815" w14:paraId="567615BC" w14:textId="77777777">
            <w:pPr>
              <w:keepNext/>
              <w:jc w:val="center"/>
              <w:rPr>
                <w:rFonts w:ascii="Arial" w:hAnsi="Arial"/>
                <w:sz w:val="20"/>
                <w:szCs w:val="20"/>
              </w:rPr>
            </w:pPr>
            <w:r>
              <w:rPr>
                <w:rFonts w:ascii="Arial" w:hAnsi="Arial"/>
                <w:sz w:val="20"/>
                <w:szCs w:val="20"/>
              </w:rPr>
              <w:t>24.8</w:t>
            </w:r>
          </w:p>
        </w:tc>
        <w:tc>
          <w:tcPr>
            <w:tcW w:w="1246" w:type="dxa"/>
            <w:tcBorders>
              <w:top w:val="single" w:color="auto" w:sz="8" w:space="0"/>
              <w:left w:val="single" w:color="auto" w:sz="8" w:space="0"/>
              <w:bottom w:val="single" w:color="auto" w:sz="8" w:space="0"/>
              <w:right w:val="single" w:color="auto" w:sz="8" w:space="0"/>
            </w:tcBorders>
            <w:vAlign w:val="bottom"/>
          </w:tcPr>
          <w:p w:rsidR="003B0815" w:rsidRDefault="003B0815" w14:paraId="0B2CB66D" w14:textId="77777777">
            <w:pPr>
              <w:keepNext/>
              <w:jc w:val="center"/>
              <w:rPr>
                <w:rFonts w:ascii="Arial" w:hAnsi="Arial"/>
                <w:sz w:val="20"/>
                <w:szCs w:val="20"/>
              </w:rPr>
            </w:pPr>
            <w:r>
              <w:rPr>
                <w:rFonts w:ascii="Arial" w:hAnsi="Arial"/>
                <w:sz w:val="20"/>
                <w:szCs w:val="20"/>
              </w:rPr>
              <w:t>24.5</w:t>
            </w:r>
          </w:p>
        </w:tc>
        <w:tc>
          <w:tcPr>
            <w:tcW w:w="1080" w:type="dxa"/>
            <w:tcBorders>
              <w:top w:val="single" w:color="auto" w:sz="8" w:space="0"/>
              <w:left w:val="single" w:color="auto" w:sz="8" w:space="0"/>
              <w:bottom w:val="single" w:color="auto" w:sz="8" w:space="0"/>
              <w:right w:val="single" w:color="auto" w:sz="8" w:space="0"/>
            </w:tcBorders>
            <w:vAlign w:val="bottom"/>
          </w:tcPr>
          <w:p w:rsidR="003B0815" w:rsidRDefault="003B0815" w14:paraId="4D5F2101" w14:textId="77777777">
            <w:pPr>
              <w:keepNext/>
              <w:jc w:val="center"/>
              <w:rPr>
                <w:rFonts w:ascii="Arial" w:hAnsi="Arial"/>
                <w:sz w:val="20"/>
                <w:szCs w:val="20"/>
              </w:rPr>
            </w:pPr>
            <w:r>
              <w:rPr>
                <w:rFonts w:ascii="Arial" w:hAnsi="Arial"/>
                <w:sz w:val="20"/>
                <w:szCs w:val="20"/>
              </w:rPr>
              <w:t>22.5</w:t>
            </w:r>
          </w:p>
        </w:tc>
        <w:tc>
          <w:tcPr>
            <w:tcW w:w="1080" w:type="dxa"/>
            <w:tcBorders>
              <w:top w:val="single" w:color="auto" w:sz="8" w:space="0"/>
              <w:left w:val="single" w:color="auto" w:sz="8" w:space="0"/>
              <w:bottom w:val="single" w:color="auto" w:sz="8" w:space="0"/>
            </w:tcBorders>
            <w:vAlign w:val="bottom"/>
          </w:tcPr>
          <w:p w:rsidR="003B0815" w:rsidRDefault="003B0815" w14:paraId="5582000C" w14:textId="77777777">
            <w:pPr>
              <w:keepNext/>
              <w:jc w:val="center"/>
              <w:rPr>
                <w:rFonts w:ascii="Arial" w:hAnsi="Arial"/>
                <w:sz w:val="20"/>
                <w:szCs w:val="20"/>
              </w:rPr>
            </w:pPr>
            <w:r>
              <w:rPr>
                <w:rFonts w:ascii="Arial" w:hAnsi="Arial"/>
                <w:sz w:val="20"/>
                <w:szCs w:val="20"/>
              </w:rPr>
              <w:t>20.1</w:t>
            </w:r>
          </w:p>
        </w:tc>
      </w:tr>
      <w:tr w:rsidR="003B0815" w14:paraId="13B1811F" w14:textId="77777777">
        <w:trPr>
          <w:jc w:val="center"/>
        </w:trPr>
        <w:tc>
          <w:tcPr>
            <w:tcW w:w="2268" w:type="dxa"/>
            <w:tcBorders>
              <w:top w:val="single" w:color="auto" w:sz="8" w:space="0"/>
              <w:bottom w:val="single" w:color="auto" w:sz="12" w:space="0"/>
              <w:right w:val="single" w:color="auto" w:sz="8" w:space="0"/>
            </w:tcBorders>
          </w:tcPr>
          <w:p w:rsidR="003B0815" w:rsidRDefault="003B0815" w14:paraId="3D13768C" w14:textId="77777777">
            <w:pPr>
              <w:keepNext/>
              <w:rPr>
                <w:rFonts w:ascii="Arial" w:hAnsi="Arial"/>
                <w:sz w:val="20"/>
                <w:szCs w:val="20"/>
              </w:rPr>
            </w:pPr>
            <w:r>
              <w:rPr>
                <w:rFonts w:ascii="Arial" w:hAnsi="Arial"/>
                <w:sz w:val="20"/>
                <w:szCs w:val="20"/>
              </w:rPr>
              <w:t>Greater than $50M</w:t>
            </w:r>
          </w:p>
        </w:tc>
        <w:tc>
          <w:tcPr>
            <w:tcW w:w="1274" w:type="dxa"/>
            <w:tcBorders>
              <w:top w:val="single" w:color="auto" w:sz="8" w:space="0"/>
              <w:left w:val="single" w:color="auto" w:sz="8" w:space="0"/>
              <w:bottom w:val="single" w:color="auto" w:sz="12" w:space="0"/>
              <w:right w:val="single" w:color="auto" w:sz="8" w:space="0"/>
            </w:tcBorders>
            <w:vAlign w:val="bottom"/>
          </w:tcPr>
          <w:p w:rsidR="003B0815" w:rsidRDefault="003B0815" w14:paraId="2EB7B566" w14:textId="77777777">
            <w:pPr>
              <w:keepNext/>
              <w:jc w:val="center"/>
              <w:rPr>
                <w:rFonts w:ascii="Arial" w:hAnsi="Arial"/>
                <w:sz w:val="20"/>
                <w:szCs w:val="20"/>
              </w:rPr>
            </w:pPr>
            <w:r>
              <w:rPr>
                <w:rFonts w:ascii="Arial" w:hAnsi="Arial"/>
                <w:sz w:val="20"/>
                <w:szCs w:val="20"/>
              </w:rPr>
              <w:t>36.4</w:t>
            </w:r>
          </w:p>
        </w:tc>
        <w:tc>
          <w:tcPr>
            <w:tcW w:w="1246" w:type="dxa"/>
            <w:tcBorders>
              <w:top w:val="single" w:color="auto" w:sz="8" w:space="0"/>
              <w:left w:val="single" w:color="auto" w:sz="8" w:space="0"/>
              <w:bottom w:val="single" w:color="auto" w:sz="12" w:space="0"/>
              <w:right w:val="single" w:color="auto" w:sz="8" w:space="0"/>
            </w:tcBorders>
            <w:vAlign w:val="bottom"/>
          </w:tcPr>
          <w:p w:rsidR="003B0815" w:rsidRDefault="003B0815" w14:paraId="58B6CA0B" w14:textId="77777777">
            <w:pPr>
              <w:keepNext/>
              <w:jc w:val="center"/>
              <w:rPr>
                <w:rFonts w:ascii="Arial" w:hAnsi="Arial"/>
                <w:sz w:val="20"/>
                <w:szCs w:val="20"/>
              </w:rPr>
            </w:pPr>
            <w:r>
              <w:rPr>
                <w:rFonts w:ascii="Arial" w:hAnsi="Arial"/>
                <w:sz w:val="20"/>
                <w:szCs w:val="20"/>
              </w:rPr>
              <w:t>42.1</w:t>
            </w:r>
          </w:p>
        </w:tc>
        <w:tc>
          <w:tcPr>
            <w:tcW w:w="1080" w:type="dxa"/>
            <w:tcBorders>
              <w:top w:val="single" w:color="auto" w:sz="8" w:space="0"/>
              <w:left w:val="single" w:color="auto" w:sz="8" w:space="0"/>
              <w:bottom w:val="single" w:color="auto" w:sz="12" w:space="0"/>
              <w:right w:val="single" w:color="auto" w:sz="8" w:space="0"/>
            </w:tcBorders>
            <w:vAlign w:val="bottom"/>
          </w:tcPr>
          <w:p w:rsidR="003B0815" w:rsidRDefault="003B0815" w14:paraId="7771E67A" w14:textId="77777777">
            <w:pPr>
              <w:keepNext/>
              <w:jc w:val="center"/>
              <w:rPr>
                <w:rFonts w:ascii="Arial" w:hAnsi="Arial"/>
                <w:sz w:val="20"/>
                <w:szCs w:val="20"/>
              </w:rPr>
            </w:pPr>
            <w:r>
              <w:rPr>
                <w:rFonts w:ascii="Arial" w:hAnsi="Arial"/>
                <w:sz w:val="20"/>
                <w:szCs w:val="20"/>
              </w:rPr>
              <w:t>49.9</w:t>
            </w:r>
          </w:p>
        </w:tc>
        <w:tc>
          <w:tcPr>
            <w:tcW w:w="1080" w:type="dxa"/>
            <w:tcBorders>
              <w:top w:val="single" w:color="auto" w:sz="8" w:space="0"/>
              <w:left w:val="single" w:color="auto" w:sz="8" w:space="0"/>
              <w:bottom w:val="single" w:color="auto" w:sz="12" w:space="0"/>
            </w:tcBorders>
            <w:vAlign w:val="bottom"/>
          </w:tcPr>
          <w:p w:rsidR="003B0815" w:rsidRDefault="003B0815" w14:paraId="67A3D865" w14:textId="77777777">
            <w:pPr>
              <w:keepNext/>
              <w:jc w:val="center"/>
              <w:rPr>
                <w:rFonts w:ascii="Arial" w:hAnsi="Arial"/>
                <w:sz w:val="20"/>
                <w:szCs w:val="20"/>
              </w:rPr>
            </w:pPr>
            <w:r>
              <w:rPr>
                <w:rFonts w:ascii="Arial" w:hAnsi="Arial"/>
                <w:sz w:val="20"/>
                <w:szCs w:val="20"/>
              </w:rPr>
              <w:t>57.2</w:t>
            </w:r>
          </w:p>
        </w:tc>
      </w:tr>
    </w:tbl>
    <w:p w:rsidR="003B0815" w:rsidRDefault="003B0815" w14:paraId="1BB3415B" w14:textId="77777777">
      <w:pPr>
        <w:spacing w:line="360" w:lineRule="auto"/>
        <w:ind w:firstLine="720"/>
      </w:pPr>
    </w:p>
    <w:p w:rsidR="003B0815" w:rsidRDefault="003B0815" w14:paraId="46DEF149" w14:textId="77777777">
      <w:pPr>
        <w:spacing w:line="360" w:lineRule="auto"/>
        <w:ind w:firstLine="720"/>
      </w:pPr>
      <w:r>
        <w:t>Table 2.2.3.d shows aggregate monthly statistics released by the Airlines Reporting Corporation indicating that the travel agent industry continued to contract and consolidate through 2005.  Corresponding revenue data, however, was not available.</w:t>
      </w:r>
    </w:p>
    <w:tbl>
      <w:tblPr>
        <w:tblW w:w="7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0"/>
        <w:gridCol w:w="835"/>
        <w:gridCol w:w="969"/>
        <w:gridCol w:w="969"/>
        <w:gridCol w:w="857"/>
        <w:gridCol w:w="857"/>
      </w:tblGrid>
      <w:tr w:rsidR="003B0815" w14:paraId="08A47FB9" w14:textId="77777777">
        <w:trPr>
          <w:jc w:val="center"/>
        </w:trPr>
        <w:tc>
          <w:tcPr>
            <w:tcW w:w="7617" w:type="dxa"/>
            <w:gridSpan w:val="6"/>
            <w:tcBorders>
              <w:top w:val="nil"/>
              <w:left w:val="nil"/>
              <w:bottom w:val="nil"/>
              <w:right w:val="nil"/>
            </w:tcBorders>
          </w:tcPr>
          <w:p w:rsidR="003B0815" w:rsidRDefault="003B0815" w14:paraId="71DB6452" w14:textId="77777777">
            <w:pPr>
              <w:keepNext/>
              <w:jc w:val="center"/>
              <w:rPr>
                <w:rFonts w:ascii="Arial" w:hAnsi="Arial" w:cs="Arial"/>
                <w:b/>
                <w:sz w:val="20"/>
                <w:szCs w:val="20"/>
              </w:rPr>
            </w:pPr>
            <w:bookmarkStart w:name="RANGE!A1" w:id="542"/>
            <w:r>
              <w:rPr>
                <w:rFonts w:ascii="Arial" w:hAnsi="Arial" w:cs="Arial"/>
                <w:b/>
                <w:sz w:val="20"/>
                <w:szCs w:val="20"/>
              </w:rPr>
              <w:t>Table 2.2.3.d Travel Agencies Accredited by the Airlines Reporting Corporation</w:t>
            </w:r>
            <w:bookmarkEnd w:id="542"/>
            <w:r>
              <w:rPr>
                <w:rStyle w:val="FootnoteReference"/>
                <w:rFonts w:ascii="Arial" w:hAnsi="Arial" w:cs="Arial"/>
                <w:b/>
                <w:sz w:val="20"/>
                <w:szCs w:val="20"/>
              </w:rPr>
              <w:footnoteReference w:id="53"/>
            </w:r>
          </w:p>
        </w:tc>
      </w:tr>
      <w:tr w:rsidR="003B0815" w14:paraId="011D1A8F" w14:textId="77777777">
        <w:trPr>
          <w:jc w:val="center"/>
        </w:trPr>
        <w:tc>
          <w:tcPr>
            <w:tcW w:w="3105" w:type="dxa"/>
            <w:tcBorders>
              <w:top w:val="nil"/>
              <w:left w:val="nil"/>
              <w:bottom w:val="single" w:color="auto" w:sz="12" w:space="0"/>
              <w:right w:val="single" w:color="auto" w:sz="12" w:space="0"/>
            </w:tcBorders>
            <w:vAlign w:val="bottom"/>
          </w:tcPr>
          <w:p w:rsidR="003B0815" w:rsidRDefault="003B0815" w14:paraId="29C49F45" w14:textId="77777777">
            <w:pPr>
              <w:keepNext/>
              <w:rPr>
                <w:rFonts w:ascii="Arial" w:hAnsi="Arial" w:cs="Arial"/>
                <w:sz w:val="20"/>
                <w:szCs w:val="20"/>
              </w:rPr>
            </w:pPr>
          </w:p>
        </w:tc>
        <w:tc>
          <w:tcPr>
            <w:tcW w:w="0" w:type="auto"/>
            <w:tcBorders>
              <w:top w:val="single" w:color="auto" w:sz="12" w:space="0"/>
              <w:left w:val="single" w:color="auto" w:sz="12" w:space="0"/>
              <w:bottom w:val="single" w:color="auto" w:sz="12" w:space="0"/>
            </w:tcBorders>
            <w:vAlign w:val="bottom"/>
          </w:tcPr>
          <w:p w:rsidR="003B0815" w:rsidRDefault="003B0815" w14:paraId="771EE358" w14:textId="77777777">
            <w:pPr>
              <w:keepNext/>
              <w:jc w:val="right"/>
              <w:rPr>
                <w:rFonts w:ascii="Arial" w:hAnsi="Arial" w:cs="Arial"/>
                <w:b/>
                <w:sz w:val="20"/>
                <w:szCs w:val="20"/>
              </w:rPr>
            </w:pPr>
            <w:r>
              <w:rPr>
                <w:rFonts w:ascii="Arial" w:hAnsi="Arial" w:cs="Arial"/>
                <w:b/>
                <w:sz w:val="20"/>
                <w:szCs w:val="20"/>
              </w:rPr>
              <w:t>2001</w:t>
            </w:r>
          </w:p>
        </w:tc>
        <w:tc>
          <w:tcPr>
            <w:tcW w:w="0" w:type="auto"/>
            <w:tcBorders>
              <w:top w:val="single" w:color="auto" w:sz="12" w:space="0"/>
              <w:bottom w:val="single" w:color="auto" w:sz="12" w:space="0"/>
            </w:tcBorders>
            <w:vAlign w:val="bottom"/>
          </w:tcPr>
          <w:p w:rsidR="003B0815" w:rsidRDefault="003B0815" w14:paraId="77049988" w14:textId="77777777">
            <w:pPr>
              <w:keepNext/>
              <w:jc w:val="right"/>
              <w:rPr>
                <w:rFonts w:ascii="Arial" w:hAnsi="Arial" w:cs="Arial"/>
                <w:b/>
                <w:sz w:val="20"/>
                <w:szCs w:val="20"/>
              </w:rPr>
            </w:pPr>
            <w:r>
              <w:rPr>
                <w:rFonts w:ascii="Arial" w:hAnsi="Arial" w:cs="Arial"/>
                <w:b/>
                <w:sz w:val="20"/>
                <w:szCs w:val="20"/>
              </w:rPr>
              <w:t>2002</w:t>
            </w:r>
          </w:p>
        </w:tc>
        <w:tc>
          <w:tcPr>
            <w:tcW w:w="0" w:type="auto"/>
            <w:tcBorders>
              <w:top w:val="single" w:color="auto" w:sz="12" w:space="0"/>
              <w:bottom w:val="single" w:color="auto" w:sz="12" w:space="0"/>
            </w:tcBorders>
            <w:vAlign w:val="bottom"/>
          </w:tcPr>
          <w:p w:rsidR="003B0815" w:rsidRDefault="003B0815" w14:paraId="0682EC46" w14:textId="77777777">
            <w:pPr>
              <w:keepNext/>
              <w:jc w:val="right"/>
              <w:rPr>
                <w:rFonts w:ascii="Arial" w:hAnsi="Arial" w:cs="Arial"/>
                <w:b/>
                <w:sz w:val="20"/>
                <w:szCs w:val="20"/>
              </w:rPr>
            </w:pPr>
            <w:r>
              <w:rPr>
                <w:rFonts w:ascii="Arial" w:hAnsi="Arial" w:cs="Arial"/>
                <w:b/>
                <w:sz w:val="20"/>
                <w:szCs w:val="20"/>
              </w:rPr>
              <w:t>2003</w:t>
            </w:r>
          </w:p>
        </w:tc>
        <w:tc>
          <w:tcPr>
            <w:tcW w:w="0" w:type="auto"/>
            <w:tcBorders>
              <w:top w:val="single" w:color="auto" w:sz="12" w:space="0"/>
              <w:bottom w:val="single" w:color="auto" w:sz="12" w:space="0"/>
            </w:tcBorders>
            <w:vAlign w:val="bottom"/>
          </w:tcPr>
          <w:p w:rsidR="003B0815" w:rsidRDefault="003B0815" w14:paraId="67AEE243" w14:textId="77777777">
            <w:pPr>
              <w:keepNext/>
              <w:jc w:val="right"/>
              <w:rPr>
                <w:rFonts w:ascii="Arial" w:hAnsi="Arial" w:cs="Arial"/>
                <w:b/>
                <w:sz w:val="20"/>
                <w:szCs w:val="20"/>
              </w:rPr>
            </w:pPr>
            <w:r>
              <w:rPr>
                <w:rFonts w:ascii="Arial" w:hAnsi="Arial" w:cs="Arial"/>
                <w:b/>
                <w:sz w:val="20"/>
                <w:szCs w:val="20"/>
              </w:rPr>
              <w:t>2004</w:t>
            </w:r>
          </w:p>
        </w:tc>
        <w:tc>
          <w:tcPr>
            <w:tcW w:w="0" w:type="auto"/>
            <w:tcBorders>
              <w:top w:val="single" w:color="auto" w:sz="12" w:space="0"/>
              <w:bottom w:val="single" w:color="auto" w:sz="12" w:space="0"/>
              <w:right w:val="single" w:color="auto" w:sz="12" w:space="0"/>
            </w:tcBorders>
            <w:vAlign w:val="bottom"/>
          </w:tcPr>
          <w:p w:rsidR="003B0815" w:rsidRDefault="003B0815" w14:paraId="3B2B2451" w14:textId="77777777">
            <w:pPr>
              <w:keepNext/>
              <w:jc w:val="right"/>
              <w:rPr>
                <w:rFonts w:ascii="Arial" w:hAnsi="Arial" w:cs="Arial"/>
                <w:b/>
                <w:sz w:val="20"/>
                <w:szCs w:val="20"/>
              </w:rPr>
            </w:pPr>
            <w:r>
              <w:rPr>
                <w:rFonts w:ascii="Arial" w:hAnsi="Arial" w:cs="Arial"/>
                <w:b/>
                <w:sz w:val="20"/>
                <w:szCs w:val="20"/>
              </w:rPr>
              <w:t>2005</w:t>
            </w:r>
          </w:p>
        </w:tc>
      </w:tr>
      <w:tr w:rsidR="003B0815" w14:paraId="415F0DE8" w14:textId="77777777">
        <w:trPr>
          <w:jc w:val="center"/>
        </w:trPr>
        <w:tc>
          <w:tcPr>
            <w:tcW w:w="3105" w:type="dxa"/>
            <w:tcBorders>
              <w:top w:val="single" w:color="auto" w:sz="12" w:space="0"/>
              <w:left w:val="single" w:color="auto" w:sz="12" w:space="0"/>
              <w:bottom w:val="nil"/>
              <w:right w:val="single" w:color="auto" w:sz="12" w:space="0"/>
            </w:tcBorders>
            <w:vAlign w:val="bottom"/>
          </w:tcPr>
          <w:p w:rsidR="003B0815" w:rsidRDefault="003B0815" w14:paraId="54909F56" w14:textId="77777777">
            <w:pPr>
              <w:keepNext/>
              <w:rPr>
                <w:rFonts w:ascii="Arial" w:hAnsi="Arial" w:cs="Arial"/>
                <w:b/>
                <w:bCs/>
                <w:sz w:val="20"/>
                <w:szCs w:val="20"/>
                <w:u w:val="single"/>
              </w:rPr>
            </w:pPr>
            <w:r>
              <w:rPr>
                <w:rFonts w:ascii="Arial" w:hAnsi="Arial" w:cs="Arial"/>
                <w:b/>
                <w:bCs/>
                <w:sz w:val="20"/>
                <w:szCs w:val="20"/>
                <w:u w:val="single"/>
              </w:rPr>
              <w:t>Retail Locations</w:t>
            </w:r>
          </w:p>
        </w:tc>
        <w:tc>
          <w:tcPr>
            <w:tcW w:w="0" w:type="auto"/>
            <w:tcBorders>
              <w:top w:val="single" w:color="auto" w:sz="12" w:space="0"/>
              <w:left w:val="single" w:color="auto" w:sz="12" w:space="0"/>
              <w:bottom w:val="nil"/>
            </w:tcBorders>
            <w:vAlign w:val="bottom"/>
          </w:tcPr>
          <w:p w:rsidR="003B0815" w:rsidRDefault="003B0815" w14:paraId="4B3D99B5" w14:textId="77777777">
            <w:pPr>
              <w:keepNext/>
              <w:jc w:val="right"/>
              <w:rPr>
                <w:rFonts w:ascii="Arial" w:hAnsi="Arial" w:cs="Arial"/>
                <w:b/>
                <w:bCs/>
                <w:sz w:val="20"/>
                <w:szCs w:val="20"/>
                <w:u w:val="single"/>
              </w:rPr>
            </w:pPr>
            <w:r>
              <w:rPr>
                <w:rFonts w:ascii="Arial" w:hAnsi="Arial" w:cs="Arial"/>
                <w:b/>
                <w:bCs/>
                <w:sz w:val="20"/>
                <w:szCs w:val="20"/>
                <w:u w:val="single"/>
              </w:rPr>
              <w:t>27,633</w:t>
            </w:r>
          </w:p>
        </w:tc>
        <w:tc>
          <w:tcPr>
            <w:tcW w:w="0" w:type="auto"/>
            <w:tcBorders>
              <w:top w:val="single" w:color="auto" w:sz="12" w:space="0"/>
              <w:bottom w:val="nil"/>
            </w:tcBorders>
            <w:vAlign w:val="bottom"/>
          </w:tcPr>
          <w:p w:rsidR="003B0815" w:rsidRDefault="003B0815" w14:paraId="153E968A" w14:textId="77777777">
            <w:pPr>
              <w:keepNext/>
              <w:jc w:val="right"/>
              <w:rPr>
                <w:rFonts w:ascii="Arial" w:hAnsi="Arial" w:cs="Arial"/>
                <w:b/>
                <w:bCs/>
                <w:sz w:val="20"/>
                <w:szCs w:val="20"/>
                <w:u w:val="single"/>
              </w:rPr>
            </w:pPr>
            <w:r>
              <w:rPr>
                <w:rFonts w:ascii="Arial" w:hAnsi="Arial" w:cs="Arial"/>
                <w:b/>
                <w:bCs/>
                <w:sz w:val="20"/>
                <w:szCs w:val="20"/>
                <w:u w:val="single"/>
              </w:rPr>
              <w:t>24,679</w:t>
            </w:r>
          </w:p>
        </w:tc>
        <w:tc>
          <w:tcPr>
            <w:tcW w:w="0" w:type="auto"/>
            <w:tcBorders>
              <w:top w:val="single" w:color="auto" w:sz="12" w:space="0"/>
              <w:bottom w:val="nil"/>
            </w:tcBorders>
            <w:vAlign w:val="bottom"/>
          </w:tcPr>
          <w:p w:rsidR="003B0815" w:rsidRDefault="003B0815" w14:paraId="1D21E12F" w14:textId="77777777">
            <w:pPr>
              <w:keepNext/>
              <w:jc w:val="right"/>
              <w:rPr>
                <w:rFonts w:ascii="Arial" w:hAnsi="Arial" w:cs="Arial"/>
                <w:b/>
                <w:bCs/>
                <w:sz w:val="20"/>
                <w:szCs w:val="20"/>
                <w:u w:val="single"/>
              </w:rPr>
            </w:pPr>
            <w:r>
              <w:rPr>
                <w:rFonts w:ascii="Arial" w:hAnsi="Arial" w:cs="Arial"/>
                <w:b/>
                <w:bCs/>
                <w:sz w:val="20"/>
                <w:szCs w:val="20"/>
                <w:u w:val="single"/>
              </w:rPr>
              <w:t>22,244</w:t>
            </w:r>
          </w:p>
        </w:tc>
        <w:tc>
          <w:tcPr>
            <w:tcW w:w="0" w:type="auto"/>
            <w:tcBorders>
              <w:top w:val="single" w:color="auto" w:sz="12" w:space="0"/>
              <w:bottom w:val="nil"/>
            </w:tcBorders>
            <w:vAlign w:val="bottom"/>
          </w:tcPr>
          <w:p w:rsidR="003B0815" w:rsidRDefault="003B0815" w14:paraId="37C892A1" w14:textId="77777777">
            <w:pPr>
              <w:keepNext/>
              <w:jc w:val="right"/>
              <w:rPr>
                <w:rFonts w:ascii="Arial" w:hAnsi="Arial" w:cs="Arial"/>
                <w:b/>
                <w:bCs/>
                <w:sz w:val="20"/>
                <w:szCs w:val="20"/>
                <w:u w:val="single"/>
              </w:rPr>
            </w:pPr>
            <w:r>
              <w:rPr>
                <w:rFonts w:ascii="Arial" w:hAnsi="Arial" w:cs="Arial"/>
                <w:b/>
                <w:bCs/>
                <w:sz w:val="20"/>
                <w:szCs w:val="20"/>
                <w:u w:val="single"/>
              </w:rPr>
              <w:t>20,729</w:t>
            </w:r>
          </w:p>
        </w:tc>
        <w:tc>
          <w:tcPr>
            <w:tcW w:w="0" w:type="auto"/>
            <w:tcBorders>
              <w:top w:val="single" w:color="auto" w:sz="12" w:space="0"/>
              <w:bottom w:val="nil"/>
              <w:right w:val="single" w:color="auto" w:sz="12" w:space="0"/>
            </w:tcBorders>
            <w:vAlign w:val="bottom"/>
          </w:tcPr>
          <w:p w:rsidR="003B0815" w:rsidRDefault="003B0815" w14:paraId="24ADFA10" w14:textId="77777777">
            <w:pPr>
              <w:keepNext/>
              <w:jc w:val="right"/>
              <w:rPr>
                <w:rFonts w:ascii="Arial" w:hAnsi="Arial" w:cs="Arial"/>
                <w:b/>
                <w:bCs/>
                <w:sz w:val="20"/>
                <w:szCs w:val="20"/>
                <w:u w:val="single"/>
              </w:rPr>
            </w:pPr>
            <w:r>
              <w:rPr>
                <w:rFonts w:ascii="Arial" w:hAnsi="Arial" w:cs="Arial"/>
                <w:b/>
                <w:bCs/>
                <w:sz w:val="20"/>
                <w:szCs w:val="20"/>
                <w:u w:val="single"/>
              </w:rPr>
              <w:t>19,871</w:t>
            </w:r>
          </w:p>
        </w:tc>
      </w:tr>
      <w:tr w:rsidR="003B0815" w14:paraId="7D403A51" w14:textId="77777777">
        <w:trPr>
          <w:jc w:val="center"/>
        </w:trPr>
        <w:tc>
          <w:tcPr>
            <w:tcW w:w="3105" w:type="dxa"/>
            <w:tcBorders>
              <w:top w:val="nil"/>
              <w:left w:val="single" w:color="auto" w:sz="12" w:space="0"/>
              <w:bottom w:val="nil"/>
              <w:right w:val="single" w:color="auto" w:sz="12" w:space="0"/>
            </w:tcBorders>
            <w:vAlign w:val="bottom"/>
          </w:tcPr>
          <w:p w:rsidR="003B0815" w:rsidRDefault="003B0815" w14:paraId="76A54BCE" w14:textId="77777777">
            <w:pPr>
              <w:keepNext/>
              <w:ind w:firstLine="400" w:firstLineChars="200"/>
              <w:rPr>
                <w:rFonts w:ascii="Arial" w:hAnsi="Arial" w:cs="Arial"/>
                <w:sz w:val="20"/>
                <w:szCs w:val="20"/>
              </w:rPr>
            </w:pPr>
            <w:r>
              <w:rPr>
                <w:rFonts w:ascii="Arial" w:hAnsi="Arial" w:cs="Arial"/>
                <w:sz w:val="20"/>
                <w:szCs w:val="20"/>
              </w:rPr>
              <w:t>Home Offices</w:t>
            </w:r>
          </w:p>
        </w:tc>
        <w:tc>
          <w:tcPr>
            <w:tcW w:w="0" w:type="auto"/>
            <w:tcBorders>
              <w:top w:val="nil"/>
              <w:left w:val="single" w:color="auto" w:sz="12" w:space="0"/>
              <w:bottom w:val="nil"/>
            </w:tcBorders>
            <w:vAlign w:val="bottom"/>
          </w:tcPr>
          <w:p w:rsidR="003B0815" w:rsidRDefault="003B0815" w14:paraId="3E5A0576" w14:textId="77777777">
            <w:pPr>
              <w:keepNext/>
              <w:jc w:val="right"/>
              <w:rPr>
                <w:rFonts w:ascii="Arial" w:hAnsi="Arial" w:cs="Arial"/>
                <w:sz w:val="20"/>
                <w:szCs w:val="20"/>
              </w:rPr>
            </w:pPr>
            <w:r>
              <w:rPr>
                <w:rFonts w:ascii="Arial" w:hAnsi="Arial" w:cs="Arial"/>
                <w:sz w:val="20"/>
                <w:szCs w:val="20"/>
              </w:rPr>
              <w:t>1,651</w:t>
            </w:r>
          </w:p>
        </w:tc>
        <w:tc>
          <w:tcPr>
            <w:tcW w:w="0" w:type="auto"/>
            <w:tcBorders>
              <w:top w:val="nil"/>
              <w:bottom w:val="nil"/>
            </w:tcBorders>
            <w:vAlign w:val="bottom"/>
          </w:tcPr>
          <w:p w:rsidR="003B0815" w:rsidRDefault="003B0815" w14:paraId="1E9061CD" w14:textId="77777777">
            <w:pPr>
              <w:keepNext/>
              <w:jc w:val="right"/>
              <w:rPr>
                <w:rFonts w:ascii="Arial" w:hAnsi="Arial" w:cs="Arial"/>
                <w:sz w:val="20"/>
                <w:szCs w:val="20"/>
              </w:rPr>
            </w:pPr>
            <w:r>
              <w:rPr>
                <w:rFonts w:ascii="Arial" w:hAnsi="Arial" w:cs="Arial"/>
                <w:sz w:val="20"/>
                <w:szCs w:val="20"/>
              </w:rPr>
              <w:t>1,368</w:t>
            </w:r>
          </w:p>
        </w:tc>
        <w:tc>
          <w:tcPr>
            <w:tcW w:w="0" w:type="auto"/>
            <w:tcBorders>
              <w:top w:val="nil"/>
              <w:bottom w:val="nil"/>
            </w:tcBorders>
            <w:vAlign w:val="bottom"/>
          </w:tcPr>
          <w:p w:rsidR="003B0815" w:rsidRDefault="003B0815" w14:paraId="2404B876" w14:textId="77777777">
            <w:pPr>
              <w:keepNext/>
              <w:jc w:val="right"/>
              <w:rPr>
                <w:rFonts w:ascii="Arial" w:hAnsi="Arial" w:cs="Arial"/>
                <w:sz w:val="20"/>
                <w:szCs w:val="20"/>
              </w:rPr>
            </w:pPr>
            <w:r>
              <w:rPr>
                <w:rFonts w:ascii="Arial" w:hAnsi="Arial" w:cs="Arial"/>
                <w:sz w:val="20"/>
                <w:szCs w:val="20"/>
              </w:rPr>
              <w:t>1,203</w:t>
            </w:r>
          </w:p>
        </w:tc>
        <w:tc>
          <w:tcPr>
            <w:tcW w:w="0" w:type="auto"/>
            <w:tcBorders>
              <w:top w:val="nil"/>
              <w:bottom w:val="nil"/>
            </w:tcBorders>
            <w:vAlign w:val="bottom"/>
          </w:tcPr>
          <w:p w:rsidR="003B0815" w:rsidRDefault="003B0815" w14:paraId="6425492D" w14:textId="77777777">
            <w:pPr>
              <w:keepNext/>
              <w:jc w:val="right"/>
              <w:rPr>
                <w:rFonts w:ascii="Arial" w:hAnsi="Arial" w:cs="Arial"/>
                <w:sz w:val="20"/>
                <w:szCs w:val="20"/>
              </w:rPr>
            </w:pPr>
            <w:r>
              <w:rPr>
                <w:rFonts w:ascii="Arial" w:hAnsi="Arial" w:cs="Arial"/>
                <w:sz w:val="20"/>
                <w:szCs w:val="20"/>
              </w:rPr>
              <w:t>1,118</w:t>
            </w:r>
          </w:p>
        </w:tc>
        <w:tc>
          <w:tcPr>
            <w:tcW w:w="0" w:type="auto"/>
            <w:tcBorders>
              <w:top w:val="nil"/>
              <w:bottom w:val="nil"/>
              <w:right w:val="single" w:color="auto" w:sz="12" w:space="0"/>
            </w:tcBorders>
            <w:vAlign w:val="bottom"/>
          </w:tcPr>
          <w:p w:rsidR="003B0815" w:rsidRDefault="003B0815" w14:paraId="05753A0A" w14:textId="77777777">
            <w:pPr>
              <w:keepNext/>
              <w:jc w:val="right"/>
              <w:rPr>
                <w:rFonts w:ascii="Arial" w:hAnsi="Arial" w:cs="Arial"/>
                <w:sz w:val="20"/>
                <w:szCs w:val="20"/>
              </w:rPr>
            </w:pPr>
            <w:r>
              <w:rPr>
                <w:rFonts w:ascii="Arial" w:hAnsi="Arial" w:cs="Arial"/>
                <w:sz w:val="20"/>
                <w:szCs w:val="20"/>
              </w:rPr>
              <w:t>1,041</w:t>
            </w:r>
          </w:p>
        </w:tc>
      </w:tr>
      <w:tr w:rsidR="003B0815" w14:paraId="5784BD96" w14:textId="77777777">
        <w:trPr>
          <w:jc w:val="center"/>
        </w:trPr>
        <w:tc>
          <w:tcPr>
            <w:tcW w:w="3105" w:type="dxa"/>
            <w:tcBorders>
              <w:top w:val="nil"/>
              <w:left w:val="single" w:color="auto" w:sz="12" w:space="0"/>
              <w:bottom w:val="nil"/>
              <w:right w:val="single" w:color="auto" w:sz="12" w:space="0"/>
            </w:tcBorders>
            <w:vAlign w:val="bottom"/>
          </w:tcPr>
          <w:p w:rsidR="003B0815" w:rsidRDefault="003B0815" w14:paraId="240A2778" w14:textId="77777777">
            <w:pPr>
              <w:keepNext/>
              <w:ind w:firstLine="400" w:firstLineChars="200"/>
              <w:rPr>
                <w:rFonts w:ascii="Arial" w:hAnsi="Arial" w:cs="Arial"/>
                <w:sz w:val="20"/>
                <w:szCs w:val="20"/>
              </w:rPr>
            </w:pPr>
            <w:r>
              <w:rPr>
                <w:rFonts w:ascii="Arial" w:hAnsi="Arial" w:cs="Arial"/>
                <w:sz w:val="20"/>
                <w:szCs w:val="20"/>
              </w:rPr>
              <w:t>Independent/Single Entities</w:t>
            </w:r>
          </w:p>
        </w:tc>
        <w:tc>
          <w:tcPr>
            <w:tcW w:w="0" w:type="auto"/>
            <w:tcBorders>
              <w:top w:val="nil"/>
              <w:left w:val="single" w:color="auto" w:sz="12" w:space="0"/>
              <w:bottom w:val="nil"/>
            </w:tcBorders>
            <w:vAlign w:val="bottom"/>
          </w:tcPr>
          <w:p w:rsidR="003B0815" w:rsidRDefault="003B0815" w14:paraId="3498EBC1" w14:textId="77777777">
            <w:pPr>
              <w:keepNext/>
              <w:jc w:val="right"/>
              <w:rPr>
                <w:rFonts w:ascii="Arial" w:hAnsi="Arial" w:cs="Arial"/>
                <w:sz w:val="20"/>
                <w:szCs w:val="20"/>
              </w:rPr>
            </w:pPr>
            <w:r>
              <w:rPr>
                <w:rFonts w:ascii="Arial" w:hAnsi="Arial" w:cs="Arial"/>
                <w:sz w:val="20"/>
                <w:szCs w:val="20"/>
              </w:rPr>
              <w:t>15,057</w:t>
            </w:r>
          </w:p>
        </w:tc>
        <w:tc>
          <w:tcPr>
            <w:tcW w:w="0" w:type="auto"/>
            <w:tcBorders>
              <w:top w:val="nil"/>
              <w:bottom w:val="nil"/>
            </w:tcBorders>
            <w:vAlign w:val="bottom"/>
          </w:tcPr>
          <w:p w:rsidR="003B0815" w:rsidRDefault="003B0815" w14:paraId="699917B0" w14:textId="77777777">
            <w:pPr>
              <w:keepNext/>
              <w:jc w:val="right"/>
              <w:rPr>
                <w:rFonts w:ascii="Arial" w:hAnsi="Arial" w:cs="Arial"/>
                <w:sz w:val="20"/>
                <w:szCs w:val="20"/>
              </w:rPr>
            </w:pPr>
            <w:r>
              <w:rPr>
                <w:rFonts w:ascii="Arial" w:hAnsi="Arial" w:cs="Arial"/>
                <w:sz w:val="20"/>
                <w:szCs w:val="20"/>
              </w:rPr>
              <w:t>13,206</w:t>
            </w:r>
          </w:p>
        </w:tc>
        <w:tc>
          <w:tcPr>
            <w:tcW w:w="0" w:type="auto"/>
            <w:tcBorders>
              <w:top w:val="nil"/>
              <w:bottom w:val="nil"/>
            </w:tcBorders>
            <w:vAlign w:val="bottom"/>
          </w:tcPr>
          <w:p w:rsidR="003B0815" w:rsidRDefault="003B0815" w14:paraId="312EAD34" w14:textId="77777777">
            <w:pPr>
              <w:keepNext/>
              <w:jc w:val="right"/>
              <w:rPr>
                <w:rFonts w:ascii="Arial" w:hAnsi="Arial" w:cs="Arial"/>
                <w:sz w:val="20"/>
                <w:szCs w:val="20"/>
              </w:rPr>
            </w:pPr>
            <w:r>
              <w:rPr>
                <w:rFonts w:ascii="Arial" w:hAnsi="Arial" w:cs="Arial"/>
                <w:sz w:val="20"/>
                <w:szCs w:val="20"/>
              </w:rPr>
              <w:t>11,670</w:t>
            </w:r>
          </w:p>
        </w:tc>
        <w:tc>
          <w:tcPr>
            <w:tcW w:w="0" w:type="auto"/>
            <w:tcBorders>
              <w:top w:val="nil"/>
              <w:bottom w:val="nil"/>
            </w:tcBorders>
            <w:vAlign w:val="bottom"/>
          </w:tcPr>
          <w:p w:rsidR="003B0815" w:rsidRDefault="003B0815" w14:paraId="66B77DCD" w14:textId="77777777">
            <w:pPr>
              <w:keepNext/>
              <w:jc w:val="right"/>
              <w:rPr>
                <w:rFonts w:ascii="Arial" w:hAnsi="Arial" w:cs="Arial"/>
                <w:sz w:val="20"/>
                <w:szCs w:val="20"/>
              </w:rPr>
            </w:pPr>
            <w:r>
              <w:rPr>
                <w:rFonts w:ascii="Arial" w:hAnsi="Arial" w:cs="Arial"/>
                <w:sz w:val="20"/>
                <w:szCs w:val="20"/>
              </w:rPr>
              <w:t>10,578</w:t>
            </w:r>
          </w:p>
        </w:tc>
        <w:tc>
          <w:tcPr>
            <w:tcW w:w="0" w:type="auto"/>
            <w:tcBorders>
              <w:top w:val="nil"/>
              <w:bottom w:val="nil"/>
              <w:right w:val="single" w:color="auto" w:sz="12" w:space="0"/>
            </w:tcBorders>
            <w:vAlign w:val="bottom"/>
          </w:tcPr>
          <w:p w:rsidR="003B0815" w:rsidRDefault="003B0815" w14:paraId="2862207A" w14:textId="77777777">
            <w:pPr>
              <w:keepNext/>
              <w:jc w:val="right"/>
              <w:rPr>
                <w:rFonts w:ascii="Arial" w:hAnsi="Arial" w:cs="Arial"/>
                <w:sz w:val="20"/>
                <w:szCs w:val="20"/>
              </w:rPr>
            </w:pPr>
            <w:r>
              <w:rPr>
                <w:rFonts w:ascii="Arial" w:hAnsi="Arial" w:cs="Arial"/>
                <w:sz w:val="20"/>
                <w:szCs w:val="20"/>
              </w:rPr>
              <w:t>9,874</w:t>
            </w:r>
          </w:p>
        </w:tc>
      </w:tr>
      <w:tr w:rsidR="003B0815" w14:paraId="3415478E" w14:textId="77777777">
        <w:trPr>
          <w:jc w:val="center"/>
        </w:trPr>
        <w:tc>
          <w:tcPr>
            <w:tcW w:w="3105" w:type="dxa"/>
            <w:tcBorders>
              <w:top w:val="nil"/>
              <w:left w:val="single" w:color="auto" w:sz="12" w:space="0"/>
              <w:bottom w:val="nil"/>
              <w:right w:val="single" w:color="auto" w:sz="12" w:space="0"/>
            </w:tcBorders>
            <w:vAlign w:val="bottom"/>
          </w:tcPr>
          <w:p w:rsidR="003B0815" w:rsidRDefault="003B0815" w14:paraId="1A6A1875" w14:textId="77777777">
            <w:pPr>
              <w:keepNext/>
              <w:ind w:firstLine="400" w:firstLineChars="200"/>
              <w:rPr>
                <w:rFonts w:ascii="Arial" w:hAnsi="Arial" w:cs="Arial"/>
                <w:sz w:val="20"/>
                <w:szCs w:val="20"/>
              </w:rPr>
            </w:pPr>
            <w:r>
              <w:rPr>
                <w:rFonts w:ascii="Arial" w:hAnsi="Arial" w:cs="Arial"/>
                <w:sz w:val="20"/>
                <w:szCs w:val="20"/>
              </w:rPr>
              <w:t>Branch</w:t>
            </w:r>
          </w:p>
        </w:tc>
        <w:tc>
          <w:tcPr>
            <w:tcW w:w="0" w:type="auto"/>
            <w:tcBorders>
              <w:top w:val="nil"/>
              <w:left w:val="single" w:color="auto" w:sz="12" w:space="0"/>
              <w:bottom w:val="nil"/>
            </w:tcBorders>
            <w:vAlign w:val="bottom"/>
          </w:tcPr>
          <w:p w:rsidR="003B0815" w:rsidRDefault="003B0815" w14:paraId="733908BB" w14:textId="77777777">
            <w:pPr>
              <w:keepNext/>
              <w:jc w:val="right"/>
              <w:rPr>
                <w:rFonts w:ascii="Arial" w:hAnsi="Arial" w:cs="Arial"/>
                <w:sz w:val="20"/>
                <w:szCs w:val="20"/>
              </w:rPr>
            </w:pPr>
            <w:r>
              <w:rPr>
                <w:rFonts w:ascii="Arial" w:hAnsi="Arial" w:cs="Arial"/>
                <w:sz w:val="20"/>
                <w:szCs w:val="20"/>
              </w:rPr>
              <w:t>6,696</w:t>
            </w:r>
          </w:p>
        </w:tc>
        <w:tc>
          <w:tcPr>
            <w:tcW w:w="0" w:type="auto"/>
            <w:tcBorders>
              <w:top w:val="nil"/>
              <w:bottom w:val="nil"/>
            </w:tcBorders>
            <w:vAlign w:val="bottom"/>
          </w:tcPr>
          <w:p w:rsidR="003B0815" w:rsidRDefault="003B0815" w14:paraId="6E10F208" w14:textId="77777777">
            <w:pPr>
              <w:keepNext/>
              <w:jc w:val="right"/>
              <w:rPr>
                <w:rFonts w:ascii="Arial" w:hAnsi="Arial" w:cs="Arial"/>
                <w:sz w:val="20"/>
                <w:szCs w:val="20"/>
              </w:rPr>
            </w:pPr>
            <w:r>
              <w:rPr>
                <w:rFonts w:ascii="Arial" w:hAnsi="Arial" w:cs="Arial"/>
                <w:sz w:val="20"/>
                <w:szCs w:val="20"/>
              </w:rPr>
              <w:t>6,171</w:t>
            </w:r>
          </w:p>
        </w:tc>
        <w:tc>
          <w:tcPr>
            <w:tcW w:w="0" w:type="auto"/>
            <w:tcBorders>
              <w:top w:val="nil"/>
              <w:bottom w:val="nil"/>
            </w:tcBorders>
            <w:vAlign w:val="bottom"/>
          </w:tcPr>
          <w:p w:rsidR="003B0815" w:rsidRDefault="003B0815" w14:paraId="1B21FFBD" w14:textId="77777777">
            <w:pPr>
              <w:keepNext/>
              <w:jc w:val="right"/>
              <w:rPr>
                <w:rFonts w:ascii="Arial" w:hAnsi="Arial" w:cs="Arial"/>
                <w:sz w:val="20"/>
                <w:szCs w:val="20"/>
              </w:rPr>
            </w:pPr>
            <w:r>
              <w:rPr>
                <w:rFonts w:ascii="Arial" w:hAnsi="Arial" w:cs="Arial"/>
                <w:sz w:val="20"/>
                <w:szCs w:val="20"/>
              </w:rPr>
              <w:t>5,695</w:t>
            </w:r>
          </w:p>
        </w:tc>
        <w:tc>
          <w:tcPr>
            <w:tcW w:w="0" w:type="auto"/>
            <w:tcBorders>
              <w:top w:val="nil"/>
              <w:bottom w:val="nil"/>
            </w:tcBorders>
            <w:vAlign w:val="bottom"/>
          </w:tcPr>
          <w:p w:rsidR="003B0815" w:rsidRDefault="003B0815" w14:paraId="025CBF9E" w14:textId="77777777">
            <w:pPr>
              <w:keepNext/>
              <w:jc w:val="right"/>
              <w:rPr>
                <w:rFonts w:ascii="Arial" w:hAnsi="Arial" w:cs="Arial"/>
                <w:sz w:val="20"/>
                <w:szCs w:val="20"/>
              </w:rPr>
            </w:pPr>
            <w:r>
              <w:rPr>
                <w:rFonts w:ascii="Arial" w:hAnsi="Arial" w:cs="Arial"/>
                <w:sz w:val="20"/>
                <w:szCs w:val="20"/>
              </w:rPr>
              <w:t>5,474</w:t>
            </w:r>
          </w:p>
        </w:tc>
        <w:tc>
          <w:tcPr>
            <w:tcW w:w="0" w:type="auto"/>
            <w:tcBorders>
              <w:top w:val="nil"/>
              <w:bottom w:val="nil"/>
              <w:right w:val="single" w:color="auto" w:sz="12" w:space="0"/>
            </w:tcBorders>
            <w:vAlign w:val="bottom"/>
          </w:tcPr>
          <w:p w:rsidR="003B0815" w:rsidRDefault="003B0815" w14:paraId="3B2FCE97" w14:textId="77777777">
            <w:pPr>
              <w:keepNext/>
              <w:jc w:val="right"/>
              <w:rPr>
                <w:rFonts w:ascii="Arial" w:hAnsi="Arial" w:cs="Arial"/>
                <w:sz w:val="20"/>
                <w:szCs w:val="20"/>
              </w:rPr>
            </w:pPr>
            <w:r>
              <w:rPr>
                <w:rFonts w:ascii="Arial" w:hAnsi="Arial" w:cs="Arial"/>
                <w:sz w:val="20"/>
                <w:szCs w:val="20"/>
              </w:rPr>
              <w:t>5,451</w:t>
            </w:r>
          </w:p>
        </w:tc>
      </w:tr>
      <w:tr w:rsidR="003B0815" w14:paraId="6300C0CE" w14:textId="77777777">
        <w:trPr>
          <w:jc w:val="center"/>
        </w:trPr>
        <w:tc>
          <w:tcPr>
            <w:tcW w:w="3105" w:type="dxa"/>
            <w:tcBorders>
              <w:top w:val="nil"/>
              <w:left w:val="single" w:color="auto" w:sz="12" w:space="0"/>
              <w:bottom w:val="nil"/>
              <w:right w:val="single" w:color="auto" w:sz="12" w:space="0"/>
            </w:tcBorders>
            <w:vAlign w:val="bottom"/>
          </w:tcPr>
          <w:p w:rsidR="003B0815" w:rsidRDefault="003B0815" w14:paraId="2F66F51E" w14:textId="77777777">
            <w:pPr>
              <w:keepNext/>
              <w:ind w:firstLine="400" w:firstLineChars="200"/>
              <w:rPr>
                <w:rFonts w:ascii="Arial" w:hAnsi="Arial" w:cs="Arial"/>
                <w:sz w:val="20"/>
                <w:szCs w:val="20"/>
              </w:rPr>
            </w:pPr>
            <w:r>
              <w:rPr>
                <w:rFonts w:ascii="Arial" w:hAnsi="Arial" w:cs="Arial"/>
                <w:sz w:val="20"/>
                <w:szCs w:val="20"/>
              </w:rPr>
              <w:t>Restricted Access</w:t>
            </w:r>
          </w:p>
        </w:tc>
        <w:tc>
          <w:tcPr>
            <w:tcW w:w="0" w:type="auto"/>
            <w:tcBorders>
              <w:top w:val="nil"/>
              <w:left w:val="single" w:color="auto" w:sz="12" w:space="0"/>
              <w:bottom w:val="nil"/>
            </w:tcBorders>
            <w:vAlign w:val="bottom"/>
          </w:tcPr>
          <w:p w:rsidR="003B0815" w:rsidRDefault="003B0815" w14:paraId="1BD65445" w14:textId="77777777">
            <w:pPr>
              <w:keepNext/>
              <w:jc w:val="right"/>
              <w:rPr>
                <w:rFonts w:ascii="Arial" w:hAnsi="Arial" w:cs="Arial"/>
                <w:sz w:val="20"/>
                <w:szCs w:val="20"/>
              </w:rPr>
            </w:pPr>
            <w:r>
              <w:rPr>
                <w:rFonts w:ascii="Arial" w:hAnsi="Arial" w:cs="Arial"/>
                <w:sz w:val="20"/>
                <w:szCs w:val="20"/>
              </w:rPr>
              <w:t>862</w:t>
            </w:r>
          </w:p>
        </w:tc>
        <w:tc>
          <w:tcPr>
            <w:tcW w:w="0" w:type="auto"/>
            <w:tcBorders>
              <w:top w:val="nil"/>
              <w:bottom w:val="nil"/>
            </w:tcBorders>
            <w:vAlign w:val="bottom"/>
          </w:tcPr>
          <w:p w:rsidR="003B0815" w:rsidRDefault="003B0815" w14:paraId="086BA2C7" w14:textId="77777777">
            <w:pPr>
              <w:keepNext/>
              <w:jc w:val="right"/>
              <w:rPr>
                <w:rFonts w:ascii="Arial" w:hAnsi="Arial" w:cs="Arial"/>
                <w:sz w:val="20"/>
                <w:szCs w:val="20"/>
              </w:rPr>
            </w:pPr>
            <w:r>
              <w:rPr>
                <w:rFonts w:ascii="Arial" w:hAnsi="Arial" w:cs="Arial"/>
                <w:sz w:val="20"/>
                <w:szCs w:val="20"/>
              </w:rPr>
              <w:t>950</w:t>
            </w:r>
          </w:p>
        </w:tc>
        <w:tc>
          <w:tcPr>
            <w:tcW w:w="0" w:type="auto"/>
            <w:tcBorders>
              <w:top w:val="nil"/>
              <w:bottom w:val="nil"/>
            </w:tcBorders>
            <w:vAlign w:val="bottom"/>
          </w:tcPr>
          <w:p w:rsidR="003B0815" w:rsidRDefault="003B0815" w14:paraId="24505941" w14:textId="77777777">
            <w:pPr>
              <w:keepNext/>
              <w:jc w:val="right"/>
              <w:rPr>
                <w:rFonts w:ascii="Arial" w:hAnsi="Arial" w:cs="Arial"/>
                <w:sz w:val="20"/>
                <w:szCs w:val="20"/>
              </w:rPr>
            </w:pPr>
            <w:r>
              <w:rPr>
                <w:rFonts w:ascii="Arial" w:hAnsi="Arial" w:cs="Arial"/>
                <w:sz w:val="20"/>
                <w:szCs w:val="20"/>
              </w:rPr>
              <w:t>1,039</w:t>
            </w:r>
          </w:p>
        </w:tc>
        <w:tc>
          <w:tcPr>
            <w:tcW w:w="0" w:type="auto"/>
            <w:tcBorders>
              <w:top w:val="nil"/>
              <w:bottom w:val="nil"/>
            </w:tcBorders>
            <w:vAlign w:val="bottom"/>
          </w:tcPr>
          <w:p w:rsidR="003B0815" w:rsidRDefault="003B0815" w14:paraId="397CC57E" w14:textId="77777777">
            <w:pPr>
              <w:keepNext/>
              <w:jc w:val="right"/>
              <w:rPr>
                <w:rFonts w:ascii="Arial" w:hAnsi="Arial" w:cs="Arial"/>
                <w:sz w:val="20"/>
                <w:szCs w:val="20"/>
              </w:rPr>
            </w:pPr>
            <w:r>
              <w:rPr>
                <w:rFonts w:ascii="Arial" w:hAnsi="Arial" w:cs="Arial"/>
                <w:sz w:val="20"/>
                <w:szCs w:val="20"/>
              </w:rPr>
              <w:t>1,120</w:t>
            </w:r>
          </w:p>
        </w:tc>
        <w:tc>
          <w:tcPr>
            <w:tcW w:w="0" w:type="auto"/>
            <w:tcBorders>
              <w:top w:val="nil"/>
              <w:bottom w:val="nil"/>
              <w:right w:val="single" w:color="auto" w:sz="12" w:space="0"/>
            </w:tcBorders>
            <w:vAlign w:val="bottom"/>
          </w:tcPr>
          <w:p w:rsidR="003B0815" w:rsidRDefault="003B0815" w14:paraId="02B13311" w14:textId="77777777">
            <w:pPr>
              <w:keepNext/>
              <w:jc w:val="right"/>
              <w:rPr>
                <w:rFonts w:ascii="Arial" w:hAnsi="Arial" w:cs="Arial"/>
                <w:sz w:val="20"/>
                <w:szCs w:val="20"/>
              </w:rPr>
            </w:pPr>
            <w:r>
              <w:rPr>
                <w:rFonts w:ascii="Arial" w:hAnsi="Arial" w:cs="Arial"/>
                <w:sz w:val="20"/>
                <w:szCs w:val="20"/>
              </w:rPr>
              <w:t>1,205</w:t>
            </w:r>
          </w:p>
        </w:tc>
      </w:tr>
      <w:tr w:rsidR="003B0815" w14:paraId="3CA98E61" w14:textId="77777777">
        <w:trPr>
          <w:jc w:val="center"/>
        </w:trPr>
        <w:tc>
          <w:tcPr>
            <w:tcW w:w="3105" w:type="dxa"/>
            <w:tcBorders>
              <w:top w:val="nil"/>
              <w:left w:val="single" w:color="auto" w:sz="12" w:space="0"/>
              <w:bottom w:val="nil"/>
              <w:right w:val="single" w:color="auto" w:sz="12" w:space="0"/>
            </w:tcBorders>
            <w:vAlign w:val="bottom"/>
          </w:tcPr>
          <w:p w:rsidR="003B0815" w:rsidRDefault="003B0815" w14:paraId="2EF1906E" w14:textId="77777777">
            <w:pPr>
              <w:keepNext/>
              <w:ind w:firstLine="400" w:firstLineChars="200"/>
              <w:rPr>
                <w:rFonts w:ascii="Arial" w:hAnsi="Arial" w:cs="Arial"/>
                <w:sz w:val="20"/>
                <w:szCs w:val="20"/>
              </w:rPr>
            </w:pPr>
            <w:r>
              <w:rPr>
                <w:rFonts w:ascii="Arial" w:hAnsi="Arial" w:cs="Arial"/>
                <w:sz w:val="20"/>
                <w:szCs w:val="20"/>
              </w:rPr>
              <w:t>On-site branch</w:t>
            </w:r>
          </w:p>
        </w:tc>
        <w:tc>
          <w:tcPr>
            <w:tcW w:w="0" w:type="auto"/>
            <w:tcBorders>
              <w:top w:val="nil"/>
              <w:left w:val="single" w:color="auto" w:sz="12" w:space="0"/>
              <w:bottom w:val="nil"/>
            </w:tcBorders>
            <w:vAlign w:val="bottom"/>
          </w:tcPr>
          <w:p w:rsidR="003B0815" w:rsidRDefault="003B0815" w14:paraId="043EA488" w14:textId="77777777">
            <w:pPr>
              <w:keepNext/>
              <w:jc w:val="right"/>
              <w:rPr>
                <w:rFonts w:ascii="Arial" w:hAnsi="Arial" w:cs="Arial"/>
                <w:sz w:val="20"/>
                <w:szCs w:val="20"/>
              </w:rPr>
            </w:pPr>
            <w:r>
              <w:rPr>
                <w:rFonts w:ascii="Arial" w:hAnsi="Arial" w:cs="Arial"/>
                <w:sz w:val="20"/>
                <w:szCs w:val="20"/>
              </w:rPr>
              <w:t>3,367</w:t>
            </w:r>
          </w:p>
        </w:tc>
        <w:tc>
          <w:tcPr>
            <w:tcW w:w="0" w:type="auto"/>
            <w:tcBorders>
              <w:top w:val="nil"/>
              <w:bottom w:val="nil"/>
            </w:tcBorders>
            <w:vAlign w:val="bottom"/>
          </w:tcPr>
          <w:p w:rsidR="003B0815" w:rsidRDefault="003B0815" w14:paraId="723A9D57" w14:textId="77777777">
            <w:pPr>
              <w:keepNext/>
              <w:jc w:val="right"/>
              <w:rPr>
                <w:rFonts w:ascii="Arial" w:hAnsi="Arial" w:cs="Arial"/>
                <w:sz w:val="20"/>
                <w:szCs w:val="20"/>
              </w:rPr>
            </w:pPr>
            <w:r>
              <w:rPr>
                <w:rFonts w:ascii="Arial" w:hAnsi="Arial" w:cs="Arial"/>
                <w:sz w:val="20"/>
                <w:szCs w:val="20"/>
              </w:rPr>
              <w:t>2,984</w:t>
            </w:r>
          </w:p>
        </w:tc>
        <w:tc>
          <w:tcPr>
            <w:tcW w:w="0" w:type="auto"/>
            <w:tcBorders>
              <w:top w:val="nil"/>
              <w:bottom w:val="nil"/>
            </w:tcBorders>
            <w:vAlign w:val="bottom"/>
          </w:tcPr>
          <w:p w:rsidR="003B0815" w:rsidRDefault="003B0815" w14:paraId="4DB30BB0" w14:textId="77777777">
            <w:pPr>
              <w:keepNext/>
              <w:jc w:val="right"/>
              <w:rPr>
                <w:rFonts w:ascii="Arial" w:hAnsi="Arial" w:cs="Arial"/>
                <w:sz w:val="20"/>
                <w:szCs w:val="20"/>
              </w:rPr>
            </w:pPr>
            <w:r>
              <w:rPr>
                <w:rFonts w:ascii="Arial" w:hAnsi="Arial" w:cs="Arial"/>
                <w:sz w:val="20"/>
                <w:szCs w:val="20"/>
              </w:rPr>
              <w:t>2,637</w:t>
            </w:r>
          </w:p>
        </w:tc>
        <w:tc>
          <w:tcPr>
            <w:tcW w:w="0" w:type="auto"/>
            <w:tcBorders>
              <w:top w:val="nil"/>
              <w:bottom w:val="nil"/>
            </w:tcBorders>
            <w:vAlign w:val="bottom"/>
          </w:tcPr>
          <w:p w:rsidR="003B0815" w:rsidRDefault="003B0815" w14:paraId="68D44D28" w14:textId="77777777">
            <w:pPr>
              <w:keepNext/>
              <w:jc w:val="right"/>
              <w:rPr>
                <w:rFonts w:ascii="Arial" w:hAnsi="Arial" w:cs="Arial"/>
                <w:sz w:val="20"/>
                <w:szCs w:val="20"/>
              </w:rPr>
            </w:pPr>
            <w:r>
              <w:rPr>
                <w:rFonts w:ascii="Arial" w:hAnsi="Arial" w:cs="Arial"/>
                <w:sz w:val="20"/>
                <w:szCs w:val="20"/>
              </w:rPr>
              <w:t>2,439</w:t>
            </w:r>
          </w:p>
        </w:tc>
        <w:tc>
          <w:tcPr>
            <w:tcW w:w="0" w:type="auto"/>
            <w:tcBorders>
              <w:top w:val="nil"/>
              <w:bottom w:val="nil"/>
              <w:right w:val="single" w:color="auto" w:sz="12" w:space="0"/>
            </w:tcBorders>
            <w:vAlign w:val="bottom"/>
          </w:tcPr>
          <w:p w:rsidR="003B0815" w:rsidRDefault="003B0815" w14:paraId="33A0D8CA" w14:textId="77777777">
            <w:pPr>
              <w:keepNext/>
              <w:jc w:val="right"/>
              <w:rPr>
                <w:rFonts w:ascii="Arial" w:hAnsi="Arial" w:cs="Arial"/>
                <w:sz w:val="20"/>
                <w:szCs w:val="20"/>
              </w:rPr>
            </w:pPr>
            <w:r>
              <w:rPr>
                <w:rFonts w:ascii="Arial" w:hAnsi="Arial" w:cs="Arial"/>
                <w:sz w:val="20"/>
                <w:szCs w:val="20"/>
              </w:rPr>
              <w:t>2,300</w:t>
            </w:r>
          </w:p>
        </w:tc>
      </w:tr>
      <w:tr w:rsidR="003B0815" w14:paraId="4DCA773B" w14:textId="77777777">
        <w:trPr>
          <w:jc w:val="center"/>
        </w:trPr>
        <w:tc>
          <w:tcPr>
            <w:tcW w:w="3105" w:type="dxa"/>
            <w:tcBorders>
              <w:top w:val="nil"/>
              <w:left w:val="single" w:color="auto" w:sz="12" w:space="0"/>
              <w:bottom w:val="nil"/>
              <w:right w:val="single" w:color="auto" w:sz="12" w:space="0"/>
            </w:tcBorders>
            <w:vAlign w:val="bottom"/>
          </w:tcPr>
          <w:p w:rsidR="003B0815" w:rsidRDefault="003B0815" w14:paraId="4FC806A4" w14:textId="77777777">
            <w:pPr>
              <w:keepNext/>
              <w:rPr>
                <w:rFonts w:ascii="Arial" w:hAnsi="Arial" w:cs="Arial"/>
                <w:b/>
                <w:bCs/>
                <w:sz w:val="20"/>
                <w:szCs w:val="20"/>
                <w:u w:val="single"/>
              </w:rPr>
            </w:pPr>
            <w:r>
              <w:rPr>
                <w:rFonts w:ascii="Arial" w:hAnsi="Arial" w:cs="Arial"/>
                <w:b/>
                <w:bCs/>
                <w:sz w:val="20"/>
                <w:szCs w:val="20"/>
                <w:u w:val="single"/>
              </w:rPr>
              <w:t>Satellite Ticket Providers</w:t>
            </w:r>
          </w:p>
        </w:tc>
        <w:tc>
          <w:tcPr>
            <w:tcW w:w="0" w:type="auto"/>
            <w:tcBorders>
              <w:top w:val="nil"/>
              <w:left w:val="single" w:color="auto" w:sz="12" w:space="0"/>
              <w:bottom w:val="nil"/>
            </w:tcBorders>
            <w:vAlign w:val="bottom"/>
          </w:tcPr>
          <w:p w:rsidR="003B0815" w:rsidRDefault="003B0815" w14:paraId="47B38E88" w14:textId="77777777">
            <w:pPr>
              <w:keepNext/>
              <w:jc w:val="right"/>
              <w:rPr>
                <w:rFonts w:ascii="Arial" w:hAnsi="Arial" w:cs="Arial"/>
                <w:b/>
                <w:bCs/>
                <w:sz w:val="20"/>
                <w:szCs w:val="20"/>
                <w:u w:val="single"/>
              </w:rPr>
            </w:pPr>
            <w:r>
              <w:rPr>
                <w:rFonts w:ascii="Arial" w:hAnsi="Arial" w:cs="Arial"/>
                <w:b/>
                <w:bCs/>
                <w:sz w:val="20"/>
                <w:szCs w:val="20"/>
                <w:u w:val="single"/>
              </w:rPr>
              <w:t>6,347</w:t>
            </w:r>
          </w:p>
        </w:tc>
        <w:tc>
          <w:tcPr>
            <w:tcW w:w="0" w:type="auto"/>
            <w:tcBorders>
              <w:top w:val="nil"/>
              <w:bottom w:val="nil"/>
            </w:tcBorders>
            <w:vAlign w:val="bottom"/>
          </w:tcPr>
          <w:p w:rsidR="003B0815" w:rsidRDefault="003B0815" w14:paraId="4E6FBFC9" w14:textId="77777777">
            <w:pPr>
              <w:keepNext/>
              <w:jc w:val="right"/>
              <w:rPr>
                <w:rFonts w:ascii="Arial" w:hAnsi="Arial" w:cs="Arial"/>
                <w:b/>
                <w:bCs/>
                <w:sz w:val="20"/>
                <w:szCs w:val="20"/>
                <w:u w:val="single"/>
              </w:rPr>
            </w:pPr>
            <w:r>
              <w:rPr>
                <w:rFonts w:ascii="Arial" w:hAnsi="Arial" w:cs="Arial"/>
                <w:b/>
                <w:bCs/>
                <w:sz w:val="20"/>
                <w:szCs w:val="20"/>
                <w:u w:val="single"/>
              </w:rPr>
              <w:t>4,693</w:t>
            </w:r>
          </w:p>
        </w:tc>
        <w:tc>
          <w:tcPr>
            <w:tcW w:w="0" w:type="auto"/>
            <w:tcBorders>
              <w:top w:val="nil"/>
              <w:bottom w:val="nil"/>
            </w:tcBorders>
            <w:vAlign w:val="bottom"/>
          </w:tcPr>
          <w:p w:rsidR="003B0815" w:rsidRDefault="003B0815" w14:paraId="301D6DB1" w14:textId="77777777">
            <w:pPr>
              <w:keepNext/>
              <w:jc w:val="right"/>
              <w:rPr>
                <w:rFonts w:ascii="Arial" w:hAnsi="Arial" w:cs="Arial"/>
                <w:b/>
                <w:bCs/>
                <w:sz w:val="20"/>
                <w:szCs w:val="20"/>
                <w:u w:val="single"/>
              </w:rPr>
            </w:pPr>
            <w:r>
              <w:rPr>
                <w:rFonts w:ascii="Arial" w:hAnsi="Arial" w:cs="Arial"/>
                <w:b/>
                <w:bCs/>
                <w:sz w:val="20"/>
                <w:szCs w:val="20"/>
                <w:u w:val="single"/>
              </w:rPr>
              <w:t>3,204</w:t>
            </w:r>
          </w:p>
        </w:tc>
        <w:tc>
          <w:tcPr>
            <w:tcW w:w="0" w:type="auto"/>
            <w:tcBorders>
              <w:top w:val="nil"/>
              <w:bottom w:val="nil"/>
            </w:tcBorders>
            <w:vAlign w:val="bottom"/>
          </w:tcPr>
          <w:p w:rsidR="003B0815" w:rsidRDefault="003B0815" w14:paraId="7405F9D0" w14:textId="77777777">
            <w:pPr>
              <w:keepNext/>
              <w:jc w:val="right"/>
              <w:rPr>
                <w:rFonts w:ascii="Arial" w:hAnsi="Arial" w:cs="Arial"/>
                <w:b/>
                <w:bCs/>
                <w:sz w:val="20"/>
                <w:szCs w:val="20"/>
                <w:u w:val="single"/>
              </w:rPr>
            </w:pPr>
            <w:r>
              <w:rPr>
                <w:rFonts w:ascii="Arial" w:hAnsi="Arial" w:cs="Arial"/>
                <w:b/>
                <w:bCs/>
                <w:sz w:val="20"/>
                <w:szCs w:val="20"/>
                <w:u w:val="single"/>
              </w:rPr>
              <w:t>2,413</w:t>
            </w:r>
          </w:p>
        </w:tc>
        <w:tc>
          <w:tcPr>
            <w:tcW w:w="0" w:type="auto"/>
            <w:tcBorders>
              <w:top w:val="nil"/>
              <w:bottom w:val="nil"/>
              <w:right w:val="single" w:color="auto" w:sz="12" w:space="0"/>
            </w:tcBorders>
            <w:vAlign w:val="bottom"/>
          </w:tcPr>
          <w:p w:rsidR="003B0815" w:rsidRDefault="003B0815" w14:paraId="244D8A97" w14:textId="77777777">
            <w:pPr>
              <w:keepNext/>
              <w:jc w:val="right"/>
              <w:rPr>
                <w:rFonts w:ascii="Arial" w:hAnsi="Arial" w:cs="Arial"/>
                <w:b/>
                <w:bCs/>
                <w:sz w:val="20"/>
                <w:szCs w:val="20"/>
                <w:u w:val="single"/>
              </w:rPr>
            </w:pPr>
            <w:r>
              <w:rPr>
                <w:rFonts w:ascii="Arial" w:hAnsi="Arial" w:cs="Arial"/>
                <w:b/>
                <w:bCs/>
                <w:sz w:val="20"/>
                <w:szCs w:val="20"/>
                <w:u w:val="single"/>
              </w:rPr>
              <w:t>1,975</w:t>
            </w:r>
          </w:p>
        </w:tc>
      </w:tr>
      <w:tr w:rsidR="003B0815" w14:paraId="2826FDFB" w14:textId="77777777">
        <w:trPr>
          <w:jc w:val="center"/>
        </w:trPr>
        <w:tc>
          <w:tcPr>
            <w:tcW w:w="3105" w:type="dxa"/>
            <w:tcBorders>
              <w:top w:val="nil"/>
              <w:left w:val="single" w:color="auto" w:sz="12" w:space="0"/>
              <w:bottom w:val="double" w:color="auto" w:sz="6" w:space="0"/>
              <w:right w:val="single" w:color="auto" w:sz="12" w:space="0"/>
            </w:tcBorders>
            <w:vAlign w:val="bottom"/>
          </w:tcPr>
          <w:p w:rsidR="003B0815" w:rsidRDefault="003B0815" w14:paraId="6B4CEAFF" w14:textId="77777777">
            <w:pPr>
              <w:keepNext/>
              <w:rPr>
                <w:rFonts w:ascii="Arial" w:hAnsi="Arial" w:cs="Arial"/>
                <w:b/>
                <w:bCs/>
                <w:sz w:val="20"/>
                <w:szCs w:val="20"/>
                <w:u w:val="single"/>
              </w:rPr>
            </w:pPr>
            <w:r>
              <w:rPr>
                <w:rFonts w:ascii="Arial" w:hAnsi="Arial" w:cs="Arial"/>
                <w:b/>
                <w:bCs/>
                <w:sz w:val="20"/>
                <w:szCs w:val="20"/>
                <w:u w:val="single"/>
              </w:rPr>
              <w:t>Corporate Travel Departments</w:t>
            </w:r>
          </w:p>
        </w:tc>
        <w:tc>
          <w:tcPr>
            <w:tcW w:w="0" w:type="auto"/>
            <w:tcBorders>
              <w:top w:val="nil"/>
              <w:left w:val="single" w:color="auto" w:sz="12" w:space="0"/>
              <w:bottom w:val="double" w:color="auto" w:sz="6" w:space="0"/>
            </w:tcBorders>
            <w:vAlign w:val="bottom"/>
          </w:tcPr>
          <w:p w:rsidR="003B0815" w:rsidRDefault="003B0815" w14:paraId="00E02D4E" w14:textId="77777777">
            <w:pPr>
              <w:keepNext/>
              <w:jc w:val="right"/>
              <w:rPr>
                <w:rFonts w:ascii="Arial" w:hAnsi="Arial" w:cs="Arial"/>
                <w:b/>
                <w:bCs/>
                <w:sz w:val="20"/>
                <w:szCs w:val="20"/>
                <w:u w:val="single"/>
              </w:rPr>
            </w:pPr>
            <w:r>
              <w:rPr>
                <w:rFonts w:ascii="Arial" w:hAnsi="Arial" w:cs="Arial"/>
                <w:b/>
                <w:bCs/>
                <w:sz w:val="20"/>
                <w:szCs w:val="20"/>
                <w:u w:val="single"/>
              </w:rPr>
              <w:t>108</w:t>
            </w:r>
          </w:p>
        </w:tc>
        <w:tc>
          <w:tcPr>
            <w:tcW w:w="0" w:type="auto"/>
            <w:tcBorders>
              <w:top w:val="nil"/>
              <w:bottom w:val="double" w:color="auto" w:sz="6" w:space="0"/>
            </w:tcBorders>
            <w:vAlign w:val="bottom"/>
          </w:tcPr>
          <w:p w:rsidR="003B0815" w:rsidRDefault="003B0815" w14:paraId="3336B5C5" w14:textId="77777777">
            <w:pPr>
              <w:keepNext/>
              <w:jc w:val="right"/>
              <w:rPr>
                <w:rFonts w:ascii="Arial" w:hAnsi="Arial" w:cs="Arial"/>
                <w:b/>
                <w:bCs/>
                <w:sz w:val="20"/>
                <w:szCs w:val="20"/>
                <w:u w:val="single"/>
              </w:rPr>
            </w:pPr>
            <w:r>
              <w:rPr>
                <w:rFonts w:ascii="Arial" w:hAnsi="Arial" w:cs="Arial"/>
                <w:b/>
                <w:bCs/>
                <w:sz w:val="20"/>
                <w:szCs w:val="20"/>
                <w:u w:val="single"/>
              </w:rPr>
              <w:t>150</w:t>
            </w:r>
          </w:p>
        </w:tc>
        <w:tc>
          <w:tcPr>
            <w:tcW w:w="0" w:type="auto"/>
            <w:tcBorders>
              <w:top w:val="nil"/>
              <w:bottom w:val="double" w:color="auto" w:sz="6" w:space="0"/>
            </w:tcBorders>
            <w:vAlign w:val="bottom"/>
          </w:tcPr>
          <w:p w:rsidR="003B0815" w:rsidRDefault="003B0815" w14:paraId="54E81564" w14:textId="77777777">
            <w:pPr>
              <w:keepNext/>
              <w:jc w:val="right"/>
              <w:rPr>
                <w:rFonts w:ascii="Arial" w:hAnsi="Arial" w:cs="Arial"/>
                <w:b/>
                <w:bCs/>
                <w:sz w:val="20"/>
                <w:szCs w:val="20"/>
                <w:u w:val="single"/>
              </w:rPr>
            </w:pPr>
            <w:r>
              <w:rPr>
                <w:rFonts w:ascii="Arial" w:hAnsi="Arial" w:cs="Arial"/>
                <w:b/>
                <w:bCs/>
                <w:sz w:val="20"/>
                <w:szCs w:val="20"/>
                <w:u w:val="single"/>
              </w:rPr>
              <w:t>172</w:t>
            </w:r>
          </w:p>
        </w:tc>
        <w:tc>
          <w:tcPr>
            <w:tcW w:w="0" w:type="auto"/>
            <w:tcBorders>
              <w:top w:val="nil"/>
              <w:bottom w:val="double" w:color="auto" w:sz="6" w:space="0"/>
            </w:tcBorders>
            <w:vAlign w:val="bottom"/>
          </w:tcPr>
          <w:p w:rsidR="003B0815" w:rsidRDefault="003B0815" w14:paraId="668985F7" w14:textId="77777777">
            <w:pPr>
              <w:keepNext/>
              <w:jc w:val="right"/>
              <w:rPr>
                <w:rFonts w:ascii="Arial" w:hAnsi="Arial" w:cs="Arial"/>
                <w:b/>
                <w:bCs/>
                <w:sz w:val="20"/>
                <w:szCs w:val="20"/>
                <w:u w:val="single"/>
              </w:rPr>
            </w:pPr>
            <w:r>
              <w:rPr>
                <w:rFonts w:ascii="Arial" w:hAnsi="Arial" w:cs="Arial"/>
                <w:b/>
                <w:bCs/>
                <w:sz w:val="20"/>
                <w:szCs w:val="20"/>
                <w:u w:val="single"/>
              </w:rPr>
              <w:t>182</w:t>
            </w:r>
          </w:p>
        </w:tc>
        <w:tc>
          <w:tcPr>
            <w:tcW w:w="0" w:type="auto"/>
            <w:tcBorders>
              <w:top w:val="nil"/>
              <w:bottom w:val="double" w:color="auto" w:sz="6" w:space="0"/>
              <w:right w:val="single" w:color="auto" w:sz="12" w:space="0"/>
            </w:tcBorders>
            <w:vAlign w:val="bottom"/>
          </w:tcPr>
          <w:p w:rsidR="003B0815" w:rsidRDefault="003B0815" w14:paraId="44E534CA" w14:textId="77777777">
            <w:pPr>
              <w:keepNext/>
              <w:jc w:val="right"/>
              <w:rPr>
                <w:rFonts w:ascii="Arial" w:hAnsi="Arial" w:cs="Arial"/>
                <w:b/>
                <w:bCs/>
                <w:sz w:val="20"/>
                <w:szCs w:val="20"/>
                <w:u w:val="single"/>
              </w:rPr>
            </w:pPr>
            <w:r>
              <w:rPr>
                <w:rFonts w:ascii="Arial" w:hAnsi="Arial" w:cs="Arial"/>
                <w:b/>
                <w:bCs/>
                <w:sz w:val="20"/>
                <w:szCs w:val="20"/>
                <w:u w:val="single"/>
              </w:rPr>
              <w:t>197</w:t>
            </w:r>
          </w:p>
        </w:tc>
      </w:tr>
      <w:tr w:rsidR="003B0815" w14:paraId="6CF996D5" w14:textId="77777777">
        <w:trPr>
          <w:jc w:val="center"/>
        </w:trPr>
        <w:tc>
          <w:tcPr>
            <w:tcW w:w="3105" w:type="dxa"/>
            <w:tcBorders>
              <w:top w:val="double" w:color="auto" w:sz="6" w:space="0"/>
              <w:left w:val="single" w:color="auto" w:sz="12" w:space="0"/>
              <w:bottom w:val="nil"/>
              <w:right w:val="single" w:color="auto" w:sz="12" w:space="0"/>
            </w:tcBorders>
            <w:vAlign w:val="bottom"/>
          </w:tcPr>
          <w:p w:rsidR="003B0815" w:rsidRDefault="003B0815" w14:paraId="7AEA3C6E" w14:textId="77777777">
            <w:pPr>
              <w:keepNext/>
              <w:rPr>
                <w:rFonts w:ascii="Arial" w:hAnsi="Arial" w:cs="Arial"/>
                <w:b/>
                <w:bCs/>
                <w:sz w:val="20"/>
                <w:szCs w:val="20"/>
              </w:rPr>
            </w:pPr>
            <w:r>
              <w:rPr>
                <w:rFonts w:ascii="Arial" w:hAnsi="Arial" w:cs="Arial"/>
                <w:b/>
                <w:bCs/>
                <w:sz w:val="20"/>
                <w:szCs w:val="20"/>
              </w:rPr>
              <w:t>TOTAL LOCATIONS</w:t>
            </w:r>
          </w:p>
        </w:tc>
        <w:tc>
          <w:tcPr>
            <w:tcW w:w="0" w:type="auto"/>
            <w:tcBorders>
              <w:top w:val="double" w:color="auto" w:sz="6" w:space="0"/>
              <w:left w:val="single" w:color="auto" w:sz="12" w:space="0"/>
              <w:bottom w:val="nil"/>
            </w:tcBorders>
            <w:vAlign w:val="bottom"/>
          </w:tcPr>
          <w:p w:rsidR="003B0815" w:rsidRDefault="003B0815" w14:paraId="071D3549" w14:textId="77777777">
            <w:pPr>
              <w:keepNext/>
              <w:jc w:val="right"/>
              <w:rPr>
                <w:rFonts w:ascii="Arial" w:hAnsi="Arial" w:cs="Arial"/>
                <w:b/>
                <w:bCs/>
                <w:sz w:val="20"/>
                <w:szCs w:val="20"/>
              </w:rPr>
            </w:pPr>
            <w:r>
              <w:rPr>
                <w:rFonts w:ascii="Arial" w:hAnsi="Arial" w:cs="Arial"/>
                <w:b/>
                <w:bCs/>
                <w:sz w:val="20"/>
                <w:szCs w:val="20"/>
              </w:rPr>
              <w:t>34,088</w:t>
            </w:r>
          </w:p>
        </w:tc>
        <w:tc>
          <w:tcPr>
            <w:tcW w:w="0" w:type="auto"/>
            <w:tcBorders>
              <w:top w:val="double" w:color="auto" w:sz="6" w:space="0"/>
              <w:bottom w:val="nil"/>
            </w:tcBorders>
            <w:vAlign w:val="bottom"/>
          </w:tcPr>
          <w:p w:rsidR="003B0815" w:rsidRDefault="003B0815" w14:paraId="0691E599" w14:textId="77777777">
            <w:pPr>
              <w:keepNext/>
              <w:jc w:val="right"/>
              <w:rPr>
                <w:rFonts w:ascii="Arial" w:hAnsi="Arial" w:cs="Arial"/>
                <w:b/>
                <w:bCs/>
                <w:sz w:val="20"/>
                <w:szCs w:val="20"/>
              </w:rPr>
            </w:pPr>
            <w:r>
              <w:rPr>
                <w:rFonts w:ascii="Arial" w:hAnsi="Arial" w:cs="Arial"/>
                <w:b/>
                <w:bCs/>
                <w:sz w:val="20"/>
                <w:szCs w:val="20"/>
              </w:rPr>
              <w:t>29,522</w:t>
            </w:r>
          </w:p>
        </w:tc>
        <w:tc>
          <w:tcPr>
            <w:tcW w:w="0" w:type="auto"/>
            <w:tcBorders>
              <w:top w:val="double" w:color="auto" w:sz="6" w:space="0"/>
              <w:bottom w:val="nil"/>
            </w:tcBorders>
            <w:vAlign w:val="bottom"/>
          </w:tcPr>
          <w:p w:rsidR="003B0815" w:rsidRDefault="003B0815" w14:paraId="2621DB47" w14:textId="77777777">
            <w:pPr>
              <w:keepNext/>
              <w:jc w:val="right"/>
              <w:rPr>
                <w:rFonts w:ascii="Arial" w:hAnsi="Arial" w:cs="Arial"/>
                <w:b/>
                <w:bCs/>
                <w:sz w:val="20"/>
                <w:szCs w:val="20"/>
              </w:rPr>
            </w:pPr>
            <w:r>
              <w:rPr>
                <w:rFonts w:ascii="Arial" w:hAnsi="Arial" w:cs="Arial"/>
                <w:b/>
                <w:bCs/>
                <w:sz w:val="20"/>
                <w:szCs w:val="20"/>
              </w:rPr>
              <w:t>25,620</w:t>
            </w:r>
          </w:p>
        </w:tc>
        <w:tc>
          <w:tcPr>
            <w:tcW w:w="0" w:type="auto"/>
            <w:tcBorders>
              <w:top w:val="double" w:color="auto" w:sz="6" w:space="0"/>
              <w:bottom w:val="nil"/>
            </w:tcBorders>
            <w:vAlign w:val="bottom"/>
          </w:tcPr>
          <w:p w:rsidR="003B0815" w:rsidRDefault="003B0815" w14:paraId="7BE5EB36" w14:textId="77777777">
            <w:pPr>
              <w:keepNext/>
              <w:jc w:val="right"/>
              <w:rPr>
                <w:rFonts w:ascii="Arial" w:hAnsi="Arial" w:cs="Arial"/>
                <w:b/>
                <w:bCs/>
                <w:sz w:val="20"/>
                <w:szCs w:val="20"/>
              </w:rPr>
            </w:pPr>
            <w:r>
              <w:rPr>
                <w:rFonts w:ascii="Arial" w:hAnsi="Arial" w:cs="Arial"/>
                <w:b/>
                <w:bCs/>
                <w:sz w:val="20"/>
                <w:szCs w:val="20"/>
              </w:rPr>
              <w:t>23,324</w:t>
            </w:r>
          </w:p>
        </w:tc>
        <w:tc>
          <w:tcPr>
            <w:tcW w:w="0" w:type="auto"/>
            <w:tcBorders>
              <w:top w:val="double" w:color="auto" w:sz="6" w:space="0"/>
              <w:bottom w:val="nil"/>
              <w:right w:val="single" w:color="auto" w:sz="12" w:space="0"/>
            </w:tcBorders>
            <w:vAlign w:val="bottom"/>
          </w:tcPr>
          <w:p w:rsidR="003B0815" w:rsidRDefault="003B0815" w14:paraId="3E7D6E34" w14:textId="77777777">
            <w:pPr>
              <w:keepNext/>
              <w:jc w:val="right"/>
              <w:rPr>
                <w:rFonts w:ascii="Arial" w:hAnsi="Arial" w:cs="Arial"/>
                <w:b/>
                <w:bCs/>
                <w:sz w:val="20"/>
                <w:szCs w:val="20"/>
              </w:rPr>
            </w:pPr>
            <w:r>
              <w:rPr>
                <w:rFonts w:ascii="Arial" w:hAnsi="Arial" w:cs="Arial"/>
                <w:b/>
                <w:bCs/>
                <w:sz w:val="20"/>
                <w:szCs w:val="20"/>
              </w:rPr>
              <w:t>22,043</w:t>
            </w:r>
          </w:p>
        </w:tc>
      </w:tr>
      <w:tr w:rsidR="003B0815" w14:paraId="7346F98E" w14:textId="77777777">
        <w:trPr>
          <w:jc w:val="center"/>
        </w:trPr>
        <w:tc>
          <w:tcPr>
            <w:tcW w:w="3105" w:type="dxa"/>
            <w:tcBorders>
              <w:top w:val="nil"/>
              <w:left w:val="single" w:color="auto" w:sz="12" w:space="0"/>
              <w:bottom w:val="single" w:color="auto" w:sz="4" w:space="0"/>
              <w:right w:val="single" w:color="auto" w:sz="12" w:space="0"/>
            </w:tcBorders>
            <w:vAlign w:val="bottom"/>
          </w:tcPr>
          <w:p w:rsidR="003B0815" w:rsidRDefault="003B0815" w14:paraId="3E1C5055" w14:textId="77777777">
            <w:pPr>
              <w:keepNext/>
              <w:ind w:firstLine="400" w:firstLineChars="200"/>
              <w:rPr>
                <w:rFonts w:ascii="Arial" w:hAnsi="Arial" w:cs="Arial"/>
                <w:sz w:val="20"/>
                <w:szCs w:val="20"/>
              </w:rPr>
            </w:pPr>
            <w:r>
              <w:rPr>
                <w:rFonts w:ascii="Arial" w:hAnsi="Arial" w:cs="Arial"/>
                <w:sz w:val="20"/>
                <w:szCs w:val="20"/>
              </w:rPr>
              <w:t>Change over previous year</w:t>
            </w:r>
          </w:p>
        </w:tc>
        <w:tc>
          <w:tcPr>
            <w:tcW w:w="0" w:type="auto"/>
            <w:tcBorders>
              <w:top w:val="nil"/>
              <w:left w:val="single" w:color="auto" w:sz="12" w:space="0"/>
              <w:bottom w:val="single" w:color="auto" w:sz="4" w:space="0"/>
            </w:tcBorders>
            <w:vAlign w:val="bottom"/>
          </w:tcPr>
          <w:p w:rsidR="003B0815" w:rsidRDefault="003B0815" w14:paraId="5F429688" w14:textId="77777777">
            <w:pPr>
              <w:keepNext/>
              <w:jc w:val="center"/>
              <w:rPr>
                <w:rFonts w:ascii="Arial" w:hAnsi="Arial" w:cs="Arial"/>
                <w:sz w:val="20"/>
                <w:szCs w:val="20"/>
              </w:rPr>
            </w:pPr>
            <w:r>
              <w:rPr>
                <w:rFonts w:ascii="Arial" w:hAnsi="Arial" w:cs="Arial"/>
                <w:sz w:val="20"/>
                <w:szCs w:val="20"/>
              </w:rPr>
              <w:t>N/A</w:t>
            </w:r>
          </w:p>
        </w:tc>
        <w:tc>
          <w:tcPr>
            <w:tcW w:w="0" w:type="auto"/>
            <w:tcBorders>
              <w:top w:val="nil"/>
              <w:bottom w:val="single" w:color="auto" w:sz="4" w:space="0"/>
            </w:tcBorders>
            <w:vAlign w:val="bottom"/>
          </w:tcPr>
          <w:p w:rsidR="003B0815" w:rsidRDefault="003B0815" w14:paraId="1895CE74" w14:textId="77777777">
            <w:pPr>
              <w:keepNext/>
              <w:jc w:val="right"/>
              <w:rPr>
                <w:rFonts w:ascii="Arial" w:hAnsi="Arial" w:cs="Arial"/>
                <w:sz w:val="20"/>
                <w:szCs w:val="20"/>
              </w:rPr>
            </w:pPr>
            <w:r>
              <w:rPr>
                <w:rFonts w:ascii="Arial" w:hAnsi="Arial" w:cs="Arial"/>
                <w:sz w:val="20"/>
                <w:szCs w:val="20"/>
              </w:rPr>
              <w:t>-13.39%</w:t>
            </w:r>
          </w:p>
        </w:tc>
        <w:tc>
          <w:tcPr>
            <w:tcW w:w="0" w:type="auto"/>
            <w:tcBorders>
              <w:top w:val="nil"/>
              <w:bottom w:val="single" w:color="auto" w:sz="4" w:space="0"/>
            </w:tcBorders>
            <w:vAlign w:val="bottom"/>
          </w:tcPr>
          <w:p w:rsidR="003B0815" w:rsidRDefault="003B0815" w14:paraId="461DF2F6" w14:textId="77777777">
            <w:pPr>
              <w:keepNext/>
              <w:jc w:val="right"/>
              <w:rPr>
                <w:rFonts w:ascii="Arial" w:hAnsi="Arial" w:cs="Arial"/>
                <w:sz w:val="20"/>
                <w:szCs w:val="20"/>
              </w:rPr>
            </w:pPr>
            <w:r>
              <w:rPr>
                <w:rFonts w:ascii="Arial" w:hAnsi="Arial" w:cs="Arial"/>
                <w:sz w:val="20"/>
                <w:szCs w:val="20"/>
              </w:rPr>
              <w:t>-13.22%</w:t>
            </w:r>
          </w:p>
        </w:tc>
        <w:tc>
          <w:tcPr>
            <w:tcW w:w="0" w:type="auto"/>
            <w:tcBorders>
              <w:top w:val="nil"/>
              <w:bottom w:val="single" w:color="auto" w:sz="4" w:space="0"/>
            </w:tcBorders>
            <w:vAlign w:val="bottom"/>
          </w:tcPr>
          <w:p w:rsidR="003B0815" w:rsidRDefault="003B0815" w14:paraId="05FE9166" w14:textId="77777777">
            <w:pPr>
              <w:keepNext/>
              <w:jc w:val="right"/>
              <w:rPr>
                <w:rFonts w:ascii="Arial" w:hAnsi="Arial" w:cs="Arial"/>
                <w:sz w:val="20"/>
                <w:szCs w:val="20"/>
              </w:rPr>
            </w:pPr>
            <w:r>
              <w:rPr>
                <w:rFonts w:ascii="Arial" w:hAnsi="Arial" w:cs="Arial"/>
                <w:sz w:val="20"/>
                <w:szCs w:val="20"/>
              </w:rPr>
              <w:t>-8.96%</w:t>
            </w:r>
          </w:p>
        </w:tc>
        <w:tc>
          <w:tcPr>
            <w:tcW w:w="0" w:type="auto"/>
            <w:tcBorders>
              <w:top w:val="nil"/>
              <w:bottom w:val="single" w:color="auto" w:sz="4" w:space="0"/>
              <w:right w:val="single" w:color="auto" w:sz="12" w:space="0"/>
            </w:tcBorders>
            <w:vAlign w:val="bottom"/>
          </w:tcPr>
          <w:p w:rsidR="003B0815" w:rsidRDefault="003B0815" w14:paraId="121CBB37" w14:textId="77777777">
            <w:pPr>
              <w:keepNext/>
              <w:jc w:val="right"/>
              <w:rPr>
                <w:rFonts w:ascii="Arial" w:hAnsi="Arial" w:cs="Arial"/>
                <w:sz w:val="20"/>
                <w:szCs w:val="20"/>
              </w:rPr>
            </w:pPr>
            <w:r>
              <w:rPr>
                <w:rFonts w:ascii="Arial" w:hAnsi="Arial" w:cs="Arial"/>
                <w:sz w:val="20"/>
                <w:szCs w:val="20"/>
              </w:rPr>
              <w:t>-5.49%</w:t>
            </w:r>
          </w:p>
        </w:tc>
      </w:tr>
      <w:tr w:rsidR="003B0815" w14:paraId="276E3E27" w14:textId="77777777">
        <w:trPr>
          <w:jc w:val="center"/>
        </w:trPr>
        <w:tc>
          <w:tcPr>
            <w:tcW w:w="3105" w:type="dxa"/>
            <w:tcBorders>
              <w:top w:val="single" w:color="auto" w:sz="4" w:space="0"/>
              <w:left w:val="single" w:color="auto" w:sz="12" w:space="0"/>
              <w:bottom w:val="nil"/>
              <w:right w:val="single" w:color="auto" w:sz="12" w:space="0"/>
            </w:tcBorders>
            <w:vAlign w:val="bottom"/>
          </w:tcPr>
          <w:p w:rsidR="003B0815" w:rsidRDefault="003B0815" w14:paraId="04E0AEDB" w14:textId="77777777">
            <w:pPr>
              <w:keepNext/>
              <w:rPr>
                <w:rFonts w:ascii="Arial" w:hAnsi="Arial" w:cs="Arial"/>
                <w:b/>
                <w:bCs/>
                <w:sz w:val="20"/>
                <w:szCs w:val="20"/>
              </w:rPr>
            </w:pPr>
            <w:r>
              <w:rPr>
                <w:rFonts w:ascii="Arial" w:hAnsi="Arial" w:cs="Arial"/>
                <w:b/>
                <w:bCs/>
                <w:sz w:val="20"/>
                <w:szCs w:val="20"/>
              </w:rPr>
              <w:t>TOTAL ENTITIES*</w:t>
            </w:r>
          </w:p>
        </w:tc>
        <w:tc>
          <w:tcPr>
            <w:tcW w:w="0" w:type="auto"/>
            <w:tcBorders>
              <w:top w:val="single" w:color="auto" w:sz="4" w:space="0"/>
              <w:left w:val="single" w:color="auto" w:sz="12" w:space="0"/>
              <w:bottom w:val="nil"/>
            </w:tcBorders>
            <w:vAlign w:val="bottom"/>
          </w:tcPr>
          <w:p w:rsidR="003B0815" w:rsidRDefault="003B0815" w14:paraId="3AA0BB2F" w14:textId="77777777">
            <w:pPr>
              <w:keepNext/>
              <w:jc w:val="right"/>
              <w:rPr>
                <w:rFonts w:ascii="Arial" w:hAnsi="Arial" w:cs="Arial"/>
                <w:b/>
                <w:bCs/>
                <w:sz w:val="20"/>
                <w:szCs w:val="20"/>
              </w:rPr>
            </w:pPr>
            <w:r>
              <w:rPr>
                <w:rFonts w:ascii="Arial" w:hAnsi="Arial" w:cs="Arial"/>
                <w:b/>
                <w:bCs/>
                <w:sz w:val="20"/>
                <w:szCs w:val="20"/>
              </w:rPr>
              <w:t>17,678</w:t>
            </w:r>
          </w:p>
        </w:tc>
        <w:tc>
          <w:tcPr>
            <w:tcW w:w="0" w:type="auto"/>
            <w:tcBorders>
              <w:top w:val="single" w:color="auto" w:sz="4" w:space="0"/>
              <w:bottom w:val="nil"/>
            </w:tcBorders>
            <w:vAlign w:val="bottom"/>
          </w:tcPr>
          <w:p w:rsidR="003B0815" w:rsidRDefault="003B0815" w14:paraId="4339D9AF" w14:textId="77777777">
            <w:pPr>
              <w:keepNext/>
              <w:jc w:val="right"/>
              <w:rPr>
                <w:rFonts w:ascii="Arial" w:hAnsi="Arial" w:cs="Arial"/>
                <w:b/>
                <w:bCs/>
                <w:sz w:val="20"/>
                <w:szCs w:val="20"/>
              </w:rPr>
            </w:pPr>
            <w:r>
              <w:rPr>
                <w:rFonts w:ascii="Arial" w:hAnsi="Arial" w:cs="Arial"/>
                <w:b/>
                <w:bCs/>
                <w:sz w:val="20"/>
                <w:szCs w:val="20"/>
              </w:rPr>
              <w:t>15,674</w:t>
            </w:r>
          </w:p>
        </w:tc>
        <w:tc>
          <w:tcPr>
            <w:tcW w:w="0" w:type="auto"/>
            <w:tcBorders>
              <w:top w:val="single" w:color="auto" w:sz="4" w:space="0"/>
              <w:bottom w:val="nil"/>
            </w:tcBorders>
            <w:vAlign w:val="bottom"/>
          </w:tcPr>
          <w:p w:rsidR="003B0815" w:rsidRDefault="003B0815" w14:paraId="1D60DFB9" w14:textId="77777777">
            <w:pPr>
              <w:keepNext/>
              <w:jc w:val="right"/>
              <w:rPr>
                <w:rFonts w:ascii="Arial" w:hAnsi="Arial" w:cs="Arial"/>
                <w:b/>
                <w:bCs/>
                <w:sz w:val="20"/>
                <w:szCs w:val="20"/>
              </w:rPr>
            </w:pPr>
            <w:r>
              <w:rPr>
                <w:rFonts w:ascii="Arial" w:hAnsi="Arial" w:cs="Arial"/>
                <w:b/>
                <w:bCs/>
                <w:sz w:val="20"/>
                <w:szCs w:val="20"/>
              </w:rPr>
              <w:t>14,084</w:t>
            </w:r>
          </w:p>
        </w:tc>
        <w:tc>
          <w:tcPr>
            <w:tcW w:w="0" w:type="auto"/>
            <w:tcBorders>
              <w:top w:val="single" w:color="auto" w:sz="4" w:space="0"/>
              <w:bottom w:val="nil"/>
            </w:tcBorders>
            <w:vAlign w:val="bottom"/>
          </w:tcPr>
          <w:p w:rsidR="003B0815" w:rsidRDefault="003B0815" w14:paraId="28738B2F" w14:textId="77777777">
            <w:pPr>
              <w:keepNext/>
              <w:jc w:val="right"/>
              <w:rPr>
                <w:rFonts w:ascii="Arial" w:hAnsi="Arial" w:cs="Arial"/>
                <w:b/>
                <w:bCs/>
                <w:sz w:val="20"/>
                <w:szCs w:val="20"/>
              </w:rPr>
            </w:pPr>
            <w:r>
              <w:rPr>
                <w:rFonts w:ascii="Arial" w:hAnsi="Arial" w:cs="Arial"/>
                <w:b/>
                <w:bCs/>
                <w:sz w:val="20"/>
                <w:szCs w:val="20"/>
              </w:rPr>
              <w:t>12,998</w:t>
            </w:r>
          </w:p>
        </w:tc>
        <w:tc>
          <w:tcPr>
            <w:tcW w:w="0" w:type="auto"/>
            <w:tcBorders>
              <w:top w:val="single" w:color="auto" w:sz="4" w:space="0"/>
              <w:bottom w:val="nil"/>
              <w:right w:val="single" w:color="auto" w:sz="12" w:space="0"/>
            </w:tcBorders>
            <w:vAlign w:val="bottom"/>
          </w:tcPr>
          <w:p w:rsidR="003B0815" w:rsidRDefault="003B0815" w14:paraId="73AF4EC8" w14:textId="77777777">
            <w:pPr>
              <w:keepNext/>
              <w:jc w:val="right"/>
              <w:rPr>
                <w:rFonts w:ascii="Arial" w:hAnsi="Arial" w:cs="Arial"/>
                <w:b/>
                <w:bCs/>
                <w:sz w:val="20"/>
                <w:szCs w:val="20"/>
              </w:rPr>
            </w:pPr>
            <w:r>
              <w:rPr>
                <w:rFonts w:ascii="Arial" w:hAnsi="Arial" w:cs="Arial"/>
                <w:b/>
                <w:bCs/>
                <w:sz w:val="20"/>
                <w:szCs w:val="20"/>
              </w:rPr>
              <w:t>12,317</w:t>
            </w:r>
          </w:p>
        </w:tc>
      </w:tr>
      <w:tr w:rsidR="003B0815" w14:paraId="67AAE799" w14:textId="77777777">
        <w:trPr>
          <w:jc w:val="center"/>
        </w:trPr>
        <w:tc>
          <w:tcPr>
            <w:tcW w:w="3105" w:type="dxa"/>
            <w:tcBorders>
              <w:top w:val="nil"/>
              <w:left w:val="single" w:color="auto" w:sz="12" w:space="0"/>
              <w:bottom w:val="single" w:color="auto" w:sz="12" w:space="0"/>
              <w:right w:val="single" w:color="auto" w:sz="12" w:space="0"/>
            </w:tcBorders>
            <w:vAlign w:val="bottom"/>
          </w:tcPr>
          <w:p w:rsidR="003B0815" w:rsidRDefault="003B0815" w14:paraId="4B531C6F" w14:textId="77777777">
            <w:pPr>
              <w:keepNext/>
              <w:ind w:firstLine="400" w:firstLineChars="200"/>
              <w:rPr>
                <w:rFonts w:ascii="Arial" w:hAnsi="Arial" w:cs="Arial"/>
                <w:sz w:val="20"/>
                <w:szCs w:val="20"/>
              </w:rPr>
            </w:pPr>
            <w:r>
              <w:rPr>
                <w:rFonts w:ascii="Arial" w:hAnsi="Arial" w:cs="Arial"/>
                <w:sz w:val="20"/>
                <w:szCs w:val="20"/>
              </w:rPr>
              <w:t>Change over previous year</w:t>
            </w:r>
          </w:p>
        </w:tc>
        <w:tc>
          <w:tcPr>
            <w:tcW w:w="0" w:type="auto"/>
            <w:tcBorders>
              <w:top w:val="nil"/>
              <w:left w:val="single" w:color="auto" w:sz="12" w:space="0"/>
              <w:bottom w:val="single" w:color="auto" w:sz="12" w:space="0"/>
            </w:tcBorders>
            <w:vAlign w:val="bottom"/>
          </w:tcPr>
          <w:p w:rsidR="003B0815" w:rsidRDefault="003B0815" w14:paraId="4E76A5FD" w14:textId="77777777">
            <w:pPr>
              <w:keepNext/>
              <w:jc w:val="center"/>
              <w:rPr>
                <w:rFonts w:ascii="Arial" w:hAnsi="Arial" w:cs="Arial"/>
                <w:sz w:val="20"/>
                <w:szCs w:val="20"/>
              </w:rPr>
            </w:pPr>
            <w:r>
              <w:rPr>
                <w:rFonts w:ascii="Arial" w:hAnsi="Arial" w:cs="Arial"/>
                <w:sz w:val="20"/>
                <w:szCs w:val="20"/>
              </w:rPr>
              <w:t>N/A</w:t>
            </w:r>
          </w:p>
        </w:tc>
        <w:tc>
          <w:tcPr>
            <w:tcW w:w="0" w:type="auto"/>
            <w:tcBorders>
              <w:top w:val="nil"/>
              <w:bottom w:val="single" w:color="auto" w:sz="12" w:space="0"/>
            </w:tcBorders>
            <w:vAlign w:val="bottom"/>
          </w:tcPr>
          <w:p w:rsidR="003B0815" w:rsidRDefault="003B0815" w14:paraId="38CAC8AE" w14:textId="77777777">
            <w:pPr>
              <w:keepNext/>
              <w:jc w:val="right"/>
              <w:rPr>
                <w:rFonts w:ascii="Arial" w:hAnsi="Arial" w:cs="Arial"/>
                <w:sz w:val="20"/>
                <w:szCs w:val="20"/>
              </w:rPr>
            </w:pPr>
            <w:r>
              <w:rPr>
                <w:rFonts w:ascii="Arial" w:hAnsi="Arial" w:cs="Arial"/>
                <w:sz w:val="20"/>
                <w:szCs w:val="20"/>
              </w:rPr>
              <w:t>-11.34%</w:t>
            </w:r>
          </w:p>
        </w:tc>
        <w:tc>
          <w:tcPr>
            <w:tcW w:w="0" w:type="auto"/>
            <w:tcBorders>
              <w:top w:val="nil"/>
              <w:bottom w:val="single" w:color="auto" w:sz="12" w:space="0"/>
            </w:tcBorders>
            <w:vAlign w:val="bottom"/>
          </w:tcPr>
          <w:p w:rsidR="003B0815" w:rsidRDefault="003B0815" w14:paraId="56819905" w14:textId="77777777">
            <w:pPr>
              <w:keepNext/>
              <w:jc w:val="right"/>
              <w:rPr>
                <w:rFonts w:ascii="Arial" w:hAnsi="Arial" w:cs="Arial"/>
                <w:sz w:val="20"/>
                <w:szCs w:val="20"/>
              </w:rPr>
            </w:pPr>
            <w:r>
              <w:rPr>
                <w:rFonts w:ascii="Arial" w:hAnsi="Arial" w:cs="Arial"/>
                <w:sz w:val="20"/>
                <w:szCs w:val="20"/>
              </w:rPr>
              <w:t>-10.14%</w:t>
            </w:r>
          </w:p>
        </w:tc>
        <w:tc>
          <w:tcPr>
            <w:tcW w:w="0" w:type="auto"/>
            <w:tcBorders>
              <w:top w:val="nil"/>
              <w:bottom w:val="single" w:color="auto" w:sz="12" w:space="0"/>
            </w:tcBorders>
            <w:vAlign w:val="bottom"/>
          </w:tcPr>
          <w:p w:rsidR="003B0815" w:rsidRDefault="003B0815" w14:paraId="44D83E8A" w14:textId="77777777">
            <w:pPr>
              <w:keepNext/>
              <w:jc w:val="right"/>
              <w:rPr>
                <w:rFonts w:ascii="Arial" w:hAnsi="Arial" w:cs="Arial"/>
                <w:sz w:val="20"/>
                <w:szCs w:val="20"/>
              </w:rPr>
            </w:pPr>
            <w:r>
              <w:rPr>
                <w:rFonts w:ascii="Arial" w:hAnsi="Arial" w:cs="Arial"/>
                <w:sz w:val="20"/>
                <w:szCs w:val="20"/>
              </w:rPr>
              <w:t>-7.71%</w:t>
            </w:r>
          </w:p>
        </w:tc>
        <w:tc>
          <w:tcPr>
            <w:tcW w:w="0" w:type="auto"/>
            <w:tcBorders>
              <w:top w:val="nil"/>
              <w:bottom w:val="single" w:color="auto" w:sz="12" w:space="0"/>
              <w:right w:val="single" w:color="auto" w:sz="12" w:space="0"/>
            </w:tcBorders>
            <w:vAlign w:val="bottom"/>
          </w:tcPr>
          <w:p w:rsidR="003B0815" w:rsidRDefault="003B0815" w14:paraId="36E41949" w14:textId="77777777">
            <w:pPr>
              <w:keepNext/>
              <w:jc w:val="right"/>
              <w:rPr>
                <w:rFonts w:ascii="Arial" w:hAnsi="Arial" w:cs="Arial"/>
                <w:sz w:val="20"/>
                <w:szCs w:val="20"/>
              </w:rPr>
            </w:pPr>
            <w:r>
              <w:rPr>
                <w:rFonts w:ascii="Arial" w:hAnsi="Arial" w:cs="Arial"/>
                <w:sz w:val="20"/>
                <w:szCs w:val="20"/>
              </w:rPr>
              <w:t>-5.24%</w:t>
            </w:r>
          </w:p>
        </w:tc>
      </w:tr>
      <w:tr w:rsidR="003B0815" w14:paraId="2EA1EEB4" w14:textId="77777777">
        <w:trPr>
          <w:jc w:val="center"/>
        </w:trPr>
        <w:tc>
          <w:tcPr>
            <w:tcW w:w="7617" w:type="dxa"/>
            <w:gridSpan w:val="6"/>
            <w:tcBorders>
              <w:top w:val="single" w:color="auto" w:sz="12" w:space="0"/>
              <w:left w:val="nil"/>
              <w:bottom w:val="nil"/>
              <w:right w:val="nil"/>
            </w:tcBorders>
            <w:vAlign w:val="bottom"/>
          </w:tcPr>
          <w:p w:rsidR="003B0815" w:rsidRDefault="003B0815" w14:paraId="2283CFDF" w14:textId="77777777">
            <w:pPr>
              <w:keepNext/>
              <w:rPr>
                <w:rFonts w:ascii="Arial" w:hAnsi="Arial" w:cs="Arial"/>
                <w:sz w:val="20"/>
                <w:szCs w:val="20"/>
              </w:rPr>
            </w:pPr>
            <w:r>
              <w:rPr>
                <w:rFonts w:ascii="Arial" w:hAnsi="Arial" w:cs="Arial"/>
                <w:sz w:val="20"/>
                <w:szCs w:val="20"/>
              </w:rPr>
              <w:t>*Sum of Home Offices, Independent/Single Entities, Restricted Access, and</w:t>
            </w:r>
          </w:p>
          <w:p w:rsidR="003B0815" w:rsidRDefault="003B0815" w14:paraId="35CA5815" w14:textId="77777777">
            <w:pPr>
              <w:keepNext/>
              <w:rPr>
                <w:rFonts w:ascii="Arial" w:hAnsi="Arial" w:cs="Arial"/>
                <w:sz w:val="20"/>
                <w:szCs w:val="20"/>
              </w:rPr>
            </w:pPr>
            <w:r>
              <w:rPr>
                <w:rFonts w:ascii="Arial" w:hAnsi="Arial" w:cs="Arial"/>
                <w:sz w:val="20"/>
                <w:szCs w:val="20"/>
              </w:rPr>
              <w:t>Corporate Travel Departments.</w:t>
            </w:r>
          </w:p>
        </w:tc>
      </w:tr>
    </w:tbl>
    <w:p w:rsidR="003B0815" w:rsidRDefault="003B0815" w14:paraId="154F3766" w14:textId="77777777">
      <w:pPr>
        <w:spacing w:line="360" w:lineRule="auto"/>
        <w:ind w:firstLine="720"/>
      </w:pPr>
    </w:p>
    <w:p w:rsidR="003B0815" w:rsidRDefault="003B0815" w14:paraId="1B0D0CE3" w14:textId="77777777">
      <w:pPr>
        <w:pStyle w:val="RegEvalSectionSubheader"/>
        <w:keepNext/>
        <w:spacing w:line="360" w:lineRule="auto"/>
      </w:pPr>
      <w:bookmarkStart w:name="_Toc135477027" w:id="543"/>
      <w:bookmarkStart w:name="_Toc141001103" w:id="544"/>
      <w:bookmarkStart w:name="_Toc141000934" w:id="545"/>
      <w:bookmarkStart w:name="_Toc165278460" w:id="546"/>
      <w:bookmarkStart w:name="_Toc202683417" w:id="547"/>
      <w:r>
        <w:t>2.2.4 Estimated Impact to Travel Agency Small Businesses</w:t>
      </w:r>
      <w:bookmarkEnd w:id="543"/>
      <w:bookmarkEnd w:id="544"/>
      <w:bookmarkEnd w:id="545"/>
      <w:bookmarkEnd w:id="546"/>
      <w:bookmarkEnd w:id="547"/>
    </w:p>
    <w:p w:rsidR="003B0815" w:rsidRDefault="003B0815" w14:paraId="5EB42938" w14:textId="77777777">
      <w:pPr>
        <w:spacing w:line="360" w:lineRule="auto"/>
        <w:ind w:firstLine="720"/>
      </w:pPr>
      <w:r>
        <w:t>While not directly regulated, small travel agencies will certainly be affected by the implementation of Secure Flight.  TSA anticipated the most significant burden on these entities results from the increased time to collect additional passenger information.  Small travel agencies may also incur incremental costs due to retraining of staff and reaching out to clients in order to update customer profiles prior to their next trip.</w:t>
      </w:r>
    </w:p>
    <w:p w:rsidR="003B0815" w:rsidRDefault="003B0815" w14:paraId="409E317F" w14:textId="77777777">
      <w:pPr>
        <w:spacing w:line="360" w:lineRule="auto"/>
        <w:ind w:firstLine="720"/>
      </w:pPr>
      <w:r>
        <w:t>In Section 1.6.4 of the regulatory evaluation, TSA estimated a cost that is borne by non-Internet (brick-and-mortar) travel agencies as a result of the requirements.  Detailed industry data did not exist, however, that would allow TSA to determine the portion of that cost that is borne by small travel agencies.  In lieu of such information, TSA chose to calculate a minimum number of airline reservations the smallest travel agency size category would have to process in order for the requirements of the rule to result in a “significant economic impact.”  This calculation corresponds to the high estimate scenario and depends on a number of assumptions:</w:t>
      </w:r>
    </w:p>
    <w:p w:rsidR="003B0815" w:rsidRDefault="003B0815" w14:paraId="0FDD9B0C" w14:textId="77777777">
      <w:pPr>
        <w:numPr>
          <w:ilvl w:val="0"/>
          <w:numId w:val="7"/>
        </w:numPr>
        <w:rPr>
          <w:rFonts w:eastAsia="MS Mincho"/>
        </w:rPr>
      </w:pPr>
      <w:r>
        <w:rPr>
          <w:rFonts w:eastAsia="MS Mincho"/>
        </w:rPr>
        <w:t>The average hourly wage of small business travel agents is $20.69 (including benefits).</w:t>
      </w:r>
    </w:p>
    <w:p w:rsidR="003B0815" w:rsidRDefault="003B0815" w14:paraId="4391E0E5" w14:textId="77777777">
      <w:pPr>
        <w:numPr>
          <w:ilvl w:val="0"/>
          <w:numId w:val="7"/>
        </w:numPr>
        <w:rPr>
          <w:rFonts w:eastAsia="MS Mincho"/>
        </w:rPr>
      </w:pPr>
      <w:r>
        <w:rPr>
          <w:rFonts w:eastAsia="MS Mincho"/>
        </w:rPr>
        <w:t>In TSA’s highest cost scenario, an additional 30 seconds per airline reservation is needed to collect additional passenger information.</w:t>
      </w:r>
    </w:p>
    <w:p w:rsidR="003B0815" w:rsidRDefault="003B0815" w14:paraId="4E6D7A3F" w14:textId="77777777">
      <w:pPr>
        <w:numPr>
          <w:ilvl w:val="0"/>
          <w:numId w:val="7"/>
        </w:numPr>
        <w:rPr>
          <w:rFonts w:eastAsia="MS Mincho"/>
        </w:rPr>
      </w:pPr>
      <w:r>
        <w:rPr>
          <w:rFonts w:eastAsia="MS Mincho"/>
        </w:rPr>
        <w:t>The additional time to collect passenger information will be incurred for every airline reservation booked through a travel agency.</w:t>
      </w:r>
    </w:p>
    <w:p w:rsidR="003B0815" w:rsidRDefault="003B0815" w14:paraId="58F7A08C" w14:textId="77777777">
      <w:pPr>
        <w:numPr>
          <w:ilvl w:val="0"/>
          <w:numId w:val="7"/>
        </w:numPr>
        <w:rPr>
          <w:rFonts w:eastAsia="MS Mincho"/>
        </w:rPr>
      </w:pPr>
      <w:r>
        <w:rPr>
          <w:rFonts w:eastAsia="MS Mincho"/>
        </w:rPr>
        <w:t>The average revenue of the smallest travel agency firms (revenues between $0 and $99,999) is $47,204.</w:t>
      </w:r>
      <w:r>
        <w:rPr>
          <w:rStyle w:val="FootnoteReference"/>
          <w:rFonts w:eastAsia="MS Mincho"/>
        </w:rPr>
        <w:footnoteReference w:id="54"/>
      </w:r>
    </w:p>
    <w:p w:rsidR="003B0815" w:rsidRDefault="003B0815" w14:paraId="2ED6F6A6" w14:textId="77777777">
      <w:pPr>
        <w:numPr>
          <w:ilvl w:val="0"/>
          <w:numId w:val="7"/>
        </w:numPr>
        <w:rPr>
          <w:rFonts w:eastAsia="MS Mincho"/>
        </w:rPr>
      </w:pPr>
      <w:r>
        <w:t>A firm that has $47,000 annual revenue makes 124 reservations each year, given a $378 average revenue per reservation.</w:t>
      </w:r>
    </w:p>
    <w:p w:rsidR="003B0815" w:rsidRDefault="003B0815" w14:paraId="07C10557" w14:textId="77777777">
      <w:pPr>
        <w:ind w:firstLine="720"/>
        <w:rPr>
          <w:rFonts w:eastAsia="MS Mincho"/>
        </w:rPr>
      </w:pPr>
    </w:p>
    <w:p w:rsidR="003B0815" w:rsidRDefault="003B0815" w14:paraId="12F69594" w14:textId="77777777">
      <w:pPr>
        <w:spacing w:line="360" w:lineRule="auto"/>
        <w:ind w:firstLine="720"/>
        <w:rPr>
          <w:rFonts w:eastAsia="MS Mincho"/>
        </w:rPr>
      </w:pPr>
      <w:r>
        <w:rPr>
          <w:rFonts w:eastAsia="MS Mincho"/>
        </w:rPr>
        <w:t xml:space="preserve">Accepting these assumptions, the </w:t>
      </w:r>
      <w:r>
        <w:t>cost per small firm would be about $23 per year, practically 0% of revenue.</w:t>
      </w:r>
      <w:r>
        <w:rPr>
          <w:rFonts w:eastAsia="MS Mincho"/>
        </w:rPr>
        <w:t xml:space="preserve">  This is accomplished by multiplying the 124 annual reservations by the 30-seconds additional time per reservation which yields total annual seconds of 3,720 (124 x 30).  This value, in turn is divided by the number of seconds in an hour to yield total annual hours of 1 (3,720/3,600).  The total annual hours per travel agency is then multiplied by the average hourly wage (including benefits) of $20.69 to yield a total annual cost of $21.31 (1.03 x $20.69).  Table 2.2.4.a presents this threshold number of reservations for the range of data collection times presented in the Secure Flight regulatory evaluation.  Alternatively, the table also presents the number of airline reservations a travel agency would have to process to meet 2% of the SBA small business threshold for travel agents.</w:t>
      </w:r>
    </w:p>
    <w:p w:rsidR="003B0815" w:rsidRDefault="003B0815" w14:paraId="18D5005F" w14:textId="77777777">
      <w:pPr>
        <w:spacing w:line="360" w:lineRule="auto"/>
        <w:ind w:firstLine="720"/>
        <w:rPr>
          <w:rFonts w:eastAsia="MS Mincho"/>
        </w:rPr>
      </w:pPr>
      <w:r>
        <w:rPr>
          <w:rFonts w:eastAsia="MS Mincho"/>
        </w:rPr>
        <w:t>These estimates below should be considered as a range of “worst case scenarios.”  For example, reservations made for clients for whom a travel agency already has the requested Secure Flight information saved in a profile will not incur the additional data collection time.</w:t>
      </w:r>
    </w:p>
    <w:tbl>
      <w:tblPr>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14" w:type="dxa"/>
        </w:tblCellMar>
        <w:tblLook w:val="01E0" w:firstRow="1" w:lastRow="1" w:firstColumn="1" w:lastColumn="1" w:noHBand="0" w:noVBand="0"/>
      </w:tblPr>
      <w:tblGrid>
        <w:gridCol w:w="2729"/>
        <w:gridCol w:w="1066"/>
        <w:gridCol w:w="734"/>
        <w:gridCol w:w="900"/>
        <w:gridCol w:w="900"/>
        <w:gridCol w:w="900"/>
        <w:gridCol w:w="1080"/>
        <w:gridCol w:w="1080"/>
      </w:tblGrid>
      <w:tr w:rsidR="003B0815" w14:paraId="351CBE4A" w14:textId="77777777">
        <w:trPr>
          <w:jc w:val="center"/>
        </w:trPr>
        <w:tc>
          <w:tcPr>
            <w:tcW w:w="9389" w:type="dxa"/>
            <w:gridSpan w:val="8"/>
            <w:tcBorders>
              <w:top w:val="nil"/>
              <w:left w:val="nil"/>
              <w:bottom w:val="nil"/>
              <w:right w:val="nil"/>
            </w:tcBorders>
          </w:tcPr>
          <w:p w:rsidR="003B0815" w:rsidRDefault="003B0815" w14:paraId="3E7BF96E" w14:textId="77777777">
            <w:pPr>
              <w:pStyle w:val="RegEvalTableHeader"/>
              <w:keepNext/>
            </w:pPr>
            <w:bookmarkStart w:name="_Toc194733290" w:id="548"/>
            <w:bookmarkStart w:name="_Toc207109567" w:id="549"/>
            <w:r>
              <w:t>Table 2.2.4.a Airline Reservations Threshold for Small Business Travel Agencies</w:t>
            </w:r>
            <w:bookmarkEnd w:id="548"/>
            <w:bookmarkEnd w:id="549"/>
          </w:p>
        </w:tc>
      </w:tr>
      <w:tr w:rsidR="003B0815" w14:paraId="57929B6A" w14:textId="77777777">
        <w:trPr>
          <w:jc w:val="center"/>
        </w:trPr>
        <w:tc>
          <w:tcPr>
            <w:tcW w:w="2729" w:type="dxa"/>
            <w:tcBorders>
              <w:top w:val="nil"/>
              <w:left w:val="nil"/>
              <w:bottom w:val="single" w:color="auto" w:sz="18" w:space="0"/>
              <w:right w:val="nil"/>
            </w:tcBorders>
          </w:tcPr>
          <w:p w:rsidR="003B0815" w:rsidRDefault="003B0815" w14:paraId="2ABCE1BE" w14:textId="77777777">
            <w:pPr>
              <w:keepNext/>
            </w:pPr>
          </w:p>
        </w:tc>
        <w:tc>
          <w:tcPr>
            <w:tcW w:w="1066" w:type="dxa"/>
            <w:tcBorders>
              <w:top w:val="nil"/>
              <w:left w:val="nil"/>
              <w:bottom w:val="single" w:color="auto" w:sz="18" w:space="0"/>
              <w:right w:val="single" w:color="auto" w:sz="12" w:space="0"/>
            </w:tcBorders>
          </w:tcPr>
          <w:p w:rsidR="003B0815" w:rsidRDefault="003B0815" w14:paraId="2B2D0D17" w14:textId="77777777">
            <w:pPr>
              <w:keepNext/>
            </w:pPr>
          </w:p>
        </w:tc>
        <w:tc>
          <w:tcPr>
            <w:tcW w:w="2534" w:type="dxa"/>
            <w:gridSpan w:val="3"/>
            <w:tcBorders>
              <w:top w:val="single" w:color="auto" w:sz="12" w:space="0"/>
              <w:left w:val="single" w:color="auto" w:sz="12" w:space="0"/>
              <w:bottom w:val="single" w:color="auto" w:sz="18" w:space="0"/>
              <w:right w:val="single" w:color="auto" w:sz="12" w:space="0"/>
            </w:tcBorders>
          </w:tcPr>
          <w:p w:rsidR="003B0815" w:rsidRDefault="003B0815" w14:paraId="7A5C07BD" w14:textId="77777777">
            <w:pPr>
              <w:keepNext/>
              <w:rPr>
                <w:rFonts w:ascii="Arial" w:hAnsi="Arial" w:cs="Arial"/>
                <w:b/>
                <w:sz w:val="20"/>
                <w:szCs w:val="20"/>
              </w:rPr>
            </w:pPr>
            <w:r>
              <w:rPr>
                <w:rFonts w:ascii="Arial" w:hAnsi="Arial" w:cs="Arial"/>
                <w:b/>
                <w:sz w:val="20"/>
                <w:szCs w:val="20"/>
              </w:rPr>
              <w:t>Revenue Class $0-$99,999</w:t>
            </w:r>
          </w:p>
        </w:tc>
        <w:tc>
          <w:tcPr>
            <w:tcW w:w="3060" w:type="dxa"/>
            <w:gridSpan w:val="3"/>
            <w:tcBorders>
              <w:top w:val="single" w:color="auto" w:sz="12" w:space="0"/>
              <w:left w:val="single" w:color="auto" w:sz="12" w:space="0"/>
              <w:bottom w:val="single" w:color="auto" w:sz="18" w:space="0"/>
              <w:right w:val="single" w:color="auto" w:sz="12" w:space="0"/>
            </w:tcBorders>
          </w:tcPr>
          <w:p w:rsidR="003B0815" w:rsidRDefault="003B0815" w14:paraId="37A1DC71" w14:textId="77777777">
            <w:pPr>
              <w:keepNext/>
              <w:rPr>
                <w:rFonts w:ascii="Arial" w:hAnsi="Arial" w:cs="Arial"/>
                <w:b/>
                <w:sz w:val="20"/>
                <w:szCs w:val="20"/>
              </w:rPr>
            </w:pPr>
            <w:r>
              <w:rPr>
                <w:rFonts w:ascii="Arial" w:hAnsi="Arial" w:cs="Arial"/>
                <w:b/>
                <w:sz w:val="20"/>
                <w:szCs w:val="20"/>
              </w:rPr>
              <w:t>SBA Small Business Threshold</w:t>
            </w:r>
          </w:p>
        </w:tc>
      </w:tr>
      <w:tr w:rsidR="003B0815" w14:paraId="2108765E" w14:textId="77777777">
        <w:trPr>
          <w:jc w:val="center"/>
        </w:trPr>
        <w:tc>
          <w:tcPr>
            <w:tcW w:w="2729" w:type="dxa"/>
            <w:tcBorders>
              <w:top w:val="single" w:color="auto" w:sz="18" w:space="0"/>
              <w:left w:val="single" w:color="auto" w:sz="18" w:space="0"/>
              <w:bottom w:val="nil"/>
              <w:right w:val="nil"/>
            </w:tcBorders>
            <w:vAlign w:val="bottom"/>
          </w:tcPr>
          <w:p w:rsidR="003B0815" w:rsidRDefault="003B0815" w14:paraId="2E610C79" w14:textId="77777777">
            <w:pPr>
              <w:keepNext/>
              <w:rPr>
                <w:rFonts w:ascii="Arial" w:hAnsi="Arial" w:cs="Arial"/>
                <w:b/>
                <w:sz w:val="20"/>
                <w:szCs w:val="20"/>
              </w:rPr>
            </w:pPr>
            <w:r>
              <w:rPr>
                <w:rFonts w:ascii="Arial" w:hAnsi="Arial" w:cs="Arial"/>
                <w:b/>
                <w:sz w:val="20"/>
                <w:szCs w:val="20"/>
              </w:rPr>
              <w:t>Firm Revenue</w:t>
            </w:r>
          </w:p>
        </w:tc>
        <w:tc>
          <w:tcPr>
            <w:tcW w:w="1066" w:type="dxa"/>
            <w:tcBorders>
              <w:top w:val="single" w:color="auto" w:sz="18" w:space="0"/>
              <w:left w:val="nil"/>
              <w:bottom w:val="nil"/>
              <w:right w:val="nil"/>
            </w:tcBorders>
            <w:vAlign w:val="center"/>
          </w:tcPr>
          <w:p w:rsidR="003B0815" w:rsidRDefault="003B0815" w14:paraId="5C284510" w14:textId="77777777">
            <w:pPr>
              <w:keepNext/>
              <w:rPr>
                <w:rFonts w:ascii="Arial" w:hAnsi="Arial" w:cs="Arial"/>
                <w:b/>
                <w:sz w:val="20"/>
                <w:szCs w:val="20"/>
              </w:rPr>
            </w:pPr>
            <w:r>
              <w:rPr>
                <w:rFonts w:ascii="Arial" w:hAnsi="Arial" w:cs="Arial"/>
                <w:b/>
                <w:sz w:val="20"/>
                <w:szCs w:val="20"/>
              </w:rPr>
              <w:t>(A)</w:t>
            </w:r>
          </w:p>
        </w:tc>
        <w:tc>
          <w:tcPr>
            <w:tcW w:w="734" w:type="dxa"/>
            <w:tcBorders>
              <w:top w:val="single" w:color="auto" w:sz="18" w:space="0"/>
              <w:left w:val="nil"/>
              <w:bottom w:val="nil"/>
              <w:right w:val="nil"/>
            </w:tcBorders>
            <w:vAlign w:val="center"/>
          </w:tcPr>
          <w:p w:rsidR="003B0815" w:rsidRDefault="003B0815" w14:paraId="0FEE5F1E" w14:textId="77777777">
            <w:pPr>
              <w:keepNext/>
              <w:jc w:val="center"/>
              <w:rPr>
                <w:rFonts w:ascii="Arial" w:hAnsi="Arial" w:cs="Arial"/>
                <w:sz w:val="20"/>
                <w:szCs w:val="20"/>
              </w:rPr>
            </w:pPr>
          </w:p>
        </w:tc>
        <w:tc>
          <w:tcPr>
            <w:tcW w:w="900" w:type="dxa"/>
            <w:tcBorders>
              <w:top w:val="single" w:color="auto" w:sz="18" w:space="0"/>
              <w:left w:val="nil"/>
              <w:bottom w:val="nil"/>
              <w:right w:val="nil"/>
            </w:tcBorders>
            <w:vAlign w:val="bottom"/>
          </w:tcPr>
          <w:p w:rsidR="003B0815" w:rsidRDefault="003B0815" w14:paraId="46C3AF61" w14:textId="77777777">
            <w:pPr>
              <w:keepNext/>
              <w:jc w:val="center"/>
              <w:rPr>
                <w:rFonts w:ascii="Arial" w:hAnsi="Arial" w:cs="Arial"/>
                <w:sz w:val="20"/>
                <w:szCs w:val="20"/>
              </w:rPr>
            </w:pPr>
            <w:r>
              <w:rPr>
                <w:rFonts w:ascii="Arial" w:hAnsi="Arial" w:cs="Arial"/>
                <w:sz w:val="20"/>
                <w:szCs w:val="20"/>
              </w:rPr>
              <w:t>$47,120</w:t>
            </w:r>
          </w:p>
        </w:tc>
        <w:tc>
          <w:tcPr>
            <w:tcW w:w="900" w:type="dxa"/>
            <w:tcBorders>
              <w:top w:val="single" w:color="auto" w:sz="18" w:space="0"/>
              <w:left w:val="nil"/>
              <w:bottom w:val="nil"/>
              <w:right w:val="nil"/>
            </w:tcBorders>
            <w:vAlign w:val="center"/>
          </w:tcPr>
          <w:p w:rsidR="003B0815" w:rsidRDefault="003B0815" w14:paraId="5C2BFFE4" w14:textId="77777777">
            <w:pPr>
              <w:keepNext/>
              <w:jc w:val="center"/>
              <w:rPr>
                <w:rFonts w:ascii="Arial" w:hAnsi="Arial" w:cs="Arial"/>
                <w:sz w:val="20"/>
                <w:szCs w:val="20"/>
              </w:rPr>
            </w:pPr>
          </w:p>
        </w:tc>
        <w:tc>
          <w:tcPr>
            <w:tcW w:w="900" w:type="dxa"/>
            <w:tcBorders>
              <w:top w:val="single" w:color="auto" w:sz="18" w:space="0"/>
              <w:left w:val="nil"/>
              <w:bottom w:val="nil"/>
              <w:right w:val="nil"/>
            </w:tcBorders>
            <w:vAlign w:val="center"/>
          </w:tcPr>
          <w:p w:rsidR="003B0815" w:rsidRDefault="003B0815" w14:paraId="1F04BE00" w14:textId="77777777">
            <w:pPr>
              <w:keepNext/>
              <w:jc w:val="center"/>
              <w:rPr>
                <w:rFonts w:ascii="Arial" w:hAnsi="Arial" w:cs="Arial"/>
                <w:sz w:val="20"/>
                <w:szCs w:val="20"/>
              </w:rPr>
            </w:pPr>
          </w:p>
        </w:tc>
        <w:tc>
          <w:tcPr>
            <w:tcW w:w="1080" w:type="dxa"/>
            <w:tcBorders>
              <w:top w:val="single" w:color="auto" w:sz="18" w:space="0"/>
              <w:left w:val="nil"/>
              <w:bottom w:val="nil"/>
              <w:right w:val="nil"/>
            </w:tcBorders>
            <w:vAlign w:val="bottom"/>
          </w:tcPr>
          <w:p w:rsidR="003B0815" w:rsidRDefault="003B0815" w14:paraId="13F9B642" w14:textId="77777777">
            <w:pPr>
              <w:keepNext/>
              <w:jc w:val="center"/>
              <w:rPr>
                <w:rFonts w:ascii="Arial" w:hAnsi="Arial" w:cs="Arial"/>
                <w:sz w:val="20"/>
                <w:szCs w:val="20"/>
              </w:rPr>
            </w:pPr>
            <w:r>
              <w:rPr>
                <w:rFonts w:ascii="Arial" w:hAnsi="Arial" w:cs="Arial"/>
                <w:sz w:val="20"/>
                <w:szCs w:val="20"/>
              </w:rPr>
              <w:t>$3,500,000</w:t>
            </w:r>
          </w:p>
        </w:tc>
        <w:tc>
          <w:tcPr>
            <w:tcW w:w="1080" w:type="dxa"/>
            <w:tcBorders>
              <w:top w:val="single" w:color="auto" w:sz="18" w:space="0"/>
              <w:left w:val="nil"/>
              <w:bottom w:val="nil"/>
              <w:right w:val="single" w:color="auto" w:sz="18" w:space="0"/>
            </w:tcBorders>
            <w:vAlign w:val="center"/>
          </w:tcPr>
          <w:p w:rsidR="003B0815" w:rsidRDefault="003B0815" w14:paraId="6DD1B48D" w14:textId="77777777">
            <w:pPr>
              <w:keepNext/>
              <w:jc w:val="center"/>
              <w:rPr>
                <w:rFonts w:ascii="Arial" w:hAnsi="Arial" w:cs="Arial"/>
                <w:sz w:val="20"/>
                <w:szCs w:val="20"/>
              </w:rPr>
            </w:pPr>
          </w:p>
        </w:tc>
      </w:tr>
      <w:tr w:rsidR="003B0815" w14:paraId="7D6782E1" w14:textId="77777777">
        <w:trPr>
          <w:jc w:val="center"/>
        </w:trPr>
        <w:tc>
          <w:tcPr>
            <w:tcW w:w="2729" w:type="dxa"/>
            <w:tcBorders>
              <w:top w:val="nil"/>
              <w:left w:val="single" w:color="auto" w:sz="18" w:space="0"/>
              <w:bottom w:val="nil"/>
              <w:right w:val="nil"/>
            </w:tcBorders>
            <w:vAlign w:val="bottom"/>
          </w:tcPr>
          <w:p w:rsidR="003B0815" w:rsidRDefault="003B0815" w14:paraId="5CB1B26A" w14:textId="77777777">
            <w:pPr>
              <w:keepNext/>
              <w:rPr>
                <w:rFonts w:ascii="Arial" w:hAnsi="Arial" w:cs="Arial"/>
                <w:b/>
                <w:sz w:val="20"/>
                <w:szCs w:val="20"/>
              </w:rPr>
            </w:pPr>
            <w:r>
              <w:rPr>
                <w:rFonts w:ascii="Arial" w:hAnsi="Arial" w:cs="Arial"/>
                <w:b/>
                <w:sz w:val="20"/>
                <w:szCs w:val="20"/>
              </w:rPr>
              <w:t>Avg. per Reservations</w:t>
            </w:r>
          </w:p>
        </w:tc>
        <w:tc>
          <w:tcPr>
            <w:tcW w:w="1066" w:type="dxa"/>
            <w:tcBorders>
              <w:top w:val="nil"/>
              <w:left w:val="nil"/>
              <w:bottom w:val="nil"/>
              <w:right w:val="nil"/>
            </w:tcBorders>
            <w:vAlign w:val="center"/>
          </w:tcPr>
          <w:p w:rsidR="003B0815" w:rsidRDefault="003B0815" w14:paraId="2816642D" w14:textId="77777777">
            <w:pPr>
              <w:keepNext/>
              <w:rPr>
                <w:rFonts w:ascii="Arial" w:hAnsi="Arial" w:cs="Arial"/>
                <w:b/>
                <w:sz w:val="20"/>
                <w:szCs w:val="20"/>
              </w:rPr>
            </w:pPr>
            <w:r>
              <w:rPr>
                <w:rFonts w:ascii="Arial" w:hAnsi="Arial" w:cs="Arial"/>
                <w:b/>
                <w:sz w:val="20"/>
                <w:szCs w:val="20"/>
              </w:rPr>
              <w:t>(B)</w:t>
            </w:r>
          </w:p>
        </w:tc>
        <w:tc>
          <w:tcPr>
            <w:tcW w:w="734" w:type="dxa"/>
            <w:tcBorders>
              <w:top w:val="nil"/>
              <w:left w:val="nil"/>
              <w:bottom w:val="nil"/>
              <w:right w:val="nil"/>
            </w:tcBorders>
            <w:vAlign w:val="center"/>
          </w:tcPr>
          <w:p w:rsidR="003B0815" w:rsidRDefault="003B0815" w14:paraId="7E0DD9C0" w14:textId="77777777">
            <w:pPr>
              <w:keepNext/>
              <w:jc w:val="center"/>
              <w:rPr>
                <w:rFonts w:ascii="Arial" w:hAnsi="Arial" w:cs="Arial"/>
                <w:sz w:val="20"/>
                <w:szCs w:val="20"/>
              </w:rPr>
            </w:pPr>
          </w:p>
        </w:tc>
        <w:tc>
          <w:tcPr>
            <w:tcW w:w="900" w:type="dxa"/>
            <w:tcBorders>
              <w:top w:val="nil"/>
              <w:left w:val="nil"/>
              <w:bottom w:val="nil"/>
              <w:right w:val="nil"/>
            </w:tcBorders>
            <w:vAlign w:val="bottom"/>
          </w:tcPr>
          <w:p w:rsidR="003B0815" w:rsidRDefault="003B0815" w14:paraId="74679EEC" w14:textId="77777777">
            <w:pPr>
              <w:keepNext/>
              <w:jc w:val="center"/>
              <w:rPr>
                <w:rFonts w:ascii="Arial" w:hAnsi="Arial" w:cs="Arial"/>
                <w:sz w:val="20"/>
                <w:szCs w:val="20"/>
              </w:rPr>
            </w:pPr>
            <w:r>
              <w:rPr>
                <w:rFonts w:ascii="Arial" w:hAnsi="Arial" w:cs="Arial"/>
                <w:sz w:val="20"/>
                <w:szCs w:val="20"/>
              </w:rPr>
              <w:t>$378</w:t>
            </w:r>
          </w:p>
        </w:tc>
        <w:tc>
          <w:tcPr>
            <w:tcW w:w="900" w:type="dxa"/>
            <w:tcBorders>
              <w:top w:val="nil"/>
              <w:left w:val="nil"/>
              <w:bottom w:val="nil"/>
              <w:right w:val="nil"/>
            </w:tcBorders>
            <w:vAlign w:val="center"/>
          </w:tcPr>
          <w:p w:rsidR="003B0815" w:rsidRDefault="003B0815" w14:paraId="4648AD75"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6D3346BB" w14:textId="77777777">
            <w:pPr>
              <w:keepNext/>
              <w:jc w:val="center"/>
              <w:rPr>
                <w:rFonts w:ascii="Arial" w:hAnsi="Arial" w:cs="Arial"/>
                <w:sz w:val="20"/>
                <w:szCs w:val="20"/>
              </w:rPr>
            </w:pPr>
          </w:p>
        </w:tc>
        <w:tc>
          <w:tcPr>
            <w:tcW w:w="1080" w:type="dxa"/>
            <w:tcBorders>
              <w:top w:val="nil"/>
              <w:left w:val="nil"/>
              <w:bottom w:val="nil"/>
              <w:right w:val="nil"/>
            </w:tcBorders>
            <w:vAlign w:val="bottom"/>
          </w:tcPr>
          <w:p w:rsidR="003B0815" w:rsidRDefault="003B0815" w14:paraId="632D5CFB" w14:textId="77777777">
            <w:pPr>
              <w:keepNext/>
              <w:jc w:val="center"/>
              <w:rPr>
                <w:rFonts w:ascii="Arial" w:hAnsi="Arial" w:cs="Arial"/>
                <w:sz w:val="20"/>
                <w:szCs w:val="20"/>
              </w:rPr>
            </w:pPr>
            <w:r>
              <w:rPr>
                <w:rFonts w:ascii="Arial" w:hAnsi="Arial" w:cs="Arial"/>
                <w:sz w:val="20"/>
                <w:szCs w:val="20"/>
              </w:rPr>
              <w:t>$378</w:t>
            </w:r>
          </w:p>
        </w:tc>
        <w:tc>
          <w:tcPr>
            <w:tcW w:w="1080" w:type="dxa"/>
            <w:tcBorders>
              <w:top w:val="nil"/>
              <w:left w:val="nil"/>
              <w:bottom w:val="nil"/>
              <w:right w:val="single" w:color="auto" w:sz="18" w:space="0"/>
            </w:tcBorders>
            <w:vAlign w:val="center"/>
          </w:tcPr>
          <w:p w:rsidR="003B0815" w:rsidRDefault="003B0815" w14:paraId="5E54FC7F" w14:textId="77777777">
            <w:pPr>
              <w:keepNext/>
              <w:jc w:val="center"/>
              <w:rPr>
                <w:rFonts w:ascii="Arial" w:hAnsi="Arial" w:cs="Arial"/>
                <w:sz w:val="20"/>
                <w:szCs w:val="20"/>
              </w:rPr>
            </w:pPr>
          </w:p>
        </w:tc>
      </w:tr>
      <w:tr w:rsidR="003B0815" w14:paraId="18635D75" w14:textId="77777777">
        <w:trPr>
          <w:jc w:val="center"/>
        </w:trPr>
        <w:tc>
          <w:tcPr>
            <w:tcW w:w="2729" w:type="dxa"/>
            <w:tcBorders>
              <w:top w:val="nil"/>
              <w:left w:val="single" w:color="auto" w:sz="18" w:space="0"/>
              <w:bottom w:val="nil"/>
              <w:right w:val="nil"/>
            </w:tcBorders>
            <w:vAlign w:val="bottom"/>
          </w:tcPr>
          <w:p w:rsidR="003B0815" w:rsidRDefault="003B0815" w14:paraId="0714DD6A" w14:textId="77777777">
            <w:pPr>
              <w:keepNext/>
              <w:rPr>
                <w:rFonts w:ascii="Arial" w:hAnsi="Arial" w:cs="Arial"/>
                <w:b/>
                <w:sz w:val="20"/>
                <w:szCs w:val="20"/>
              </w:rPr>
            </w:pPr>
            <w:r>
              <w:rPr>
                <w:rFonts w:ascii="Arial" w:hAnsi="Arial" w:cs="Arial"/>
                <w:b/>
                <w:sz w:val="20"/>
                <w:szCs w:val="20"/>
              </w:rPr>
              <w:t>Annual Reservations</w:t>
            </w:r>
          </w:p>
        </w:tc>
        <w:tc>
          <w:tcPr>
            <w:tcW w:w="1066" w:type="dxa"/>
            <w:tcBorders>
              <w:top w:val="nil"/>
              <w:left w:val="nil"/>
              <w:bottom w:val="nil"/>
              <w:right w:val="nil"/>
            </w:tcBorders>
            <w:vAlign w:val="center"/>
          </w:tcPr>
          <w:p w:rsidR="003B0815" w:rsidRDefault="003B0815" w14:paraId="467EDFBC" w14:textId="77777777">
            <w:pPr>
              <w:keepNext/>
              <w:rPr>
                <w:rFonts w:ascii="Arial" w:hAnsi="Arial" w:cs="Arial"/>
                <w:b/>
                <w:sz w:val="20"/>
                <w:szCs w:val="20"/>
              </w:rPr>
            </w:pPr>
            <w:r>
              <w:rPr>
                <w:rFonts w:ascii="Arial" w:hAnsi="Arial" w:cs="Arial"/>
                <w:b/>
                <w:sz w:val="20"/>
                <w:szCs w:val="20"/>
              </w:rPr>
              <w:t>(C) = A/B</w:t>
            </w:r>
          </w:p>
        </w:tc>
        <w:tc>
          <w:tcPr>
            <w:tcW w:w="734" w:type="dxa"/>
            <w:tcBorders>
              <w:top w:val="nil"/>
              <w:left w:val="nil"/>
              <w:bottom w:val="nil"/>
              <w:right w:val="nil"/>
            </w:tcBorders>
            <w:vAlign w:val="center"/>
          </w:tcPr>
          <w:p w:rsidR="003B0815" w:rsidRDefault="003B0815" w14:paraId="0C59F9EE"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72D5CFA3" w14:textId="77777777">
            <w:pPr>
              <w:keepNext/>
              <w:jc w:val="center"/>
              <w:rPr>
                <w:rFonts w:ascii="Arial" w:hAnsi="Arial" w:cs="Arial"/>
                <w:sz w:val="20"/>
                <w:szCs w:val="20"/>
              </w:rPr>
            </w:pPr>
            <w:r>
              <w:rPr>
                <w:rFonts w:ascii="Arial" w:hAnsi="Arial" w:cs="Arial"/>
                <w:sz w:val="20"/>
                <w:szCs w:val="20"/>
              </w:rPr>
              <w:t>124</w:t>
            </w:r>
          </w:p>
        </w:tc>
        <w:tc>
          <w:tcPr>
            <w:tcW w:w="900" w:type="dxa"/>
            <w:tcBorders>
              <w:top w:val="nil"/>
              <w:left w:val="nil"/>
              <w:bottom w:val="nil"/>
              <w:right w:val="nil"/>
            </w:tcBorders>
            <w:vAlign w:val="center"/>
          </w:tcPr>
          <w:p w:rsidR="003B0815" w:rsidRDefault="003B0815" w14:paraId="0F8B988E"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79682845" w14:textId="77777777">
            <w:pPr>
              <w:keepNext/>
              <w:jc w:val="center"/>
              <w:rPr>
                <w:rFonts w:ascii="Arial" w:hAnsi="Arial" w:cs="Arial"/>
                <w:sz w:val="20"/>
                <w:szCs w:val="20"/>
              </w:rPr>
            </w:pPr>
          </w:p>
        </w:tc>
        <w:tc>
          <w:tcPr>
            <w:tcW w:w="1080" w:type="dxa"/>
            <w:tcBorders>
              <w:top w:val="nil"/>
              <w:left w:val="nil"/>
              <w:bottom w:val="nil"/>
              <w:right w:val="nil"/>
            </w:tcBorders>
            <w:vAlign w:val="center"/>
          </w:tcPr>
          <w:p w:rsidR="003B0815" w:rsidRDefault="003B0815" w14:paraId="2BDDD11C" w14:textId="77777777">
            <w:pPr>
              <w:keepNext/>
              <w:jc w:val="center"/>
              <w:rPr>
                <w:rFonts w:ascii="Arial" w:hAnsi="Arial" w:cs="Arial"/>
                <w:sz w:val="20"/>
                <w:szCs w:val="20"/>
              </w:rPr>
            </w:pPr>
            <w:r>
              <w:rPr>
                <w:rFonts w:ascii="Arial" w:hAnsi="Arial" w:cs="Arial"/>
                <w:sz w:val="20"/>
                <w:szCs w:val="20"/>
              </w:rPr>
              <w:t>9,259</w:t>
            </w:r>
          </w:p>
        </w:tc>
        <w:tc>
          <w:tcPr>
            <w:tcW w:w="1080" w:type="dxa"/>
            <w:tcBorders>
              <w:top w:val="nil"/>
              <w:left w:val="nil"/>
              <w:bottom w:val="nil"/>
              <w:right w:val="single" w:color="auto" w:sz="18" w:space="0"/>
            </w:tcBorders>
            <w:vAlign w:val="center"/>
          </w:tcPr>
          <w:p w:rsidR="003B0815" w:rsidRDefault="003B0815" w14:paraId="77ABE454" w14:textId="77777777">
            <w:pPr>
              <w:keepNext/>
              <w:jc w:val="center"/>
              <w:rPr>
                <w:rFonts w:ascii="Arial" w:hAnsi="Arial" w:cs="Arial"/>
                <w:sz w:val="20"/>
                <w:szCs w:val="20"/>
              </w:rPr>
            </w:pPr>
          </w:p>
        </w:tc>
      </w:tr>
      <w:tr w:rsidR="003B0815" w14:paraId="1EFC6C3F" w14:textId="77777777">
        <w:trPr>
          <w:jc w:val="center"/>
        </w:trPr>
        <w:tc>
          <w:tcPr>
            <w:tcW w:w="2729" w:type="dxa"/>
            <w:tcBorders>
              <w:top w:val="nil"/>
              <w:left w:val="single" w:color="auto" w:sz="18" w:space="0"/>
              <w:bottom w:val="nil"/>
              <w:right w:val="nil"/>
            </w:tcBorders>
            <w:vAlign w:val="bottom"/>
          </w:tcPr>
          <w:p w:rsidR="003B0815" w:rsidRDefault="003B0815" w14:paraId="37051D8F" w14:textId="77777777">
            <w:pPr>
              <w:keepNext/>
              <w:rPr>
                <w:rFonts w:ascii="Arial" w:hAnsi="Arial" w:cs="Arial"/>
                <w:b/>
                <w:sz w:val="20"/>
                <w:szCs w:val="20"/>
              </w:rPr>
            </w:pPr>
            <w:r>
              <w:rPr>
                <w:rFonts w:ascii="Arial" w:hAnsi="Arial" w:cs="Arial"/>
                <w:b/>
                <w:sz w:val="20"/>
                <w:szCs w:val="20"/>
              </w:rPr>
              <w:t>Add’l hours. per reservation</w:t>
            </w:r>
          </w:p>
        </w:tc>
        <w:tc>
          <w:tcPr>
            <w:tcW w:w="1066" w:type="dxa"/>
            <w:tcBorders>
              <w:top w:val="nil"/>
              <w:left w:val="nil"/>
              <w:bottom w:val="nil"/>
              <w:right w:val="nil"/>
            </w:tcBorders>
            <w:vAlign w:val="center"/>
          </w:tcPr>
          <w:p w:rsidR="003B0815" w:rsidRDefault="003B0815" w14:paraId="5A4BB86F" w14:textId="77777777">
            <w:pPr>
              <w:keepNext/>
              <w:rPr>
                <w:rFonts w:ascii="Arial" w:hAnsi="Arial" w:cs="Arial"/>
                <w:b/>
                <w:sz w:val="20"/>
                <w:szCs w:val="20"/>
              </w:rPr>
            </w:pPr>
            <w:r>
              <w:rPr>
                <w:rFonts w:ascii="Arial" w:hAnsi="Arial" w:cs="Arial"/>
                <w:b/>
                <w:sz w:val="20"/>
                <w:szCs w:val="20"/>
              </w:rPr>
              <w:t>(D)</w:t>
            </w:r>
          </w:p>
        </w:tc>
        <w:tc>
          <w:tcPr>
            <w:tcW w:w="734" w:type="dxa"/>
            <w:tcBorders>
              <w:top w:val="nil"/>
              <w:left w:val="nil"/>
              <w:bottom w:val="nil"/>
              <w:right w:val="nil"/>
            </w:tcBorders>
            <w:vAlign w:val="center"/>
          </w:tcPr>
          <w:p w:rsidR="003B0815" w:rsidRDefault="003B0815" w14:paraId="25EF7116"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6DD22F02" w14:textId="77777777">
            <w:pPr>
              <w:keepNext/>
              <w:jc w:val="center"/>
              <w:rPr>
                <w:rFonts w:ascii="Arial" w:hAnsi="Arial" w:cs="Arial"/>
                <w:sz w:val="20"/>
                <w:szCs w:val="20"/>
              </w:rPr>
            </w:pPr>
            <w:r>
              <w:rPr>
                <w:rFonts w:ascii="Arial" w:hAnsi="Arial" w:cs="Arial"/>
                <w:sz w:val="20"/>
                <w:szCs w:val="20"/>
              </w:rPr>
              <w:t>0.0083</w:t>
            </w:r>
          </w:p>
        </w:tc>
        <w:tc>
          <w:tcPr>
            <w:tcW w:w="900" w:type="dxa"/>
            <w:tcBorders>
              <w:top w:val="nil"/>
              <w:left w:val="nil"/>
              <w:bottom w:val="nil"/>
              <w:right w:val="nil"/>
            </w:tcBorders>
            <w:vAlign w:val="center"/>
          </w:tcPr>
          <w:p w:rsidR="003B0815" w:rsidRDefault="003B0815" w14:paraId="33624DA6"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5D499EC3" w14:textId="77777777">
            <w:pPr>
              <w:keepNext/>
              <w:jc w:val="center"/>
              <w:rPr>
                <w:rFonts w:ascii="Arial" w:hAnsi="Arial" w:cs="Arial"/>
                <w:sz w:val="20"/>
                <w:szCs w:val="20"/>
              </w:rPr>
            </w:pPr>
          </w:p>
        </w:tc>
        <w:tc>
          <w:tcPr>
            <w:tcW w:w="1080" w:type="dxa"/>
            <w:tcBorders>
              <w:top w:val="nil"/>
              <w:left w:val="nil"/>
              <w:bottom w:val="nil"/>
              <w:right w:val="nil"/>
            </w:tcBorders>
            <w:vAlign w:val="center"/>
          </w:tcPr>
          <w:p w:rsidR="003B0815" w:rsidRDefault="003B0815" w14:paraId="6C5C874A" w14:textId="77777777">
            <w:pPr>
              <w:keepNext/>
              <w:jc w:val="center"/>
              <w:rPr>
                <w:rFonts w:ascii="Arial" w:hAnsi="Arial" w:cs="Arial"/>
                <w:sz w:val="20"/>
                <w:szCs w:val="20"/>
              </w:rPr>
            </w:pPr>
            <w:r>
              <w:rPr>
                <w:rFonts w:ascii="Arial" w:hAnsi="Arial" w:cs="Arial"/>
                <w:sz w:val="20"/>
                <w:szCs w:val="20"/>
              </w:rPr>
              <w:t>0.0083</w:t>
            </w:r>
          </w:p>
        </w:tc>
        <w:tc>
          <w:tcPr>
            <w:tcW w:w="1080" w:type="dxa"/>
            <w:tcBorders>
              <w:top w:val="nil"/>
              <w:left w:val="nil"/>
              <w:bottom w:val="nil"/>
              <w:right w:val="single" w:color="auto" w:sz="18" w:space="0"/>
            </w:tcBorders>
            <w:vAlign w:val="center"/>
          </w:tcPr>
          <w:p w:rsidR="003B0815" w:rsidRDefault="003B0815" w14:paraId="34BF03AA" w14:textId="77777777">
            <w:pPr>
              <w:keepNext/>
              <w:jc w:val="center"/>
              <w:rPr>
                <w:rFonts w:ascii="Arial" w:hAnsi="Arial" w:cs="Arial"/>
                <w:sz w:val="20"/>
                <w:szCs w:val="20"/>
              </w:rPr>
            </w:pPr>
          </w:p>
        </w:tc>
      </w:tr>
      <w:tr w:rsidR="003B0815" w14:paraId="6280A35C" w14:textId="77777777">
        <w:trPr>
          <w:jc w:val="center"/>
        </w:trPr>
        <w:tc>
          <w:tcPr>
            <w:tcW w:w="2729" w:type="dxa"/>
            <w:tcBorders>
              <w:top w:val="nil"/>
              <w:left w:val="single" w:color="auto" w:sz="18" w:space="0"/>
              <w:bottom w:val="nil"/>
              <w:right w:val="nil"/>
            </w:tcBorders>
            <w:vAlign w:val="bottom"/>
          </w:tcPr>
          <w:p w:rsidR="003B0815" w:rsidRDefault="003B0815" w14:paraId="54D17E68" w14:textId="77777777">
            <w:pPr>
              <w:keepNext/>
              <w:rPr>
                <w:rFonts w:ascii="Arial" w:hAnsi="Arial" w:cs="Arial"/>
                <w:b/>
                <w:sz w:val="20"/>
                <w:szCs w:val="20"/>
              </w:rPr>
            </w:pPr>
            <w:r>
              <w:rPr>
                <w:rFonts w:ascii="Arial" w:hAnsi="Arial" w:cs="Arial"/>
                <w:b/>
                <w:sz w:val="20"/>
                <w:szCs w:val="20"/>
              </w:rPr>
              <w:t>Add’l Annual hours</w:t>
            </w:r>
          </w:p>
        </w:tc>
        <w:tc>
          <w:tcPr>
            <w:tcW w:w="1066" w:type="dxa"/>
            <w:tcBorders>
              <w:top w:val="nil"/>
              <w:left w:val="nil"/>
              <w:bottom w:val="nil"/>
              <w:right w:val="nil"/>
            </w:tcBorders>
            <w:vAlign w:val="center"/>
          </w:tcPr>
          <w:p w:rsidR="003B0815" w:rsidRDefault="003B0815" w14:paraId="03EB4D9A" w14:textId="77777777">
            <w:pPr>
              <w:keepNext/>
              <w:rPr>
                <w:rFonts w:ascii="Arial" w:hAnsi="Arial" w:cs="Arial"/>
                <w:b/>
                <w:sz w:val="20"/>
                <w:szCs w:val="20"/>
              </w:rPr>
            </w:pPr>
            <w:r>
              <w:rPr>
                <w:rFonts w:ascii="Arial" w:hAnsi="Arial" w:cs="Arial"/>
                <w:b/>
                <w:sz w:val="20"/>
                <w:szCs w:val="20"/>
              </w:rPr>
              <w:t>(E) = C*D</w:t>
            </w:r>
          </w:p>
        </w:tc>
        <w:tc>
          <w:tcPr>
            <w:tcW w:w="734" w:type="dxa"/>
            <w:tcBorders>
              <w:top w:val="nil"/>
              <w:left w:val="nil"/>
              <w:bottom w:val="nil"/>
              <w:right w:val="nil"/>
            </w:tcBorders>
            <w:vAlign w:val="center"/>
          </w:tcPr>
          <w:p w:rsidR="003B0815" w:rsidRDefault="003B0815" w14:paraId="750CBD0C"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04BD66BB" w14:textId="77777777">
            <w:pPr>
              <w:keepNext/>
              <w:jc w:val="center"/>
              <w:rPr>
                <w:rFonts w:ascii="Arial" w:hAnsi="Arial" w:cs="Arial"/>
                <w:sz w:val="20"/>
                <w:szCs w:val="20"/>
              </w:rPr>
            </w:pPr>
            <w:r>
              <w:rPr>
                <w:rFonts w:ascii="Arial" w:hAnsi="Arial" w:cs="Arial"/>
                <w:sz w:val="20"/>
                <w:szCs w:val="20"/>
              </w:rPr>
              <w:t>1.03</w:t>
            </w:r>
          </w:p>
        </w:tc>
        <w:tc>
          <w:tcPr>
            <w:tcW w:w="900" w:type="dxa"/>
            <w:tcBorders>
              <w:top w:val="nil"/>
              <w:left w:val="nil"/>
              <w:bottom w:val="nil"/>
              <w:right w:val="nil"/>
            </w:tcBorders>
            <w:vAlign w:val="center"/>
          </w:tcPr>
          <w:p w:rsidR="003B0815" w:rsidRDefault="003B0815" w14:paraId="711AC0AA"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2A5E2475" w14:textId="77777777">
            <w:pPr>
              <w:keepNext/>
              <w:jc w:val="center"/>
              <w:rPr>
                <w:rFonts w:ascii="Arial" w:hAnsi="Arial" w:cs="Arial"/>
                <w:sz w:val="20"/>
                <w:szCs w:val="20"/>
              </w:rPr>
            </w:pPr>
          </w:p>
        </w:tc>
        <w:tc>
          <w:tcPr>
            <w:tcW w:w="1080" w:type="dxa"/>
            <w:tcBorders>
              <w:top w:val="nil"/>
              <w:left w:val="nil"/>
              <w:bottom w:val="nil"/>
              <w:right w:val="nil"/>
            </w:tcBorders>
            <w:vAlign w:val="center"/>
          </w:tcPr>
          <w:p w:rsidR="003B0815" w:rsidRDefault="003B0815" w14:paraId="78A96927" w14:textId="77777777">
            <w:pPr>
              <w:keepNext/>
              <w:jc w:val="center"/>
              <w:rPr>
                <w:rFonts w:ascii="Arial" w:hAnsi="Arial" w:cs="Arial"/>
                <w:sz w:val="20"/>
                <w:szCs w:val="20"/>
              </w:rPr>
            </w:pPr>
            <w:r>
              <w:rPr>
                <w:rFonts w:ascii="Arial" w:hAnsi="Arial" w:cs="Arial"/>
                <w:sz w:val="20"/>
                <w:szCs w:val="20"/>
              </w:rPr>
              <w:t>76.85</w:t>
            </w:r>
          </w:p>
        </w:tc>
        <w:tc>
          <w:tcPr>
            <w:tcW w:w="1080" w:type="dxa"/>
            <w:tcBorders>
              <w:top w:val="nil"/>
              <w:left w:val="nil"/>
              <w:bottom w:val="nil"/>
              <w:right w:val="single" w:color="auto" w:sz="18" w:space="0"/>
            </w:tcBorders>
            <w:vAlign w:val="center"/>
          </w:tcPr>
          <w:p w:rsidR="003B0815" w:rsidRDefault="003B0815" w14:paraId="1633F668" w14:textId="77777777">
            <w:pPr>
              <w:keepNext/>
              <w:jc w:val="center"/>
              <w:rPr>
                <w:rFonts w:ascii="Arial" w:hAnsi="Arial" w:cs="Arial"/>
                <w:sz w:val="20"/>
                <w:szCs w:val="20"/>
              </w:rPr>
            </w:pPr>
          </w:p>
        </w:tc>
      </w:tr>
      <w:tr w:rsidR="003B0815" w14:paraId="30046756" w14:textId="77777777">
        <w:trPr>
          <w:jc w:val="center"/>
        </w:trPr>
        <w:tc>
          <w:tcPr>
            <w:tcW w:w="2729" w:type="dxa"/>
            <w:tcBorders>
              <w:top w:val="nil"/>
              <w:left w:val="single" w:color="auto" w:sz="18" w:space="0"/>
              <w:bottom w:val="nil"/>
              <w:right w:val="nil"/>
            </w:tcBorders>
            <w:vAlign w:val="bottom"/>
          </w:tcPr>
          <w:p w:rsidR="003B0815" w:rsidRDefault="003B0815" w14:paraId="7C07E75F" w14:textId="77777777">
            <w:pPr>
              <w:keepNext/>
              <w:rPr>
                <w:rFonts w:ascii="Arial" w:hAnsi="Arial" w:cs="Arial"/>
                <w:b/>
                <w:sz w:val="20"/>
                <w:szCs w:val="20"/>
              </w:rPr>
            </w:pPr>
            <w:r>
              <w:rPr>
                <w:rFonts w:ascii="Arial" w:hAnsi="Arial" w:cs="Arial"/>
                <w:b/>
                <w:sz w:val="20"/>
                <w:szCs w:val="20"/>
              </w:rPr>
              <w:t>Avg. Agent Hourly Wage</w:t>
            </w:r>
          </w:p>
        </w:tc>
        <w:tc>
          <w:tcPr>
            <w:tcW w:w="1066" w:type="dxa"/>
            <w:tcBorders>
              <w:top w:val="nil"/>
              <w:left w:val="nil"/>
              <w:bottom w:val="nil"/>
              <w:right w:val="nil"/>
            </w:tcBorders>
            <w:vAlign w:val="center"/>
          </w:tcPr>
          <w:p w:rsidR="003B0815" w:rsidRDefault="003B0815" w14:paraId="56441761" w14:textId="77777777">
            <w:pPr>
              <w:keepNext/>
              <w:rPr>
                <w:rFonts w:ascii="Arial" w:hAnsi="Arial" w:cs="Arial"/>
                <w:b/>
                <w:sz w:val="20"/>
                <w:szCs w:val="20"/>
              </w:rPr>
            </w:pPr>
            <w:r>
              <w:rPr>
                <w:rFonts w:ascii="Arial" w:hAnsi="Arial" w:cs="Arial"/>
                <w:b/>
                <w:sz w:val="20"/>
                <w:szCs w:val="20"/>
              </w:rPr>
              <w:t>(C)</w:t>
            </w:r>
          </w:p>
        </w:tc>
        <w:tc>
          <w:tcPr>
            <w:tcW w:w="734" w:type="dxa"/>
            <w:tcBorders>
              <w:top w:val="nil"/>
              <w:left w:val="nil"/>
              <w:bottom w:val="nil"/>
              <w:right w:val="nil"/>
            </w:tcBorders>
            <w:vAlign w:val="center"/>
          </w:tcPr>
          <w:p w:rsidR="003B0815" w:rsidRDefault="003B0815" w14:paraId="0D41C56C"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2F3F8A44" w14:textId="77777777">
            <w:pPr>
              <w:keepNext/>
              <w:jc w:val="center"/>
              <w:rPr>
                <w:rFonts w:ascii="Arial" w:hAnsi="Arial" w:cs="Arial"/>
                <w:sz w:val="20"/>
                <w:szCs w:val="20"/>
              </w:rPr>
            </w:pPr>
            <w:r>
              <w:rPr>
                <w:rFonts w:ascii="Arial" w:hAnsi="Arial" w:cs="Arial"/>
                <w:sz w:val="20"/>
                <w:szCs w:val="20"/>
              </w:rPr>
              <w:t>$20.69</w:t>
            </w:r>
          </w:p>
        </w:tc>
        <w:tc>
          <w:tcPr>
            <w:tcW w:w="900" w:type="dxa"/>
            <w:tcBorders>
              <w:top w:val="nil"/>
              <w:left w:val="nil"/>
              <w:bottom w:val="nil"/>
              <w:right w:val="nil"/>
            </w:tcBorders>
            <w:vAlign w:val="center"/>
          </w:tcPr>
          <w:p w:rsidR="003B0815" w:rsidRDefault="003B0815" w14:paraId="33A817DD" w14:textId="77777777">
            <w:pPr>
              <w:keepNext/>
              <w:jc w:val="center"/>
              <w:rPr>
                <w:rFonts w:ascii="Arial" w:hAnsi="Arial" w:cs="Arial"/>
                <w:sz w:val="20"/>
                <w:szCs w:val="20"/>
              </w:rPr>
            </w:pPr>
          </w:p>
        </w:tc>
        <w:tc>
          <w:tcPr>
            <w:tcW w:w="900" w:type="dxa"/>
            <w:tcBorders>
              <w:top w:val="nil"/>
              <w:left w:val="nil"/>
              <w:bottom w:val="nil"/>
              <w:right w:val="nil"/>
            </w:tcBorders>
            <w:vAlign w:val="center"/>
          </w:tcPr>
          <w:p w:rsidR="003B0815" w:rsidRDefault="003B0815" w14:paraId="52A845DC" w14:textId="77777777">
            <w:pPr>
              <w:keepNext/>
              <w:jc w:val="center"/>
              <w:rPr>
                <w:rFonts w:ascii="Arial" w:hAnsi="Arial" w:cs="Arial"/>
                <w:sz w:val="20"/>
                <w:szCs w:val="20"/>
              </w:rPr>
            </w:pPr>
          </w:p>
        </w:tc>
        <w:tc>
          <w:tcPr>
            <w:tcW w:w="1080" w:type="dxa"/>
            <w:tcBorders>
              <w:top w:val="nil"/>
              <w:left w:val="nil"/>
              <w:bottom w:val="nil"/>
              <w:right w:val="nil"/>
            </w:tcBorders>
            <w:vAlign w:val="center"/>
          </w:tcPr>
          <w:p w:rsidR="003B0815" w:rsidRDefault="003B0815" w14:paraId="1C8CFB31" w14:textId="77777777">
            <w:pPr>
              <w:keepNext/>
              <w:jc w:val="center"/>
              <w:rPr>
                <w:rFonts w:ascii="Arial" w:hAnsi="Arial" w:cs="Arial"/>
                <w:sz w:val="20"/>
                <w:szCs w:val="20"/>
              </w:rPr>
            </w:pPr>
            <w:r>
              <w:rPr>
                <w:rFonts w:ascii="Arial" w:hAnsi="Arial" w:cs="Arial"/>
                <w:sz w:val="20"/>
                <w:szCs w:val="20"/>
              </w:rPr>
              <w:t>$20.69</w:t>
            </w:r>
          </w:p>
        </w:tc>
        <w:tc>
          <w:tcPr>
            <w:tcW w:w="1080" w:type="dxa"/>
            <w:tcBorders>
              <w:top w:val="nil"/>
              <w:left w:val="nil"/>
              <w:bottom w:val="nil"/>
              <w:right w:val="single" w:color="auto" w:sz="18" w:space="0"/>
            </w:tcBorders>
            <w:vAlign w:val="center"/>
          </w:tcPr>
          <w:p w:rsidR="003B0815" w:rsidRDefault="003B0815" w14:paraId="678D3A59" w14:textId="77777777">
            <w:pPr>
              <w:keepNext/>
              <w:jc w:val="center"/>
              <w:rPr>
                <w:rFonts w:ascii="Arial" w:hAnsi="Arial" w:cs="Arial"/>
                <w:sz w:val="20"/>
                <w:szCs w:val="20"/>
              </w:rPr>
            </w:pPr>
          </w:p>
        </w:tc>
      </w:tr>
      <w:tr w:rsidR="003B0815" w14:paraId="663CEFF6" w14:textId="77777777">
        <w:trPr>
          <w:jc w:val="center"/>
        </w:trPr>
        <w:tc>
          <w:tcPr>
            <w:tcW w:w="2729" w:type="dxa"/>
            <w:tcBorders>
              <w:top w:val="nil"/>
              <w:left w:val="single" w:color="auto" w:sz="18" w:space="0"/>
              <w:bottom w:val="single" w:color="auto" w:sz="18" w:space="0"/>
              <w:right w:val="nil"/>
            </w:tcBorders>
            <w:vAlign w:val="bottom"/>
          </w:tcPr>
          <w:p w:rsidR="003B0815" w:rsidRDefault="003B0815" w14:paraId="33FD2383" w14:textId="77777777">
            <w:pPr>
              <w:keepNext/>
              <w:rPr>
                <w:rFonts w:ascii="Arial" w:hAnsi="Arial" w:cs="Arial"/>
                <w:b/>
                <w:sz w:val="20"/>
                <w:szCs w:val="20"/>
              </w:rPr>
            </w:pPr>
            <w:r>
              <w:rPr>
                <w:rFonts w:ascii="Arial" w:hAnsi="Arial" w:cs="Arial"/>
                <w:b/>
                <w:sz w:val="20"/>
                <w:szCs w:val="20"/>
              </w:rPr>
              <w:t>Add’l Annual Cost</w:t>
            </w:r>
          </w:p>
        </w:tc>
        <w:tc>
          <w:tcPr>
            <w:tcW w:w="1066" w:type="dxa"/>
            <w:tcBorders>
              <w:top w:val="nil"/>
              <w:left w:val="nil"/>
              <w:bottom w:val="single" w:color="auto" w:sz="18" w:space="0"/>
              <w:right w:val="nil"/>
            </w:tcBorders>
            <w:vAlign w:val="center"/>
          </w:tcPr>
          <w:p w:rsidR="003B0815" w:rsidRDefault="003B0815" w14:paraId="11482731" w14:textId="77777777">
            <w:pPr>
              <w:keepNext/>
              <w:rPr>
                <w:rFonts w:ascii="Arial" w:hAnsi="Arial" w:cs="Arial"/>
                <w:b/>
                <w:sz w:val="20"/>
                <w:szCs w:val="20"/>
              </w:rPr>
            </w:pPr>
          </w:p>
        </w:tc>
        <w:tc>
          <w:tcPr>
            <w:tcW w:w="734" w:type="dxa"/>
            <w:tcBorders>
              <w:top w:val="nil"/>
              <w:left w:val="nil"/>
              <w:bottom w:val="single" w:color="auto" w:sz="18" w:space="0"/>
              <w:right w:val="nil"/>
            </w:tcBorders>
            <w:vAlign w:val="center"/>
          </w:tcPr>
          <w:p w:rsidR="003B0815" w:rsidRDefault="003B0815" w14:paraId="18144B09" w14:textId="77777777">
            <w:pPr>
              <w:keepNext/>
              <w:jc w:val="center"/>
              <w:rPr>
                <w:rFonts w:ascii="Arial" w:hAnsi="Arial" w:cs="Arial"/>
                <w:sz w:val="20"/>
                <w:szCs w:val="20"/>
              </w:rPr>
            </w:pPr>
          </w:p>
        </w:tc>
        <w:tc>
          <w:tcPr>
            <w:tcW w:w="900" w:type="dxa"/>
            <w:tcBorders>
              <w:top w:val="nil"/>
              <w:left w:val="nil"/>
              <w:bottom w:val="single" w:color="auto" w:sz="18" w:space="0"/>
              <w:right w:val="nil"/>
            </w:tcBorders>
            <w:vAlign w:val="center"/>
          </w:tcPr>
          <w:p w:rsidR="003B0815" w:rsidRDefault="003B0815" w14:paraId="5D8F4FA4" w14:textId="77777777">
            <w:pPr>
              <w:keepNext/>
              <w:jc w:val="center"/>
              <w:rPr>
                <w:rFonts w:ascii="Arial" w:hAnsi="Arial" w:cs="Arial"/>
                <w:sz w:val="20"/>
                <w:szCs w:val="20"/>
              </w:rPr>
            </w:pPr>
            <w:r>
              <w:rPr>
                <w:rFonts w:ascii="Arial" w:hAnsi="Arial" w:cs="Arial"/>
                <w:sz w:val="20"/>
                <w:szCs w:val="20"/>
              </w:rPr>
              <w:t>$21.31</w:t>
            </w:r>
          </w:p>
        </w:tc>
        <w:tc>
          <w:tcPr>
            <w:tcW w:w="900" w:type="dxa"/>
            <w:tcBorders>
              <w:top w:val="nil"/>
              <w:left w:val="nil"/>
              <w:bottom w:val="single" w:color="auto" w:sz="18" w:space="0"/>
              <w:right w:val="nil"/>
            </w:tcBorders>
            <w:vAlign w:val="center"/>
          </w:tcPr>
          <w:p w:rsidR="003B0815" w:rsidRDefault="003B0815" w14:paraId="5DEF2955" w14:textId="77777777">
            <w:pPr>
              <w:keepNext/>
              <w:jc w:val="center"/>
              <w:rPr>
                <w:rFonts w:ascii="Arial" w:hAnsi="Arial" w:cs="Arial"/>
                <w:sz w:val="20"/>
                <w:szCs w:val="20"/>
              </w:rPr>
            </w:pPr>
          </w:p>
        </w:tc>
        <w:tc>
          <w:tcPr>
            <w:tcW w:w="900" w:type="dxa"/>
            <w:tcBorders>
              <w:top w:val="nil"/>
              <w:left w:val="nil"/>
              <w:bottom w:val="single" w:color="auto" w:sz="18" w:space="0"/>
              <w:right w:val="nil"/>
            </w:tcBorders>
            <w:vAlign w:val="center"/>
          </w:tcPr>
          <w:p w:rsidR="003B0815" w:rsidRDefault="003B0815" w14:paraId="3B118B27" w14:textId="77777777">
            <w:pPr>
              <w:keepNext/>
              <w:jc w:val="center"/>
              <w:rPr>
                <w:rFonts w:ascii="Arial" w:hAnsi="Arial" w:cs="Arial"/>
                <w:sz w:val="20"/>
                <w:szCs w:val="20"/>
              </w:rPr>
            </w:pPr>
          </w:p>
        </w:tc>
        <w:tc>
          <w:tcPr>
            <w:tcW w:w="1080" w:type="dxa"/>
            <w:tcBorders>
              <w:top w:val="nil"/>
              <w:left w:val="nil"/>
              <w:bottom w:val="single" w:color="auto" w:sz="18" w:space="0"/>
              <w:right w:val="nil"/>
            </w:tcBorders>
            <w:vAlign w:val="center"/>
          </w:tcPr>
          <w:p w:rsidR="003B0815" w:rsidRDefault="003B0815" w14:paraId="2B1438E0" w14:textId="77777777">
            <w:pPr>
              <w:keepNext/>
              <w:jc w:val="center"/>
              <w:rPr>
                <w:rFonts w:ascii="Arial" w:hAnsi="Arial" w:cs="Arial"/>
                <w:sz w:val="20"/>
                <w:szCs w:val="20"/>
              </w:rPr>
            </w:pPr>
            <w:r>
              <w:rPr>
                <w:rFonts w:ascii="Arial" w:hAnsi="Arial" w:cs="Arial"/>
                <w:sz w:val="20"/>
                <w:szCs w:val="20"/>
              </w:rPr>
              <w:t>$1,638</w:t>
            </w:r>
          </w:p>
        </w:tc>
        <w:tc>
          <w:tcPr>
            <w:tcW w:w="1080" w:type="dxa"/>
            <w:tcBorders>
              <w:top w:val="nil"/>
              <w:left w:val="nil"/>
              <w:bottom w:val="single" w:color="auto" w:sz="18" w:space="0"/>
              <w:right w:val="single" w:color="auto" w:sz="18" w:space="0"/>
            </w:tcBorders>
            <w:vAlign w:val="center"/>
          </w:tcPr>
          <w:p w:rsidR="003B0815" w:rsidRDefault="003B0815" w14:paraId="41D6BDD2" w14:textId="77777777">
            <w:pPr>
              <w:keepNext/>
              <w:jc w:val="center"/>
              <w:rPr>
                <w:rFonts w:ascii="Arial" w:hAnsi="Arial" w:cs="Arial"/>
                <w:sz w:val="20"/>
                <w:szCs w:val="20"/>
              </w:rPr>
            </w:pPr>
          </w:p>
        </w:tc>
      </w:tr>
    </w:tbl>
    <w:p w:rsidR="003B0815" w:rsidRDefault="003B0815" w14:paraId="4ACEA5EE" w14:textId="77777777">
      <w:pPr>
        <w:pStyle w:val="RegEvalSectionHeader"/>
        <w:spacing w:line="360" w:lineRule="auto"/>
        <w:rPr>
          <w:rFonts w:eastAsia="MS Mincho"/>
        </w:rPr>
      </w:pPr>
    </w:p>
    <w:p w:rsidR="003B0815" w:rsidRDefault="003B0815" w14:paraId="74C07513" w14:textId="77777777">
      <w:pPr>
        <w:pStyle w:val="RegEvalSectionHeader"/>
        <w:keepNext/>
        <w:spacing w:line="360" w:lineRule="auto"/>
        <w:rPr>
          <w:rFonts w:eastAsia="MS Mincho"/>
        </w:rPr>
      </w:pPr>
      <w:bookmarkStart w:name="_Toc135477029" w:id="550"/>
      <w:bookmarkStart w:name="_Toc141001104" w:id="551"/>
      <w:bookmarkStart w:name="_Toc141000935" w:id="552"/>
      <w:bookmarkStart w:name="_Toc165278461" w:id="553"/>
      <w:bookmarkStart w:name="_Toc202683418" w:id="554"/>
      <w:r>
        <w:rPr>
          <w:rFonts w:eastAsia="MS Mincho"/>
        </w:rPr>
        <w:t>Section 3: Significant Alternatives Considered</w:t>
      </w:r>
      <w:bookmarkEnd w:id="551"/>
      <w:bookmarkEnd w:id="552"/>
      <w:bookmarkEnd w:id="553"/>
      <w:bookmarkEnd w:id="554"/>
    </w:p>
    <w:p w:rsidR="003B0815" w:rsidRDefault="003B0815" w14:paraId="16583D09" w14:textId="77777777">
      <w:pPr>
        <w:spacing w:line="360" w:lineRule="auto"/>
        <w:ind w:firstLine="720"/>
        <w:rPr>
          <w:rFonts w:eastAsia="MS Mincho"/>
        </w:rPr>
      </w:pPr>
      <w:r>
        <w:rPr>
          <w:rFonts w:eastAsia="MS Mincho"/>
        </w:rPr>
        <w:t>The final rule provides small business carriers the flexibility of either reprogramming their reservation systems to interface directly with the Secure Flight system or to transmit passenger and non-traveler information to Secure Flight through a secure Internet interface.  Thus, small business carriers identified in Groups 2 and 3 have the option of joining Group 4 and using the Internet portal if they determine reprogramming their systems to communicate directly with Secure Flight is too costly.  Similarly, small business carriers TSA has identified in this analysis as scheduled to use the Secure Flight Internet portal have the option to reprogram their systems to communicate directly with Secure Flight if they determine using the portal is too burdensome on their business processes.</w:t>
      </w:r>
    </w:p>
    <w:p w:rsidR="003B0815" w:rsidRDefault="003B0815" w14:paraId="522A41BC" w14:textId="77777777">
      <w:pPr>
        <w:spacing w:line="360" w:lineRule="auto"/>
        <w:ind w:firstLine="720"/>
        <w:rPr>
          <w:rFonts w:eastAsia="MS Mincho"/>
        </w:rPr>
      </w:pPr>
      <w:r>
        <w:rPr>
          <w:rFonts w:eastAsia="MS Mincho"/>
        </w:rPr>
        <w:t xml:space="preserve">While either method imposes some costs on small businesses, TSA determined that exempting these carriers from the requirements of the rule would fail to meet the mandate within the IRTPA that TSA assume the watch list matching function.  Taking this into consideration, TSA determined the options described above would effectively minimize the impact to small businesses.  </w:t>
      </w:r>
    </w:p>
    <w:p w:rsidR="003B0815" w:rsidRDefault="003B0815" w14:paraId="3A289D5E" w14:textId="77777777">
      <w:pPr>
        <w:pStyle w:val="RegEvalSectionHeader"/>
        <w:keepNext/>
        <w:spacing w:line="360" w:lineRule="auto"/>
        <w:rPr>
          <w:rFonts w:eastAsia="MS Mincho"/>
        </w:rPr>
      </w:pPr>
      <w:bookmarkStart w:name="_Toc141001105" w:id="555"/>
      <w:bookmarkStart w:name="_Toc141000936" w:id="556"/>
      <w:bookmarkStart w:name="_Toc165278462" w:id="557"/>
      <w:bookmarkStart w:name="_Toc202683419" w:id="558"/>
      <w:r>
        <w:rPr>
          <w:rFonts w:eastAsia="MS Mincho"/>
        </w:rPr>
        <w:t>Section 4: Identification of Duplicative or Overlapping Federal Rules</w:t>
      </w:r>
      <w:bookmarkEnd w:id="555"/>
      <w:bookmarkEnd w:id="556"/>
      <w:bookmarkEnd w:id="557"/>
      <w:bookmarkEnd w:id="558"/>
    </w:p>
    <w:p w:rsidR="003B0815" w:rsidRDefault="003B0815" w14:paraId="4329F158" w14:textId="77777777">
      <w:pPr>
        <w:spacing w:line="360" w:lineRule="auto"/>
        <w:ind w:firstLine="720"/>
        <w:rPr>
          <w:rFonts w:eastAsia="MS Mincho"/>
        </w:rPr>
      </w:pPr>
      <w:r>
        <w:t xml:space="preserve">TSA is aware that other Federal agencies, such as the Centers for Disease Control and Prevention (CDC) and Customs and Border Protection (CBP), collect data concerning aviation passengers and may conduct or will conduct watch list matching for these passengers.  TSA is working with other agencies, including the CDC and CBP, to develop ways to eliminate unnecessary duplication of comparable screening efforts and thereby reduce governmental and private sector costs.  Therefore, the rule allows TSA to relieve covered aircraft operators of the requirement to transmit passenger information if TSA determines that the </w:t>
      </w:r>
      <w:smartTag w:uri="urn:schemas-microsoft-com:office:smarttags" w:element="place">
        <w:smartTag w:uri="urn:schemas-microsoft-com:office:smarttags" w:element="country-region">
          <w:r>
            <w:t>U.S.</w:t>
          </w:r>
        </w:smartTag>
      </w:smartTag>
      <w:r>
        <w:t xml:space="preserve"> government is conducting watch list matching for a passenger on a particular flight that is comparable to the screening conducted pursuant to part 1560.  </w:t>
      </w:r>
      <w:r>
        <w:rPr>
          <w:snapToGrid w:val="0"/>
        </w:rPr>
        <w:t>TSA will work with each covered aircraft operator to establish the specific procedures and times for these transmissions as it develops its Aircraft Operator Implementation Plan.</w:t>
      </w:r>
      <w:r>
        <w:rPr>
          <w:rFonts w:eastAsia="MS Mincho"/>
        </w:rPr>
        <w:t xml:space="preserve"> </w:t>
      </w:r>
    </w:p>
    <w:p w:rsidR="003B0815" w:rsidRDefault="003B0815" w14:paraId="3B1CA0C6" w14:textId="77777777">
      <w:pPr>
        <w:pStyle w:val="RegEvalSectionHeader"/>
        <w:keepNext/>
        <w:spacing w:line="360" w:lineRule="auto"/>
        <w:rPr>
          <w:rFonts w:eastAsia="MS Mincho"/>
        </w:rPr>
      </w:pPr>
      <w:bookmarkStart w:name="_Toc141001106" w:id="559"/>
      <w:bookmarkStart w:name="_Toc141000937" w:id="560"/>
      <w:bookmarkStart w:name="_Toc165278463" w:id="561"/>
      <w:bookmarkStart w:name="_Toc202683420" w:id="562"/>
      <w:r>
        <w:rPr>
          <w:rFonts w:eastAsia="MS Mincho"/>
        </w:rPr>
        <w:t>Section 5: Final Determination of No Significant Impact</w:t>
      </w:r>
      <w:bookmarkEnd w:id="550"/>
      <w:bookmarkEnd w:id="559"/>
      <w:bookmarkEnd w:id="560"/>
      <w:bookmarkEnd w:id="561"/>
      <w:bookmarkEnd w:id="562"/>
    </w:p>
    <w:p w:rsidR="003B0815" w:rsidRDefault="003B0815" w14:paraId="5450A3AB" w14:textId="77777777">
      <w:pPr>
        <w:spacing w:line="360" w:lineRule="auto"/>
        <w:ind w:firstLine="720"/>
        <w:rPr>
          <w:rFonts w:eastAsia="MS Mincho"/>
        </w:rPr>
      </w:pPr>
      <w:r>
        <w:rPr>
          <w:rFonts w:eastAsia="MS Mincho"/>
        </w:rPr>
        <w:t xml:space="preserve">Based on the considerations above, TSA believes that it is unlikely the final has a significant economic impact on a substantial number of the small entities subject to this rulemaking.  In conducting this analysis, TSA acknowledges that the ability of carriers to share the incidence of security costs with their customers has been limited. </w:t>
      </w:r>
    </w:p>
    <w:p w:rsidR="003B0815" w:rsidRDefault="003B0815" w14:paraId="34A3CBDC" w14:textId="77777777">
      <w:pPr>
        <w:spacing w:line="360" w:lineRule="auto"/>
        <w:ind w:firstLine="720"/>
        <w:sectPr w:rsidR="003B0815">
          <w:pgSz w:w="12240" w:h="15840"/>
          <w:pgMar w:top="1440" w:right="1440" w:bottom="1440" w:left="1440" w:header="720" w:footer="720" w:gutter="0"/>
          <w:cols w:space="720"/>
          <w:docGrid w:linePitch="360"/>
        </w:sectPr>
      </w:pPr>
      <w:r>
        <w:rPr>
          <w:rFonts w:eastAsia="MS Mincho"/>
        </w:rPr>
        <w:t xml:space="preserve">While not required by the RFA, TSA has also considered the potential impact to small business travel agencies, as these entities are likely to be indirectly impacted by the rule given their role in the airline reservation process.  TSA does not believe the final rule will have a significant economic impact on a substantial number of these small business travel agencies.  </w:t>
      </w:r>
    </w:p>
    <w:p w:rsidR="003B0815" w:rsidRDefault="003B0815" w14:paraId="0AD0909D" w14:textId="77777777">
      <w:pPr>
        <w:pStyle w:val="RegEvalPartHeader"/>
        <w:keepNext/>
        <w:spacing w:line="360" w:lineRule="auto"/>
      </w:pPr>
      <w:bookmarkStart w:name="_Toc111627395" w:id="563"/>
      <w:bookmarkStart w:name="_Toc114566453" w:id="564"/>
      <w:bookmarkStart w:name="_Toc141001107" w:id="565"/>
      <w:bookmarkStart w:name="_Toc141000938" w:id="566"/>
      <w:bookmarkStart w:name="_Toc165278464" w:id="567"/>
      <w:bookmarkStart w:name="_Toc202683421" w:id="568"/>
      <w:r>
        <w:t>Part 3: International Trade Impact Assessment</w:t>
      </w:r>
      <w:bookmarkEnd w:id="563"/>
      <w:bookmarkEnd w:id="564"/>
      <w:bookmarkEnd w:id="565"/>
      <w:bookmarkEnd w:id="566"/>
      <w:bookmarkEnd w:id="567"/>
      <w:bookmarkEnd w:id="568"/>
    </w:p>
    <w:p w:rsidR="003B0815" w:rsidRDefault="003B0815" w14:paraId="7E489AC4" w14:textId="77777777">
      <w:pPr>
        <w:spacing w:line="360" w:lineRule="auto"/>
        <w:ind w:firstLine="720"/>
      </w:pPr>
      <w:r>
        <w:t xml:space="preserve">The Trade Agreement Act of 1979 prohibits Federal agencies from engaging in any standards or related activities that create unnecessary obstacles to the foreign commerce of the </w:t>
      </w:r>
      <w:smartTag w:uri="urn:schemas-microsoft-com:office:smarttags" w:element="place">
        <w:smartTag w:uri="urn:schemas-microsoft-com:office:smarttags" w:element="country-region">
          <w:r>
            <w:t>United States</w:t>
          </w:r>
        </w:smartTag>
      </w:smartTag>
      <w:r>
        <w:t xml:space="preserve">.  Legitimate domestic objectives, such as security, are not considered unnecessary obstacles.  The statute also requires consideration of international standards and, where appropriate, that they be the basis for </w:t>
      </w:r>
      <w:smartTag w:uri="urn:schemas-microsoft-com:office:smarttags" w:element="place">
        <w:smartTag w:uri="urn:schemas-microsoft-com:office:smarttags" w:element="country-region">
          <w:r>
            <w:t>U.S.</w:t>
          </w:r>
        </w:smartTag>
      </w:smartTag>
      <w:r>
        <w:t xml:space="preserve"> standards.  In addition, consistent with the Administration’s belief in the general benefits and desirability of free trade, it is the policy of TSA to remove or diminish, to the extent feasible, barriers to international trade, including both barriers affecting the export of American goods and services to foreign countries and barriers affecting the import of foreign goods and services into the U.S.</w:t>
      </w:r>
    </w:p>
    <w:p w:rsidR="003B0815" w:rsidRDefault="003B0815" w14:paraId="42665933" w14:textId="77777777">
      <w:pPr>
        <w:spacing w:line="360" w:lineRule="auto"/>
        <w:ind w:firstLine="720"/>
      </w:pPr>
      <w:r>
        <w:t xml:space="preserve">In keeping with </w:t>
      </w:r>
      <w:smartTag w:uri="urn:schemas-microsoft-com:office:smarttags" w:element="place">
        <w:smartTag w:uri="urn:schemas-microsoft-com:office:smarttags" w:element="country-region">
          <w:r>
            <w:t>U.S.</w:t>
          </w:r>
        </w:smartTag>
      </w:smartTag>
      <w:r>
        <w:t xml:space="preserve"> obligations under the Convention on International Civil Aviation, it is TSA’s policy to comply with International Civil Aviation Organization (ICAO) Standards and Recommended Practices to the maximum extent practicable.  TSA has determined that there are no ICAO Standards and Recommended Practices that correspond to the regulatory standards established by this final rule (FR).  TSA has assessed the potential effect of this FR and has determined that it does not create barriers to international trade.</w:t>
      </w:r>
    </w:p>
    <w:p w:rsidR="003B0815" w:rsidRDefault="003B0815" w14:paraId="6B78C713" w14:textId="77777777">
      <w:pPr>
        <w:spacing w:line="360" w:lineRule="auto"/>
        <w:ind w:firstLine="720"/>
      </w:pPr>
      <w:r>
        <w:t xml:space="preserve">However, when TSA reviewed the impact of foreign carrier overflights, the conclusion is not clear.  The right of airlines from one country to overfly another country in the course of traveling to the destination country is the first of the well known "freedoms of the air."  This technical freedom has been engrained in international aviation since the Chicago Convention of 1944.  How countries might react to the new conditions being placed on the fulfillment of this freedom is uncertain.  International trade in travel and international shipping may be negatively impacted should foreign countries choose to respond in a retaliatory manner.  One response by foreign carriers might be to avoid overflying the </w:t>
      </w:r>
      <w:smartTag w:uri="urn:schemas-microsoft-com:office:smarttags" w:element="place">
        <w:smartTag w:uri="urn:schemas-microsoft-com:office:smarttags" w:element="country-region">
          <w:r>
            <w:t>U.S.</w:t>
          </w:r>
        </w:smartTag>
      </w:smartTag>
      <w:r>
        <w:t xml:space="preserve"> entirely, thereby lengthening flight routes and the costs of operation to those carriers.  These reroutings would change airline costs and thus contribute to fare increases, which would affect trade between the departure and arrival countries, even though it would not directly affect trade involving the </w:t>
      </w:r>
      <w:smartTag w:uri="urn:schemas-microsoft-com:office:smarttags" w:element="place">
        <w:smartTag w:uri="urn:schemas-microsoft-com:office:smarttags" w:element="country-region">
          <w:r>
            <w:t>U.S.</w:t>
          </w:r>
        </w:smartTag>
      </w:smartTag>
      <w:r>
        <w:t xml:space="preserve">  If the foreign carrier response is to reroute, it is not clear that such a change would eliminate all risks, since aircraft skirting the boundaries of </w:t>
      </w:r>
      <w:smartTag w:uri="urn:schemas-microsoft-com:office:smarttags" w:element="country-region">
        <w:r>
          <w:t>U.S.</w:t>
        </w:r>
      </w:smartTag>
      <w:r>
        <w:t xml:space="preserve"> airspace could be redirected into </w:t>
      </w:r>
      <w:smartTag w:uri="urn:schemas-microsoft-com:office:smarttags" w:element="place">
        <w:smartTag w:uri="urn:schemas-microsoft-com:office:smarttags" w:element="country-region">
          <w:r>
            <w:t>U.S.</w:t>
          </w:r>
        </w:smartTag>
      </w:smartTag>
      <w:r>
        <w:t xml:space="preserve"> airspace by hijackers or terrorists.</w:t>
      </w:r>
    </w:p>
    <w:p w:rsidR="003B0815" w:rsidRDefault="003B0815" w14:paraId="137A2408" w14:textId="77777777">
      <w:pPr>
        <w:spacing w:line="360" w:lineRule="auto"/>
        <w:ind w:firstLine="720"/>
        <w:sectPr w:rsidR="003B0815">
          <w:pgSz w:w="12240" w:h="15840"/>
          <w:pgMar w:top="1440" w:right="1440" w:bottom="1440" w:left="1440" w:header="720" w:footer="720" w:gutter="0"/>
          <w:cols w:space="720"/>
          <w:docGrid w:linePitch="360"/>
        </w:sectPr>
      </w:pPr>
    </w:p>
    <w:p w:rsidR="003B0815" w:rsidRDefault="003B0815" w14:paraId="4FC511C2" w14:textId="77777777">
      <w:pPr>
        <w:pStyle w:val="RegEvalPartHeader"/>
        <w:keepNext/>
        <w:spacing w:line="360" w:lineRule="auto"/>
      </w:pPr>
      <w:bookmarkStart w:name="_Toc111627396" w:id="569"/>
      <w:bookmarkStart w:name="_Toc114566454" w:id="570"/>
      <w:bookmarkStart w:name="_Toc141001108" w:id="571"/>
      <w:bookmarkStart w:name="_Toc165278465" w:id="572"/>
      <w:bookmarkStart w:name="_Toc202683422" w:id="573"/>
      <w:r>
        <w:t>Part 4: Unfunded Mandates Reform Act</w:t>
      </w:r>
      <w:bookmarkEnd w:id="569"/>
      <w:bookmarkEnd w:id="570"/>
      <w:bookmarkEnd w:id="571"/>
      <w:bookmarkEnd w:id="572"/>
      <w:bookmarkEnd w:id="573"/>
    </w:p>
    <w:p w:rsidR="003B0815" w:rsidRDefault="003B0815" w14:paraId="56472AEC" w14:textId="77777777">
      <w:pPr>
        <w:spacing w:line="360" w:lineRule="auto"/>
        <w:ind w:firstLine="720"/>
      </w:pPr>
      <w:r>
        <w:t xml:space="preserve">The Unfunded Mandates Reform Act of 1995 (the Act), enacted as Public Law 104-4 on March 22, 1995, is intended, among other things, to curb the practice of imposing unfunded Federal mandates on State, local, and tribal governments.  Title II of the Act requires each Federal agency to prepare a written statement assessing the effects of any Federal mandate in a proposed or final agency rule that may result in a $100 million or more expenditure (adjusted annually for inflation) in any one year by State, local, and tribal governments, in the aggregate, or by the private sector.  This final rulemaking does not impose an unfunded mandate on State, local, or tribal governments, but it does impose an unfunded mandate on the private sector. </w:t>
      </w:r>
      <w:bookmarkStart w:name="OLE_LINK5" w:id="574"/>
      <w:r>
        <w:t xml:space="preserve"> The analysis required under Title II of the Act is satisfied within the analysis provided above.</w:t>
      </w:r>
      <w:bookmarkEnd w:id="574"/>
    </w:p>
    <w:sectPr w:rsidR="003B0815">
      <w:headerReference w:type="even" r:id="rId28"/>
      <w:headerReference w:type="default"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5C44E" w14:textId="77777777" w:rsidR="00E25414" w:rsidRDefault="00E25414">
      <w:r>
        <w:separator/>
      </w:r>
    </w:p>
  </w:endnote>
  <w:endnote w:type="continuationSeparator" w:id="0">
    <w:p w14:paraId="5BFD2B3A" w14:textId="77777777" w:rsidR="00E25414" w:rsidRDefault="00E2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B0BC9" w14:textId="77777777" w:rsidR="0002671D" w:rsidRDefault="00026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FB939" w14:textId="77777777" w:rsidR="00676141" w:rsidRDefault="006761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9456D" w14:textId="77777777" w:rsidR="0002671D" w:rsidRDefault="00026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9631" w14:textId="77777777" w:rsidR="00676141" w:rsidRDefault="006761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30E2A" w14:textId="77777777" w:rsidR="00676141" w:rsidRDefault="006761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ACDD4" w14:textId="77777777" w:rsidR="00676141" w:rsidRDefault="006761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4F8A2" w14:textId="77777777" w:rsidR="00676141" w:rsidRDefault="006761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68BB6" w14:textId="77777777" w:rsidR="00E25414" w:rsidRDefault="00E25414">
      <w:r>
        <w:separator/>
      </w:r>
    </w:p>
  </w:footnote>
  <w:footnote w:type="continuationSeparator" w:id="0">
    <w:p w14:paraId="4228A1D6" w14:textId="77777777" w:rsidR="00E25414" w:rsidRDefault="00E25414">
      <w:r>
        <w:continuationSeparator/>
      </w:r>
    </w:p>
  </w:footnote>
  <w:footnote w:id="1">
    <w:p w14:paraId="761375E6" w14:textId="77777777" w:rsidR="00676141" w:rsidRDefault="00676141">
      <w:pPr>
        <w:pStyle w:val="FootnoteText"/>
      </w:pPr>
      <w:r>
        <w:rPr>
          <w:rStyle w:val="FootnoteReference"/>
        </w:rPr>
        <w:footnoteRef/>
      </w:r>
      <w:r>
        <w:t xml:space="preserve"> Passport information is the following information from a passenger’s passport: (1) Passport number; (2) country of issuance; (3) expiration date; (4) gender; (5) full name.  See § 1560.3.</w:t>
      </w:r>
    </w:p>
  </w:footnote>
  <w:footnote w:id="2">
    <w:p w14:paraId="639EF994" w14:textId="77777777" w:rsidR="00676141" w:rsidRDefault="00676141">
      <w:pPr>
        <w:pStyle w:val="FootnoteText"/>
      </w:pPr>
      <w:r>
        <w:rPr>
          <w:rStyle w:val="FootnoteReference"/>
        </w:rPr>
        <w:footnoteRef/>
      </w:r>
      <w:r>
        <w:t xml:space="preserve"> Itinerary information is the following information about a covered flight: (1) Departure airport code; (2) aircraft operator; (3) departure date; (4) departure time; (5) arrival date; (6) scheduled arrival time; (7) arrival airport code; (8) flight number; (9) operating carrier (if available). For non-traveling individuals in the </w:t>
      </w:r>
      <w:smartTag w:uri="urn:schemas-microsoft-com:office:smarttags" w:element="place">
        <w:smartTag w:uri="urn:schemas-microsoft-com:office:smarttags" w:element="country-region">
          <w:r>
            <w:t>United States</w:t>
          </w:r>
        </w:smartTag>
      </w:smartTag>
      <w:r>
        <w:t>, the airport code for the sterile area to which the non-traveling individual seeks access.  See § 1560.3.</w:t>
      </w:r>
    </w:p>
  </w:footnote>
  <w:footnote w:id="3">
    <w:p w14:paraId="64D99AE0" w14:textId="77777777" w:rsidR="00676141" w:rsidRDefault="00676141">
      <w:pPr>
        <w:pStyle w:val="FootnoteText"/>
      </w:pPr>
      <w:r>
        <w:rPr>
          <w:rStyle w:val="FootnoteReference"/>
        </w:rPr>
        <w:footnoteRef/>
      </w:r>
      <w:r>
        <w:t xml:space="preserve"> 49 CFR 1560.105(b)(2) and (3).</w:t>
      </w:r>
    </w:p>
  </w:footnote>
  <w:footnote w:id="4">
    <w:p w14:paraId="0B1763BD" w14:textId="77777777" w:rsidR="00676141" w:rsidRDefault="00676141">
      <w:pPr>
        <w:pStyle w:val="FootnoteText"/>
      </w:pPr>
      <w:r>
        <w:rPr>
          <w:rStyle w:val="FootnoteReference"/>
        </w:rPr>
        <w:footnoteRef/>
      </w:r>
      <w:r>
        <w:t xml:space="preserve"> Secure Flight Program Privacy Impact Assessment, June 22, 2005, 70 FR 36320.</w:t>
      </w:r>
    </w:p>
  </w:footnote>
  <w:footnote w:id="5">
    <w:p w14:paraId="1B59ED67" w14:textId="77777777" w:rsidR="00676141" w:rsidRDefault="00676141">
      <w:pPr>
        <w:pStyle w:val="FootnoteText"/>
      </w:pPr>
      <w:r>
        <w:rPr>
          <w:rStyle w:val="FootnoteReference"/>
        </w:rPr>
        <w:footnoteRef/>
      </w:r>
      <w:r>
        <w:t xml:space="preserve"> TSA anticipated that in many cases a passenger’s initial contact would be with an airline ticket agent.  Thus, for simplicity, TSA refers throughout to the employee verifying passenger IDs as a ticket agent; however, this function could be performed by a variety of airline employees, including management or ground security coordinators. </w:t>
      </w:r>
    </w:p>
  </w:footnote>
  <w:footnote w:id="6">
    <w:p w14:paraId="63F5548B" w14:textId="77777777" w:rsidR="00676141" w:rsidRDefault="00676141">
      <w:pPr>
        <w:pStyle w:val="FootnoteText"/>
      </w:pPr>
      <w:r>
        <w:rPr>
          <w:rStyle w:val="FootnoteReference"/>
        </w:rPr>
        <w:footnoteRef/>
      </w:r>
      <w:r>
        <w:t xml:space="preserve"> TSA anticipated that in many cases a passenger’s initial contact would be with an airline ticket agent.  Thus, for simplicity, TSA refers throughout to the employee verifying passenger IDs as a ticket agent; however, this function could be performed by a variety of airline employees, including management or ground security coordinators. </w:t>
      </w:r>
    </w:p>
  </w:footnote>
  <w:footnote w:id="7">
    <w:p w14:paraId="55B94750" w14:textId="77777777" w:rsidR="00676141" w:rsidRDefault="00676141">
      <w:pPr>
        <w:pStyle w:val="FootnoteText"/>
      </w:pPr>
      <w:r>
        <w:rPr>
          <w:rStyle w:val="FootnoteReference"/>
        </w:rPr>
        <w:footnoteRef/>
      </w:r>
      <w:r>
        <w:t xml:space="preserve"> Table 9: Total Scheduled US Passenger Traffic, “FAA Aerospace Forecasts FY 2006 – 2017,” released February 2006.  Available at &lt;http://faa.gov/data_statistics/aviation/aerospace_forecasts/2006-2017/&gt;.</w:t>
      </w:r>
    </w:p>
  </w:footnote>
  <w:footnote w:id="8">
    <w:p w14:paraId="3FF1BAB4" w14:textId="77777777" w:rsidR="00676141" w:rsidRDefault="00676141">
      <w:pPr>
        <w:pStyle w:val="FootnoteText"/>
      </w:pPr>
      <w:r>
        <w:rPr>
          <w:rStyle w:val="FootnoteReference"/>
        </w:rPr>
        <w:footnoteRef/>
      </w:r>
      <w:r>
        <w:t xml:space="preserve"> Operating revenues for small certificated carriers were not available.</w:t>
      </w:r>
    </w:p>
  </w:footnote>
  <w:footnote w:id="9">
    <w:p w14:paraId="379461C9" w14:textId="77777777" w:rsidR="00676141" w:rsidRDefault="00676141">
      <w:pPr>
        <w:pStyle w:val="FootnoteText"/>
      </w:pPr>
      <w:r>
        <w:rPr>
          <w:rStyle w:val="FootnoteReference"/>
        </w:rPr>
        <w:footnoteRef/>
      </w:r>
      <w:r>
        <w:t xml:space="preserve"> BTS TranStats Database Glossary.  Available at &lt;http://transtats.bts.gov/glossary.asp&gt;.  Accessed July 16, 2006.</w:t>
      </w:r>
    </w:p>
  </w:footnote>
  <w:footnote w:id="10">
    <w:p w14:paraId="5278200E" w14:textId="77777777" w:rsidR="00676141" w:rsidRDefault="00676141">
      <w:pPr>
        <w:pStyle w:val="FootnoteText"/>
      </w:pPr>
      <w:r>
        <w:rPr>
          <w:rStyle w:val="FootnoteReference"/>
        </w:rPr>
        <w:footnoteRef/>
      </w:r>
      <w:r>
        <w:t xml:space="preserve"> Source and Accuracy Compendium: Form 41, Schedules T100 and T100(f) Air Carrier Data.  Available at &lt;http://www.bts.gov/programs/statistical_policy_and_research/source_and_accuracy_compendium/form41_schedule.html&gt;.  Accessed July 16, 2006.</w:t>
      </w:r>
    </w:p>
  </w:footnote>
  <w:footnote w:id="11">
    <w:p w14:paraId="6572903A" w14:textId="77777777" w:rsidR="00676141" w:rsidRDefault="00676141">
      <w:pPr>
        <w:pStyle w:val="FootnoteText"/>
      </w:pPr>
      <w:r>
        <w:rPr>
          <w:rStyle w:val="FootnoteReference"/>
        </w:rPr>
        <w:footnoteRef/>
      </w:r>
      <w:r>
        <w:t xml:space="preserve"> BTS, supra note 4.</w:t>
      </w:r>
    </w:p>
  </w:footnote>
  <w:footnote w:id="12">
    <w:p w14:paraId="7713E46C" w14:textId="77777777" w:rsidR="00676141" w:rsidRDefault="00676141">
      <w:pPr>
        <w:pStyle w:val="FootnoteText"/>
      </w:pPr>
      <w:r>
        <w:rPr>
          <w:rStyle w:val="FootnoteReference"/>
        </w:rPr>
        <w:footnoteRef/>
      </w:r>
      <w:r>
        <w:t xml:space="preserve">  If it chooses, a covered airline could establish a separate data system exclusively for storing SFPDs and managing the airline’s interaction with Secure Flight.  However, TSA consulted extensively with airlines as it developed Secure Flight, and to date no airline has indicated it would establish a separate airline system specifically for interacting with the Secure Flight system.</w:t>
      </w:r>
    </w:p>
  </w:footnote>
  <w:footnote w:id="13">
    <w:p w14:paraId="512EFDE4" w14:textId="77777777" w:rsidR="00676141" w:rsidRDefault="00676141">
      <w:pPr>
        <w:pStyle w:val="FootnoteText"/>
      </w:pPr>
      <w:r>
        <w:rPr>
          <w:rStyle w:val="FootnoteReference"/>
        </w:rPr>
        <w:footnoteRef/>
      </w:r>
      <w:r>
        <w:t xml:space="preserve"> Both ARSs and GDSs are types of computer reservation systems.  The principal difference between them is host ARSs only process reservations from an airline’s website or call center, whereas GDSs allow travel agents and the public to make reservations for a variety of travel services through a single interface.</w:t>
      </w:r>
    </w:p>
  </w:footnote>
  <w:footnote w:id="14">
    <w:p w14:paraId="12CEFB02" w14:textId="77777777" w:rsidR="00676141" w:rsidRDefault="00676141">
      <w:pPr>
        <w:pStyle w:val="FootnoteText"/>
      </w:pPr>
      <w:r>
        <w:rPr>
          <w:rStyle w:val="FootnoteReference"/>
        </w:rPr>
        <w:footnoteRef/>
      </w:r>
      <w:r>
        <w:t xml:space="preserve"> CBP estimates indicate the carriers for whom TSA would take over watch list matching from CBP carry more than 95% of international commercial air traffic.</w:t>
      </w:r>
    </w:p>
  </w:footnote>
  <w:footnote w:id="15">
    <w:p w14:paraId="298033C6" w14:textId="77777777" w:rsidR="00676141" w:rsidRDefault="00676141">
      <w:pPr>
        <w:pStyle w:val="FootnoteText"/>
      </w:pPr>
      <w:r>
        <w:rPr>
          <w:rStyle w:val="FootnoteReference"/>
        </w:rPr>
        <w:footnoteRef/>
      </w:r>
      <w:r>
        <w:t xml:space="preserve"> It is important to note that Secure Flight will not replace CBP’s AQQ system.  While Secure Flight will conduct watch list matching for the largest international air carriers, CBP will continue to conduct watch list matching for many aircraft operators subject to APIS regulations that are not covered by this final rule.</w:t>
      </w:r>
    </w:p>
  </w:footnote>
  <w:footnote w:id="16">
    <w:p w14:paraId="364F07AD" w14:textId="77777777" w:rsidR="00676141" w:rsidRDefault="00676141">
      <w:pPr>
        <w:pStyle w:val="FootnoteText"/>
      </w:pPr>
      <w:r>
        <w:rPr>
          <w:rStyle w:val="FootnoteReference"/>
        </w:rPr>
        <w:footnoteRef/>
      </w:r>
      <w:r>
        <w:t xml:space="preserve"> Because of treaty agreements, Secure Flight would not cover overflights in which a covered foreign air carrier entered </w:t>
      </w:r>
      <w:smartTag w:uri="urn:schemas-microsoft-com:office:smarttags" w:element="country-region">
        <w:r>
          <w:t>U.S.</w:t>
        </w:r>
      </w:smartTag>
      <w:r>
        <w:t xml:space="preserve"> airspace while transiting two points within </w:t>
      </w:r>
      <w:smartTag w:uri="urn:schemas-microsoft-com:office:smarttags" w:element="country-region">
        <w:r>
          <w:t>Canada</w:t>
        </w:r>
      </w:smartTag>
      <w:r>
        <w:t xml:space="preserve"> or two points within </w:t>
      </w:r>
      <w:smartTag w:uri="urn:schemas-microsoft-com:office:smarttags" w:element="place">
        <w:smartTag w:uri="urn:schemas-microsoft-com:office:smarttags" w:element="country-region">
          <w:r>
            <w:t>Mexico</w:t>
          </w:r>
        </w:smartTag>
      </w:smartTag>
      <w:r>
        <w:t>.</w:t>
      </w:r>
    </w:p>
  </w:footnote>
  <w:footnote w:id="17">
    <w:p w14:paraId="10E63C09" w14:textId="77777777" w:rsidR="00676141" w:rsidRDefault="00676141">
      <w:pPr>
        <w:pStyle w:val="FootnoteText"/>
      </w:pPr>
      <w:r>
        <w:rPr>
          <w:rStyle w:val="FootnoteReference"/>
        </w:rPr>
        <w:footnoteRef/>
      </w:r>
      <w:r>
        <w:t xml:space="preserve"> Source: “ASTA Agency Profile: Member Demographics – Collected December/January 2006.”  Available at &lt;http://www.astanet.com/about/ASTA%20Agency%20Profile%202006.pdf&gt;.  Accessed July 13, 2006.</w:t>
      </w:r>
    </w:p>
  </w:footnote>
  <w:footnote w:id="18">
    <w:p w14:paraId="6B99E3FB" w14:textId="77777777" w:rsidR="00676141" w:rsidRDefault="00676141">
      <w:pPr>
        <w:pStyle w:val="FootnoteText"/>
      </w:pPr>
      <w:r>
        <w:rPr>
          <w:rStyle w:val="FootnoteReference"/>
        </w:rPr>
        <w:footnoteRef/>
      </w:r>
      <w:r>
        <w:t xml:space="preserve"> Source: “Upheaval in Travel Distribution: Impact on Consumers and Travel Agents,” Report to Congress and the President by the National Commission to Ensure Consumer Information and Choice in the Airline Industry, 2002: 22-27.</w:t>
      </w:r>
    </w:p>
  </w:footnote>
  <w:footnote w:id="19">
    <w:p w14:paraId="09CC15AA" w14:textId="77777777" w:rsidR="00676141" w:rsidRDefault="00676141">
      <w:pPr>
        <w:pStyle w:val="FootnoteText"/>
      </w:pPr>
      <w:r>
        <w:rPr>
          <w:rStyle w:val="FootnoteReference"/>
        </w:rPr>
        <w:footnoteRef/>
      </w:r>
      <w:r>
        <w:t xml:space="preserve"> Source: Table: “Airline Expectations of Changing Business Mix.”</w:t>
      </w:r>
      <w:r>
        <w:rPr>
          <w:rStyle w:val="FootnoteReference"/>
        </w:rPr>
        <w:footnoteRef/>
      </w:r>
      <w:r>
        <w:t xml:space="preserve"> Source: “Highlights from Travel Weekly’s 2004 Industry Segment Survey.”  Available at &lt;http://www.travelweekly.com/specialreports/survey2004/hl2.html&gt;.  Accessed July 13, 2006.</w:t>
      </w:r>
    </w:p>
  </w:footnote>
  <w:footnote w:id="20">
    <w:p w14:paraId="7567C96F" w14:textId="77777777" w:rsidR="00676141" w:rsidRDefault="00676141">
      <w:pPr>
        <w:pStyle w:val="FootnoteText"/>
      </w:pPr>
      <w:r>
        <w:rPr>
          <w:rStyle w:val="FootnoteReference"/>
        </w:rPr>
        <w:footnoteRef/>
      </w:r>
      <w:r>
        <w:t xml:space="preserve"> Source: “Supplier Overview: Anticipating Solid Sales for 2005.”  Travel Weekly’s 2005 U.S. Travel Industry Survey.  Available at &lt;</w:t>
      </w:r>
      <w:hyperlink r:id="rId1" w:history="1">
        <w:r>
          <w:rPr>
            <w:rStyle w:val="Hyperlink"/>
          </w:rPr>
          <w:t>http://www.travelweekly.com/multimedia/TWSURVEY2005/seg_hl.htm</w:t>
        </w:r>
      </w:hyperlink>
      <w:r>
        <w:t>&gt;.  Accessed July 14, 2006.</w:t>
      </w:r>
    </w:p>
  </w:footnote>
  <w:footnote w:id="21">
    <w:p w14:paraId="29A7ADBF" w14:textId="77777777" w:rsidR="00676141" w:rsidRDefault="00676141">
      <w:pPr>
        <w:pStyle w:val="FootnoteText"/>
      </w:pPr>
      <w:r>
        <w:rPr>
          <w:rStyle w:val="FootnoteReference"/>
        </w:rPr>
        <w:footnoteRef/>
      </w:r>
      <w:r>
        <w:t xml:space="preserve"> The BTS Origin and Destination Survey is a 10% sample of airline itineraries from reporting carriers.  All 2004 reporting carriers were covered aircraft operators except one, representing 99.95% of submitted itineraries.  In 2000, their lowest representation, covered carriers still represented 94.79% of submitted itineraries.</w:t>
      </w:r>
    </w:p>
  </w:footnote>
  <w:footnote w:id="22">
    <w:p w14:paraId="20C14D22" w14:textId="77777777" w:rsidR="00676141" w:rsidRDefault="00676141">
      <w:pPr>
        <w:pStyle w:val="FootnoteText"/>
      </w:pPr>
      <w:r>
        <w:rPr>
          <w:rStyle w:val="FootnoteReference"/>
        </w:rPr>
        <w:footnoteRef/>
      </w:r>
      <w:r>
        <w:t xml:space="preserve"> De Lollis, Barbara and Barbara Hansen, “Airlines Give Fliers Fewer Chances to Do the Bump,” </w:t>
      </w:r>
      <w:smartTag w:uri="urn:schemas-microsoft-com:office:smarttags" w:element="place">
        <w:smartTag w:uri="urn:schemas-microsoft-com:office:smarttags" w:element="country-region">
          <w:r>
            <w:rPr>
              <w:u w:val="single"/>
            </w:rPr>
            <w:t>USA</w:t>
          </w:r>
        </w:smartTag>
      </w:smartTag>
      <w:r>
        <w:rPr>
          <w:u w:val="single"/>
        </w:rPr>
        <w:t xml:space="preserve"> Today</w:t>
      </w:r>
      <w:r>
        <w:t>, December 19, 2005.  Available at &lt;http://www.usatoday.com/money/biztravel/2005-12-19-bump-usat_x.htm&gt;.  Accessed May 16, 2006.</w:t>
      </w:r>
    </w:p>
  </w:footnote>
  <w:footnote w:id="23">
    <w:p w14:paraId="32B8D58A" w14:textId="77777777" w:rsidR="00676141" w:rsidRDefault="00676141">
      <w:pPr>
        <w:pStyle w:val="FootnoteText"/>
      </w:pPr>
      <w:r>
        <w:rPr>
          <w:rStyle w:val="FootnoteReference"/>
        </w:rPr>
        <w:footnoteRef/>
      </w:r>
      <w:r>
        <w:t xml:space="preserve"> Since the Known Traveler Number, if implemented, could be entered into the same field as the Redress Number, TSA determined any additional time associated with collecting this number in the future would be within the estimated range of data collection times.</w:t>
      </w:r>
    </w:p>
  </w:footnote>
  <w:footnote w:id="24">
    <w:p w14:paraId="77E4CDD8" w14:textId="77777777" w:rsidR="00676141" w:rsidRDefault="00676141">
      <w:pPr>
        <w:pStyle w:val="FootnoteText"/>
      </w:pPr>
      <w:r>
        <w:rPr>
          <w:rStyle w:val="FootnoteReference"/>
        </w:rPr>
        <w:footnoteRef/>
      </w:r>
      <w:r>
        <w:t xml:space="preserve"> This business model also helps to explain why carriers in Group 4 may have enplanement and revenue totals comparable to carriers of other groups and yet were still selected for the web interface.</w:t>
      </w:r>
    </w:p>
  </w:footnote>
  <w:footnote w:id="25">
    <w:p w14:paraId="1FB9D8F2" w14:textId="77777777" w:rsidR="00676141" w:rsidRDefault="00676141">
      <w:pPr>
        <w:pStyle w:val="FootnoteText"/>
      </w:pPr>
      <w:r>
        <w:rPr>
          <w:rStyle w:val="FootnoteReference"/>
        </w:rPr>
        <w:footnoteRef/>
      </w:r>
      <w:r>
        <w:t xml:space="preserve"> These </w:t>
      </w:r>
      <w:r>
        <w:rPr>
          <w:szCs w:val="22"/>
        </w:rPr>
        <w:t xml:space="preserve">databases are maintained by the Department of Homeland Security, Department of Defense, </w:t>
      </w:r>
      <w:smartTag w:uri="urn:schemas-microsoft-com:office:smarttags" w:element="place">
        <w:smartTag w:uri="urn:schemas-microsoft-com:office:smarttags" w:element="PlaceName">
          <w:r>
            <w:rPr>
              <w:szCs w:val="22"/>
            </w:rPr>
            <w:t>National</w:t>
          </w:r>
        </w:smartTag>
        <w:r>
          <w:rPr>
            <w:szCs w:val="22"/>
          </w:rPr>
          <w:t xml:space="preserve"> </w:t>
        </w:r>
        <w:smartTag w:uri="urn:schemas-microsoft-com:office:smarttags" w:element="PlaceName">
          <w:r>
            <w:rPr>
              <w:szCs w:val="22"/>
            </w:rPr>
            <w:t>Counterterrorism</w:t>
          </w:r>
        </w:smartTag>
        <w:r>
          <w:rPr>
            <w:szCs w:val="22"/>
          </w:rPr>
          <w:t xml:space="preserve"> </w:t>
        </w:r>
        <w:smartTag w:uri="urn:schemas-microsoft-com:office:smarttags" w:element="PlaceType">
          <w:r>
            <w:rPr>
              <w:szCs w:val="22"/>
            </w:rPr>
            <w:t>Center</w:t>
          </w:r>
        </w:smartTag>
      </w:smartTag>
      <w:r>
        <w:rPr>
          <w:szCs w:val="22"/>
        </w:rPr>
        <w:t xml:space="preserve"> and Federal Bureau of Investigation.</w:t>
      </w:r>
    </w:p>
  </w:footnote>
  <w:footnote w:id="26">
    <w:p w14:paraId="37C490F5" w14:textId="77777777" w:rsidR="00676141" w:rsidRDefault="00676141">
      <w:pPr>
        <w:pStyle w:val="FootnoteText"/>
      </w:pPr>
      <w:r>
        <w:rPr>
          <w:rStyle w:val="FootnoteReference"/>
        </w:rPr>
        <w:footnoteRef/>
      </w:r>
      <w:r>
        <w:t xml:space="preserve"> U.S. Department of Transportation memorandum, </w:t>
      </w:r>
      <w:r>
        <w:rPr>
          <w:i/>
          <w:iCs/>
        </w:rPr>
        <w:t>Treatment of the Economic Value of a Statistical Life in Departmental Analyses.</w:t>
      </w:r>
      <w:r>
        <w:t xml:space="preserve"> Office of the Secretary of Transportation, February 5, 2008.</w:t>
      </w:r>
    </w:p>
  </w:footnote>
  <w:footnote w:id="27">
    <w:p w14:paraId="0AF9E711" w14:textId="77777777" w:rsidR="00676141" w:rsidRDefault="00676141">
      <w:pPr>
        <w:pStyle w:val="FootnoteText"/>
      </w:pPr>
      <w:r>
        <w:rPr>
          <w:rStyle w:val="FootnoteReference"/>
        </w:rPr>
        <w:footnoteRef/>
      </w:r>
      <w:r>
        <w:t xml:space="preserve"> </w:t>
      </w:r>
      <w:r>
        <w:rPr>
          <w:rStyle w:val="FootnoteReference"/>
        </w:rPr>
        <w:footnoteRef/>
      </w:r>
      <w:r>
        <w:t xml:space="preserve"> </w:t>
      </w:r>
      <w:r>
        <w:rPr>
          <w:rFonts w:cs="Arial"/>
        </w:rPr>
        <w:t xml:space="preserve">Federal Aviation Administration. 2007. </w:t>
      </w:r>
      <w:r>
        <w:rPr>
          <w:rFonts w:cs="Arial"/>
          <w:bCs/>
          <w:u w:val="single"/>
        </w:rPr>
        <w:t>Economic Values for FAA Investment and Regulatory Decisions, A Guide.</w:t>
      </w:r>
      <w:r>
        <w:rPr>
          <w:rFonts w:cs="Arial"/>
        </w:rPr>
        <w:t xml:space="preserve"> Prepared by GRA, Inc. December 31, 2004 (updated). Table 5-1.</w:t>
      </w:r>
      <w:r>
        <w:t xml:space="preserve">  This table reports 2003 value estimates, and the 2003 estimate of $42.3 million was brought to 2006 values using the FAA recommended method described in the document in Section 9.6 (page 9-9), using the BLS producer price index series for civil aircraft, available in the producer price index values for commodities at </w:t>
      </w:r>
      <w:hyperlink r:id="rId2" w:history="1">
        <w:r>
          <w:rPr>
            <w:rStyle w:val="Hyperlink"/>
          </w:rPr>
          <w:t>http://stats.bls.gov/ppi/home.htm</w:t>
        </w:r>
      </w:hyperlink>
      <w:r>
        <w:t xml:space="preserve"> .</w:t>
      </w:r>
    </w:p>
    <w:p w14:paraId="30222568" w14:textId="77777777" w:rsidR="00676141" w:rsidRDefault="00676141">
      <w:pPr>
        <w:pStyle w:val="FootnoteText"/>
      </w:pPr>
    </w:p>
  </w:footnote>
  <w:footnote w:id="28">
    <w:p w14:paraId="2901E365" w14:textId="77777777" w:rsidR="00676141" w:rsidRDefault="00676141">
      <w:pPr>
        <w:pStyle w:val="FootnoteText"/>
      </w:pPr>
      <w:r>
        <w:rPr>
          <w:rStyle w:val="FootnoteReference"/>
        </w:rPr>
        <w:footnoteRef/>
      </w:r>
      <w:r>
        <w:t xml:space="preserve"> Regulatory Assessment &amp; Final Regulatory Flexibility Analysis for the Final Rule, </w:t>
      </w:r>
      <w:r>
        <w:rPr>
          <w:i/>
          <w:iCs/>
        </w:rPr>
        <w:t>Passenger Manifests for commercial Aircraft Arriving in and Departing from the United States; Passenger and Crew Manifests for Commercial Vessels Departing from the United States</w:t>
      </w:r>
      <w:r>
        <w:t>. Table 13, page 36.</w:t>
      </w:r>
    </w:p>
  </w:footnote>
  <w:footnote w:id="29">
    <w:p w14:paraId="487D60A6" w14:textId="77777777" w:rsidR="00676141" w:rsidRDefault="00676141">
      <w:pPr>
        <w:pStyle w:val="FootnoteText"/>
      </w:pPr>
      <w:r>
        <w:rPr>
          <w:rStyle w:val="FootnoteReference"/>
        </w:rPr>
        <w:footnoteRef/>
      </w:r>
      <w:r>
        <w:t xml:space="preserve"> Thompson, Jr., William C. Comptroller, City of </w:t>
      </w:r>
      <w:smartTag w:uri="urn:schemas-microsoft-com:office:smarttags" w:element="City">
        <w:smartTag w:uri="urn:schemas-microsoft-com:office:smarttags" w:element="place">
          <w:r>
            <w:t>New York</w:t>
          </w:r>
        </w:smartTag>
      </w:smartTag>
      <w:r>
        <w:t xml:space="preserve">.  “One Year Later: The Fiscal Impact of 9/11 on </w:t>
      </w:r>
      <w:smartTag w:uri="urn:schemas-microsoft-com:office:smarttags" w:element="place">
        <w:smartTag w:uri="urn:schemas-microsoft-com:office:smarttags" w:element="City">
          <w:r>
            <w:t>New York City</w:t>
          </w:r>
        </w:smartTag>
      </w:smartTag>
      <w:r>
        <w:t>.” September 4, 2002.</w:t>
      </w:r>
    </w:p>
  </w:footnote>
  <w:footnote w:id="30">
    <w:p w14:paraId="0CF19AAC" w14:textId="77777777" w:rsidR="00676141" w:rsidRDefault="00676141">
      <w:pPr>
        <w:pStyle w:val="FootnoteText"/>
      </w:pPr>
      <w:r>
        <w:rPr>
          <w:rStyle w:val="FootnoteReference"/>
        </w:rPr>
        <w:footnoteRef/>
      </w:r>
      <w:r>
        <w:t xml:space="preserve"> “Economic Consequences of a Nuclear Detonation in an Urban Area” undated DHS draft.</w:t>
      </w:r>
    </w:p>
  </w:footnote>
  <w:footnote w:id="31">
    <w:p w14:paraId="2BC76E36" w14:textId="77777777" w:rsidR="00676141" w:rsidRDefault="00676141">
      <w:pPr>
        <w:pStyle w:val="FootnoteText"/>
      </w:pPr>
      <w:r>
        <w:rPr>
          <w:rStyle w:val="FootnoteReference"/>
        </w:rPr>
        <w:footnoteRef/>
      </w:r>
      <w:r>
        <w:t xml:space="preserve"> See Section 1.4.1 for an explanation of how TSA determined these carriers may implement AQQ.</w:t>
      </w:r>
    </w:p>
  </w:footnote>
  <w:footnote w:id="32">
    <w:p w14:paraId="1CDBCA29" w14:textId="77777777" w:rsidR="00676141" w:rsidRDefault="00676141">
      <w:pPr>
        <w:pStyle w:val="FootnoteText"/>
      </w:pPr>
      <w:r>
        <w:rPr>
          <w:rStyle w:val="FootnoteReference"/>
        </w:rPr>
        <w:footnoteRef/>
      </w:r>
      <w:r>
        <w:t xml:space="preserve"> See Section 1.4.1 for an explanation of how TSA determined these carriers may implement AQQ.</w:t>
      </w:r>
    </w:p>
  </w:footnote>
  <w:footnote w:id="33">
    <w:p w14:paraId="36E757BE" w14:textId="77777777" w:rsidR="00676141" w:rsidRDefault="00676141">
      <w:pPr>
        <w:pStyle w:val="FootnoteText"/>
      </w:pPr>
      <w:r>
        <w:rPr>
          <w:rStyle w:val="FootnoteReference"/>
        </w:rPr>
        <w:footnoteRef/>
      </w:r>
      <w:r>
        <w:t xml:space="preserve"> As noted in Section 1.4.1, TSA would not mandate how covered carriers would store or extract SFPD.  However, covered carriers may choose to extract the SFPD from their reservation systems rather than establishing or using a separate system for storing SFPDs and interacting with Secure Flight.  TSA has assumed for the purposes of this analysis that airlines would extract the information from their reservation systems.</w:t>
      </w:r>
    </w:p>
  </w:footnote>
  <w:footnote w:id="34">
    <w:p w14:paraId="641DED7C" w14:textId="77777777" w:rsidR="00676141" w:rsidRDefault="00676141">
      <w:pPr>
        <w:pStyle w:val="FootnoteText"/>
      </w:pPr>
      <w:r>
        <w:rPr>
          <w:rStyle w:val="FootnoteReference"/>
        </w:rPr>
        <w:footnoteRef/>
      </w:r>
      <w:r>
        <w:t xml:space="preserve"> </w:t>
      </w:r>
      <w:r>
        <w:rPr>
          <w:i/>
          <w:iCs/>
        </w:rPr>
        <w:t>Travel Agency Distribution Landscape</w:t>
      </w:r>
      <w:r>
        <w:t>, prepared by PhoCusWright for the American Society of Travel Agents (ASTA), Airlines Reporting Corporation (ARC), Cruise Lines International Association (CLIA), Performance Media Group, LLC, and others.  April 2008.</w:t>
      </w:r>
    </w:p>
  </w:footnote>
  <w:footnote w:id="35">
    <w:p w14:paraId="6B2CA99A" w14:textId="77777777" w:rsidR="00676141" w:rsidRDefault="00676141">
      <w:pPr>
        <w:pStyle w:val="FootnoteText"/>
      </w:pPr>
      <w:r>
        <w:rPr>
          <w:rStyle w:val="FootnoteReference"/>
        </w:rPr>
        <w:footnoteRef/>
      </w:r>
      <w:r>
        <w:t xml:space="preserve"> Checkpoints are comprised of clusters of screening lanes.  Screening lanes typically contain one magnetometer and one x-ray machine.  TSA’s Performance and Results Information System (PARIS) system indicates that there were 805 checkpoints in March, 2007.</w:t>
      </w:r>
    </w:p>
  </w:footnote>
  <w:footnote w:id="36">
    <w:p w14:paraId="2B7366F1" w14:textId="77777777" w:rsidR="00676141" w:rsidRDefault="00676141">
      <w:pPr>
        <w:pStyle w:val="FootnoteText"/>
      </w:pPr>
      <w:r>
        <w:rPr>
          <w:rStyle w:val="FootnoteReference"/>
        </w:rPr>
        <w:footnoteRef/>
      </w:r>
      <w:r>
        <w:t xml:space="preserve"> Based on TSA conversations with another Federal agency using mobile scanners.</w:t>
      </w:r>
    </w:p>
  </w:footnote>
  <w:footnote w:id="37">
    <w:p w14:paraId="0540F7E8" w14:textId="77777777" w:rsidR="00676141" w:rsidRDefault="00676141">
      <w:pPr>
        <w:pStyle w:val="FootnoteText"/>
      </w:pPr>
      <w:r>
        <w:rPr>
          <w:rStyle w:val="FootnoteReference"/>
        </w:rPr>
        <w:footnoteRef/>
      </w:r>
      <w:r>
        <w:t xml:space="preserve"> U.S. Bureau of Labor Statistics wage for Protective Service Occupations (SOC: 33-9099), inflated to 2005 and adjusted to include benefits.</w:t>
      </w:r>
    </w:p>
  </w:footnote>
  <w:footnote w:id="38">
    <w:p w14:paraId="28733648" w14:textId="77777777" w:rsidR="00676141" w:rsidRDefault="00676141">
      <w:pPr>
        <w:pStyle w:val="FootnoteText"/>
      </w:pPr>
      <w:r>
        <w:rPr>
          <w:rStyle w:val="FootnoteReference"/>
        </w:rPr>
        <w:footnoteRef/>
      </w:r>
      <w:r>
        <w:t xml:space="preserve"> This information could be limited to a “red light/green light” confirmation, or could include portions of the Passenger Reservation Data necessary for comparison of the boarding pass to the passenger’s identification.</w:t>
      </w:r>
    </w:p>
  </w:footnote>
  <w:footnote w:id="39">
    <w:p w14:paraId="66F62811" w14:textId="77777777" w:rsidR="00676141" w:rsidRDefault="00676141">
      <w:pPr>
        <w:pStyle w:val="FootnoteText"/>
      </w:pPr>
      <w:r>
        <w:rPr>
          <w:rStyle w:val="FootnoteReference"/>
        </w:rPr>
        <w:footnoteRef/>
      </w:r>
      <w:r>
        <w:t xml:space="preserve"> SSOLV verifies SSN data by responding that submitted data matches SSA data or it will indicate which part of the original transmission from the requesting party does not match SSA data. SSOLV does not send any data from the SSA database as a response.</w:t>
      </w:r>
    </w:p>
  </w:footnote>
  <w:footnote w:id="40">
    <w:p w14:paraId="0C6C120F" w14:textId="77777777" w:rsidR="00676141" w:rsidRDefault="00676141">
      <w:pPr>
        <w:pStyle w:val="FootnoteText"/>
      </w:pPr>
      <w:r>
        <w:rPr>
          <w:rStyle w:val="FootnoteReference"/>
        </w:rPr>
        <w:footnoteRef/>
      </w:r>
      <w:r>
        <w:t xml:space="preserve"> This includes the 7.8 billion domestic enplanements from Table 1.4.1.a and half of the 1.1 billion passengers either coming to or leaving the U.S from Table 1.4.1.h.  Only half of international passengers are used because TSA anticipates that boarding passes would not be verified in foreign airports.  TSA notes that use of enplanements may slightly overstate the actual number of passengers passing through checkpoints and may thus slightly overstate costs.</w:t>
      </w:r>
    </w:p>
  </w:footnote>
  <w:footnote w:id="41">
    <w:p w14:paraId="28FD82EC" w14:textId="77777777" w:rsidR="00676141" w:rsidRDefault="00676141">
      <w:pPr>
        <w:pStyle w:val="FootnoteText"/>
      </w:pPr>
      <w:r>
        <w:rPr>
          <w:rStyle w:val="FootnoteReference"/>
        </w:rPr>
        <w:footnoteRef/>
      </w:r>
      <w:r>
        <w:t xml:space="preserve"> </w:t>
      </w:r>
      <w:smartTag w:uri="urn:schemas-microsoft-com:office:smarttags" w:element="place">
        <w:smartTag w:uri="urn:schemas-microsoft-com:office:smarttags" w:element="country-region">
          <w:r>
            <w:t>U.S.</w:t>
          </w:r>
        </w:smartTag>
      </w:smartTag>
      <w:r>
        <w:t xml:space="preserve"> Department of Justice, Office of the Inspector General Audit Division, Audit 05-34. “Review of the </w:t>
      </w:r>
      <w:smartTag w:uri="urn:schemas-microsoft-com:office:smarttags" w:element="place">
        <w:smartTag w:uri="urn:schemas-microsoft-com:office:smarttags" w:element="PlaceName">
          <w:r>
            <w:t>Terrorist</w:t>
          </w:r>
        </w:smartTag>
        <w:r>
          <w:t xml:space="preserve"> </w:t>
        </w:r>
        <w:smartTag w:uri="urn:schemas-microsoft-com:office:smarttags" w:element="PlaceName">
          <w:r>
            <w:t>Screening</w:t>
          </w:r>
        </w:smartTag>
        <w:r>
          <w:t xml:space="preserve"> </w:t>
        </w:r>
        <w:smartTag w:uri="urn:schemas-microsoft-com:office:smarttags" w:element="PlaceType">
          <w:r>
            <w:t>Center</w:t>
          </w:r>
        </w:smartTag>
      </w:smartTag>
      <w:r>
        <w:t>’s Efforts to Support the Secure Flight Program.” August 2005.</w:t>
      </w:r>
    </w:p>
  </w:footnote>
  <w:footnote w:id="42">
    <w:p w14:paraId="2094576D" w14:textId="77777777" w:rsidR="00676141" w:rsidRDefault="00676141">
      <w:pPr>
        <w:pStyle w:val="FootnoteText"/>
      </w:pPr>
      <w:r>
        <w:rPr>
          <w:rStyle w:val="FootnoteReference"/>
        </w:rPr>
        <w:footnoteRef/>
      </w:r>
      <w:r>
        <w:t xml:space="preserve"> BTS data shows that Group 4 carriers represented only approximately 0.60% of total FY 2005 covered domestic carrier enplanements.  Group 4 projected enplanements are presented in Table 1.4.2.c.</w:t>
      </w:r>
    </w:p>
  </w:footnote>
  <w:footnote w:id="43">
    <w:p w14:paraId="75EAB335" w14:textId="77777777" w:rsidR="00676141" w:rsidRDefault="00676141">
      <w:pPr>
        <w:pStyle w:val="FootnoteText"/>
      </w:pPr>
      <w:r>
        <w:rPr>
          <w:rStyle w:val="FootnoteReference"/>
        </w:rPr>
        <w:footnoteRef/>
      </w:r>
      <w:r>
        <w:t xml:space="preserve"> Small Business Administration.  Table: “Small Business Size Standards matched to North American Industry Classification System.”  Available at &lt;</w:t>
      </w:r>
      <w:hyperlink r:id="rId3" w:history="1">
        <w:r>
          <w:rPr>
            <w:rStyle w:val="Hyperlink"/>
          </w:rPr>
          <w:t>http://www.sba.g</w:t>
        </w:r>
        <w:r>
          <w:rPr>
            <w:rStyle w:val="Hyperlink"/>
          </w:rPr>
          <w:t>o</w:t>
        </w:r>
        <w:r>
          <w:rPr>
            <w:rStyle w:val="Hyperlink"/>
          </w:rPr>
          <w:t>v/size/sizetable2002.html</w:t>
        </w:r>
      </w:hyperlink>
      <w:r>
        <w:t xml:space="preserve">&gt;.  Accessed May 4, 2006.  </w:t>
      </w:r>
    </w:p>
    <w:p w14:paraId="47E9E473" w14:textId="77777777" w:rsidR="00676141" w:rsidRDefault="00676141">
      <w:pPr>
        <w:pStyle w:val="FootnoteText"/>
      </w:pPr>
      <w:r>
        <w:rPr>
          <w:b/>
        </w:rPr>
        <w:t>Note:</w:t>
      </w:r>
      <w:r>
        <w:t xml:space="preserve"> The SBA size standard for travel agencies is based on “total revenues, excluding funds received in trust for an unaffiliated third party, such as bookings or sales subject to commissions.  The commissions received are included as revenue.”</w:t>
      </w:r>
    </w:p>
  </w:footnote>
  <w:footnote w:id="44">
    <w:p w14:paraId="72EDF4B4" w14:textId="77777777" w:rsidR="00676141" w:rsidRDefault="00676141">
      <w:pPr>
        <w:pStyle w:val="FootnoteText"/>
      </w:pPr>
      <w:r>
        <w:rPr>
          <w:rStyle w:val="FootnoteReference"/>
        </w:rPr>
        <w:footnoteRef/>
      </w:r>
      <w:r>
        <w:t xml:space="preserve"> Small Business Administration.  Table: “All Industries by NAICS codes, 2003.”  See TXT file “2003” available at &lt;</w:t>
      </w:r>
      <w:hyperlink r:id="rId4" w:anchor="us" w:history="1">
        <w:r>
          <w:rPr>
            <w:rStyle w:val="Hyperlink"/>
          </w:rPr>
          <w:t>http://www.sba.gov/advo/research/data.html</w:t>
        </w:r>
      </w:hyperlink>
      <w:r>
        <w:t xml:space="preserve">&gt;.  Accessed May 6, 2006.  </w:t>
      </w:r>
      <w:r>
        <w:rPr>
          <w:b/>
        </w:rPr>
        <w:t>Note:</w:t>
      </w:r>
      <w:r>
        <w:t xml:space="preserve"> TSA used a threshold of $5 million because the SBA tables did not contain enough detail to only include agencies with revenues less than $3.5 million.</w:t>
      </w:r>
    </w:p>
  </w:footnote>
  <w:footnote w:id="45">
    <w:p w14:paraId="2DD190EE" w14:textId="77777777" w:rsidR="00676141" w:rsidRDefault="00676141">
      <w:pPr>
        <w:pStyle w:val="FootnoteText"/>
      </w:pPr>
      <w:r>
        <w:rPr>
          <w:rStyle w:val="FootnoteReference"/>
        </w:rPr>
        <w:footnoteRef/>
      </w:r>
      <w:r>
        <w:t xml:space="preserve"> Small Business Administration.  Table: “Small Business Size Standards matched to North American Industry Classification System.”  Available at &lt;http://www.sba.gov/size/sizetable2002.html&gt;.  Accessed May 4, 2006.</w:t>
      </w:r>
    </w:p>
  </w:footnote>
  <w:footnote w:id="46">
    <w:p w14:paraId="5BB1D7E5" w14:textId="77777777" w:rsidR="00676141" w:rsidRDefault="00676141">
      <w:pPr>
        <w:pStyle w:val="FootnoteText"/>
      </w:pPr>
      <w:r>
        <w:rPr>
          <w:rStyle w:val="FootnoteReference"/>
        </w:rPr>
        <w:footnoteRef/>
      </w:r>
      <w:r>
        <w:t xml:space="preserve"> For more information, please see Section 1.4.1.</w:t>
      </w:r>
    </w:p>
  </w:footnote>
  <w:footnote w:id="47">
    <w:p w14:paraId="50B45970" w14:textId="77777777" w:rsidR="00676141" w:rsidRDefault="00676141">
      <w:pPr>
        <w:pStyle w:val="FootnoteText"/>
      </w:pPr>
      <w:r>
        <w:rPr>
          <w:rStyle w:val="FootnoteReference"/>
        </w:rPr>
        <w:footnoteRef/>
      </w:r>
      <w:r>
        <w:t xml:space="preserve"> Since in some cases the reported revenue data is proprietary, TSA substituted an ID number in place of company names.</w:t>
      </w:r>
    </w:p>
  </w:footnote>
  <w:footnote w:id="48">
    <w:p w14:paraId="31D7F115" w14:textId="77777777" w:rsidR="00676141" w:rsidRDefault="00676141">
      <w:pPr>
        <w:pStyle w:val="FootnoteText"/>
      </w:pPr>
      <w:r>
        <w:rPr>
          <w:rStyle w:val="FootnoteReference"/>
        </w:rPr>
        <w:footnoteRef/>
      </w:r>
      <w:r>
        <w:t xml:space="preserve"> In cases for which annual revenues were not available, carrier filings of total annual sales were used as a proxy for revenue.</w:t>
      </w:r>
    </w:p>
  </w:footnote>
  <w:footnote w:id="49">
    <w:p w14:paraId="444892D6" w14:textId="77777777" w:rsidR="00676141" w:rsidRDefault="00676141">
      <w:pPr>
        <w:pStyle w:val="FootnoteText"/>
      </w:pPr>
      <w:r>
        <w:rPr>
          <w:rStyle w:val="FootnoteReference"/>
        </w:rPr>
        <w:footnoteRef/>
      </w:r>
      <w:r>
        <w:t xml:space="preserve"> Small Business Administration.  Table: “Small Business Size Standards matched to North American Industry Classification System.”  Available at &lt;</w:t>
      </w:r>
      <w:hyperlink r:id="rId5" w:history="1">
        <w:r>
          <w:rPr>
            <w:rStyle w:val="Hyperlink"/>
          </w:rPr>
          <w:t>http://www.sba.gov/size/sizet</w:t>
        </w:r>
        <w:r>
          <w:rPr>
            <w:rStyle w:val="Hyperlink"/>
          </w:rPr>
          <w:t>a</w:t>
        </w:r>
        <w:r>
          <w:rPr>
            <w:rStyle w:val="Hyperlink"/>
          </w:rPr>
          <w:t>ble2002.html</w:t>
        </w:r>
      </w:hyperlink>
      <w:r>
        <w:t xml:space="preserve">&gt;.  Accessed May 4, 2006.  </w:t>
      </w:r>
    </w:p>
    <w:p w14:paraId="2F35FE46" w14:textId="77777777" w:rsidR="00676141" w:rsidRDefault="00676141">
      <w:pPr>
        <w:pStyle w:val="FootnoteText"/>
      </w:pPr>
      <w:r>
        <w:rPr>
          <w:b/>
        </w:rPr>
        <w:t>Note:</w:t>
      </w:r>
      <w:r>
        <w:t xml:space="preserve"> The SBA size standard for travel agencies is based on “total revenues, excluding funds received in trust for an unaffiliated third party, such as bookings or sales subject to commissions.  The commissions received are included as revenue.”</w:t>
      </w:r>
    </w:p>
  </w:footnote>
  <w:footnote w:id="50">
    <w:p w14:paraId="456897CD" w14:textId="77777777" w:rsidR="00676141" w:rsidRDefault="00676141">
      <w:pPr>
        <w:pStyle w:val="FootnoteText"/>
      </w:pPr>
      <w:r>
        <w:rPr>
          <w:rStyle w:val="FootnoteReference"/>
        </w:rPr>
        <w:footnoteRef/>
      </w:r>
      <w:r>
        <w:t xml:space="preserve"> Small Business Administration.  Table: “All Industries by NAICS codes, 2003.”  See TXT file “2003” available at &lt;</w:t>
      </w:r>
      <w:hyperlink r:id="rId6" w:anchor="us" w:history="1">
        <w:r>
          <w:rPr>
            <w:rStyle w:val="Hyperlink"/>
          </w:rPr>
          <w:t>http://www.sba.gov/adv</w:t>
        </w:r>
        <w:r>
          <w:rPr>
            <w:rStyle w:val="Hyperlink"/>
          </w:rPr>
          <w:t>o</w:t>
        </w:r>
        <w:r>
          <w:rPr>
            <w:rStyle w:val="Hyperlink"/>
          </w:rPr>
          <w:t>/</w:t>
        </w:r>
        <w:r>
          <w:rPr>
            <w:rStyle w:val="Hyperlink"/>
          </w:rPr>
          <w:t>r</w:t>
        </w:r>
        <w:r>
          <w:rPr>
            <w:rStyle w:val="Hyperlink"/>
          </w:rPr>
          <w:t>e</w:t>
        </w:r>
        <w:r>
          <w:rPr>
            <w:rStyle w:val="Hyperlink"/>
          </w:rPr>
          <w:t>search/data.html</w:t>
        </w:r>
      </w:hyperlink>
      <w:r>
        <w:t>&gt;.  Accessed May 6, 2006.</w:t>
      </w:r>
    </w:p>
  </w:footnote>
  <w:footnote w:id="51">
    <w:p w14:paraId="58945B2E" w14:textId="77777777" w:rsidR="00676141" w:rsidRDefault="00676141">
      <w:pPr>
        <w:pStyle w:val="FootnoteText"/>
      </w:pPr>
      <w:r>
        <w:rPr>
          <w:rStyle w:val="FootnoteReference"/>
        </w:rPr>
        <w:footnoteRef/>
      </w:r>
      <w:r>
        <w:t xml:space="preserve"> Commission Report, p. 114.  </w:t>
      </w:r>
    </w:p>
  </w:footnote>
  <w:footnote w:id="52">
    <w:p w14:paraId="4E7AC708" w14:textId="77777777" w:rsidR="00676141" w:rsidRDefault="00676141">
      <w:pPr>
        <w:pStyle w:val="FootnoteText"/>
      </w:pPr>
      <w:r>
        <w:rPr>
          <w:rStyle w:val="FootnoteReference"/>
        </w:rPr>
        <w:footnoteRef/>
      </w:r>
      <w:r>
        <w:t xml:space="preserve"> Ibid.</w:t>
      </w:r>
    </w:p>
  </w:footnote>
  <w:footnote w:id="53">
    <w:p w14:paraId="57325725" w14:textId="77777777" w:rsidR="00676141" w:rsidRDefault="00676141">
      <w:pPr>
        <w:pStyle w:val="FootnoteText"/>
      </w:pPr>
      <w:r>
        <w:rPr>
          <w:rStyle w:val="FootnoteReference"/>
        </w:rPr>
        <w:footnoteRef/>
      </w:r>
      <w:r>
        <w:t xml:space="preserve"> “End of Year Reporting and Settlement Results,” Airlines Reporting Corporation press release, December 2002, December 2003, December 2004, December 2005.  Available at &lt;http://www.arccorp.com/regist/news_sales_doc_stats.jsp&gt;.  Accessed May 12, 2006.</w:t>
      </w:r>
    </w:p>
  </w:footnote>
  <w:footnote w:id="54">
    <w:p w14:paraId="41460D18" w14:textId="77777777" w:rsidR="00676141" w:rsidRDefault="00676141">
      <w:pPr>
        <w:pStyle w:val="FootnoteText"/>
      </w:pPr>
      <w:r>
        <w:rPr>
          <w:rStyle w:val="FootnoteReference"/>
        </w:rPr>
        <w:footnoteRef/>
      </w:r>
      <w:r>
        <w:t xml:space="preserve"> Small Business Administration.  Table: “All Industries by NAICS codes, 2003.”  See TXT file “2003” available at &lt;</w:t>
      </w:r>
      <w:hyperlink r:id="rId7" w:anchor="us" w:history="1">
        <w:r>
          <w:rPr>
            <w:rStyle w:val="Hyperlink"/>
          </w:rPr>
          <w:t>http://www.sba.gov/a</w:t>
        </w:r>
        <w:r>
          <w:rPr>
            <w:rStyle w:val="Hyperlink"/>
          </w:rPr>
          <w:t>d</w:t>
        </w:r>
        <w:r>
          <w:rPr>
            <w:rStyle w:val="Hyperlink"/>
          </w:rPr>
          <w:t>vo/research/data.html</w:t>
        </w:r>
      </w:hyperlink>
      <w:r>
        <w:t>&gt;.  Accessed May 6, 2006.  Estimated receipts divided by number of firms, revenue class 0-99,999.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7E9C4" w14:textId="77777777" w:rsidR="0002671D" w:rsidRDefault="000267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CA955" w14:textId="77777777" w:rsidR="00676141" w:rsidRDefault="006761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E7777" w14:textId="77777777" w:rsidR="00676141" w:rsidRDefault="006761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B765B" w14:textId="77777777" w:rsidR="00676141" w:rsidRDefault="006761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4D2E0" w14:textId="77777777" w:rsidR="00676141" w:rsidRDefault="006761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E716F" w14:textId="77777777" w:rsidR="00676141" w:rsidRDefault="006761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833A7" w14:textId="77777777" w:rsidR="00676141" w:rsidRDefault="00676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9B07" w14:textId="77777777" w:rsidR="0002671D" w:rsidRDefault="00026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03402" w14:textId="77777777" w:rsidR="00676141" w:rsidRDefault="0067614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CE2C9" w14:textId="77777777" w:rsidR="00676141" w:rsidRDefault="006761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45493" w14:textId="77777777" w:rsidR="00676141" w:rsidRDefault="006761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63569" w14:textId="77777777" w:rsidR="00676141" w:rsidRDefault="006761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BAE44" w14:textId="77777777" w:rsidR="00676141" w:rsidRDefault="006761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4BFC7" w14:textId="77777777" w:rsidR="00676141" w:rsidRDefault="006761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CA07" w14:textId="77777777" w:rsidR="00676141" w:rsidRDefault="0067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888A7C"/>
    <w:lvl w:ilvl="0">
      <w:start w:val="1"/>
      <w:numFmt w:val="decimal"/>
      <w:pStyle w:val="MacroText"/>
      <w:lvlText w:val="%1."/>
      <w:lvlJc w:val="left"/>
      <w:pPr>
        <w:tabs>
          <w:tab w:val="num" w:pos="1800"/>
        </w:tabs>
        <w:ind w:left="1800" w:hanging="360"/>
      </w:pPr>
    </w:lvl>
  </w:abstractNum>
  <w:abstractNum w:abstractNumId="1" w15:restartNumberingAfterBreak="0">
    <w:nsid w:val="FFFFFF7D"/>
    <w:multiLevelType w:val="singleLevel"/>
    <w:tmpl w:val="2FD45C38"/>
    <w:lvl w:ilvl="0">
      <w:start w:val="1"/>
      <w:numFmt w:val="decimal"/>
      <w:pStyle w:val="ListNumber5"/>
      <w:lvlText w:val="%1."/>
      <w:lvlJc w:val="left"/>
      <w:pPr>
        <w:tabs>
          <w:tab w:val="num" w:pos="1440"/>
        </w:tabs>
        <w:ind w:left="1440" w:hanging="360"/>
      </w:pPr>
    </w:lvl>
  </w:abstractNum>
  <w:abstractNum w:abstractNumId="2" w15:restartNumberingAfterBreak="0">
    <w:nsid w:val="FFFFFF7E"/>
    <w:multiLevelType w:val="singleLevel"/>
    <w:tmpl w:val="26087B14"/>
    <w:lvl w:ilvl="0">
      <w:start w:val="1"/>
      <w:numFmt w:val="decimal"/>
      <w:pStyle w:val="ListNumber4"/>
      <w:lvlText w:val="%1."/>
      <w:lvlJc w:val="left"/>
      <w:pPr>
        <w:tabs>
          <w:tab w:val="num" w:pos="1080"/>
        </w:tabs>
        <w:ind w:left="1080" w:hanging="360"/>
      </w:pPr>
    </w:lvl>
  </w:abstractNum>
  <w:abstractNum w:abstractNumId="3" w15:restartNumberingAfterBreak="0">
    <w:nsid w:val="FFFFFF7F"/>
    <w:multiLevelType w:val="singleLevel"/>
    <w:tmpl w:val="A4A60FDE"/>
    <w:lvl w:ilvl="0">
      <w:start w:val="1"/>
      <w:numFmt w:val="decimal"/>
      <w:pStyle w:val="ListNumber3"/>
      <w:lvlText w:val="%1."/>
      <w:lvlJc w:val="left"/>
      <w:pPr>
        <w:tabs>
          <w:tab w:val="num" w:pos="720"/>
        </w:tabs>
        <w:ind w:left="720" w:hanging="360"/>
      </w:pPr>
    </w:lvl>
  </w:abstractNum>
  <w:abstractNum w:abstractNumId="4" w15:restartNumberingAfterBreak="0">
    <w:nsid w:val="FFFFFF80"/>
    <w:multiLevelType w:val="singleLevel"/>
    <w:tmpl w:val="70A01268"/>
    <w:lvl w:ilvl="0">
      <w:start w:val="1"/>
      <w:numFmt w:val="bullet"/>
      <w:pStyle w:val="ListContinu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72626A"/>
    <w:lvl w:ilvl="0">
      <w:start w:val="1"/>
      <w:numFmt w:val="bullet"/>
      <w:pStyle w:val="ListBullet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C870A6"/>
    <w:lvl w:ilvl="0">
      <w:start w:val="1"/>
      <w:numFmt w:val="bullet"/>
      <w:pStyle w:val="ListBullet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C091CA"/>
    <w:lvl w:ilvl="0">
      <w:start w:val="1"/>
      <w:numFmt w:val="bullet"/>
      <w:pStyle w:val="ListBullet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6C89C"/>
    <w:lvl w:ilvl="0">
      <w:start w:val="1"/>
      <w:numFmt w:val="decimal"/>
      <w:pStyle w:val="ListNumber2"/>
      <w:lvlText w:val="%1."/>
      <w:lvlJc w:val="left"/>
      <w:pPr>
        <w:tabs>
          <w:tab w:val="num" w:pos="360"/>
        </w:tabs>
        <w:ind w:left="360" w:hanging="360"/>
      </w:pPr>
    </w:lvl>
  </w:abstractNum>
  <w:abstractNum w:abstractNumId="9" w15:restartNumberingAfterBreak="0">
    <w:nsid w:val="FFFFFF89"/>
    <w:multiLevelType w:val="singleLevel"/>
    <w:tmpl w:val="595C81CC"/>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07893134"/>
    <w:multiLevelType w:val="hybridMultilevel"/>
    <w:tmpl w:val="5930DBCE"/>
    <w:lvl w:ilvl="0" w:tplc="3BE87D4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E61C12"/>
    <w:multiLevelType w:val="hybridMultilevel"/>
    <w:tmpl w:val="459A7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2852AE"/>
    <w:multiLevelType w:val="multilevel"/>
    <w:tmpl w:val="A260E5B2"/>
    <w:lvl w:ilvl="0">
      <w:start w:val="1"/>
      <w:numFmt w:val="decimal"/>
      <w:lvlText w:val="%1."/>
      <w:lvlJc w:val="left"/>
      <w:pPr>
        <w:tabs>
          <w:tab w:val="num" w:pos="720"/>
        </w:tabs>
        <w:ind w:left="720" w:hanging="360"/>
      </w:pPr>
      <w:rPr>
        <w:rFonts w:hint="default"/>
        <w:b w:val="0"/>
        <w:i w:val="0"/>
        <w:sz w:val="24"/>
      </w:rPr>
    </w:lvl>
    <w:lvl w:ilvl="1">
      <w:start w:val="1"/>
      <w:numFmt w:val="lowerLetter"/>
      <w:lvlText w:val="%2."/>
      <w:lvlJc w:val="left"/>
      <w:pPr>
        <w:tabs>
          <w:tab w:val="num" w:pos="1440"/>
        </w:tabs>
        <w:ind w:left="1440" w:hanging="360"/>
      </w:pPr>
      <w:rPr>
        <w:rFonts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8510403"/>
    <w:multiLevelType w:val="hybridMultilevel"/>
    <w:tmpl w:val="7540AA3C"/>
    <w:lvl w:ilvl="0" w:tplc="CF22F8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1F1DBB"/>
    <w:multiLevelType w:val="hybridMultilevel"/>
    <w:tmpl w:val="22A6BE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E2671"/>
    <w:multiLevelType w:val="hybridMultilevel"/>
    <w:tmpl w:val="DFC4F9E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90532DF"/>
    <w:multiLevelType w:val="hybridMultilevel"/>
    <w:tmpl w:val="B4CCA432"/>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CDC015F"/>
    <w:multiLevelType w:val="hybridMultilevel"/>
    <w:tmpl w:val="90B60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D607C"/>
    <w:multiLevelType w:val="hybridMultilevel"/>
    <w:tmpl w:val="92E6E4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DE57FB4"/>
    <w:multiLevelType w:val="multilevel"/>
    <w:tmpl w:val="A260E5B2"/>
    <w:lvl w:ilvl="0">
      <w:start w:val="1"/>
      <w:numFmt w:val="decimal"/>
      <w:lvlText w:val="%1."/>
      <w:lvlJc w:val="left"/>
      <w:pPr>
        <w:tabs>
          <w:tab w:val="num" w:pos="720"/>
        </w:tabs>
        <w:ind w:left="720" w:hanging="360"/>
      </w:pPr>
      <w:rPr>
        <w:rFonts w:hint="default"/>
        <w:b w:val="0"/>
        <w:i w:val="0"/>
        <w:sz w:val="24"/>
      </w:rPr>
    </w:lvl>
    <w:lvl w:ilvl="1">
      <w:start w:val="1"/>
      <w:numFmt w:val="lowerLetter"/>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EF66BFF"/>
    <w:multiLevelType w:val="hybridMultilevel"/>
    <w:tmpl w:val="EC868C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F873600"/>
    <w:multiLevelType w:val="hybridMultilevel"/>
    <w:tmpl w:val="99D29DB2"/>
    <w:lvl w:ilvl="0" w:tplc="3BE87D4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CFE"/>
    <w:multiLevelType w:val="hybridMultilevel"/>
    <w:tmpl w:val="7C2623EC"/>
    <w:lvl w:ilvl="0" w:tplc="B7F261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D5EA5"/>
    <w:multiLevelType w:val="hybridMultilevel"/>
    <w:tmpl w:val="71007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C2663"/>
    <w:multiLevelType w:val="hybridMultilevel"/>
    <w:tmpl w:val="1DAA4CE2"/>
    <w:lvl w:ilvl="0" w:tplc="5DC6FF2E">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E34403"/>
    <w:multiLevelType w:val="hybridMultilevel"/>
    <w:tmpl w:val="C21052C0"/>
    <w:lvl w:ilvl="0" w:tplc="E642E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AB450E"/>
    <w:multiLevelType w:val="hybridMultilevel"/>
    <w:tmpl w:val="DB6E8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B1074"/>
    <w:multiLevelType w:val="hybridMultilevel"/>
    <w:tmpl w:val="B94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E801B6"/>
    <w:multiLevelType w:val="hybridMultilevel"/>
    <w:tmpl w:val="7E4A5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1103A"/>
    <w:multiLevelType w:val="hybridMultilevel"/>
    <w:tmpl w:val="5892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5546B"/>
    <w:multiLevelType w:val="hybridMultilevel"/>
    <w:tmpl w:val="9808F7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C2E86"/>
    <w:multiLevelType w:val="hybridMultilevel"/>
    <w:tmpl w:val="A2AC41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E93950"/>
    <w:multiLevelType w:val="hybridMultilevel"/>
    <w:tmpl w:val="BED237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4"/>
  </w:num>
  <w:num w:numId="3">
    <w:abstractNumId w:val="25"/>
  </w:num>
  <w:num w:numId="4">
    <w:abstractNumId w:val="21"/>
  </w:num>
  <w:num w:numId="5">
    <w:abstractNumId w:val="22"/>
  </w:num>
  <w:num w:numId="6">
    <w:abstractNumId w:val="10"/>
  </w:num>
  <w:num w:numId="7">
    <w:abstractNumId w:val="20"/>
  </w:num>
  <w:num w:numId="8">
    <w:abstractNumId w:val="23"/>
  </w:num>
  <w:num w:numId="9">
    <w:abstractNumId w:val="30"/>
  </w:num>
  <w:num w:numId="10">
    <w:abstractNumId w:val="11"/>
  </w:num>
  <w:num w:numId="11">
    <w:abstractNumId w:val="26"/>
  </w:num>
  <w:num w:numId="12">
    <w:abstractNumId w:val="31"/>
  </w:num>
  <w:num w:numId="13">
    <w:abstractNumId w:val="29"/>
  </w:num>
  <w:num w:numId="14">
    <w:abstractNumId w:val="27"/>
  </w:num>
  <w:num w:numId="15">
    <w:abstractNumId w:val="15"/>
  </w:num>
  <w:num w:numId="16">
    <w:abstractNumId w:val="17"/>
  </w:num>
  <w:num w:numId="17">
    <w:abstractNumId w:val="2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2"/>
  </w:num>
  <w:num w:numId="29">
    <w:abstractNumId w:val="16"/>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F59"/>
    <w:rsid w:val="0002671D"/>
    <w:rsid w:val="00211314"/>
    <w:rsid w:val="002B55EA"/>
    <w:rsid w:val="002F4838"/>
    <w:rsid w:val="003B0815"/>
    <w:rsid w:val="00496F59"/>
    <w:rsid w:val="00676141"/>
    <w:rsid w:val="00803EDB"/>
    <w:rsid w:val="00AD73A0"/>
    <w:rsid w:val="00B86C6A"/>
    <w:rsid w:val="00BA1213"/>
    <w:rsid w:val="00E25414"/>
    <w:rsid w:val="00EB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14:docId w14:val="1C150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ind w:left="350" w:right="278"/>
      <w:jc w:val="both"/>
      <w:outlineLvl w:val="5"/>
    </w:pPr>
    <w:rPr>
      <w:b/>
      <w:bCs/>
      <w:w w:val="91"/>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gEvalHeader">
    <w:name w:val="Reg Eval Header"/>
    <w:basedOn w:val="Normal"/>
    <w:pPr>
      <w:spacing w:line="480" w:lineRule="auto"/>
    </w:pPr>
    <w:rPr>
      <w:b/>
      <w:u w:val="single"/>
    </w:rPr>
  </w:style>
  <w:style w:type="paragraph" w:customStyle="1" w:styleId="RegEvalPartHeader">
    <w:name w:val="Reg Eval Part Header"/>
    <w:basedOn w:val="Normal"/>
    <w:pPr>
      <w:spacing w:line="480" w:lineRule="auto"/>
    </w:pPr>
    <w:rPr>
      <w:b/>
      <w:u w:val="single"/>
    </w:rPr>
  </w:style>
  <w:style w:type="paragraph" w:customStyle="1" w:styleId="RegEvalSectionHeader">
    <w:name w:val="Reg Eval Section Header"/>
    <w:basedOn w:val="Normal"/>
    <w:pPr>
      <w:spacing w:line="480" w:lineRule="auto"/>
    </w:pPr>
    <w:rPr>
      <w:b/>
    </w:rPr>
  </w:style>
  <w:style w:type="paragraph" w:customStyle="1" w:styleId="RegEvalSectionSubheader">
    <w:name w:val="Reg Eval Section Subheader"/>
    <w:basedOn w:val="Normal"/>
    <w:pPr>
      <w:spacing w:line="480" w:lineRule="auto"/>
    </w:pPr>
    <w:rPr>
      <w:u w:val="single"/>
    </w:rPr>
  </w:style>
  <w:style w:type="paragraph" w:customStyle="1" w:styleId="RegEvalTableHeader">
    <w:name w:val="Reg Eval Table Header"/>
    <w:basedOn w:val="Normal"/>
    <w:pPr>
      <w:jc w:val="center"/>
    </w:pPr>
    <w:rPr>
      <w:rFonts w:ascii="Arial" w:hAnsi="Arial"/>
      <w:b/>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spacing w:before="120" w:after="120"/>
    </w:pPr>
    <w:rPr>
      <w:b/>
      <w:bCs/>
      <w:caps/>
      <w:szCs w:val="20"/>
    </w:rPr>
  </w:style>
  <w:style w:type="paragraph" w:styleId="TOC2">
    <w:name w:val="toc 2"/>
    <w:basedOn w:val="Normal"/>
    <w:next w:val="Normal"/>
    <w:autoRedefine/>
    <w:semiHidden/>
    <w:pPr>
      <w:ind w:left="240"/>
    </w:pPr>
    <w:rPr>
      <w:smallCaps/>
      <w:sz w:val="22"/>
      <w:szCs w:val="20"/>
    </w:rPr>
  </w:style>
  <w:style w:type="paragraph" w:styleId="TOC3">
    <w:name w:val="toc 3"/>
    <w:basedOn w:val="Normal"/>
    <w:next w:val="Normal"/>
    <w:autoRedefine/>
    <w:semiHidden/>
    <w:pPr>
      <w:ind w:left="480"/>
    </w:pPr>
    <w:rPr>
      <w:i/>
      <w:iCs/>
      <w:sz w:val="22"/>
      <w:szCs w:val="20"/>
    </w:rPr>
  </w:style>
  <w:style w:type="paragraph" w:styleId="TOC4">
    <w:name w:val="toc 4"/>
    <w:basedOn w:val="Normal"/>
    <w:next w:val="Normal"/>
    <w:autoRedefine/>
    <w:semiHidden/>
    <w:pPr>
      <w:ind w:left="720"/>
    </w:pPr>
    <w:rPr>
      <w:sz w:val="20"/>
      <w:szCs w:val="18"/>
    </w:rPr>
  </w:style>
  <w:style w:type="paragraph" w:styleId="TOC5">
    <w:name w:val="toc 5"/>
    <w:basedOn w:val="Normal"/>
    <w:next w:val="Normal"/>
    <w:autoRedefine/>
    <w:semiHidden/>
    <w:pPr>
      <w:ind w:left="960"/>
    </w:pPr>
    <w:rPr>
      <w:sz w:val="20"/>
      <w:szCs w:val="18"/>
    </w:rPr>
  </w:style>
  <w:style w:type="paragraph" w:styleId="TOC6">
    <w:name w:val="toc 6"/>
    <w:basedOn w:val="Normal"/>
    <w:next w:val="Normal"/>
    <w:autoRedefine/>
    <w:semiHidden/>
    <w:pPr>
      <w:ind w:left="1200"/>
    </w:pPr>
    <w:rPr>
      <w:sz w:val="20"/>
      <w:szCs w:val="18"/>
    </w:rPr>
  </w:style>
  <w:style w:type="paragraph" w:styleId="TOC7">
    <w:name w:val="toc 7"/>
    <w:basedOn w:val="Normal"/>
    <w:next w:val="Normal"/>
    <w:autoRedefine/>
    <w:semiHidden/>
    <w:pPr>
      <w:ind w:left="1440"/>
    </w:pPr>
    <w:rPr>
      <w:sz w:val="20"/>
      <w:szCs w:val="18"/>
    </w:rPr>
  </w:style>
  <w:style w:type="paragraph" w:styleId="TOC8">
    <w:name w:val="toc 8"/>
    <w:basedOn w:val="Normal"/>
    <w:next w:val="Normal"/>
    <w:autoRedefine/>
    <w:semiHidden/>
    <w:pPr>
      <w:ind w:left="1680"/>
    </w:pPr>
    <w:rPr>
      <w:sz w:val="20"/>
      <w:szCs w:val="18"/>
    </w:rPr>
  </w:style>
  <w:style w:type="paragraph" w:styleId="TOC9">
    <w:name w:val="toc 9"/>
    <w:basedOn w:val="Normal"/>
    <w:next w:val="Normal"/>
    <w:autoRedefine/>
    <w:semiHidden/>
    <w:pPr>
      <w:ind w:left="1920"/>
    </w:pPr>
    <w:rPr>
      <w:sz w:val="20"/>
      <w:szCs w:val="18"/>
    </w:rPr>
  </w:style>
  <w:style w:type="character" w:styleId="Hyperlink">
    <w:name w:val="Hyperlink"/>
    <w:rPr>
      <w:color w:val="0000FF"/>
      <w:u w:val="single"/>
    </w:rPr>
  </w:style>
  <w:style w:type="paragraph" w:customStyle="1" w:styleId="xl33">
    <w:name w:val="xl33"/>
    <w:basedOn w:val="Normal"/>
    <w:pPr>
      <w:spacing w:before="100" w:beforeAutospacing="1" w:after="100" w:afterAutospacing="1"/>
    </w:pPr>
    <w:rPr>
      <w:rFonts w:ascii="Arial" w:eastAsia="Arial Unicode MS" w:hAnsi="Arial" w:cs="Arial"/>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line="480" w:lineRule="auto"/>
      <w:ind w:firstLine="720"/>
    </w:pPr>
    <w:rPr>
      <w:rFonts w:ascii="Book Antiqua" w:hAnsi="Book Antiqua"/>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120"/>
      <w:ind w:left="360"/>
    </w:pPr>
  </w:style>
  <w:style w:type="paragraph" w:customStyle="1" w:styleId="RegEvalSectionHeader1">
    <w:name w:val="Reg Eval Section Header1"/>
    <w:basedOn w:val="RegEvalPartHeader"/>
    <w:pPr>
      <w:keepNext/>
      <w:outlineLvl w:val="0"/>
    </w:pPr>
    <w:rPr>
      <w:bCs/>
      <w:u w:val="none"/>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character" w:styleId="Strong">
    <w:name w:val="Strong"/>
    <w:qFormat/>
    <w:rPr>
      <w:b/>
      <w:bCs/>
    </w:rPr>
  </w:style>
  <w:style w:type="paragraph" w:styleId="Caption">
    <w:name w:val="caption"/>
    <w:basedOn w:val="Normal"/>
    <w:next w:val="Normal"/>
    <w:qFormat/>
    <w:pPr>
      <w:spacing w:before="120" w:after="120"/>
    </w:pPr>
    <w:rPr>
      <w:b/>
      <w:bCs/>
      <w:sz w:val="20"/>
      <w:szCs w:val="20"/>
    </w:rPr>
  </w:style>
  <w:style w:type="character" w:customStyle="1" w:styleId="RegEvalTableHeaderChar">
    <w:name w:val="Reg Eval Table Header Char"/>
    <w:rPr>
      <w:rFonts w:ascii="Arial" w:hAnsi="Arial"/>
      <w:b/>
      <w:lang w:val="en-US" w:eastAsia="en-US" w:bidi="ar-SA"/>
    </w:rPr>
  </w:style>
  <w:style w:type="paragraph" w:styleId="Salutation">
    <w:name w:val="Salutation"/>
    <w:basedOn w:val="Normal"/>
    <w:next w:val="Normal"/>
    <w:pPr>
      <w:spacing w:after="240" w:line="240" w:lineRule="atLeast"/>
    </w:pPr>
    <w:rPr>
      <w:rFonts w:cs="Arial"/>
      <w:color w:val="000000"/>
      <w:szCs w:val="20"/>
    </w:rPr>
  </w:style>
  <w:style w:type="paragraph" w:customStyle="1" w:styleId="Default">
    <w:name w:val="Default"/>
    <w:pPr>
      <w:autoSpaceDE w:val="0"/>
      <w:autoSpaceDN w:val="0"/>
      <w:adjustRightInd w:val="0"/>
    </w:pPr>
    <w:rPr>
      <w:color w:val="000000"/>
      <w:sz w:val="24"/>
      <w:szCs w:val="24"/>
    </w:rPr>
  </w:style>
  <w:style w:type="paragraph" w:styleId="TableofFigures">
    <w:name w:val="table of figures"/>
    <w:basedOn w:val="Normal"/>
    <w:next w:val="Normal"/>
    <w:semiHidden/>
    <w:pPr>
      <w:ind w:left="480" w:hanging="480"/>
    </w:pPr>
    <w:rPr>
      <w:smallCaps/>
      <w:sz w:val="20"/>
      <w:szCs w:val="20"/>
    </w:rPr>
  </w:style>
  <w:style w:type="character" w:customStyle="1" w:styleId="RegEvalSectionSubheaderChar">
    <w:name w:val="Reg Eval Section Subheader Char"/>
    <w:rPr>
      <w:sz w:val="24"/>
      <w:szCs w:val="24"/>
      <w:u w:val="single"/>
      <w:lang w:val="en-US" w:eastAsia="en-US" w:bidi="ar-SA"/>
    </w:rPr>
  </w:style>
  <w:style w:type="paragraph" w:styleId="BlockText">
    <w:name w:val="Block Text"/>
    <w:basedOn w:val="Normal"/>
    <w:pPr>
      <w:spacing w:after="120"/>
      <w:ind w:left="1440" w:right="1440"/>
    </w:p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8"/>
      </w:numPr>
    </w:pPr>
  </w:style>
  <w:style w:type="paragraph" w:styleId="ListBullet2">
    <w:name w:val="List Bullet 2"/>
    <w:basedOn w:val="Normal"/>
    <w:pPr>
      <w:numPr>
        <w:numId w:val="19"/>
      </w:numPr>
    </w:pPr>
  </w:style>
  <w:style w:type="paragraph" w:styleId="ListBullet3">
    <w:name w:val="List Bullet 3"/>
    <w:basedOn w:val="Normal"/>
    <w:pPr>
      <w:numPr>
        <w:numId w:val="20"/>
      </w:numPr>
    </w:pPr>
  </w:style>
  <w:style w:type="paragraph" w:styleId="ListBullet4">
    <w:name w:val="List Bullet 4"/>
    <w:basedOn w:val="Normal"/>
    <w:pPr>
      <w:numPr>
        <w:numId w:val="21"/>
      </w:numPr>
    </w:pPr>
  </w:style>
  <w:style w:type="paragraph" w:styleId="ListBullet5">
    <w:name w:val="List Bullet 5"/>
    <w:basedOn w:val="Normal"/>
    <w:pPr>
      <w:numPr>
        <w:numId w:val="2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3"/>
      </w:numPr>
    </w:pPr>
  </w:style>
  <w:style w:type="paragraph" w:styleId="ListNumber2">
    <w:name w:val="List Number 2"/>
    <w:basedOn w:val="Normal"/>
    <w:pPr>
      <w:numPr>
        <w:numId w:val="24"/>
      </w:numPr>
    </w:pPr>
  </w:style>
  <w:style w:type="paragraph" w:styleId="ListNumber3">
    <w:name w:val="List Number 3"/>
    <w:basedOn w:val="Normal"/>
    <w:pPr>
      <w:numPr>
        <w:numId w:val="25"/>
      </w:numPr>
    </w:pPr>
  </w:style>
  <w:style w:type="paragraph" w:styleId="ListNumber4">
    <w:name w:val="List Number 4"/>
    <w:basedOn w:val="Normal"/>
    <w:pPr>
      <w:numPr>
        <w:numId w:val="26"/>
      </w:numPr>
    </w:pPr>
  </w:style>
  <w:style w:type="paragraph" w:styleId="ListNumber5">
    <w:name w:val="List Number 5"/>
    <w:basedOn w:val="Normal"/>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StyleFirstline05LinespacingDouble">
    <w:name w:val="Style First line:  0.5&quot; Line spacing:  Double"/>
    <w:basedOn w:val="Normal"/>
    <w:pPr>
      <w:spacing w:line="480" w:lineRule="auto"/>
      <w:ind w:firstLine="720"/>
    </w:pPr>
    <w:rPr>
      <w:szCs w:val="20"/>
    </w:rPr>
  </w:style>
  <w:style w:type="character" w:styleId="Emphasis">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436538">
      <w:bodyDiv w:val="1"/>
      <w:marLeft w:val="0"/>
      <w:marRight w:val="0"/>
      <w:marTop w:val="0"/>
      <w:marBottom w:val="0"/>
      <w:divBdr>
        <w:top w:val="none" w:sz="0" w:space="0" w:color="auto"/>
        <w:left w:val="none" w:sz="0" w:space="0" w:color="auto"/>
        <w:bottom w:val="none" w:sz="0" w:space="0" w:color="auto"/>
        <w:right w:val="none" w:sz="0" w:space="0" w:color="auto"/>
      </w:divBdr>
    </w:div>
    <w:div w:id="1032922494">
      <w:bodyDiv w:val="1"/>
      <w:marLeft w:val="0"/>
      <w:marRight w:val="0"/>
      <w:marTop w:val="0"/>
      <w:marBottom w:val="0"/>
      <w:divBdr>
        <w:top w:val="none" w:sz="0" w:space="0" w:color="auto"/>
        <w:left w:val="none" w:sz="0" w:space="0" w:color="auto"/>
        <w:bottom w:val="none" w:sz="0" w:space="0" w:color="auto"/>
        <w:right w:val="none" w:sz="0" w:space="0" w:color="auto"/>
      </w:divBdr>
    </w:div>
    <w:div w:id="1359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whitehouse.gov/omb/circulars/index.html" TargetMode="Externa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1.emf"/><Relationship Id="rId27" Type="http://schemas.openxmlformats.org/officeDocument/2006/relationships/hyperlink" Target="http://www.tsa.gov" TargetMode="External"/><Relationship Id="rId30" Type="http://schemas.openxmlformats.org/officeDocument/2006/relationships/footer" Target="footer7.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sba.gov/size/sizetable2002.html" TargetMode="External"/><Relationship Id="rId7" Type="http://schemas.openxmlformats.org/officeDocument/2006/relationships/hyperlink" Target="http://www.sba.gov/advo/research/data.html" TargetMode="External"/><Relationship Id="rId2" Type="http://schemas.openxmlformats.org/officeDocument/2006/relationships/hyperlink" Target="http://stats.bls.gov/ppi/home.htm" TargetMode="External"/><Relationship Id="rId1" Type="http://schemas.openxmlformats.org/officeDocument/2006/relationships/hyperlink" Target="http://www.travelweekly.com/multimedia/TWSURVEY2005/seg_hl.htm" TargetMode="External"/><Relationship Id="rId6" Type="http://schemas.openxmlformats.org/officeDocument/2006/relationships/hyperlink" Target="http://www.sba.gov/advo/research/data.html" TargetMode="External"/><Relationship Id="rId5" Type="http://schemas.openxmlformats.org/officeDocument/2006/relationships/hyperlink" Target="http://www.sba.gov/size/sizetable2002.html" TargetMode="External"/><Relationship Id="rId4" Type="http://schemas.openxmlformats.org/officeDocument/2006/relationships/hyperlink" Target="http://www.sba.gov/advo/research/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53276</Words>
  <Characters>303676</Characters>
  <Application>Microsoft Office Word</Application>
  <DocSecurity>2</DocSecurity>
  <Lines>2530</Lines>
  <Paragraphs>712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356240</CharactersWithSpaces>
  <SharedDoc>false</SharedDoc>
  <HLinks>
    <vt:vector size="810" baseType="variant">
      <vt:variant>
        <vt:i4>3080290</vt:i4>
      </vt:variant>
      <vt:variant>
        <vt:i4>777</vt:i4>
      </vt:variant>
      <vt:variant>
        <vt:i4>0</vt:i4>
      </vt:variant>
      <vt:variant>
        <vt:i4>5</vt:i4>
      </vt:variant>
      <vt:variant>
        <vt:lpwstr>http://www.tsa.gov/</vt:lpwstr>
      </vt:variant>
      <vt:variant>
        <vt:lpwstr/>
      </vt:variant>
      <vt:variant>
        <vt:i4>6684718</vt:i4>
      </vt:variant>
      <vt:variant>
        <vt:i4>762</vt:i4>
      </vt:variant>
      <vt:variant>
        <vt:i4>0</vt:i4>
      </vt:variant>
      <vt:variant>
        <vt:i4>5</vt:i4>
      </vt:variant>
      <vt:variant>
        <vt:lpwstr>http://www.whitehouse.gov/omb/circulars/index.html</vt:lpwstr>
      </vt:variant>
      <vt:variant>
        <vt:lpwstr/>
      </vt:variant>
      <vt:variant>
        <vt:i4>1638448</vt:i4>
      </vt:variant>
      <vt:variant>
        <vt:i4>755</vt:i4>
      </vt:variant>
      <vt:variant>
        <vt:i4>0</vt:i4>
      </vt:variant>
      <vt:variant>
        <vt:i4>5</vt:i4>
      </vt:variant>
      <vt:variant>
        <vt:lpwstr/>
      </vt:variant>
      <vt:variant>
        <vt:lpwstr>_Toc207109567</vt:lpwstr>
      </vt:variant>
      <vt:variant>
        <vt:i4>1638448</vt:i4>
      </vt:variant>
      <vt:variant>
        <vt:i4>749</vt:i4>
      </vt:variant>
      <vt:variant>
        <vt:i4>0</vt:i4>
      </vt:variant>
      <vt:variant>
        <vt:i4>5</vt:i4>
      </vt:variant>
      <vt:variant>
        <vt:lpwstr/>
      </vt:variant>
      <vt:variant>
        <vt:lpwstr>_Toc207109566</vt:lpwstr>
      </vt:variant>
      <vt:variant>
        <vt:i4>1638448</vt:i4>
      </vt:variant>
      <vt:variant>
        <vt:i4>743</vt:i4>
      </vt:variant>
      <vt:variant>
        <vt:i4>0</vt:i4>
      </vt:variant>
      <vt:variant>
        <vt:i4>5</vt:i4>
      </vt:variant>
      <vt:variant>
        <vt:lpwstr/>
      </vt:variant>
      <vt:variant>
        <vt:lpwstr>_Toc207109565</vt:lpwstr>
      </vt:variant>
      <vt:variant>
        <vt:i4>1638448</vt:i4>
      </vt:variant>
      <vt:variant>
        <vt:i4>737</vt:i4>
      </vt:variant>
      <vt:variant>
        <vt:i4>0</vt:i4>
      </vt:variant>
      <vt:variant>
        <vt:i4>5</vt:i4>
      </vt:variant>
      <vt:variant>
        <vt:lpwstr/>
      </vt:variant>
      <vt:variant>
        <vt:lpwstr>_Toc207109564</vt:lpwstr>
      </vt:variant>
      <vt:variant>
        <vt:i4>1638448</vt:i4>
      </vt:variant>
      <vt:variant>
        <vt:i4>731</vt:i4>
      </vt:variant>
      <vt:variant>
        <vt:i4>0</vt:i4>
      </vt:variant>
      <vt:variant>
        <vt:i4>5</vt:i4>
      </vt:variant>
      <vt:variant>
        <vt:lpwstr/>
      </vt:variant>
      <vt:variant>
        <vt:lpwstr>_Toc207109563</vt:lpwstr>
      </vt:variant>
      <vt:variant>
        <vt:i4>1638448</vt:i4>
      </vt:variant>
      <vt:variant>
        <vt:i4>725</vt:i4>
      </vt:variant>
      <vt:variant>
        <vt:i4>0</vt:i4>
      </vt:variant>
      <vt:variant>
        <vt:i4>5</vt:i4>
      </vt:variant>
      <vt:variant>
        <vt:lpwstr/>
      </vt:variant>
      <vt:variant>
        <vt:lpwstr>_Toc207109562</vt:lpwstr>
      </vt:variant>
      <vt:variant>
        <vt:i4>1638448</vt:i4>
      </vt:variant>
      <vt:variant>
        <vt:i4>719</vt:i4>
      </vt:variant>
      <vt:variant>
        <vt:i4>0</vt:i4>
      </vt:variant>
      <vt:variant>
        <vt:i4>5</vt:i4>
      </vt:variant>
      <vt:variant>
        <vt:lpwstr/>
      </vt:variant>
      <vt:variant>
        <vt:lpwstr>_Toc207109561</vt:lpwstr>
      </vt:variant>
      <vt:variant>
        <vt:i4>1638448</vt:i4>
      </vt:variant>
      <vt:variant>
        <vt:i4>713</vt:i4>
      </vt:variant>
      <vt:variant>
        <vt:i4>0</vt:i4>
      </vt:variant>
      <vt:variant>
        <vt:i4>5</vt:i4>
      </vt:variant>
      <vt:variant>
        <vt:lpwstr/>
      </vt:variant>
      <vt:variant>
        <vt:lpwstr>_Toc207109560</vt:lpwstr>
      </vt:variant>
      <vt:variant>
        <vt:i4>1703984</vt:i4>
      </vt:variant>
      <vt:variant>
        <vt:i4>707</vt:i4>
      </vt:variant>
      <vt:variant>
        <vt:i4>0</vt:i4>
      </vt:variant>
      <vt:variant>
        <vt:i4>5</vt:i4>
      </vt:variant>
      <vt:variant>
        <vt:lpwstr/>
      </vt:variant>
      <vt:variant>
        <vt:lpwstr>_Toc207109559</vt:lpwstr>
      </vt:variant>
      <vt:variant>
        <vt:i4>1703984</vt:i4>
      </vt:variant>
      <vt:variant>
        <vt:i4>701</vt:i4>
      </vt:variant>
      <vt:variant>
        <vt:i4>0</vt:i4>
      </vt:variant>
      <vt:variant>
        <vt:i4>5</vt:i4>
      </vt:variant>
      <vt:variant>
        <vt:lpwstr/>
      </vt:variant>
      <vt:variant>
        <vt:lpwstr>_Toc207109558</vt:lpwstr>
      </vt:variant>
      <vt:variant>
        <vt:i4>1703984</vt:i4>
      </vt:variant>
      <vt:variant>
        <vt:i4>695</vt:i4>
      </vt:variant>
      <vt:variant>
        <vt:i4>0</vt:i4>
      </vt:variant>
      <vt:variant>
        <vt:i4>5</vt:i4>
      </vt:variant>
      <vt:variant>
        <vt:lpwstr/>
      </vt:variant>
      <vt:variant>
        <vt:lpwstr>_Toc207109557</vt:lpwstr>
      </vt:variant>
      <vt:variant>
        <vt:i4>1703984</vt:i4>
      </vt:variant>
      <vt:variant>
        <vt:i4>689</vt:i4>
      </vt:variant>
      <vt:variant>
        <vt:i4>0</vt:i4>
      </vt:variant>
      <vt:variant>
        <vt:i4>5</vt:i4>
      </vt:variant>
      <vt:variant>
        <vt:lpwstr/>
      </vt:variant>
      <vt:variant>
        <vt:lpwstr>_Toc207109556</vt:lpwstr>
      </vt:variant>
      <vt:variant>
        <vt:i4>1703984</vt:i4>
      </vt:variant>
      <vt:variant>
        <vt:i4>683</vt:i4>
      </vt:variant>
      <vt:variant>
        <vt:i4>0</vt:i4>
      </vt:variant>
      <vt:variant>
        <vt:i4>5</vt:i4>
      </vt:variant>
      <vt:variant>
        <vt:lpwstr/>
      </vt:variant>
      <vt:variant>
        <vt:lpwstr>_Toc207109555</vt:lpwstr>
      </vt:variant>
      <vt:variant>
        <vt:i4>1703984</vt:i4>
      </vt:variant>
      <vt:variant>
        <vt:i4>677</vt:i4>
      </vt:variant>
      <vt:variant>
        <vt:i4>0</vt:i4>
      </vt:variant>
      <vt:variant>
        <vt:i4>5</vt:i4>
      </vt:variant>
      <vt:variant>
        <vt:lpwstr/>
      </vt:variant>
      <vt:variant>
        <vt:lpwstr>_Toc207109554</vt:lpwstr>
      </vt:variant>
      <vt:variant>
        <vt:i4>1703984</vt:i4>
      </vt:variant>
      <vt:variant>
        <vt:i4>671</vt:i4>
      </vt:variant>
      <vt:variant>
        <vt:i4>0</vt:i4>
      </vt:variant>
      <vt:variant>
        <vt:i4>5</vt:i4>
      </vt:variant>
      <vt:variant>
        <vt:lpwstr/>
      </vt:variant>
      <vt:variant>
        <vt:lpwstr>_Toc207109553</vt:lpwstr>
      </vt:variant>
      <vt:variant>
        <vt:i4>1703984</vt:i4>
      </vt:variant>
      <vt:variant>
        <vt:i4>665</vt:i4>
      </vt:variant>
      <vt:variant>
        <vt:i4>0</vt:i4>
      </vt:variant>
      <vt:variant>
        <vt:i4>5</vt:i4>
      </vt:variant>
      <vt:variant>
        <vt:lpwstr/>
      </vt:variant>
      <vt:variant>
        <vt:lpwstr>_Toc207109552</vt:lpwstr>
      </vt:variant>
      <vt:variant>
        <vt:i4>1703984</vt:i4>
      </vt:variant>
      <vt:variant>
        <vt:i4>659</vt:i4>
      </vt:variant>
      <vt:variant>
        <vt:i4>0</vt:i4>
      </vt:variant>
      <vt:variant>
        <vt:i4>5</vt:i4>
      </vt:variant>
      <vt:variant>
        <vt:lpwstr/>
      </vt:variant>
      <vt:variant>
        <vt:lpwstr>_Toc207109551</vt:lpwstr>
      </vt:variant>
      <vt:variant>
        <vt:i4>1703984</vt:i4>
      </vt:variant>
      <vt:variant>
        <vt:i4>653</vt:i4>
      </vt:variant>
      <vt:variant>
        <vt:i4>0</vt:i4>
      </vt:variant>
      <vt:variant>
        <vt:i4>5</vt:i4>
      </vt:variant>
      <vt:variant>
        <vt:lpwstr/>
      </vt:variant>
      <vt:variant>
        <vt:lpwstr>_Toc207109550</vt:lpwstr>
      </vt:variant>
      <vt:variant>
        <vt:i4>1769520</vt:i4>
      </vt:variant>
      <vt:variant>
        <vt:i4>647</vt:i4>
      </vt:variant>
      <vt:variant>
        <vt:i4>0</vt:i4>
      </vt:variant>
      <vt:variant>
        <vt:i4>5</vt:i4>
      </vt:variant>
      <vt:variant>
        <vt:lpwstr/>
      </vt:variant>
      <vt:variant>
        <vt:lpwstr>_Toc207109549</vt:lpwstr>
      </vt:variant>
      <vt:variant>
        <vt:i4>1769520</vt:i4>
      </vt:variant>
      <vt:variant>
        <vt:i4>641</vt:i4>
      </vt:variant>
      <vt:variant>
        <vt:i4>0</vt:i4>
      </vt:variant>
      <vt:variant>
        <vt:i4>5</vt:i4>
      </vt:variant>
      <vt:variant>
        <vt:lpwstr/>
      </vt:variant>
      <vt:variant>
        <vt:lpwstr>_Toc207109548</vt:lpwstr>
      </vt:variant>
      <vt:variant>
        <vt:i4>1769520</vt:i4>
      </vt:variant>
      <vt:variant>
        <vt:i4>635</vt:i4>
      </vt:variant>
      <vt:variant>
        <vt:i4>0</vt:i4>
      </vt:variant>
      <vt:variant>
        <vt:i4>5</vt:i4>
      </vt:variant>
      <vt:variant>
        <vt:lpwstr/>
      </vt:variant>
      <vt:variant>
        <vt:lpwstr>_Toc207109547</vt:lpwstr>
      </vt:variant>
      <vt:variant>
        <vt:i4>1769520</vt:i4>
      </vt:variant>
      <vt:variant>
        <vt:i4>629</vt:i4>
      </vt:variant>
      <vt:variant>
        <vt:i4>0</vt:i4>
      </vt:variant>
      <vt:variant>
        <vt:i4>5</vt:i4>
      </vt:variant>
      <vt:variant>
        <vt:lpwstr/>
      </vt:variant>
      <vt:variant>
        <vt:lpwstr>_Toc207109546</vt:lpwstr>
      </vt:variant>
      <vt:variant>
        <vt:i4>1769520</vt:i4>
      </vt:variant>
      <vt:variant>
        <vt:i4>623</vt:i4>
      </vt:variant>
      <vt:variant>
        <vt:i4>0</vt:i4>
      </vt:variant>
      <vt:variant>
        <vt:i4>5</vt:i4>
      </vt:variant>
      <vt:variant>
        <vt:lpwstr/>
      </vt:variant>
      <vt:variant>
        <vt:lpwstr>_Toc207109545</vt:lpwstr>
      </vt:variant>
      <vt:variant>
        <vt:i4>1769520</vt:i4>
      </vt:variant>
      <vt:variant>
        <vt:i4>617</vt:i4>
      </vt:variant>
      <vt:variant>
        <vt:i4>0</vt:i4>
      </vt:variant>
      <vt:variant>
        <vt:i4>5</vt:i4>
      </vt:variant>
      <vt:variant>
        <vt:lpwstr/>
      </vt:variant>
      <vt:variant>
        <vt:lpwstr>_Toc207109544</vt:lpwstr>
      </vt:variant>
      <vt:variant>
        <vt:i4>1769520</vt:i4>
      </vt:variant>
      <vt:variant>
        <vt:i4>611</vt:i4>
      </vt:variant>
      <vt:variant>
        <vt:i4>0</vt:i4>
      </vt:variant>
      <vt:variant>
        <vt:i4>5</vt:i4>
      </vt:variant>
      <vt:variant>
        <vt:lpwstr/>
      </vt:variant>
      <vt:variant>
        <vt:lpwstr>_Toc207109543</vt:lpwstr>
      </vt:variant>
      <vt:variant>
        <vt:i4>1769520</vt:i4>
      </vt:variant>
      <vt:variant>
        <vt:i4>605</vt:i4>
      </vt:variant>
      <vt:variant>
        <vt:i4>0</vt:i4>
      </vt:variant>
      <vt:variant>
        <vt:i4>5</vt:i4>
      </vt:variant>
      <vt:variant>
        <vt:lpwstr/>
      </vt:variant>
      <vt:variant>
        <vt:lpwstr>_Toc207109542</vt:lpwstr>
      </vt:variant>
      <vt:variant>
        <vt:i4>1769520</vt:i4>
      </vt:variant>
      <vt:variant>
        <vt:i4>599</vt:i4>
      </vt:variant>
      <vt:variant>
        <vt:i4>0</vt:i4>
      </vt:variant>
      <vt:variant>
        <vt:i4>5</vt:i4>
      </vt:variant>
      <vt:variant>
        <vt:lpwstr/>
      </vt:variant>
      <vt:variant>
        <vt:lpwstr>_Toc207109541</vt:lpwstr>
      </vt:variant>
      <vt:variant>
        <vt:i4>1769520</vt:i4>
      </vt:variant>
      <vt:variant>
        <vt:i4>593</vt:i4>
      </vt:variant>
      <vt:variant>
        <vt:i4>0</vt:i4>
      </vt:variant>
      <vt:variant>
        <vt:i4>5</vt:i4>
      </vt:variant>
      <vt:variant>
        <vt:lpwstr/>
      </vt:variant>
      <vt:variant>
        <vt:lpwstr>_Toc207109540</vt:lpwstr>
      </vt:variant>
      <vt:variant>
        <vt:i4>1835056</vt:i4>
      </vt:variant>
      <vt:variant>
        <vt:i4>587</vt:i4>
      </vt:variant>
      <vt:variant>
        <vt:i4>0</vt:i4>
      </vt:variant>
      <vt:variant>
        <vt:i4>5</vt:i4>
      </vt:variant>
      <vt:variant>
        <vt:lpwstr/>
      </vt:variant>
      <vt:variant>
        <vt:lpwstr>_Toc207109539</vt:lpwstr>
      </vt:variant>
      <vt:variant>
        <vt:i4>1835056</vt:i4>
      </vt:variant>
      <vt:variant>
        <vt:i4>581</vt:i4>
      </vt:variant>
      <vt:variant>
        <vt:i4>0</vt:i4>
      </vt:variant>
      <vt:variant>
        <vt:i4>5</vt:i4>
      </vt:variant>
      <vt:variant>
        <vt:lpwstr/>
      </vt:variant>
      <vt:variant>
        <vt:lpwstr>_Toc207109538</vt:lpwstr>
      </vt:variant>
      <vt:variant>
        <vt:i4>1835056</vt:i4>
      </vt:variant>
      <vt:variant>
        <vt:i4>575</vt:i4>
      </vt:variant>
      <vt:variant>
        <vt:i4>0</vt:i4>
      </vt:variant>
      <vt:variant>
        <vt:i4>5</vt:i4>
      </vt:variant>
      <vt:variant>
        <vt:lpwstr/>
      </vt:variant>
      <vt:variant>
        <vt:lpwstr>_Toc207109537</vt:lpwstr>
      </vt:variant>
      <vt:variant>
        <vt:i4>1835056</vt:i4>
      </vt:variant>
      <vt:variant>
        <vt:i4>569</vt:i4>
      </vt:variant>
      <vt:variant>
        <vt:i4>0</vt:i4>
      </vt:variant>
      <vt:variant>
        <vt:i4>5</vt:i4>
      </vt:variant>
      <vt:variant>
        <vt:lpwstr/>
      </vt:variant>
      <vt:variant>
        <vt:lpwstr>_Toc207109536</vt:lpwstr>
      </vt:variant>
      <vt:variant>
        <vt:i4>1835056</vt:i4>
      </vt:variant>
      <vt:variant>
        <vt:i4>563</vt:i4>
      </vt:variant>
      <vt:variant>
        <vt:i4>0</vt:i4>
      </vt:variant>
      <vt:variant>
        <vt:i4>5</vt:i4>
      </vt:variant>
      <vt:variant>
        <vt:lpwstr/>
      </vt:variant>
      <vt:variant>
        <vt:lpwstr>_Toc207109535</vt:lpwstr>
      </vt:variant>
      <vt:variant>
        <vt:i4>1835056</vt:i4>
      </vt:variant>
      <vt:variant>
        <vt:i4>557</vt:i4>
      </vt:variant>
      <vt:variant>
        <vt:i4>0</vt:i4>
      </vt:variant>
      <vt:variant>
        <vt:i4>5</vt:i4>
      </vt:variant>
      <vt:variant>
        <vt:lpwstr/>
      </vt:variant>
      <vt:variant>
        <vt:lpwstr>_Toc207109534</vt:lpwstr>
      </vt:variant>
      <vt:variant>
        <vt:i4>1835056</vt:i4>
      </vt:variant>
      <vt:variant>
        <vt:i4>551</vt:i4>
      </vt:variant>
      <vt:variant>
        <vt:i4>0</vt:i4>
      </vt:variant>
      <vt:variant>
        <vt:i4>5</vt:i4>
      </vt:variant>
      <vt:variant>
        <vt:lpwstr/>
      </vt:variant>
      <vt:variant>
        <vt:lpwstr>_Toc207109533</vt:lpwstr>
      </vt:variant>
      <vt:variant>
        <vt:i4>1835056</vt:i4>
      </vt:variant>
      <vt:variant>
        <vt:i4>545</vt:i4>
      </vt:variant>
      <vt:variant>
        <vt:i4>0</vt:i4>
      </vt:variant>
      <vt:variant>
        <vt:i4>5</vt:i4>
      </vt:variant>
      <vt:variant>
        <vt:lpwstr/>
      </vt:variant>
      <vt:variant>
        <vt:lpwstr>_Toc207109532</vt:lpwstr>
      </vt:variant>
      <vt:variant>
        <vt:i4>1835056</vt:i4>
      </vt:variant>
      <vt:variant>
        <vt:i4>539</vt:i4>
      </vt:variant>
      <vt:variant>
        <vt:i4>0</vt:i4>
      </vt:variant>
      <vt:variant>
        <vt:i4>5</vt:i4>
      </vt:variant>
      <vt:variant>
        <vt:lpwstr/>
      </vt:variant>
      <vt:variant>
        <vt:lpwstr>_Toc207109531</vt:lpwstr>
      </vt:variant>
      <vt:variant>
        <vt:i4>1835056</vt:i4>
      </vt:variant>
      <vt:variant>
        <vt:i4>533</vt:i4>
      </vt:variant>
      <vt:variant>
        <vt:i4>0</vt:i4>
      </vt:variant>
      <vt:variant>
        <vt:i4>5</vt:i4>
      </vt:variant>
      <vt:variant>
        <vt:lpwstr/>
      </vt:variant>
      <vt:variant>
        <vt:lpwstr>_Toc207109530</vt:lpwstr>
      </vt:variant>
      <vt:variant>
        <vt:i4>1900592</vt:i4>
      </vt:variant>
      <vt:variant>
        <vt:i4>527</vt:i4>
      </vt:variant>
      <vt:variant>
        <vt:i4>0</vt:i4>
      </vt:variant>
      <vt:variant>
        <vt:i4>5</vt:i4>
      </vt:variant>
      <vt:variant>
        <vt:lpwstr/>
      </vt:variant>
      <vt:variant>
        <vt:lpwstr>_Toc207109529</vt:lpwstr>
      </vt:variant>
      <vt:variant>
        <vt:i4>1900592</vt:i4>
      </vt:variant>
      <vt:variant>
        <vt:i4>521</vt:i4>
      </vt:variant>
      <vt:variant>
        <vt:i4>0</vt:i4>
      </vt:variant>
      <vt:variant>
        <vt:i4>5</vt:i4>
      </vt:variant>
      <vt:variant>
        <vt:lpwstr/>
      </vt:variant>
      <vt:variant>
        <vt:lpwstr>_Toc207109528</vt:lpwstr>
      </vt:variant>
      <vt:variant>
        <vt:i4>1900592</vt:i4>
      </vt:variant>
      <vt:variant>
        <vt:i4>515</vt:i4>
      </vt:variant>
      <vt:variant>
        <vt:i4>0</vt:i4>
      </vt:variant>
      <vt:variant>
        <vt:i4>5</vt:i4>
      </vt:variant>
      <vt:variant>
        <vt:lpwstr/>
      </vt:variant>
      <vt:variant>
        <vt:lpwstr>_Toc207109527</vt:lpwstr>
      </vt:variant>
      <vt:variant>
        <vt:i4>1900592</vt:i4>
      </vt:variant>
      <vt:variant>
        <vt:i4>509</vt:i4>
      </vt:variant>
      <vt:variant>
        <vt:i4>0</vt:i4>
      </vt:variant>
      <vt:variant>
        <vt:i4>5</vt:i4>
      </vt:variant>
      <vt:variant>
        <vt:lpwstr/>
      </vt:variant>
      <vt:variant>
        <vt:lpwstr>_Toc207109526</vt:lpwstr>
      </vt:variant>
      <vt:variant>
        <vt:i4>1900592</vt:i4>
      </vt:variant>
      <vt:variant>
        <vt:i4>503</vt:i4>
      </vt:variant>
      <vt:variant>
        <vt:i4>0</vt:i4>
      </vt:variant>
      <vt:variant>
        <vt:i4>5</vt:i4>
      </vt:variant>
      <vt:variant>
        <vt:lpwstr/>
      </vt:variant>
      <vt:variant>
        <vt:lpwstr>_Toc207109525</vt:lpwstr>
      </vt:variant>
      <vt:variant>
        <vt:i4>1900592</vt:i4>
      </vt:variant>
      <vt:variant>
        <vt:i4>497</vt:i4>
      </vt:variant>
      <vt:variant>
        <vt:i4>0</vt:i4>
      </vt:variant>
      <vt:variant>
        <vt:i4>5</vt:i4>
      </vt:variant>
      <vt:variant>
        <vt:lpwstr/>
      </vt:variant>
      <vt:variant>
        <vt:lpwstr>_Toc207109524</vt:lpwstr>
      </vt:variant>
      <vt:variant>
        <vt:i4>1900592</vt:i4>
      </vt:variant>
      <vt:variant>
        <vt:i4>491</vt:i4>
      </vt:variant>
      <vt:variant>
        <vt:i4>0</vt:i4>
      </vt:variant>
      <vt:variant>
        <vt:i4>5</vt:i4>
      </vt:variant>
      <vt:variant>
        <vt:lpwstr/>
      </vt:variant>
      <vt:variant>
        <vt:lpwstr>_Toc207109523</vt:lpwstr>
      </vt:variant>
      <vt:variant>
        <vt:i4>1900592</vt:i4>
      </vt:variant>
      <vt:variant>
        <vt:i4>485</vt:i4>
      </vt:variant>
      <vt:variant>
        <vt:i4>0</vt:i4>
      </vt:variant>
      <vt:variant>
        <vt:i4>5</vt:i4>
      </vt:variant>
      <vt:variant>
        <vt:lpwstr/>
      </vt:variant>
      <vt:variant>
        <vt:lpwstr>_Toc207109522</vt:lpwstr>
      </vt:variant>
      <vt:variant>
        <vt:i4>1900592</vt:i4>
      </vt:variant>
      <vt:variant>
        <vt:i4>479</vt:i4>
      </vt:variant>
      <vt:variant>
        <vt:i4>0</vt:i4>
      </vt:variant>
      <vt:variant>
        <vt:i4>5</vt:i4>
      </vt:variant>
      <vt:variant>
        <vt:lpwstr/>
      </vt:variant>
      <vt:variant>
        <vt:lpwstr>_Toc207109521</vt:lpwstr>
      </vt:variant>
      <vt:variant>
        <vt:i4>1900592</vt:i4>
      </vt:variant>
      <vt:variant>
        <vt:i4>473</vt:i4>
      </vt:variant>
      <vt:variant>
        <vt:i4>0</vt:i4>
      </vt:variant>
      <vt:variant>
        <vt:i4>5</vt:i4>
      </vt:variant>
      <vt:variant>
        <vt:lpwstr/>
      </vt:variant>
      <vt:variant>
        <vt:lpwstr>_Toc207109520</vt:lpwstr>
      </vt:variant>
      <vt:variant>
        <vt:i4>1966128</vt:i4>
      </vt:variant>
      <vt:variant>
        <vt:i4>467</vt:i4>
      </vt:variant>
      <vt:variant>
        <vt:i4>0</vt:i4>
      </vt:variant>
      <vt:variant>
        <vt:i4>5</vt:i4>
      </vt:variant>
      <vt:variant>
        <vt:lpwstr/>
      </vt:variant>
      <vt:variant>
        <vt:lpwstr>_Toc207109519</vt:lpwstr>
      </vt:variant>
      <vt:variant>
        <vt:i4>1966128</vt:i4>
      </vt:variant>
      <vt:variant>
        <vt:i4>461</vt:i4>
      </vt:variant>
      <vt:variant>
        <vt:i4>0</vt:i4>
      </vt:variant>
      <vt:variant>
        <vt:i4>5</vt:i4>
      </vt:variant>
      <vt:variant>
        <vt:lpwstr/>
      </vt:variant>
      <vt:variant>
        <vt:lpwstr>_Toc207109518</vt:lpwstr>
      </vt:variant>
      <vt:variant>
        <vt:i4>1966128</vt:i4>
      </vt:variant>
      <vt:variant>
        <vt:i4>455</vt:i4>
      </vt:variant>
      <vt:variant>
        <vt:i4>0</vt:i4>
      </vt:variant>
      <vt:variant>
        <vt:i4>5</vt:i4>
      </vt:variant>
      <vt:variant>
        <vt:lpwstr/>
      </vt:variant>
      <vt:variant>
        <vt:lpwstr>_Toc207109517</vt:lpwstr>
      </vt:variant>
      <vt:variant>
        <vt:i4>1966128</vt:i4>
      </vt:variant>
      <vt:variant>
        <vt:i4>449</vt:i4>
      </vt:variant>
      <vt:variant>
        <vt:i4>0</vt:i4>
      </vt:variant>
      <vt:variant>
        <vt:i4>5</vt:i4>
      </vt:variant>
      <vt:variant>
        <vt:lpwstr/>
      </vt:variant>
      <vt:variant>
        <vt:lpwstr>_Toc207109516</vt:lpwstr>
      </vt:variant>
      <vt:variant>
        <vt:i4>1966128</vt:i4>
      </vt:variant>
      <vt:variant>
        <vt:i4>443</vt:i4>
      </vt:variant>
      <vt:variant>
        <vt:i4>0</vt:i4>
      </vt:variant>
      <vt:variant>
        <vt:i4>5</vt:i4>
      </vt:variant>
      <vt:variant>
        <vt:lpwstr/>
      </vt:variant>
      <vt:variant>
        <vt:lpwstr>_Toc207109515</vt:lpwstr>
      </vt:variant>
      <vt:variant>
        <vt:i4>1966128</vt:i4>
      </vt:variant>
      <vt:variant>
        <vt:i4>437</vt:i4>
      </vt:variant>
      <vt:variant>
        <vt:i4>0</vt:i4>
      </vt:variant>
      <vt:variant>
        <vt:i4>5</vt:i4>
      </vt:variant>
      <vt:variant>
        <vt:lpwstr/>
      </vt:variant>
      <vt:variant>
        <vt:lpwstr>_Toc207109514</vt:lpwstr>
      </vt:variant>
      <vt:variant>
        <vt:i4>1966128</vt:i4>
      </vt:variant>
      <vt:variant>
        <vt:i4>431</vt:i4>
      </vt:variant>
      <vt:variant>
        <vt:i4>0</vt:i4>
      </vt:variant>
      <vt:variant>
        <vt:i4>5</vt:i4>
      </vt:variant>
      <vt:variant>
        <vt:lpwstr/>
      </vt:variant>
      <vt:variant>
        <vt:lpwstr>_Toc207109513</vt:lpwstr>
      </vt:variant>
      <vt:variant>
        <vt:i4>1966128</vt:i4>
      </vt:variant>
      <vt:variant>
        <vt:i4>425</vt:i4>
      </vt:variant>
      <vt:variant>
        <vt:i4>0</vt:i4>
      </vt:variant>
      <vt:variant>
        <vt:i4>5</vt:i4>
      </vt:variant>
      <vt:variant>
        <vt:lpwstr/>
      </vt:variant>
      <vt:variant>
        <vt:lpwstr>_Toc207109512</vt:lpwstr>
      </vt:variant>
      <vt:variant>
        <vt:i4>1966128</vt:i4>
      </vt:variant>
      <vt:variant>
        <vt:i4>419</vt:i4>
      </vt:variant>
      <vt:variant>
        <vt:i4>0</vt:i4>
      </vt:variant>
      <vt:variant>
        <vt:i4>5</vt:i4>
      </vt:variant>
      <vt:variant>
        <vt:lpwstr/>
      </vt:variant>
      <vt:variant>
        <vt:lpwstr>_Toc207109511</vt:lpwstr>
      </vt:variant>
      <vt:variant>
        <vt:i4>1966128</vt:i4>
      </vt:variant>
      <vt:variant>
        <vt:i4>413</vt:i4>
      </vt:variant>
      <vt:variant>
        <vt:i4>0</vt:i4>
      </vt:variant>
      <vt:variant>
        <vt:i4>5</vt:i4>
      </vt:variant>
      <vt:variant>
        <vt:lpwstr/>
      </vt:variant>
      <vt:variant>
        <vt:lpwstr>_Toc207109510</vt:lpwstr>
      </vt:variant>
      <vt:variant>
        <vt:i4>2031664</vt:i4>
      </vt:variant>
      <vt:variant>
        <vt:i4>407</vt:i4>
      </vt:variant>
      <vt:variant>
        <vt:i4>0</vt:i4>
      </vt:variant>
      <vt:variant>
        <vt:i4>5</vt:i4>
      </vt:variant>
      <vt:variant>
        <vt:lpwstr/>
      </vt:variant>
      <vt:variant>
        <vt:lpwstr>_Toc207109509</vt:lpwstr>
      </vt:variant>
      <vt:variant>
        <vt:i4>2031664</vt:i4>
      </vt:variant>
      <vt:variant>
        <vt:i4>401</vt:i4>
      </vt:variant>
      <vt:variant>
        <vt:i4>0</vt:i4>
      </vt:variant>
      <vt:variant>
        <vt:i4>5</vt:i4>
      </vt:variant>
      <vt:variant>
        <vt:lpwstr/>
      </vt:variant>
      <vt:variant>
        <vt:lpwstr>_Toc207109508</vt:lpwstr>
      </vt:variant>
      <vt:variant>
        <vt:i4>2031664</vt:i4>
      </vt:variant>
      <vt:variant>
        <vt:i4>395</vt:i4>
      </vt:variant>
      <vt:variant>
        <vt:i4>0</vt:i4>
      </vt:variant>
      <vt:variant>
        <vt:i4>5</vt:i4>
      </vt:variant>
      <vt:variant>
        <vt:lpwstr/>
      </vt:variant>
      <vt:variant>
        <vt:lpwstr>_Toc207109507</vt:lpwstr>
      </vt:variant>
      <vt:variant>
        <vt:i4>2031664</vt:i4>
      </vt:variant>
      <vt:variant>
        <vt:i4>389</vt:i4>
      </vt:variant>
      <vt:variant>
        <vt:i4>0</vt:i4>
      </vt:variant>
      <vt:variant>
        <vt:i4>5</vt:i4>
      </vt:variant>
      <vt:variant>
        <vt:lpwstr/>
      </vt:variant>
      <vt:variant>
        <vt:lpwstr>_Toc207109506</vt:lpwstr>
      </vt:variant>
      <vt:variant>
        <vt:i4>2031664</vt:i4>
      </vt:variant>
      <vt:variant>
        <vt:i4>383</vt:i4>
      </vt:variant>
      <vt:variant>
        <vt:i4>0</vt:i4>
      </vt:variant>
      <vt:variant>
        <vt:i4>5</vt:i4>
      </vt:variant>
      <vt:variant>
        <vt:lpwstr/>
      </vt:variant>
      <vt:variant>
        <vt:lpwstr>_Toc207109505</vt:lpwstr>
      </vt:variant>
      <vt:variant>
        <vt:i4>2031664</vt:i4>
      </vt:variant>
      <vt:variant>
        <vt:i4>377</vt:i4>
      </vt:variant>
      <vt:variant>
        <vt:i4>0</vt:i4>
      </vt:variant>
      <vt:variant>
        <vt:i4>5</vt:i4>
      </vt:variant>
      <vt:variant>
        <vt:lpwstr/>
      </vt:variant>
      <vt:variant>
        <vt:lpwstr>_Toc207109504</vt:lpwstr>
      </vt:variant>
      <vt:variant>
        <vt:i4>2031664</vt:i4>
      </vt:variant>
      <vt:variant>
        <vt:i4>371</vt:i4>
      </vt:variant>
      <vt:variant>
        <vt:i4>0</vt:i4>
      </vt:variant>
      <vt:variant>
        <vt:i4>5</vt:i4>
      </vt:variant>
      <vt:variant>
        <vt:lpwstr/>
      </vt:variant>
      <vt:variant>
        <vt:lpwstr>_Toc207109503</vt:lpwstr>
      </vt:variant>
      <vt:variant>
        <vt:i4>2031664</vt:i4>
      </vt:variant>
      <vt:variant>
        <vt:i4>365</vt:i4>
      </vt:variant>
      <vt:variant>
        <vt:i4>0</vt:i4>
      </vt:variant>
      <vt:variant>
        <vt:i4>5</vt:i4>
      </vt:variant>
      <vt:variant>
        <vt:lpwstr/>
      </vt:variant>
      <vt:variant>
        <vt:lpwstr>_Toc207109502</vt:lpwstr>
      </vt:variant>
      <vt:variant>
        <vt:i4>2031664</vt:i4>
      </vt:variant>
      <vt:variant>
        <vt:i4>359</vt:i4>
      </vt:variant>
      <vt:variant>
        <vt:i4>0</vt:i4>
      </vt:variant>
      <vt:variant>
        <vt:i4>5</vt:i4>
      </vt:variant>
      <vt:variant>
        <vt:lpwstr/>
      </vt:variant>
      <vt:variant>
        <vt:lpwstr>_Toc207109501</vt:lpwstr>
      </vt:variant>
      <vt:variant>
        <vt:i4>2031664</vt:i4>
      </vt:variant>
      <vt:variant>
        <vt:i4>353</vt:i4>
      </vt:variant>
      <vt:variant>
        <vt:i4>0</vt:i4>
      </vt:variant>
      <vt:variant>
        <vt:i4>5</vt:i4>
      </vt:variant>
      <vt:variant>
        <vt:lpwstr/>
      </vt:variant>
      <vt:variant>
        <vt:lpwstr>_Toc207109500</vt:lpwstr>
      </vt:variant>
      <vt:variant>
        <vt:i4>1441841</vt:i4>
      </vt:variant>
      <vt:variant>
        <vt:i4>347</vt:i4>
      </vt:variant>
      <vt:variant>
        <vt:i4>0</vt:i4>
      </vt:variant>
      <vt:variant>
        <vt:i4>5</vt:i4>
      </vt:variant>
      <vt:variant>
        <vt:lpwstr/>
      </vt:variant>
      <vt:variant>
        <vt:lpwstr>_Toc207109499</vt:lpwstr>
      </vt:variant>
      <vt:variant>
        <vt:i4>1441841</vt:i4>
      </vt:variant>
      <vt:variant>
        <vt:i4>341</vt:i4>
      </vt:variant>
      <vt:variant>
        <vt:i4>0</vt:i4>
      </vt:variant>
      <vt:variant>
        <vt:i4>5</vt:i4>
      </vt:variant>
      <vt:variant>
        <vt:lpwstr/>
      </vt:variant>
      <vt:variant>
        <vt:lpwstr>_Toc207109498</vt:lpwstr>
      </vt:variant>
      <vt:variant>
        <vt:i4>1441841</vt:i4>
      </vt:variant>
      <vt:variant>
        <vt:i4>335</vt:i4>
      </vt:variant>
      <vt:variant>
        <vt:i4>0</vt:i4>
      </vt:variant>
      <vt:variant>
        <vt:i4>5</vt:i4>
      </vt:variant>
      <vt:variant>
        <vt:lpwstr/>
      </vt:variant>
      <vt:variant>
        <vt:lpwstr>_Toc207109497</vt:lpwstr>
      </vt:variant>
      <vt:variant>
        <vt:i4>1441841</vt:i4>
      </vt:variant>
      <vt:variant>
        <vt:i4>329</vt:i4>
      </vt:variant>
      <vt:variant>
        <vt:i4>0</vt:i4>
      </vt:variant>
      <vt:variant>
        <vt:i4>5</vt:i4>
      </vt:variant>
      <vt:variant>
        <vt:lpwstr/>
      </vt:variant>
      <vt:variant>
        <vt:lpwstr>_Toc207109496</vt:lpwstr>
      </vt:variant>
      <vt:variant>
        <vt:i4>1048636</vt:i4>
      </vt:variant>
      <vt:variant>
        <vt:i4>320</vt:i4>
      </vt:variant>
      <vt:variant>
        <vt:i4>0</vt:i4>
      </vt:variant>
      <vt:variant>
        <vt:i4>5</vt:i4>
      </vt:variant>
      <vt:variant>
        <vt:lpwstr/>
      </vt:variant>
      <vt:variant>
        <vt:lpwstr>_Toc202683422</vt:lpwstr>
      </vt:variant>
      <vt:variant>
        <vt:i4>1048636</vt:i4>
      </vt:variant>
      <vt:variant>
        <vt:i4>314</vt:i4>
      </vt:variant>
      <vt:variant>
        <vt:i4>0</vt:i4>
      </vt:variant>
      <vt:variant>
        <vt:i4>5</vt:i4>
      </vt:variant>
      <vt:variant>
        <vt:lpwstr/>
      </vt:variant>
      <vt:variant>
        <vt:lpwstr>_Toc202683421</vt:lpwstr>
      </vt:variant>
      <vt:variant>
        <vt:i4>1048636</vt:i4>
      </vt:variant>
      <vt:variant>
        <vt:i4>308</vt:i4>
      </vt:variant>
      <vt:variant>
        <vt:i4>0</vt:i4>
      </vt:variant>
      <vt:variant>
        <vt:i4>5</vt:i4>
      </vt:variant>
      <vt:variant>
        <vt:lpwstr/>
      </vt:variant>
      <vt:variant>
        <vt:lpwstr>_Toc202683420</vt:lpwstr>
      </vt:variant>
      <vt:variant>
        <vt:i4>1245244</vt:i4>
      </vt:variant>
      <vt:variant>
        <vt:i4>302</vt:i4>
      </vt:variant>
      <vt:variant>
        <vt:i4>0</vt:i4>
      </vt:variant>
      <vt:variant>
        <vt:i4>5</vt:i4>
      </vt:variant>
      <vt:variant>
        <vt:lpwstr/>
      </vt:variant>
      <vt:variant>
        <vt:lpwstr>_Toc202683419</vt:lpwstr>
      </vt:variant>
      <vt:variant>
        <vt:i4>1245244</vt:i4>
      </vt:variant>
      <vt:variant>
        <vt:i4>296</vt:i4>
      </vt:variant>
      <vt:variant>
        <vt:i4>0</vt:i4>
      </vt:variant>
      <vt:variant>
        <vt:i4>5</vt:i4>
      </vt:variant>
      <vt:variant>
        <vt:lpwstr/>
      </vt:variant>
      <vt:variant>
        <vt:lpwstr>_Toc202683418</vt:lpwstr>
      </vt:variant>
      <vt:variant>
        <vt:i4>1245244</vt:i4>
      </vt:variant>
      <vt:variant>
        <vt:i4>290</vt:i4>
      </vt:variant>
      <vt:variant>
        <vt:i4>0</vt:i4>
      </vt:variant>
      <vt:variant>
        <vt:i4>5</vt:i4>
      </vt:variant>
      <vt:variant>
        <vt:lpwstr/>
      </vt:variant>
      <vt:variant>
        <vt:lpwstr>_Toc202683417</vt:lpwstr>
      </vt:variant>
      <vt:variant>
        <vt:i4>1245244</vt:i4>
      </vt:variant>
      <vt:variant>
        <vt:i4>284</vt:i4>
      </vt:variant>
      <vt:variant>
        <vt:i4>0</vt:i4>
      </vt:variant>
      <vt:variant>
        <vt:i4>5</vt:i4>
      </vt:variant>
      <vt:variant>
        <vt:lpwstr/>
      </vt:variant>
      <vt:variant>
        <vt:lpwstr>_Toc202683416</vt:lpwstr>
      </vt:variant>
      <vt:variant>
        <vt:i4>1245244</vt:i4>
      </vt:variant>
      <vt:variant>
        <vt:i4>278</vt:i4>
      </vt:variant>
      <vt:variant>
        <vt:i4>0</vt:i4>
      </vt:variant>
      <vt:variant>
        <vt:i4>5</vt:i4>
      </vt:variant>
      <vt:variant>
        <vt:lpwstr/>
      </vt:variant>
      <vt:variant>
        <vt:lpwstr>_Toc202683415</vt:lpwstr>
      </vt:variant>
      <vt:variant>
        <vt:i4>1245244</vt:i4>
      </vt:variant>
      <vt:variant>
        <vt:i4>272</vt:i4>
      </vt:variant>
      <vt:variant>
        <vt:i4>0</vt:i4>
      </vt:variant>
      <vt:variant>
        <vt:i4>5</vt:i4>
      </vt:variant>
      <vt:variant>
        <vt:lpwstr/>
      </vt:variant>
      <vt:variant>
        <vt:lpwstr>_Toc202683414</vt:lpwstr>
      </vt:variant>
      <vt:variant>
        <vt:i4>1245244</vt:i4>
      </vt:variant>
      <vt:variant>
        <vt:i4>266</vt:i4>
      </vt:variant>
      <vt:variant>
        <vt:i4>0</vt:i4>
      </vt:variant>
      <vt:variant>
        <vt:i4>5</vt:i4>
      </vt:variant>
      <vt:variant>
        <vt:lpwstr/>
      </vt:variant>
      <vt:variant>
        <vt:lpwstr>_Toc202683413</vt:lpwstr>
      </vt:variant>
      <vt:variant>
        <vt:i4>1245244</vt:i4>
      </vt:variant>
      <vt:variant>
        <vt:i4>260</vt:i4>
      </vt:variant>
      <vt:variant>
        <vt:i4>0</vt:i4>
      </vt:variant>
      <vt:variant>
        <vt:i4>5</vt:i4>
      </vt:variant>
      <vt:variant>
        <vt:lpwstr/>
      </vt:variant>
      <vt:variant>
        <vt:lpwstr>_Toc202683412</vt:lpwstr>
      </vt:variant>
      <vt:variant>
        <vt:i4>1245244</vt:i4>
      </vt:variant>
      <vt:variant>
        <vt:i4>254</vt:i4>
      </vt:variant>
      <vt:variant>
        <vt:i4>0</vt:i4>
      </vt:variant>
      <vt:variant>
        <vt:i4>5</vt:i4>
      </vt:variant>
      <vt:variant>
        <vt:lpwstr/>
      </vt:variant>
      <vt:variant>
        <vt:lpwstr>_Toc202683411</vt:lpwstr>
      </vt:variant>
      <vt:variant>
        <vt:i4>1245244</vt:i4>
      </vt:variant>
      <vt:variant>
        <vt:i4>248</vt:i4>
      </vt:variant>
      <vt:variant>
        <vt:i4>0</vt:i4>
      </vt:variant>
      <vt:variant>
        <vt:i4>5</vt:i4>
      </vt:variant>
      <vt:variant>
        <vt:lpwstr/>
      </vt:variant>
      <vt:variant>
        <vt:lpwstr>_Toc202683410</vt:lpwstr>
      </vt:variant>
      <vt:variant>
        <vt:i4>1179708</vt:i4>
      </vt:variant>
      <vt:variant>
        <vt:i4>242</vt:i4>
      </vt:variant>
      <vt:variant>
        <vt:i4>0</vt:i4>
      </vt:variant>
      <vt:variant>
        <vt:i4>5</vt:i4>
      </vt:variant>
      <vt:variant>
        <vt:lpwstr/>
      </vt:variant>
      <vt:variant>
        <vt:lpwstr>_Toc202683409</vt:lpwstr>
      </vt:variant>
      <vt:variant>
        <vt:i4>1179708</vt:i4>
      </vt:variant>
      <vt:variant>
        <vt:i4>236</vt:i4>
      </vt:variant>
      <vt:variant>
        <vt:i4>0</vt:i4>
      </vt:variant>
      <vt:variant>
        <vt:i4>5</vt:i4>
      </vt:variant>
      <vt:variant>
        <vt:lpwstr/>
      </vt:variant>
      <vt:variant>
        <vt:lpwstr>_Toc202683408</vt:lpwstr>
      </vt:variant>
      <vt:variant>
        <vt:i4>1179708</vt:i4>
      </vt:variant>
      <vt:variant>
        <vt:i4>230</vt:i4>
      </vt:variant>
      <vt:variant>
        <vt:i4>0</vt:i4>
      </vt:variant>
      <vt:variant>
        <vt:i4>5</vt:i4>
      </vt:variant>
      <vt:variant>
        <vt:lpwstr/>
      </vt:variant>
      <vt:variant>
        <vt:lpwstr>_Toc202683407</vt:lpwstr>
      </vt:variant>
      <vt:variant>
        <vt:i4>1179708</vt:i4>
      </vt:variant>
      <vt:variant>
        <vt:i4>224</vt:i4>
      </vt:variant>
      <vt:variant>
        <vt:i4>0</vt:i4>
      </vt:variant>
      <vt:variant>
        <vt:i4>5</vt:i4>
      </vt:variant>
      <vt:variant>
        <vt:lpwstr/>
      </vt:variant>
      <vt:variant>
        <vt:lpwstr>_Toc202683406</vt:lpwstr>
      </vt:variant>
      <vt:variant>
        <vt:i4>1179708</vt:i4>
      </vt:variant>
      <vt:variant>
        <vt:i4>218</vt:i4>
      </vt:variant>
      <vt:variant>
        <vt:i4>0</vt:i4>
      </vt:variant>
      <vt:variant>
        <vt:i4>5</vt:i4>
      </vt:variant>
      <vt:variant>
        <vt:lpwstr/>
      </vt:variant>
      <vt:variant>
        <vt:lpwstr>_Toc202683405</vt:lpwstr>
      </vt:variant>
      <vt:variant>
        <vt:i4>1179708</vt:i4>
      </vt:variant>
      <vt:variant>
        <vt:i4>212</vt:i4>
      </vt:variant>
      <vt:variant>
        <vt:i4>0</vt:i4>
      </vt:variant>
      <vt:variant>
        <vt:i4>5</vt:i4>
      </vt:variant>
      <vt:variant>
        <vt:lpwstr/>
      </vt:variant>
      <vt:variant>
        <vt:lpwstr>_Toc202683404</vt:lpwstr>
      </vt:variant>
      <vt:variant>
        <vt:i4>1179708</vt:i4>
      </vt:variant>
      <vt:variant>
        <vt:i4>206</vt:i4>
      </vt:variant>
      <vt:variant>
        <vt:i4>0</vt:i4>
      </vt:variant>
      <vt:variant>
        <vt:i4>5</vt:i4>
      </vt:variant>
      <vt:variant>
        <vt:lpwstr/>
      </vt:variant>
      <vt:variant>
        <vt:lpwstr>_Toc202683402</vt:lpwstr>
      </vt:variant>
      <vt:variant>
        <vt:i4>1179708</vt:i4>
      </vt:variant>
      <vt:variant>
        <vt:i4>200</vt:i4>
      </vt:variant>
      <vt:variant>
        <vt:i4>0</vt:i4>
      </vt:variant>
      <vt:variant>
        <vt:i4>5</vt:i4>
      </vt:variant>
      <vt:variant>
        <vt:lpwstr/>
      </vt:variant>
      <vt:variant>
        <vt:lpwstr>_Toc202683401</vt:lpwstr>
      </vt:variant>
      <vt:variant>
        <vt:i4>1179708</vt:i4>
      </vt:variant>
      <vt:variant>
        <vt:i4>194</vt:i4>
      </vt:variant>
      <vt:variant>
        <vt:i4>0</vt:i4>
      </vt:variant>
      <vt:variant>
        <vt:i4>5</vt:i4>
      </vt:variant>
      <vt:variant>
        <vt:lpwstr/>
      </vt:variant>
      <vt:variant>
        <vt:lpwstr>_Toc202683400</vt:lpwstr>
      </vt:variant>
      <vt:variant>
        <vt:i4>1769531</vt:i4>
      </vt:variant>
      <vt:variant>
        <vt:i4>188</vt:i4>
      </vt:variant>
      <vt:variant>
        <vt:i4>0</vt:i4>
      </vt:variant>
      <vt:variant>
        <vt:i4>5</vt:i4>
      </vt:variant>
      <vt:variant>
        <vt:lpwstr/>
      </vt:variant>
      <vt:variant>
        <vt:lpwstr>_Toc202683399</vt:lpwstr>
      </vt:variant>
      <vt:variant>
        <vt:i4>1769531</vt:i4>
      </vt:variant>
      <vt:variant>
        <vt:i4>182</vt:i4>
      </vt:variant>
      <vt:variant>
        <vt:i4>0</vt:i4>
      </vt:variant>
      <vt:variant>
        <vt:i4>5</vt:i4>
      </vt:variant>
      <vt:variant>
        <vt:lpwstr/>
      </vt:variant>
      <vt:variant>
        <vt:lpwstr>_Toc202683398</vt:lpwstr>
      </vt:variant>
      <vt:variant>
        <vt:i4>1769531</vt:i4>
      </vt:variant>
      <vt:variant>
        <vt:i4>176</vt:i4>
      </vt:variant>
      <vt:variant>
        <vt:i4>0</vt:i4>
      </vt:variant>
      <vt:variant>
        <vt:i4>5</vt:i4>
      </vt:variant>
      <vt:variant>
        <vt:lpwstr/>
      </vt:variant>
      <vt:variant>
        <vt:lpwstr>_Toc202683397</vt:lpwstr>
      </vt:variant>
      <vt:variant>
        <vt:i4>1769531</vt:i4>
      </vt:variant>
      <vt:variant>
        <vt:i4>170</vt:i4>
      </vt:variant>
      <vt:variant>
        <vt:i4>0</vt:i4>
      </vt:variant>
      <vt:variant>
        <vt:i4>5</vt:i4>
      </vt:variant>
      <vt:variant>
        <vt:lpwstr/>
      </vt:variant>
      <vt:variant>
        <vt:lpwstr>_Toc202683396</vt:lpwstr>
      </vt:variant>
      <vt:variant>
        <vt:i4>1769531</vt:i4>
      </vt:variant>
      <vt:variant>
        <vt:i4>164</vt:i4>
      </vt:variant>
      <vt:variant>
        <vt:i4>0</vt:i4>
      </vt:variant>
      <vt:variant>
        <vt:i4>5</vt:i4>
      </vt:variant>
      <vt:variant>
        <vt:lpwstr/>
      </vt:variant>
      <vt:variant>
        <vt:lpwstr>_Toc202683395</vt:lpwstr>
      </vt:variant>
      <vt:variant>
        <vt:i4>1769531</vt:i4>
      </vt:variant>
      <vt:variant>
        <vt:i4>158</vt:i4>
      </vt:variant>
      <vt:variant>
        <vt:i4>0</vt:i4>
      </vt:variant>
      <vt:variant>
        <vt:i4>5</vt:i4>
      </vt:variant>
      <vt:variant>
        <vt:lpwstr/>
      </vt:variant>
      <vt:variant>
        <vt:lpwstr>_Toc202683394</vt:lpwstr>
      </vt:variant>
      <vt:variant>
        <vt:i4>1769531</vt:i4>
      </vt:variant>
      <vt:variant>
        <vt:i4>152</vt:i4>
      </vt:variant>
      <vt:variant>
        <vt:i4>0</vt:i4>
      </vt:variant>
      <vt:variant>
        <vt:i4>5</vt:i4>
      </vt:variant>
      <vt:variant>
        <vt:lpwstr/>
      </vt:variant>
      <vt:variant>
        <vt:lpwstr>_Toc202683393</vt:lpwstr>
      </vt:variant>
      <vt:variant>
        <vt:i4>1769531</vt:i4>
      </vt:variant>
      <vt:variant>
        <vt:i4>146</vt:i4>
      </vt:variant>
      <vt:variant>
        <vt:i4>0</vt:i4>
      </vt:variant>
      <vt:variant>
        <vt:i4>5</vt:i4>
      </vt:variant>
      <vt:variant>
        <vt:lpwstr/>
      </vt:variant>
      <vt:variant>
        <vt:lpwstr>_Toc202683392</vt:lpwstr>
      </vt:variant>
      <vt:variant>
        <vt:i4>1769531</vt:i4>
      </vt:variant>
      <vt:variant>
        <vt:i4>140</vt:i4>
      </vt:variant>
      <vt:variant>
        <vt:i4>0</vt:i4>
      </vt:variant>
      <vt:variant>
        <vt:i4>5</vt:i4>
      </vt:variant>
      <vt:variant>
        <vt:lpwstr/>
      </vt:variant>
      <vt:variant>
        <vt:lpwstr>_Toc202683391</vt:lpwstr>
      </vt:variant>
      <vt:variant>
        <vt:i4>1769531</vt:i4>
      </vt:variant>
      <vt:variant>
        <vt:i4>134</vt:i4>
      </vt:variant>
      <vt:variant>
        <vt:i4>0</vt:i4>
      </vt:variant>
      <vt:variant>
        <vt:i4>5</vt:i4>
      </vt:variant>
      <vt:variant>
        <vt:lpwstr/>
      </vt:variant>
      <vt:variant>
        <vt:lpwstr>_Toc202683390</vt:lpwstr>
      </vt:variant>
      <vt:variant>
        <vt:i4>1703995</vt:i4>
      </vt:variant>
      <vt:variant>
        <vt:i4>128</vt:i4>
      </vt:variant>
      <vt:variant>
        <vt:i4>0</vt:i4>
      </vt:variant>
      <vt:variant>
        <vt:i4>5</vt:i4>
      </vt:variant>
      <vt:variant>
        <vt:lpwstr/>
      </vt:variant>
      <vt:variant>
        <vt:lpwstr>_Toc202683389</vt:lpwstr>
      </vt:variant>
      <vt:variant>
        <vt:i4>1703995</vt:i4>
      </vt:variant>
      <vt:variant>
        <vt:i4>122</vt:i4>
      </vt:variant>
      <vt:variant>
        <vt:i4>0</vt:i4>
      </vt:variant>
      <vt:variant>
        <vt:i4>5</vt:i4>
      </vt:variant>
      <vt:variant>
        <vt:lpwstr/>
      </vt:variant>
      <vt:variant>
        <vt:lpwstr>_Toc202683388</vt:lpwstr>
      </vt:variant>
      <vt:variant>
        <vt:i4>1703995</vt:i4>
      </vt:variant>
      <vt:variant>
        <vt:i4>116</vt:i4>
      </vt:variant>
      <vt:variant>
        <vt:i4>0</vt:i4>
      </vt:variant>
      <vt:variant>
        <vt:i4>5</vt:i4>
      </vt:variant>
      <vt:variant>
        <vt:lpwstr/>
      </vt:variant>
      <vt:variant>
        <vt:lpwstr>_Toc202683387</vt:lpwstr>
      </vt:variant>
      <vt:variant>
        <vt:i4>1703995</vt:i4>
      </vt:variant>
      <vt:variant>
        <vt:i4>110</vt:i4>
      </vt:variant>
      <vt:variant>
        <vt:i4>0</vt:i4>
      </vt:variant>
      <vt:variant>
        <vt:i4>5</vt:i4>
      </vt:variant>
      <vt:variant>
        <vt:lpwstr/>
      </vt:variant>
      <vt:variant>
        <vt:lpwstr>_Toc202683386</vt:lpwstr>
      </vt:variant>
      <vt:variant>
        <vt:i4>1703995</vt:i4>
      </vt:variant>
      <vt:variant>
        <vt:i4>104</vt:i4>
      </vt:variant>
      <vt:variant>
        <vt:i4>0</vt:i4>
      </vt:variant>
      <vt:variant>
        <vt:i4>5</vt:i4>
      </vt:variant>
      <vt:variant>
        <vt:lpwstr/>
      </vt:variant>
      <vt:variant>
        <vt:lpwstr>_Toc202683385</vt:lpwstr>
      </vt:variant>
      <vt:variant>
        <vt:i4>1703995</vt:i4>
      </vt:variant>
      <vt:variant>
        <vt:i4>98</vt:i4>
      </vt:variant>
      <vt:variant>
        <vt:i4>0</vt:i4>
      </vt:variant>
      <vt:variant>
        <vt:i4>5</vt:i4>
      </vt:variant>
      <vt:variant>
        <vt:lpwstr/>
      </vt:variant>
      <vt:variant>
        <vt:lpwstr>_Toc202683384</vt:lpwstr>
      </vt:variant>
      <vt:variant>
        <vt:i4>1703995</vt:i4>
      </vt:variant>
      <vt:variant>
        <vt:i4>92</vt:i4>
      </vt:variant>
      <vt:variant>
        <vt:i4>0</vt:i4>
      </vt:variant>
      <vt:variant>
        <vt:i4>5</vt:i4>
      </vt:variant>
      <vt:variant>
        <vt:lpwstr/>
      </vt:variant>
      <vt:variant>
        <vt:lpwstr>_Toc202683383</vt:lpwstr>
      </vt:variant>
      <vt:variant>
        <vt:i4>1703995</vt:i4>
      </vt:variant>
      <vt:variant>
        <vt:i4>86</vt:i4>
      </vt:variant>
      <vt:variant>
        <vt:i4>0</vt:i4>
      </vt:variant>
      <vt:variant>
        <vt:i4>5</vt:i4>
      </vt:variant>
      <vt:variant>
        <vt:lpwstr/>
      </vt:variant>
      <vt:variant>
        <vt:lpwstr>_Toc202683382</vt:lpwstr>
      </vt:variant>
      <vt:variant>
        <vt:i4>1703995</vt:i4>
      </vt:variant>
      <vt:variant>
        <vt:i4>80</vt:i4>
      </vt:variant>
      <vt:variant>
        <vt:i4>0</vt:i4>
      </vt:variant>
      <vt:variant>
        <vt:i4>5</vt:i4>
      </vt:variant>
      <vt:variant>
        <vt:lpwstr/>
      </vt:variant>
      <vt:variant>
        <vt:lpwstr>_Toc202683381</vt:lpwstr>
      </vt:variant>
      <vt:variant>
        <vt:i4>1703995</vt:i4>
      </vt:variant>
      <vt:variant>
        <vt:i4>74</vt:i4>
      </vt:variant>
      <vt:variant>
        <vt:i4>0</vt:i4>
      </vt:variant>
      <vt:variant>
        <vt:i4>5</vt:i4>
      </vt:variant>
      <vt:variant>
        <vt:lpwstr/>
      </vt:variant>
      <vt:variant>
        <vt:lpwstr>_Toc202683380</vt:lpwstr>
      </vt:variant>
      <vt:variant>
        <vt:i4>1376315</vt:i4>
      </vt:variant>
      <vt:variant>
        <vt:i4>68</vt:i4>
      </vt:variant>
      <vt:variant>
        <vt:i4>0</vt:i4>
      </vt:variant>
      <vt:variant>
        <vt:i4>5</vt:i4>
      </vt:variant>
      <vt:variant>
        <vt:lpwstr/>
      </vt:variant>
      <vt:variant>
        <vt:lpwstr>_Toc202683379</vt:lpwstr>
      </vt:variant>
      <vt:variant>
        <vt:i4>1376315</vt:i4>
      </vt:variant>
      <vt:variant>
        <vt:i4>62</vt:i4>
      </vt:variant>
      <vt:variant>
        <vt:i4>0</vt:i4>
      </vt:variant>
      <vt:variant>
        <vt:i4>5</vt:i4>
      </vt:variant>
      <vt:variant>
        <vt:lpwstr/>
      </vt:variant>
      <vt:variant>
        <vt:lpwstr>_Toc202683378</vt:lpwstr>
      </vt:variant>
      <vt:variant>
        <vt:i4>1376315</vt:i4>
      </vt:variant>
      <vt:variant>
        <vt:i4>56</vt:i4>
      </vt:variant>
      <vt:variant>
        <vt:i4>0</vt:i4>
      </vt:variant>
      <vt:variant>
        <vt:i4>5</vt:i4>
      </vt:variant>
      <vt:variant>
        <vt:lpwstr/>
      </vt:variant>
      <vt:variant>
        <vt:lpwstr>_Toc202683377</vt:lpwstr>
      </vt:variant>
      <vt:variant>
        <vt:i4>1376315</vt:i4>
      </vt:variant>
      <vt:variant>
        <vt:i4>50</vt:i4>
      </vt:variant>
      <vt:variant>
        <vt:i4>0</vt:i4>
      </vt:variant>
      <vt:variant>
        <vt:i4>5</vt:i4>
      </vt:variant>
      <vt:variant>
        <vt:lpwstr/>
      </vt:variant>
      <vt:variant>
        <vt:lpwstr>_Toc202683376</vt:lpwstr>
      </vt:variant>
      <vt:variant>
        <vt:i4>1376315</vt:i4>
      </vt:variant>
      <vt:variant>
        <vt:i4>44</vt:i4>
      </vt:variant>
      <vt:variant>
        <vt:i4>0</vt:i4>
      </vt:variant>
      <vt:variant>
        <vt:i4>5</vt:i4>
      </vt:variant>
      <vt:variant>
        <vt:lpwstr/>
      </vt:variant>
      <vt:variant>
        <vt:lpwstr>_Toc202683375</vt:lpwstr>
      </vt:variant>
      <vt:variant>
        <vt:i4>1376315</vt:i4>
      </vt:variant>
      <vt:variant>
        <vt:i4>38</vt:i4>
      </vt:variant>
      <vt:variant>
        <vt:i4>0</vt:i4>
      </vt:variant>
      <vt:variant>
        <vt:i4>5</vt:i4>
      </vt:variant>
      <vt:variant>
        <vt:lpwstr/>
      </vt:variant>
      <vt:variant>
        <vt:lpwstr>_Toc202683374</vt:lpwstr>
      </vt:variant>
      <vt:variant>
        <vt:i4>1376315</vt:i4>
      </vt:variant>
      <vt:variant>
        <vt:i4>32</vt:i4>
      </vt:variant>
      <vt:variant>
        <vt:i4>0</vt:i4>
      </vt:variant>
      <vt:variant>
        <vt:i4>5</vt:i4>
      </vt:variant>
      <vt:variant>
        <vt:lpwstr/>
      </vt:variant>
      <vt:variant>
        <vt:lpwstr>_Toc202683373</vt:lpwstr>
      </vt:variant>
      <vt:variant>
        <vt:i4>1376315</vt:i4>
      </vt:variant>
      <vt:variant>
        <vt:i4>26</vt:i4>
      </vt:variant>
      <vt:variant>
        <vt:i4>0</vt:i4>
      </vt:variant>
      <vt:variant>
        <vt:i4>5</vt:i4>
      </vt:variant>
      <vt:variant>
        <vt:lpwstr/>
      </vt:variant>
      <vt:variant>
        <vt:lpwstr>_Toc202683372</vt:lpwstr>
      </vt:variant>
      <vt:variant>
        <vt:i4>1376315</vt:i4>
      </vt:variant>
      <vt:variant>
        <vt:i4>20</vt:i4>
      </vt:variant>
      <vt:variant>
        <vt:i4>0</vt:i4>
      </vt:variant>
      <vt:variant>
        <vt:i4>5</vt:i4>
      </vt:variant>
      <vt:variant>
        <vt:lpwstr/>
      </vt:variant>
      <vt:variant>
        <vt:lpwstr>_Toc202683371</vt:lpwstr>
      </vt:variant>
      <vt:variant>
        <vt:i4>1376315</vt:i4>
      </vt:variant>
      <vt:variant>
        <vt:i4>14</vt:i4>
      </vt:variant>
      <vt:variant>
        <vt:i4>0</vt:i4>
      </vt:variant>
      <vt:variant>
        <vt:i4>5</vt:i4>
      </vt:variant>
      <vt:variant>
        <vt:lpwstr/>
      </vt:variant>
      <vt:variant>
        <vt:lpwstr>_Toc202683370</vt:lpwstr>
      </vt:variant>
      <vt:variant>
        <vt:i4>1310779</vt:i4>
      </vt:variant>
      <vt:variant>
        <vt:i4>8</vt:i4>
      </vt:variant>
      <vt:variant>
        <vt:i4>0</vt:i4>
      </vt:variant>
      <vt:variant>
        <vt:i4>5</vt:i4>
      </vt:variant>
      <vt:variant>
        <vt:lpwstr/>
      </vt:variant>
      <vt:variant>
        <vt:lpwstr>_Toc202683369</vt:lpwstr>
      </vt:variant>
      <vt:variant>
        <vt:i4>1310779</vt:i4>
      </vt:variant>
      <vt:variant>
        <vt:i4>2</vt:i4>
      </vt:variant>
      <vt:variant>
        <vt:i4>0</vt:i4>
      </vt:variant>
      <vt:variant>
        <vt:i4>5</vt:i4>
      </vt:variant>
      <vt:variant>
        <vt:lpwstr/>
      </vt:variant>
      <vt:variant>
        <vt:lpwstr>_Toc202683368</vt:lpwstr>
      </vt:variant>
      <vt:variant>
        <vt:i4>6225931</vt:i4>
      </vt:variant>
      <vt:variant>
        <vt:i4>18</vt:i4>
      </vt:variant>
      <vt:variant>
        <vt:i4>0</vt:i4>
      </vt:variant>
      <vt:variant>
        <vt:i4>5</vt:i4>
      </vt:variant>
      <vt:variant>
        <vt:lpwstr>http://www.sba.gov/advo/research/data.html</vt:lpwstr>
      </vt:variant>
      <vt:variant>
        <vt:lpwstr>us</vt:lpwstr>
      </vt:variant>
      <vt:variant>
        <vt:i4>6225931</vt:i4>
      </vt:variant>
      <vt:variant>
        <vt:i4>15</vt:i4>
      </vt:variant>
      <vt:variant>
        <vt:i4>0</vt:i4>
      </vt:variant>
      <vt:variant>
        <vt:i4>5</vt:i4>
      </vt:variant>
      <vt:variant>
        <vt:lpwstr>http://www.sba.gov/advo/research/data.html</vt:lpwstr>
      </vt:variant>
      <vt:variant>
        <vt:lpwstr>us</vt:lpwstr>
      </vt:variant>
      <vt:variant>
        <vt:i4>3866669</vt:i4>
      </vt:variant>
      <vt:variant>
        <vt:i4>12</vt:i4>
      </vt:variant>
      <vt:variant>
        <vt:i4>0</vt:i4>
      </vt:variant>
      <vt:variant>
        <vt:i4>5</vt:i4>
      </vt:variant>
      <vt:variant>
        <vt:lpwstr>http://www.sba.gov/size/sizetable2002.html</vt:lpwstr>
      </vt:variant>
      <vt:variant>
        <vt:lpwstr/>
      </vt:variant>
      <vt:variant>
        <vt:i4>6225931</vt:i4>
      </vt:variant>
      <vt:variant>
        <vt:i4>9</vt:i4>
      </vt:variant>
      <vt:variant>
        <vt:i4>0</vt:i4>
      </vt:variant>
      <vt:variant>
        <vt:i4>5</vt:i4>
      </vt:variant>
      <vt:variant>
        <vt:lpwstr>http://www.sba.gov/advo/research/data.html</vt:lpwstr>
      </vt:variant>
      <vt:variant>
        <vt:lpwstr>us</vt:lpwstr>
      </vt:variant>
      <vt:variant>
        <vt:i4>3866669</vt:i4>
      </vt:variant>
      <vt:variant>
        <vt:i4>6</vt:i4>
      </vt:variant>
      <vt:variant>
        <vt:i4>0</vt:i4>
      </vt:variant>
      <vt:variant>
        <vt:i4>5</vt:i4>
      </vt:variant>
      <vt:variant>
        <vt:lpwstr>http://www.sba.gov/size/sizetable2002.html</vt:lpwstr>
      </vt:variant>
      <vt:variant>
        <vt:lpwstr/>
      </vt:variant>
      <vt:variant>
        <vt:i4>786456</vt:i4>
      </vt:variant>
      <vt:variant>
        <vt:i4>3</vt:i4>
      </vt:variant>
      <vt:variant>
        <vt:i4>0</vt:i4>
      </vt:variant>
      <vt:variant>
        <vt:i4>5</vt:i4>
      </vt:variant>
      <vt:variant>
        <vt:lpwstr>http://stats.bls.gov/ppi/home.htm</vt:lpwstr>
      </vt:variant>
      <vt:variant>
        <vt:lpwstr/>
      </vt:variant>
      <vt:variant>
        <vt:i4>4980772</vt:i4>
      </vt:variant>
      <vt:variant>
        <vt:i4>0</vt:i4>
      </vt:variant>
      <vt:variant>
        <vt:i4>0</vt:i4>
      </vt:variant>
      <vt:variant>
        <vt:i4>5</vt:i4>
      </vt:variant>
      <vt:variant>
        <vt:lpwstr>http://www.travelweekly.com/multimedia/TWSURVEY2005/seg_hl.htm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2008-08-21T20:22:00Z</cp:lastPrinted>
  <dcterms:created xsi:type="dcterms:W3CDTF">2021-11-04T18:04:00Z</dcterms:created>
  <dcterms:modified xsi:type="dcterms:W3CDTF">2021-11-04T18:04:00Z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2021-11-04T18:04:16Z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8fc8568e-c469-4289-8b78-3356fcd22ac7</vt:lpwstr>
  </property>
  <property fmtid="{D5CDD505-2E9C-101B-9397-08002B2CF9AE}" pid="8" name="MSIP_Label_7b94a7b8-f06c-4dfe-bdcc-9b548fd58c31_ContentBits">
    <vt:lpwstr>0</vt:lpwstr>
  </property>
</Properties>
</file>