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7F4A" w:rsidP="00F67708" w:rsidRDefault="00FE7F4A" w14:paraId="05B9D124" w14:textId="77777777">
      <w:pPr>
        <w:spacing w:after="0" w:line="240" w:lineRule="auto"/>
        <w:jc w:val="center"/>
        <w:rPr>
          <w:b/>
          <w:bCs/>
          <w:color w:val="0070C0"/>
          <w:sz w:val="36"/>
          <w:szCs w:val="36"/>
        </w:rPr>
      </w:pPr>
    </w:p>
    <w:p w:rsidRPr="00F67708" w:rsidR="00D37D41" w:rsidP="00FE7F4A" w:rsidRDefault="00D37D41" w14:paraId="6649E202" w14:textId="770C77DF">
      <w:pPr>
        <w:pStyle w:val="Title"/>
        <w:jc w:val="center"/>
      </w:pPr>
      <w:r w:rsidRPr="00F67708">
        <w:t>Evaluating the Association between Serum Concentrations of Per- and Polyfluoroalkyl Substances (PFAS) and Symptoms and Diagnoses of Selected Acute Viral Illnesses</w:t>
      </w:r>
    </w:p>
    <w:p w:rsidR="00D37D41" w:rsidP="00D37D41" w:rsidRDefault="00D37D41" w14:paraId="134B14A0" w14:textId="77777777">
      <w:pPr>
        <w:spacing w:after="0" w:line="240" w:lineRule="auto"/>
        <w:jc w:val="center"/>
        <w:rPr>
          <w:b/>
          <w:bCs/>
          <w:color w:val="0070C0"/>
          <w:sz w:val="40"/>
          <w:szCs w:val="40"/>
        </w:rPr>
      </w:pPr>
    </w:p>
    <w:p w:rsidRPr="004B11C4" w:rsidR="005471C3" w:rsidP="004B11C4" w:rsidRDefault="00D37D41" w14:paraId="5A6B82F8" w14:textId="3C37BF52">
      <w:pPr>
        <w:jc w:val="center"/>
        <w:rPr>
          <w:sz w:val="32"/>
          <w:szCs w:val="32"/>
        </w:rPr>
      </w:pPr>
      <w:r w:rsidRPr="004B11C4">
        <w:rPr>
          <w:sz w:val="32"/>
          <w:szCs w:val="32"/>
        </w:rPr>
        <w:t>Manual of Procedures</w:t>
      </w:r>
    </w:p>
    <w:p w:rsidRPr="005471C3" w:rsidR="005471C3" w:rsidP="005471C3" w:rsidRDefault="005471C3" w14:paraId="41B371CC" w14:textId="77777777"/>
    <w:p w:rsidRPr="004B11C4" w:rsidR="005471C3" w:rsidP="005471C3" w:rsidRDefault="005471C3" w14:paraId="79EDE4B1" w14:textId="6D61C265">
      <w:pPr>
        <w:jc w:val="center"/>
        <w:rPr>
          <w:sz w:val="32"/>
          <w:szCs w:val="32"/>
        </w:rPr>
      </w:pPr>
      <w:r w:rsidRPr="004B11C4">
        <w:rPr>
          <w:sz w:val="32"/>
          <w:szCs w:val="32"/>
        </w:rPr>
        <w:t>Agency for Toxic Substances and Disease Registry (ATSDR) and the Centers for Disease Control and Prevention’s (CDC) National Center for Environmental Health (NCEH)</w:t>
      </w:r>
    </w:p>
    <w:p w:rsidRPr="00F67708" w:rsidR="00D37D41" w:rsidP="00FE7F4A" w:rsidRDefault="00D37D41" w14:paraId="3B7043CA" w14:textId="366B491F">
      <w:pPr>
        <w:jc w:val="center"/>
      </w:pPr>
    </w:p>
    <w:p w:rsidR="00D37D41" w:rsidP="00BB2551" w:rsidRDefault="00D37D41" w14:paraId="4608E770" w14:textId="77777777"/>
    <w:p w:rsidR="00FE7F4A" w:rsidRDefault="00FE7F4A" w14:paraId="60729338" w14:textId="7FB9507C">
      <w:pPr>
        <w:rPr>
          <w:rFonts w:ascii="Calibri" w:hAnsi="Calibri"/>
          <w:sz w:val="24"/>
          <w:szCs w:val="24"/>
        </w:rPr>
      </w:pPr>
      <w:r>
        <w:rPr>
          <w:rFonts w:ascii="Calibri" w:hAnsi="Calibri"/>
          <w:sz w:val="24"/>
          <w:szCs w:val="24"/>
        </w:rPr>
        <w:br w:type="page"/>
      </w:r>
    </w:p>
    <w:p w:rsidRPr="00D37D41" w:rsidR="00D37D41" w:rsidP="00BB2551" w:rsidRDefault="00D37D41" w14:paraId="035192AC" w14:textId="77777777">
      <w:pPr>
        <w:rPr>
          <w:rFonts w:ascii="Calibri" w:hAnsi="Calibri"/>
          <w:sz w:val="24"/>
          <w:szCs w:val="24"/>
        </w:rPr>
      </w:pPr>
    </w:p>
    <w:sdt>
      <w:sdtPr>
        <w:rPr>
          <w:rFonts w:asciiTheme="minorHAnsi" w:hAnsiTheme="minorHAnsi" w:eastAsiaTheme="minorHAnsi" w:cstheme="minorBidi"/>
          <w:color w:val="auto"/>
          <w:sz w:val="22"/>
          <w:szCs w:val="22"/>
        </w:rPr>
        <w:id w:val="898094056"/>
        <w:docPartObj>
          <w:docPartGallery w:val="Table of Contents"/>
          <w:docPartUnique/>
        </w:docPartObj>
      </w:sdtPr>
      <w:sdtEndPr>
        <w:rPr>
          <w:b/>
          <w:bCs/>
          <w:noProof/>
        </w:rPr>
      </w:sdtEndPr>
      <w:sdtContent>
        <w:p w:rsidR="00FD455B" w:rsidRDefault="00FD455B" w14:paraId="746A431C" w14:textId="09F518C5">
          <w:pPr>
            <w:pStyle w:val="TOCHeading"/>
          </w:pPr>
          <w:r>
            <w:t>Table of Contents</w:t>
          </w:r>
        </w:p>
        <w:p w:rsidR="004165AE" w:rsidRDefault="00FD455B" w14:paraId="4FD3DB68" w14:textId="2735CBAA">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92192110">
            <w:r w:rsidRPr="002642F5" w:rsidR="004165AE">
              <w:rPr>
                <w:rStyle w:val="Hyperlink"/>
                <w:noProof/>
              </w:rPr>
              <w:t>1.0. Introduction</w:t>
            </w:r>
            <w:r w:rsidR="004165AE">
              <w:rPr>
                <w:noProof/>
                <w:webHidden/>
              </w:rPr>
              <w:tab/>
            </w:r>
            <w:r w:rsidR="004165AE">
              <w:rPr>
                <w:noProof/>
                <w:webHidden/>
              </w:rPr>
              <w:fldChar w:fldCharType="begin"/>
            </w:r>
            <w:r w:rsidR="004165AE">
              <w:rPr>
                <w:noProof/>
                <w:webHidden/>
              </w:rPr>
              <w:instrText xml:space="preserve"> PAGEREF _Toc92192110 \h </w:instrText>
            </w:r>
            <w:r w:rsidR="004165AE">
              <w:rPr>
                <w:noProof/>
                <w:webHidden/>
              </w:rPr>
            </w:r>
            <w:r w:rsidR="004165AE">
              <w:rPr>
                <w:noProof/>
                <w:webHidden/>
              </w:rPr>
              <w:fldChar w:fldCharType="separate"/>
            </w:r>
            <w:r w:rsidR="004165AE">
              <w:rPr>
                <w:noProof/>
                <w:webHidden/>
              </w:rPr>
              <w:t>5</w:t>
            </w:r>
            <w:r w:rsidR="004165AE">
              <w:rPr>
                <w:noProof/>
                <w:webHidden/>
              </w:rPr>
              <w:fldChar w:fldCharType="end"/>
            </w:r>
          </w:hyperlink>
        </w:p>
        <w:p w:rsidR="004165AE" w:rsidRDefault="00924DD2" w14:paraId="0D95139B" w14:textId="29F16919">
          <w:pPr>
            <w:pStyle w:val="TOC1"/>
            <w:tabs>
              <w:tab w:val="right" w:leader="dot" w:pos="9350"/>
            </w:tabs>
            <w:rPr>
              <w:rFonts w:eastAsiaTheme="minorEastAsia"/>
              <w:noProof/>
            </w:rPr>
          </w:pPr>
          <w:hyperlink w:history="1" w:anchor="_Toc92192111">
            <w:r w:rsidRPr="002642F5" w:rsidR="004165AE">
              <w:rPr>
                <w:rStyle w:val="Hyperlink"/>
                <w:noProof/>
              </w:rPr>
              <w:t>2.0. Brief Overview of Study</w:t>
            </w:r>
            <w:r w:rsidR="004165AE">
              <w:rPr>
                <w:noProof/>
                <w:webHidden/>
              </w:rPr>
              <w:tab/>
            </w:r>
            <w:r w:rsidR="004165AE">
              <w:rPr>
                <w:noProof/>
                <w:webHidden/>
              </w:rPr>
              <w:fldChar w:fldCharType="begin"/>
            </w:r>
            <w:r w:rsidR="004165AE">
              <w:rPr>
                <w:noProof/>
                <w:webHidden/>
              </w:rPr>
              <w:instrText xml:space="preserve"> PAGEREF _Toc92192111 \h </w:instrText>
            </w:r>
            <w:r w:rsidR="004165AE">
              <w:rPr>
                <w:noProof/>
                <w:webHidden/>
              </w:rPr>
            </w:r>
            <w:r w:rsidR="004165AE">
              <w:rPr>
                <w:noProof/>
                <w:webHidden/>
              </w:rPr>
              <w:fldChar w:fldCharType="separate"/>
            </w:r>
            <w:r w:rsidR="004165AE">
              <w:rPr>
                <w:noProof/>
                <w:webHidden/>
              </w:rPr>
              <w:t>5</w:t>
            </w:r>
            <w:r w:rsidR="004165AE">
              <w:rPr>
                <w:noProof/>
                <w:webHidden/>
              </w:rPr>
              <w:fldChar w:fldCharType="end"/>
            </w:r>
          </w:hyperlink>
        </w:p>
        <w:p w:rsidR="004165AE" w:rsidRDefault="00924DD2" w14:paraId="2B1DC739" w14:textId="7C9E2B7A">
          <w:pPr>
            <w:pStyle w:val="TOC1"/>
            <w:tabs>
              <w:tab w:val="right" w:leader="dot" w:pos="9350"/>
            </w:tabs>
            <w:rPr>
              <w:rFonts w:eastAsiaTheme="minorEastAsia"/>
              <w:noProof/>
            </w:rPr>
          </w:pPr>
          <w:hyperlink w:history="1" w:anchor="_Toc92192112">
            <w:r w:rsidRPr="002642F5" w:rsidR="004165AE">
              <w:rPr>
                <w:rStyle w:val="Hyperlink"/>
                <w:noProof/>
              </w:rPr>
              <w:t>3.0. Study Staff</w:t>
            </w:r>
            <w:r w:rsidR="004165AE">
              <w:rPr>
                <w:noProof/>
                <w:webHidden/>
              </w:rPr>
              <w:tab/>
            </w:r>
            <w:r w:rsidR="004165AE">
              <w:rPr>
                <w:noProof/>
                <w:webHidden/>
              </w:rPr>
              <w:fldChar w:fldCharType="begin"/>
            </w:r>
            <w:r w:rsidR="004165AE">
              <w:rPr>
                <w:noProof/>
                <w:webHidden/>
              </w:rPr>
              <w:instrText xml:space="preserve"> PAGEREF _Toc92192112 \h </w:instrText>
            </w:r>
            <w:r w:rsidR="004165AE">
              <w:rPr>
                <w:noProof/>
                <w:webHidden/>
              </w:rPr>
            </w:r>
            <w:r w:rsidR="004165AE">
              <w:rPr>
                <w:noProof/>
                <w:webHidden/>
              </w:rPr>
              <w:fldChar w:fldCharType="separate"/>
            </w:r>
            <w:r w:rsidR="004165AE">
              <w:rPr>
                <w:noProof/>
                <w:webHidden/>
              </w:rPr>
              <w:t>6</w:t>
            </w:r>
            <w:r w:rsidR="004165AE">
              <w:rPr>
                <w:noProof/>
                <w:webHidden/>
              </w:rPr>
              <w:fldChar w:fldCharType="end"/>
            </w:r>
          </w:hyperlink>
        </w:p>
        <w:p w:rsidR="004165AE" w:rsidRDefault="00924DD2" w14:paraId="3070AC1A" w14:textId="6C98CE9A">
          <w:pPr>
            <w:pStyle w:val="TOC2"/>
            <w:tabs>
              <w:tab w:val="right" w:leader="dot" w:pos="9350"/>
            </w:tabs>
            <w:rPr>
              <w:rFonts w:cstheme="minorBidi"/>
              <w:noProof/>
            </w:rPr>
          </w:pPr>
          <w:hyperlink w:history="1" w:anchor="_Toc92192113">
            <w:r w:rsidRPr="002642F5" w:rsidR="004165AE">
              <w:rPr>
                <w:rStyle w:val="Hyperlink"/>
                <w:noProof/>
              </w:rPr>
              <w:t>3.1. Role Definitions</w:t>
            </w:r>
            <w:r w:rsidR="004165AE">
              <w:rPr>
                <w:noProof/>
                <w:webHidden/>
              </w:rPr>
              <w:tab/>
            </w:r>
            <w:r w:rsidR="004165AE">
              <w:rPr>
                <w:noProof/>
                <w:webHidden/>
              </w:rPr>
              <w:fldChar w:fldCharType="begin"/>
            </w:r>
            <w:r w:rsidR="004165AE">
              <w:rPr>
                <w:noProof/>
                <w:webHidden/>
              </w:rPr>
              <w:instrText xml:space="preserve"> PAGEREF _Toc92192113 \h </w:instrText>
            </w:r>
            <w:r w:rsidR="004165AE">
              <w:rPr>
                <w:noProof/>
                <w:webHidden/>
              </w:rPr>
            </w:r>
            <w:r w:rsidR="004165AE">
              <w:rPr>
                <w:noProof/>
                <w:webHidden/>
              </w:rPr>
              <w:fldChar w:fldCharType="separate"/>
            </w:r>
            <w:r w:rsidR="004165AE">
              <w:rPr>
                <w:noProof/>
                <w:webHidden/>
              </w:rPr>
              <w:t>6</w:t>
            </w:r>
            <w:r w:rsidR="004165AE">
              <w:rPr>
                <w:noProof/>
                <w:webHidden/>
              </w:rPr>
              <w:fldChar w:fldCharType="end"/>
            </w:r>
          </w:hyperlink>
        </w:p>
        <w:p w:rsidR="004165AE" w:rsidRDefault="00924DD2" w14:paraId="6D87257A" w14:textId="25DAF107">
          <w:pPr>
            <w:pStyle w:val="TOC2"/>
            <w:tabs>
              <w:tab w:val="right" w:leader="dot" w:pos="9350"/>
            </w:tabs>
            <w:rPr>
              <w:rFonts w:cstheme="minorBidi"/>
              <w:noProof/>
            </w:rPr>
          </w:pPr>
          <w:hyperlink w:history="1" w:anchor="_Toc92192114">
            <w:r w:rsidRPr="002642F5" w:rsidR="004165AE">
              <w:rPr>
                <w:rStyle w:val="Hyperlink"/>
                <w:noProof/>
              </w:rPr>
              <w:t>3.2. Onboarding of staff</w:t>
            </w:r>
            <w:r w:rsidR="004165AE">
              <w:rPr>
                <w:noProof/>
                <w:webHidden/>
              </w:rPr>
              <w:tab/>
            </w:r>
            <w:r w:rsidR="004165AE">
              <w:rPr>
                <w:noProof/>
                <w:webHidden/>
              </w:rPr>
              <w:fldChar w:fldCharType="begin"/>
            </w:r>
            <w:r w:rsidR="004165AE">
              <w:rPr>
                <w:noProof/>
                <w:webHidden/>
              </w:rPr>
              <w:instrText xml:space="preserve"> PAGEREF _Toc92192114 \h </w:instrText>
            </w:r>
            <w:r w:rsidR="004165AE">
              <w:rPr>
                <w:noProof/>
                <w:webHidden/>
              </w:rPr>
            </w:r>
            <w:r w:rsidR="004165AE">
              <w:rPr>
                <w:noProof/>
                <w:webHidden/>
              </w:rPr>
              <w:fldChar w:fldCharType="separate"/>
            </w:r>
            <w:r w:rsidR="004165AE">
              <w:rPr>
                <w:noProof/>
                <w:webHidden/>
              </w:rPr>
              <w:t>7</w:t>
            </w:r>
            <w:r w:rsidR="004165AE">
              <w:rPr>
                <w:noProof/>
                <w:webHidden/>
              </w:rPr>
              <w:fldChar w:fldCharType="end"/>
            </w:r>
          </w:hyperlink>
        </w:p>
        <w:p w:rsidR="004165AE" w:rsidRDefault="00924DD2" w14:paraId="74B5B6D3" w14:textId="478C3F7D">
          <w:pPr>
            <w:pStyle w:val="TOC3"/>
            <w:tabs>
              <w:tab w:val="right" w:leader="dot" w:pos="9350"/>
            </w:tabs>
            <w:rPr>
              <w:rFonts w:cstheme="minorBidi"/>
              <w:noProof/>
            </w:rPr>
          </w:pPr>
          <w:hyperlink w:history="1" w:anchor="_Toc92192115">
            <w:r w:rsidRPr="002642F5" w:rsidR="004165AE">
              <w:rPr>
                <w:rStyle w:val="Hyperlink"/>
                <w:noProof/>
              </w:rPr>
              <w:t>3.2.1. Trainings</w:t>
            </w:r>
            <w:r w:rsidR="004165AE">
              <w:rPr>
                <w:noProof/>
                <w:webHidden/>
              </w:rPr>
              <w:tab/>
            </w:r>
            <w:r w:rsidR="004165AE">
              <w:rPr>
                <w:noProof/>
                <w:webHidden/>
              </w:rPr>
              <w:fldChar w:fldCharType="begin"/>
            </w:r>
            <w:r w:rsidR="004165AE">
              <w:rPr>
                <w:noProof/>
                <w:webHidden/>
              </w:rPr>
              <w:instrText xml:space="preserve"> PAGEREF _Toc92192115 \h </w:instrText>
            </w:r>
            <w:r w:rsidR="004165AE">
              <w:rPr>
                <w:noProof/>
                <w:webHidden/>
              </w:rPr>
            </w:r>
            <w:r w:rsidR="004165AE">
              <w:rPr>
                <w:noProof/>
                <w:webHidden/>
              </w:rPr>
              <w:fldChar w:fldCharType="separate"/>
            </w:r>
            <w:r w:rsidR="004165AE">
              <w:rPr>
                <w:noProof/>
                <w:webHidden/>
              </w:rPr>
              <w:t>7</w:t>
            </w:r>
            <w:r w:rsidR="004165AE">
              <w:rPr>
                <w:noProof/>
                <w:webHidden/>
              </w:rPr>
              <w:fldChar w:fldCharType="end"/>
            </w:r>
          </w:hyperlink>
        </w:p>
        <w:p w:rsidR="004165AE" w:rsidRDefault="00924DD2" w14:paraId="7A33A014" w14:textId="64552E3D">
          <w:pPr>
            <w:pStyle w:val="TOC3"/>
            <w:tabs>
              <w:tab w:val="right" w:leader="dot" w:pos="9350"/>
            </w:tabs>
            <w:rPr>
              <w:rFonts w:cstheme="minorBidi"/>
              <w:noProof/>
            </w:rPr>
          </w:pPr>
          <w:hyperlink w:history="1" w:anchor="_Toc92192116">
            <w:r w:rsidRPr="002642F5" w:rsidR="004165AE">
              <w:rPr>
                <w:rStyle w:val="Hyperlink"/>
                <w:noProof/>
              </w:rPr>
              <w:t>3.2.2. Data access (including REDCap)</w:t>
            </w:r>
            <w:r w:rsidR="004165AE">
              <w:rPr>
                <w:noProof/>
                <w:webHidden/>
              </w:rPr>
              <w:tab/>
            </w:r>
            <w:r w:rsidR="004165AE">
              <w:rPr>
                <w:noProof/>
                <w:webHidden/>
              </w:rPr>
              <w:fldChar w:fldCharType="begin"/>
            </w:r>
            <w:r w:rsidR="004165AE">
              <w:rPr>
                <w:noProof/>
                <w:webHidden/>
              </w:rPr>
              <w:instrText xml:space="preserve"> PAGEREF _Toc92192116 \h </w:instrText>
            </w:r>
            <w:r w:rsidR="004165AE">
              <w:rPr>
                <w:noProof/>
                <w:webHidden/>
              </w:rPr>
            </w:r>
            <w:r w:rsidR="004165AE">
              <w:rPr>
                <w:noProof/>
                <w:webHidden/>
              </w:rPr>
              <w:fldChar w:fldCharType="separate"/>
            </w:r>
            <w:r w:rsidR="004165AE">
              <w:rPr>
                <w:noProof/>
                <w:webHidden/>
              </w:rPr>
              <w:t>7</w:t>
            </w:r>
            <w:r w:rsidR="004165AE">
              <w:rPr>
                <w:noProof/>
                <w:webHidden/>
              </w:rPr>
              <w:fldChar w:fldCharType="end"/>
            </w:r>
          </w:hyperlink>
        </w:p>
        <w:p w:rsidR="004165AE" w:rsidRDefault="00924DD2" w14:paraId="299120F8" w14:textId="29E59D2C">
          <w:pPr>
            <w:pStyle w:val="TOC2"/>
            <w:tabs>
              <w:tab w:val="right" w:leader="dot" w:pos="9350"/>
            </w:tabs>
            <w:rPr>
              <w:rFonts w:cstheme="minorBidi"/>
              <w:noProof/>
            </w:rPr>
          </w:pPr>
          <w:hyperlink w:history="1" w:anchor="_Toc92192117">
            <w:r w:rsidRPr="002642F5" w:rsidR="004165AE">
              <w:rPr>
                <w:rStyle w:val="Hyperlink"/>
                <w:noProof/>
              </w:rPr>
              <w:t>3.3. Continuous maintenance of staff</w:t>
            </w:r>
            <w:r w:rsidR="004165AE">
              <w:rPr>
                <w:noProof/>
                <w:webHidden/>
              </w:rPr>
              <w:tab/>
            </w:r>
            <w:r w:rsidR="004165AE">
              <w:rPr>
                <w:noProof/>
                <w:webHidden/>
              </w:rPr>
              <w:fldChar w:fldCharType="begin"/>
            </w:r>
            <w:r w:rsidR="004165AE">
              <w:rPr>
                <w:noProof/>
                <w:webHidden/>
              </w:rPr>
              <w:instrText xml:space="preserve"> PAGEREF _Toc92192117 \h </w:instrText>
            </w:r>
            <w:r w:rsidR="004165AE">
              <w:rPr>
                <w:noProof/>
                <w:webHidden/>
              </w:rPr>
            </w:r>
            <w:r w:rsidR="004165AE">
              <w:rPr>
                <w:noProof/>
                <w:webHidden/>
              </w:rPr>
              <w:fldChar w:fldCharType="separate"/>
            </w:r>
            <w:r w:rsidR="004165AE">
              <w:rPr>
                <w:noProof/>
                <w:webHidden/>
              </w:rPr>
              <w:t>7</w:t>
            </w:r>
            <w:r w:rsidR="004165AE">
              <w:rPr>
                <w:noProof/>
                <w:webHidden/>
              </w:rPr>
              <w:fldChar w:fldCharType="end"/>
            </w:r>
          </w:hyperlink>
        </w:p>
        <w:p w:rsidR="004165AE" w:rsidRDefault="00924DD2" w14:paraId="3FAA8DC1" w14:textId="3761DF90">
          <w:pPr>
            <w:pStyle w:val="TOC1"/>
            <w:tabs>
              <w:tab w:val="right" w:leader="dot" w:pos="9350"/>
            </w:tabs>
            <w:rPr>
              <w:rFonts w:eastAsiaTheme="minorEastAsia"/>
              <w:noProof/>
            </w:rPr>
          </w:pPr>
          <w:hyperlink w:history="1" w:anchor="_Toc92192118">
            <w:r w:rsidRPr="002642F5" w:rsidR="004165AE">
              <w:rPr>
                <w:rStyle w:val="Hyperlink"/>
                <w:noProof/>
              </w:rPr>
              <w:t>4.0. Study Protocol</w:t>
            </w:r>
            <w:r w:rsidR="004165AE">
              <w:rPr>
                <w:noProof/>
                <w:webHidden/>
              </w:rPr>
              <w:tab/>
            </w:r>
            <w:r w:rsidR="004165AE">
              <w:rPr>
                <w:noProof/>
                <w:webHidden/>
              </w:rPr>
              <w:fldChar w:fldCharType="begin"/>
            </w:r>
            <w:r w:rsidR="004165AE">
              <w:rPr>
                <w:noProof/>
                <w:webHidden/>
              </w:rPr>
              <w:instrText xml:space="preserve"> PAGEREF _Toc92192118 \h </w:instrText>
            </w:r>
            <w:r w:rsidR="004165AE">
              <w:rPr>
                <w:noProof/>
                <w:webHidden/>
              </w:rPr>
            </w:r>
            <w:r w:rsidR="004165AE">
              <w:rPr>
                <w:noProof/>
                <w:webHidden/>
              </w:rPr>
              <w:fldChar w:fldCharType="separate"/>
            </w:r>
            <w:r w:rsidR="004165AE">
              <w:rPr>
                <w:noProof/>
                <w:webHidden/>
              </w:rPr>
              <w:t>8</w:t>
            </w:r>
            <w:r w:rsidR="004165AE">
              <w:rPr>
                <w:noProof/>
                <w:webHidden/>
              </w:rPr>
              <w:fldChar w:fldCharType="end"/>
            </w:r>
          </w:hyperlink>
        </w:p>
        <w:p w:rsidR="004165AE" w:rsidRDefault="00924DD2" w14:paraId="0D0CFFC8" w14:textId="5852F35A">
          <w:pPr>
            <w:pStyle w:val="TOC2"/>
            <w:tabs>
              <w:tab w:val="right" w:leader="dot" w:pos="9350"/>
            </w:tabs>
            <w:rPr>
              <w:rFonts w:cstheme="minorBidi"/>
              <w:noProof/>
            </w:rPr>
          </w:pPr>
          <w:hyperlink w:history="1" w:anchor="_Toc92192119">
            <w:r w:rsidRPr="002642F5" w:rsidR="004165AE">
              <w:rPr>
                <w:rStyle w:val="Hyperlink"/>
                <w:noProof/>
              </w:rPr>
              <w:t>4.1. IRB Submission</w:t>
            </w:r>
            <w:r w:rsidR="004165AE">
              <w:rPr>
                <w:noProof/>
                <w:webHidden/>
              </w:rPr>
              <w:tab/>
            </w:r>
            <w:r w:rsidR="004165AE">
              <w:rPr>
                <w:noProof/>
                <w:webHidden/>
              </w:rPr>
              <w:fldChar w:fldCharType="begin"/>
            </w:r>
            <w:r w:rsidR="004165AE">
              <w:rPr>
                <w:noProof/>
                <w:webHidden/>
              </w:rPr>
              <w:instrText xml:space="preserve"> PAGEREF _Toc92192119 \h </w:instrText>
            </w:r>
            <w:r w:rsidR="004165AE">
              <w:rPr>
                <w:noProof/>
                <w:webHidden/>
              </w:rPr>
            </w:r>
            <w:r w:rsidR="004165AE">
              <w:rPr>
                <w:noProof/>
                <w:webHidden/>
              </w:rPr>
              <w:fldChar w:fldCharType="separate"/>
            </w:r>
            <w:r w:rsidR="004165AE">
              <w:rPr>
                <w:noProof/>
                <w:webHidden/>
              </w:rPr>
              <w:t>9</w:t>
            </w:r>
            <w:r w:rsidR="004165AE">
              <w:rPr>
                <w:noProof/>
                <w:webHidden/>
              </w:rPr>
              <w:fldChar w:fldCharType="end"/>
            </w:r>
          </w:hyperlink>
        </w:p>
        <w:p w:rsidR="004165AE" w:rsidRDefault="00924DD2" w14:paraId="46BD46E4" w14:textId="12CBA85C">
          <w:pPr>
            <w:pStyle w:val="TOC2"/>
            <w:tabs>
              <w:tab w:val="right" w:leader="dot" w:pos="9350"/>
            </w:tabs>
            <w:rPr>
              <w:rFonts w:cstheme="minorBidi"/>
              <w:noProof/>
            </w:rPr>
          </w:pPr>
          <w:hyperlink w:history="1" w:anchor="_Toc92192120">
            <w:r w:rsidRPr="002642F5" w:rsidR="004165AE">
              <w:rPr>
                <w:rStyle w:val="Hyperlink"/>
                <w:noProof/>
              </w:rPr>
              <w:t>4.2. OMB Submission</w:t>
            </w:r>
            <w:r w:rsidR="004165AE">
              <w:rPr>
                <w:noProof/>
                <w:webHidden/>
              </w:rPr>
              <w:tab/>
            </w:r>
            <w:r w:rsidR="004165AE">
              <w:rPr>
                <w:noProof/>
                <w:webHidden/>
              </w:rPr>
              <w:fldChar w:fldCharType="begin"/>
            </w:r>
            <w:r w:rsidR="004165AE">
              <w:rPr>
                <w:noProof/>
                <w:webHidden/>
              </w:rPr>
              <w:instrText xml:space="preserve"> PAGEREF _Toc92192120 \h </w:instrText>
            </w:r>
            <w:r w:rsidR="004165AE">
              <w:rPr>
                <w:noProof/>
                <w:webHidden/>
              </w:rPr>
            </w:r>
            <w:r w:rsidR="004165AE">
              <w:rPr>
                <w:noProof/>
                <w:webHidden/>
              </w:rPr>
              <w:fldChar w:fldCharType="separate"/>
            </w:r>
            <w:r w:rsidR="004165AE">
              <w:rPr>
                <w:noProof/>
                <w:webHidden/>
              </w:rPr>
              <w:t>9</w:t>
            </w:r>
            <w:r w:rsidR="004165AE">
              <w:rPr>
                <w:noProof/>
                <w:webHidden/>
              </w:rPr>
              <w:fldChar w:fldCharType="end"/>
            </w:r>
          </w:hyperlink>
        </w:p>
        <w:p w:rsidR="004165AE" w:rsidRDefault="00924DD2" w14:paraId="66556B3F" w14:textId="0638B575">
          <w:pPr>
            <w:pStyle w:val="TOC2"/>
            <w:tabs>
              <w:tab w:val="right" w:leader="dot" w:pos="9350"/>
            </w:tabs>
            <w:rPr>
              <w:rFonts w:cstheme="minorBidi"/>
              <w:noProof/>
            </w:rPr>
          </w:pPr>
          <w:hyperlink w:history="1" w:anchor="_Toc92192121">
            <w:r w:rsidRPr="002642F5" w:rsidR="004165AE">
              <w:rPr>
                <w:rStyle w:val="Hyperlink"/>
                <w:noProof/>
              </w:rPr>
              <w:t>4.3. Public Access to Data and to Data Management Plan</w:t>
            </w:r>
            <w:r w:rsidR="004165AE">
              <w:rPr>
                <w:noProof/>
                <w:webHidden/>
              </w:rPr>
              <w:tab/>
            </w:r>
            <w:r w:rsidR="004165AE">
              <w:rPr>
                <w:noProof/>
                <w:webHidden/>
              </w:rPr>
              <w:fldChar w:fldCharType="begin"/>
            </w:r>
            <w:r w:rsidR="004165AE">
              <w:rPr>
                <w:noProof/>
                <w:webHidden/>
              </w:rPr>
              <w:instrText xml:space="preserve"> PAGEREF _Toc92192121 \h </w:instrText>
            </w:r>
            <w:r w:rsidR="004165AE">
              <w:rPr>
                <w:noProof/>
                <w:webHidden/>
              </w:rPr>
            </w:r>
            <w:r w:rsidR="004165AE">
              <w:rPr>
                <w:noProof/>
                <w:webHidden/>
              </w:rPr>
              <w:fldChar w:fldCharType="separate"/>
            </w:r>
            <w:r w:rsidR="004165AE">
              <w:rPr>
                <w:noProof/>
                <w:webHidden/>
              </w:rPr>
              <w:t>9</w:t>
            </w:r>
            <w:r w:rsidR="004165AE">
              <w:rPr>
                <w:noProof/>
                <w:webHidden/>
              </w:rPr>
              <w:fldChar w:fldCharType="end"/>
            </w:r>
          </w:hyperlink>
        </w:p>
        <w:p w:rsidR="004165AE" w:rsidRDefault="00924DD2" w14:paraId="76004898" w14:textId="1A792E5A">
          <w:pPr>
            <w:pStyle w:val="TOC1"/>
            <w:tabs>
              <w:tab w:val="right" w:leader="dot" w:pos="9350"/>
            </w:tabs>
            <w:rPr>
              <w:rFonts w:eastAsiaTheme="minorEastAsia"/>
              <w:noProof/>
            </w:rPr>
          </w:pPr>
          <w:hyperlink w:history="1" w:anchor="_Toc92192122">
            <w:r w:rsidRPr="002642F5" w:rsidR="004165AE">
              <w:rPr>
                <w:rStyle w:val="Hyperlink"/>
                <w:noProof/>
              </w:rPr>
              <w:t>5.0. Recruitment</w:t>
            </w:r>
            <w:r w:rsidR="004165AE">
              <w:rPr>
                <w:noProof/>
                <w:webHidden/>
              </w:rPr>
              <w:tab/>
            </w:r>
            <w:r w:rsidR="004165AE">
              <w:rPr>
                <w:noProof/>
                <w:webHidden/>
              </w:rPr>
              <w:fldChar w:fldCharType="begin"/>
            </w:r>
            <w:r w:rsidR="004165AE">
              <w:rPr>
                <w:noProof/>
                <w:webHidden/>
              </w:rPr>
              <w:instrText xml:space="preserve"> PAGEREF _Toc92192122 \h </w:instrText>
            </w:r>
            <w:r w:rsidR="004165AE">
              <w:rPr>
                <w:noProof/>
                <w:webHidden/>
              </w:rPr>
            </w:r>
            <w:r w:rsidR="004165AE">
              <w:rPr>
                <w:noProof/>
                <w:webHidden/>
              </w:rPr>
              <w:fldChar w:fldCharType="separate"/>
            </w:r>
            <w:r w:rsidR="004165AE">
              <w:rPr>
                <w:noProof/>
                <w:webHidden/>
              </w:rPr>
              <w:t>9</w:t>
            </w:r>
            <w:r w:rsidR="004165AE">
              <w:rPr>
                <w:noProof/>
                <w:webHidden/>
              </w:rPr>
              <w:fldChar w:fldCharType="end"/>
            </w:r>
          </w:hyperlink>
        </w:p>
        <w:p w:rsidR="004165AE" w:rsidRDefault="00924DD2" w14:paraId="03EDE0F7" w14:textId="377553F0">
          <w:pPr>
            <w:pStyle w:val="TOC2"/>
            <w:tabs>
              <w:tab w:val="right" w:leader="dot" w:pos="9350"/>
            </w:tabs>
            <w:rPr>
              <w:rFonts w:cstheme="minorBidi"/>
              <w:noProof/>
            </w:rPr>
          </w:pPr>
          <w:hyperlink w:history="1" w:anchor="_Toc92192123">
            <w:r w:rsidRPr="002642F5" w:rsidR="004165AE">
              <w:rPr>
                <w:rStyle w:val="Hyperlink"/>
                <w:noProof/>
              </w:rPr>
              <w:t>5.1. Communications Plan (notification of study)</w:t>
            </w:r>
            <w:r w:rsidR="004165AE">
              <w:rPr>
                <w:noProof/>
                <w:webHidden/>
              </w:rPr>
              <w:tab/>
            </w:r>
            <w:r w:rsidR="004165AE">
              <w:rPr>
                <w:noProof/>
                <w:webHidden/>
              </w:rPr>
              <w:fldChar w:fldCharType="begin"/>
            </w:r>
            <w:r w:rsidR="004165AE">
              <w:rPr>
                <w:noProof/>
                <w:webHidden/>
              </w:rPr>
              <w:instrText xml:space="preserve"> PAGEREF _Toc92192123 \h </w:instrText>
            </w:r>
            <w:r w:rsidR="004165AE">
              <w:rPr>
                <w:noProof/>
                <w:webHidden/>
              </w:rPr>
            </w:r>
            <w:r w:rsidR="004165AE">
              <w:rPr>
                <w:noProof/>
                <w:webHidden/>
              </w:rPr>
              <w:fldChar w:fldCharType="separate"/>
            </w:r>
            <w:r w:rsidR="004165AE">
              <w:rPr>
                <w:noProof/>
                <w:webHidden/>
              </w:rPr>
              <w:t>9</w:t>
            </w:r>
            <w:r w:rsidR="004165AE">
              <w:rPr>
                <w:noProof/>
                <w:webHidden/>
              </w:rPr>
              <w:fldChar w:fldCharType="end"/>
            </w:r>
          </w:hyperlink>
        </w:p>
        <w:p w:rsidR="004165AE" w:rsidRDefault="00924DD2" w14:paraId="57DC0D04" w14:textId="79F1843E">
          <w:pPr>
            <w:pStyle w:val="TOC2"/>
            <w:tabs>
              <w:tab w:val="right" w:leader="dot" w:pos="9350"/>
            </w:tabs>
            <w:rPr>
              <w:rFonts w:cstheme="minorBidi"/>
              <w:noProof/>
            </w:rPr>
          </w:pPr>
          <w:hyperlink w:history="1" w:anchor="_Toc92192124">
            <w:r w:rsidRPr="002642F5" w:rsidR="004165AE">
              <w:rPr>
                <w:rStyle w:val="Hyperlink"/>
                <w:noProof/>
              </w:rPr>
              <w:t>5.2. Invitation Letter and Informed Consent package</w:t>
            </w:r>
            <w:r w:rsidR="004165AE">
              <w:rPr>
                <w:noProof/>
                <w:webHidden/>
              </w:rPr>
              <w:tab/>
            </w:r>
            <w:r w:rsidR="004165AE">
              <w:rPr>
                <w:noProof/>
                <w:webHidden/>
              </w:rPr>
              <w:fldChar w:fldCharType="begin"/>
            </w:r>
            <w:r w:rsidR="004165AE">
              <w:rPr>
                <w:noProof/>
                <w:webHidden/>
              </w:rPr>
              <w:instrText xml:space="preserve"> PAGEREF _Toc92192124 \h </w:instrText>
            </w:r>
            <w:r w:rsidR="004165AE">
              <w:rPr>
                <w:noProof/>
                <w:webHidden/>
              </w:rPr>
            </w:r>
            <w:r w:rsidR="004165AE">
              <w:rPr>
                <w:noProof/>
                <w:webHidden/>
              </w:rPr>
              <w:fldChar w:fldCharType="separate"/>
            </w:r>
            <w:r w:rsidR="004165AE">
              <w:rPr>
                <w:noProof/>
                <w:webHidden/>
              </w:rPr>
              <w:t>10</w:t>
            </w:r>
            <w:r w:rsidR="004165AE">
              <w:rPr>
                <w:noProof/>
                <w:webHidden/>
              </w:rPr>
              <w:fldChar w:fldCharType="end"/>
            </w:r>
          </w:hyperlink>
        </w:p>
        <w:p w:rsidR="004165AE" w:rsidRDefault="00924DD2" w14:paraId="2FEC2F84" w14:textId="013E5CBE">
          <w:pPr>
            <w:pStyle w:val="TOC1"/>
            <w:tabs>
              <w:tab w:val="right" w:leader="dot" w:pos="9350"/>
            </w:tabs>
            <w:rPr>
              <w:rFonts w:eastAsiaTheme="minorEastAsia"/>
              <w:noProof/>
            </w:rPr>
          </w:pPr>
          <w:hyperlink w:history="1" w:anchor="_Toc92192125">
            <w:r w:rsidRPr="002642F5" w:rsidR="004165AE">
              <w:rPr>
                <w:rStyle w:val="Hyperlink"/>
                <w:noProof/>
              </w:rPr>
              <w:t>6.0. Study Implementation</w:t>
            </w:r>
            <w:r w:rsidR="004165AE">
              <w:rPr>
                <w:noProof/>
                <w:webHidden/>
              </w:rPr>
              <w:tab/>
            </w:r>
            <w:r w:rsidR="004165AE">
              <w:rPr>
                <w:noProof/>
                <w:webHidden/>
              </w:rPr>
              <w:fldChar w:fldCharType="begin"/>
            </w:r>
            <w:r w:rsidR="004165AE">
              <w:rPr>
                <w:noProof/>
                <w:webHidden/>
              </w:rPr>
              <w:instrText xml:space="preserve"> PAGEREF _Toc92192125 \h </w:instrText>
            </w:r>
            <w:r w:rsidR="004165AE">
              <w:rPr>
                <w:noProof/>
                <w:webHidden/>
              </w:rPr>
            </w:r>
            <w:r w:rsidR="004165AE">
              <w:rPr>
                <w:noProof/>
                <w:webHidden/>
              </w:rPr>
              <w:fldChar w:fldCharType="separate"/>
            </w:r>
            <w:r w:rsidR="004165AE">
              <w:rPr>
                <w:noProof/>
                <w:webHidden/>
              </w:rPr>
              <w:t>10</w:t>
            </w:r>
            <w:r w:rsidR="004165AE">
              <w:rPr>
                <w:noProof/>
                <w:webHidden/>
              </w:rPr>
              <w:fldChar w:fldCharType="end"/>
            </w:r>
          </w:hyperlink>
        </w:p>
        <w:p w:rsidR="004165AE" w:rsidRDefault="00924DD2" w14:paraId="12E7A55C" w14:textId="19CC0AA2">
          <w:pPr>
            <w:pStyle w:val="TOC2"/>
            <w:tabs>
              <w:tab w:val="right" w:leader="dot" w:pos="9350"/>
            </w:tabs>
            <w:rPr>
              <w:rFonts w:cstheme="minorBidi"/>
              <w:noProof/>
            </w:rPr>
          </w:pPr>
          <w:hyperlink w:history="1" w:anchor="_Toc92192126">
            <w:r w:rsidRPr="002642F5" w:rsidR="004165AE">
              <w:rPr>
                <w:rStyle w:val="Hyperlink"/>
                <w:noProof/>
              </w:rPr>
              <w:t>6.1. Surveys</w:t>
            </w:r>
            <w:r w:rsidR="004165AE">
              <w:rPr>
                <w:noProof/>
                <w:webHidden/>
              </w:rPr>
              <w:tab/>
            </w:r>
            <w:r w:rsidR="004165AE">
              <w:rPr>
                <w:noProof/>
                <w:webHidden/>
              </w:rPr>
              <w:fldChar w:fldCharType="begin"/>
            </w:r>
            <w:r w:rsidR="004165AE">
              <w:rPr>
                <w:noProof/>
                <w:webHidden/>
              </w:rPr>
              <w:instrText xml:space="preserve"> PAGEREF _Toc92192126 \h </w:instrText>
            </w:r>
            <w:r w:rsidR="004165AE">
              <w:rPr>
                <w:noProof/>
                <w:webHidden/>
              </w:rPr>
            </w:r>
            <w:r w:rsidR="004165AE">
              <w:rPr>
                <w:noProof/>
                <w:webHidden/>
              </w:rPr>
              <w:fldChar w:fldCharType="separate"/>
            </w:r>
            <w:r w:rsidR="004165AE">
              <w:rPr>
                <w:noProof/>
                <w:webHidden/>
              </w:rPr>
              <w:t>10</w:t>
            </w:r>
            <w:r w:rsidR="004165AE">
              <w:rPr>
                <w:noProof/>
                <w:webHidden/>
              </w:rPr>
              <w:fldChar w:fldCharType="end"/>
            </w:r>
          </w:hyperlink>
        </w:p>
        <w:p w:rsidR="004165AE" w:rsidRDefault="00924DD2" w14:paraId="5BBF7C0F" w14:textId="178F6B27">
          <w:pPr>
            <w:pStyle w:val="TOC2"/>
            <w:tabs>
              <w:tab w:val="right" w:leader="dot" w:pos="9350"/>
            </w:tabs>
            <w:rPr>
              <w:rFonts w:cstheme="minorBidi"/>
              <w:noProof/>
            </w:rPr>
          </w:pPr>
          <w:hyperlink w:history="1" w:anchor="_Toc92192127">
            <w:r w:rsidRPr="002642F5" w:rsidR="004165AE">
              <w:rPr>
                <w:rStyle w:val="Hyperlink"/>
                <w:noProof/>
              </w:rPr>
              <w:t>6.2. Reminders to participants</w:t>
            </w:r>
            <w:r w:rsidR="004165AE">
              <w:rPr>
                <w:noProof/>
                <w:webHidden/>
              </w:rPr>
              <w:tab/>
            </w:r>
            <w:r w:rsidR="004165AE">
              <w:rPr>
                <w:noProof/>
                <w:webHidden/>
              </w:rPr>
              <w:fldChar w:fldCharType="begin"/>
            </w:r>
            <w:r w:rsidR="004165AE">
              <w:rPr>
                <w:noProof/>
                <w:webHidden/>
              </w:rPr>
              <w:instrText xml:space="preserve"> PAGEREF _Toc92192127 \h </w:instrText>
            </w:r>
            <w:r w:rsidR="004165AE">
              <w:rPr>
                <w:noProof/>
                <w:webHidden/>
              </w:rPr>
            </w:r>
            <w:r w:rsidR="004165AE">
              <w:rPr>
                <w:noProof/>
                <w:webHidden/>
              </w:rPr>
              <w:fldChar w:fldCharType="separate"/>
            </w:r>
            <w:r w:rsidR="004165AE">
              <w:rPr>
                <w:noProof/>
                <w:webHidden/>
              </w:rPr>
              <w:t>11</w:t>
            </w:r>
            <w:r w:rsidR="004165AE">
              <w:rPr>
                <w:noProof/>
                <w:webHidden/>
              </w:rPr>
              <w:fldChar w:fldCharType="end"/>
            </w:r>
          </w:hyperlink>
        </w:p>
        <w:p w:rsidR="004165AE" w:rsidRDefault="00924DD2" w14:paraId="5C0729C8" w14:textId="5DC33A18">
          <w:pPr>
            <w:pStyle w:val="TOC2"/>
            <w:tabs>
              <w:tab w:val="right" w:leader="dot" w:pos="9350"/>
            </w:tabs>
            <w:rPr>
              <w:rFonts w:cstheme="minorBidi"/>
              <w:noProof/>
            </w:rPr>
          </w:pPr>
          <w:hyperlink w:history="1" w:anchor="_Toc92192128">
            <w:r w:rsidRPr="002642F5" w:rsidR="004165AE">
              <w:rPr>
                <w:rStyle w:val="Hyperlink"/>
                <w:noProof/>
              </w:rPr>
              <w:t>6.3. Results of Study to participants</w:t>
            </w:r>
            <w:r w:rsidR="004165AE">
              <w:rPr>
                <w:noProof/>
                <w:webHidden/>
              </w:rPr>
              <w:tab/>
            </w:r>
            <w:r w:rsidR="004165AE">
              <w:rPr>
                <w:noProof/>
                <w:webHidden/>
              </w:rPr>
              <w:fldChar w:fldCharType="begin"/>
            </w:r>
            <w:r w:rsidR="004165AE">
              <w:rPr>
                <w:noProof/>
                <w:webHidden/>
              </w:rPr>
              <w:instrText xml:space="preserve"> PAGEREF _Toc92192128 \h </w:instrText>
            </w:r>
            <w:r w:rsidR="004165AE">
              <w:rPr>
                <w:noProof/>
                <w:webHidden/>
              </w:rPr>
            </w:r>
            <w:r w:rsidR="004165AE">
              <w:rPr>
                <w:noProof/>
                <w:webHidden/>
              </w:rPr>
              <w:fldChar w:fldCharType="separate"/>
            </w:r>
            <w:r w:rsidR="004165AE">
              <w:rPr>
                <w:noProof/>
                <w:webHidden/>
              </w:rPr>
              <w:t>11</w:t>
            </w:r>
            <w:r w:rsidR="004165AE">
              <w:rPr>
                <w:noProof/>
                <w:webHidden/>
              </w:rPr>
              <w:fldChar w:fldCharType="end"/>
            </w:r>
          </w:hyperlink>
        </w:p>
        <w:p w:rsidR="004165AE" w:rsidRDefault="00924DD2" w14:paraId="19DAD1CC" w14:textId="1724AF7A">
          <w:pPr>
            <w:pStyle w:val="TOC1"/>
            <w:tabs>
              <w:tab w:val="right" w:leader="dot" w:pos="9350"/>
            </w:tabs>
            <w:rPr>
              <w:rFonts w:eastAsiaTheme="minorEastAsia"/>
              <w:noProof/>
            </w:rPr>
          </w:pPr>
          <w:hyperlink w:history="1" w:anchor="_Toc92192129">
            <w:r w:rsidRPr="002642F5" w:rsidR="004165AE">
              <w:rPr>
                <w:rStyle w:val="Hyperlink"/>
                <w:noProof/>
              </w:rPr>
              <w:t>7.0. Data Management and Security</w:t>
            </w:r>
            <w:r w:rsidR="004165AE">
              <w:rPr>
                <w:noProof/>
                <w:webHidden/>
              </w:rPr>
              <w:tab/>
            </w:r>
            <w:r w:rsidR="004165AE">
              <w:rPr>
                <w:noProof/>
                <w:webHidden/>
              </w:rPr>
              <w:fldChar w:fldCharType="begin"/>
            </w:r>
            <w:r w:rsidR="004165AE">
              <w:rPr>
                <w:noProof/>
                <w:webHidden/>
              </w:rPr>
              <w:instrText xml:space="preserve"> PAGEREF _Toc92192129 \h </w:instrText>
            </w:r>
            <w:r w:rsidR="004165AE">
              <w:rPr>
                <w:noProof/>
                <w:webHidden/>
              </w:rPr>
            </w:r>
            <w:r w:rsidR="004165AE">
              <w:rPr>
                <w:noProof/>
                <w:webHidden/>
              </w:rPr>
              <w:fldChar w:fldCharType="separate"/>
            </w:r>
            <w:r w:rsidR="004165AE">
              <w:rPr>
                <w:noProof/>
                <w:webHidden/>
              </w:rPr>
              <w:t>11</w:t>
            </w:r>
            <w:r w:rsidR="004165AE">
              <w:rPr>
                <w:noProof/>
                <w:webHidden/>
              </w:rPr>
              <w:fldChar w:fldCharType="end"/>
            </w:r>
          </w:hyperlink>
        </w:p>
        <w:p w:rsidR="004165AE" w:rsidRDefault="00924DD2" w14:paraId="7AAF4769" w14:textId="3E25E19A">
          <w:pPr>
            <w:pStyle w:val="TOC2"/>
            <w:tabs>
              <w:tab w:val="right" w:leader="dot" w:pos="9350"/>
            </w:tabs>
            <w:rPr>
              <w:rFonts w:cstheme="minorBidi"/>
              <w:noProof/>
            </w:rPr>
          </w:pPr>
          <w:hyperlink w:history="1" w:anchor="_Toc92192130">
            <w:r w:rsidRPr="002642F5" w:rsidR="004165AE">
              <w:rPr>
                <w:rStyle w:val="Hyperlink"/>
                <w:noProof/>
              </w:rPr>
              <w:t>7.1. Collections and management of data</w:t>
            </w:r>
            <w:r w:rsidR="004165AE">
              <w:rPr>
                <w:noProof/>
                <w:webHidden/>
              </w:rPr>
              <w:tab/>
            </w:r>
            <w:r w:rsidR="004165AE">
              <w:rPr>
                <w:noProof/>
                <w:webHidden/>
              </w:rPr>
              <w:fldChar w:fldCharType="begin"/>
            </w:r>
            <w:r w:rsidR="004165AE">
              <w:rPr>
                <w:noProof/>
                <w:webHidden/>
              </w:rPr>
              <w:instrText xml:space="preserve"> PAGEREF _Toc92192130 \h </w:instrText>
            </w:r>
            <w:r w:rsidR="004165AE">
              <w:rPr>
                <w:noProof/>
                <w:webHidden/>
              </w:rPr>
            </w:r>
            <w:r w:rsidR="004165AE">
              <w:rPr>
                <w:noProof/>
                <w:webHidden/>
              </w:rPr>
              <w:fldChar w:fldCharType="separate"/>
            </w:r>
            <w:r w:rsidR="004165AE">
              <w:rPr>
                <w:noProof/>
                <w:webHidden/>
              </w:rPr>
              <w:t>11</w:t>
            </w:r>
            <w:r w:rsidR="004165AE">
              <w:rPr>
                <w:noProof/>
                <w:webHidden/>
              </w:rPr>
              <w:fldChar w:fldCharType="end"/>
            </w:r>
          </w:hyperlink>
        </w:p>
        <w:p w:rsidR="004165AE" w:rsidRDefault="00924DD2" w14:paraId="31539236" w14:textId="68B277F7">
          <w:pPr>
            <w:pStyle w:val="TOC3"/>
            <w:tabs>
              <w:tab w:val="right" w:leader="dot" w:pos="9350"/>
            </w:tabs>
            <w:rPr>
              <w:rFonts w:cstheme="minorBidi"/>
              <w:noProof/>
            </w:rPr>
          </w:pPr>
          <w:hyperlink w:history="1" w:anchor="_Toc92192131">
            <w:r w:rsidRPr="002642F5" w:rsidR="004165AE">
              <w:rPr>
                <w:rStyle w:val="Hyperlink"/>
                <w:noProof/>
              </w:rPr>
              <w:t>7.1.1. Use and protection of personally identifiable information (PII)</w:t>
            </w:r>
            <w:r w:rsidR="004165AE">
              <w:rPr>
                <w:noProof/>
                <w:webHidden/>
              </w:rPr>
              <w:tab/>
            </w:r>
            <w:r w:rsidR="004165AE">
              <w:rPr>
                <w:noProof/>
                <w:webHidden/>
              </w:rPr>
              <w:fldChar w:fldCharType="begin"/>
            </w:r>
            <w:r w:rsidR="004165AE">
              <w:rPr>
                <w:noProof/>
                <w:webHidden/>
              </w:rPr>
              <w:instrText xml:space="preserve"> PAGEREF _Toc92192131 \h </w:instrText>
            </w:r>
            <w:r w:rsidR="004165AE">
              <w:rPr>
                <w:noProof/>
                <w:webHidden/>
              </w:rPr>
            </w:r>
            <w:r w:rsidR="004165AE">
              <w:rPr>
                <w:noProof/>
                <w:webHidden/>
              </w:rPr>
              <w:fldChar w:fldCharType="separate"/>
            </w:r>
            <w:r w:rsidR="004165AE">
              <w:rPr>
                <w:noProof/>
                <w:webHidden/>
              </w:rPr>
              <w:t>11</w:t>
            </w:r>
            <w:r w:rsidR="004165AE">
              <w:rPr>
                <w:noProof/>
                <w:webHidden/>
              </w:rPr>
              <w:fldChar w:fldCharType="end"/>
            </w:r>
          </w:hyperlink>
        </w:p>
        <w:p w:rsidR="004165AE" w:rsidRDefault="00924DD2" w14:paraId="6E1D0040" w14:textId="598FE905">
          <w:pPr>
            <w:pStyle w:val="TOC3"/>
            <w:tabs>
              <w:tab w:val="right" w:leader="dot" w:pos="9350"/>
            </w:tabs>
            <w:rPr>
              <w:rFonts w:cstheme="minorBidi"/>
              <w:noProof/>
            </w:rPr>
          </w:pPr>
          <w:hyperlink w:history="1" w:anchor="_Toc92192132">
            <w:r w:rsidRPr="002642F5" w:rsidR="004165AE">
              <w:rPr>
                <w:rStyle w:val="Hyperlink"/>
                <w:noProof/>
              </w:rPr>
              <w:t>7.1.2. Data delivery and flow</w:t>
            </w:r>
            <w:r w:rsidR="004165AE">
              <w:rPr>
                <w:noProof/>
                <w:webHidden/>
              </w:rPr>
              <w:tab/>
            </w:r>
            <w:r w:rsidR="004165AE">
              <w:rPr>
                <w:noProof/>
                <w:webHidden/>
              </w:rPr>
              <w:fldChar w:fldCharType="begin"/>
            </w:r>
            <w:r w:rsidR="004165AE">
              <w:rPr>
                <w:noProof/>
                <w:webHidden/>
              </w:rPr>
              <w:instrText xml:space="preserve"> PAGEREF _Toc92192132 \h </w:instrText>
            </w:r>
            <w:r w:rsidR="004165AE">
              <w:rPr>
                <w:noProof/>
                <w:webHidden/>
              </w:rPr>
            </w:r>
            <w:r w:rsidR="004165AE">
              <w:rPr>
                <w:noProof/>
                <w:webHidden/>
              </w:rPr>
              <w:fldChar w:fldCharType="separate"/>
            </w:r>
            <w:r w:rsidR="004165AE">
              <w:rPr>
                <w:noProof/>
                <w:webHidden/>
              </w:rPr>
              <w:t>11</w:t>
            </w:r>
            <w:r w:rsidR="004165AE">
              <w:rPr>
                <w:noProof/>
                <w:webHidden/>
              </w:rPr>
              <w:fldChar w:fldCharType="end"/>
            </w:r>
          </w:hyperlink>
        </w:p>
        <w:p w:rsidR="004165AE" w:rsidRDefault="00924DD2" w14:paraId="699F80E6" w14:textId="2D1B6169">
          <w:pPr>
            <w:pStyle w:val="TOC3"/>
            <w:tabs>
              <w:tab w:val="right" w:leader="dot" w:pos="9350"/>
            </w:tabs>
            <w:rPr>
              <w:rFonts w:cstheme="minorBidi"/>
              <w:noProof/>
            </w:rPr>
          </w:pPr>
          <w:hyperlink w:history="1" w:anchor="_Toc92192133">
            <w:r w:rsidRPr="002642F5" w:rsidR="004165AE">
              <w:rPr>
                <w:rStyle w:val="Hyperlink"/>
                <w:noProof/>
              </w:rPr>
              <w:t>7.1.3. Data Quality Control Checks</w:t>
            </w:r>
            <w:r w:rsidR="004165AE">
              <w:rPr>
                <w:noProof/>
                <w:webHidden/>
              </w:rPr>
              <w:tab/>
            </w:r>
            <w:r w:rsidR="004165AE">
              <w:rPr>
                <w:noProof/>
                <w:webHidden/>
              </w:rPr>
              <w:fldChar w:fldCharType="begin"/>
            </w:r>
            <w:r w:rsidR="004165AE">
              <w:rPr>
                <w:noProof/>
                <w:webHidden/>
              </w:rPr>
              <w:instrText xml:space="preserve"> PAGEREF _Toc92192133 \h </w:instrText>
            </w:r>
            <w:r w:rsidR="004165AE">
              <w:rPr>
                <w:noProof/>
                <w:webHidden/>
              </w:rPr>
            </w:r>
            <w:r w:rsidR="004165AE">
              <w:rPr>
                <w:noProof/>
                <w:webHidden/>
              </w:rPr>
              <w:fldChar w:fldCharType="separate"/>
            </w:r>
            <w:r w:rsidR="004165AE">
              <w:rPr>
                <w:noProof/>
                <w:webHidden/>
              </w:rPr>
              <w:t>12</w:t>
            </w:r>
            <w:r w:rsidR="004165AE">
              <w:rPr>
                <w:noProof/>
                <w:webHidden/>
              </w:rPr>
              <w:fldChar w:fldCharType="end"/>
            </w:r>
          </w:hyperlink>
        </w:p>
        <w:p w:rsidR="004165AE" w:rsidRDefault="00924DD2" w14:paraId="2720D5E4" w14:textId="7FD683AA">
          <w:pPr>
            <w:pStyle w:val="TOC3"/>
            <w:tabs>
              <w:tab w:val="right" w:leader="dot" w:pos="9350"/>
            </w:tabs>
            <w:rPr>
              <w:rFonts w:cstheme="minorBidi"/>
              <w:noProof/>
            </w:rPr>
          </w:pPr>
          <w:hyperlink w:history="1" w:anchor="_Toc92192134">
            <w:r w:rsidRPr="002642F5" w:rsidR="004165AE">
              <w:rPr>
                <w:rStyle w:val="Hyperlink"/>
                <w:noProof/>
              </w:rPr>
              <w:t>7.1.4. Access Controls and Security</w:t>
            </w:r>
            <w:r w:rsidR="004165AE">
              <w:rPr>
                <w:noProof/>
                <w:webHidden/>
              </w:rPr>
              <w:tab/>
            </w:r>
            <w:r w:rsidR="004165AE">
              <w:rPr>
                <w:noProof/>
                <w:webHidden/>
              </w:rPr>
              <w:fldChar w:fldCharType="begin"/>
            </w:r>
            <w:r w:rsidR="004165AE">
              <w:rPr>
                <w:noProof/>
                <w:webHidden/>
              </w:rPr>
              <w:instrText xml:space="preserve"> PAGEREF _Toc92192134 \h </w:instrText>
            </w:r>
            <w:r w:rsidR="004165AE">
              <w:rPr>
                <w:noProof/>
                <w:webHidden/>
              </w:rPr>
            </w:r>
            <w:r w:rsidR="004165AE">
              <w:rPr>
                <w:noProof/>
                <w:webHidden/>
              </w:rPr>
              <w:fldChar w:fldCharType="separate"/>
            </w:r>
            <w:r w:rsidR="004165AE">
              <w:rPr>
                <w:noProof/>
                <w:webHidden/>
              </w:rPr>
              <w:t>12</w:t>
            </w:r>
            <w:r w:rsidR="004165AE">
              <w:rPr>
                <w:noProof/>
                <w:webHidden/>
              </w:rPr>
              <w:fldChar w:fldCharType="end"/>
            </w:r>
          </w:hyperlink>
        </w:p>
        <w:p w:rsidR="004165AE" w:rsidRDefault="00924DD2" w14:paraId="31BA599B" w14:textId="3EEDB677">
          <w:pPr>
            <w:pStyle w:val="TOC3"/>
            <w:tabs>
              <w:tab w:val="right" w:leader="dot" w:pos="9350"/>
            </w:tabs>
            <w:rPr>
              <w:rFonts w:cstheme="minorBidi"/>
              <w:noProof/>
            </w:rPr>
          </w:pPr>
          <w:hyperlink w:history="1" w:anchor="_Toc92192135">
            <w:r w:rsidRPr="002642F5" w:rsidR="004165AE">
              <w:rPr>
                <w:rStyle w:val="Hyperlink"/>
                <w:noProof/>
              </w:rPr>
              <w:t>7.1.5. Data Security Measures at CDC/ATSDR</w:t>
            </w:r>
            <w:r w:rsidR="004165AE">
              <w:rPr>
                <w:noProof/>
                <w:webHidden/>
              </w:rPr>
              <w:tab/>
            </w:r>
            <w:r w:rsidR="004165AE">
              <w:rPr>
                <w:noProof/>
                <w:webHidden/>
              </w:rPr>
              <w:fldChar w:fldCharType="begin"/>
            </w:r>
            <w:r w:rsidR="004165AE">
              <w:rPr>
                <w:noProof/>
                <w:webHidden/>
              </w:rPr>
              <w:instrText xml:space="preserve"> PAGEREF _Toc92192135 \h </w:instrText>
            </w:r>
            <w:r w:rsidR="004165AE">
              <w:rPr>
                <w:noProof/>
                <w:webHidden/>
              </w:rPr>
            </w:r>
            <w:r w:rsidR="004165AE">
              <w:rPr>
                <w:noProof/>
                <w:webHidden/>
              </w:rPr>
              <w:fldChar w:fldCharType="separate"/>
            </w:r>
            <w:r w:rsidR="004165AE">
              <w:rPr>
                <w:noProof/>
                <w:webHidden/>
              </w:rPr>
              <w:t>13</w:t>
            </w:r>
            <w:r w:rsidR="004165AE">
              <w:rPr>
                <w:noProof/>
                <w:webHidden/>
              </w:rPr>
              <w:fldChar w:fldCharType="end"/>
            </w:r>
          </w:hyperlink>
        </w:p>
        <w:p w:rsidR="004165AE" w:rsidRDefault="00924DD2" w14:paraId="550C579D" w14:textId="6C91A363">
          <w:pPr>
            <w:pStyle w:val="TOC2"/>
            <w:tabs>
              <w:tab w:val="right" w:leader="dot" w:pos="9350"/>
            </w:tabs>
            <w:rPr>
              <w:rFonts w:cstheme="minorBidi"/>
              <w:noProof/>
            </w:rPr>
          </w:pPr>
          <w:hyperlink w:history="1" w:anchor="_Toc92192136">
            <w:r w:rsidRPr="002642F5" w:rsidR="004165AE">
              <w:rPr>
                <w:rStyle w:val="Hyperlink"/>
                <w:noProof/>
              </w:rPr>
              <w:t>7.2. Procedure for Requesting Access to Data</w:t>
            </w:r>
            <w:r w:rsidR="004165AE">
              <w:rPr>
                <w:noProof/>
                <w:webHidden/>
              </w:rPr>
              <w:tab/>
            </w:r>
            <w:r w:rsidR="004165AE">
              <w:rPr>
                <w:noProof/>
                <w:webHidden/>
              </w:rPr>
              <w:fldChar w:fldCharType="begin"/>
            </w:r>
            <w:r w:rsidR="004165AE">
              <w:rPr>
                <w:noProof/>
                <w:webHidden/>
              </w:rPr>
              <w:instrText xml:space="preserve"> PAGEREF _Toc92192136 \h </w:instrText>
            </w:r>
            <w:r w:rsidR="004165AE">
              <w:rPr>
                <w:noProof/>
                <w:webHidden/>
              </w:rPr>
            </w:r>
            <w:r w:rsidR="004165AE">
              <w:rPr>
                <w:noProof/>
                <w:webHidden/>
              </w:rPr>
              <w:fldChar w:fldCharType="separate"/>
            </w:r>
            <w:r w:rsidR="004165AE">
              <w:rPr>
                <w:noProof/>
                <w:webHidden/>
              </w:rPr>
              <w:t>14</w:t>
            </w:r>
            <w:r w:rsidR="004165AE">
              <w:rPr>
                <w:noProof/>
                <w:webHidden/>
              </w:rPr>
              <w:fldChar w:fldCharType="end"/>
            </w:r>
          </w:hyperlink>
        </w:p>
        <w:p w:rsidR="004165AE" w:rsidRDefault="00924DD2" w14:paraId="558A06BD" w14:textId="47519E8C">
          <w:pPr>
            <w:pStyle w:val="TOC2"/>
            <w:tabs>
              <w:tab w:val="right" w:leader="dot" w:pos="9350"/>
            </w:tabs>
            <w:rPr>
              <w:rFonts w:cstheme="minorBidi"/>
              <w:noProof/>
            </w:rPr>
          </w:pPr>
          <w:hyperlink w:history="1" w:anchor="_Toc92192137">
            <w:r w:rsidRPr="002642F5" w:rsidR="004165AE">
              <w:rPr>
                <w:rStyle w:val="Hyperlink"/>
                <w:noProof/>
              </w:rPr>
              <w:t>7.3. Encrypted Multi-User Share Tool (MUST)</w:t>
            </w:r>
            <w:r w:rsidR="004165AE">
              <w:rPr>
                <w:noProof/>
                <w:webHidden/>
              </w:rPr>
              <w:tab/>
            </w:r>
            <w:r w:rsidR="004165AE">
              <w:rPr>
                <w:noProof/>
                <w:webHidden/>
              </w:rPr>
              <w:fldChar w:fldCharType="begin"/>
            </w:r>
            <w:r w:rsidR="004165AE">
              <w:rPr>
                <w:noProof/>
                <w:webHidden/>
              </w:rPr>
              <w:instrText xml:space="preserve"> PAGEREF _Toc92192137 \h </w:instrText>
            </w:r>
            <w:r w:rsidR="004165AE">
              <w:rPr>
                <w:noProof/>
                <w:webHidden/>
              </w:rPr>
            </w:r>
            <w:r w:rsidR="004165AE">
              <w:rPr>
                <w:noProof/>
                <w:webHidden/>
              </w:rPr>
              <w:fldChar w:fldCharType="separate"/>
            </w:r>
            <w:r w:rsidR="004165AE">
              <w:rPr>
                <w:noProof/>
                <w:webHidden/>
              </w:rPr>
              <w:t>14</w:t>
            </w:r>
            <w:r w:rsidR="004165AE">
              <w:rPr>
                <w:noProof/>
                <w:webHidden/>
              </w:rPr>
              <w:fldChar w:fldCharType="end"/>
            </w:r>
          </w:hyperlink>
        </w:p>
        <w:p w:rsidR="004165AE" w:rsidRDefault="00924DD2" w14:paraId="2B315F4C" w14:textId="357903C1">
          <w:pPr>
            <w:pStyle w:val="TOC3"/>
            <w:tabs>
              <w:tab w:val="right" w:leader="dot" w:pos="9350"/>
            </w:tabs>
            <w:rPr>
              <w:rFonts w:cstheme="minorBidi"/>
              <w:noProof/>
            </w:rPr>
          </w:pPr>
          <w:hyperlink w:history="1" w:anchor="_Toc92192138">
            <w:r w:rsidRPr="002642F5" w:rsidR="004165AE">
              <w:rPr>
                <w:rStyle w:val="Hyperlink"/>
                <w:noProof/>
              </w:rPr>
              <w:t>7.3.1. User Roles</w:t>
            </w:r>
            <w:r w:rsidR="004165AE">
              <w:rPr>
                <w:noProof/>
                <w:webHidden/>
              </w:rPr>
              <w:tab/>
            </w:r>
            <w:r w:rsidR="004165AE">
              <w:rPr>
                <w:noProof/>
                <w:webHidden/>
              </w:rPr>
              <w:fldChar w:fldCharType="begin"/>
            </w:r>
            <w:r w:rsidR="004165AE">
              <w:rPr>
                <w:noProof/>
                <w:webHidden/>
              </w:rPr>
              <w:instrText xml:space="preserve"> PAGEREF _Toc92192138 \h </w:instrText>
            </w:r>
            <w:r w:rsidR="004165AE">
              <w:rPr>
                <w:noProof/>
                <w:webHidden/>
              </w:rPr>
            </w:r>
            <w:r w:rsidR="004165AE">
              <w:rPr>
                <w:noProof/>
                <w:webHidden/>
              </w:rPr>
              <w:fldChar w:fldCharType="separate"/>
            </w:r>
            <w:r w:rsidR="004165AE">
              <w:rPr>
                <w:noProof/>
                <w:webHidden/>
              </w:rPr>
              <w:t>14</w:t>
            </w:r>
            <w:r w:rsidR="004165AE">
              <w:rPr>
                <w:noProof/>
                <w:webHidden/>
              </w:rPr>
              <w:fldChar w:fldCharType="end"/>
            </w:r>
          </w:hyperlink>
        </w:p>
        <w:p w:rsidR="004165AE" w:rsidRDefault="00924DD2" w14:paraId="2021A9E6" w14:textId="19340183">
          <w:pPr>
            <w:pStyle w:val="TOC3"/>
            <w:tabs>
              <w:tab w:val="right" w:leader="dot" w:pos="9350"/>
            </w:tabs>
            <w:rPr>
              <w:rFonts w:cstheme="minorBidi"/>
              <w:noProof/>
            </w:rPr>
          </w:pPr>
          <w:hyperlink w:history="1" w:anchor="_Toc92192139">
            <w:r w:rsidRPr="002642F5" w:rsidR="004165AE">
              <w:rPr>
                <w:rStyle w:val="Hyperlink"/>
                <w:noProof/>
              </w:rPr>
              <w:t>7.3.2. Configuration of Shares</w:t>
            </w:r>
            <w:r w:rsidR="004165AE">
              <w:rPr>
                <w:noProof/>
                <w:webHidden/>
              </w:rPr>
              <w:tab/>
            </w:r>
            <w:r w:rsidR="004165AE">
              <w:rPr>
                <w:noProof/>
                <w:webHidden/>
              </w:rPr>
              <w:fldChar w:fldCharType="begin"/>
            </w:r>
            <w:r w:rsidR="004165AE">
              <w:rPr>
                <w:noProof/>
                <w:webHidden/>
              </w:rPr>
              <w:instrText xml:space="preserve"> PAGEREF _Toc92192139 \h </w:instrText>
            </w:r>
            <w:r w:rsidR="004165AE">
              <w:rPr>
                <w:noProof/>
                <w:webHidden/>
              </w:rPr>
            </w:r>
            <w:r w:rsidR="004165AE">
              <w:rPr>
                <w:noProof/>
                <w:webHidden/>
              </w:rPr>
              <w:fldChar w:fldCharType="separate"/>
            </w:r>
            <w:r w:rsidR="004165AE">
              <w:rPr>
                <w:noProof/>
                <w:webHidden/>
              </w:rPr>
              <w:t>15</w:t>
            </w:r>
            <w:r w:rsidR="004165AE">
              <w:rPr>
                <w:noProof/>
                <w:webHidden/>
              </w:rPr>
              <w:fldChar w:fldCharType="end"/>
            </w:r>
          </w:hyperlink>
        </w:p>
        <w:p w:rsidR="004165AE" w:rsidRDefault="00924DD2" w14:paraId="467F9460" w14:textId="58C3F8AE">
          <w:pPr>
            <w:pStyle w:val="TOC3"/>
            <w:tabs>
              <w:tab w:val="right" w:leader="dot" w:pos="9350"/>
            </w:tabs>
            <w:rPr>
              <w:rFonts w:cstheme="minorBidi"/>
              <w:noProof/>
            </w:rPr>
          </w:pPr>
          <w:hyperlink w:history="1" w:anchor="_Toc92192140">
            <w:r w:rsidRPr="002642F5" w:rsidR="004165AE">
              <w:rPr>
                <w:rStyle w:val="Hyperlink"/>
                <w:noProof/>
              </w:rPr>
              <w:t>7.3.3. Granting Access to Shares</w:t>
            </w:r>
            <w:r w:rsidR="004165AE">
              <w:rPr>
                <w:noProof/>
                <w:webHidden/>
              </w:rPr>
              <w:tab/>
            </w:r>
            <w:r w:rsidR="004165AE">
              <w:rPr>
                <w:noProof/>
                <w:webHidden/>
              </w:rPr>
              <w:fldChar w:fldCharType="begin"/>
            </w:r>
            <w:r w:rsidR="004165AE">
              <w:rPr>
                <w:noProof/>
                <w:webHidden/>
              </w:rPr>
              <w:instrText xml:space="preserve"> PAGEREF _Toc92192140 \h </w:instrText>
            </w:r>
            <w:r w:rsidR="004165AE">
              <w:rPr>
                <w:noProof/>
                <w:webHidden/>
              </w:rPr>
            </w:r>
            <w:r w:rsidR="004165AE">
              <w:rPr>
                <w:noProof/>
                <w:webHidden/>
              </w:rPr>
              <w:fldChar w:fldCharType="separate"/>
            </w:r>
            <w:r w:rsidR="004165AE">
              <w:rPr>
                <w:noProof/>
                <w:webHidden/>
              </w:rPr>
              <w:t>15</w:t>
            </w:r>
            <w:r w:rsidR="004165AE">
              <w:rPr>
                <w:noProof/>
                <w:webHidden/>
              </w:rPr>
              <w:fldChar w:fldCharType="end"/>
            </w:r>
          </w:hyperlink>
        </w:p>
        <w:p w:rsidR="004165AE" w:rsidRDefault="00924DD2" w14:paraId="276C0D14" w14:textId="2E56B57B">
          <w:pPr>
            <w:pStyle w:val="TOC2"/>
            <w:tabs>
              <w:tab w:val="right" w:leader="dot" w:pos="9350"/>
            </w:tabs>
            <w:rPr>
              <w:rFonts w:cstheme="minorBidi"/>
              <w:noProof/>
            </w:rPr>
          </w:pPr>
          <w:hyperlink w:history="1" w:anchor="_Toc92192141">
            <w:r w:rsidRPr="002642F5" w:rsidR="004165AE">
              <w:rPr>
                <w:rStyle w:val="Hyperlink"/>
                <w:noProof/>
              </w:rPr>
              <w:t>7.4. Levels of Encryption</w:t>
            </w:r>
            <w:r w:rsidR="004165AE">
              <w:rPr>
                <w:noProof/>
                <w:webHidden/>
              </w:rPr>
              <w:tab/>
            </w:r>
            <w:r w:rsidR="004165AE">
              <w:rPr>
                <w:noProof/>
                <w:webHidden/>
              </w:rPr>
              <w:fldChar w:fldCharType="begin"/>
            </w:r>
            <w:r w:rsidR="004165AE">
              <w:rPr>
                <w:noProof/>
                <w:webHidden/>
              </w:rPr>
              <w:instrText xml:space="preserve"> PAGEREF _Toc92192141 \h </w:instrText>
            </w:r>
            <w:r w:rsidR="004165AE">
              <w:rPr>
                <w:noProof/>
                <w:webHidden/>
              </w:rPr>
            </w:r>
            <w:r w:rsidR="004165AE">
              <w:rPr>
                <w:noProof/>
                <w:webHidden/>
              </w:rPr>
              <w:fldChar w:fldCharType="separate"/>
            </w:r>
            <w:r w:rsidR="004165AE">
              <w:rPr>
                <w:noProof/>
                <w:webHidden/>
              </w:rPr>
              <w:t>15</w:t>
            </w:r>
            <w:r w:rsidR="004165AE">
              <w:rPr>
                <w:noProof/>
                <w:webHidden/>
              </w:rPr>
              <w:fldChar w:fldCharType="end"/>
            </w:r>
          </w:hyperlink>
        </w:p>
        <w:p w:rsidR="004165AE" w:rsidRDefault="00924DD2" w14:paraId="773E88CF" w14:textId="0080AD19">
          <w:pPr>
            <w:pStyle w:val="TOC3"/>
            <w:tabs>
              <w:tab w:val="right" w:leader="dot" w:pos="9350"/>
            </w:tabs>
            <w:rPr>
              <w:rFonts w:cstheme="minorBidi"/>
              <w:noProof/>
            </w:rPr>
          </w:pPr>
          <w:hyperlink w:history="1" w:anchor="_Toc92192142">
            <w:r w:rsidRPr="002642F5" w:rsidR="004165AE">
              <w:rPr>
                <w:rStyle w:val="Hyperlink"/>
                <w:noProof/>
              </w:rPr>
              <w:t>7.4.1. File Level Encryption</w:t>
            </w:r>
            <w:r w:rsidR="004165AE">
              <w:rPr>
                <w:noProof/>
                <w:webHidden/>
              </w:rPr>
              <w:tab/>
            </w:r>
            <w:r w:rsidR="004165AE">
              <w:rPr>
                <w:noProof/>
                <w:webHidden/>
              </w:rPr>
              <w:fldChar w:fldCharType="begin"/>
            </w:r>
            <w:r w:rsidR="004165AE">
              <w:rPr>
                <w:noProof/>
                <w:webHidden/>
              </w:rPr>
              <w:instrText xml:space="preserve"> PAGEREF _Toc92192142 \h </w:instrText>
            </w:r>
            <w:r w:rsidR="004165AE">
              <w:rPr>
                <w:noProof/>
                <w:webHidden/>
              </w:rPr>
            </w:r>
            <w:r w:rsidR="004165AE">
              <w:rPr>
                <w:noProof/>
                <w:webHidden/>
              </w:rPr>
              <w:fldChar w:fldCharType="separate"/>
            </w:r>
            <w:r w:rsidR="004165AE">
              <w:rPr>
                <w:noProof/>
                <w:webHidden/>
              </w:rPr>
              <w:t>15</w:t>
            </w:r>
            <w:r w:rsidR="004165AE">
              <w:rPr>
                <w:noProof/>
                <w:webHidden/>
              </w:rPr>
              <w:fldChar w:fldCharType="end"/>
            </w:r>
          </w:hyperlink>
        </w:p>
        <w:p w:rsidR="004165AE" w:rsidRDefault="00924DD2" w14:paraId="35137785" w14:textId="559C7779">
          <w:pPr>
            <w:pStyle w:val="TOC3"/>
            <w:tabs>
              <w:tab w:val="right" w:leader="dot" w:pos="9350"/>
            </w:tabs>
            <w:rPr>
              <w:rFonts w:cstheme="minorBidi"/>
              <w:noProof/>
            </w:rPr>
          </w:pPr>
          <w:hyperlink w:history="1" w:anchor="_Toc92192143">
            <w:r w:rsidRPr="002642F5" w:rsidR="004165AE">
              <w:rPr>
                <w:rStyle w:val="Hyperlink"/>
                <w:noProof/>
              </w:rPr>
              <w:t>7.4.2. Client Whole Disk Encryption</w:t>
            </w:r>
            <w:r w:rsidR="004165AE">
              <w:rPr>
                <w:noProof/>
                <w:webHidden/>
              </w:rPr>
              <w:tab/>
            </w:r>
            <w:r w:rsidR="004165AE">
              <w:rPr>
                <w:noProof/>
                <w:webHidden/>
              </w:rPr>
              <w:fldChar w:fldCharType="begin"/>
            </w:r>
            <w:r w:rsidR="004165AE">
              <w:rPr>
                <w:noProof/>
                <w:webHidden/>
              </w:rPr>
              <w:instrText xml:space="preserve"> PAGEREF _Toc92192143 \h </w:instrText>
            </w:r>
            <w:r w:rsidR="004165AE">
              <w:rPr>
                <w:noProof/>
                <w:webHidden/>
              </w:rPr>
            </w:r>
            <w:r w:rsidR="004165AE">
              <w:rPr>
                <w:noProof/>
                <w:webHidden/>
              </w:rPr>
              <w:fldChar w:fldCharType="separate"/>
            </w:r>
            <w:r w:rsidR="004165AE">
              <w:rPr>
                <w:noProof/>
                <w:webHidden/>
              </w:rPr>
              <w:t>15</w:t>
            </w:r>
            <w:r w:rsidR="004165AE">
              <w:rPr>
                <w:noProof/>
                <w:webHidden/>
              </w:rPr>
              <w:fldChar w:fldCharType="end"/>
            </w:r>
          </w:hyperlink>
        </w:p>
        <w:p w:rsidR="004165AE" w:rsidRDefault="00924DD2" w14:paraId="46DCE8C8" w14:textId="3BD14188">
          <w:pPr>
            <w:pStyle w:val="TOC2"/>
            <w:tabs>
              <w:tab w:val="right" w:leader="dot" w:pos="9350"/>
            </w:tabs>
            <w:rPr>
              <w:rFonts w:cstheme="minorBidi"/>
              <w:noProof/>
            </w:rPr>
          </w:pPr>
          <w:hyperlink w:history="1" w:anchor="_Toc92192144">
            <w:r w:rsidRPr="002642F5" w:rsidR="004165AE">
              <w:rPr>
                <w:rStyle w:val="Hyperlink"/>
                <w:noProof/>
              </w:rPr>
              <w:t>7.5. Request to Move PII from Encrypted Share</w:t>
            </w:r>
            <w:r w:rsidR="004165AE">
              <w:rPr>
                <w:noProof/>
                <w:webHidden/>
              </w:rPr>
              <w:tab/>
            </w:r>
            <w:r w:rsidR="004165AE">
              <w:rPr>
                <w:noProof/>
                <w:webHidden/>
              </w:rPr>
              <w:fldChar w:fldCharType="begin"/>
            </w:r>
            <w:r w:rsidR="004165AE">
              <w:rPr>
                <w:noProof/>
                <w:webHidden/>
              </w:rPr>
              <w:instrText xml:space="preserve"> PAGEREF _Toc92192144 \h </w:instrText>
            </w:r>
            <w:r w:rsidR="004165AE">
              <w:rPr>
                <w:noProof/>
                <w:webHidden/>
              </w:rPr>
            </w:r>
            <w:r w:rsidR="004165AE">
              <w:rPr>
                <w:noProof/>
                <w:webHidden/>
              </w:rPr>
              <w:fldChar w:fldCharType="separate"/>
            </w:r>
            <w:r w:rsidR="004165AE">
              <w:rPr>
                <w:noProof/>
                <w:webHidden/>
              </w:rPr>
              <w:t>15</w:t>
            </w:r>
            <w:r w:rsidR="004165AE">
              <w:rPr>
                <w:noProof/>
                <w:webHidden/>
              </w:rPr>
              <w:fldChar w:fldCharType="end"/>
            </w:r>
          </w:hyperlink>
        </w:p>
        <w:p w:rsidR="004165AE" w:rsidRDefault="00924DD2" w14:paraId="23DB14BA" w14:textId="49D2BDF8">
          <w:pPr>
            <w:pStyle w:val="TOC2"/>
            <w:tabs>
              <w:tab w:val="right" w:leader="dot" w:pos="9350"/>
            </w:tabs>
            <w:rPr>
              <w:rFonts w:cstheme="minorBidi"/>
              <w:noProof/>
            </w:rPr>
          </w:pPr>
          <w:hyperlink w:history="1" w:anchor="_Toc92192145">
            <w:r w:rsidRPr="002642F5" w:rsidR="004165AE">
              <w:rPr>
                <w:rStyle w:val="Hyperlink"/>
                <w:noProof/>
              </w:rPr>
              <w:t>7.6. REDCap System</w:t>
            </w:r>
            <w:r w:rsidR="004165AE">
              <w:rPr>
                <w:noProof/>
                <w:webHidden/>
              </w:rPr>
              <w:tab/>
            </w:r>
            <w:r w:rsidR="004165AE">
              <w:rPr>
                <w:noProof/>
                <w:webHidden/>
              </w:rPr>
              <w:fldChar w:fldCharType="begin"/>
            </w:r>
            <w:r w:rsidR="004165AE">
              <w:rPr>
                <w:noProof/>
                <w:webHidden/>
              </w:rPr>
              <w:instrText xml:space="preserve"> PAGEREF _Toc92192145 \h </w:instrText>
            </w:r>
            <w:r w:rsidR="004165AE">
              <w:rPr>
                <w:noProof/>
                <w:webHidden/>
              </w:rPr>
            </w:r>
            <w:r w:rsidR="004165AE">
              <w:rPr>
                <w:noProof/>
                <w:webHidden/>
              </w:rPr>
              <w:fldChar w:fldCharType="separate"/>
            </w:r>
            <w:r w:rsidR="004165AE">
              <w:rPr>
                <w:noProof/>
                <w:webHidden/>
              </w:rPr>
              <w:t>16</w:t>
            </w:r>
            <w:r w:rsidR="004165AE">
              <w:rPr>
                <w:noProof/>
                <w:webHidden/>
              </w:rPr>
              <w:fldChar w:fldCharType="end"/>
            </w:r>
          </w:hyperlink>
        </w:p>
        <w:p w:rsidR="004165AE" w:rsidRDefault="00924DD2" w14:paraId="26B6F5C5" w14:textId="278D618E">
          <w:pPr>
            <w:pStyle w:val="TOC2"/>
            <w:tabs>
              <w:tab w:val="right" w:leader="dot" w:pos="9350"/>
            </w:tabs>
            <w:rPr>
              <w:rFonts w:cstheme="minorBidi"/>
              <w:noProof/>
            </w:rPr>
          </w:pPr>
          <w:hyperlink w:history="1" w:anchor="_Toc92192146">
            <w:r w:rsidRPr="002642F5" w:rsidR="004165AE">
              <w:rPr>
                <w:rStyle w:val="Hyperlink"/>
                <w:noProof/>
              </w:rPr>
              <w:t>7.7. Securely Receiving / Sending Data</w:t>
            </w:r>
            <w:r w:rsidR="004165AE">
              <w:rPr>
                <w:noProof/>
                <w:webHidden/>
              </w:rPr>
              <w:tab/>
            </w:r>
            <w:r w:rsidR="004165AE">
              <w:rPr>
                <w:noProof/>
                <w:webHidden/>
              </w:rPr>
              <w:fldChar w:fldCharType="begin"/>
            </w:r>
            <w:r w:rsidR="004165AE">
              <w:rPr>
                <w:noProof/>
                <w:webHidden/>
              </w:rPr>
              <w:instrText xml:space="preserve"> PAGEREF _Toc92192146 \h </w:instrText>
            </w:r>
            <w:r w:rsidR="004165AE">
              <w:rPr>
                <w:noProof/>
                <w:webHidden/>
              </w:rPr>
            </w:r>
            <w:r w:rsidR="004165AE">
              <w:rPr>
                <w:noProof/>
                <w:webHidden/>
              </w:rPr>
              <w:fldChar w:fldCharType="separate"/>
            </w:r>
            <w:r w:rsidR="004165AE">
              <w:rPr>
                <w:noProof/>
                <w:webHidden/>
              </w:rPr>
              <w:t>16</w:t>
            </w:r>
            <w:r w:rsidR="004165AE">
              <w:rPr>
                <w:noProof/>
                <w:webHidden/>
              </w:rPr>
              <w:fldChar w:fldCharType="end"/>
            </w:r>
          </w:hyperlink>
        </w:p>
        <w:p w:rsidR="004165AE" w:rsidRDefault="00924DD2" w14:paraId="53FF4402" w14:textId="323A3CDB">
          <w:pPr>
            <w:pStyle w:val="TOC2"/>
            <w:tabs>
              <w:tab w:val="right" w:leader="dot" w:pos="9350"/>
            </w:tabs>
            <w:rPr>
              <w:rFonts w:cstheme="minorBidi"/>
              <w:noProof/>
            </w:rPr>
          </w:pPr>
          <w:hyperlink w:history="1" w:anchor="_Toc92192147">
            <w:r w:rsidRPr="002642F5" w:rsidR="004165AE">
              <w:rPr>
                <w:rStyle w:val="Hyperlink"/>
                <w:noProof/>
              </w:rPr>
              <w:t>7.8. De-identification of Data</w:t>
            </w:r>
            <w:r w:rsidR="004165AE">
              <w:rPr>
                <w:noProof/>
                <w:webHidden/>
              </w:rPr>
              <w:tab/>
            </w:r>
            <w:r w:rsidR="004165AE">
              <w:rPr>
                <w:noProof/>
                <w:webHidden/>
              </w:rPr>
              <w:fldChar w:fldCharType="begin"/>
            </w:r>
            <w:r w:rsidR="004165AE">
              <w:rPr>
                <w:noProof/>
                <w:webHidden/>
              </w:rPr>
              <w:instrText xml:space="preserve"> PAGEREF _Toc92192147 \h </w:instrText>
            </w:r>
            <w:r w:rsidR="004165AE">
              <w:rPr>
                <w:noProof/>
                <w:webHidden/>
              </w:rPr>
            </w:r>
            <w:r w:rsidR="004165AE">
              <w:rPr>
                <w:noProof/>
                <w:webHidden/>
              </w:rPr>
              <w:fldChar w:fldCharType="separate"/>
            </w:r>
            <w:r w:rsidR="004165AE">
              <w:rPr>
                <w:noProof/>
                <w:webHidden/>
              </w:rPr>
              <w:t>16</w:t>
            </w:r>
            <w:r w:rsidR="004165AE">
              <w:rPr>
                <w:noProof/>
                <w:webHidden/>
              </w:rPr>
              <w:fldChar w:fldCharType="end"/>
            </w:r>
          </w:hyperlink>
        </w:p>
        <w:p w:rsidR="004165AE" w:rsidRDefault="00924DD2" w14:paraId="02E0D879" w14:textId="6ABE5D40">
          <w:pPr>
            <w:pStyle w:val="TOC2"/>
            <w:tabs>
              <w:tab w:val="right" w:leader="dot" w:pos="9350"/>
            </w:tabs>
            <w:rPr>
              <w:rFonts w:cstheme="minorBidi"/>
              <w:noProof/>
            </w:rPr>
          </w:pPr>
          <w:hyperlink w:history="1" w:anchor="_Toc92192148">
            <w:r w:rsidRPr="002642F5" w:rsidR="004165AE">
              <w:rPr>
                <w:rStyle w:val="Hyperlink"/>
                <w:noProof/>
              </w:rPr>
              <w:t>7.9. Incident Response</w:t>
            </w:r>
            <w:r w:rsidR="004165AE">
              <w:rPr>
                <w:noProof/>
                <w:webHidden/>
              </w:rPr>
              <w:tab/>
            </w:r>
            <w:r w:rsidR="004165AE">
              <w:rPr>
                <w:noProof/>
                <w:webHidden/>
              </w:rPr>
              <w:fldChar w:fldCharType="begin"/>
            </w:r>
            <w:r w:rsidR="004165AE">
              <w:rPr>
                <w:noProof/>
                <w:webHidden/>
              </w:rPr>
              <w:instrText xml:space="preserve"> PAGEREF _Toc92192148 \h </w:instrText>
            </w:r>
            <w:r w:rsidR="004165AE">
              <w:rPr>
                <w:noProof/>
                <w:webHidden/>
              </w:rPr>
            </w:r>
            <w:r w:rsidR="004165AE">
              <w:rPr>
                <w:noProof/>
                <w:webHidden/>
              </w:rPr>
              <w:fldChar w:fldCharType="separate"/>
            </w:r>
            <w:r w:rsidR="004165AE">
              <w:rPr>
                <w:noProof/>
                <w:webHidden/>
              </w:rPr>
              <w:t>17</w:t>
            </w:r>
            <w:r w:rsidR="004165AE">
              <w:rPr>
                <w:noProof/>
                <w:webHidden/>
              </w:rPr>
              <w:fldChar w:fldCharType="end"/>
            </w:r>
          </w:hyperlink>
        </w:p>
        <w:p w:rsidR="004165AE" w:rsidRDefault="00924DD2" w14:paraId="06DD41F9" w14:textId="6DB2221A">
          <w:pPr>
            <w:pStyle w:val="TOC2"/>
            <w:tabs>
              <w:tab w:val="right" w:leader="dot" w:pos="9350"/>
            </w:tabs>
            <w:rPr>
              <w:rFonts w:cstheme="minorBidi"/>
              <w:noProof/>
            </w:rPr>
          </w:pPr>
          <w:hyperlink w:history="1" w:anchor="_Toc92192149">
            <w:r w:rsidRPr="002642F5" w:rsidR="004165AE">
              <w:rPr>
                <w:rStyle w:val="Hyperlink"/>
                <w:noProof/>
              </w:rPr>
              <w:t>7.10. Privacy</w:t>
            </w:r>
            <w:r w:rsidR="004165AE">
              <w:rPr>
                <w:noProof/>
                <w:webHidden/>
              </w:rPr>
              <w:tab/>
            </w:r>
            <w:r w:rsidR="004165AE">
              <w:rPr>
                <w:noProof/>
                <w:webHidden/>
              </w:rPr>
              <w:fldChar w:fldCharType="begin"/>
            </w:r>
            <w:r w:rsidR="004165AE">
              <w:rPr>
                <w:noProof/>
                <w:webHidden/>
              </w:rPr>
              <w:instrText xml:space="preserve"> PAGEREF _Toc92192149 \h </w:instrText>
            </w:r>
            <w:r w:rsidR="004165AE">
              <w:rPr>
                <w:noProof/>
                <w:webHidden/>
              </w:rPr>
            </w:r>
            <w:r w:rsidR="004165AE">
              <w:rPr>
                <w:noProof/>
                <w:webHidden/>
              </w:rPr>
              <w:fldChar w:fldCharType="separate"/>
            </w:r>
            <w:r w:rsidR="004165AE">
              <w:rPr>
                <w:noProof/>
                <w:webHidden/>
              </w:rPr>
              <w:t>17</w:t>
            </w:r>
            <w:r w:rsidR="004165AE">
              <w:rPr>
                <w:noProof/>
                <w:webHidden/>
              </w:rPr>
              <w:fldChar w:fldCharType="end"/>
            </w:r>
          </w:hyperlink>
        </w:p>
        <w:p w:rsidR="004165AE" w:rsidRDefault="00924DD2" w14:paraId="7138A0C8" w14:textId="0BA8C216">
          <w:pPr>
            <w:pStyle w:val="TOC3"/>
            <w:tabs>
              <w:tab w:val="right" w:leader="dot" w:pos="9350"/>
            </w:tabs>
            <w:rPr>
              <w:rFonts w:cstheme="minorBidi"/>
              <w:noProof/>
            </w:rPr>
          </w:pPr>
          <w:hyperlink w:history="1" w:anchor="_Toc92192150">
            <w:r w:rsidRPr="002642F5" w:rsidR="004165AE">
              <w:rPr>
                <w:rStyle w:val="Hyperlink"/>
                <w:noProof/>
              </w:rPr>
              <w:t xml:space="preserve">7.10.1. </w:t>
            </w:r>
            <w:r w:rsidRPr="002642F5" w:rsidR="004165AE">
              <w:rPr>
                <w:rStyle w:val="Hyperlink"/>
                <w:noProof/>
                <w:shd w:val="clear" w:color="auto" w:fill="FFFFFF"/>
              </w:rPr>
              <w:t>Review of PII for Accuracy and Relevancy</w:t>
            </w:r>
            <w:r w:rsidR="004165AE">
              <w:rPr>
                <w:noProof/>
                <w:webHidden/>
              </w:rPr>
              <w:tab/>
            </w:r>
            <w:r w:rsidR="004165AE">
              <w:rPr>
                <w:noProof/>
                <w:webHidden/>
              </w:rPr>
              <w:fldChar w:fldCharType="begin"/>
            </w:r>
            <w:r w:rsidR="004165AE">
              <w:rPr>
                <w:noProof/>
                <w:webHidden/>
              </w:rPr>
              <w:instrText xml:space="preserve"> PAGEREF _Toc92192150 \h </w:instrText>
            </w:r>
            <w:r w:rsidR="004165AE">
              <w:rPr>
                <w:noProof/>
                <w:webHidden/>
              </w:rPr>
            </w:r>
            <w:r w:rsidR="004165AE">
              <w:rPr>
                <w:noProof/>
                <w:webHidden/>
              </w:rPr>
              <w:fldChar w:fldCharType="separate"/>
            </w:r>
            <w:r w:rsidR="004165AE">
              <w:rPr>
                <w:noProof/>
                <w:webHidden/>
              </w:rPr>
              <w:t>17</w:t>
            </w:r>
            <w:r w:rsidR="004165AE">
              <w:rPr>
                <w:noProof/>
                <w:webHidden/>
              </w:rPr>
              <w:fldChar w:fldCharType="end"/>
            </w:r>
          </w:hyperlink>
        </w:p>
        <w:p w:rsidR="004165AE" w:rsidRDefault="00924DD2" w14:paraId="247D19C0" w14:textId="30D3FB3E">
          <w:pPr>
            <w:pStyle w:val="TOC3"/>
            <w:tabs>
              <w:tab w:val="right" w:leader="dot" w:pos="9350"/>
            </w:tabs>
            <w:rPr>
              <w:rFonts w:cstheme="minorBidi"/>
              <w:noProof/>
            </w:rPr>
          </w:pPr>
          <w:hyperlink w:history="1" w:anchor="_Toc92192151">
            <w:r w:rsidRPr="002642F5" w:rsidR="004165AE">
              <w:rPr>
                <w:rStyle w:val="Hyperlink"/>
                <w:noProof/>
                <w:shd w:val="clear" w:color="auto" w:fill="FFFFFF"/>
              </w:rPr>
              <w:t>7.10.2. Inquiries</w:t>
            </w:r>
            <w:r w:rsidR="004165AE">
              <w:rPr>
                <w:noProof/>
                <w:webHidden/>
              </w:rPr>
              <w:tab/>
            </w:r>
            <w:r w:rsidR="004165AE">
              <w:rPr>
                <w:noProof/>
                <w:webHidden/>
              </w:rPr>
              <w:fldChar w:fldCharType="begin"/>
            </w:r>
            <w:r w:rsidR="004165AE">
              <w:rPr>
                <w:noProof/>
                <w:webHidden/>
              </w:rPr>
              <w:instrText xml:space="preserve"> PAGEREF _Toc92192151 \h </w:instrText>
            </w:r>
            <w:r w:rsidR="004165AE">
              <w:rPr>
                <w:noProof/>
                <w:webHidden/>
              </w:rPr>
            </w:r>
            <w:r w:rsidR="004165AE">
              <w:rPr>
                <w:noProof/>
                <w:webHidden/>
              </w:rPr>
              <w:fldChar w:fldCharType="separate"/>
            </w:r>
            <w:r w:rsidR="004165AE">
              <w:rPr>
                <w:noProof/>
                <w:webHidden/>
              </w:rPr>
              <w:t>17</w:t>
            </w:r>
            <w:r w:rsidR="004165AE">
              <w:rPr>
                <w:noProof/>
                <w:webHidden/>
              </w:rPr>
              <w:fldChar w:fldCharType="end"/>
            </w:r>
          </w:hyperlink>
        </w:p>
        <w:p w:rsidR="004165AE" w:rsidRDefault="00924DD2" w14:paraId="6E51A41A" w14:textId="69A55A34">
          <w:pPr>
            <w:pStyle w:val="TOC1"/>
            <w:tabs>
              <w:tab w:val="right" w:leader="dot" w:pos="9350"/>
            </w:tabs>
            <w:rPr>
              <w:rFonts w:eastAsiaTheme="minorEastAsia"/>
              <w:noProof/>
            </w:rPr>
          </w:pPr>
          <w:hyperlink w:history="1" w:anchor="_Toc92192152">
            <w:r w:rsidRPr="002642F5" w:rsidR="004165AE">
              <w:rPr>
                <w:rStyle w:val="Hyperlink"/>
                <w:noProof/>
                <w:shd w:val="clear" w:color="auto" w:fill="FFFFFF"/>
              </w:rPr>
              <w:t>8.0. Study Completion and Close-out Procedures</w:t>
            </w:r>
            <w:r w:rsidR="004165AE">
              <w:rPr>
                <w:noProof/>
                <w:webHidden/>
              </w:rPr>
              <w:tab/>
            </w:r>
            <w:r w:rsidR="004165AE">
              <w:rPr>
                <w:noProof/>
                <w:webHidden/>
              </w:rPr>
              <w:fldChar w:fldCharType="begin"/>
            </w:r>
            <w:r w:rsidR="004165AE">
              <w:rPr>
                <w:noProof/>
                <w:webHidden/>
              </w:rPr>
              <w:instrText xml:space="preserve"> PAGEREF _Toc92192152 \h </w:instrText>
            </w:r>
            <w:r w:rsidR="004165AE">
              <w:rPr>
                <w:noProof/>
                <w:webHidden/>
              </w:rPr>
            </w:r>
            <w:r w:rsidR="004165AE">
              <w:rPr>
                <w:noProof/>
                <w:webHidden/>
              </w:rPr>
              <w:fldChar w:fldCharType="separate"/>
            </w:r>
            <w:r w:rsidR="004165AE">
              <w:rPr>
                <w:noProof/>
                <w:webHidden/>
              </w:rPr>
              <w:t>17</w:t>
            </w:r>
            <w:r w:rsidR="004165AE">
              <w:rPr>
                <w:noProof/>
                <w:webHidden/>
              </w:rPr>
              <w:fldChar w:fldCharType="end"/>
            </w:r>
          </w:hyperlink>
        </w:p>
        <w:p w:rsidR="004165AE" w:rsidRDefault="00924DD2" w14:paraId="4D1172FB" w14:textId="27EB7B84">
          <w:pPr>
            <w:pStyle w:val="TOC1"/>
            <w:tabs>
              <w:tab w:val="right" w:leader="dot" w:pos="9350"/>
            </w:tabs>
            <w:rPr>
              <w:rFonts w:eastAsiaTheme="minorEastAsia"/>
              <w:noProof/>
            </w:rPr>
          </w:pPr>
          <w:hyperlink w:history="1" w:anchor="_Toc92192153">
            <w:r w:rsidRPr="002642F5" w:rsidR="004165AE">
              <w:rPr>
                <w:rStyle w:val="Hyperlink"/>
                <w:noProof/>
              </w:rPr>
              <w:t>9.0. Manual of Procedures (MOP) Maintenance</w:t>
            </w:r>
            <w:r w:rsidR="004165AE">
              <w:rPr>
                <w:noProof/>
                <w:webHidden/>
              </w:rPr>
              <w:tab/>
            </w:r>
            <w:r w:rsidR="004165AE">
              <w:rPr>
                <w:noProof/>
                <w:webHidden/>
              </w:rPr>
              <w:fldChar w:fldCharType="begin"/>
            </w:r>
            <w:r w:rsidR="004165AE">
              <w:rPr>
                <w:noProof/>
                <w:webHidden/>
              </w:rPr>
              <w:instrText xml:space="preserve"> PAGEREF _Toc92192153 \h </w:instrText>
            </w:r>
            <w:r w:rsidR="004165AE">
              <w:rPr>
                <w:noProof/>
                <w:webHidden/>
              </w:rPr>
            </w:r>
            <w:r w:rsidR="004165AE">
              <w:rPr>
                <w:noProof/>
                <w:webHidden/>
              </w:rPr>
              <w:fldChar w:fldCharType="separate"/>
            </w:r>
            <w:r w:rsidR="004165AE">
              <w:rPr>
                <w:noProof/>
                <w:webHidden/>
              </w:rPr>
              <w:t>18</w:t>
            </w:r>
            <w:r w:rsidR="004165AE">
              <w:rPr>
                <w:noProof/>
                <w:webHidden/>
              </w:rPr>
              <w:fldChar w:fldCharType="end"/>
            </w:r>
          </w:hyperlink>
        </w:p>
        <w:p w:rsidR="004165AE" w:rsidRDefault="00924DD2" w14:paraId="3174D2A3" w14:textId="7A7DE779">
          <w:pPr>
            <w:pStyle w:val="TOC1"/>
            <w:tabs>
              <w:tab w:val="right" w:leader="dot" w:pos="9350"/>
            </w:tabs>
            <w:rPr>
              <w:rFonts w:eastAsiaTheme="minorEastAsia"/>
              <w:noProof/>
            </w:rPr>
          </w:pPr>
          <w:hyperlink w:history="1" w:anchor="_Toc92192154">
            <w:r w:rsidRPr="002642F5" w:rsidR="004165AE">
              <w:rPr>
                <w:rStyle w:val="Hyperlink"/>
                <w:noProof/>
              </w:rPr>
              <w:t>Appendix A – Rules of Behavior</w:t>
            </w:r>
            <w:r w:rsidR="004165AE">
              <w:rPr>
                <w:noProof/>
                <w:webHidden/>
              </w:rPr>
              <w:tab/>
            </w:r>
            <w:r w:rsidR="004165AE">
              <w:rPr>
                <w:noProof/>
                <w:webHidden/>
              </w:rPr>
              <w:fldChar w:fldCharType="begin"/>
            </w:r>
            <w:r w:rsidR="004165AE">
              <w:rPr>
                <w:noProof/>
                <w:webHidden/>
              </w:rPr>
              <w:instrText xml:space="preserve"> PAGEREF _Toc92192154 \h </w:instrText>
            </w:r>
            <w:r w:rsidR="004165AE">
              <w:rPr>
                <w:noProof/>
                <w:webHidden/>
              </w:rPr>
            </w:r>
            <w:r w:rsidR="004165AE">
              <w:rPr>
                <w:noProof/>
                <w:webHidden/>
              </w:rPr>
              <w:fldChar w:fldCharType="separate"/>
            </w:r>
            <w:r w:rsidR="004165AE">
              <w:rPr>
                <w:noProof/>
                <w:webHidden/>
              </w:rPr>
              <w:t>19</w:t>
            </w:r>
            <w:r w:rsidR="004165AE">
              <w:rPr>
                <w:noProof/>
                <w:webHidden/>
              </w:rPr>
              <w:fldChar w:fldCharType="end"/>
            </w:r>
          </w:hyperlink>
        </w:p>
        <w:p w:rsidR="004165AE" w:rsidRDefault="00924DD2" w14:paraId="69C18DAE" w14:textId="7D4041D3">
          <w:pPr>
            <w:pStyle w:val="TOC1"/>
            <w:tabs>
              <w:tab w:val="right" w:leader="dot" w:pos="9350"/>
            </w:tabs>
            <w:rPr>
              <w:rFonts w:eastAsiaTheme="minorEastAsia"/>
              <w:noProof/>
            </w:rPr>
          </w:pPr>
          <w:hyperlink w:history="1" w:anchor="_Toc92192155">
            <w:r w:rsidRPr="002642F5" w:rsidR="004165AE">
              <w:rPr>
                <w:rStyle w:val="Hyperlink"/>
                <w:noProof/>
              </w:rPr>
              <w:t>Appendix B – MOP Modification Log</w:t>
            </w:r>
            <w:r w:rsidR="004165AE">
              <w:rPr>
                <w:noProof/>
                <w:webHidden/>
              </w:rPr>
              <w:tab/>
            </w:r>
            <w:r w:rsidR="004165AE">
              <w:rPr>
                <w:noProof/>
                <w:webHidden/>
              </w:rPr>
              <w:fldChar w:fldCharType="begin"/>
            </w:r>
            <w:r w:rsidR="004165AE">
              <w:rPr>
                <w:noProof/>
                <w:webHidden/>
              </w:rPr>
              <w:instrText xml:space="preserve"> PAGEREF _Toc92192155 \h </w:instrText>
            </w:r>
            <w:r w:rsidR="004165AE">
              <w:rPr>
                <w:noProof/>
                <w:webHidden/>
              </w:rPr>
            </w:r>
            <w:r w:rsidR="004165AE">
              <w:rPr>
                <w:noProof/>
                <w:webHidden/>
              </w:rPr>
              <w:fldChar w:fldCharType="separate"/>
            </w:r>
            <w:r w:rsidR="004165AE">
              <w:rPr>
                <w:noProof/>
                <w:webHidden/>
              </w:rPr>
              <w:t>22</w:t>
            </w:r>
            <w:r w:rsidR="004165AE">
              <w:rPr>
                <w:noProof/>
                <w:webHidden/>
              </w:rPr>
              <w:fldChar w:fldCharType="end"/>
            </w:r>
          </w:hyperlink>
        </w:p>
        <w:p w:rsidR="00FD455B" w:rsidRDefault="00FD455B" w14:paraId="2B9D918B" w14:textId="41653D94">
          <w:r>
            <w:rPr>
              <w:b/>
              <w:bCs/>
              <w:noProof/>
            </w:rPr>
            <w:fldChar w:fldCharType="end"/>
          </w:r>
        </w:p>
      </w:sdtContent>
    </w:sdt>
    <w:p w:rsidR="00D37D41" w:rsidP="00BB2551" w:rsidRDefault="00D37D41" w14:paraId="39EECEC1" w14:textId="77777777"/>
    <w:p w:rsidR="00FE7F4A" w:rsidRDefault="00FE7F4A" w14:paraId="3D9B091C" w14:textId="77777777">
      <w:pPr>
        <w:rPr>
          <w:color w:val="0070C0"/>
          <w:sz w:val="28"/>
          <w:szCs w:val="28"/>
        </w:rPr>
      </w:pPr>
      <w:r>
        <w:rPr>
          <w:color w:val="0070C0"/>
          <w:sz w:val="28"/>
          <w:szCs w:val="28"/>
        </w:rPr>
        <w:br w:type="page"/>
      </w:r>
    </w:p>
    <w:p w:rsidRPr="004B11C4" w:rsidR="00D37D41" w:rsidP="004B11C4" w:rsidRDefault="00B4217A" w14:paraId="1AE4EE95" w14:textId="43AA6A13">
      <w:pPr>
        <w:rPr>
          <w:rStyle w:val="normaltextrun"/>
          <w:rFonts w:cs="Segoe UI"/>
        </w:rPr>
      </w:pPr>
      <w:r w:rsidRPr="004B11C4">
        <w:rPr>
          <w:rStyle w:val="normaltextrun"/>
          <w:rFonts w:cs="Segoe UI"/>
        </w:rPr>
        <w:lastRenderedPageBreak/>
        <w:t>Abbreviations</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0"/>
        <w:gridCol w:w="7820"/>
      </w:tblGrid>
      <w:tr w:rsidR="00B4217A" w:rsidTr="00B4217A" w14:paraId="58F9A766" w14:textId="77777777">
        <w:tc>
          <w:tcPr>
            <w:tcW w:w="1530" w:type="dxa"/>
          </w:tcPr>
          <w:p w:rsidR="00B4217A" w:rsidP="0038728D" w:rsidRDefault="00B4217A" w14:paraId="31EE1DAD" w14:textId="77777777">
            <w:r>
              <w:t>ATSDR</w:t>
            </w:r>
          </w:p>
        </w:tc>
        <w:tc>
          <w:tcPr>
            <w:tcW w:w="7820" w:type="dxa"/>
          </w:tcPr>
          <w:p w:rsidR="00B4217A" w:rsidP="0038728D" w:rsidRDefault="00B4217A" w14:paraId="16F53B89" w14:textId="77777777">
            <w:r>
              <w:t>Agency for Toxic Substances and Disease Registry</w:t>
            </w:r>
          </w:p>
        </w:tc>
      </w:tr>
      <w:tr w:rsidR="004B11C4" w:rsidTr="00B4217A" w14:paraId="332F3006" w14:textId="77777777">
        <w:tc>
          <w:tcPr>
            <w:tcW w:w="1530" w:type="dxa"/>
          </w:tcPr>
          <w:p w:rsidR="004B11C4" w:rsidP="0038728D" w:rsidRDefault="004B11C4" w14:paraId="1AA7DFA2" w14:textId="4ABD784E">
            <w:r>
              <w:t>CITI</w:t>
            </w:r>
          </w:p>
        </w:tc>
        <w:tc>
          <w:tcPr>
            <w:tcW w:w="7820" w:type="dxa"/>
          </w:tcPr>
          <w:p w:rsidR="004B11C4" w:rsidP="0038728D" w:rsidRDefault="004B11C4" w14:paraId="353AFE01" w14:textId="6391E0CC">
            <w:r>
              <w:t>Collaborative Institutional Training Initiative</w:t>
            </w:r>
          </w:p>
        </w:tc>
      </w:tr>
      <w:tr w:rsidR="004B11C4" w:rsidTr="00B4217A" w14:paraId="4DD103D4" w14:textId="77777777">
        <w:tc>
          <w:tcPr>
            <w:tcW w:w="1530" w:type="dxa"/>
          </w:tcPr>
          <w:p w:rsidR="004B11C4" w:rsidP="0038728D" w:rsidRDefault="004B11C4" w14:paraId="6561A98D" w14:textId="1D9F0E5B">
            <w:r>
              <w:t>CDC</w:t>
            </w:r>
          </w:p>
        </w:tc>
        <w:tc>
          <w:tcPr>
            <w:tcW w:w="7820" w:type="dxa"/>
          </w:tcPr>
          <w:p w:rsidR="004B11C4" w:rsidP="0038728D" w:rsidRDefault="004B11C4" w14:paraId="6EB26B73" w14:textId="1FFF1B8B">
            <w:r>
              <w:t>Centers for Disease Control and Prevention</w:t>
            </w:r>
          </w:p>
        </w:tc>
      </w:tr>
      <w:tr w:rsidR="004B11C4" w:rsidTr="00B4217A" w14:paraId="5020C447" w14:textId="77777777">
        <w:tc>
          <w:tcPr>
            <w:tcW w:w="1530" w:type="dxa"/>
          </w:tcPr>
          <w:p w:rsidR="004B11C4" w:rsidP="0038728D" w:rsidRDefault="004B11C4" w14:paraId="7BBA3166" w14:textId="4F4C2206">
            <w:r>
              <w:t>CSIRT</w:t>
            </w:r>
          </w:p>
        </w:tc>
        <w:tc>
          <w:tcPr>
            <w:tcW w:w="7820" w:type="dxa"/>
          </w:tcPr>
          <w:p w:rsidRPr="004B11C4" w:rsidR="004B11C4" w:rsidP="0038728D" w:rsidRDefault="004B11C4" w14:paraId="31060CAB" w14:textId="485CE2B9">
            <w:pPr>
              <w:rPr>
                <w:rFonts w:eastAsia="Times New Roman" w:cs="Times New Roman"/>
              </w:rPr>
            </w:pPr>
            <w:r w:rsidRPr="000B7EF6">
              <w:rPr>
                <w:rFonts w:eastAsia="Times New Roman" w:cs="Times New Roman"/>
              </w:rPr>
              <w:t>CDC Security Incident Response Team</w:t>
            </w:r>
          </w:p>
        </w:tc>
      </w:tr>
      <w:tr w:rsidR="004B11C4" w:rsidTr="00B4217A" w14:paraId="73C48D49" w14:textId="77777777">
        <w:tc>
          <w:tcPr>
            <w:tcW w:w="1530" w:type="dxa"/>
          </w:tcPr>
          <w:p w:rsidR="004B11C4" w:rsidP="0038728D" w:rsidRDefault="004B11C4" w14:paraId="6A6B0AF8" w14:textId="6DEF3920">
            <w:r>
              <w:t>DM</w:t>
            </w:r>
          </w:p>
        </w:tc>
        <w:tc>
          <w:tcPr>
            <w:tcW w:w="7820" w:type="dxa"/>
          </w:tcPr>
          <w:p w:rsidR="004B11C4" w:rsidP="0038728D" w:rsidRDefault="004B11C4" w14:paraId="2790A988" w14:textId="3636059C">
            <w:r>
              <w:t>Data Management</w:t>
            </w:r>
          </w:p>
        </w:tc>
      </w:tr>
      <w:tr w:rsidR="004B11C4" w:rsidTr="00B4217A" w14:paraId="12CB1538" w14:textId="77777777">
        <w:tc>
          <w:tcPr>
            <w:tcW w:w="1530" w:type="dxa"/>
          </w:tcPr>
          <w:p w:rsidR="004B11C4" w:rsidP="0038728D" w:rsidRDefault="004B11C4" w14:paraId="2B99ADDE" w14:textId="480DCCCF">
            <w:r>
              <w:t>DMP</w:t>
            </w:r>
          </w:p>
        </w:tc>
        <w:tc>
          <w:tcPr>
            <w:tcW w:w="7820" w:type="dxa"/>
          </w:tcPr>
          <w:p w:rsidR="004B11C4" w:rsidP="0038728D" w:rsidRDefault="004B11C4" w14:paraId="41AFDD56" w14:textId="65AB681A">
            <w:r>
              <w:t>Data Management Plan</w:t>
            </w:r>
          </w:p>
        </w:tc>
      </w:tr>
      <w:tr w:rsidR="004B11C4" w:rsidTr="00B4217A" w14:paraId="744763AB" w14:textId="77777777">
        <w:tc>
          <w:tcPr>
            <w:tcW w:w="1530" w:type="dxa"/>
          </w:tcPr>
          <w:p w:rsidR="004B11C4" w:rsidP="0038728D" w:rsidRDefault="004B11C4" w14:paraId="01AE8A16" w14:textId="5180D8D3">
            <w:r>
              <w:t>DUA</w:t>
            </w:r>
          </w:p>
        </w:tc>
        <w:tc>
          <w:tcPr>
            <w:tcW w:w="7820" w:type="dxa"/>
          </w:tcPr>
          <w:p w:rsidR="004B11C4" w:rsidP="0038728D" w:rsidRDefault="004B11C4" w14:paraId="1FF4254B" w14:textId="42F71ACA">
            <w:r>
              <w:t>Data Use Agreement</w:t>
            </w:r>
          </w:p>
        </w:tc>
      </w:tr>
      <w:tr w:rsidR="004B11C4" w:rsidTr="00B4217A" w14:paraId="58669CF0" w14:textId="77777777">
        <w:tc>
          <w:tcPr>
            <w:tcW w:w="1530" w:type="dxa"/>
          </w:tcPr>
          <w:p w:rsidR="004B11C4" w:rsidP="0038728D" w:rsidRDefault="004B11C4" w14:paraId="154D3400" w14:textId="58DE6D46">
            <w:r>
              <w:t>EA</w:t>
            </w:r>
          </w:p>
        </w:tc>
        <w:tc>
          <w:tcPr>
            <w:tcW w:w="7820" w:type="dxa"/>
          </w:tcPr>
          <w:p w:rsidR="004B11C4" w:rsidP="0038728D" w:rsidRDefault="004B11C4" w14:paraId="4DD0A569" w14:textId="2B599A62">
            <w:r>
              <w:t>PFAS Exposure Assessment</w:t>
            </w:r>
          </w:p>
        </w:tc>
      </w:tr>
      <w:tr w:rsidR="004B11C4" w:rsidTr="00B4217A" w14:paraId="5E5047A2" w14:textId="77777777">
        <w:tc>
          <w:tcPr>
            <w:tcW w:w="1530" w:type="dxa"/>
          </w:tcPr>
          <w:p w:rsidR="004B11C4" w:rsidP="0038728D" w:rsidRDefault="004B11C4" w14:paraId="1ECA9F60" w14:textId="3E056786">
            <w:r>
              <w:t>HHS</w:t>
            </w:r>
          </w:p>
        </w:tc>
        <w:tc>
          <w:tcPr>
            <w:tcW w:w="7820" w:type="dxa"/>
          </w:tcPr>
          <w:p w:rsidR="004B11C4" w:rsidP="0038728D" w:rsidRDefault="004B11C4" w14:paraId="5E50D6E0" w14:textId="2DBCC911">
            <w:r>
              <w:t>US Department of Health and Human Services</w:t>
            </w:r>
          </w:p>
        </w:tc>
      </w:tr>
      <w:tr w:rsidR="00B4217A" w:rsidTr="00B4217A" w14:paraId="68A7DF33" w14:textId="77777777">
        <w:tc>
          <w:tcPr>
            <w:tcW w:w="1530" w:type="dxa"/>
          </w:tcPr>
          <w:p w:rsidR="00B4217A" w:rsidP="0038728D" w:rsidRDefault="004B11C4" w14:paraId="7C97C978" w14:textId="5F5A02C5">
            <w:r>
              <w:t>ICR</w:t>
            </w:r>
          </w:p>
        </w:tc>
        <w:tc>
          <w:tcPr>
            <w:tcW w:w="7820" w:type="dxa"/>
          </w:tcPr>
          <w:p w:rsidR="00B4217A" w:rsidP="0038728D" w:rsidRDefault="004B11C4" w14:paraId="6619037E" w14:textId="65CB17FB">
            <w:r>
              <w:t>Information Collection Request</w:t>
            </w:r>
          </w:p>
        </w:tc>
      </w:tr>
      <w:tr w:rsidR="00B4217A" w:rsidTr="00B4217A" w14:paraId="1B7AA2BC" w14:textId="77777777">
        <w:tc>
          <w:tcPr>
            <w:tcW w:w="1530" w:type="dxa"/>
          </w:tcPr>
          <w:p w:rsidR="00B4217A" w:rsidP="0038728D" w:rsidRDefault="004B11C4" w14:paraId="0B2A8CFC" w14:textId="7B6D465B">
            <w:r>
              <w:t>IRB</w:t>
            </w:r>
          </w:p>
        </w:tc>
        <w:tc>
          <w:tcPr>
            <w:tcW w:w="7820" w:type="dxa"/>
          </w:tcPr>
          <w:p w:rsidR="00B4217A" w:rsidP="0038728D" w:rsidRDefault="004B11C4" w14:paraId="7A6F50C6" w14:textId="7E4D4427">
            <w:r>
              <w:t>Institutional Review Board</w:t>
            </w:r>
          </w:p>
        </w:tc>
      </w:tr>
      <w:tr w:rsidR="00B4217A" w:rsidTr="00B4217A" w14:paraId="0C854388" w14:textId="77777777">
        <w:tc>
          <w:tcPr>
            <w:tcW w:w="1530" w:type="dxa"/>
          </w:tcPr>
          <w:p w:rsidR="00B4217A" w:rsidP="0038728D" w:rsidRDefault="00B4217A" w14:paraId="4AC1C1DD" w14:textId="3E2A7374">
            <w:r>
              <w:t>ISSO</w:t>
            </w:r>
          </w:p>
        </w:tc>
        <w:tc>
          <w:tcPr>
            <w:tcW w:w="7820" w:type="dxa"/>
          </w:tcPr>
          <w:p w:rsidR="00B4217A" w:rsidP="0038728D" w:rsidRDefault="00B4217A" w14:paraId="063724A3" w14:textId="7D9BFF61">
            <w:r w:rsidRPr="000B7EF6">
              <w:rPr>
                <w:rFonts w:eastAsia="Times New Roman" w:cs="Times New Roman"/>
              </w:rPr>
              <w:t>Information Systems Security Officer</w:t>
            </w:r>
          </w:p>
        </w:tc>
      </w:tr>
      <w:tr w:rsidR="004B11C4" w:rsidTr="00B4217A" w14:paraId="35AAD0E2" w14:textId="77777777">
        <w:tc>
          <w:tcPr>
            <w:tcW w:w="1530" w:type="dxa"/>
          </w:tcPr>
          <w:p w:rsidR="004B11C4" w:rsidP="0038728D" w:rsidRDefault="004B11C4" w14:paraId="372BE193" w14:textId="4939BD2F">
            <w:r>
              <w:t>MOP</w:t>
            </w:r>
          </w:p>
        </w:tc>
        <w:tc>
          <w:tcPr>
            <w:tcW w:w="7820" w:type="dxa"/>
          </w:tcPr>
          <w:p w:rsidRPr="000B7EF6" w:rsidR="004B11C4" w:rsidP="0038728D" w:rsidRDefault="004B11C4" w14:paraId="29798332" w14:textId="56781D7E">
            <w:pPr>
              <w:rPr>
                <w:rFonts w:eastAsia="Times New Roman" w:cs="Times New Roman"/>
              </w:rPr>
            </w:pPr>
            <w:r>
              <w:rPr>
                <w:rFonts w:eastAsia="Times New Roman" w:cs="Times New Roman"/>
              </w:rPr>
              <w:t>Manual of Procedures</w:t>
            </w:r>
          </w:p>
        </w:tc>
      </w:tr>
      <w:tr w:rsidR="004B11C4" w:rsidTr="00B4217A" w14:paraId="294A5366" w14:textId="77777777">
        <w:tc>
          <w:tcPr>
            <w:tcW w:w="1530" w:type="dxa"/>
          </w:tcPr>
          <w:p w:rsidR="004B11C4" w:rsidP="0038728D" w:rsidRDefault="004B11C4" w14:paraId="725995E8" w14:textId="45A84DF3">
            <w:r>
              <w:t>MOU</w:t>
            </w:r>
          </w:p>
        </w:tc>
        <w:tc>
          <w:tcPr>
            <w:tcW w:w="7820" w:type="dxa"/>
          </w:tcPr>
          <w:p w:rsidRPr="004B11C4" w:rsidR="004B11C4" w:rsidP="0038728D" w:rsidRDefault="004B11C4" w14:paraId="71D8E807" w14:textId="6867E606">
            <w:r w:rsidRPr="000B7EF6">
              <w:rPr>
                <w:rFonts w:eastAsia="Times New Roman" w:cs="Times New Roman"/>
              </w:rPr>
              <w:t>Memorandum of Understanding</w:t>
            </w:r>
          </w:p>
        </w:tc>
      </w:tr>
      <w:tr w:rsidR="004B11C4" w:rsidTr="00B4217A" w14:paraId="0B385199" w14:textId="77777777">
        <w:tc>
          <w:tcPr>
            <w:tcW w:w="1530" w:type="dxa"/>
          </w:tcPr>
          <w:p w:rsidR="004B11C4" w:rsidP="0038728D" w:rsidRDefault="004B11C4" w14:paraId="705D087D" w14:textId="387996B8">
            <w:r>
              <w:t>MUST</w:t>
            </w:r>
          </w:p>
        </w:tc>
        <w:tc>
          <w:tcPr>
            <w:tcW w:w="7820" w:type="dxa"/>
          </w:tcPr>
          <w:p w:rsidRPr="000B7EF6" w:rsidR="004B11C4" w:rsidP="0038728D" w:rsidRDefault="004B11C4" w14:paraId="3C1BA290" w14:textId="7A1F78E3">
            <w:pPr>
              <w:rPr>
                <w:rFonts w:eastAsia="Times New Roman" w:cs="Times New Roman"/>
              </w:rPr>
            </w:pPr>
            <w:r>
              <w:t>Multi-User Share Tool</w:t>
            </w:r>
          </w:p>
        </w:tc>
      </w:tr>
      <w:tr w:rsidR="004B11C4" w:rsidTr="00B4217A" w14:paraId="20F5DB94" w14:textId="77777777">
        <w:tc>
          <w:tcPr>
            <w:tcW w:w="1530" w:type="dxa"/>
          </w:tcPr>
          <w:p w:rsidR="004B11C4" w:rsidP="0038728D" w:rsidRDefault="004B11C4" w14:paraId="313FC8AA" w14:textId="02B13242">
            <w:r>
              <w:t>NCEH</w:t>
            </w:r>
          </w:p>
        </w:tc>
        <w:tc>
          <w:tcPr>
            <w:tcW w:w="7820" w:type="dxa"/>
          </w:tcPr>
          <w:p w:rsidRPr="000B7EF6" w:rsidR="004B11C4" w:rsidP="0038728D" w:rsidRDefault="004B11C4" w14:paraId="7701F3E0" w14:textId="45FBEE11">
            <w:pPr>
              <w:rPr>
                <w:rFonts w:eastAsia="Times New Roman" w:cs="Times New Roman"/>
              </w:rPr>
            </w:pPr>
            <w:r>
              <w:t>National Center for Environmental Health</w:t>
            </w:r>
          </w:p>
        </w:tc>
      </w:tr>
      <w:tr w:rsidR="004B11C4" w:rsidTr="00B4217A" w14:paraId="6A989385" w14:textId="77777777">
        <w:tc>
          <w:tcPr>
            <w:tcW w:w="1530" w:type="dxa"/>
          </w:tcPr>
          <w:p w:rsidR="004B11C4" w:rsidP="0038728D" w:rsidRDefault="004B11C4" w14:paraId="70C23DCD" w14:textId="0A7879C1">
            <w:r>
              <w:t>OMB</w:t>
            </w:r>
          </w:p>
        </w:tc>
        <w:tc>
          <w:tcPr>
            <w:tcW w:w="7820" w:type="dxa"/>
          </w:tcPr>
          <w:p w:rsidRPr="000B7EF6" w:rsidR="004B11C4" w:rsidP="0038728D" w:rsidRDefault="004B11C4" w14:paraId="66C9E665" w14:textId="70D2F4ED">
            <w:pPr>
              <w:rPr>
                <w:rFonts w:eastAsia="Times New Roman" w:cs="Times New Roman"/>
              </w:rPr>
            </w:pPr>
            <w:r>
              <w:t>Office of Management and Budget</w:t>
            </w:r>
          </w:p>
        </w:tc>
      </w:tr>
      <w:tr w:rsidR="00B4217A" w:rsidTr="00B4217A" w14:paraId="6CDA9347" w14:textId="77777777">
        <w:tc>
          <w:tcPr>
            <w:tcW w:w="1530" w:type="dxa"/>
          </w:tcPr>
          <w:p w:rsidR="00B4217A" w:rsidP="0038728D" w:rsidRDefault="004B11C4" w14:paraId="6F7C625D" w14:textId="210976FC">
            <w:r>
              <w:t>PEATT</w:t>
            </w:r>
          </w:p>
        </w:tc>
        <w:tc>
          <w:tcPr>
            <w:tcW w:w="7820" w:type="dxa"/>
          </w:tcPr>
          <w:p w:rsidR="00B4217A" w:rsidP="0038728D" w:rsidRDefault="004B11C4" w14:paraId="11D67F33" w14:textId="58640366">
            <w:r>
              <w:t>PFAS Exposure Assessment Technical Tools</w:t>
            </w:r>
          </w:p>
        </w:tc>
      </w:tr>
      <w:tr w:rsidR="00B4217A" w:rsidTr="00B4217A" w14:paraId="40F8AC0F" w14:textId="77777777">
        <w:tc>
          <w:tcPr>
            <w:tcW w:w="1530" w:type="dxa"/>
          </w:tcPr>
          <w:p w:rsidR="00B4217A" w:rsidP="0038728D" w:rsidRDefault="004B11C4" w14:paraId="1850FD23" w14:textId="077FEC14">
            <w:r>
              <w:t>PFAS</w:t>
            </w:r>
          </w:p>
        </w:tc>
        <w:tc>
          <w:tcPr>
            <w:tcW w:w="7820" w:type="dxa"/>
          </w:tcPr>
          <w:p w:rsidR="00B4217A" w:rsidP="0038728D" w:rsidRDefault="004B11C4" w14:paraId="760BE261" w14:textId="7F629BD8">
            <w:r>
              <w:t>Per- and Polyfluoroalkyl Substances</w:t>
            </w:r>
          </w:p>
        </w:tc>
      </w:tr>
      <w:tr w:rsidR="00B4217A" w:rsidTr="00B4217A" w14:paraId="34B08FE8" w14:textId="77777777">
        <w:tc>
          <w:tcPr>
            <w:tcW w:w="1530" w:type="dxa"/>
          </w:tcPr>
          <w:p w:rsidR="00B4217A" w:rsidP="0038728D" w:rsidRDefault="004B11C4" w14:paraId="1EED8901" w14:textId="12677B91">
            <w:r>
              <w:t>PI</w:t>
            </w:r>
          </w:p>
        </w:tc>
        <w:tc>
          <w:tcPr>
            <w:tcW w:w="7820" w:type="dxa"/>
          </w:tcPr>
          <w:p w:rsidR="00B4217A" w:rsidP="0038728D" w:rsidRDefault="004B11C4" w14:paraId="19AD9EC4" w14:textId="7481AC14">
            <w:r>
              <w:t>Principal Investigator</w:t>
            </w:r>
          </w:p>
        </w:tc>
      </w:tr>
      <w:tr w:rsidR="004B11C4" w:rsidTr="00B4217A" w14:paraId="6B676818" w14:textId="77777777">
        <w:tc>
          <w:tcPr>
            <w:tcW w:w="1530" w:type="dxa"/>
          </w:tcPr>
          <w:p w:rsidR="004B11C4" w:rsidP="0038728D" w:rsidRDefault="004B11C4" w14:paraId="1BAF80A9" w14:textId="6D0028DE">
            <w:r>
              <w:t>PIA</w:t>
            </w:r>
          </w:p>
        </w:tc>
        <w:tc>
          <w:tcPr>
            <w:tcW w:w="7820" w:type="dxa"/>
          </w:tcPr>
          <w:p w:rsidR="004B11C4" w:rsidP="0038728D" w:rsidRDefault="004B11C4" w14:paraId="36E7885F" w14:textId="4F959F05">
            <w:r>
              <w:t>Privacy Impact Assessment</w:t>
            </w:r>
          </w:p>
        </w:tc>
      </w:tr>
      <w:tr w:rsidR="004B11C4" w:rsidTr="00B4217A" w14:paraId="4838BC29" w14:textId="77777777">
        <w:tc>
          <w:tcPr>
            <w:tcW w:w="1530" w:type="dxa"/>
          </w:tcPr>
          <w:p w:rsidR="004B11C4" w:rsidP="0038728D" w:rsidRDefault="004B11C4" w14:paraId="7014B252" w14:textId="1B43DBDE">
            <w:r>
              <w:t>PII</w:t>
            </w:r>
          </w:p>
        </w:tc>
        <w:tc>
          <w:tcPr>
            <w:tcW w:w="7820" w:type="dxa"/>
          </w:tcPr>
          <w:p w:rsidR="004B11C4" w:rsidP="0038728D" w:rsidRDefault="004B11C4" w14:paraId="6509E8E6" w14:textId="30F8FADC">
            <w:r w:rsidRPr="000B7EF6">
              <w:rPr>
                <w:rFonts w:eastAsia="Times New Roman" w:cs="Times New Roman"/>
              </w:rPr>
              <w:t>Personal Identifiable Information</w:t>
            </w:r>
          </w:p>
        </w:tc>
      </w:tr>
      <w:tr w:rsidR="004B11C4" w:rsidTr="00B4217A" w14:paraId="479197C0" w14:textId="77777777">
        <w:tc>
          <w:tcPr>
            <w:tcW w:w="1530" w:type="dxa"/>
          </w:tcPr>
          <w:p w:rsidR="004B11C4" w:rsidP="0038728D" w:rsidRDefault="004B11C4" w14:paraId="7CA0E6FD" w14:textId="7703BFA8">
            <w:r>
              <w:t>PRA</w:t>
            </w:r>
          </w:p>
        </w:tc>
        <w:tc>
          <w:tcPr>
            <w:tcW w:w="7820" w:type="dxa"/>
          </w:tcPr>
          <w:p w:rsidR="004B11C4" w:rsidP="0038728D" w:rsidRDefault="004B11C4" w14:paraId="43CA6BAD" w14:textId="0196CCB8">
            <w:r>
              <w:t>Paperwork Reduction Act</w:t>
            </w:r>
          </w:p>
        </w:tc>
      </w:tr>
      <w:tr w:rsidR="004B11C4" w:rsidTr="00B4217A" w14:paraId="0A61F431" w14:textId="77777777">
        <w:tc>
          <w:tcPr>
            <w:tcW w:w="1530" w:type="dxa"/>
          </w:tcPr>
          <w:p w:rsidR="004B11C4" w:rsidP="0038728D" w:rsidRDefault="004B11C4" w14:paraId="244FA0B4" w14:textId="619A43F4">
            <w:r>
              <w:t>RCR</w:t>
            </w:r>
          </w:p>
        </w:tc>
        <w:tc>
          <w:tcPr>
            <w:tcW w:w="7820" w:type="dxa"/>
          </w:tcPr>
          <w:p w:rsidR="004B11C4" w:rsidP="0038728D" w:rsidRDefault="004B11C4" w14:paraId="1DD4DE54" w14:textId="45000140">
            <w:r>
              <w:t>Responsible Conduct in Research</w:t>
            </w:r>
          </w:p>
        </w:tc>
      </w:tr>
      <w:tr w:rsidR="004B11C4" w:rsidTr="00B4217A" w14:paraId="26E72D58" w14:textId="77777777">
        <w:tc>
          <w:tcPr>
            <w:tcW w:w="1530" w:type="dxa"/>
          </w:tcPr>
          <w:p w:rsidR="004B11C4" w:rsidP="0038728D" w:rsidRDefault="004B11C4" w14:paraId="3517A9F8" w14:textId="57BE559F">
            <w:r>
              <w:t>ROB</w:t>
            </w:r>
          </w:p>
        </w:tc>
        <w:tc>
          <w:tcPr>
            <w:tcW w:w="7820" w:type="dxa"/>
          </w:tcPr>
          <w:p w:rsidR="004B11C4" w:rsidP="0038728D" w:rsidRDefault="004B11C4" w14:paraId="67E06748" w14:textId="52874345">
            <w:r>
              <w:t>Rules of Behavior</w:t>
            </w:r>
          </w:p>
        </w:tc>
      </w:tr>
      <w:tr w:rsidR="00B4217A" w:rsidTr="00B4217A" w14:paraId="0BBDC4DA" w14:textId="77777777">
        <w:tc>
          <w:tcPr>
            <w:tcW w:w="1530" w:type="dxa"/>
          </w:tcPr>
          <w:p w:rsidR="00B4217A" w:rsidP="0038728D" w:rsidRDefault="004B11C4" w14:paraId="7691FD98" w14:textId="50D1A678">
            <w:r>
              <w:t>SAMS</w:t>
            </w:r>
          </w:p>
        </w:tc>
        <w:tc>
          <w:tcPr>
            <w:tcW w:w="7820" w:type="dxa"/>
          </w:tcPr>
          <w:p w:rsidR="00B4217A" w:rsidP="0038728D" w:rsidRDefault="004B11C4" w14:paraId="687C8316" w14:textId="658D0FDD">
            <w:r>
              <w:t>Secure Access Management Services</w:t>
            </w:r>
          </w:p>
        </w:tc>
      </w:tr>
      <w:tr w:rsidR="00B4217A" w:rsidTr="00B4217A" w14:paraId="4CDCD975" w14:textId="77777777">
        <w:tc>
          <w:tcPr>
            <w:tcW w:w="1530" w:type="dxa"/>
          </w:tcPr>
          <w:p w:rsidR="00B4217A" w:rsidP="0038728D" w:rsidRDefault="00B4217A" w14:paraId="0A359B37" w14:textId="598DD932">
            <w:r>
              <w:t>SAT</w:t>
            </w:r>
          </w:p>
        </w:tc>
        <w:tc>
          <w:tcPr>
            <w:tcW w:w="7820" w:type="dxa"/>
          </w:tcPr>
          <w:p w:rsidR="00B4217A" w:rsidP="0038728D" w:rsidRDefault="00B4217A" w14:paraId="4590536A" w14:textId="31D227AF">
            <w:r>
              <w:t>Security and Awareness Training</w:t>
            </w:r>
          </w:p>
        </w:tc>
      </w:tr>
    </w:tbl>
    <w:p w:rsidR="00D37D41" w:rsidP="00D37D41" w:rsidRDefault="00D37D41" w14:paraId="5A5F93FF" w14:textId="77777777">
      <w:pPr>
        <w:pStyle w:val="paragraph"/>
        <w:spacing w:before="0" w:beforeAutospacing="0" w:after="0" w:afterAutospacing="0"/>
        <w:textAlignment w:val="baseline"/>
        <w:rPr>
          <w:rStyle w:val="normaltextrun"/>
          <w:rFonts w:cs="Segoe UI" w:asciiTheme="minorHAnsi" w:hAnsiTheme="minorHAnsi"/>
          <w:sz w:val="22"/>
          <w:szCs w:val="22"/>
        </w:rPr>
      </w:pPr>
    </w:p>
    <w:p w:rsidR="00D37D41" w:rsidP="000B7EF6" w:rsidRDefault="00D37D41" w14:paraId="46F2E313" w14:textId="77777777">
      <w:pPr>
        <w:pStyle w:val="paragraph"/>
        <w:spacing w:before="0" w:beforeAutospacing="0" w:after="0" w:afterAutospacing="0"/>
        <w:jc w:val="center"/>
        <w:textAlignment w:val="baseline"/>
        <w:rPr>
          <w:rStyle w:val="normaltextrun"/>
          <w:rFonts w:cs="Segoe UI" w:asciiTheme="minorHAnsi" w:hAnsiTheme="minorHAnsi"/>
          <w:sz w:val="22"/>
          <w:szCs w:val="22"/>
        </w:rPr>
      </w:pPr>
    </w:p>
    <w:p w:rsidR="004B11C4" w:rsidRDefault="004B11C4" w14:paraId="6E3B145E" w14:textId="77777777">
      <w:pPr>
        <w:rPr>
          <w:rFonts w:asciiTheme="majorHAnsi" w:hAnsiTheme="majorHAnsi" w:eastAsiaTheme="majorEastAsia" w:cstheme="majorBidi"/>
          <w:color w:val="2F5496" w:themeColor="accent1" w:themeShade="BF"/>
          <w:sz w:val="32"/>
          <w:szCs w:val="32"/>
        </w:rPr>
      </w:pPr>
      <w:r>
        <w:br w:type="page"/>
      </w:r>
    </w:p>
    <w:p w:rsidRPr="005A5982" w:rsidR="00D37D41" w:rsidP="007D65A5" w:rsidRDefault="007C2526" w14:paraId="24D6CF41" w14:textId="7CE5186E">
      <w:pPr>
        <w:pStyle w:val="Heading1"/>
        <w:rPr>
          <w:rStyle w:val="normaltextrun"/>
          <w:color w:val="0070C0"/>
          <w:sz w:val="28"/>
          <w:szCs w:val="28"/>
        </w:rPr>
      </w:pPr>
      <w:bookmarkStart w:name="_Toc92192110" w:id="0"/>
      <w:r>
        <w:lastRenderedPageBreak/>
        <w:t xml:space="preserve">1.0. </w:t>
      </w:r>
      <w:r w:rsidRPr="005A5982" w:rsidR="00D37D41">
        <w:t>Introduction</w:t>
      </w:r>
      <w:bookmarkEnd w:id="0"/>
    </w:p>
    <w:p w:rsidR="005A5982" w:rsidP="005A5982" w:rsidRDefault="005A5982" w14:paraId="1B46079C" w14:textId="77777777">
      <w:pPr>
        <w:spacing w:after="0"/>
      </w:pPr>
    </w:p>
    <w:p w:rsidR="00D37D41" w:rsidP="005A5982" w:rsidRDefault="00D37D41" w14:paraId="2109C9D3" w14:textId="405CB42B">
      <w:pPr>
        <w:spacing w:after="0"/>
      </w:pPr>
      <w:r w:rsidRPr="00B82D64">
        <w:t>This Manual of Procedures (MOP) is a handbook that details</w:t>
      </w:r>
      <w:r>
        <w:t xml:space="preserve"> this study’s</w:t>
      </w:r>
      <w:r w:rsidRPr="00B82D64">
        <w:t xml:space="preserve"> conduct and operations </w:t>
      </w:r>
      <w:r>
        <w:t xml:space="preserve">as well as facilitates consistency in data management practices across users of the data. </w:t>
      </w:r>
      <w:r w:rsidRPr="00B82D64">
        <w:t xml:space="preserve">This MOP provides guidance on how to implement data collection. </w:t>
      </w:r>
      <w:r>
        <w:rPr>
          <w:rFonts w:ascii="Calibri" w:hAnsi="Calibri"/>
          <w:color w:val="000000"/>
          <w:shd w:val="clear" w:color="auto" w:fill="FFFFFF"/>
        </w:rPr>
        <w:t>The MOP is provided to each member of the Study Team.</w:t>
      </w:r>
      <w:r>
        <w:t xml:space="preserve"> </w:t>
      </w:r>
      <w:r w:rsidRPr="00B82D64">
        <w:t xml:space="preserve">The Office of Management and Budget (OMB) approved the information collection request (ICR) under the Paperwork Reduction Act (PRA) </w:t>
      </w:r>
      <w:r>
        <w:t xml:space="preserve">on </w:t>
      </w:r>
      <w:r w:rsidRPr="006869C9">
        <w:rPr>
          <w:highlight w:val="yellow"/>
        </w:rPr>
        <w:t>XX/XX/XXXX</w:t>
      </w:r>
      <w:r w:rsidRPr="00B82D64">
        <w:t xml:space="preserve"> (OMB Control No. </w:t>
      </w:r>
      <w:r w:rsidRPr="006869C9">
        <w:rPr>
          <w:highlight w:val="yellow"/>
        </w:rPr>
        <w:t>XX-XXXX</w:t>
      </w:r>
      <w:r w:rsidRPr="00B82D64">
        <w:t>, expiration date</w:t>
      </w:r>
      <w:r>
        <w:t xml:space="preserve"> </w:t>
      </w:r>
      <w:r w:rsidRPr="006869C9">
        <w:rPr>
          <w:highlight w:val="yellow"/>
        </w:rPr>
        <w:t>XX/XX/XXXX</w:t>
      </w:r>
      <w:r w:rsidRPr="00B82D64">
        <w:t>)</w:t>
      </w:r>
      <w:r>
        <w:t xml:space="preserve">. The </w:t>
      </w:r>
      <w:r>
        <w:rPr>
          <w:rStyle w:val="normaltextrun"/>
          <w:rFonts w:ascii="Calibri" w:hAnsi="Calibri"/>
          <w:color w:val="000000"/>
          <w:shd w:val="clear" w:color="auto" w:fill="FFFFFF"/>
        </w:rPr>
        <w:t>Study Protocol </w:t>
      </w:r>
      <w:r w:rsidR="00600B8B">
        <w:rPr>
          <w:rStyle w:val="normaltextrun"/>
          <w:rFonts w:ascii="Calibri" w:hAnsi="Calibri"/>
          <w:color w:val="000000"/>
          <w:shd w:val="clear" w:color="auto" w:fill="FFFFFF"/>
        </w:rPr>
        <w:t xml:space="preserve">7360.0 </w:t>
      </w:r>
      <w:r>
        <w:rPr>
          <w:rStyle w:val="normaltextrun"/>
          <w:rFonts w:ascii="Calibri" w:hAnsi="Calibri"/>
          <w:color w:val="000000"/>
          <w:shd w:val="clear" w:color="auto" w:fill="FFFFFF"/>
        </w:rPr>
        <w:t>was approved by the CDC Institutional Review Board (IRB) on </w:t>
      </w:r>
      <w:r w:rsidR="00600B8B">
        <w:rPr>
          <w:rStyle w:val="normaltextrun"/>
          <w:rFonts w:ascii="Calibri" w:hAnsi="Calibri"/>
          <w:color w:val="000000"/>
          <w:highlight w:val="yellow"/>
          <w:shd w:val="clear" w:color="auto" w:fill="FFFFFF"/>
        </w:rPr>
        <w:t>11/16</w:t>
      </w:r>
      <w:r w:rsidRPr="006869C9">
        <w:rPr>
          <w:rStyle w:val="normaltextrun"/>
          <w:rFonts w:ascii="Calibri" w:hAnsi="Calibri"/>
          <w:color w:val="000000"/>
          <w:highlight w:val="yellow"/>
          <w:shd w:val="clear" w:color="auto" w:fill="FFFFFF"/>
        </w:rPr>
        <w:t>/2021</w:t>
      </w:r>
      <w:r>
        <w:rPr>
          <w:rStyle w:val="normaltextrun"/>
          <w:rFonts w:ascii="Calibri" w:hAnsi="Calibri"/>
          <w:color w:val="000000"/>
          <w:shd w:val="clear" w:color="auto" w:fill="FFFFFF"/>
        </w:rPr>
        <w:t xml:space="preserve">.  Current IRB Approval of Continuation expires </w:t>
      </w:r>
      <w:r w:rsidR="00C543D8">
        <w:rPr>
          <w:rStyle w:val="normaltextrun"/>
          <w:rFonts w:ascii="Calibri" w:hAnsi="Calibri"/>
          <w:color w:val="000000"/>
          <w:shd w:val="clear" w:color="auto" w:fill="FFFFFF"/>
        </w:rPr>
        <w:t>11/14/2022</w:t>
      </w:r>
      <w:r>
        <w:rPr>
          <w:rStyle w:val="normaltextrun"/>
          <w:rFonts w:ascii="Calibri" w:hAnsi="Calibri"/>
          <w:color w:val="000000"/>
          <w:shd w:val="clear" w:color="auto" w:fill="FFFFFF"/>
        </w:rPr>
        <w:t>.</w:t>
      </w:r>
    </w:p>
    <w:p w:rsidR="00D37D41" w:rsidP="00D37D41" w:rsidRDefault="00D37D41" w14:paraId="3CA3CA94" w14:textId="77777777">
      <w:pPr>
        <w:pStyle w:val="paragraph"/>
        <w:spacing w:before="0" w:beforeAutospacing="0" w:after="0" w:afterAutospacing="0"/>
        <w:textAlignment w:val="baseline"/>
        <w:rPr>
          <w:rStyle w:val="normaltextrun"/>
          <w:rFonts w:cs="Segoe UI" w:asciiTheme="minorHAnsi" w:hAnsiTheme="minorHAnsi"/>
          <w:sz w:val="22"/>
          <w:szCs w:val="22"/>
        </w:rPr>
      </w:pPr>
    </w:p>
    <w:p w:rsidRPr="00F67708" w:rsidR="00D37D41" w:rsidP="00745370" w:rsidRDefault="007C2526" w14:paraId="54D0150B" w14:textId="7BE73D27">
      <w:pPr>
        <w:pStyle w:val="Heading1"/>
      </w:pPr>
      <w:bookmarkStart w:name="_Toc92192111" w:id="1"/>
      <w:r>
        <w:t xml:space="preserve">2.0. </w:t>
      </w:r>
      <w:r w:rsidRPr="00F67708" w:rsidR="00D37D41">
        <w:t>Brief Overview of Study</w:t>
      </w:r>
      <w:bookmarkEnd w:id="1"/>
    </w:p>
    <w:p w:rsidR="005A5982" w:rsidP="005A5982" w:rsidRDefault="005A5982" w14:paraId="379ECCFD" w14:textId="77777777">
      <w:pPr>
        <w:spacing w:after="0"/>
      </w:pPr>
    </w:p>
    <w:p w:rsidR="00D37D41" w:rsidP="005A5982" w:rsidRDefault="00D37D41" w14:paraId="7A1C105B" w14:textId="55667297">
      <w:pPr>
        <w:spacing w:after="0"/>
      </w:pPr>
      <w:r>
        <w:t xml:space="preserve">In 2019 and 2020, the Agency for Toxic Substances and Disease Registry (ATSDR) conducted statistically based biomonitoring PFAS exposure assessments (EAs) in eight communities that had documented exposures to PFAS in drinking water. ATSDR also supported two EAs that were designed to test the PFAS Exposure Assessment Technical Tools (PEATT). PFAS concentrations were measured in serum collected from EA and PEATT assessment participants, and a </w:t>
      </w:r>
      <w:r w:rsidR="00E03F8F">
        <w:t>survey</w:t>
      </w:r>
      <w:r>
        <w:t xml:space="preserve"> was administered to gather information to characterize each individual’s exposure. During the same period, ATSDR initiated a health study at the Pease International Tradeport that included measurement of participants’ PFAS serum concentrations and collection of information about individual exposures.  </w:t>
      </w:r>
    </w:p>
    <w:p w:rsidR="00165FA4" w:rsidP="005A5982" w:rsidRDefault="00165FA4" w14:paraId="5646E6B7" w14:textId="77777777">
      <w:pPr>
        <w:spacing w:after="0"/>
      </w:pPr>
    </w:p>
    <w:p w:rsidR="00D37D41" w:rsidP="005A5982" w:rsidRDefault="00D37D41" w14:paraId="21AC6DDE" w14:textId="1454AF04">
      <w:pPr>
        <w:spacing w:after="0"/>
      </w:pPr>
      <w:r>
        <w:t>This protocol describes a follow-up study that will recruit participants (</w:t>
      </w:r>
      <w:r w:rsidR="00D6705C">
        <w:t>2,800</w:t>
      </w:r>
      <w:r>
        <w:t xml:space="preserve"> adults and </w:t>
      </w:r>
      <w:r w:rsidR="005040E2">
        <w:t xml:space="preserve">370 </w:t>
      </w:r>
      <w:r>
        <w:t>children) from the existing EA, PEATT assessment</w:t>
      </w:r>
      <w:r w:rsidR="005040E2">
        <w:t>,</w:t>
      </w:r>
      <w:r>
        <w:t xml:space="preserve"> and Pease Study cohorts who have existing PFAS serum measurements and who have given prior consent for additional contact from </w:t>
      </w:r>
      <w:r w:rsidR="00A43CA4">
        <w:t xml:space="preserve">ATSDR and </w:t>
      </w:r>
      <w:r w:rsidR="00BF6D8B">
        <w:t xml:space="preserve">the Centers for Disease Control and Prevention’s (CDC) </w:t>
      </w:r>
      <w:r>
        <w:t>National Center for Environmental Health (</w:t>
      </w:r>
      <w:r w:rsidR="00BF6D8B">
        <w:t>CDC</w:t>
      </w:r>
      <w:r>
        <w:t>/ATSDR).</w:t>
      </w:r>
    </w:p>
    <w:p w:rsidR="005A5982" w:rsidP="005A5982" w:rsidRDefault="005A5982" w14:paraId="4983672C" w14:textId="77777777">
      <w:pPr>
        <w:spacing w:after="0"/>
      </w:pPr>
    </w:p>
    <w:p w:rsidR="00D37D41" w:rsidP="005A5982" w:rsidRDefault="00BF6D8B" w14:paraId="6EFFAC65" w14:textId="792AD254">
      <w:pPr>
        <w:spacing w:after="0"/>
      </w:pPr>
      <w:r>
        <w:t>CDC</w:t>
      </w:r>
      <w:r w:rsidR="00D37D41">
        <w:t xml:space="preserve">/ATSDR will invite participants to complete a new series of </w:t>
      </w:r>
      <w:r w:rsidR="00E03F8F">
        <w:t>survey</w:t>
      </w:r>
      <w:r w:rsidR="00D37D41">
        <w:t xml:space="preserve">s to determine whether PFAS exposure increases susceptibility to viral infections, including, but not limited to, COVID-19. </w:t>
      </w:r>
      <w:r w:rsidR="00E03F8F">
        <w:t>Survey</w:t>
      </w:r>
      <w:r w:rsidR="00D37D41">
        <w:t xml:space="preserve">s (initial hardcopy delivered by mail, with follow-ups delivered through web-based CDC REDCap or optional hardcopy) will be administered in 5 rounds spaced by 3 months, over the course of one calendar year. In total, each participant will be asked to participate in the study for 12-14 months and will spend a total of about 2.5 hours responding to 5 total </w:t>
      </w:r>
      <w:r w:rsidR="00E03F8F">
        <w:t>survey</w:t>
      </w:r>
      <w:r w:rsidR="00D37D41">
        <w:t xml:space="preserve">s (i.e., each </w:t>
      </w:r>
      <w:r w:rsidR="00E03F8F">
        <w:t>survey</w:t>
      </w:r>
      <w:r w:rsidR="00D37D41">
        <w:t xml:space="preserve"> should take about 30 minutes to complete, and this will be done quarterly). </w:t>
      </w:r>
    </w:p>
    <w:p w:rsidR="005A5982" w:rsidP="005A5982" w:rsidRDefault="005A5982" w14:paraId="742E366D" w14:textId="77777777">
      <w:pPr>
        <w:spacing w:after="0"/>
      </w:pPr>
    </w:p>
    <w:p w:rsidR="00D37D41" w:rsidP="005A5982" w:rsidRDefault="00D37D41" w14:paraId="52A1496D" w14:textId="35FA4AE1">
      <w:pPr>
        <w:spacing w:after="0"/>
      </w:pPr>
      <w:r>
        <w:t xml:space="preserve">The objectives </w:t>
      </w:r>
      <w:r w:rsidR="00823E05">
        <w:t xml:space="preserve">of this study </w:t>
      </w:r>
      <w:r>
        <w:t>are: (1) to examine the association between PFAS concentrations in serum collected from existing ATSDR cohorts and the frequency of occurrence of selected syndromes (combinations of self-reported symptoms), which will be used as a proxy for viral infections; and, (2) to examine the association between PFAS concentrations in serum collected from existing ATSDR cohorts and self-reported positive test results indicating specific viral infections.</w:t>
      </w:r>
    </w:p>
    <w:p w:rsidR="005748C3" w:rsidP="005A5982" w:rsidRDefault="005748C3" w14:paraId="218C04B3" w14:textId="77777777">
      <w:pPr>
        <w:spacing w:after="0"/>
      </w:pPr>
    </w:p>
    <w:p w:rsidR="005748C3" w:rsidP="005A5982" w:rsidRDefault="005748C3" w14:paraId="0B7353CF" w14:textId="0DAB389C">
      <w:pPr>
        <w:spacing w:after="0"/>
      </w:pPr>
      <w:r>
        <w:t xml:space="preserve">Prior to initiation of the study, the </w:t>
      </w:r>
      <w:r w:rsidR="003960CC">
        <w:t xml:space="preserve">study team will conduct a pilot test of the </w:t>
      </w:r>
      <w:r w:rsidR="00031450">
        <w:t>initial and follow</w:t>
      </w:r>
      <w:r w:rsidR="00EF525B">
        <w:t xml:space="preserve">-up </w:t>
      </w:r>
      <w:r w:rsidR="00E03F8F">
        <w:t>survey</w:t>
      </w:r>
      <w:r w:rsidR="003960CC">
        <w:t>s</w:t>
      </w:r>
      <w:r w:rsidR="00821B8C">
        <w:t xml:space="preserve"> (</w:t>
      </w:r>
      <w:r w:rsidR="00BD648F">
        <w:t>adult and child)</w:t>
      </w:r>
      <w:r w:rsidR="003960CC">
        <w:t xml:space="preserve"> among 9 or fewer </w:t>
      </w:r>
      <w:r w:rsidR="00A77A49">
        <w:t>internal staff</w:t>
      </w:r>
      <w:r w:rsidR="00107F80">
        <w:t>.</w:t>
      </w:r>
      <w:r w:rsidR="00DE5278">
        <w:t xml:space="preserve">  Participants will complete </w:t>
      </w:r>
      <w:r w:rsidR="005769B2">
        <w:t xml:space="preserve">a hard copy of the </w:t>
      </w:r>
      <w:r w:rsidR="00E03F8F">
        <w:t>survey</w:t>
      </w:r>
      <w:r w:rsidR="00797ED6">
        <w:t xml:space="preserve">s and </w:t>
      </w:r>
      <w:r w:rsidR="009964FE">
        <w:t xml:space="preserve">then answer a series of questions </w:t>
      </w:r>
      <w:r w:rsidR="00E37738">
        <w:t xml:space="preserve">to assess comprehension, ease of use, and time burden </w:t>
      </w:r>
      <w:r w:rsidR="00923042">
        <w:lastRenderedPageBreak/>
        <w:t>associated with</w:t>
      </w:r>
      <w:r w:rsidR="00E37738">
        <w:t xml:space="preserve"> </w:t>
      </w:r>
      <w:r w:rsidR="00E03F8F">
        <w:t>survey</w:t>
      </w:r>
      <w:r w:rsidR="00E37738">
        <w:t>s.</w:t>
      </w:r>
      <w:r>
        <w:t xml:space="preserve"> </w:t>
      </w:r>
      <w:r w:rsidR="00923042">
        <w:t xml:space="preserve"> Participants will only submit the</w:t>
      </w:r>
      <w:r w:rsidR="00594E38">
        <w:t>ir answers to the pilot testing questions via email to the</w:t>
      </w:r>
      <w:r w:rsidR="00A677C4">
        <w:t xml:space="preserve"> study team</w:t>
      </w:r>
      <w:r w:rsidR="00813447">
        <w:t>.</w:t>
      </w:r>
    </w:p>
    <w:p w:rsidR="005A5982" w:rsidP="005A5982" w:rsidRDefault="005A5982" w14:paraId="6AB11B8F" w14:textId="31417168">
      <w:pPr>
        <w:spacing w:after="0"/>
      </w:pPr>
    </w:p>
    <w:p w:rsidR="00594E38" w:rsidP="00594E38" w:rsidRDefault="00594E38" w14:paraId="36A860AC" w14:textId="20BA5FC3">
      <w:pPr>
        <w:pStyle w:val="Heading1"/>
      </w:pPr>
      <w:bookmarkStart w:name="_Toc92192112" w:id="2"/>
      <w:r>
        <w:t>3.0. Study Staff</w:t>
      </w:r>
      <w:bookmarkEnd w:id="2"/>
    </w:p>
    <w:p w:rsidRPr="00744077" w:rsidR="002849E2" w:rsidP="002849E2" w:rsidRDefault="00D37D41" w14:paraId="55768D1C" w14:textId="0FCAE8B3">
      <w:r w:rsidRPr="00D37D41">
        <w:t xml:space="preserve">Study staff comprises scientists with backgrounds in medicine, environmental health science, epidemiology, toxicology, and public health from </w:t>
      </w:r>
      <w:r w:rsidR="00594E38">
        <w:t>CDC/</w:t>
      </w:r>
      <w:r w:rsidRPr="00D37D41">
        <w:t xml:space="preserve">NCEH and ATSDR. The study staff develops and conducts the investigation, evaluates the data, </w:t>
      </w:r>
      <w:r w:rsidR="00AA51CA">
        <w:t xml:space="preserve">analyzes the data, and prepares reports on the findings for publications. </w:t>
      </w:r>
      <w:r w:rsidR="002849E2">
        <w:t xml:space="preserve">Additionally, the study staff </w:t>
      </w:r>
      <w:r w:rsidRPr="002A248B" w:rsidR="002849E2">
        <w:t>will share the results from this study through community-facing mechanisms. As the study findings are being finalized, the study team will work with ATSDR communications to develop a roll-out plan on how to best share these results with community members. This could potentially include a webinar for community members, distribution of fact sheets, etc.</w:t>
      </w:r>
      <w:r w:rsidRPr="00AE2677" w:rsidR="002849E2">
        <w:t xml:space="preserve"> </w:t>
      </w:r>
    </w:p>
    <w:p w:rsidR="00D37D41" w:rsidP="005A5982" w:rsidRDefault="00D37D41" w14:paraId="0F9CB7EC" w14:textId="4010544C">
      <w:pPr>
        <w:spacing w:after="0"/>
      </w:pPr>
    </w:p>
    <w:p w:rsidR="005A5982" w:rsidP="005A5982" w:rsidRDefault="005A5982" w14:paraId="3E202EB2" w14:textId="437ACA3C">
      <w:pPr>
        <w:spacing w:after="0"/>
      </w:pPr>
    </w:p>
    <w:p w:rsidR="00DE4E86" w:rsidP="005A5982" w:rsidRDefault="00DE4E86" w14:paraId="58AD3105" w14:textId="764DD000">
      <w:pPr>
        <w:spacing w:after="0"/>
      </w:pPr>
      <w:r>
        <w:t xml:space="preserve">Initial phases of study planning have been conducted with the assistance of contract staff from Guidehouse. </w:t>
      </w:r>
      <w:r w:rsidR="002849E2">
        <w:t xml:space="preserve">Additionally, Guidehouse staff have helped develop </w:t>
      </w:r>
      <w:r w:rsidR="00B97E52">
        <w:t xml:space="preserve">a tracking database to assist </w:t>
      </w:r>
      <w:r w:rsidR="00BB0F4E">
        <w:t xml:space="preserve">iduring study implementation and tracking participants throughout the tenure of the study. </w:t>
      </w:r>
      <w:r w:rsidR="00801A16">
        <w:t xml:space="preserve">Guidehouse staff will not have access to any confidential, health-related data received from participants of this study. </w:t>
      </w:r>
    </w:p>
    <w:p w:rsidR="00A00FD7" w:rsidP="005A5982" w:rsidRDefault="00A00FD7" w14:paraId="2D416D6D" w14:textId="77777777">
      <w:pPr>
        <w:spacing w:after="0"/>
      </w:pPr>
    </w:p>
    <w:p w:rsidR="005A5982" w:rsidP="005A5982" w:rsidRDefault="005A5982" w14:paraId="05EAE2CE" w14:textId="77777777">
      <w:pPr>
        <w:spacing w:after="0"/>
      </w:pPr>
      <w:r>
        <w:t>The PIs and study staff, including regional personnel, perform duties including,</w:t>
      </w:r>
    </w:p>
    <w:p w:rsidR="005A5982" w:rsidP="0038728D" w:rsidRDefault="005A5982" w14:paraId="1F0BB4A2" w14:textId="77777777">
      <w:pPr>
        <w:pStyle w:val="ListParagraph"/>
        <w:numPr>
          <w:ilvl w:val="0"/>
          <w:numId w:val="10"/>
        </w:numPr>
        <w:spacing w:after="0"/>
      </w:pPr>
      <w:r>
        <w:t>Prepare a protocol for the study</w:t>
      </w:r>
    </w:p>
    <w:p w:rsidR="005A5982" w:rsidP="0038728D" w:rsidRDefault="005A5982" w14:paraId="1F1D5C62" w14:textId="77777777">
      <w:pPr>
        <w:pStyle w:val="ListParagraph"/>
        <w:numPr>
          <w:ilvl w:val="0"/>
          <w:numId w:val="10"/>
        </w:numPr>
        <w:spacing w:after="0"/>
      </w:pPr>
      <w:r>
        <w:t>Develop all recruitment materials (e.g., fact sheets, recruitment letters, postcards and posters, press releases, etc.)</w:t>
      </w:r>
    </w:p>
    <w:p w:rsidR="005A5982" w:rsidP="0038728D" w:rsidRDefault="005A5982" w14:paraId="446DD18D" w14:textId="7160AAB9">
      <w:pPr>
        <w:pStyle w:val="ListParagraph"/>
        <w:numPr>
          <w:ilvl w:val="0"/>
          <w:numId w:val="10"/>
        </w:numPr>
        <w:spacing w:after="0"/>
      </w:pPr>
      <w:r>
        <w:t xml:space="preserve">Develop all </w:t>
      </w:r>
      <w:r w:rsidR="00150C63">
        <w:t xml:space="preserve">data collection </w:t>
      </w:r>
      <w:r>
        <w:t xml:space="preserve">instruments, including consent forms and </w:t>
      </w:r>
      <w:r w:rsidR="00E03F8F">
        <w:t>survey</w:t>
      </w:r>
      <w:r>
        <w:t xml:space="preserve">s, that will be submitted to and approved by </w:t>
      </w:r>
      <w:r w:rsidR="00EE74E1">
        <w:t xml:space="preserve">IRB and </w:t>
      </w:r>
      <w:r>
        <w:t>OMB</w:t>
      </w:r>
    </w:p>
    <w:p w:rsidR="005A5982" w:rsidP="0038728D" w:rsidRDefault="005A5982" w14:paraId="440CDFAB" w14:textId="7242A752">
      <w:pPr>
        <w:pStyle w:val="ListParagraph"/>
        <w:numPr>
          <w:ilvl w:val="0"/>
          <w:numId w:val="10"/>
        </w:numPr>
        <w:spacing w:after="0"/>
      </w:pPr>
      <w:r>
        <w:t xml:space="preserve">Ensure compliance with </w:t>
      </w:r>
      <w:r w:rsidR="00516D91">
        <w:t xml:space="preserve">IRB and </w:t>
      </w:r>
      <w:r>
        <w:t>OMB requirements</w:t>
      </w:r>
    </w:p>
    <w:p w:rsidR="005A5982" w:rsidP="0038728D" w:rsidRDefault="005A5982" w14:paraId="3CED8DF8" w14:textId="77777777">
      <w:pPr>
        <w:pStyle w:val="ListParagraph"/>
        <w:numPr>
          <w:ilvl w:val="0"/>
          <w:numId w:val="10"/>
        </w:numPr>
        <w:spacing w:after="0"/>
      </w:pPr>
      <w:r>
        <w:t>Protect participants' rights during all phases of recruitment and testing</w:t>
      </w:r>
    </w:p>
    <w:p w:rsidR="005A5982" w:rsidP="0038728D" w:rsidRDefault="005A5982" w14:paraId="006C3DB0" w14:textId="1F7EDEBC">
      <w:pPr>
        <w:pStyle w:val="ListParagraph"/>
        <w:numPr>
          <w:ilvl w:val="0"/>
          <w:numId w:val="10"/>
        </w:numPr>
        <w:spacing w:after="0"/>
      </w:pPr>
      <w:r>
        <w:t>Managing data per the Data Management Plan</w:t>
      </w:r>
      <w:r w:rsidR="00B4217A">
        <w:t xml:space="preserve"> (DMP)</w:t>
      </w:r>
      <w:r>
        <w:t xml:space="preserve"> and the Privacy Impact Assessment</w:t>
      </w:r>
      <w:r w:rsidR="00B4217A">
        <w:t xml:space="preserve"> (PIA)</w:t>
      </w:r>
      <w:r>
        <w:t xml:space="preserve"> form</w:t>
      </w:r>
    </w:p>
    <w:p w:rsidR="005A5982" w:rsidP="0038728D" w:rsidRDefault="005A5982" w14:paraId="53872D34" w14:textId="77777777">
      <w:pPr>
        <w:pStyle w:val="ListParagraph"/>
        <w:numPr>
          <w:ilvl w:val="0"/>
          <w:numId w:val="10"/>
        </w:numPr>
        <w:spacing w:after="0"/>
      </w:pPr>
      <w:r>
        <w:t>Complete data review and analysis</w:t>
      </w:r>
    </w:p>
    <w:p w:rsidR="005A5982" w:rsidP="0038728D" w:rsidRDefault="005A5982" w14:paraId="3391CACF" w14:textId="73AC34DC">
      <w:pPr>
        <w:pStyle w:val="ListParagraph"/>
        <w:numPr>
          <w:ilvl w:val="0"/>
          <w:numId w:val="10"/>
        </w:numPr>
        <w:spacing w:after="0"/>
      </w:pPr>
      <w:r>
        <w:t>Write the study report</w:t>
      </w:r>
    </w:p>
    <w:p w:rsidR="005A5982" w:rsidP="005A5982" w:rsidRDefault="005A5982" w14:paraId="3074BFBA" w14:textId="77777777">
      <w:pPr>
        <w:spacing w:after="0"/>
        <w:ind w:left="360"/>
      </w:pPr>
    </w:p>
    <w:p w:rsidR="00D37D41" w:rsidP="004D626A" w:rsidRDefault="005A5982" w14:paraId="7B9EFBB5" w14:textId="4C9EE1CD">
      <w:pPr>
        <w:pStyle w:val="Heading2"/>
      </w:pPr>
      <w:bookmarkStart w:name="_Toc92192113" w:id="3"/>
      <w:r>
        <w:t>3.1</w:t>
      </w:r>
      <w:r w:rsidR="004D626A">
        <w:t>.</w:t>
      </w:r>
      <w:r>
        <w:t xml:space="preserve"> Role Definitions</w:t>
      </w:r>
      <w:bookmarkEnd w:id="3"/>
    </w:p>
    <w:p w:rsidR="00FB51E0" w:rsidP="00FB51E0" w:rsidRDefault="00D37D41" w14:paraId="53DCD0E6" w14:textId="77777777">
      <w:pPr>
        <w:pStyle w:val="ListParagraph"/>
        <w:numPr>
          <w:ilvl w:val="0"/>
          <w:numId w:val="36"/>
        </w:numPr>
        <w:spacing w:after="0"/>
      </w:pPr>
      <w:r>
        <w:t xml:space="preserve">Principal investigators (PIs):  Melanie Buser and Rachel Rogers </w:t>
      </w:r>
    </w:p>
    <w:p w:rsidR="00FB51E0" w:rsidP="00FB51E0" w:rsidRDefault="00D37D41" w14:paraId="48189C78" w14:textId="223179F3">
      <w:pPr>
        <w:pStyle w:val="ListParagraph"/>
        <w:numPr>
          <w:ilvl w:val="0"/>
          <w:numId w:val="36"/>
        </w:numPr>
        <w:spacing w:after="0"/>
      </w:pPr>
      <w:r>
        <w:t xml:space="preserve">Data manager: </w:t>
      </w:r>
      <w:r w:rsidR="00203C33">
        <w:t>Hao Tian</w:t>
      </w:r>
      <w:r w:rsidR="00801A16">
        <w:t xml:space="preserve"> – </w:t>
      </w:r>
      <w:r>
        <w:t xml:space="preserve">will assist PIs with data receipt, tracking data received from participants, and preparation of analytic data sets </w:t>
      </w:r>
    </w:p>
    <w:p w:rsidR="00FB51E0" w:rsidP="00FB51E0" w:rsidRDefault="00D37D41" w14:paraId="060AE52A" w14:textId="5F20331F">
      <w:pPr>
        <w:pStyle w:val="ListParagraph"/>
        <w:numPr>
          <w:ilvl w:val="0"/>
          <w:numId w:val="36"/>
        </w:numPr>
        <w:spacing w:after="0"/>
      </w:pPr>
      <w:r>
        <w:t xml:space="preserve">Data processing and analysis team: </w:t>
      </w:r>
      <w:r w:rsidR="00E57C0F">
        <w:t xml:space="preserve">Andrea Winquist (NCEH), </w:t>
      </w:r>
      <w:r w:rsidR="004D626A">
        <w:t xml:space="preserve">Arthur Wendel (ATSDR), Melanie Buser (ATSDR), Michelle Zeager (ATSDR), </w:t>
      </w:r>
      <w:r w:rsidR="00203C33">
        <w:t xml:space="preserve">and </w:t>
      </w:r>
      <w:r w:rsidR="004D626A">
        <w:t>Rachel Rogers (ATSDR)</w:t>
      </w:r>
    </w:p>
    <w:p w:rsidR="00FB51E0" w:rsidP="00FB51E0" w:rsidRDefault="00D37D41" w14:paraId="7DE3D335" w14:textId="77777777">
      <w:pPr>
        <w:pStyle w:val="ListParagraph"/>
        <w:numPr>
          <w:ilvl w:val="0"/>
          <w:numId w:val="36"/>
        </w:numPr>
        <w:spacing w:after="0"/>
      </w:pPr>
      <w:r>
        <w:t xml:space="preserve">Interpretation and communication of study findings: PIs, data management and analysis team </w:t>
      </w:r>
    </w:p>
    <w:p w:rsidR="00FB51E0" w:rsidP="00FB51E0" w:rsidRDefault="00D37D41" w14:paraId="0F43A8EE" w14:textId="1747E482">
      <w:pPr>
        <w:pStyle w:val="ListParagraph"/>
        <w:numPr>
          <w:ilvl w:val="0"/>
          <w:numId w:val="36"/>
        </w:numPr>
        <w:spacing w:after="0"/>
      </w:pPr>
      <w:r>
        <w:t>Communications assistance: Ana Pomales</w:t>
      </w:r>
      <w:r w:rsidR="00203C33">
        <w:t xml:space="preserve"> and Sophia Minor</w:t>
      </w:r>
    </w:p>
    <w:p w:rsidR="00B973D0" w:rsidP="00FB51E0" w:rsidRDefault="00B973D0" w14:paraId="7E190238" w14:textId="1E03B501">
      <w:pPr>
        <w:pStyle w:val="ListParagraph"/>
        <w:numPr>
          <w:ilvl w:val="0"/>
          <w:numId w:val="36"/>
        </w:numPr>
        <w:spacing w:after="0"/>
      </w:pPr>
      <w:r>
        <w:t>Contract staff: Guidehouse</w:t>
      </w:r>
    </w:p>
    <w:p w:rsidR="005A5982" w:rsidP="005A5982" w:rsidRDefault="005A5982" w14:paraId="6D3BFFDA" w14:textId="77777777">
      <w:pPr>
        <w:spacing w:after="0"/>
        <w:ind w:left="1440"/>
      </w:pPr>
    </w:p>
    <w:p w:rsidR="00D37D41" w:rsidP="00D95A9A" w:rsidRDefault="005A5982" w14:paraId="1D2B4F55" w14:textId="1411484B">
      <w:pPr>
        <w:pStyle w:val="Heading2"/>
      </w:pPr>
      <w:bookmarkStart w:name="_Toc92192114" w:id="4"/>
      <w:r>
        <w:lastRenderedPageBreak/>
        <w:t>3.2</w:t>
      </w:r>
      <w:r w:rsidR="00D95A9A">
        <w:t>.</w:t>
      </w:r>
      <w:r w:rsidR="00D37D41">
        <w:t xml:space="preserve"> Onboarding of staff</w:t>
      </w:r>
      <w:bookmarkEnd w:id="4"/>
    </w:p>
    <w:p w:rsidR="005A5982" w:rsidP="00534C2A" w:rsidRDefault="00D37D41" w14:paraId="12E6CC2A" w14:textId="25C892CA">
      <w:pPr>
        <w:pStyle w:val="Heading3"/>
      </w:pPr>
      <w:bookmarkStart w:name="_Toc92192115" w:id="5"/>
      <w:r>
        <w:t>3.2.1</w:t>
      </w:r>
      <w:r w:rsidR="00534C2A">
        <w:t>.</w:t>
      </w:r>
      <w:r>
        <w:t xml:space="preserve"> Trainings</w:t>
      </w:r>
      <w:bookmarkEnd w:id="5"/>
    </w:p>
    <w:p w:rsidR="00D37D41" w:rsidP="0038728D" w:rsidRDefault="005A5982" w14:paraId="218F3E08" w14:textId="0017CCE5">
      <w:pPr>
        <w:pStyle w:val="ListParagraph"/>
        <w:numPr>
          <w:ilvl w:val="0"/>
          <w:numId w:val="8"/>
        </w:numPr>
        <w:spacing w:after="0"/>
      </w:pPr>
      <w:r>
        <w:t xml:space="preserve">Research </w:t>
      </w:r>
      <w:r w:rsidRPr="005A5982">
        <w:t>Ethics and Compliance Training, provided by the Collaborative Institutional Training Initiative (CITI Program) (</w:t>
      </w:r>
      <w:hyperlink w:history="1" r:id="rId12">
        <w:r w:rsidRPr="0018545A">
          <w:rPr>
            <w:rStyle w:val="Hyperlink"/>
          </w:rPr>
          <w:t>https://www.citiprogram.org/?pageID=668</w:t>
        </w:r>
      </w:hyperlink>
      <w:r w:rsidRPr="005A5982">
        <w:t>)</w:t>
      </w:r>
    </w:p>
    <w:p w:rsidR="009F7140" w:rsidP="0038728D" w:rsidRDefault="009F7140" w14:paraId="1BDFD400" w14:textId="183CDDBC">
      <w:pPr>
        <w:pStyle w:val="ListParagraph"/>
        <w:numPr>
          <w:ilvl w:val="1"/>
          <w:numId w:val="8"/>
        </w:numPr>
        <w:spacing w:after="0"/>
      </w:pPr>
      <w:r>
        <w:t>If</w:t>
      </w:r>
      <w:r w:rsidR="002F2B39">
        <w:t xml:space="preserve"> you are</w:t>
      </w:r>
      <w:r>
        <w:t xml:space="preserve"> a CDC employee, you must have a valid CDC ID to access the training  </w:t>
      </w:r>
    </w:p>
    <w:p w:rsidR="009F7140" w:rsidP="0038728D" w:rsidRDefault="009F7140" w14:paraId="74D4B992" w14:textId="4C630344">
      <w:pPr>
        <w:pStyle w:val="ListParagraph"/>
        <w:numPr>
          <w:ilvl w:val="1"/>
          <w:numId w:val="8"/>
        </w:numPr>
        <w:spacing w:after="0"/>
      </w:pPr>
      <w:r>
        <w:t xml:space="preserve">Select Centers for Disease Control and Prevention and login through the </w:t>
      </w:r>
      <w:r w:rsidR="00B4217A">
        <w:t xml:space="preserve">Secure </w:t>
      </w:r>
      <w:r>
        <w:t>Access Management S</w:t>
      </w:r>
      <w:r w:rsidR="00B4217A">
        <w:t>ervices</w:t>
      </w:r>
      <w:r>
        <w:t xml:space="preserve"> (</w:t>
      </w:r>
      <w:r w:rsidR="00B4217A">
        <w:t>S</w:t>
      </w:r>
      <w:r>
        <w:t xml:space="preserve">AMS) </w:t>
      </w:r>
    </w:p>
    <w:p w:rsidR="009F7140" w:rsidP="0038728D" w:rsidRDefault="009F7140" w14:paraId="1FE01160" w14:textId="77777777">
      <w:pPr>
        <w:pStyle w:val="ListParagraph"/>
        <w:numPr>
          <w:ilvl w:val="1"/>
          <w:numId w:val="8"/>
        </w:numPr>
        <w:spacing w:after="0"/>
      </w:pPr>
      <w:r>
        <w:t xml:space="preserve">If you are not a CDC employee, you can register with CITI as an independent learner. </w:t>
      </w:r>
    </w:p>
    <w:p w:rsidR="009F7140" w:rsidP="0038728D" w:rsidRDefault="009F7140" w14:paraId="720742C0" w14:textId="6B49717F">
      <w:pPr>
        <w:pStyle w:val="ListParagraph"/>
        <w:numPr>
          <w:ilvl w:val="1"/>
          <w:numId w:val="8"/>
        </w:numPr>
        <w:spacing w:after="0"/>
      </w:pPr>
      <w:r>
        <w:t xml:space="preserve">Once logged in to CITI, you will be asked to complete a </w:t>
      </w:r>
      <w:r w:rsidR="00E03F8F">
        <w:t>survey</w:t>
      </w:r>
      <w:r>
        <w:t xml:space="preserve"> to identify available training options based on your role and responsibilities. (If you have previously completed the </w:t>
      </w:r>
      <w:r w:rsidR="00E03F8F">
        <w:t>survey</w:t>
      </w:r>
      <w:r>
        <w:t xml:space="preserve">, you will be taken to your My Courses page).  The CITI website offers easy access to the required courses, as well as an extensive catalog of additional trainings.  However, in order to meet the requirement, you are only required to complete one combination of the Basic Overview and Responsible Conduct in Research (RCR) courses (Biomedical- or Social and Behavioral-based courses)  </w:t>
      </w:r>
    </w:p>
    <w:p w:rsidR="009F7140" w:rsidP="0038728D" w:rsidRDefault="009F7140" w14:paraId="1B98A668" w14:textId="71560FEA">
      <w:pPr>
        <w:pStyle w:val="ListParagraph"/>
        <w:numPr>
          <w:ilvl w:val="1"/>
          <w:numId w:val="8"/>
        </w:numPr>
        <w:spacing w:after="0"/>
      </w:pPr>
    </w:p>
    <w:p w:rsidR="009F7140" w:rsidP="0038728D" w:rsidRDefault="009F7140" w14:paraId="4A349190" w14:textId="77777777">
      <w:pPr>
        <w:pStyle w:val="ListParagraph"/>
        <w:numPr>
          <w:ilvl w:val="1"/>
          <w:numId w:val="8"/>
        </w:numPr>
        <w:spacing w:after="0"/>
      </w:pPr>
      <w:r>
        <w:t xml:space="preserve">Once you complete the training, you need to submit your completion certificate to ncipchuman@cdc.gov </w:t>
      </w:r>
    </w:p>
    <w:p w:rsidR="009F7140" w:rsidP="0038728D" w:rsidRDefault="009F7140" w14:paraId="5DC11A7A" w14:textId="77777777">
      <w:pPr>
        <w:pStyle w:val="ListParagraph"/>
        <w:numPr>
          <w:ilvl w:val="1"/>
          <w:numId w:val="8"/>
        </w:numPr>
        <w:spacing w:after="0"/>
      </w:pPr>
      <w:r>
        <w:t xml:space="preserve">You must take a refresher course at least every 3 years </w:t>
      </w:r>
    </w:p>
    <w:p w:rsidR="009F7140" w:rsidP="0038728D" w:rsidRDefault="009F7140" w14:paraId="54219A01" w14:textId="77777777">
      <w:pPr>
        <w:pStyle w:val="ListParagraph"/>
        <w:numPr>
          <w:ilvl w:val="1"/>
          <w:numId w:val="8"/>
        </w:numPr>
        <w:spacing w:after="0"/>
      </w:pPr>
      <w:r>
        <w:t xml:space="preserve">If you have questions about accessing CITI, please contact ositraining@cdc.gov </w:t>
      </w:r>
    </w:p>
    <w:p w:rsidR="009F7140" w:rsidP="009F7140" w:rsidRDefault="009F7140" w14:paraId="2C1C3067" w14:textId="77777777">
      <w:pPr>
        <w:spacing w:after="0"/>
      </w:pPr>
    </w:p>
    <w:p w:rsidR="005A5982" w:rsidP="0038728D" w:rsidRDefault="005A5982" w14:paraId="0C859539" w14:textId="13CAF20C">
      <w:pPr>
        <w:pStyle w:val="ListParagraph"/>
        <w:numPr>
          <w:ilvl w:val="0"/>
          <w:numId w:val="8"/>
        </w:numPr>
        <w:spacing w:after="0"/>
      </w:pPr>
      <w:r>
        <w:t>Annual CDC Security and Awareness Training (SAT)</w:t>
      </w:r>
    </w:p>
    <w:p w:rsidR="00D37D41" w:rsidP="0038728D" w:rsidRDefault="005A5982" w14:paraId="0F4B7DB2" w14:textId="58074F6F">
      <w:pPr>
        <w:pStyle w:val="ListParagraph"/>
        <w:numPr>
          <w:ilvl w:val="0"/>
          <w:numId w:val="8"/>
        </w:numPr>
        <w:spacing w:after="0"/>
      </w:pPr>
      <w:r w:rsidRPr="005A5982">
        <w:t>Manual of Procedures (M</w:t>
      </w:r>
      <w:r w:rsidR="00B4217A">
        <w:t>O</w:t>
      </w:r>
      <w:r w:rsidRPr="005A5982">
        <w:t>P) and Rules of Behavior (R</w:t>
      </w:r>
      <w:r w:rsidR="00B4217A">
        <w:t>O</w:t>
      </w:r>
      <w:r w:rsidRPr="005A5982">
        <w:t>B) training, comprising a meeting with study staff to review and discuss any questions about either document and to have all study staff sign the R</w:t>
      </w:r>
      <w:r w:rsidR="00B4217A">
        <w:t>O</w:t>
      </w:r>
      <w:r w:rsidRPr="005A5982">
        <w:t>B.</w:t>
      </w:r>
    </w:p>
    <w:p w:rsidR="005A5982" w:rsidP="005A5982" w:rsidRDefault="00D37D41" w14:paraId="0B267C67" w14:textId="77777777">
      <w:pPr>
        <w:spacing w:after="0"/>
      </w:pPr>
      <w:r>
        <w:tab/>
      </w:r>
    </w:p>
    <w:p w:rsidR="00D37D41" w:rsidP="000A3524" w:rsidRDefault="00D37D41" w14:paraId="5E21BF66" w14:textId="48EEC8C9">
      <w:pPr>
        <w:pStyle w:val="Heading3"/>
      </w:pPr>
      <w:bookmarkStart w:name="_Toc92192116" w:id="6"/>
      <w:r>
        <w:t>3.</w:t>
      </w:r>
      <w:r w:rsidR="005A5982">
        <w:t>2</w:t>
      </w:r>
      <w:r>
        <w:t>.</w:t>
      </w:r>
      <w:r w:rsidR="005A5982">
        <w:t>2</w:t>
      </w:r>
      <w:r w:rsidR="000A3524">
        <w:t>.</w:t>
      </w:r>
      <w:r>
        <w:t xml:space="preserve"> Data access (including REDCap)</w:t>
      </w:r>
      <w:bookmarkEnd w:id="6"/>
    </w:p>
    <w:p w:rsidRPr="00160049" w:rsidR="00C649A0" w:rsidP="00C649A0" w:rsidRDefault="00C649A0" w14:paraId="0900A79C" w14:textId="77777777">
      <w:r>
        <w:t xml:space="preserve">After study staff who (based on their role with the study) need access to the health-related data have completed the required training and have signed the rules of behavior, the study PIs will ask staff working with PFAS data repository to grant access to the </w:t>
      </w:r>
      <w:r w:rsidRPr="007F763F">
        <w:t xml:space="preserve">encrypted MUST share folder for this study </w:t>
      </w:r>
      <w:r>
        <w:t>(see details below).</w:t>
      </w:r>
    </w:p>
    <w:p w:rsidR="00C649A0" w:rsidP="00C649A0" w:rsidRDefault="00C649A0" w14:paraId="6F180EE7" w14:textId="77777777">
      <w:pPr>
        <w:spacing w:after="0"/>
      </w:pPr>
    </w:p>
    <w:p w:rsidRPr="00F67708" w:rsidR="005A5982" w:rsidP="000A3524" w:rsidRDefault="00D37D41" w14:paraId="7F61C59E" w14:textId="0B99AFB3">
      <w:pPr>
        <w:pStyle w:val="Heading2"/>
      </w:pPr>
      <w:bookmarkStart w:name="_Toc92192117" w:id="7"/>
      <w:r w:rsidRPr="00F67708">
        <w:t>3.3</w:t>
      </w:r>
      <w:r w:rsidR="000A3524">
        <w:t>.</w:t>
      </w:r>
      <w:r w:rsidRPr="00F67708">
        <w:t xml:space="preserve"> Continuous maintenance of staff</w:t>
      </w:r>
      <w:bookmarkEnd w:id="7"/>
    </w:p>
    <w:p w:rsidRPr="00F67708" w:rsidR="00D37D41" w:rsidP="005A5982" w:rsidRDefault="00F67708" w14:paraId="4FB88C90" w14:textId="23D2B1F8">
      <w:pPr>
        <w:spacing w:after="0"/>
        <w:rPr>
          <w:rStyle w:val="eop"/>
          <w:rFonts w:cstheme="minorHAnsi"/>
          <w:color w:val="000000"/>
          <w:shd w:val="clear" w:color="auto" w:fill="FFFFFF"/>
        </w:rPr>
      </w:pPr>
      <w:r w:rsidRPr="00F67708">
        <w:rPr>
          <w:rStyle w:val="normaltextrun"/>
          <w:rFonts w:cstheme="minorHAnsi"/>
          <w:color w:val="000000"/>
          <w:shd w:val="clear" w:color="auto" w:fill="FFFFFF"/>
        </w:rPr>
        <w:t>Any updates to the Rules of Behavior document will require all staff to review and sign to ensure their access to study data is maintained.  The DM Team will ensure all users who have access to the study data are provided the updated Rules of Behavior for their signature.</w:t>
      </w:r>
      <w:r w:rsidRPr="00F67708">
        <w:rPr>
          <w:rStyle w:val="eop"/>
          <w:rFonts w:cstheme="minorHAnsi"/>
          <w:color w:val="000000"/>
          <w:shd w:val="clear" w:color="auto" w:fill="FFFFFF"/>
        </w:rPr>
        <w:t> </w:t>
      </w:r>
    </w:p>
    <w:p w:rsidR="00D03960" w:rsidP="005A5982" w:rsidRDefault="00D03960" w14:paraId="5C08E340" w14:textId="77777777">
      <w:pPr>
        <w:spacing w:after="0"/>
      </w:pPr>
    </w:p>
    <w:p w:rsidR="00D03960" w:rsidP="00D03960" w:rsidRDefault="00D03960" w14:paraId="7A0C83CE" w14:textId="4DC6EB1E">
      <w:pPr>
        <w:pStyle w:val="Heading1"/>
      </w:pPr>
      <w:bookmarkStart w:name="_Toc92192118" w:id="8"/>
      <w:r>
        <w:lastRenderedPageBreak/>
        <w:t>4.0. Study Protocol</w:t>
      </w:r>
      <w:bookmarkEnd w:id="8"/>
    </w:p>
    <w:p w:rsidR="005A5982" w:rsidP="005A5982" w:rsidRDefault="00813E78" w14:paraId="16A70847" w14:textId="43541FF6">
      <w:pPr>
        <w:spacing w:after="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current version of the study protocol is available in the folder </w:t>
      </w:r>
      <w:hyperlink w:history="1" r:id="rId13">
        <w:r w:rsidRPr="0006525C" w:rsidR="00FB51E0">
          <w:rPr>
            <w:rStyle w:val="Hyperlink"/>
            <w:rFonts w:ascii="Calibri" w:hAnsi="Calibri" w:cs="Calibri"/>
            <w:shd w:val="clear" w:color="auto" w:fill="FFFFFF"/>
          </w:rPr>
          <w:t>\\cdc.gov\locker\ATSDR_PFAS_Data\PFAS_Viral_Infections</w:t>
        </w:r>
      </w:hyperlink>
      <w:r w:rsidR="00392836">
        <w:rPr>
          <w:rStyle w:val="normaltextrun"/>
          <w:rFonts w:ascii="Calibri" w:hAnsi="Calibri" w:cs="Calibri"/>
          <w:color w:val="000000"/>
          <w:shd w:val="clear" w:color="auto" w:fill="FFFFFF"/>
        </w:rPr>
        <w:t xml:space="preserve">. </w:t>
      </w:r>
    </w:p>
    <w:p w:rsidR="00D03960" w:rsidP="005A5982" w:rsidRDefault="00D03960" w14:paraId="6AE81B86" w14:textId="77777777">
      <w:pPr>
        <w:spacing w:after="0"/>
      </w:pPr>
    </w:p>
    <w:p w:rsidR="005A5982" w:rsidP="005A5982" w:rsidRDefault="005A5982" w14:paraId="41353EEC" w14:textId="004CAE67">
      <w:pPr>
        <w:spacing w:after="0"/>
      </w:pPr>
      <w:r>
        <w:t>The study protocol includes:</w:t>
      </w:r>
    </w:p>
    <w:p w:rsidR="005A5982" w:rsidP="0038728D" w:rsidRDefault="005A5982" w14:paraId="2B155250" w14:textId="7610D684">
      <w:pPr>
        <w:pStyle w:val="ListParagraph"/>
        <w:numPr>
          <w:ilvl w:val="0"/>
          <w:numId w:val="9"/>
        </w:numPr>
      </w:pPr>
      <w:r>
        <w:t>Protocol Summary</w:t>
      </w:r>
    </w:p>
    <w:p w:rsidR="005A5982" w:rsidP="0038728D" w:rsidRDefault="005A5982" w14:paraId="02696F8E" w14:textId="359EF4C0">
      <w:pPr>
        <w:pStyle w:val="ListParagraph"/>
        <w:numPr>
          <w:ilvl w:val="0"/>
          <w:numId w:val="9"/>
        </w:numPr>
      </w:pPr>
      <w:r>
        <w:t>Introduction</w:t>
      </w:r>
    </w:p>
    <w:p w:rsidR="005A5982" w:rsidP="0038728D" w:rsidRDefault="005A5982" w14:paraId="23C17751" w14:textId="5EDBA351">
      <w:pPr>
        <w:pStyle w:val="ListParagraph"/>
        <w:numPr>
          <w:ilvl w:val="1"/>
          <w:numId w:val="9"/>
        </w:numPr>
      </w:pPr>
      <w:r>
        <w:t>Background information</w:t>
      </w:r>
    </w:p>
    <w:p w:rsidR="005A5982" w:rsidP="0038728D" w:rsidRDefault="005A5982" w14:paraId="25E4F401" w14:textId="4796CEA3">
      <w:pPr>
        <w:pStyle w:val="ListParagraph"/>
        <w:numPr>
          <w:ilvl w:val="0"/>
          <w:numId w:val="9"/>
        </w:numPr>
      </w:pPr>
      <w:r>
        <w:t>Justification for Study</w:t>
      </w:r>
    </w:p>
    <w:p w:rsidR="005A5982" w:rsidP="0038728D" w:rsidRDefault="005A5982" w14:paraId="23B0B8E2" w14:textId="41900B1B">
      <w:pPr>
        <w:pStyle w:val="ListParagraph"/>
        <w:numPr>
          <w:ilvl w:val="0"/>
          <w:numId w:val="9"/>
        </w:numPr>
      </w:pPr>
      <w:r>
        <w:t>Objectives</w:t>
      </w:r>
    </w:p>
    <w:p w:rsidR="005A5982" w:rsidP="0038728D" w:rsidRDefault="005A5982" w14:paraId="4E06E5B2" w14:textId="36A8D056">
      <w:pPr>
        <w:pStyle w:val="ListParagraph"/>
        <w:numPr>
          <w:ilvl w:val="0"/>
          <w:numId w:val="9"/>
        </w:numPr>
      </w:pPr>
      <w:r>
        <w:t>Procedures and Methods</w:t>
      </w:r>
    </w:p>
    <w:p w:rsidR="005A5982" w:rsidP="0038728D" w:rsidRDefault="005A5982" w14:paraId="269E7783" w14:textId="6F81BC54">
      <w:pPr>
        <w:pStyle w:val="ListParagraph"/>
        <w:numPr>
          <w:ilvl w:val="1"/>
          <w:numId w:val="9"/>
        </w:numPr>
      </w:pPr>
      <w:r>
        <w:t>Overview of Existing Cohorts</w:t>
      </w:r>
    </w:p>
    <w:p w:rsidR="005A5982" w:rsidP="0038728D" w:rsidRDefault="005A5982" w14:paraId="5F22CB1D" w14:textId="37D3BED8">
      <w:pPr>
        <w:pStyle w:val="ListParagraph"/>
        <w:numPr>
          <w:ilvl w:val="2"/>
          <w:numId w:val="9"/>
        </w:numPr>
      </w:pPr>
      <w:r>
        <w:t>PFAS Exposure Assessments and PEATT Assessments</w:t>
      </w:r>
    </w:p>
    <w:p w:rsidR="005A5982" w:rsidP="0038728D" w:rsidRDefault="005A5982" w14:paraId="514D4041" w14:textId="3EEA38DF">
      <w:pPr>
        <w:pStyle w:val="ListParagraph"/>
        <w:numPr>
          <w:ilvl w:val="2"/>
          <w:numId w:val="9"/>
        </w:numPr>
      </w:pPr>
      <w:r>
        <w:t>The Pease Study</w:t>
      </w:r>
    </w:p>
    <w:p w:rsidR="005A5982" w:rsidP="0038728D" w:rsidRDefault="005A5982" w14:paraId="73A279BC" w14:textId="4BBE59B7">
      <w:pPr>
        <w:pStyle w:val="ListParagraph"/>
        <w:numPr>
          <w:ilvl w:val="1"/>
          <w:numId w:val="9"/>
        </w:numPr>
      </w:pPr>
      <w:r>
        <w:t>Recruitment</w:t>
      </w:r>
    </w:p>
    <w:p w:rsidR="0034367D" w:rsidP="0034367D" w:rsidRDefault="0034367D" w14:paraId="6084AEA6" w14:textId="7346ED10">
      <w:pPr>
        <w:pStyle w:val="ListParagraph"/>
        <w:numPr>
          <w:ilvl w:val="2"/>
          <w:numId w:val="9"/>
        </w:numPr>
      </w:pPr>
      <w:r>
        <w:t>Recruitment Packet</w:t>
      </w:r>
    </w:p>
    <w:p w:rsidR="0034367D" w:rsidP="0034367D" w:rsidRDefault="0034367D" w14:paraId="030177D3" w14:textId="3FE6931A">
      <w:pPr>
        <w:pStyle w:val="ListParagraph"/>
        <w:numPr>
          <w:ilvl w:val="2"/>
          <w:numId w:val="9"/>
        </w:numPr>
      </w:pPr>
      <w:r>
        <w:t>Letter of Invitation</w:t>
      </w:r>
    </w:p>
    <w:p w:rsidR="0034367D" w:rsidP="004165AE" w:rsidRDefault="0034367D" w14:paraId="0BA6144E" w14:textId="72F23A89">
      <w:pPr>
        <w:pStyle w:val="ListParagraph"/>
        <w:numPr>
          <w:ilvl w:val="2"/>
          <w:numId w:val="9"/>
        </w:numPr>
      </w:pPr>
      <w:r>
        <w:t>Consent Form</w:t>
      </w:r>
    </w:p>
    <w:p w:rsidR="005A5982" w:rsidP="0038728D" w:rsidRDefault="005A5982" w14:paraId="101425B6" w14:textId="3B015CF7">
      <w:pPr>
        <w:pStyle w:val="ListParagraph"/>
        <w:numPr>
          <w:ilvl w:val="1"/>
          <w:numId w:val="9"/>
        </w:numPr>
      </w:pPr>
      <w:r>
        <w:t>Data Collection Procedures</w:t>
      </w:r>
    </w:p>
    <w:p w:rsidR="005A5982" w:rsidP="0038728D" w:rsidRDefault="00E03F8F" w14:paraId="58FD4472" w14:textId="22653869">
      <w:pPr>
        <w:pStyle w:val="ListParagraph"/>
        <w:numPr>
          <w:ilvl w:val="2"/>
          <w:numId w:val="9"/>
        </w:numPr>
      </w:pPr>
      <w:r>
        <w:t>Survey</w:t>
      </w:r>
      <w:r w:rsidR="005A5982">
        <w:t>s</w:t>
      </w:r>
    </w:p>
    <w:p w:rsidR="0034367D" w:rsidP="0034367D" w:rsidRDefault="0034367D" w14:paraId="2031DD0D" w14:textId="73C7C0FA">
      <w:pPr>
        <w:pStyle w:val="ListParagraph"/>
        <w:numPr>
          <w:ilvl w:val="3"/>
          <w:numId w:val="9"/>
        </w:numPr>
      </w:pPr>
      <w:r>
        <w:t>Initial Survey</w:t>
      </w:r>
    </w:p>
    <w:p w:rsidR="0034367D" w:rsidP="0034367D" w:rsidRDefault="0034367D" w14:paraId="51432364" w14:textId="72DD399C">
      <w:pPr>
        <w:pStyle w:val="ListParagraph"/>
        <w:numPr>
          <w:ilvl w:val="3"/>
          <w:numId w:val="9"/>
        </w:numPr>
      </w:pPr>
      <w:r>
        <w:t>Follow-up Surveys</w:t>
      </w:r>
    </w:p>
    <w:p w:rsidR="0034367D" w:rsidP="0034367D" w:rsidRDefault="0034367D" w14:paraId="2BF8198C" w14:textId="638F8891">
      <w:pPr>
        <w:pStyle w:val="ListParagraph"/>
        <w:numPr>
          <w:ilvl w:val="3"/>
          <w:numId w:val="9"/>
        </w:numPr>
      </w:pPr>
      <w:r>
        <w:t>Symptom Diary</w:t>
      </w:r>
    </w:p>
    <w:p w:rsidR="0034367D" w:rsidP="0034367D" w:rsidRDefault="00447E92" w14:paraId="14770E03" w14:textId="37EFBD65">
      <w:pPr>
        <w:pStyle w:val="ListParagraph"/>
        <w:numPr>
          <w:ilvl w:val="2"/>
          <w:numId w:val="9"/>
        </w:numPr>
      </w:pPr>
      <w:r>
        <w:t>Tracing and Follow-up Procedures</w:t>
      </w:r>
    </w:p>
    <w:p w:rsidR="005A5982" w:rsidP="0038728D" w:rsidRDefault="005A5982" w14:paraId="291C4204" w14:textId="2E9ED288">
      <w:pPr>
        <w:pStyle w:val="ListParagraph"/>
        <w:numPr>
          <w:ilvl w:val="1"/>
          <w:numId w:val="9"/>
        </w:numPr>
      </w:pPr>
      <w:r>
        <w:t>Data Handling and Analysis</w:t>
      </w:r>
    </w:p>
    <w:p w:rsidR="005A5982" w:rsidP="0038728D" w:rsidRDefault="005A5982" w14:paraId="1DFF6BD9" w14:textId="5382AF70">
      <w:pPr>
        <w:pStyle w:val="ListParagraph"/>
        <w:numPr>
          <w:ilvl w:val="2"/>
          <w:numId w:val="9"/>
        </w:numPr>
      </w:pPr>
      <w:r>
        <w:t>Data Protection</w:t>
      </w:r>
    </w:p>
    <w:p w:rsidR="00E024D6" w:rsidP="004165AE" w:rsidRDefault="00E024D6" w14:paraId="57914FC0" w14:textId="22395873">
      <w:pPr>
        <w:pStyle w:val="ListParagraph"/>
        <w:numPr>
          <w:ilvl w:val="3"/>
          <w:numId w:val="9"/>
        </w:numPr>
      </w:pPr>
      <w:r>
        <w:t>Certificate of Confidentiality</w:t>
      </w:r>
    </w:p>
    <w:p w:rsidR="005A5982" w:rsidP="0038728D" w:rsidRDefault="005A5982" w14:paraId="1F325E00" w14:textId="1DE14134">
      <w:pPr>
        <w:pStyle w:val="ListParagraph"/>
        <w:numPr>
          <w:ilvl w:val="2"/>
          <w:numId w:val="9"/>
        </w:numPr>
      </w:pPr>
      <w:r>
        <w:t>Data Linkage</w:t>
      </w:r>
    </w:p>
    <w:p w:rsidR="005A5982" w:rsidP="0038728D" w:rsidRDefault="005A5982" w14:paraId="658F2900" w14:textId="63AF9756">
      <w:pPr>
        <w:pStyle w:val="ListParagraph"/>
        <w:numPr>
          <w:ilvl w:val="2"/>
          <w:numId w:val="9"/>
        </w:numPr>
      </w:pPr>
      <w:r>
        <w:t>Outcomes</w:t>
      </w:r>
    </w:p>
    <w:p w:rsidR="005A5982" w:rsidP="0038728D" w:rsidRDefault="005A5982" w14:paraId="624DB24E" w14:textId="642C466D">
      <w:pPr>
        <w:pStyle w:val="ListParagraph"/>
        <w:numPr>
          <w:ilvl w:val="2"/>
          <w:numId w:val="9"/>
        </w:numPr>
      </w:pPr>
      <w:r>
        <w:t>Methods of Data Analysis</w:t>
      </w:r>
    </w:p>
    <w:p w:rsidR="00384EFF" w:rsidP="00384EFF" w:rsidRDefault="00384EFF" w14:paraId="1196B39E" w14:textId="35D7C9DB">
      <w:pPr>
        <w:pStyle w:val="ListParagraph"/>
        <w:numPr>
          <w:ilvl w:val="3"/>
          <w:numId w:val="9"/>
        </w:numPr>
      </w:pPr>
      <w:r>
        <w:t>Confounders</w:t>
      </w:r>
    </w:p>
    <w:p w:rsidR="00384EFF" w:rsidP="00384EFF" w:rsidRDefault="00384EFF" w14:paraId="3267B80B" w14:textId="2AA1C5C2">
      <w:pPr>
        <w:pStyle w:val="ListParagraph"/>
        <w:numPr>
          <w:ilvl w:val="3"/>
          <w:numId w:val="9"/>
        </w:numPr>
      </w:pPr>
      <w:r>
        <w:t>Descriptive Analyses</w:t>
      </w:r>
    </w:p>
    <w:p w:rsidR="00384EFF" w:rsidP="004165AE" w:rsidRDefault="00384EFF" w14:paraId="1B2C6305" w14:textId="08009C7E">
      <w:pPr>
        <w:pStyle w:val="ListParagraph"/>
        <w:numPr>
          <w:ilvl w:val="3"/>
          <w:numId w:val="9"/>
        </w:numPr>
      </w:pPr>
      <w:r>
        <w:t>Analysis of Association</w:t>
      </w:r>
      <w:r w:rsidR="00451B7C">
        <w:t xml:space="preserve"> </w:t>
      </w:r>
    </w:p>
    <w:p w:rsidR="005A5982" w:rsidP="0038728D" w:rsidRDefault="005A5982" w14:paraId="6A4A124C" w14:textId="06AA3EFB">
      <w:pPr>
        <w:pStyle w:val="ListParagraph"/>
        <w:numPr>
          <w:ilvl w:val="2"/>
          <w:numId w:val="9"/>
        </w:numPr>
      </w:pPr>
      <w:r>
        <w:t>Quality Control for Data Analysis</w:t>
      </w:r>
    </w:p>
    <w:p w:rsidR="005A5982" w:rsidP="0038728D" w:rsidRDefault="005A5982" w14:paraId="500B32B8" w14:textId="335D9172">
      <w:pPr>
        <w:pStyle w:val="ListParagraph"/>
        <w:numPr>
          <w:ilvl w:val="1"/>
          <w:numId w:val="9"/>
        </w:numPr>
      </w:pPr>
      <w:r>
        <w:t>Statistical Power Calculation</w:t>
      </w:r>
    </w:p>
    <w:p w:rsidR="00293D8B" w:rsidP="00293D8B" w:rsidRDefault="00293D8B" w14:paraId="27A198CF" w14:textId="66EF3AB3">
      <w:pPr>
        <w:pStyle w:val="ListParagraph"/>
        <w:numPr>
          <w:ilvl w:val="0"/>
          <w:numId w:val="9"/>
        </w:numPr>
      </w:pPr>
      <w:r>
        <w:t>Timeline</w:t>
      </w:r>
    </w:p>
    <w:p w:rsidR="00293D8B" w:rsidP="00293D8B" w:rsidRDefault="00293D8B" w14:paraId="02ABC324" w14:textId="2C1318BF">
      <w:pPr>
        <w:pStyle w:val="ListParagraph"/>
        <w:numPr>
          <w:ilvl w:val="0"/>
          <w:numId w:val="9"/>
        </w:numPr>
      </w:pPr>
      <w:r>
        <w:t>Anticipated Risks and Benefits</w:t>
      </w:r>
    </w:p>
    <w:p w:rsidR="00293D8B" w:rsidP="00293D8B" w:rsidRDefault="00293D8B" w14:paraId="73A91D84" w14:textId="46881CC1">
      <w:pPr>
        <w:pStyle w:val="ListParagraph"/>
        <w:numPr>
          <w:ilvl w:val="0"/>
          <w:numId w:val="9"/>
        </w:numPr>
      </w:pPr>
      <w:r>
        <w:t>Limitations of the Study</w:t>
      </w:r>
    </w:p>
    <w:p w:rsidR="00293D8B" w:rsidP="00293D8B" w:rsidRDefault="00293D8B" w14:paraId="6EC402F5" w14:textId="0EAB48E6">
      <w:pPr>
        <w:pStyle w:val="ListParagraph"/>
        <w:numPr>
          <w:ilvl w:val="0"/>
          <w:numId w:val="9"/>
        </w:numPr>
      </w:pPr>
      <w:r>
        <w:t>Anticipated Products</w:t>
      </w:r>
    </w:p>
    <w:p w:rsidR="00293D8B" w:rsidP="00293D8B" w:rsidRDefault="00293D8B" w14:paraId="5C184684" w14:textId="3764626E">
      <w:pPr>
        <w:pStyle w:val="ListParagraph"/>
        <w:numPr>
          <w:ilvl w:val="0"/>
          <w:numId w:val="9"/>
        </w:numPr>
      </w:pPr>
      <w:r>
        <w:t>References</w:t>
      </w:r>
    </w:p>
    <w:p w:rsidR="00293D8B" w:rsidP="00293D8B" w:rsidRDefault="00293D8B" w14:paraId="2120EE74" w14:textId="02202405">
      <w:pPr>
        <w:pStyle w:val="ListParagraph"/>
        <w:numPr>
          <w:ilvl w:val="0"/>
          <w:numId w:val="9"/>
        </w:numPr>
      </w:pPr>
      <w:r>
        <w:t>Lists of Appendices</w:t>
      </w:r>
    </w:p>
    <w:p w:rsidR="005A5982" w:rsidP="00BB4152" w:rsidRDefault="005A5982" w14:paraId="7C4EAF3D" w14:textId="77179E75">
      <w:pPr>
        <w:spacing w:after="0"/>
      </w:pPr>
    </w:p>
    <w:p w:rsidR="00BB4152" w:rsidP="00BB4152" w:rsidRDefault="00BB4152" w14:paraId="6026D77A" w14:textId="1FDEC69D">
      <w:pPr>
        <w:pStyle w:val="Heading2"/>
      </w:pPr>
      <w:bookmarkStart w:name="_Toc92192119" w:id="9"/>
      <w:r>
        <w:lastRenderedPageBreak/>
        <w:t>4.1. IRB Submission</w:t>
      </w:r>
      <w:bookmarkEnd w:id="9"/>
    </w:p>
    <w:p w:rsidRPr="002823C1" w:rsidR="002823C1" w:rsidP="002823C1" w:rsidRDefault="002823C1" w14:paraId="6E74F1F7" w14:textId="2AC7F9A2">
      <w:pPr>
        <w:spacing w:after="0"/>
      </w:pPr>
      <w:r w:rsidRPr="002823C1">
        <w:t xml:space="preserve">This study involves human subjects and is subject to Institutional Review Board (IRB) approval. All IRB </w:t>
      </w:r>
      <w:r w:rsidRPr="00B903D9">
        <w:t>forms </w:t>
      </w:r>
      <w:r w:rsidRPr="004165AE" w:rsidR="00D8234F">
        <w:t>have been submitted</w:t>
      </w:r>
      <w:r w:rsidRPr="00B903D9">
        <w:t> including</w:t>
      </w:r>
      <w:r w:rsidRPr="002823C1">
        <w:t xml:space="preserve"> all appropriate information from the Privacy Act, including  </w:t>
      </w:r>
    </w:p>
    <w:p w:rsidRPr="002823C1" w:rsidR="002823C1" w:rsidP="0038728D" w:rsidRDefault="002823C1" w14:paraId="1773898E" w14:textId="77777777">
      <w:pPr>
        <w:numPr>
          <w:ilvl w:val="0"/>
          <w:numId w:val="22"/>
        </w:numPr>
        <w:spacing w:after="0"/>
      </w:pPr>
      <w:r w:rsidRPr="002823C1">
        <w:t>Authority for and purpose of the data collection,  </w:t>
      </w:r>
    </w:p>
    <w:p w:rsidRPr="002823C1" w:rsidR="002823C1" w:rsidP="0038728D" w:rsidRDefault="002823C1" w14:paraId="4670CF59" w14:textId="77777777">
      <w:pPr>
        <w:numPr>
          <w:ilvl w:val="0"/>
          <w:numId w:val="22"/>
        </w:numPr>
        <w:spacing w:after="0"/>
      </w:pPr>
      <w:r w:rsidRPr="002823C1">
        <w:t>With whom identifiable information will be shared,  </w:t>
      </w:r>
    </w:p>
    <w:p w:rsidRPr="002823C1" w:rsidR="002823C1" w:rsidP="0038728D" w:rsidRDefault="002823C1" w14:paraId="70CF5D19" w14:textId="77777777">
      <w:pPr>
        <w:numPr>
          <w:ilvl w:val="0"/>
          <w:numId w:val="23"/>
        </w:numPr>
        <w:spacing w:after="0"/>
      </w:pPr>
      <w:r w:rsidRPr="002823C1">
        <w:t>The voluntary nature of the information collection process, </w:t>
      </w:r>
    </w:p>
    <w:p w:rsidRPr="002823C1" w:rsidR="002823C1" w:rsidP="0038728D" w:rsidRDefault="002823C1" w14:paraId="5E338B21" w14:textId="77777777">
      <w:pPr>
        <w:numPr>
          <w:ilvl w:val="0"/>
          <w:numId w:val="23"/>
        </w:numPr>
        <w:spacing w:after="0"/>
      </w:pPr>
      <w:r w:rsidRPr="002823C1">
        <w:t>Any possible effect on the respondent for not participating, and  </w:t>
      </w:r>
    </w:p>
    <w:p w:rsidRPr="002823C1" w:rsidR="002823C1" w:rsidP="0038728D" w:rsidRDefault="002823C1" w14:paraId="7A6D6559" w14:textId="77777777">
      <w:pPr>
        <w:numPr>
          <w:ilvl w:val="0"/>
          <w:numId w:val="23"/>
        </w:numPr>
        <w:spacing w:after="0"/>
      </w:pPr>
      <w:r w:rsidRPr="002823C1">
        <w:t>Any potential risk involved in participation.  </w:t>
      </w:r>
    </w:p>
    <w:p w:rsidR="005A5982" w:rsidP="005A5982" w:rsidRDefault="005A5982" w14:paraId="48F83537" w14:textId="77777777">
      <w:pPr>
        <w:spacing w:after="0"/>
      </w:pPr>
    </w:p>
    <w:p w:rsidR="00D37D41" w:rsidP="0073501D" w:rsidRDefault="00D37D41" w14:paraId="4AA9A345" w14:textId="34F99F30">
      <w:pPr>
        <w:pStyle w:val="Heading2"/>
      </w:pPr>
      <w:bookmarkStart w:name="_Toc92192120" w:id="10"/>
      <w:r>
        <w:t>4.2</w:t>
      </w:r>
      <w:r w:rsidR="0073501D">
        <w:t>.</w:t>
      </w:r>
      <w:r>
        <w:t xml:space="preserve"> OMB Submission</w:t>
      </w:r>
      <w:bookmarkEnd w:id="10"/>
    </w:p>
    <w:p w:rsidR="005A5982" w:rsidP="005A5982" w:rsidRDefault="0029294F" w14:paraId="25D27E07" w14:textId="1EAA6ECD">
      <w:pPr>
        <w:spacing w:after="0"/>
      </w:pPr>
      <w:r w:rsidRPr="0029294F">
        <w:t>This study requires both completion and approval of an Office of Management and Budget (OMB) submittal that fulfills requirements of the Paperwork Reduction Act (PRA). The intention of the PRA regulations</w:t>
      </w:r>
      <w:r>
        <w:t xml:space="preserve"> is</w:t>
      </w:r>
      <w:r w:rsidRPr="0029294F">
        <w:t> to ensure that the public is not overburdened by data collection requests from the federal government. This compliance also helps ensure non-duplication of effort between data-collecting governmental agencies. The OMB submission includes all appropriate information, including: </w:t>
      </w:r>
    </w:p>
    <w:p w:rsidRPr="005D0E35" w:rsidR="005D0E35" w:rsidP="0038728D" w:rsidRDefault="005D0E35" w14:paraId="3E1AEFC8" w14:textId="77777777">
      <w:pPr>
        <w:numPr>
          <w:ilvl w:val="0"/>
          <w:numId w:val="24"/>
        </w:numPr>
        <w:spacing w:after="0"/>
      </w:pPr>
      <w:r w:rsidRPr="005D0E35">
        <w:t>Supporting Statement A: Background for the study, the number of “burden hours” (i.e., the number of hours that DCHI is burdening the public by asking questions) that the study will expend, and the estimated cost of that expenditure. </w:t>
      </w:r>
    </w:p>
    <w:p w:rsidRPr="005D0E35" w:rsidR="005D0E35" w:rsidP="0038728D" w:rsidRDefault="005D0E35" w14:paraId="2A6DA965" w14:textId="77777777">
      <w:pPr>
        <w:numPr>
          <w:ilvl w:val="0"/>
          <w:numId w:val="24"/>
        </w:numPr>
        <w:spacing w:after="0"/>
      </w:pPr>
      <w:r w:rsidRPr="005D0E35">
        <w:t>Supporting Statement B: information on the use of statistical methods to identify respondents.  </w:t>
      </w:r>
    </w:p>
    <w:p w:rsidRPr="005D0E35" w:rsidR="005D0E35" w:rsidP="0038728D" w:rsidRDefault="005D0E35" w14:paraId="4C084415" w14:textId="77777777">
      <w:pPr>
        <w:numPr>
          <w:ilvl w:val="0"/>
          <w:numId w:val="25"/>
        </w:numPr>
        <w:spacing w:after="0"/>
      </w:pPr>
      <w:r w:rsidRPr="005D0E35">
        <w:t>Consent forms </w:t>
      </w:r>
    </w:p>
    <w:p w:rsidRPr="005D0E35" w:rsidR="005D0E35" w:rsidP="0038728D" w:rsidRDefault="005D0E35" w14:paraId="7428C2E6" w14:textId="77777777">
      <w:pPr>
        <w:numPr>
          <w:ilvl w:val="0"/>
          <w:numId w:val="25"/>
        </w:numPr>
        <w:spacing w:after="0"/>
      </w:pPr>
      <w:r w:rsidRPr="005D0E35">
        <w:t>Survey </w:t>
      </w:r>
    </w:p>
    <w:p w:rsidRPr="005D0E35" w:rsidR="005D0E35" w:rsidP="0038728D" w:rsidRDefault="005D0E35" w14:paraId="5AC9F9A0" w14:textId="77777777">
      <w:pPr>
        <w:numPr>
          <w:ilvl w:val="0"/>
          <w:numId w:val="25"/>
        </w:numPr>
        <w:spacing w:after="0"/>
      </w:pPr>
      <w:r w:rsidRPr="005D0E35">
        <w:t>IRB approval form </w:t>
      </w:r>
    </w:p>
    <w:p w:rsidRPr="005D0E35" w:rsidR="005D0E35" w:rsidP="0038728D" w:rsidRDefault="005D0E35" w14:paraId="117A4393" w14:textId="77777777">
      <w:pPr>
        <w:numPr>
          <w:ilvl w:val="0"/>
          <w:numId w:val="25"/>
        </w:numPr>
        <w:spacing w:after="0"/>
      </w:pPr>
      <w:r w:rsidRPr="005D0E35">
        <w:t>Cleared protocol including all forms and attachments </w:t>
      </w:r>
    </w:p>
    <w:p w:rsidRPr="005D0E35" w:rsidR="005D0E35" w:rsidP="0038728D" w:rsidRDefault="005D0E35" w14:paraId="163169AF" w14:textId="77777777">
      <w:pPr>
        <w:numPr>
          <w:ilvl w:val="0"/>
          <w:numId w:val="26"/>
        </w:numPr>
        <w:spacing w:after="0"/>
      </w:pPr>
      <w:r w:rsidRPr="005D0E35">
        <w:t>Privacy Impact Assessment (PIA) form </w:t>
      </w:r>
    </w:p>
    <w:p w:rsidR="00CF7728" w:rsidP="005A5982" w:rsidRDefault="00CF7728" w14:paraId="51888C9C" w14:textId="30376B56">
      <w:pPr>
        <w:spacing w:after="0"/>
      </w:pPr>
    </w:p>
    <w:p w:rsidR="00FF0AE8" w:rsidP="005A5982" w:rsidRDefault="00FF0AE8" w14:paraId="591D8A8C" w14:textId="2A8D0C98">
      <w:pPr>
        <w:spacing w:after="0"/>
      </w:pPr>
      <w:r>
        <w:t xml:space="preserve">OMB COVID-19 waiver has been requested for this project. </w:t>
      </w:r>
      <w:r w:rsidR="00383646">
        <w:t xml:space="preserve">The COVID-19 waiver was approved </w:t>
      </w:r>
      <w:r w:rsidR="00D8234F">
        <w:t xml:space="preserve">on </w:t>
      </w:r>
      <w:r w:rsidR="00F80209">
        <w:t>08/26/2021</w:t>
      </w:r>
      <w:r w:rsidR="00D8234F">
        <w:t>.</w:t>
      </w:r>
      <w:r w:rsidR="00383646">
        <w:t xml:space="preserve"> </w:t>
      </w:r>
      <w:r>
        <w:t xml:space="preserve">This waiver covers the study for up to 6 months. During that time, we </w:t>
      </w:r>
      <w:r w:rsidR="00EC0479">
        <w:t>continue</w:t>
      </w:r>
      <w:r w:rsidR="00383646">
        <w:t>d</w:t>
      </w:r>
      <w:r w:rsidR="00EC0479">
        <w:t xml:space="preserve"> undergoing the full OMB approval process. </w:t>
      </w:r>
      <w:r w:rsidR="00D8234F">
        <w:t xml:space="preserve">The OMB submission was approved on </w:t>
      </w:r>
      <w:r w:rsidRPr="006869C9" w:rsidR="00D8234F">
        <w:rPr>
          <w:highlight w:val="yellow"/>
        </w:rPr>
        <w:t>XX/XX/XXXX</w:t>
      </w:r>
      <w:r w:rsidR="00D8234F">
        <w:t>.</w:t>
      </w:r>
    </w:p>
    <w:p w:rsidR="00FF0AE8" w:rsidP="005A5982" w:rsidRDefault="00FF0AE8" w14:paraId="637C3CDA" w14:textId="77777777">
      <w:pPr>
        <w:spacing w:after="0"/>
      </w:pPr>
    </w:p>
    <w:p w:rsidR="00D37D41" w:rsidP="00077FC9" w:rsidRDefault="00D37D41" w14:paraId="68E9613C" w14:textId="13BA3A8A">
      <w:pPr>
        <w:pStyle w:val="Heading2"/>
      </w:pPr>
      <w:bookmarkStart w:name="_Toc92192121" w:id="11"/>
      <w:r>
        <w:t>4.3</w:t>
      </w:r>
      <w:r w:rsidR="00077FC9">
        <w:t>.</w:t>
      </w:r>
      <w:r>
        <w:t xml:space="preserve"> Public Access to Data and to Data Management Plan</w:t>
      </w:r>
      <w:bookmarkEnd w:id="11"/>
    </w:p>
    <w:p w:rsidR="00077FC9" w:rsidP="005A5982" w:rsidRDefault="00077FC9" w14:paraId="39406E68" w14:textId="5526B61E">
      <w:pPr>
        <w:spacing w:after="0"/>
      </w:pPr>
      <w:r w:rsidRPr="00077FC9">
        <w:t>The Office of Science ensures compliance with the January 26, 2016 CDC/NCEH policy on public access to data. The policy ensures CDC/NCEH manages and assists with public access to its funded public health data and complies with applicable open government initiatives. The policy requires a Data Management Plan (DMP) for each covered intramural and extramural collection of public health data. The DMP for this study was submitted and approved.</w:t>
      </w:r>
    </w:p>
    <w:p w:rsidR="005A5982" w:rsidP="005A5982" w:rsidRDefault="005A5982" w14:paraId="1691EB93" w14:textId="77777777">
      <w:pPr>
        <w:spacing w:after="0"/>
      </w:pPr>
    </w:p>
    <w:p w:rsidR="00077FC9" w:rsidP="00077FC9" w:rsidRDefault="00077FC9" w14:paraId="20E4B04A" w14:textId="51A351A0">
      <w:pPr>
        <w:pStyle w:val="Heading1"/>
      </w:pPr>
      <w:bookmarkStart w:name="_Toc92192122" w:id="12"/>
      <w:r>
        <w:t>5.0. Recruitment</w:t>
      </w:r>
      <w:bookmarkEnd w:id="12"/>
    </w:p>
    <w:p w:rsidR="00E03D78" w:rsidP="00077FC9" w:rsidRDefault="00E03D78" w14:paraId="42E0980A" w14:textId="69ACAF6C">
      <w:pPr>
        <w:pStyle w:val="Heading2"/>
      </w:pPr>
      <w:bookmarkStart w:name="_Toc92192123" w:id="13"/>
      <w:r>
        <w:t>5.1</w:t>
      </w:r>
      <w:r w:rsidR="00077FC9">
        <w:t>.</w:t>
      </w:r>
      <w:r>
        <w:t xml:space="preserve"> Communications Plan (notification of study)</w:t>
      </w:r>
      <w:bookmarkEnd w:id="13"/>
    </w:p>
    <w:p w:rsidRPr="006751F0" w:rsidR="006751F0" w:rsidP="006751F0" w:rsidRDefault="00C140DB" w14:paraId="20D2BB19" w14:textId="6A7E9D3D">
      <w:r>
        <w:t xml:space="preserve">Prior to initiation of the study, we will use communication materials to inform </w:t>
      </w:r>
      <w:r w:rsidR="00490C70">
        <w:t>stakeholders of this study. There are multiple stakeholders that will require different communication details depending on their relation to the study:</w:t>
      </w:r>
    </w:p>
    <w:p w:rsidRPr="002A1850" w:rsidR="00701E11" w:rsidP="0038728D" w:rsidRDefault="003B0AFB" w14:paraId="3C9827AE" w14:textId="03C940CB">
      <w:pPr>
        <w:pStyle w:val="ListParagraph"/>
        <w:numPr>
          <w:ilvl w:val="0"/>
          <w:numId w:val="21"/>
        </w:numPr>
        <w:spacing w:line="240" w:lineRule="auto"/>
        <w:rPr>
          <w:rFonts w:cstheme="minorHAnsi"/>
          <w:b/>
          <w:bCs/>
        </w:rPr>
      </w:pPr>
      <w:r>
        <w:rPr>
          <w:rFonts w:cstheme="minorHAnsi"/>
        </w:rPr>
        <w:lastRenderedPageBreak/>
        <w:t>I</w:t>
      </w:r>
      <w:r w:rsidR="00701E11">
        <w:rPr>
          <w:rFonts w:cstheme="minorHAnsi"/>
        </w:rPr>
        <w:t xml:space="preserve">nform past participants of the EA, PEATT, and Pease Study </w:t>
      </w:r>
      <w:r w:rsidRPr="006A12ED" w:rsidR="00701E11">
        <w:rPr>
          <w:rFonts w:cstheme="minorHAnsi"/>
          <w:i/>
          <w:iCs/>
        </w:rPr>
        <w:t>cohorts</w:t>
      </w:r>
      <w:r w:rsidR="00701E11">
        <w:rPr>
          <w:rFonts w:cstheme="minorHAnsi"/>
        </w:rPr>
        <w:t xml:space="preserve"> about their eligibility to participate in the PFAS and infection susceptibility study and increase study enrollment</w:t>
      </w:r>
      <w:r>
        <w:rPr>
          <w:rFonts w:cstheme="minorHAnsi"/>
        </w:rPr>
        <w:t>;</w:t>
      </w:r>
    </w:p>
    <w:p w:rsidRPr="00201DD0" w:rsidR="00701E11" w:rsidP="0038728D" w:rsidRDefault="003B0AFB" w14:paraId="343714AE" w14:textId="098EB645">
      <w:pPr>
        <w:pStyle w:val="ListParagraph"/>
        <w:numPr>
          <w:ilvl w:val="0"/>
          <w:numId w:val="21"/>
        </w:numPr>
        <w:spacing w:line="240" w:lineRule="auto"/>
        <w:rPr>
          <w:rFonts w:cstheme="minorHAnsi"/>
          <w:b/>
          <w:bCs/>
        </w:rPr>
      </w:pPr>
      <w:r>
        <w:rPr>
          <w:rFonts w:cstheme="minorHAnsi"/>
        </w:rPr>
        <w:t>R</w:t>
      </w:r>
      <w:r w:rsidR="00701E11">
        <w:rPr>
          <w:rFonts w:cstheme="minorHAnsi"/>
        </w:rPr>
        <w:t xml:space="preserve">aise awareness among the PFAS EA, PEATT, and Pease Study </w:t>
      </w:r>
      <w:r w:rsidRPr="006A12ED" w:rsidR="00701E11">
        <w:rPr>
          <w:rFonts w:cstheme="minorHAnsi"/>
          <w:i/>
          <w:iCs/>
        </w:rPr>
        <w:t>communities</w:t>
      </w:r>
      <w:r w:rsidR="00701E11">
        <w:rPr>
          <w:rFonts w:cstheme="minorHAnsi"/>
        </w:rPr>
        <w:t xml:space="preserve"> about the PFAS and infection susceptibility study and to set study participation expectations</w:t>
      </w:r>
      <w:r>
        <w:rPr>
          <w:rFonts w:cstheme="minorHAnsi"/>
        </w:rPr>
        <w:t>; and,</w:t>
      </w:r>
      <w:r w:rsidR="00701E11">
        <w:rPr>
          <w:rFonts w:cstheme="minorHAnsi"/>
        </w:rPr>
        <w:t xml:space="preserve"> </w:t>
      </w:r>
    </w:p>
    <w:p w:rsidR="0069152C" w:rsidP="0038728D" w:rsidRDefault="003B0AFB" w14:paraId="1F3F8BFA" w14:textId="5E39BF8B">
      <w:pPr>
        <w:pStyle w:val="ListParagraph"/>
        <w:numPr>
          <w:ilvl w:val="0"/>
          <w:numId w:val="21"/>
        </w:numPr>
        <w:spacing w:line="240" w:lineRule="auto"/>
        <w:rPr>
          <w:rFonts w:cstheme="minorHAnsi"/>
        </w:rPr>
      </w:pPr>
      <w:r>
        <w:rPr>
          <w:rFonts w:cstheme="minorHAnsi"/>
        </w:rPr>
        <w:t>P</w:t>
      </w:r>
      <w:r w:rsidR="00701E11">
        <w:rPr>
          <w:rFonts w:cstheme="minorHAnsi"/>
        </w:rPr>
        <w:t>rovide</w:t>
      </w:r>
      <w:r w:rsidRPr="00C83824" w:rsidR="00701E11">
        <w:rPr>
          <w:rFonts w:cstheme="minorHAnsi"/>
        </w:rPr>
        <w:t xml:space="preserve"> </w:t>
      </w:r>
      <w:r w:rsidR="00701E11">
        <w:rPr>
          <w:rFonts w:cstheme="minorHAnsi"/>
        </w:rPr>
        <w:t>clear and timely information about study objectives and activities to local, state, and federal agency partners</w:t>
      </w:r>
      <w:r>
        <w:rPr>
          <w:rFonts w:cstheme="minorHAnsi"/>
        </w:rPr>
        <w:t>.</w:t>
      </w:r>
    </w:p>
    <w:p w:rsidRPr="00207424" w:rsidR="00207424" w:rsidP="00207424" w:rsidRDefault="00207424" w14:paraId="687611C8" w14:textId="77777777">
      <w:pPr>
        <w:spacing w:line="240" w:lineRule="auto"/>
        <w:rPr>
          <w:rFonts w:cstheme="minorHAnsi"/>
        </w:rPr>
      </w:pPr>
    </w:p>
    <w:p w:rsidR="005A5982" w:rsidP="00207424" w:rsidRDefault="00E03D78" w14:paraId="0E18FE8C" w14:textId="41FF9E4C">
      <w:pPr>
        <w:pStyle w:val="Heading2"/>
      </w:pPr>
      <w:bookmarkStart w:name="_Toc92192124" w:id="14"/>
      <w:r>
        <w:t>5.2</w:t>
      </w:r>
      <w:r w:rsidR="006751F0">
        <w:t>.</w:t>
      </w:r>
      <w:r>
        <w:t xml:space="preserve"> </w:t>
      </w:r>
      <w:r w:rsidR="00242EE0">
        <w:t>Invitation</w:t>
      </w:r>
      <w:r>
        <w:t xml:space="preserve"> Letter </w:t>
      </w:r>
      <w:r w:rsidR="00E457DF">
        <w:t xml:space="preserve">and Informed Consent </w:t>
      </w:r>
      <w:r>
        <w:t>package</w:t>
      </w:r>
      <w:bookmarkEnd w:id="14"/>
    </w:p>
    <w:p w:rsidRPr="00207424" w:rsidR="005941B2" w:rsidP="005941B2" w:rsidRDefault="005941B2" w14:paraId="4D1DEF1A" w14:textId="3B2124B3">
      <w:pPr>
        <w:pStyle w:val="paragraph"/>
        <w:spacing w:before="0" w:beforeAutospacing="0" w:after="0" w:afterAutospacing="0"/>
        <w:textAlignment w:val="baseline"/>
        <w:rPr>
          <w:rFonts w:ascii="Calibri" w:hAnsi="Calibri" w:cs="Calibri"/>
          <w:sz w:val="22"/>
          <w:szCs w:val="22"/>
        </w:rPr>
      </w:pPr>
      <w:r w:rsidRPr="00207424">
        <w:rPr>
          <w:rStyle w:val="normaltextrun"/>
          <w:rFonts w:ascii="Calibri" w:hAnsi="Calibri" w:cs="Calibri"/>
          <w:sz w:val="22"/>
          <w:szCs w:val="22"/>
        </w:rPr>
        <w:t>At the onset of this present study, a package containing an invitation letter</w:t>
      </w:r>
      <w:r w:rsidRPr="00207424" w:rsidR="00207424">
        <w:rPr>
          <w:rStyle w:val="normaltextrun"/>
          <w:rFonts w:ascii="Calibri" w:hAnsi="Calibri" w:cs="Calibri"/>
          <w:sz w:val="22"/>
          <w:szCs w:val="22"/>
        </w:rPr>
        <w:t xml:space="preserve">, </w:t>
      </w:r>
      <w:r w:rsidR="00F83B2F">
        <w:rPr>
          <w:rStyle w:val="normaltextrun"/>
          <w:rFonts w:ascii="Calibri" w:hAnsi="Calibri" w:cs="Calibri"/>
          <w:sz w:val="22"/>
          <w:szCs w:val="22"/>
        </w:rPr>
        <w:t>study</w:t>
      </w:r>
      <w:r w:rsidR="009914B9">
        <w:rPr>
          <w:rStyle w:val="normaltextrun"/>
          <w:rFonts w:ascii="Calibri" w:hAnsi="Calibri" w:cs="Calibri"/>
          <w:sz w:val="22"/>
          <w:szCs w:val="22"/>
        </w:rPr>
        <w:t xml:space="preserve"> fact sheet, </w:t>
      </w:r>
      <w:r w:rsidRPr="00207424">
        <w:rPr>
          <w:rStyle w:val="normaltextrun"/>
          <w:rFonts w:ascii="Calibri" w:hAnsi="Calibri" w:cs="Calibri"/>
          <w:sz w:val="22"/>
          <w:szCs w:val="22"/>
        </w:rPr>
        <w:t>consent</w:t>
      </w:r>
      <w:r w:rsidRPr="00207424" w:rsidR="00207424">
        <w:rPr>
          <w:rStyle w:val="normaltextrun"/>
          <w:rFonts w:ascii="Calibri" w:hAnsi="Calibri" w:cs="Calibri"/>
          <w:sz w:val="22"/>
          <w:szCs w:val="22"/>
        </w:rPr>
        <w:t xml:space="preserve">/permission/assent forms, </w:t>
      </w:r>
      <w:r w:rsidR="009914B9">
        <w:rPr>
          <w:rStyle w:val="normaltextrun"/>
          <w:rFonts w:ascii="Calibri" w:hAnsi="Calibri" w:cs="Calibri"/>
          <w:sz w:val="22"/>
          <w:szCs w:val="22"/>
        </w:rPr>
        <w:t>Privacy Act Statement,</w:t>
      </w:r>
      <w:r w:rsidRPr="00207424" w:rsidR="009914B9">
        <w:rPr>
          <w:rStyle w:val="normaltextrun"/>
          <w:rFonts w:ascii="Calibri" w:hAnsi="Calibri" w:cs="Calibri"/>
          <w:sz w:val="22"/>
          <w:szCs w:val="22"/>
        </w:rPr>
        <w:t xml:space="preserve"> </w:t>
      </w:r>
      <w:r w:rsidRPr="00207424" w:rsidR="00207424">
        <w:rPr>
          <w:rStyle w:val="normaltextrun"/>
          <w:rFonts w:ascii="Calibri" w:hAnsi="Calibri" w:cs="Calibri"/>
          <w:sz w:val="22"/>
          <w:szCs w:val="22"/>
        </w:rPr>
        <w:t>initial survey</w:t>
      </w:r>
      <w:r w:rsidR="009914B9">
        <w:rPr>
          <w:rStyle w:val="normaltextrun"/>
          <w:rFonts w:ascii="Calibri" w:hAnsi="Calibri" w:cs="Calibri"/>
          <w:sz w:val="22"/>
          <w:szCs w:val="22"/>
        </w:rPr>
        <w:t>, symptom diary, and pre-paid return envelope</w:t>
      </w:r>
      <w:r w:rsidRPr="00207424">
        <w:rPr>
          <w:rStyle w:val="normaltextrun"/>
          <w:rFonts w:ascii="Calibri" w:hAnsi="Calibri" w:cs="Calibri"/>
          <w:sz w:val="22"/>
          <w:szCs w:val="22"/>
        </w:rPr>
        <w:t xml:space="preserve"> will be mailed to all participants included in the previous studies discussed above who agreed to be contacted for follow-up studies</w:t>
      </w:r>
      <w:r w:rsidR="00F83B2F">
        <w:rPr>
          <w:rStyle w:val="normaltextrun"/>
          <w:rFonts w:ascii="Calibri" w:hAnsi="Calibri" w:cs="Calibri"/>
          <w:sz w:val="22"/>
          <w:szCs w:val="22"/>
        </w:rPr>
        <w:t>.</w:t>
      </w:r>
      <w:r w:rsidRPr="00207424">
        <w:rPr>
          <w:rStyle w:val="normaltextrun"/>
          <w:rFonts w:ascii="Calibri" w:hAnsi="Calibri" w:cs="Calibri"/>
          <w:sz w:val="22"/>
          <w:szCs w:val="22"/>
        </w:rPr>
        <w:t xml:space="preserve"> </w:t>
      </w:r>
      <w:r w:rsidRPr="00207424" w:rsidR="00207424">
        <w:rPr>
          <w:rStyle w:val="normaltextrun"/>
          <w:rFonts w:ascii="Calibri" w:hAnsi="Calibri" w:cs="Calibri"/>
          <w:color w:val="000000"/>
          <w:sz w:val="22"/>
          <w:szCs w:val="22"/>
          <w:shd w:val="clear" w:color="auto" w:fill="FFFFFF"/>
        </w:rPr>
        <w:t xml:space="preserve">An additional copy of the Consent/Permission/Assent form will be included in the package for participants to keep. </w:t>
      </w:r>
      <w:r w:rsidRPr="00207424">
        <w:rPr>
          <w:rStyle w:val="normaltextrun"/>
          <w:rFonts w:ascii="Calibri" w:hAnsi="Calibri" w:cs="Calibri"/>
          <w:sz w:val="22"/>
          <w:szCs w:val="22"/>
        </w:rPr>
        <w:t>The invitation letter will explain the purpose and how the study will be conducted over the study </w:t>
      </w:r>
      <w:r w:rsidRPr="00207424" w:rsidR="00582B89">
        <w:rPr>
          <w:rStyle w:val="normaltextrun"/>
          <w:rFonts w:ascii="Calibri" w:hAnsi="Calibri" w:cs="Calibri"/>
          <w:sz w:val="22"/>
          <w:szCs w:val="22"/>
        </w:rPr>
        <w:t>period</w:t>
      </w:r>
      <w:r w:rsidRPr="00207424">
        <w:rPr>
          <w:rStyle w:val="normaltextrun"/>
          <w:rFonts w:ascii="Calibri" w:hAnsi="Calibri" w:cs="Calibri"/>
          <w:sz w:val="22"/>
          <w:szCs w:val="22"/>
        </w:rPr>
        <w:t>. Potential participants will be provided a telephone number and email contact information for contacting study personnel and will have the opportunity to ask questions about this study prior to enrollment.   </w:t>
      </w:r>
      <w:r w:rsidRPr="00207424">
        <w:rPr>
          <w:rStyle w:val="eop"/>
          <w:rFonts w:ascii="Calibri" w:hAnsi="Calibri" w:cs="Calibri"/>
          <w:sz w:val="22"/>
          <w:szCs w:val="22"/>
        </w:rPr>
        <w:t> </w:t>
      </w:r>
    </w:p>
    <w:p w:rsidR="00887360" w:rsidP="005A5982" w:rsidRDefault="00887360" w14:paraId="655BA3F3" w14:textId="77777777">
      <w:pPr>
        <w:spacing w:after="0"/>
      </w:pPr>
    </w:p>
    <w:p w:rsidR="00887360" w:rsidP="005A5982" w:rsidRDefault="006758EA" w14:paraId="63C45D7F" w14:textId="2A7FD274">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We will obtain written consent (permission</w:t>
      </w:r>
      <w:r w:rsidR="00582B89">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assent for children) for participation in the study. The consent form tells the participants about the study and their rights as a participant</w:t>
      </w:r>
      <w:r w:rsidR="003A379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3A3790">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articipant</w:t>
      </w:r>
      <w:r w:rsidR="005C73A8">
        <w:rPr>
          <w:rStyle w:val="normaltextrun"/>
          <w:rFonts w:ascii="Calibri" w:hAnsi="Calibri" w:cs="Calibri"/>
          <w:color w:val="000000"/>
          <w:shd w:val="clear" w:color="auto" w:fill="FFFFFF"/>
        </w:rPr>
        <w:t>s will be instructed in writing to</w:t>
      </w:r>
      <w:r>
        <w:rPr>
          <w:rStyle w:val="normaltextrun"/>
          <w:rFonts w:ascii="Calibri" w:hAnsi="Calibri" w:cs="Calibri"/>
          <w:color w:val="000000"/>
          <w:shd w:val="clear" w:color="auto" w:fill="FFFFFF"/>
        </w:rPr>
        <w:t> sign and date the signature page</w:t>
      </w:r>
      <w:r w:rsidR="00207424">
        <w:rPr>
          <w:rStyle w:val="normaltextrun"/>
          <w:rFonts w:ascii="Calibri" w:hAnsi="Calibri" w:cs="Calibri"/>
          <w:color w:val="000000"/>
          <w:shd w:val="clear" w:color="auto" w:fill="FFFFFF"/>
        </w:rPr>
        <w:t xml:space="preserve"> </w:t>
      </w:r>
      <w:r w:rsidR="00F83CE4">
        <w:rPr>
          <w:rStyle w:val="normaltextrun"/>
          <w:rFonts w:ascii="Calibri" w:hAnsi="Calibri" w:cs="Calibri"/>
          <w:color w:val="000000"/>
          <w:shd w:val="clear" w:color="auto" w:fill="FFFFFF"/>
        </w:rPr>
        <w:t xml:space="preserve">and return in a self-addressed, stamped envelope that will be provided in the </w:t>
      </w:r>
      <w:r w:rsidR="0000336D">
        <w:rPr>
          <w:rStyle w:val="normaltextrun"/>
          <w:rFonts w:ascii="Calibri" w:hAnsi="Calibri" w:cs="Calibri"/>
          <w:color w:val="000000"/>
          <w:shd w:val="clear" w:color="auto" w:fill="FFFFFF"/>
        </w:rPr>
        <w:t>package</w:t>
      </w:r>
      <w:r>
        <w:rPr>
          <w:rStyle w:val="normaltextrun"/>
          <w:rFonts w:ascii="Calibri" w:hAnsi="Calibri" w:cs="Calibri"/>
          <w:color w:val="000000"/>
          <w:shd w:val="clear" w:color="auto" w:fill="FFFFFF"/>
        </w:rPr>
        <w:t>.</w:t>
      </w:r>
      <w:r w:rsidR="00FD5E12">
        <w:rPr>
          <w:rStyle w:val="normaltextrun"/>
          <w:rFonts w:ascii="Calibri" w:hAnsi="Calibri" w:cs="Calibri"/>
          <w:color w:val="000000"/>
          <w:shd w:val="clear" w:color="auto" w:fill="FFFFFF"/>
        </w:rPr>
        <w:t xml:space="preserve"> T</w:t>
      </w:r>
      <w:r>
        <w:rPr>
          <w:rStyle w:val="normaltextrun"/>
          <w:rFonts w:ascii="Calibri" w:hAnsi="Calibri" w:cs="Calibri"/>
          <w:color w:val="000000"/>
          <w:shd w:val="clear" w:color="auto" w:fill="FFFFFF"/>
        </w:rPr>
        <w:t>he original signed copy of the consent</w:t>
      </w:r>
      <w:r w:rsidR="00582B89">
        <w:rPr>
          <w:rStyle w:val="normaltextrun"/>
          <w:rFonts w:ascii="Calibri" w:hAnsi="Calibri" w:cs="Calibri"/>
          <w:color w:val="000000"/>
          <w:shd w:val="clear" w:color="auto" w:fill="FFFFFF"/>
        </w:rPr>
        <w:t xml:space="preserve"> form (permission/assent form for children)</w:t>
      </w:r>
      <w:r>
        <w:rPr>
          <w:rStyle w:val="normaltextrun"/>
          <w:rFonts w:ascii="Calibri" w:hAnsi="Calibri" w:cs="Calibri"/>
          <w:color w:val="000000"/>
          <w:shd w:val="clear" w:color="auto" w:fill="FFFFFF"/>
        </w:rPr>
        <w:t xml:space="preserve"> will be securely stored in a locked cabinet at NCEH</w:t>
      </w:r>
      <w:r w:rsidR="008256B0">
        <w:rPr>
          <w:rStyle w:val="normaltextrun"/>
          <w:rFonts w:ascii="Calibri" w:hAnsi="Calibri" w:cs="Calibri"/>
          <w:color w:val="000000"/>
          <w:shd w:val="clear" w:color="auto" w:fill="FFFFFF"/>
        </w:rPr>
        <w:t>/ATSDR</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rsidR="006758EA" w:rsidP="005A5982" w:rsidRDefault="006758EA" w14:paraId="100A9422" w14:textId="0EDCF6FF">
      <w:pPr>
        <w:spacing w:after="0"/>
      </w:pPr>
    </w:p>
    <w:p w:rsidR="005A5982" w:rsidP="001124B3" w:rsidRDefault="001124B3" w14:paraId="62717A82" w14:textId="04207D18">
      <w:pPr>
        <w:pStyle w:val="Heading1"/>
      </w:pPr>
      <w:bookmarkStart w:name="_Toc92192125" w:id="15"/>
      <w:r>
        <w:t>6.0. Study Implementation</w:t>
      </w:r>
      <w:bookmarkEnd w:id="15"/>
      <w:r>
        <w:t xml:space="preserve"> </w:t>
      </w:r>
    </w:p>
    <w:p w:rsidR="00D37D41" w:rsidP="001124B3" w:rsidRDefault="00D37D41" w14:paraId="41E2441D" w14:textId="6D6BC048">
      <w:pPr>
        <w:pStyle w:val="Heading2"/>
      </w:pPr>
      <w:bookmarkStart w:name="_Toc92192126" w:id="16"/>
      <w:r>
        <w:t>6.</w:t>
      </w:r>
      <w:r w:rsidR="00E457DF">
        <w:t>1</w:t>
      </w:r>
      <w:r w:rsidR="001124B3">
        <w:t>.</w:t>
      </w:r>
      <w:r>
        <w:t xml:space="preserve"> </w:t>
      </w:r>
      <w:r w:rsidR="00E03F8F">
        <w:t>Survey</w:t>
      </w:r>
      <w:r>
        <w:t>s</w:t>
      </w:r>
      <w:bookmarkEnd w:id="16"/>
    </w:p>
    <w:p w:rsidR="001A221F" w:rsidP="00BB1D73" w:rsidRDefault="00BB1D73" w14:paraId="529BA344" w14:textId="0189BBB3">
      <w:pPr>
        <w:spacing w:after="0"/>
      </w:pPr>
      <w:r w:rsidRPr="00BB1D73">
        <w:t xml:space="preserve">A hard copy of the initial </w:t>
      </w:r>
      <w:r w:rsidR="00E03F8F">
        <w:t>survey</w:t>
      </w:r>
      <w:r w:rsidRPr="00BB1D73">
        <w:t xml:space="preserve"> will be mailed to participants </w:t>
      </w:r>
      <w:r w:rsidR="00A648E3">
        <w:t xml:space="preserve">in the recruitment package, </w:t>
      </w:r>
      <w:r w:rsidRPr="00BB1D73">
        <w:t xml:space="preserve">and once completed, will be mailed back to the study team in a self-addressed, stamped envelope provided. </w:t>
      </w:r>
      <w:r w:rsidR="001A221F">
        <w:t xml:space="preserve">Follow-up surveys will be administered via </w:t>
      </w:r>
      <w:r w:rsidR="00E04952">
        <w:t>email from CDC’s secure web-based platform, REDCap</w:t>
      </w:r>
      <w:r w:rsidR="00187A1A">
        <w:t>,</w:t>
      </w:r>
      <w:r w:rsidR="00E04952">
        <w:t xml:space="preserve"> or via paper-based mail for those who do not </w:t>
      </w:r>
      <w:r w:rsidR="00187A1A">
        <w:t xml:space="preserve">want </w:t>
      </w:r>
      <w:r w:rsidR="00E04952">
        <w:t xml:space="preserve">to use REDCap. Any paper-based surveys received (including all initial surveys) will be entered into REDCap by study personnel. </w:t>
      </w:r>
    </w:p>
    <w:p w:rsidR="009B5D85" w:rsidP="00BB1D73" w:rsidRDefault="009B5D85" w14:paraId="4B9A09A8" w14:textId="6F713EAE">
      <w:pPr>
        <w:spacing w:after="0"/>
      </w:pPr>
    </w:p>
    <w:p w:rsidR="009B5D85" w:rsidP="00BB1D73" w:rsidRDefault="009B5D85" w14:paraId="667E9271" w14:textId="192E57A3">
      <w:pPr>
        <w:spacing w:after="0"/>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Upon receipt of the signed consent form, each enrollee will be randomly assigned a new participant ID. This participant ID will be included on all follow-up surveys</w:t>
      </w:r>
      <w:r w:rsidR="00CF6C97">
        <w:rPr>
          <w:rStyle w:val="normaltextrun"/>
          <w:rFonts w:ascii="Calibri" w:hAnsi="Calibri" w:cs="Calibri"/>
          <w:color w:val="000000"/>
          <w:bdr w:val="none" w:color="auto" w:sz="0" w:space="0" w:frame="1"/>
        </w:rPr>
        <w:t xml:space="preserve">. This will be used to link the surveys together and link to the previously collected PFAS serum measurements to protect the privacy of the participants. </w:t>
      </w:r>
    </w:p>
    <w:p w:rsidR="00105F27" w:rsidP="00BB1D73" w:rsidRDefault="00105F27" w14:paraId="21E4D9AA" w14:textId="637F133E">
      <w:pPr>
        <w:spacing w:after="0"/>
        <w:rPr>
          <w:rStyle w:val="normaltextrun"/>
          <w:rFonts w:ascii="Calibri" w:hAnsi="Calibri" w:cs="Calibri"/>
          <w:color w:val="000000"/>
          <w:bdr w:val="none" w:color="auto" w:sz="0" w:space="0" w:frame="1"/>
        </w:rPr>
      </w:pPr>
    </w:p>
    <w:p w:rsidR="00105F27" w:rsidP="00BB1D73" w:rsidRDefault="003C7FE6" w14:paraId="1D120C1D" w14:textId="27C61916">
      <w:pPr>
        <w:spacing w:after="0"/>
      </w:pPr>
      <w:r>
        <w:rPr>
          <w:rStyle w:val="normaltextrun"/>
          <w:rFonts w:ascii="Calibri" w:hAnsi="Calibri" w:cs="Calibri"/>
          <w:color w:val="000000"/>
          <w:bdr w:val="none" w:color="auto" w:sz="0" w:space="0" w:frame="1"/>
        </w:rPr>
        <w:t xml:space="preserve">A tracking database using </w:t>
      </w:r>
      <w:r w:rsidR="00FD6C40">
        <w:rPr>
          <w:rStyle w:val="normaltextrun"/>
          <w:rFonts w:ascii="Calibri" w:hAnsi="Calibri" w:cs="Calibri"/>
          <w:color w:val="000000"/>
          <w:bdr w:val="none" w:color="auto" w:sz="0" w:space="0" w:frame="1"/>
        </w:rPr>
        <w:t xml:space="preserve">Power Apps and SharePoint will be used </w:t>
      </w:r>
      <w:r w:rsidR="0086681F">
        <w:rPr>
          <w:rStyle w:val="normaltextrun"/>
          <w:rFonts w:ascii="Calibri" w:hAnsi="Calibri" w:cs="Calibri"/>
          <w:color w:val="000000"/>
          <w:bdr w:val="none" w:color="auto" w:sz="0" w:space="0" w:frame="1"/>
        </w:rPr>
        <w:t xml:space="preserve">for study implementation and tracking throughout the study. This database will track when surveys are sent, by what means they are sent, when they are returned, any reminders sent, </w:t>
      </w:r>
      <w:r w:rsidR="00BD0199">
        <w:rPr>
          <w:rStyle w:val="normaltextrun"/>
          <w:rFonts w:ascii="Calibri" w:hAnsi="Calibri" w:cs="Calibri"/>
          <w:color w:val="000000"/>
          <w:bdr w:val="none" w:color="auto" w:sz="0" w:space="0" w:frame="1"/>
        </w:rPr>
        <w:t xml:space="preserve">incentives sent, etc. All study personnel will have access to this database and be able to input the information. No personal identifying information will be included in this tracking database. The tracking database will use the participant’s ID for tracking. The linkage between PII and participant ID will be stored in a separate database on the encrypted MUST share folder. </w:t>
      </w:r>
    </w:p>
    <w:p w:rsidR="001A221F" w:rsidP="00BB1D73" w:rsidRDefault="001A221F" w14:paraId="3CF99504" w14:textId="77777777">
      <w:pPr>
        <w:spacing w:after="0"/>
      </w:pPr>
    </w:p>
    <w:p w:rsidR="005A5982" w:rsidP="005A5982" w:rsidRDefault="005A5982" w14:paraId="58BCB813" w14:textId="77777777">
      <w:pPr>
        <w:spacing w:after="0"/>
      </w:pPr>
    </w:p>
    <w:p w:rsidR="00D37D41" w:rsidP="00C97B3B" w:rsidRDefault="00D37D41" w14:paraId="7FB32D47" w14:textId="66F936E7">
      <w:pPr>
        <w:pStyle w:val="Heading2"/>
      </w:pPr>
      <w:bookmarkStart w:name="_Toc92192127" w:id="17"/>
      <w:r>
        <w:t>6.</w:t>
      </w:r>
      <w:r w:rsidR="004C0AB6">
        <w:t>2</w:t>
      </w:r>
      <w:r w:rsidR="00C97B3B">
        <w:t>.</w:t>
      </w:r>
      <w:r>
        <w:t xml:space="preserve"> Reminders</w:t>
      </w:r>
      <w:r w:rsidR="00DF3C2E">
        <w:t xml:space="preserve"> to participants</w:t>
      </w:r>
      <w:bookmarkEnd w:id="17"/>
    </w:p>
    <w:p w:rsidR="005A5982" w:rsidP="005A5982" w:rsidRDefault="00D974E8" w14:paraId="1866916D" w14:textId="6D91BD5D">
      <w:pPr>
        <w:spacing w:after="0"/>
      </w:pPr>
      <w:r>
        <w:t xml:space="preserve">Reminders for </w:t>
      </w:r>
      <w:r w:rsidR="00D85744">
        <w:t xml:space="preserve">initial </w:t>
      </w:r>
      <w:r w:rsidR="00EE6474">
        <w:t>study participation will be made by telephone only.</w:t>
      </w:r>
      <w:r w:rsidR="002A3E2F">
        <w:t xml:space="preserve">  </w:t>
      </w:r>
      <w:r w:rsidR="00C418E1">
        <w:t xml:space="preserve">Once a participant agrees and consents to participate in this study, </w:t>
      </w:r>
      <w:r w:rsidR="00221EB1">
        <w:t xml:space="preserve">reminders for </w:t>
      </w:r>
      <w:r w:rsidR="00E03F8F">
        <w:t>survey</w:t>
      </w:r>
      <w:r>
        <w:t xml:space="preserve"> completion will be sent to participants by the method chosen on the consent form (email</w:t>
      </w:r>
      <w:r w:rsidR="00233253">
        <w:t>, phone, text message, or mail)</w:t>
      </w:r>
      <w:r w:rsidR="000E734D">
        <w:t>.</w:t>
      </w:r>
    </w:p>
    <w:p w:rsidR="00D974E8" w:rsidP="005A5982" w:rsidRDefault="00D974E8" w14:paraId="6E15617F" w14:textId="77777777">
      <w:pPr>
        <w:spacing w:after="0"/>
      </w:pPr>
    </w:p>
    <w:p w:rsidR="00D37D41" w:rsidP="008F0A56" w:rsidRDefault="00D37D41" w14:paraId="17DCF954" w14:textId="01BC31EF">
      <w:pPr>
        <w:pStyle w:val="Heading2"/>
      </w:pPr>
      <w:bookmarkStart w:name="_Toc92192128" w:id="18"/>
      <w:r>
        <w:t>6.</w:t>
      </w:r>
      <w:r w:rsidR="004C0AB6">
        <w:t>3</w:t>
      </w:r>
      <w:r w:rsidR="00C97B3B">
        <w:t>.</w:t>
      </w:r>
      <w:r>
        <w:t xml:space="preserve"> Results of Study to participants</w:t>
      </w:r>
      <w:bookmarkEnd w:id="18"/>
    </w:p>
    <w:p w:rsidR="008F0A56" w:rsidP="008F0A56" w:rsidRDefault="008F0A56" w14:paraId="6206AF1D" w14:textId="77777777">
      <w:pPr>
        <w:spacing w:after="0"/>
      </w:pPr>
      <w:r>
        <w:t xml:space="preserve">The results of the study will be disseminated through abstracts, professional meeting presentations and manuscripts for publication in peer reviewed journals.   </w:t>
      </w:r>
    </w:p>
    <w:p w:rsidR="008F0A56" w:rsidP="008F0A56" w:rsidRDefault="008F0A56" w14:paraId="3578C9B9" w14:textId="77777777">
      <w:pPr>
        <w:spacing w:after="0"/>
      </w:pPr>
    </w:p>
    <w:p w:rsidR="005A5982" w:rsidP="008F0A56" w:rsidRDefault="008F0A56" w14:paraId="5B8814F5" w14:textId="015A390F">
      <w:pPr>
        <w:spacing w:after="0"/>
      </w:pPr>
      <w:r>
        <w:t xml:space="preserve">We will share the results from this study through community-facing mechanisms. As the study findings are being finalized, the study team will work with ATSDR communications to develop a roll-out plan on how to best share these results with community members. This could potentially include a webinar for community members, distribution of fact sheets, etc.  </w:t>
      </w:r>
    </w:p>
    <w:p w:rsidR="008F0A56" w:rsidP="008F0A56" w:rsidRDefault="008F0A56" w14:paraId="46DBA83E" w14:textId="77777777">
      <w:pPr>
        <w:spacing w:after="0"/>
      </w:pPr>
    </w:p>
    <w:p w:rsidR="005A5982" w:rsidP="001C40D4" w:rsidRDefault="001C40D4" w14:paraId="6D4ABC42" w14:textId="55CEAD5B">
      <w:pPr>
        <w:pStyle w:val="Heading1"/>
      </w:pPr>
      <w:bookmarkStart w:name="_Toc92192129" w:id="19"/>
      <w:r>
        <w:t>7.0. Data Management and Security</w:t>
      </w:r>
      <w:bookmarkEnd w:id="19"/>
    </w:p>
    <w:p w:rsidR="005A5982" w:rsidP="005A5982" w:rsidRDefault="00597734" w14:paraId="014B3029" w14:textId="518C4111">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This section of the MOP describes the computer system and data management approach that will be used to support th</w:t>
      </w:r>
      <w:r w:rsidR="00814F32">
        <w:rPr>
          <w:rStyle w:val="normaltextrun"/>
          <w:rFonts w:ascii="Calibri" w:hAnsi="Calibri" w:cs="Calibri"/>
          <w:color w:val="000000"/>
          <w:shd w:val="clear" w:color="auto" w:fill="FFFFFF"/>
        </w:rPr>
        <w:t>is study</w:t>
      </w:r>
      <w:r>
        <w:rPr>
          <w:rStyle w:val="normaltextrun"/>
          <w:rFonts w:ascii="Calibri" w:hAnsi="Calibri" w:cs="Calibri"/>
          <w:color w:val="000000"/>
          <w:shd w:val="clear" w:color="auto" w:fill="FFFFFF"/>
        </w:rPr>
        <w:t> and details how data are to be collected and protected.</w:t>
      </w:r>
      <w:r>
        <w:rPr>
          <w:rStyle w:val="eop"/>
          <w:rFonts w:ascii="Calibri" w:hAnsi="Calibri" w:cs="Calibri"/>
          <w:color w:val="000000"/>
          <w:shd w:val="clear" w:color="auto" w:fill="FFFFFF"/>
        </w:rPr>
        <w:t> </w:t>
      </w:r>
    </w:p>
    <w:p w:rsidR="00597734" w:rsidP="005A5982" w:rsidRDefault="00597734" w14:paraId="53E30F6F" w14:textId="77777777">
      <w:pPr>
        <w:spacing w:after="0"/>
      </w:pPr>
    </w:p>
    <w:p w:rsidR="00D37D41" w:rsidP="00EE1A30" w:rsidRDefault="00EE1A30" w14:paraId="2843DE6E" w14:textId="2A03441A">
      <w:pPr>
        <w:pStyle w:val="Heading2"/>
      </w:pPr>
      <w:bookmarkStart w:name="_Toc92192130" w:id="20"/>
      <w:r>
        <w:t>7.1.</w:t>
      </w:r>
      <w:r w:rsidR="00D37D41">
        <w:t xml:space="preserve"> Collections and management of data</w:t>
      </w:r>
      <w:bookmarkEnd w:id="20"/>
      <w:r w:rsidR="00D37D41">
        <w:t xml:space="preserve"> </w:t>
      </w:r>
    </w:p>
    <w:p w:rsidR="00C5051C" w:rsidP="00C5051C" w:rsidRDefault="00C5051C" w14:paraId="5A585995" w14:textId="13EFC3E5">
      <w:pPr>
        <w:pStyle w:val="Heading3"/>
      </w:pPr>
      <w:bookmarkStart w:name="_Toc92192131" w:id="21"/>
      <w:r>
        <w:t>7.1.1. Use and protection of personally identifiable information (PII)</w:t>
      </w:r>
      <w:bookmarkEnd w:id="21"/>
    </w:p>
    <w:p w:rsidR="00C5051C" w:rsidP="00C5051C" w:rsidRDefault="003650AD" w14:paraId="703ADA17" w14:textId="1BF27F3F">
      <w:r>
        <w:t>The study staff will receive</w:t>
      </w:r>
      <w:r w:rsidR="00C661AB">
        <w:t xml:space="preserve">, </w:t>
      </w:r>
      <w:r w:rsidRPr="00C661AB" w:rsidR="00C661AB">
        <w:t>manage and store PII in an already established record system (System of Records Notice [SORN] No. 09-19-0001 titled “Records of Persons Exposed to Toxic or Hazardous Substances”).</w:t>
      </w:r>
      <w:r w:rsidR="00F112AC">
        <w:t xml:space="preserve"> </w:t>
      </w:r>
    </w:p>
    <w:p w:rsidR="00F112AC" w:rsidP="00C5051C" w:rsidRDefault="00F112AC" w14:paraId="198B9568" w14:textId="2396DF7F">
      <w:r>
        <w:t xml:space="preserve">During the recruitment and informed consent/permission/assent process, </w:t>
      </w:r>
      <w:r w:rsidR="007E50CF">
        <w:t>we will collect PII (i.e., name and date of birth). This will be used to link the survey data collected in this study with the PFAS serum measurements from the previous ATSDR study. After receiving the consent/permission/assent, study staff will randomly assign each participant a unique identifier to be used for the remainder of the study. With this, no other PII will be collected for the remainder of the study.</w:t>
      </w:r>
    </w:p>
    <w:p w:rsidRPr="00C5051C" w:rsidR="00354D2A" w:rsidP="00C5051C" w:rsidRDefault="00354D2A" w14:paraId="6E08BFCF" w14:textId="419951E6">
      <w:r w:rsidRPr="00354D2A">
        <w:t xml:space="preserve">ATSDR will store the PII in a separate master key dataset along with a study-generated ID in a designated CDC/ATSDR encrypted share drive (i.e. MUST share).  </w:t>
      </w:r>
    </w:p>
    <w:p w:rsidR="005A5982" w:rsidP="00142A2B" w:rsidRDefault="005A5982" w14:paraId="3475D024" w14:textId="74F817BE">
      <w:pPr>
        <w:spacing w:after="0"/>
      </w:pPr>
    </w:p>
    <w:p w:rsidR="00142A2B" w:rsidP="00142A2B" w:rsidRDefault="00142A2B" w14:paraId="6CB3CB75" w14:textId="66CF3A14">
      <w:pPr>
        <w:pStyle w:val="Heading3"/>
      </w:pPr>
      <w:bookmarkStart w:name="_Toc92192132" w:id="22"/>
      <w:r>
        <w:t>7.1.2. Data delivery and flow</w:t>
      </w:r>
      <w:bookmarkEnd w:id="22"/>
    </w:p>
    <w:p w:rsidR="00610758" w:rsidP="00142A2B" w:rsidRDefault="00142A2B" w14:paraId="311BF692" w14:textId="26FB82BC">
      <w:r>
        <w:t>Figure 1</w:t>
      </w:r>
      <w:r w:rsidR="0092755A">
        <w:t>. D</w:t>
      </w:r>
      <w:r>
        <w:t>ata flow diagram</w:t>
      </w:r>
    </w:p>
    <w:p w:rsidR="004636FC" w:rsidP="00142A2B" w:rsidRDefault="00EF56C3" w14:paraId="19D3308E" w14:textId="5D51ACA5">
      <w:r>
        <w:rPr>
          <w:noProof/>
        </w:rPr>
        <w:lastRenderedPageBreak/>
        <w:drawing>
          <wp:inline distT="0" distB="0" distL="0" distR="0" wp14:anchorId="21590C56" wp14:editId="150FEE3F">
            <wp:extent cx="5753100" cy="4484944"/>
            <wp:effectExtent l="19050" t="19050" r="19050" b="11430"/>
            <wp:docPr id="4" name="Picture 4" descr="PFAS Viral Infections Data Diagram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FAS Viral Infections Data Diagram - Word"/>
                    <pic:cNvPicPr/>
                  </pic:nvPicPr>
                  <pic:blipFill rotWithShape="1">
                    <a:blip r:embed="rId14">
                      <a:extLst>
                        <a:ext uri="{28A0092B-C50C-407E-A947-70E740481C1C}">
                          <a14:useLocalDpi xmlns:a14="http://schemas.microsoft.com/office/drawing/2010/main" val="0"/>
                        </a:ext>
                      </a:extLst>
                    </a:blip>
                    <a:srcRect l="4166" t="12478" r="6411" b="4007"/>
                    <a:stretch/>
                  </pic:blipFill>
                  <pic:spPr bwMode="auto">
                    <a:xfrm>
                      <a:off x="0" y="0"/>
                      <a:ext cx="5760655" cy="449083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42A2B" w:rsidP="00142A2B" w:rsidRDefault="00142A2B" w14:paraId="0E071967" w14:textId="41662B9B">
      <w:pPr>
        <w:spacing w:after="0"/>
      </w:pPr>
    </w:p>
    <w:p w:rsidR="00142A2B" w:rsidP="00C56FB3" w:rsidRDefault="00C56FB3" w14:paraId="07A3B314" w14:textId="455E9C2A">
      <w:pPr>
        <w:pStyle w:val="Heading3"/>
      </w:pPr>
      <w:bookmarkStart w:name="_Toc92192133" w:id="23"/>
      <w:r>
        <w:t>7.1.3. Data Quality Control Checks</w:t>
      </w:r>
      <w:bookmarkEnd w:id="23"/>
    </w:p>
    <w:p w:rsidRPr="008C1F87" w:rsidR="008C1F87" w:rsidP="00E81E1E" w:rsidRDefault="008C1F87" w14:paraId="15EA2729" w14:textId="01AF451F">
      <w:pPr>
        <w:spacing w:after="0"/>
      </w:pPr>
      <w:r w:rsidRPr="008C1F87">
        <w:t>Data quality control checks may identify potential data anomalies such as:  </w:t>
      </w:r>
    </w:p>
    <w:p w:rsidRPr="000D2C21" w:rsidR="000D2C21" w:rsidP="0038728D" w:rsidRDefault="000D2C21" w14:paraId="4A1877DB" w14:textId="77777777">
      <w:pPr>
        <w:numPr>
          <w:ilvl w:val="0"/>
          <w:numId w:val="15"/>
        </w:numPr>
        <w:tabs>
          <w:tab w:val="clear" w:pos="720"/>
          <w:tab w:val="num" w:pos="1080"/>
        </w:tabs>
        <w:spacing w:after="0" w:line="240" w:lineRule="auto"/>
        <w:ind w:left="1080"/>
      </w:pPr>
      <w:r w:rsidRPr="000D2C21">
        <w:t>Missing data or forms  </w:t>
      </w:r>
    </w:p>
    <w:p w:rsidRPr="000D2C21" w:rsidR="000D2C21" w:rsidP="0038728D" w:rsidRDefault="000D2C21" w14:paraId="27BAD89D" w14:textId="77777777">
      <w:pPr>
        <w:numPr>
          <w:ilvl w:val="0"/>
          <w:numId w:val="15"/>
        </w:numPr>
        <w:tabs>
          <w:tab w:val="clear" w:pos="720"/>
          <w:tab w:val="num" w:pos="1080"/>
        </w:tabs>
        <w:spacing w:after="0" w:line="240" w:lineRule="auto"/>
        <w:ind w:left="1080"/>
      </w:pPr>
      <w:r w:rsidRPr="000D2C21">
        <w:t>Out-of-range or erroneous data </w:t>
      </w:r>
    </w:p>
    <w:p w:rsidRPr="000D2C21" w:rsidR="000D2C21" w:rsidP="0038728D" w:rsidRDefault="000D2C21" w14:paraId="4614C086" w14:textId="77777777">
      <w:pPr>
        <w:numPr>
          <w:ilvl w:val="0"/>
          <w:numId w:val="16"/>
        </w:numPr>
        <w:tabs>
          <w:tab w:val="clear" w:pos="720"/>
          <w:tab w:val="num" w:pos="1080"/>
        </w:tabs>
        <w:spacing w:after="0" w:line="240" w:lineRule="auto"/>
        <w:ind w:left="1080"/>
      </w:pPr>
      <w:r w:rsidRPr="000D2C21">
        <w:t>Inconsistent and illogical dates over time  </w:t>
      </w:r>
    </w:p>
    <w:p w:rsidRPr="000D2C21" w:rsidR="000D2C21" w:rsidP="0038728D" w:rsidRDefault="000D2C21" w14:paraId="252AA514" w14:textId="12E5971A">
      <w:pPr>
        <w:numPr>
          <w:ilvl w:val="0"/>
          <w:numId w:val="16"/>
        </w:numPr>
        <w:tabs>
          <w:tab w:val="clear" w:pos="720"/>
          <w:tab w:val="num" w:pos="1080"/>
        </w:tabs>
        <w:spacing w:after="0" w:line="240" w:lineRule="auto"/>
        <w:ind w:left="1080"/>
      </w:pPr>
      <w:r w:rsidRPr="000D2C21">
        <w:t>Data inconsistency across forms</w:t>
      </w:r>
    </w:p>
    <w:p w:rsidR="00812CC2" w:rsidP="005A5982" w:rsidRDefault="00812CC2" w14:paraId="726E047E" w14:textId="77777777">
      <w:pPr>
        <w:spacing w:after="0"/>
        <w:ind w:firstLine="720"/>
        <w:rPr>
          <w:rStyle w:val="normaltextrun"/>
          <w:rFonts w:ascii="Calibri" w:hAnsi="Calibri" w:cs="Calibri"/>
        </w:rPr>
      </w:pPr>
    </w:p>
    <w:p w:rsidR="005A5982" w:rsidP="00E81E1E" w:rsidRDefault="00812CC2" w14:paraId="0F2B3C34" w14:textId="78D7CB22">
      <w:pPr>
        <w:spacing w:after="0"/>
        <w:rPr>
          <w:rStyle w:val="normaltextrun"/>
          <w:rFonts w:ascii="Calibri" w:hAnsi="Calibri" w:cs="Calibri"/>
        </w:rPr>
      </w:pPr>
      <w:r w:rsidRPr="0060580A">
        <w:rPr>
          <w:rStyle w:val="normaltextrun"/>
          <w:rFonts w:ascii="Calibri" w:hAnsi="Calibri" w:cs="Calibri"/>
        </w:rPr>
        <w:t>Study staff involved with data management will perform the data quality checks</w:t>
      </w:r>
      <w:r w:rsidRPr="0053107D" w:rsidR="0053107D">
        <w:rPr>
          <w:rFonts w:ascii="Calibri" w:hAnsi="Calibri" w:cs="Calibri"/>
        </w:rPr>
        <w:t xml:space="preserve"> </w:t>
      </w:r>
      <w:r w:rsidR="0053107D">
        <w:rPr>
          <w:rFonts w:ascii="Calibri" w:hAnsi="Calibri" w:cs="Calibri"/>
        </w:rPr>
        <w:t>and</w:t>
      </w:r>
      <w:r w:rsidR="001F0D0E">
        <w:rPr>
          <w:rFonts w:ascii="Calibri" w:hAnsi="Calibri" w:cs="Calibri"/>
        </w:rPr>
        <w:t xml:space="preserve"> </w:t>
      </w:r>
      <w:r w:rsidRPr="0060580A" w:rsidR="0053107D">
        <w:rPr>
          <w:rStyle w:val="normaltextrun"/>
          <w:rFonts w:ascii="Calibri" w:hAnsi="Calibri" w:cs="Calibri"/>
        </w:rPr>
        <w:t>resolve any identified data quality issues.  Analytic data sets will be prepared after data quality issues have been resolved.</w:t>
      </w:r>
      <w:r w:rsidRPr="0060580A" w:rsidR="0053107D">
        <w:rPr>
          <w:rStyle w:val="eop"/>
          <w:rFonts w:ascii="Calibri" w:hAnsi="Calibri" w:cs="Calibri"/>
        </w:rPr>
        <w:t> </w:t>
      </w:r>
    </w:p>
    <w:p w:rsidR="00812CC2" w:rsidP="009A4AA5" w:rsidRDefault="00812CC2" w14:paraId="4BBE0F01" w14:textId="50FDBC66">
      <w:pPr>
        <w:spacing w:after="0"/>
      </w:pPr>
    </w:p>
    <w:p w:rsidR="009A4AA5" w:rsidP="003B2B84" w:rsidRDefault="001F4A34" w14:paraId="31317809" w14:textId="79AB5AB9">
      <w:pPr>
        <w:pStyle w:val="Heading3"/>
      </w:pPr>
      <w:bookmarkStart w:name="_Toc92192134" w:id="24"/>
      <w:r>
        <w:t>7.1.4. Access Controls and Security</w:t>
      </w:r>
      <w:bookmarkEnd w:id="24"/>
    </w:p>
    <w:p w:rsidR="001F4A34" w:rsidP="009A4AA5" w:rsidRDefault="001F4A34" w14:paraId="3DC47680" w14:textId="4227A62F">
      <w:pPr>
        <w:spacing w:after="0"/>
      </w:pPr>
      <w:r>
        <w:t xml:space="preserve">All study staff will provide a signed Rules of Behavior that will outline the access and use of study data. </w:t>
      </w:r>
      <w:r w:rsidRPr="00023034" w:rsidR="00023034">
        <w:t>Least privilege access will be employed, and users will only be given access to the minimum data required for their particular analysis. Once approved by study PI, the study data manager will set up or grant appropriate permissions to users.</w:t>
      </w:r>
    </w:p>
    <w:p w:rsidR="003B2B84" w:rsidP="009A4AA5" w:rsidRDefault="003B2B84" w14:paraId="061F2AAD" w14:textId="74B4DAE7">
      <w:pPr>
        <w:spacing w:after="0"/>
      </w:pPr>
    </w:p>
    <w:p w:rsidR="003B2B84" w:rsidP="009A4AA5" w:rsidRDefault="003B2B84" w14:paraId="593EC8A0" w14:textId="05A1DE24">
      <w:pPr>
        <w:spacing w:after="0"/>
      </w:pPr>
      <w:r w:rsidRPr="003B2B84">
        <w:lastRenderedPageBreak/>
        <w:t xml:space="preserve">Upon completion of the project and once </w:t>
      </w:r>
      <w:r w:rsidR="005444E0">
        <w:t>CDC/</w:t>
      </w:r>
      <w:r w:rsidRPr="003B2B84">
        <w:t>ATSDR has received all approved study related paper documents, the recipient will destroy those hardcopy documents not necessary to complete the study analyses or to contact study participants</w:t>
      </w:r>
      <w:r w:rsidR="00220C19">
        <w:t>, as applicable</w:t>
      </w:r>
      <w:r w:rsidRPr="003B2B84">
        <w:t>.</w:t>
      </w:r>
      <w:r w:rsidR="00220C19">
        <w:t xml:space="preserve"> </w:t>
      </w:r>
      <w:r w:rsidRPr="00220C19" w:rsidR="00220C19">
        <w:t xml:space="preserve"> Records are retained, disposed, stored, handled, and viewed in accordance with the ATSDR Comprehensive Records Control Schedule (B-371), GSR 20.2c&amp; d, and GSR 20.6.  Current procedures allow the system manager to keep the records for 20 years unless needed for further study. </w:t>
      </w:r>
      <w:r w:rsidR="00220C19">
        <w:t xml:space="preserve"> </w:t>
      </w:r>
    </w:p>
    <w:p w:rsidR="00023034" w:rsidP="009A4AA5" w:rsidRDefault="00023034" w14:paraId="55F8BB95" w14:textId="61293E89">
      <w:pPr>
        <w:spacing w:after="0"/>
      </w:pPr>
    </w:p>
    <w:p w:rsidR="008C55A3" w:rsidP="009A4AA5" w:rsidRDefault="008C55A3" w14:paraId="0650F10E" w14:textId="70DAE61E">
      <w:pPr>
        <w:spacing w:after="0"/>
      </w:pPr>
    </w:p>
    <w:p w:rsidR="00E32E8C" w:rsidP="00E32E8C" w:rsidRDefault="00E32E8C" w14:paraId="18BB12DF" w14:textId="796DB096">
      <w:pPr>
        <w:pStyle w:val="Heading3"/>
      </w:pPr>
      <w:bookmarkStart w:name="_Toc92192135" w:id="25"/>
      <w:r>
        <w:t xml:space="preserve">7.1.5. Data Security Measures at </w:t>
      </w:r>
      <w:r w:rsidR="00AD7AD3">
        <w:t>CDC</w:t>
      </w:r>
      <w:r>
        <w:t>/ATSDR</w:t>
      </w:r>
      <w:bookmarkEnd w:id="25"/>
    </w:p>
    <w:p w:rsidRPr="006A1F21" w:rsidR="00E32E8C" w:rsidP="00E32E8C" w:rsidRDefault="00E32E8C" w14:paraId="01050782"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Data security measures at ATSDR will comply with the CDC/ATSDR Protection of Information Resources Policy and the CDC/ATSDR IT Security Program Implementation Standards. These policies apply to all authorized ATSDR employees. All incidents involving a suspected or confirmed breach of PII must be reported to OCISO according to the policy titled OCISO/CDC Standard for Responding to Breaches of Personally Identifiable Information (PII).</w:t>
      </w:r>
    </w:p>
    <w:p w:rsidRPr="006A1F21" w:rsidR="00E32E8C" w:rsidP="00E32E8C" w:rsidRDefault="00E32E8C" w14:paraId="38FDB5E2"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The CDC/ATSDR issues identity credentials based on the Federal Information Processing Standards (FIPS) Publication 201 for Personal Identity Verification (PIV) authentication of government employees’ identities. Security measures for physical access to secured facilities include the use of PIV Cards, security guards, and closed circuit TV monitoring.</w:t>
      </w:r>
    </w:p>
    <w:p w:rsidRPr="006A1F21" w:rsidR="00E32E8C" w:rsidP="00E32E8C" w:rsidRDefault="00E32E8C" w14:paraId="783766A8"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6A1F21" w:rsidR="00E32E8C" w:rsidP="00E32E8C" w:rsidRDefault="00E32E8C" w14:paraId="006A323F"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Authorized recipient researchers and CDC/ATSDR employees are required to:</w:t>
      </w:r>
    </w:p>
    <w:p w:rsidRPr="006A1F21" w:rsidR="00E32E8C" w:rsidP="00E32E8C" w:rsidRDefault="00E32E8C" w14:paraId="05164E11"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Complete required privacy and information security refresher training.</w:t>
      </w:r>
    </w:p>
    <w:p w:rsidRPr="006A1F21" w:rsidR="00E32E8C" w:rsidP="00E32E8C" w:rsidRDefault="00E32E8C" w14:paraId="43BD97FA"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Read, acknowledge, sign (if online completion is not available), and comply with the HHS Rules of Behavior, as well as other applicable CDC/ATSDR- and system-specific rules of behavior before gaining access to the CDC/ATSDR’s systems and networks.</w:t>
      </w:r>
    </w:p>
    <w:p w:rsidRPr="006A1F21" w:rsidR="00E32E8C" w:rsidP="00E32E8C" w:rsidRDefault="00E32E8C" w14:paraId="5B7C20D3"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Adhere to the requirements set forth in the CDC/ATSDR IT Security Program Implementation Standards, and other security policies and procedures that minimize the risk to CDC systems, networks, and data from malicious software and intrusions.</w:t>
      </w:r>
    </w:p>
    <w:p w:rsidRPr="006A1F21" w:rsidR="00E32E8C" w:rsidP="00E32E8C" w:rsidRDefault="00E32E8C" w14:paraId="440438C9"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Abide by all applicable acceptable use policies and procedures regarding use or abuse of CDC/ATSDR IT resources.</w:t>
      </w:r>
    </w:p>
    <w:p w:rsidR="00E32E8C" w:rsidP="009A4AA5" w:rsidRDefault="002041FA" w14:paraId="0DDA0BD8" w14:textId="5252D41D">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Records will be retained and disposed of in accordance with the </w:t>
      </w:r>
      <w:hyperlink w:tgtFrame="_blank" w:history="1" r:id="rId15">
        <w:r>
          <w:rPr>
            <w:rStyle w:val="normaltextrun"/>
            <w:rFonts w:ascii="Calibri" w:hAnsi="Calibri" w:cs="Calibri"/>
            <w:color w:val="0563C1"/>
            <w:u w:val="single"/>
            <w:shd w:val="clear" w:color="auto" w:fill="FFFFFF"/>
          </w:rPr>
          <w:t>CDC/ATSDR Scientific and Research Records Control Schedule</w:t>
        </w:r>
      </w:hyperlink>
      <w:r>
        <w:rPr>
          <w:rStyle w:val="normaltextrun"/>
          <w:rFonts w:ascii="Calibri" w:hAnsi="Calibri" w:cs="Calibri"/>
          <w:color w:val="000000"/>
          <w:shd w:val="clear" w:color="auto" w:fill="FFFFFF"/>
        </w:rPr>
        <w:t xml:space="preserve">. Physical copies of assessment materials and reports will be maintained at ATSDR until no longer needed by program officials and will be kept in accordance with the corresponding retention schedules. Computer documents will be disposed of when no longer needed by program officials. Personal identifiers will be deleted from records when no longer needed and will be retained no longer than five years. Disposal methods will include erasing computer files, shredding </w:t>
      </w:r>
      <w:r>
        <w:rPr>
          <w:rStyle w:val="normaltextrun"/>
          <w:rFonts w:ascii="Calibri" w:hAnsi="Calibri" w:cs="Calibri"/>
          <w:color w:val="000000"/>
          <w:shd w:val="clear" w:color="auto" w:fill="FFFFFF"/>
        </w:rPr>
        <w:lastRenderedPageBreak/>
        <w:t>paper materials, or transferring records to the Federal Records Center when no longer needed for evaluation and analysis. Records are retained for 20 years after the retirement of the record system.  </w:t>
      </w:r>
      <w:r>
        <w:rPr>
          <w:rStyle w:val="eop"/>
          <w:rFonts w:ascii="Calibri" w:hAnsi="Calibri" w:cs="Calibri"/>
          <w:color w:val="000000"/>
          <w:shd w:val="clear" w:color="auto" w:fill="FFFFFF"/>
        </w:rPr>
        <w:t> </w:t>
      </w:r>
    </w:p>
    <w:p w:rsidR="002041FA" w:rsidP="009A4AA5" w:rsidRDefault="002041FA" w14:paraId="730269EA" w14:textId="77777777">
      <w:pPr>
        <w:spacing w:after="0"/>
      </w:pPr>
    </w:p>
    <w:p w:rsidRPr="00D14475" w:rsidR="005A5982" w:rsidP="005A5982" w:rsidRDefault="005A5982" w14:paraId="464907F9" w14:textId="77777777">
      <w:pPr>
        <w:spacing w:after="0"/>
        <w:rPr>
          <w:rFonts w:ascii="Calibri" w:hAnsi="Calibri"/>
          <w:shd w:val="clear" w:color="auto" w:fill="FFFFFF"/>
        </w:rPr>
      </w:pPr>
    </w:p>
    <w:p w:rsidR="00D37D41" w:rsidP="00AD7AD3" w:rsidRDefault="00AD7AD3" w14:paraId="277B668D" w14:textId="1D9F2E40">
      <w:pPr>
        <w:pStyle w:val="Heading2"/>
      </w:pPr>
      <w:bookmarkStart w:name="_Toc92192136" w:id="26"/>
      <w:r>
        <w:t>7.2.</w:t>
      </w:r>
      <w:r w:rsidR="00D37D41">
        <w:t xml:space="preserve"> Procedure for Requesting Access to Data</w:t>
      </w:r>
      <w:bookmarkEnd w:id="26"/>
    </w:p>
    <w:p w:rsidRPr="00F67708" w:rsidR="00F67708" w:rsidP="00F67708" w:rsidRDefault="00F67708" w14:paraId="0B188D21" w14:textId="410856B9">
      <w:pPr>
        <w:spacing w:after="0" w:line="240" w:lineRule="auto"/>
        <w:textAlignment w:val="baseline"/>
        <w:rPr>
          <w:rFonts w:ascii="Segoe UI" w:hAnsi="Segoe UI" w:eastAsia="Times New Roman" w:cs="Segoe UI"/>
          <w:sz w:val="18"/>
          <w:szCs w:val="18"/>
        </w:rPr>
      </w:pPr>
      <w:r w:rsidRPr="00F67708">
        <w:rPr>
          <w:rFonts w:ascii="Calibri" w:hAnsi="Calibri" w:eastAsia="Times New Roman" w:cs="Calibri"/>
        </w:rPr>
        <w:t>The PI or data steward of the study shall maintain a data access spreadsheet with the following information at a minimum</w:t>
      </w:r>
      <w:r w:rsidR="00144508">
        <w:rPr>
          <w:rFonts w:ascii="Calibri" w:hAnsi="Calibri" w:eastAsia="Times New Roman" w:cs="Calibri"/>
        </w:rPr>
        <w:t>:</w:t>
      </w:r>
    </w:p>
    <w:p w:rsidRPr="00F67708" w:rsidR="00F67708" w:rsidP="0038728D" w:rsidRDefault="00F67708" w14:paraId="47EAE2F6" w14:textId="77777777">
      <w:pPr>
        <w:numPr>
          <w:ilvl w:val="0"/>
          <w:numId w:val="11"/>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Date </w:t>
      </w:r>
    </w:p>
    <w:p w:rsidRPr="00F67708" w:rsidR="00F67708" w:rsidP="0038728D" w:rsidRDefault="00F67708" w14:paraId="1911C525" w14:textId="77777777">
      <w:pPr>
        <w:numPr>
          <w:ilvl w:val="0"/>
          <w:numId w:val="12"/>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First Name </w:t>
      </w:r>
    </w:p>
    <w:p w:rsidRPr="00F67708" w:rsidR="00F67708" w:rsidP="0038728D" w:rsidRDefault="00F67708" w14:paraId="59C4E4BF" w14:textId="77777777">
      <w:pPr>
        <w:numPr>
          <w:ilvl w:val="0"/>
          <w:numId w:val="12"/>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Last Name </w:t>
      </w:r>
    </w:p>
    <w:p w:rsidRPr="00F67708" w:rsidR="00F67708" w:rsidP="0038728D" w:rsidRDefault="00F67708" w14:paraId="71885816" w14:textId="77777777">
      <w:pPr>
        <w:numPr>
          <w:ilvl w:val="0"/>
          <w:numId w:val="12"/>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Contractor/FTE </w:t>
      </w:r>
    </w:p>
    <w:p w:rsidRPr="00F67708" w:rsidR="00F67708" w:rsidP="0038728D" w:rsidRDefault="00F67708" w14:paraId="16A848FE" w14:textId="77777777">
      <w:pPr>
        <w:numPr>
          <w:ilvl w:val="0"/>
          <w:numId w:val="12"/>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CDC User ID </w:t>
      </w:r>
    </w:p>
    <w:p w:rsidRPr="00F67708" w:rsidR="00F67708" w:rsidP="0038728D" w:rsidRDefault="00F67708" w14:paraId="5104FBA2" w14:textId="77777777">
      <w:pPr>
        <w:numPr>
          <w:ilvl w:val="0"/>
          <w:numId w:val="12"/>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Approved By </w:t>
      </w:r>
    </w:p>
    <w:p w:rsidRPr="00F67708" w:rsidR="00F67708" w:rsidP="0038728D" w:rsidRDefault="00F67708" w14:paraId="47365B01" w14:textId="77777777">
      <w:pPr>
        <w:numPr>
          <w:ilvl w:val="0"/>
          <w:numId w:val="13"/>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Approved By Date </w:t>
      </w:r>
    </w:p>
    <w:p w:rsidRPr="00F67708" w:rsidR="00F67708" w:rsidP="0038728D" w:rsidRDefault="00F67708" w14:paraId="0B4E1773" w14:textId="77777777">
      <w:pPr>
        <w:numPr>
          <w:ilvl w:val="0"/>
          <w:numId w:val="13"/>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Data Store (share, database, etc.) </w:t>
      </w:r>
    </w:p>
    <w:p w:rsidRPr="00F67708" w:rsidR="00F67708" w:rsidP="0038728D" w:rsidRDefault="00F67708" w14:paraId="4DE64156" w14:textId="77777777">
      <w:pPr>
        <w:numPr>
          <w:ilvl w:val="0"/>
          <w:numId w:val="13"/>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Data Set </w:t>
      </w:r>
    </w:p>
    <w:p w:rsidRPr="00F67708" w:rsidR="00F67708" w:rsidP="0038728D" w:rsidRDefault="00F67708" w14:paraId="156560AE" w14:textId="77777777">
      <w:pPr>
        <w:numPr>
          <w:ilvl w:val="0"/>
          <w:numId w:val="13"/>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PII Indicator </w:t>
      </w:r>
    </w:p>
    <w:p w:rsidRPr="00F67708" w:rsidR="00F67708" w:rsidP="0038728D" w:rsidRDefault="00F67708" w14:paraId="6D3A9DEB" w14:textId="77777777">
      <w:pPr>
        <w:numPr>
          <w:ilvl w:val="0"/>
          <w:numId w:val="13"/>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Role (data access level) </w:t>
      </w:r>
    </w:p>
    <w:p w:rsidRPr="00F67708" w:rsidR="00F67708" w:rsidP="0038728D" w:rsidRDefault="00F67708" w14:paraId="7CC92EBD" w14:textId="77777777">
      <w:pPr>
        <w:numPr>
          <w:ilvl w:val="0"/>
          <w:numId w:val="14"/>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Access Granted By </w:t>
      </w:r>
    </w:p>
    <w:p w:rsidRPr="00F67708" w:rsidR="00F67708" w:rsidP="0038728D" w:rsidRDefault="00F67708" w14:paraId="4D12F7EE" w14:textId="77777777">
      <w:pPr>
        <w:numPr>
          <w:ilvl w:val="0"/>
          <w:numId w:val="14"/>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Access Granted Date </w:t>
      </w:r>
    </w:p>
    <w:p w:rsidRPr="00F67708" w:rsidR="00F67708" w:rsidP="0038728D" w:rsidRDefault="00F67708" w14:paraId="6BBE3542" w14:textId="77777777">
      <w:pPr>
        <w:numPr>
          <w:ilvl w:val="0"/>
          <w:numId w:val="14"/>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Access Removed By </w:t>
      </w:r>
    </w:p>
    <w:p w:rsidRPr="00F67708" w:rsidR="00F67708" w:rsidP="0038728D" w:rsidRDefault="00F67708" w14:paraId="7B0E0FF9" w14:textId="77777777">
      <w:pPr>
        <w:numPr>
          <w:ilvl w:val="0"/>
          <w:numId w:val="14"/>
        </w:numPr>
        <w:spacing w:after="0" w:line="240" w:lineRule="auto"/>
        <w:ind w:left="1080" w:firstLine="0"/>
        <w:textAlignment w:val="baseline"/>
        <w:rPr>
          <w:rFonts w:ascii="Calibri" w:hAnsi="Calibri" w:eastAsia="Times New Roman" w:cs="Calibri"/>
        </w:rPr>
      </w:pPr>
      <w:r w:rsidRPr="00F67708">
        <w:rPr>
          <w:rFonts w:ascii="Calibri" w:hAnsi="Calibri" w:eastAsia="Times New Roman" w:cs="Calibri"/>
        </w:rPr>
        <w:t>Access Removed Date </w:t>
      </w:r>
    </w:p>
    <w:p w:rsidR="00F67708" w:rsidP="00F67708" w:rsidRDefault="00F67708" w14:paraId="40F7A91F" w14:textId="77777777">
      <w:pPr>
        <w:spacing w:after="0" w:line="240" w:lineRule="auto"/>
        <w:textAlignment w:val="baseline"/>
        <w:rPr>
          <w:rFonts w:ascii="Calibri" w:hAnsi="Calibri" w:eastAsia="Times New Roman" w:cs="Calibri"/>
        </w:rPr>
      </w:pPr>
    </w:p>
    <w:p w:rsidR="00F67708" w:rsidP="00F67708" w:rsidRDefault="00F67708" w14:paraId="6587ABFB" w14:textId="7A853059">
      <w:pPr>
        <w:spacing w:after="0" w:line="240" w:lineRule="auto"/>
        <w:textAlignment w:val="baseline"/>
        <w:rPr>
          <w:rFonts w:ascii="Calibri" w:hAnsi="Calibri" w:eastAsia="Times New Roman" w:cs="Calibri"/>
        </w:rPr>
      </w:pPr>
      <w:r w:rsidRPr="00F67708">
        <w:rPr>
          <w:rFonts w:ascii="Calibri" w:hAnsi="Calibri" w:eastAsia="Times New Roman" w:cs="Calibri"/>
        </w:rPr>
        <w:t>This spreadsheet will be stored in the </w:t>
      </w:r>
      <w:hyperlink w:history="1" r:id="rId16">
        <w:r w:rsidRPr="0006525C" w:rsidR="00FB51E0">
          <w:rPr>
            <w:rStyle w:val="Hyperlink"/>
            <w:rFonts w:ascii="Calibri" w:hAnsi="Calibri" w:eastAsia="Times New Roman" w:cs="Calibri"/>
          </w:rPr>
          <w:t>\\cdc.gov\locker\ATSDR_PFAS_Data\PFAS_Viral_Infections</w:t>
        </w:r>
      </w:hyperlink>
      <w:r w:rsidR="00FB51E0">
        <w:rPr>
          <w:rFonts w:ascii="Calibri" w:hAnsi="Calibri" w:eastAsia="Times New Roman" w:cs="Calibri"/>
        </w:rPr>
        <w:t xml:space="preserve"> </w:t>
      </w:r>
      <w:r w:rsidRPr="00F67708">
        <w:rPr>
          <w:rFonts w:ascii="Calibri" w:hAnsi="Calibri" w:eastAsia="Times New Roman" w:cs="Calibri"/>
        </w:rPr>
        <w:t>folder of the encrypted MUST share for this study. This folder will permit </w:t>
      </w:r>
      <w:r w:rsidRPr="00F67708">
        <w:rPr>
          <w:rFonts w:ascii="Calibri" w:hAnsi="Calibri" w:eastAsia="Times New Roman" w:cs="Calibri"/>
          <w:i/>
          <w:iCs/>
        </w:rPr>
        <w:t>Full</w:t>
      </w:r>
      <w:r w:rsidRPr="00F67708">
        <w:rPr>
          <w:rFonts w:ascii="Calibri" w:hAnsi="Calibri" w:eastAsia="Times New Roman" w:cs="Calibri"/>
        </w:rPr>
        <w:t> access to the PI/data steward and </w:t>
      </w:r>
      <w:r w:rsidRPr="00F67708">
        <w:rPr>
          <w:rFonts w:ascii="Calibri" w:hAnsi="Calibri" w:eastAsia="Times New Roman" w:cs="Calibri"/>
          <w:i/>
          <w:iCs/>
        </w:rPr>
        <w:t>Read</w:t>
      </w:r>
      <w:r w:rsidRPr="00F67708">
        <w:rPr>
          <w:rFonts w:ascii="Calibri" w:hAnsi="Calibri" w:eastAsia="Times New Roman" w:cs="Calibri"/>
        </w:rPr>
        <w:t> access for other users.  </w:t>
      </w:r>
    </w:p>
    <w:p w:rsidRPr="00F67708" w:rsidR="00F67708" w:rsidP="00F67708" w:rsidRDefault="00F67708" w14:paraId="67795CF1" w14:textId="77777777">
      <w:pPr>
        <w:spacing w:after="0" w:line="240" w:lineRule="auto"/>
        <w:textAlignment w:val="baseline"/>
        <w:rPr>
          <w:rFonts w:ascii="Segoe UI" w:hAnsi="Segoe UI" w:eastAsia="Times New Roman" w:cs="Segoe UI"/>
          <w:sz w:val="18"/>
          <w:szCs w:val="18"/>
        </w:rPr>
      </w:pPr>
    </w:p>
    <w:p w:rsidRPr="00F67708" w:rsidR="005A5982" w:rsidP="00F67708" w:rsidRDefault="00F67708" w14:paraId="3E575594" w14:textId="40258898">
      <w:pPr>
        <w:spacing w:after="0" w:line="240" w:lineRule="auto"/>
        <w:textAlignment w:val="baseline"/>
        <w:rPr>
          <w:rFonts w:ascii="Segoe UI" w:hAnsi="Segoe UI" w:eastAsia="Times New Roman" w:cs="Segoe UI"/>
          <w:sz w:val="18"/>
          <w:szCs w:val="18"/>
        </w:rPr>
      </w:pPr>
      <w:r w:rsidRPr="00F67708">
        <w:rPr>
          <w:rFonts w:ascii="Calibri" w:hAnsi="Calibri" w:eastAsia="Times New Roman" w:cs="Calibri"/>
        </w:rPr>
        <w:t>When a user requests access to data or changes the type of access to the data, a new entry will be added to this spreadsheet.  PI and data steward must ensure that the user has signed the Rules of Behavior (ROB) for the study before the user is granted access to any study data.  </w:t>
      </w:r>
    </w:p>
    <w:p w:rsidR="00F67708" w:rsidP="005A5982" w:rsidRDefault="00F67708" w14:paraId="2294AD45" w14:textId="77777777">
      <w:pPr>
        <w:spacing w:after="0"/>
      </w:pPr>
    </w:p>
    <w:p w:rsidRPr="0025497C" w:rsidR="00D37D41" w:rsidP="00013A5D" w:rsidRDefault="00013A5D" w14:paraId="4419ED7D" w14:textId="1CBAD3F8">
      <w:pPr>
        <w:pStyle w:val="Heading2"/>
      </w:pPr>
      <w:bookmarkStart w:name="_Toc92192137" w:id="27"/>
      <w:r>
        <w:t>7.3.</w:t>
      </w:r>
      <w:r w:rsidRPr="0025497C" w:rsidR="00D37D41">
        <w:t xml:space="preserve"> Encrypted Multi-User Share Tool (MUST)</w:t>
      </w:r>
      <w:bookmarkEnd w:id="27"/>
    </w:p>
    <w:p w:rsidR="005A5982" w:rsidP="005A5982" w:rsidRDefault="005A5982" w14:paraId="53F2148E" w14:textId="3197F9A0">
      <w:pPr>
        <w:spacing w:after="0"/>
        <w:rPr>
          <w:rFonts w:cstheme="minorHAnsi"/>
        </w:rPr>
      </w:pPr>
    </w:p>
    <w:p w:rsidR="00013A5D" w:rsidP="005A5982" w:rsidRDefault="00013A5D" w14:paraId="2E503CD4" w14:textId="7E6F3054">
      <w:pPr>
        <w:spacing w:after="0"/>
        <w:rPr>
          <w:rFonts w:cstheme="minorHAnsi"/>
        </w:rPr>
      </w:pPr>
      <w:r>
        <w:rPr>
          <w:rFonts w:cstheme="minorHAnsi"/>
        </w:rPr>
        <w:t xml:space="preserve">Share Location (URI): </w:t>
      </w:r>
      <w:hyperlink w:history="1" r:id="rId17">
        <w:r w:rsidRPr="0006525C" w:rsidR="00FB51E0">
          <w:rPr>
            <w:rStyle w:val="Hyperlink"/>
            <w:rFonts w:cstheme="minorHAnsi"/>
          </w:rPr>
          <w:t>\\cdc.gov\locker\ATSDR_PFAS_Data\PFAS_Viral_Infections</w:t>
        </w:r>
      </w:hyperlink>
      <w:r w:rsidR="00FB51E0">
        <w:rPr>
          <w:rFonts w:cstheme="minorHAnsi"/>
        </w:rPr>
        <w:t xml:space="preserve"> </w:t>
      </w:r>
    </w:p>
    <w:p w:rsidRPr="0025497C" w:rsidR="007C1C66" w:rsidP="005A5982" w:rsidRDefault="007C1C66" w14:paraId="6EE099AE" w14:textId="77777777">
      <w:pPr>
        <w:spacing w:after="0"/>
        <w:rPr>
          <w:rFonts w:cstheme="minorHAnsi"/>
        </w:rPr>
      </w:pPr>
    </w:p>
    <w:p w:rsidRPr="0025497C" w:rsidR="00D37D41" w:rsidP="007C1C66" w:rsidRDefault="007C1C66" w14:paraId="31B8AC14" w14:textId="70131723">
      <w:pPr>
        <w:pStyle w:val="Heading3"/>
      </w:pPr>
      <w:bookmarkStart w:name="_Toc92192138" w:id="28"/>
      <w:r>
        <w:t>7</w:t>
      </w:r>
      <w:r w:rsidRPr="0025497C" w:rsidR="00D37D41">
        <w:t>.3.1</w:t>
      </w:r>
      <w:r>
        <w:t>.</w:t>
      </w:r>
      <w:r w:rsidRPr="0025497C" w:rsidR="00D37D41">
        <w:t xml:space="preserve"> User Roles</w:t>
      </w:r>
      <w:bookmarkEnd w:id="28"/>
    </w:p>
    <w:p w:rsidR="007C1C66" w:rsidP="007C1C66" w:rsidRDefault="007C1C66" w14:paraId="5DF2D3A9" w14:textId="77777777">
      <w:pPr>
        <w:pStyle w:val="ListParagraph"/>
        <w:numPr>
          <w:ilvl w:val="0"/>
          <w:numId w:val="31"/>
        </w:numPr>
        <w:spacing w:after="0"/>
        <w:rPr>
          <w:rFonts w:cstheme="minorHAnsi"/>
        </w:rPr>
      </w:pPr>
      <w:r w:rsidRPr="007C1C66">
        <w:rPr>
          <w:rFonts w:cstheme="minorHAnsi"/>
        </w:rPr>
        <w:t xml:space="preserve">Admin:  Principal investigator (PI) and those that will be administering permissions and encryption for the share </w:t>
      </w:r>
    </w:p>
    <w:p w:rsidR="007C1C66" w:rsidP="007C1C66" w:rsidRDefault="007C1C66" w14:paraId="333CF098" w14:textId="77777777">
      <w:pPr>
        <w:pStyle w:val="ListParagraph"/>
        <w:numPr>
          <w:ilvl w:val="0"/>
          <w:numId w:val="31"/>
        </w:numPr>
        <w:spacing w:after="0"/>
        <w:rPr>
          <w:rFonts w:cstheme="minorHAnsi"/>
        </w:rPr>
      </w:pPr>
      <w:r w:rsidRPr="007C1C66">
        <w:rPr>
          <w:rFonts w:cstheme="minorHAnsi"/>
        </w:rPr>
        <w:t>Study staff that will be working (analyzing, matching, linking, etc.) with the data.</w:t>
      </w:r>
    </w:p>
    <w:p w:rsidR="007C1C66" w:rsidP="007C1C66" w:rsidRDefault="007C1C66" w14:paraId="5F605047" w14:textId="43E6BF3A">
      <w:pPr>
        <w:pStyle w:val="ListParagraph"/>
        <w:numPr>
          <w:ilvl w:val="0"/>
          <w:numId w:val="31"/>
        </w:numPr>
        <w:spacing w:after="0"/>
        <w:rPr>
          <w:rFonts w:cstheme="minorHAnsi"/>
        </w:rPr>
      </w:pPr>
      <w:r w:rsidRPr="007C1C66">
        <w:rPr>
          <w:rFonts w:cstheme="minorHAnsi"/>
        </w:rPr>
        <w:t>Data Reader: Users that will only need to review the data but will not or should not be able to alter it.</w:t>
      </w:r>
    </w:p>
    <w:p w:rsidRPr="007C1C66" w:rsidR="007C1C66" w:rsidP="007C1C66" w:rsidRDefault="007C1C66" w14:paraId="0642DCE8" w14:textId="77777777">
      <w:pPr>
        <w:spacing w:after="0"/>
        <w:rPr>
          <w:rFonts w:cstheme="minorHAnsi"/>
        </w:rPr>
      </w:pPr>
    </w:p>
    <w:p w:rsidR="005A5982" w:rsidP="007C1C66" w:rsidRDefault="007C1C66" w14:paraId="16640B15" w14:textId="3A969AD4">
      <w:pPr>
        <w:spacing w:after="0"/>
        <w:rPr>
          <w:rFonts w:cstheme="minorHAnsi"/>
        </w:rPr>
      </w:pPr>
      <w:r w:rsidRPr="007C1C66">
        <w:rPr>
          <w:rFonts w:cstheme="minorHAnsi"/>
        </w:rPr>
        <w:t>Additional user roles may be created when needed.</w:t>
      </w:r>
    </w:p>
    <w:p w:rsidRPr="0025497C" w:rsidR="007C1C66" w:rsidP="007C1C66" w:rsidRDefault="007C1C66" w14:paraId="3EBE9341" w14:textId="77777777">
      <w:pPr>
        <w:spacing w:after="0"/>
        <w:rPr>
          <w:rFonts w:cstheme="minorHAnsi"/>
        </w:rPr>
      </w:pPr>
    </w:p>
    <w:p w:rsidR="00D37D41" w:rsidP="005557BD" w:rsidRDefault="005557BD" w14:paraId="14AE42AD" w14:textId="61944FBF">
      <w:pPr>
        <w:pStyle w:val="Heading3"/>
      </w:pPr>
      <w:bookmarkStart w:name="_Toc92192139" w:id="29"/>
      <w:r>
        <w:lastRenderedPageBreak/>
        <w:t>7</w:t>
      </w:r>
      <w:r w:rsidRPr="0025497C" w:rsidR="00D37D41">
        <w:t>.3.2</w:t>
      </w:r>
      <w:r>
        <w:t>.</w:t>
      </w:r>
      <w:r w:rsidRPr="0025497C" w:rsidR="00D37D41">
        <w:t xml:space="preserve"> Configuration of Shares</w:t>
      </w:r>
      <w:bookmarkEnd w:id="29"/>
    </w:p>
    <w:p w:rsidR="005557BD" w:rsidP="00634552" w:rsidRDefault="005557BD" w14:paraId="00890517" w14:textId="55A7532B">
      <w:pPr>
        <w:spacing w:after="0" w:line="240" w:lineRule="auto"/>
      </w:pPr>
      <w:r>
        <w:t>The following information serves as an example of how sub-shares/folders will be set up on CDC/</w:t>
      </w:r>
      <w:r w:rsidR="00FB51E0">
        <w:t>ATSDR</w:t>
      </w:r>
      <w:r>
        <w:t xml:space="preserve"> encrypted multi-user share drive to illustrate the data management approaches and activities.</w:t>
      </w:r>
    </w:p>
    <w:p w:rsidR="005557BD" w:rsidP="00634552" w:rsidRDefault="005557BD" w14:paraId="11C42B2E" w14:textId="68189BD8">
      <w:pPr>
        <w:spacing w:after="0" w:line="240" w:lineRule="auto"/>
      </w:pPr>
      <w:r>
        <w:t>The encrypted MUST share will have the following folders:</w:t>
      </w:r>
    </w:p>
    <w:tbl>
      <w:tblPr>
        <w:tblW w:w="0" w:type="auto"/>
        <w:tblInd w:w="-8"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1440"/>
        <w:gridCol w:w="4898"/>
        <w:gridCol w:w="3014"/>
      </w:tblGrid>
      <w:tr w:rsidRPr="006A1F21" w:rsidR="00634552" w:rsidTr="00B06973" w14:paraId="7BBE81A6" w14:textId="77777777">
        <w:tc>
          <w:tcPr>
            <w:tcW w:w="1440"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634552" w:rsidP="00634552" w:rsidRDefault="00634552" w14:paraId="21D5F5E3" w14:textId="77777777">
            <w:pPr>
              <w:spacing w:after="0" w:line="240" w:lineRule="auto"/>
              <w:jc w:val="center"/>
              <w:rPr>
                <w:rFonts w:cstheme="minorHAnsi"/>
                <w:b/>
                <w:bCs/>
              </w:rPr>
            </w:pPr>
            <w:r w:rsidRPr="006A1F21">
              <w:rPr>
                <w:rFonts w:cstheme="minorHAnsi"/>
                <w:b/>
                <w:bCs/>
              </w:rPr>
              <w:t>Folder</w:t>
            </w:r>
          </w:p>
        </w:tc>
        <w:tc>
          <w:tcPr>
            <w:tcW w:w="4898" w:type="dxa"/>
            <w:tcBorders>
              <w:top w:val="single" w:color="C8C8C8" w:sz="6" w:space="0"/>
              <w:left w:val="single" w:color="C8C8C8" w:sz="6" w:space="0"/>
              <w:bottom w:val="single" w:color="C8C8C8" w:sz="6" w:space="0"/>
              <w:right w:val="single" w:color="C8C8C8" w:sz="6" w:space="0"/>
            </w:tcBorders>
            <w:shd w:val="clear" w:color="auto" w:fill="E2E2E2"/>
          </w:tcPr>
          <w:p w:rsidRPr="006A1F21" w:rsidR="00634552" w:rsidP="00634552" w:rsidRDefault="00634552" w14:paraId="2846CBC0" w14:textId="77777777">
            <w:pPr>
              <w:spacing w:after="0" w:line="240" w:lineRule="auto"/>
              <w:jc w:val="center"/>
              <w:rPr>
                <w:rFonts w:cstheme="minorHAnsi"/>
                <w:b/>
                <w:bCs/>
              </w:rPr>
            </w:pPr>
            <w:r w:rsidRPr="006A1F21">
              <w:rPr>
                <w:rFonts w:cstheme="minorHAnsi"/>
                <w:b/>
                <w:bCs/>
              </w:rPr>
              <w:t>Folder Description</w:t>
            </w:r>
          </w:p>
        </w:tc>
        <w:tc>
          <w:tcPr>
            <w:tcW w:w="3014"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634552" w:rsidP="00634552" w:rsidRDefault="00634552" w14:paraId="3F0346C3" w14:textId="77777777">
            <w:pPr>
              <w:spacing w:after="0" w:line="240" w:lineRule="auto"/>
              <w:jc w:val="center"/>
              <w:rPr>
                <w:rFonts w:cstheme="minorHAnsi"/>
                <w:b/>
                <w:bCs/>
              </w:rPr>
            </w:pPr>
            <w:r w:rsidRPr="006A1F21">
              <w:rPr>
                <w:rFonts w:cstheme="minorHAnsi"/>
                <w:b/>
                <w:bCs/>
              </w:rPr>
              <w:t>Permissions</w:t>
            </w:r>
          </w:p>
        </w:tc>
      </w:tr>
      <w:tr w:rsidRPr="006A1F21" w:rsidR="00634552" w:rsidTr="00B06973" w14:paraId="4DD2B871"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634552" w:rsidP="00634552" w:rsidRDefault="00634552" w14:paraId="5680C333" w14:textId="77777777">
            <w:pPr>
              <w:spacing w:after="0" w:line="240" w:lineRule="auto"/>
              <w:rPr>
                <w:rFonts w:cstheme="minorHAnsi"/>
              </w:rPr>
            </w:pPr>
            <w:r w:rsidRPr="006A1F21">
              <w:rPr>
                <w:rFonts w:cstheme="minorHAnsi"/>
              </w:rPr>
              <w:t>Admin</w:t>
            </w:r>
          </w:p>
        </w:tc>
        <w:tc>
          <w:tcPr>
            <w:tcW w:w="4898" w:type="dxa"/>
            <w:tcBorders>
              <w:top w:val="single" w:color="C8C8C8" w:sz="6" w:space="0"/>
              <w:left w:val="single" w:color="C8C8C8" w:sz="6" w:space="0"/>
              <w:bottom w:val="single" w:color="C8C8C8" w:sz="6" w:space="0"/>
              <w:right w:val="single" w:color="C8C8C8" w:sz="6" w:space="0"/>
            </w:tcBorders>
          </w:tcPr>
          <w:p w:rsidRPr="006A1F21" w:rsidR="00634552" w:rsidP="00634552" w:rsidRDefault="00634552" w14:paraId="24CD6C26" w14:textId="77777777">
            <w:pPr>
              <w:spacing w:after="0" w:line="240" w:lineRule="auto"/>
              <w:rPr>
                <w:rFonts w:cstheme="minorHAnsi"/>
                <w:color w:val="000000" w:themeColor="text1"/>
              </w:rPr>
            </w:pPr>
            <w:r w:rsidRPr="006A1F21">
              <w:rPr>
                <w:rFonts w:cstheme="minorHAnsi"/>
                <w:color w:val="000000" w:themeColor="text1"/>
              </w:rPr>
              <w:t>Data used only by administrators like spreadsheets, signed RoBs, procedures manuals, etc.</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634552" w:rsidP="00634552" w:rsidRDefault="00634552" w14:paraId="77BAA181" w14:textId="77777777">
            <w:pPr>
              <w:spacing w:after="0" w:line="240" w:lineRule="auto"/>
              <w:rPr>
                <w:rFonts w:cstheme="minorHAnsi"/>
                <w:color w:val="000000" w:themeColor="text1"/>
              </w:rPr>
            </w:pPr>
            <w:r w:rsidRPr="006A1F21">
              <w:rPr>
                <w:rFonts w:cstheme="minorHAnsi"/>
                <w:color w:val="000000" w:themeColor="text1"/>
              </w:rPr>
              <w:t>Admin (full), General User (no access), Data Reader (no access)</w:t>
            </w:r>
          </w:p>
        </w:tc>
      </w:tr>
      <w:tr w:rsidRPr="006A1F21" w:rsidR="00634552" w:rsidTr="00B06973" w14:paraId="07033D96"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634552" w:rsidP="00634552" w:rsidRDefault="00634552" w14:paraId="27FA9427" w14:textId="77777777">
            <w:pPr>
              <w:spacing w:after="0" w:line="240" w:lineRule="auto"/>
              <w:rPr>
                <w:rFonts w:cstheme="minorHAnsi"/>
              </w:rPr>
            </w:pPr>
            <w:r w:rsidRPr="006A1F21">
              <w:rPr>
                <w:rFonts w:cstheme="minorHAnsi"/>
              </w:rPr>
              <w:t>Raw Data</w:t>
            </w:r>
          </w:p>
        </w:tc>
        <w:tc>
          <w:tcPr>
            <w:tcW w:w="4898" w:type="dxa"/>
            <w:tcBorders>
              <w:top w:val="single" w:color="C8C8C8" w:sz="6" w:space="0"/>
              <w:left w:val="single" w:color="C8C8C8" w:sz="6" w:space="0"/>
              <w:bottom w:val="single" w:color="C8C8C8" w:sz="6" w:space="0"/>
              <w:right w:val="single" w:color="C8C8C8" w:sz="6" w:space="0"/>
            </w:tcBorders>
          </w:tcPr>
          <w:p w:rsidRPr="006A1F21" w:rsidR="00634552" w:rsidP="00634552" w:rsidRDefault="00634552" w14:paraId="5312727C" w14:textId="77777777">
            <w:pPr>
              <w:spacing w:after="0" w:line="240" w:lineRule="auto"/>
              <w:rPr>
                <w:rFonts w:cstheme="minorHAnsi"/>
                <w:color w:val="000000" w:themeColor="text1"/>
              </w:rPr>
            </w:pPr>
            <w:r w:rsidRPr="006A1F21">
              <w:rPr>
                <w:rFonts w:cstheme="minorHAnsi"/>
                <w:color w:val="000000" w:themeColor="text1"/>
              </w:rPr>
              <w:t>Data that needs to be preserved in its current form and not altered.</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634552" w:rsidP="00634552" w:rsidRDefault="00634552" w14:paraId="05BEE27B" w14:textId="77777777">
            <w:pPr>
              <w:spacing w:after="0" w:line="240" w:lineRule="auto"/>
              <w:rPr>
                <w:rFonts w:cstheme="minorHAnsi"/>
                <w:color w:val="000000" w:themeColor="text1"/>
              </w:rPr>
            </w:pPr>
            <w:r w:rsidRPr="006A1F21">
              <w:rPr>
                <w:rFonts w:cstheme="minorHAnsi"/>
                <w:color w:val="000000" w:themeColor="text1"/>
              </w:rPr>
              <w:t xml:space="preserve">Admin (full), General User (read), Data Reader (read) </w:t>
            </w:r>
          </w:p>
        </w:tc>
      </w:tr>
      <w:tr w:rsidRPr="006A1F21" w:rsidR="00634552" w:rsidTr="00B06973" w14:paraId="16BCE72F"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634552" w:rsidP="00634552" w:rsidRDefault="00634552" w14:paraId="225E601C" w14:textId="77777777">
            <w:pPr>
              <w:spacing w:after="0" w:line="240" w:lineRule="auto"/>
              <w:rPr>
                <w:rFonts w:cstheme="minorHAnsi"/>
              </w:rPr>
            </w:pPr>
            <w:r w:rsidRPr="006A1F21">
              <w:rPr>
                <w:rFonts w:cstheme="minorHAnsi"/>
              </w:rPr>
              <w:t xml:space="preserve">Working </w:t>
            </w:r>
          </w:p>
        </w:tc>
        <w:tc>
          <w:tcPr>
            <w:tcW w:w="4898" w:type="dxa"/>
            <w:tcBorders>
              <w:top w:val="single" w:color="C8C8C8" w:sz="6" w:space="0"/>
              <w:left w:val="single" w:color="C8C8C8" w:sz="6" w:space="0"/>
              <w:bottom w:val="single" w:color="C8C8C8" w:sz="6" w:space="0"/>
              <w:right w:val="single" w:color="C8C8C8" w:sz="6" w:space="0"/>
            </w:tcBorders>
          </w:tcPr>
          <w:p w:rsidRPr="006A1F21" w:rsidR="00634552" w:rsidP="00634552" w:rsidRDefault="00634552" w14:paraId="1999E9FE" w14:textId="77777777">
            <w:pPr>
              <w:spacing w:after="0" w:line="240" w:lineRule="auto"/>
              <w:rPr>
                <w:rFonts w:cstheme="minorHAnsi"/>
                <w:color w:val="000000" w:themeColor="text1"/>
              </w:rPr>
            </w:pPr>
            <w:r w:rsidRPr="006A1F21">
              <w:rPr>
                <w:rFonts w:cstheme="minorHAnsi"/>
                <w:color w:val="000000" w:themeColor="text1"/>
              </w:rPr>
              <w:t>Data that is being worked on by staff.</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634552" w:rsidP="00634552" w:rsidRDefault="00634552" w14:paraId="40B26441" w14:textId="77777777">
            <w:pPr>
              <w:spacing w:after="0" w:line="240" w:lineRule="auto"/>
              <w:rPr>
                <w:rFonts w:cstheme="minorHAnsi"/>
                <w:color w:val="000000" w:themeColor="text1"/>
              </w:rPr>
            </w:pPr>
            <w:r w:rsidRPr="006A1F21">
              <w:rPr>
                <w:rFonts w:cstheme="minorHAnsi"/>
                <w:color w:val="000000" w:themeColor="text1"/>
              </w:rPr>
              <w:t>Admin (full), General User (read/write), Data Reader (read)</w:t>
            </w:r>
          </w:p>
        </w:tc>
      </w:tr>
      <w:tr w:rsidRPr="006A1F21" w:rsidR="00A63E29" w:rsidTr="00B06973" w14:paraId="5AF1DDE8"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A63E29" w:rsidP="00634552" w:rsidRDefault="00A63E29" w14:paraId="6B4A727E" w14:textId="2D0FBD57">
            <w:pPr>
              <w:spacing w:after="0" w:line="240" w:lineRule="auto"/>
              <w:rPr>
                <w:rFonts w:cstheme="minorHAnsi"/>
              </w:rPr>
            </w:pPr>
            <w:r>
              <w:rPr>
                <w:rFonts w:cstheme="minorHAnsi"/>
              </w:rPr>
              <w:t>PII</w:t>
            </w:r>
          </w:p>
        </w:tc>
        <w:tc>
          <w:tcPr>
            <w:tcW w:w="4898" w:type="dxa"/>
            <w:tcBorders>
              <w:top w:val="single" w:color="C8C8C8" w:sz="6" w:space="0"/>
              <w:left w:val="single" w:color="C8C8C8" w:sz="6" w:space="0"/>
              <w:bottom w:val="single" w:color="C8C8C8" w:sz="6" w:space="0"/>
              <w:right w:val="single" w:color="C8C8C8" w:sz="6" w:space="0"/>
            </w:tcBorders>
          </w:tcPr>
          <w:p w:rsidRPr="006A1F21" w:rsidR="00A63E29" w:rsidP="00634552" w:rsidRDefault="00A63E29" w14:paraId="22174695" w14:textId="23DAD185">
            <w:pPr>
              <w:spacing w:after="0" w:line="240" w:lineRule="auto"/>
              <w:rPr>
                <w:rFonts w:cstheme="minorHAnsi"/>
                <w:color w:val="000000" w:themeColor="text1"/>
              </w:rPr>
            </w:pPr>
            <w:r>
              <w:rPr>
                <w:rFonts w:cstheme="minorHAnsi"/>
                <w:color w:val="000000" w:themeColor="text1"/>
              </w:rPr>
              <w:t xml:space="preserve">PII data for participants </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A63E29" w:rsidP="00634552" w:rsidRDefault="00BC0619" w14:paraId="71FB90E0" w14:textId="2AF62FC2">
            <w:pPr>
              <w:spacing w:after="0" w:line="240" w:lineRule="auto"/>
              <w:rPr>
                <w:rFonts w:cstheme="minorHAnsi"/>
                <w:color w:val="000000" w:themeColor="text1"/>
              </w:rPr>
            </w:pPr>
            <w:r>
              <w:rPr>
                <w:rFonts w:cstheme="minorHAnsi"/>
                <w:color w:val="000000" w:themeColor="text1"/>
              </w:rPr>
              <w:t>Admin (full), General User (no access), Data Reader (no access)</w:t>
            </w:r>
          </w:p>
        </w:tc>
      </w:tr>
    </w:tbl>
    <w:p w:rsidRPr="005557BD" w:rsidR="005557BD" w:rsidP="00634552" w:rsidRDefault="005557BD" w14:paraId="131F8DC1" w14:textId="77777777">
      <w:pPr>
        <w:spacing w:after="0" w:line="240" w:lineRule="auto"/>
      </w:pPr>
    </w:p>
    <w:p w:rsidR="00D37D41" w:rsidP="00195AE1" w:rsidRDefault="00195AE1" w14:paraId="7C409E4B" w14:textId="56E04D17">
      <w:pPr>
        <w:pStyle w:val="Heading3"/>
      </w:pPr>
      <w:bookmarkStart w:name="_Toc92192140" w:id="30"/>
      <w:r>
        <w:t>7</w:t>
      </w:r>
      <w:r w:rsidRPr="0025497C" w:rsidR="00D37D41">
        <w:t>.3.3</w:t>
      </w:r>
      <w:r>
        <w:t>.</w:t>
      </w:r>
      <w:r w:rsidRPr="0025497C" w:rsidR="00D37D41">
        <w:t xml:space="preserve"> Granting Access to Shares</w:t>
      </w:r>
      <w:bookmarkEnd w:id="30"/>
    </w:p>
    <w:p w:rsidRPr="0025497C" w:rsidR="00195AE1" w:rsidP="00195AE1" w:rsidRDefault="00195AE1" w14:paraId="52C9BC25" w14:textId="705CB7F9">
      <w:pPr>
        <w:spacing w:after="0"/>
        <w:rPr>
          <w:rFonts w:cstheme="minorHAnsi"/>
        </w:rPr>
      </w:pPr>
      <w:r w:rsidRPr="00195AE1">
        <w:rPr>
          <w:rFonts w:cstheme="minorHAnsi"/>
        </w:rPr>
        <w:t xml:space="preserve">The </w:t>
      </w:r>
      <w:r w:rsidR="00FB51E0">
        <w:rPr>
          <w:rFonts w:cstheme="minorHAnsi"/>
        </w:rPr>
        <w:t>PI</w:t>
      </w:r>
      <w:r w:rsidRPr="00195AE1">
        <w:rPr>
          <w:rFonts w:cstheme="minorHAnsi"/>
        </w:rPr>
        <w:t xml:space="preserve"> will grant users access to the MUST encrypted share (depending on the user’s role) using the MUST administration tool at </w:t>
      </w:r>
      <w:hyperlink w:history="1" r:id="rId18">
        <w:r w:rsidRPr="00D60BC4">
          <w:rPr>
            <w:rStyle w:val="Hyperlink"/>
            <w:rFonts w:cstheme="minorHAnsi"/>
          </w:rPr>
          <w:t>http://itsotools.cdc.gov/must/</w:t>
        </w:r>
      </w:hyperlink>
      <w:r>
        <w:rPr>
          <w:rFonts w:cstheme="minorHAnsi"/>
        </w:rPr>
        <w:t xml:space="preserve">. </w:t>
      </w:r>
      <w:r w:rsidRPr="00195AE1">
        <w:rPr>
          <w:rFonts w:cstheme="minorHAnsi"/>
        </w:rPr>
        <w:t xml:space="preserve">  </w:t>
      </w:r>
    </w:p>
    <w:p w:rsidRPr="0025497C" w:rsidR="005A5982" w:rsidP="005A5982" w:rsidRDefault="005A5982" w14:paraId="11398F73" w14:textId="77777777">
      <w:pPr>
        <w:spacing w:after="0"/>
        <w:ind w:firstLine="720"/>
        <w:rPr>
          <w:rFonts w:cstheme="minorHAnsi"/>
        </w:rPr>
      </w:pPr>
    </w:p>
    <w:p w:rsidRPr="00B767AE" w:rsidR="005A5982" w:rsidP="00B767AE" w:rsidRDefault="001F716A" w14:paraId="1E317266" w14:textId="3E04EC92">
      <w:pPr>
        <w:pStyle w:val="Heading2"/>
      </w:pPr>
      <w:bookmarkStart w:name="_Toc92192141" w:id="31"/>
      <w:r>
        <w:t>7</w:t>
      </w:r>
      <w:r w:rsidRPr="0025497C" w:rsidR="00D37D41">
        <w:t>.4</w:t>
      </w:r>
      <w:r>
        <w:t>.</w:t>
      </w:r>
      <w:r w:rsidRPr="0025497C" w:rsidR="00D37D41">
        <w:t xml:space="preserve"> Levels of Encryption</w:t>
      </w:r>
      <w:bookmarkEnd w:id="31"/>
    </w:p>
    <w:p w:rsidR="00D37D41" w:rsidP="0068620A" w:rsidRDefault="0068620A" w14:paraId="2DFDEB53" w14:textId="78354088">
      <w:pPr>
        <w:pStyle w:val="Heading3"/>
      </w:pPr>
      <w:bookmarkStart w:name="_Toc92192142" w:id="32"/>
      <w:r>
        <w:t>7</w:t>
      </w:r>
      <w:r w:rsidRPr="0025497C" w:rsidR="00D37D41">
        <w:t>.4.1</w:t>
      </w:r>
      <w:r>
        <w:t>.</w:t>
      </w:r>
      <w:r w:rsidRPr="0025497C" w:rsidR="00D37D41">
        <w:t xml:space="preserve"> File Level Encryption</w:t>
      </w:r>
      <w:bookmarkEnd w:id="32"/>
    </w:p>
    <w:p w:rsidRPr="00CB4E08" w:rsidR="00CB4E08" w:rsidP="00CB4E08" w:rsidRDefault="00CB4E08" w14:paraId="409152D3" w14:textId="77777777">
      <w:pPr>
        <w:spacing w:after="0"/>
        <w:rPr>
          <w:rFonts w:cstheme="minorHAnsi"/>
        </w:rPr>
      </w:pPr>
      <w:r w:rsidRPr="00CB4E08">
        <w:rPr>
          <w:rFonts w:cstheme="minorHAnsi"/>
        </w:rPr>
        <w:t>Any data containing PII must be encrypted at the file level using Symantec Encryption Desktop when not in use. Information about installing the software, configuring the encrypted share, or encrypting individual files can be found in the documents listed below:</w:t>
      </w:r>
    </w:p>
    <w:p w:rsidR="00CB4E08" w:rsidP="00CB4E08" w:rsidRDefault="00CB4E08" w14:paraId="4FFAEAF1" w14:textId="77777777">
      <w:pPr>
        <w:pStyle w:val="ListParagraph"/>
        <w:numPr>
          <w:ilvl w:val="0"/>
          <w:numId w:val="32"/>
        </w:numPr>
        <w:spacing w:after="0"/>
        <w:rPr>
          <w:rFonts w:cstheme="minorHAnsi"/>
        </w:rPr>
      </w:pPr>
      <w:r w:rsidRPr="00CB4E08">
        <w:rPr>
          <w:rFonts w:cstheme="minorHAnsi"/>
        </w:rPr>
        <w:t xml:space="preserve">OCISO Installation Procedure for PGP Desktop 10.1.2 </w:t>
      </w:r>
    </w:p>
    <w:p w:rsidR="00CB4E08" w:rsidP="00CB4E08" w:rsidRDefault="00CB4E08" w14:paraId="3C142075" w14:textId="6813F56B">
      <w:pPr>
        <w:pStyle w:val="ListParagraph"/>
        <w:numPr>
          <w:ilvl w:val="0"/>
          <w:numId w:val="32"/>
        </w:numPr>
        <w:spacing w:after="0"/>
        <w:rPr>
          <w:rFonts w:cstheme="minorHAnsi"/>
        </w:rPr>
      </w:pPr>
      <w:r w:rsidRPr="00CB4E08">
        <w:rPr>
          <w:rFonts w:cstheme="minorHAnsi"/>
        </w:rPr>
        <w:t>OCISO Quick User Guide for PGP Desktop 10.1.2</w:t>
      </w:r>
    </w:p>
    <w:p w:rsidRPr="00CB4E08" w:rsidR="00CB4E08" w:rsidP="00CB4E08" w:rsidRDefault="00CB4E08" w14:paraId="60BAE9DA" w14:textId="77777777">
      <w:pPr>
        <w:spacing w:after="0"/>
        <w:rPr>
          <w:rFonts w:cstheme="minorHAnsi"/>
        </w:rPr>
      </w:pPr>
    </w:p>
    <w:p w:rsidRPr="0025497C" w:rsidR="0068620A" w:rsidP="00CB4E08" w:rsidRDefault="00CB4E08" w14:paraId="2DF989A2" w14:textId="6B2DF9E0">
      <w:pPr>
        <w:spacing w:after="0"/>
        <w:rPr>
          <w:rFonts w:cstheme="minorHAnsi"/>
        </w:rPr>
      </w:pPr>
      <w:r w:rsidRPr="00CB4E08">
        <w:rPr>
          <w:rFonts w:cstheme="minorHAnsi"/>
        </w:rPr>
        <w:t>Note:  When the encrypted share is setup, the PI and the data manager (at a minimum) should be configured as administrators. Anyone who needs to use the share should be configured as a user so that they can decrypt and encrypt files in the share. MUST share permissions will be used to limit what the user can access and modify.</w:t>
      </w:r>
    </w:p>
    <w:p w:rsidRPr="0025497C" w:rsidR="005A5982" w:rsidP="005A5982" w:rsidRDefault="005A5982" w14:paraId="5F8AE2C2" w14:textId="77777777">
      <w:pPr>
        <w:spacing w:after="0"/>
        <w:ind w:firstLine="720"/>
        <w:rPr>
          <w:rFonts w:cstheme="minorHAnsi"/>
        </w:rPr>
      </w:pPr>
    </w:p>
    <w:p w:rsidR="00D37D41" w:rsidP="0047467C" w:rsidRDefault="0047467C" w14:paraId="013991D8" w14:textId="42E522F2">
      <w:pPr>
        <w:pStyle w:val="Heading3"/>
      </w:pPr>
      <w:bookmarkStart w:name="_Toc92192143" w:id="33"/>
      <w:r>
        <w:t>7</w:t>
      </w:r>
      <w:r w:rsidRPr="0025497C" w:rsidR="00D37D41">
        <w:t>.4.2</w:t>
      </w:r>
      <w:r>
        <w:t>.</w:t>
      </w:r>
      <w:r w:rsidRPr="0025497C" w:rsidR="00D37D41">
        <w:t xml:space="preserve"> Client Whole Disk Encryption</w:t>
      </w:r>
      <w:bookmarkEnd w:id="33"/>
    </w:p>
    <w:p w:rsidRPr="0025497C" w:rsidR="0047467C" w:rsidP="0047467C" w:rsidRDefault="0047467C" w14:paraId="5F7CF6E3" w14:textId="6CD8390D">
      <w:pPr>
        <w:spacing w:after="0"/>
        <w:rPr>
          <w:rFonts w:cstheme="minorHAnsi"/>
        </w:rPr>
      </w:pPr>
      <w:r w:rsidRPr="0047467C">
        <w:rPr>
          <w:rFonts w:cstheme="minorHAnsi"/>
        </w:rPr>
        <w:t>CDC laptops have whole disk encryption (MS Bitlocker, Check Point, etc.) installed and enabled.  CDC desktops do not have this software by default.  If a desktop is to be used for processing or storage of study PII, then submit an ITSO helpdesk ticket to inquire whether the desktop is encrypted using whole disk encryption.  If it is determined that the desktop is not encrypted, please have ITSO install the software and encrypt the hard drive.</w:t>
      </w:r>
    </w:p>
    <w:p w:rsidRPr="0025497C" w:rsidR="005A5982" w:rsidP="005A5982" w:rsidRDefault="005A5982" w14:paraId="5F77699E" w14:textId="77777777">
      <w:pPr>
        <w:spacing w:after="0"/>
        <w:ind w:firstLine="720"/>
        <w:rPr>
          <w:rFonts w:cstheme="minorHAnsi"/>
        </w:rPr>
      </w:pPr>
    </w:p>
    <w:p w:rsidR="00D37D41" w:rsidP="00AF079D" w:rsidRDefault="00AF079D" w14:paraId="189CB1E9" w14:textId="3C0883CA">
      <w:pPr>
        <w:pStyle w:val="Heading2"/>
      </w:pPr>
      <w:bookmarkStart w:name="_Toc92192144" w:id="34"/>
      <w:r>
        <w:t>7.5.</w:t>
      </w:r>
      <w:r w:rsidRPr="0025497C" w:rsidR="00D37D41">
        <w:t xml:space="preserve"> Request to Move PII from Encrypted Share</w:t>
      </w:r>
      <w:bookmarkEnd w:id="34"/>
    </w:p>
    <w:p w:rsidRPr="00AF079D" w:rsidR="00AF079D" w:rsidP="00AF079D" w:rsidRDefault="00AF079D" w14:paraId="514F0215" w14:textId="6A89F769">
      <w:pPr>
        <w:spacing w:after="0"/>
        <w:rPr>
          <w:rFonts w:cstheme="minorHAnsi"/>
        </w:rPr>
      </w:pPr>
      <w:r w:rsidRPr="00AF079D">
        <w:rPr>
          <w:rFonts w:cstheme="minorHAnsi"/>
        </w:rPr>
        <w:t xml:space="preserve">Every effort should be made to keep data in the encrypted MUST share.  If data needs to be moved from the share to another location, the move must be approved by the principal investigator (PI) and logged in a PII Transfer spreadsheet.  The PI and data manager are responsible for maintaining this spreadsheet.  </w:t>
      </w:r>
      <w:r w:rsidRPr="00AF079D">
        <w:rPr>
          <w:rFonts w:cstheme="minorHAnsi"/>
        </w:rPr>
        <w:lastRenderedPageBreak/>
        <w:t>The spreadsheet should contain the following information at a minimum (</w:t>
      </w:r>
      <w:hyperlink w:history="1" r:id="rId19">
        <w:r w:rsidRPr="0006525C" w:rsidR="00FB51E0">
          <w:rPr>
            <w:rStyle w:val="Hyperlink"/>
            <w:rFonts w:cstheme="minorHAnsi"/>
          </w:rPr>
          <w:t>\\cdc.gov\locker\ATSDR_PFAS_Data\PFAS_Viral_Infections</w:t>
        </w:r>
      </w:hyperlink>
      <w:r w:rsidRPr="00AF079D">
        <w:rPr>
          <w:rFonts w:cstheme="minorHAnsi"/>
        </w:rPr>
        <w:t>):</w:t>
      </w:r>
    </w:p>
    <w:p w:rsidR="00AF079D" w:rsidP="00AF079D" w:rsidRDefault="00AF079D" w14:paraId="2D3AF0A1" w14:textId="77777777">
      <w:pPr>
        <w:pStyle w:val="ListParagraph"/>
        <w:numPr>
          <w:ilvl w:val="0"/>
          <w:numId w:val="33"/>
        </w:numPr>
        <w:spacing w:after="0"/>
        <w:rPr>
          <w:rFonts w:cstheme="minorHAnsi"/>
        </w:rPr>
      </w:pPr>
      <w:r w:rsidRPr="00AF079D">
        <w:rPr>
          <w:rFonts w:cstheme="minorHAnsi"/>
        </w:rPr>
        <w:t>Date</w:t>
      </w:r>
    </w:p>
    <w:p w:rsidR="00AF079D" w:rsidP="00AF079D" w:rsidRDefault="00AF079D" w14:paraId="1FC017A5" w14:textId="77777777">
      <w:pPr>
        <w:pStyle w:val="ListParagraph"/>
        <w:numPr>
          <w:ilvl w:val="0"/>
          <w:numId w:val="33"/>
        </w:numPr>
        <w:spacing w:after="0"/>
        <w:rPr>
          <w:rFonts w:cstheme="minorHAnsi"/>
        </w:rPr>
      </w:pPr>
      <w:r w:rsidRPr="00AF079D">
        <w:rPr>
          <w:rFonts w:cstheme="minorHAnsi"/>
        </w:rPr>
        <w:t>First Name</w:t>
      </w:r>
    </w:p>
    <w:p w:rsidR="00AF079D" w:rsidP="00AF079D" w:rsidRDefault="00AF079D" w14:paraId="561C284F" w14:textId="77777777">
      <w:pPr>
        <w:pStyle w:val="ListParagraph"/>
        <w:numPr>
          <w:ilvl w:val="0"/>
          <w:numId w:val="33"/>
        </w:numPr>
        <w:spacing w:after="0"/>
        <w:rPr>
          <w:rFonts w:cstheme="minorHAnsi"/>
        </w:rPr>
      </w:pPr>
      <w:r w:rsidRPr="00AF079D">
        <w:rPr>
          <w:rFonts w:cstheme="minorHAnsi"/>
        </w:rPr>
        <w:t>Last Name</w:t>
      </w:r>
    </w:p>
    <w:p w:rsidR="00AF079D" w:rsidP="00AF079D" w:rsidRDefault="00AF079D" w14:paraId="057EE0F6" w14:textId="77777777">
      <w:pPr>
        <w:pStyle w:val="ListParagraph"/>
        <w:numPr>
          <w:ilvl w:val="0"/>
          <w:numId w:val="33"/>
        </w:numPr>
        <w:spacing w:after="0"/>
        <w:rPr>
          <w:rFonts w:cstheme="minorHAnsi"/>
        </w:rPr>
      </w:pPr>
      <w:r w:rsidRPr="00AF079D">
        <w:rPr>
          <w:rFonts w:cstheme="minorHAnsi"/>
        </w:rPr>
        <w:t>Contractor/FTE</w:t>
      </w:r>
    </w:p>
    <w:p w:rsidR="00AF079D" w:rsidP="00AF079D" w:rsidRDefault="00AF079D" w14:paraId="50A38540" w14:textId="77777777">
      <w:pPr>
        <w:pStyle w:val="ListParagraph"/>
        <w:numPr>
          <w:ilvl w:val="0"/>
          <w:numId w:val="33"/>
        </w:numPr>
        <w:spacing w:after="0"/>
        <w:rPr>
          <w:rFonts w:cstheme="minorHAnsi"/>
        </w:rPr>
      </w:pPr>
      <w:r w:rsidRPr="00AF079D">
        <w:rPr>
          <w:rFonts w:cstheme="minorHAnsi"/>
        </w:rPr>
        <w:t>CDC User ID</w:t>
      </w:r>
    </w:p>
    <w:p w:rsidR="00AF079D" w:rsidP="00AF079D" w:rsidRDefault="00AF079D" w14:paraId="7412CB67" w14:textId="77777777">
      <w:pPr>
        <w:pStyle w:val="ListParagraph"/>
        <w:numPr>
          <w:ilvl w:val="0"/>
          <w:numId w:val="33"/>
        </w:numPr>
        <w:spacing w:after="0"/>
        <w:rPr>
          <w:rFonts w:cstheme="minorHAnsi"/>
        </w:rPr>
      </w:pPr>
      <w:r w:rsidRPr="00AF079D">
        <w:rPr>
          <w:rFonts w:cstheme="minorHAnsi"/>
        </w:rPr>
        <w:t>Approved By</w:t>
      </w:r>
    </w:p>
    <w:p w:rsidR="00AF079D" w:rsidP="00AF079D" w:rsidRDefault="00AF079D" w14:paraId="111D57FB" w14:textId="77777777">
      <w:pPr>
        <w:pStyle w:val="ListParagraph"/>
        <w:numPr>
          <w:ilvl w:val="0"/>
          <w:numId w:val="33"/>
        </w:numPr>
        <w:spacing w:after="0"/>
        <w:rPr>
          <w:rFonts w:cstheme="minorHAnsi"/>
        </w:rPr>
      </w:pPr>
      <w:r w:rsidRPr="00AF079D">
        <w:rPr>
          <w:rFonts w:cstheme="minorHAnsi"/>
        </w:rPr>
        <w:t>Approved By Date</w:t>
      </w:r>
    </w:p>
    <w:p w:rsidR="00AF079D" w:rsidP="00AF079D" w:rsidRDefault="00AF079D" w14:paraId="1E58CD4B" w14:textId="77777777">
      <w:pPr>
        <w:pStyle w:val="ListParagraph"/>
        <w:numPr>
          <w:ilvl w:val="0"/>
          <w:numId w:val="33"/>
        </w:numPr>
        <w:spacing w:after="0"/>
        <w:rPr>
          <w:rFonts w:cstheme="minorHAnsi"/>
        </w:rPr>
      </w:pPr>
      <w:r w:rsidRPr="00AF079D">
        <w:rPr>
          <w:rFonts w:cstheme="minorHAnsi"/>
        </w:rPr>
        <w:t>Data Set</w:t>
      </w:r>
    </w:p>
    <w:p w:rsidR="00AF079D" w:rsidP="00AF079D" w:rsidRDefault="00AF079D" w14:paraId="28FC01AC" w14:textId="77777777">
      <w:pPr>
        <w:pStyle w:val="ListParagraph"/>
        <w:numPr>
          <w:ilvl w:val="0"/>
          <w:numId w:val="33"/>
        </w:numPr>
        <w:spacing w:after="0"/>
        <w:rPr>
          <w:rFonts w:cstheme="minorHAnsi"/>
        </w:rPr>
      </w:pPr>
      <w:r w:rsidRPr="00AF079D">
        <w:rPr>
          <w:rFonts w:cstheme="minorHAnsi"/>
        </w:rPr>
        <w:t>PII?</w:t>
      </w:r>
    </w:p>
    <w:p w:rsidR="00AF079D" w:rsidP="00AF079D" w:rsidRDefault="00AF079D" w14:paraId="658A49FD" w14:textId="77777777">
      <w:pPr>
        <w:pStyle w:val="ListParagraph"/>
        <w:numPr>
          <w:ilvl w:val="0"/>
          <w:numId w:val="33"/>
        </w:numPr>
        <w:spacing w:after="0"/>
        <w:rPr>
          <w:rFonts w:cstheme="minorHAnsi"/>
        </w:rPr>
      </w:pPr>
      <w:r w:rsidRPr="00AF079D">
        <w:rPr>
          <w:rFonts w:cstheme="minorHAnsi"/>
        </w:rPr>
        <w:t>Data Transferred To (Laptop Name, System Name, etc.</w:t>
      </w:r>
      <w:r>
        <w:rPr>
          <w:rFonts w:cstheme="minorHAnsi"/>
        </w:rPr>
        <w:t>)</w:t>
      </w:r>
    </w:p>
    <w:p w:rsidR="00AF079D" w:rsidP="00AF079D" w:rsidRDefault="00AF079D" w14:paraId="0F9CD4BA" w14:textId="77777777">
      <w:pPr>
        <w:pStyle w:val="ListParagraph"/>
        <w:numPr>
          <w:ilvl w:val="0"/>
          <w:numId w:val="33"/>
        </w:numPr>
        <w:spacing w:after="0"/>
        <w:rPr>
          <w:rFonts w:cstheme="minorHAnsi"/>
        </w:rPr>
      </w:pPr>
      <w:r w:rsidRPr="00AF079D">
        <w:rPr>
          <w:rFonts w:cstheme="minorHAnsi"/>
        </w:rPr>
        <w:t>Purpose</w:t>
      </w:r>
    </w:p>
    <w:p w:rsidR="00AF079D" w:rsidP="00AF079D" w:rsidRDefault="00AF079D" w14:paraId="15CDB7FE" w14:textId="77777777">
      <w:pPr>
        <w:pStyle w:val="ListParagraph"/>
        <w:numPr>
          <w:ilvl w:val="0"/>
          <w:numId w:val="33"/>
        </w:numPr>
        <w:spacing w:after="0"/>
        <w:rPr>
          <w:rFonts w:cstheme="minorHAnsi"/>
        </w:rPr>
      </w:pPr>
      <w:r w:rsidRPr="00AF079D">
        <w:rPr>
          <w:rFonts w:cstheme="minorHAnsi"/>
        </w:rPr>
        <w:t>Data Deleted By</w:t>
      </w:r>
    </w:p>
    <w:p w:rsidR="00AF079D" w:rsidP="00AF079D" w:rsidRDefault="00AF079D" w14:paraId="59DAB144" w14:textId="77777777">
      <w:pPr>
        <w:pStyle w:val="ListParagraph"/>
        <w:numPr>
          <w:ilvl w:val="0"/>
          <w:numId w:val="33"/>
        </w:numPr>
        <w:spacing w:after="0"/>
        <w:rPr>
          <w:rFonts w:cstheme="minorHAnsi"/>
        </w:rPr>
      </w:pPr>
      <w:r w:rsidRPr="00AF079D">
        <w:rPr>
          <w:rFonts w:cstheme="minorHAnsi"/>
        </w:rPr>
        <w:t>Data Deleted Date</w:t>
      </w:r>
    </w:p>
    <w:p w:rsidRPr="00AF079D" w:rsidR="00AF079D" w:rsidP="00AF079D" w:rsidRDefault="00AF079D" w14:paraId="76126A80" w14:textId="44CF2567">
      <w:pPr>
        <w:pStyle w:val="ListParagraph"/>
        <w:numPr>
          <w:ilvl w:val="0"/>
          <w:numId w:val="33"/>
        </w:numPr>
        <w:spacing w:after="0"/>
        <w:rPr>
          <w:rFonts w:cstheme="minorHAnsi"/>
        </w:rPr>
      </w:pPr>
      <w:r w:rsidRPr="00AF079D">
        <w:rPr>
          <w:rFonts w:cstheme="minorHAnsi"/>
        </w:rPr>
        <w:t>Notes (Describe how data was deleted)</w:t>
      </w:r>
    </w:p>
    <w:p w:rsidRPr="00AF079D" w:rsidR="00AF079D" w:rsidP="00AF079D" w:rsidRDefault="00AF079D" w14:paraId="3B8CA95C" w14:textId="77777777">
      <w:pPr>
        <w:spacing w:after="0"/>
        <w:rPr>
          <w:rFonts w:cstheme="minorHAnsi"/>
        </w:rPr>
      </w:pPr>
    </w:p>
    <w:p w:rsidRPr="0025497C" w:rsidR="00AF079D" w:rsidP="00AF079D" w:rsidRDefault="00AF079D" w14:paraId="6D3D8E0A" w14:textId="1E4A07D0">
      <w:pPr>
        <w:spacing w:after="0"/>
        <w:rPr>
          <w:rFonts w:cstheme="minorHAnsi"/>
        </w:rPr>
      </w:pPr>
      <w:r w:rsidRPr="00AF079D">
        <w:rPr>
          <w:rFonts w:cstheme="minorHAnsi"/>
        </w:rPr>
        <w:t>This spreadsheet should be stored in the Admin folder of the encrypted MUST share for this study.</w:t>
      </w:r>
    </w:p>
    <w:p w:rsidRPr="0025497C" w:rsidR="005A5982" w:rsidP="005A5982" w:rsidRDefault="005A5982" w14:paraId="406741BB" w14:textId="77777777">
      <w:pPr>
        <w:spacing w:after="0"/>
        <w:rPr>
          <w:rFonts w:cstheme="minorHAnsi"/>
        </w:rPr>
      </w:pPr>
    </w:p>
    <w:p w:rsidR="00D37D41" w:rsidP="00C903A1" w:rsidRDefault="00C903A1" w14:paraId="4E61F217" w14:textId="419B8BFA">
      <w:pPr>
        <w:pStyle w:val="Heading2"/>
      </w:pPr>
      <w:bookmarkStart w:name="_Toc92192145" w:id="35"/>
      <w:r>
        <w:t>7.6.</w:t>
      </w:r>
      <w:r w:rsidRPr="0025497C" w:rsidR="00D37D41">
        <w:t xml:space="preserve"> REDCap System</w:t>
      </w:r>
      <w:bookmarkEnd w:id="35"/>
    </w:p>
    <w:p w:rsidR="00F90F8D" w:rsidP="005A5982" w:rsidRDefault="00F90F8D" w14:paraId="756B7312" w14:textId="1E8EC0AE">
      <w:pPr>
        <w:spacing w:after="0"/>
        <w:rPr>
          <w:rFonts w:cstheme="minorHAnsi"/>
        </w:rPr>
      </w:pPr>
      <w:r>
        <w:rPr>
          <w:rFonts w:cstheme="minorHAnsi"/>
        </w:rPr>
        <w:t xml:space="preserve">Study participants will enter survey responses in REDCap if they choose to </w:t>
      </w:r>
      <w:r w:rsidR="00816EFC">
        <w:rPr>
          <w:rFonts w:cstheme="minorHAnsi"/>
        </w:rPr>
        <w:t>utilize the online platform. Each participant will have a unique study ID that they will use. Paper-based surveys received by study staff will be entered into REDCap by study staff using the unique study ID that is printed on the paper-based surveys.</w:t>
      </w:r>
      <w:r w:rsidRPr="004D56A7" w:rsidR="004D56A7">
        <w:t xml:space="preserve"> </w:t>
      </w:r>
      <w:r w:rsidRPr="004D56A7" w:rsidR="004D56A7">
        <w:rPr>
          <w:rFonts w:cstheme="minorHAnsi"/>
        </w:rPr>
        <w:t xml:space="preserve">The study PI will determine who will administer the study’s data in </w:t>
      </w:r>
      <w:r w:rsidR="004D56A7">
        <w:rPr>
          <w:rFonts w:cstheme="minorHAnsi"/>
        </w:rPr>
        <w:t>REDCap</w:t>
      </w:r>
      <w:r w:rsidRPr="004D56A7" w:rsidR="004D56A7">
        <w:rPr>
          <w:rFonts w:cstheme="minorHAnsi"/>
        </w:rPr>
        <w:t xml:space="preserve"> and approve any access to the data in that system using the data access spreadsheet in the MoP.</w:t>
      </w:r>
    </w:p>
    <w:p w:rsidRPr="0025497C" w:rsidR="005A5982" w:rsidP="005A5982" w:rsidRDefault="005A5982" w14:paraId="53568EB5" w14:textId="77777777">
      <w:pPr>
        <w:spacing w:after="0"/>
        <w:rPr>
          <w:rFonts w:cstheme="minorHAnsi"/>
        </w:rPr>
      </w:pPr>
    </w:p>
    <w:p w:rsidR="00D37D41" w:rsidP="00C903A1" w:rsidRDefault="00C903A1" w14:paraId="1E913569" w14:textId="67FAC5F0">
      <w:pPr>
        <w:pStyle w:val="Heading2"/>
      </w:pPr>
      <w:bookmarkStart w:name="_Toc92192146" w:id="36"/>
      <w:r>
        <w:t>7.7.</w:t>
      </w:r>
      <w:r w:rsidRPr="0025497C" w:rsidR="00D37D41">
        <w:t xml:space="preserve"> Securely Receiving / Sending Data</w:t>
      </w:r>
      <w:bookmarkEnd w:id="36"/>
    </w:p>
    <w:p w:rsidRPr="0025497C" w:rsidR="005C0340" w:rsidP="005A5982" w:rsidRDefault="005C0340" w14:paraId="393779D4" w14:textId="3A7B1B48">
      <w:pPr>
        <w:spacing w:after="0"/>
        <w:rPr>
          <w:rFonts w:cstheme="minorHAnsi"/>
        </w:rPr>
      </w:pPr>
      <w:r w:rsidRPr="005C0340">
        <w:rPr>
          <w:rFonts w:cstheme="minorHAnsi"/>
        </w:rPr>
        <w:t>Use CDC’s Secure Access Management System (SAMS) electronic authentication level 3 to electronically send or receive PII</w:t>
      </w:r>
      <w:r w:rsidR="00C903A1">
        <w:rPr>
          <w:rFonts w:cstheme="minorHAnsi"/>
        </w:rPr>
        <w:t xml:space="preserve"> (</w:t>
      </w:r>
      <w:hyperlink w:history="1" r:id="rId20">
        <w:r w:rsidRPr="00D60BC4" w:rsidR="00C903A1">
          <w:rPr>
            <w:rStyle w:val="Hyperlink"/>
            <w:rFonts w:cstheme="minorHAnsi"/>
          </w:rPr>
          <w:t>https://sams.cdc.gov</w:t>
        </w:r>
      </w:hyperlink>
      <w:r w:rsidR="00C903A1">
        <w:rPr>
          <w:rFonts w:cstheme="minorHAnsi"/>
        </w:rPr>
        <w:t>)</w:t>
      </w:r>
      <w:r>
        <w:rPr>
          <w:rFonts w:cstheme="minorHAnsi"/>
        </w:rPr>
        <w:t xml:space="preserve">. </w:t>
      </w:r>
      <w:r w:rsidRPr="005C0340">
        <w:rPr>
          <w:rFonts w:cstheme="minorHAnsi"/>
        </w:rPr>
        <w:t xml:space="preserve"> Use of systems or methods, other than SAMS, to electronically send or receive PII must be approved in writing by the NCEH/ATSDR Information Systems Security Officer (ISSO).  </w:t>
      </w:r>
    </w:p>
    <w:p w:rsidRPr="0025497C" w:rsidR="005A5982" w:rsidP="005A5982" w:rsidRDefault="005A5982" w14:paraId="3210ED5F" w14:textId="77777777">
      <w:pPr>
        <w:spacing w:after="0"/>
        <w:rPr>
          <w:rFonts w:cstheme="minorHAnsi"/>
        </w:rPr>
      </w:pPr>
    </w:p>
    <w:p w:rsidRPr="0025497C" w:rsidR="00D37D41" w:rsidP="00FA0EB4" w:rsidRDefault="00FA0EB4" w14:paraId="43BABF3B" w14:textId="2A5A1EBB">
      <w:pPr>
        <w:pStyle w:val="Heading2"/>
      </w:pPr>
      <w:bookmarkStart w:name="_Toc92192147" w:id="37"/>
      <w:r>
        <w:t>7.8.</w:t>
      </w:r>
      <w:r w:rsidRPr="0025497C" w:rsidR="00D37D41">
        <w:t xml:space="preserve"> De-identification of Data</w:t>
      </w:r>
      <w:bookmarkEnd w:id="37"/>
    </w:p>
    <w:p w:rsidR="005A5982" w:rsidP="005A5982" w:rsidRDefault="00ED7B0A" w14:paraId="1861B96D" w14:textId="33F5677D">
      <w:pPr>
        <w:spacing w:after="0"/>
        <w:rPr>
          <w:rFonts w:cstheme="minorHAnsi"/>
        </w:rPr>
      </w:pPr>
      <w:r w:rsidRPr="00ED7B0A">
        <w:t xml:space="preserve"> </w:t>
      </w:r>
      <w:r w:rsidRPr="00ED7B0A">
        <w:rPr>
          <w:rFonts w:cstheme="minorHAnsi"/>
        </w:rPr>
        <w:t>At the end of data collection, data manager will lead and coordinate the re-identification risk assessment for the whole data set to evaluate and finalize the PII in the study data set. Once PII is finalized, all PII will be separated from non-PII data and stored and managed on the encrypted MUST share following CDC security policy and requirements.</w:t>
      </w:r>
    </w:p>
    <w:p w:rsidR="00540981" w:rsidP="005A5982" w:rsidRDefault="00540981" w14:paraId="688FF229" w14:textId="252F5382">
      <w:pPr>
        <w:spacing w:after="0"/>
        <w:rPr>
          <w:rFonts w:cstheme="minorHAnsi"/>
        </w:rPr>
      </w:pPr>
    </w:p>
    <w:p w:rsidR="006E02AE" w:rsidP="005A5982" w:rsidRDefault="006E02AE" w14:paraId="23A3733A" w14:textId="27559C13">
      <w:pPr>
        <w:spacing w:after="0"/>
        <w:rPr>
          <w:rFonts w:cstheme="minorHAnsi"/>
        </w:rPr>
      </w:pPr>
      <w:r>
        <w:rPr>
          <w:rFonts w:cstheme="minorHAnsi"/>
        </w:rPr>
        <w:t xml:space="preserve">De-identified data will be used in publications. In order to protect participants, study personnel will adhere to deidentification standards for these publications; for example, results with cell counts less than 5 participants will not be </w:t>
      </w:r>
      <w:r w:rsidR="009A0C5F">
        <w:rPr>
          <w:rFonts w:cstheme="minorHAnsi"/>
        </w:rPr>
        <w:t xml:space="preserve">included in publications. </w:t>
      </w:r>
    </w:p>
    <w:p w:rsidRPr="0025497C" w:rsidR="00ED7B0A" w:rsidP="005A5982" w:rsidRDefault="00ED7B0A" w14:paraId="429D03AD" w14:textId="77777777">
      <w:pPr>
        <w:spacing w:after="0"/>
        <w:rPr>
          <w:rFonts w:cstheme="minorHAnsi"/>
        </w:rPr>
      </w:pPr>
    </w:p>
    <w:p w:rsidRPr="0025497C" w:rsidR="0025497C" w:rsidP="00DD4A87" w:rsidRDefault="00DD4A87" w14:paraId="38F3B6BF" w14:textId="53357713">
      <w:pPr>
        <w:pStyle w:val="Heading2"/>
      </w:pPr>
      <w:bookmarkStart w:name="_Toc92192148" w:id="38"/>
      <w:r>
        <w:lastRenderedPageBreak/>
        <w:t xml:space="preserve">7.9. </w:t>
      </w:r>
      <w:r w:rsidRPr="0025497C" w:rsidR="00D37D41">
        <w:t>Incident Response</w:t>
      </w:r>
      <w:bookmarkEnd w:id="38"/>
    </w:p>
    <w:p w:rsidRPr="0025497C" w:rsidR="0025497C" w:rsidP="0025497C" w:rsidRDefault="0025497C" w14:paraId="0B9133FA" w14:textId="77777777">
      <w:pPr>
        <w:pStyle w:val="paragraph"/>
        <w:spacing w:before="0" w:beforeAutospacing="0" w:after="0" w:afterAutospacing="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rPr>
        <w:t>Incidents involving the study data or systems storing, processing or transmitting this data should be reported to the CDC Computer Security Incident Response Team within 1 hour.  Definitions of an incident can be found in the CDC security awareness training and in the references below.</w:t>
      </w:r>
      <w:r w:rsidRPr="0025497C">
        <w:rPr>
          <w:rStyle w:val="eop"/>
          <w:rFonts w:asciiTheme="minorHAnsi" w:hAnsiTheme="minorHAnsi" w:cstheme="minorHAnsi"/>
          <w:sz w:val="22"/>
          <w:szCs w:val="22"/>
        </w:rPr>
        <w:t> </w:t>
      </w:r>
    </w:p>
    <w:p w:rsidR="0025497C" w:rsidP="0025497C" w:rsidRDefault="0025497C" w14:paraId="0D1CBD0B" w14:textId="77777777">
      <w:pPr>
        <w:pStyle w:val="paragraph"/>
        <w:spacing w:before="0" w:beforeAutospacing="0" w:after="0" w:afterAutospacing="0"/>
        <w:ind w:left="720" w:hanging="720"/>
        <w:textAlignment w:val="baseline"/>
        <w:rPr>
          <w:rStyle w:val="normaltextrun"/>
          <w:rFonts w:asciiTheme="minorHAnsi" w:hAnsiTheme="minorHAnsi" w:cstheme="minorHAnsi"/>
          <w:sz w:val="22"/>
          <w:szCs w:val="22"/>
          <w:u w:val="single"/>
        </w:rPr>
      </w:pPr>
    </w:p>
    <w:p w:rsidRPr="0025497C" w:rsidR="0025497C" w:rsidP="009B7B0A" w:rsidRDefault="0025497C" w14:paraId="5C83B03F" w14:textId="78B68517">
      <w:pPr>
        <w:pStyle w:val="paragraph"/>
        <w:spacing w:before="0" w:beforeAutospacing="0" w:after="0" w:afterAutospacing="0"/>
        <w:ind w:left="72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u w:val="single"/>
        </w:rPr>
        <w:t>Computer Security Incident Response Team (CSIRT)</w:t>
      </w:r>
      <w:r w:rsidRPr="0025497C">
        <w:rPr>
          <w:rStyle w:val="eop"/>
          <w:rFonts w:asciiTheme="minorHAnsi" w:hAnsiTheme="minorHAnsi" w:cstheme="minorHAnsi"/>
          <w:sz w:val="22"/>
          <w:szCs w:val="22"/>
        </w:rPr>
        <w:t> </w:t>
      </w:r>
    </w:p>
    <w:p w:rsidRPr="0025497C" w:rsidR="0025497C" w:rsidP="0025497C" w:rsidRDefault="0025497C" w14:paraId="430D4418" w14:textId="77777777">
      <w:pPr>
        <w:pStyle w:val="paragraph"/>
        <w:spacing w:before="0" w:beforeAutospacing="0" w:after="0" w:afterAutospacing="0"/>
        <w:ind w:left="1440" w:hanging="72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rPr>
        <w:t>Email:  </w:t>
      </w:r>
      <w:hyperlink w:tgtFrame="_blank" w:history="1" r:id="rId21">
        <w:r w:rsidRPr="0025497C">
          <w:rPr>
            <w:rStyle w:val="normaltextrun"/>
            <w:rFonts w:asciiTheme="minorHAnsi" w:hAnsiTheme="minorHAnsi" w:cstheme="minorHAnsi"/>
            <w:color w:val="0000FF"/>
            <w:sz w:val="22"/>
            <w:szCs w:val="22"/>
            <w:u w:val="single"/>
          </w:rPr>
          <w:t>csirt@cdc.gov</w:t>
        </w:r>
      </w:hyperlink>
      <w:r w:rsidRPr="0025497C">
        <w:rPr>
          <w:rStyle w:val="eop"/>
          <w:rFonts w:asciiTheme="minorHAnsi" w:hAnsiTheme="minorHAnsi" w:cstheme="minorHAnsi"/>
          <w:sz w:val="22"/>
          <w:szCs w:val="22"/>
        </w:rPr>
        <w:t> </w:t>
      </w:r>
    </w:p>
    <w:p w:rsidRPr="0025497C" w:rsidR="0025497C" w:rsidP="0025497C" w:rsidRDefault="0025497C" w14:paraId="6EFA1313" w14:textId="77777777">
      <w:pPr>
        <w:pStyle w:val="paragraph"/>
        <w:spacing w:before="0" w:beforeAutospacing="0" w:after="0" w:afterAutospacing="0"/>
        <w:ind w:left="1440" w:hanging="72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rPr>
        <w:t>Phone:  866-655-2245</w:t>
      </w:r>
      <w:r w:rsidRPr="0025497C">
        <w:rPr>
          <w:rStyle w:val="eop"/>
          <w:rFonts w:asciiTheme="minorHAnsi" w:hAnsiTheme="minorHAnsi" w:cstheme="minorHAnsi"/>
          <w:sz w:val="22"/>
          <w:szCs w:val="22"/>
        </w:rPr>
        <w:t> </w:t>
      </w:r>
    </w:p>
    <w:p w:rsidR="0025497C" w:rsidP="0025497C" w:rsidRDefault="0025497C" w14:paraId="168DAEAB" w14:textId="77777777">
      <w:pPr>
        <w:pStyle w:val="paragraph"/>
        <w:spacing w:before="0" w:beforeAutospacing="0" w:after="0" w:afterAutospacing="0"/>
        <w:ind w:left="720" w:hanging="720"/>
        <w:textAlignment w:val="baseline"/>
        <w:rPr>
          <w:rStyle w:val="normaltextrun"/>
          <w:rFonts w:asciiTheme="minorHAnsi" w:hAnsiTheme="minorHAnsi" w:cstheme="minorHAnsi"/>
          <w:sz w:val="22"/>
          <w:szCs w:val="22"/>
          <w:u w:val="single"/>
        </w:rPr>
      </w:pPr>
    </w:p>
    <w:p w:rsidRPr="0025497C" w:rsidR="0025497C" w:rsidP="009B7B0A" w:rsidRDefault="0025497C" w14:paraId="0ABAAF40" w14:textId="228D01E0">
      <w:pPr>
        <w:pStyle w:val="paragraph"/>
        <w:spacing w:before="0" w:beforeAutospacing="0" w:after="0" w:afterAutospacing="0"/>
        <w:ind w:left="72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u w:val="single"/>
        </w:rPr>
        <w:t>References</w:t>
      </w:r>
      <w:r w:rsidRPr="0025497C">
        <w:rPr>
          <w:rStyle w:val="eop"/>
          <w:rFonts w:asciiTheme="minorHAnsi" w:hAnsiTheme="minorHAnsi" w:cstheme="minorHAnsi"/>
          <w:sz w:val="22"/>
          <w:szCs w:val="22"/>
        </w:rPr>
        <w:t> </w:t>
      </w:r>
    </w:p>
    <w:p w:rsidRPr="0025497C" w:rsidR="0025497C" w:rsidP="0025497C" w:rsidRDefault="0025497C" w14:paraId="36E1DABB" w14:textId="77777777">
      <w:pPr>
        <w:pStyle w:val="paragraph"/>
        <w:spacing w:before="0" w:beforeAutospacing="0" w:after="0" w:afterAutospacing="0"/>
        <w:ind w:left="1440" w:hanging="72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rPr>
        <w:t>Computer Security Incident Response: Host Isolation, Removal, and Mitigation (CDC-IS-2009-01)</w:t>
      </w:r>
      <w:r w:rsidRPr="0025497C">
        <w:rPr>
          <w:rStyle w:val="eop"/>
          <w:rFonts w:asciiTheme="minorHAnsi" w:hAnsiTheme="minorHAnsi" w:cstheme="minorHAnsi"/>
          <w:sz w:val="22"/>
          <w:szCs w:val="22"/>
        </w:rPr>
        <w:t> </w:t>
      </w:r>
    </w:p>
    <w:p w:rsidRPr="0025497C" w:rsidR="0025497C" w:rsidP="0025497C" w:rsidRDefault="0025497C" w14:paraId="1190FF6B" w14:textId="77777777">
      <w:pPr>
        <w:pStyle w:val="paragraph"/>
        <w:spacing w:before="0" w:beforeAutospacing="0" w:after="0" w:afterAutospacing="0"/>
        <w:ind w:left="1440" w:hanging="720"/>
        <w:textAlignment w:val="baseline"/>
        <w:rPr>
          <w:rFonts w:asciiTheme="minorHAnsi" w:hAnsiTheme="minorHAnsi" w:cstheme="minorHAnsi"/>
          <w:sz w:val="22"/>
          <w:szCs w:val="22"/>
        </w:rPr>
      </w:pPr>
      <w:r w:rsidRPr="0025497C">
        <w:rPr>
          <w:rStyle w:val="normaltextrun"/>
          <w:rFonts w:asciiTheme="minorHAnsi" w:hAnsiTheme="minorHAnsi" w:cstheme="minorHAnsi"/>
          <w:sz w:val="22"/>
          <w:szCs w:val="22"/>
        </w:rPr>
        <w:t>CDC Information Security Enterprise Incident Response Plan Version 5.2</w:t>
      </w:r>
      <w:r w:rsidRPr="0025497C">
        <w:rPr>
          <w:rStyle w:val="eop"/>
          <w:rFonts w:asciiTheme="minorHAnsi" w:hAnsiTheme="minorHAnsi" w:cstheme="minorHAnsi"/>
          <w:sz w:val="22"/>
          <w:szCs w:val="22"/>
        </w:rPr>
        <w:t> </w:t>
      </w:r>
    </w:p>
    <w:p w:rsidRPr="000B7EF6" w:rsidR="005A5982" w:rsidP="005A5982" w:rsidRDefault="005A5982" w14:paraId="151332A5" w14:textId="77777777">
      <w:pPr>
        <w:spacing w:after="0"/>
      </w:pPr>
    </w:p>
    <w:p w:rsidRPr="000B7EF6" w:rsidR="005A5982" w:rsidP="00A67D7B" w:rsidRDefault="000C4353" w14:paraId="52747247" w14:textId="163C173C">
      <w:pPr>
        <w:pStyle w:val="Heading2"/>
      </w:pPr>
      <w:bookmarkStart w:name="_Toc92192149" w:id="39"/>
      <w:r>
        <w:t>7.10.</w:t>
      </w:r>
      <w:r w:rsidR="00D37D41">
        <w:t xml:space="preserve"> </w:t>
      </w:r>
      <w:r w:rsidRPr="000B7EF6" w:rsidR="00D37D41">
        <w:t>Privacy</w:t>
      </w:r>
      <w:bookmarkEnd w:id="39"/>
    </w:p>
    <w:p w:rsidR="00D37D41" w:rsidP="00A67D7B" w:rsidRDefault="00581A46" w14:paraId="0CFCFE40" w14:textId="41E9AF3D">
      <w:pPr>
        <w:pStyle w:val="Heading3"/>
        <w:rPr>
          <w:shd w:val="clear" w:color="auto" w:fill="FFFFFF"/>
        </w:rPr>
      </w:pPr>
      <w:bookmarkStart w:name="_Toc92192150" w:id="40"/>
      <w:r>
        <w:t>7</w:t>
      </w:r>
      <w:r w:rsidR="00D37D41">
        <w:t>.10.1</w:t>
      </w:r>
      <w:r>
        <w:t>.</w:t>
      </w:r>
      <w:r w:rsidR="00D37D41">
        <w:t xml:space="preserve"> </w:t>
      </w:r>
      <w:r w:rsidRPr="000B7EF6" w:rsidR="00D37D41">
        <w:rPr>
          <w:shd w:val="clear" w:color="auto" w:fill="FFFFFF"/>
        </w:rPr>
        <w:t>Review of PII for Accuracy and Relevancy</w:t>
      </w:r>
      <w:bookmarkEnd w:id="40"/>
    </w:p>
    <w:p w:rsidR="00581A46" w:rsidP="005A5982" w:rsidRDefault="00A67D7B" w14:paraId="3CF4A0BC" w14:textId="62785921">
      <w:pPr>
        <w:spacing w:after="0"/>
        <w:rPr>
          <w:color w:val="000000"/>
          <w:shd w:val="clear" w:color="auto" w:fill="FFFFFF"/>
        </w:rPr>
      </w:pPr>
      <w:r>
        <w:rPr>
          <w:rFonts w:cstheme="minorHAnsi"/>
        </w:rPr>
        <w:t>CDC/</w:t>
      </w:r>
      <w:r w:rsidRPr="006A1F21" w:rsidR="00581A46">
        <w:rPr>
          <w:rFonts w:cstheme="minorHAnsi"/>
        </w:rPr>
        <w:t xml:space="preserve">ATSDR personnel will determine whether the PII collected via consent/parental permission/assent forms and questionnaires are accurate. Participants will be provided </w:t>
      </w:r>
      <w:r>
        <w:rPr>
          <w:rFonts w:cstheme="minorHAnsi"/>
        </w:rPr>
        <w:t>CDC/</w:t>
      </w:r>
      <w:r w:rsidRPr="006A1F21" w:rsidR="00581A46">
        <w:rPr>
          <w:rFonts w:cstheme="minorHAnsi"/>
        </w:rPr>
        <w:t xml:space="preserve">ATSDR contact information to allow them to inform </w:t>
      </w:r>
      <w:r>
        <w:rPr>
          <w:rFonts w:cstheme="minorHAnsi"/>
        </w:rPr>
        <w:t>CDC/</w:t>
      </w:r>
      <w:r w:rsidRPr="006A1F21" w:rsidR="00581A46">
        <w:rPr>
          <w:rFonts w:cstheme="minorHAnsi"/>
        </w:rPr>
        <w:t>ATSDR if their contact information changes (e.g., if they move their residence or update a phone number).</w:t>
      </w:r>
    </w:p>
    <w:p w:rsidRPr="000B7EF6" w:rsidR="005A5982" w:rsidP="005A5982" w:rsidRDefault="005A5982" w14:paraId="33D897C1" w14:textId="77777777">
      <w:pPr>
        <w:spacing w:after="0"/>
        <w:rPr>
          <w:color w:val="000000"/>
          <w:shd w:val="clear" w:color="auto" w:fill="FFFFFF"/>
        </w:rPr>
      </w:pPr>
    </w:p>
    <w:p w:rsidR="00D37D41" w:rsidP="00F42A2E" w:rsidRDefault="00F42A2E" w14:paraId="60B28675" w14:textId="1BE6E096">
      <w:pPr>
        <w:pStyle w:val="Heading3"/>
        <w:rPr>
          <w:shd w:val="clear" w:color="auto" w:fill="FFFFFF"/>
        </w:rPr>
      </w:pPr>
      <w:bookmarkStart w:name="_Toc92192151" w:id="41"/>
      <w:r>
        <w:rPr>
          <w:shd w:val="clear" w:color="auto" w:fill="FFFFFF"/>
        </w:rPr>
        <w:t>7</w:t>
      </w:r>
      <w:r w:rsidR="00D37D41">
        <w:rPr>
          <w:shd w:val="clear" w:color="auto" w:fill="FFFFFF"/>
        </w:rPr>
        <w:t>.10.2</w:t>
      </w:r>
      <w:r>
        <w:rPr>
          <w:shd w:val="clear" w:color="auto" w:fill="FFFFFF"/>
        </w:rPr>
        <w:t>.</w:t>
      </w:r>
      <w:r w:rsidR="00D37D41">
        <w:rPr>
          <w:shd w:val="clear" w:color="auto" w:fill="FFFFFF"/>
        </w:rPr>
        <w:t xml:space="preserve"> </w:t>
      </w:r>
      <w:r w:rsidRPr="000B7EF6" w:rsidR="00D37D41">
        <w:rPr>
          <w:shd w:val="clear" w:color="auto" w:fill="FFFFFF"/>
        </w:rPr>
        <w:t>Inquiries</w:t>
      </w:r>
      <w:bookmarkEnd w:id="41"/>
    </w:p>
    <w:p w:rsidRPr="00F42A2E" w:rsidR="00F42A2E" w:rsidP="00F42A2E" w:rsidRDefault="00F42A2E" w14:paraId="285A6797" w14:textId="77777777">
      <w:pPr>
        <w:spacing w:after="0"/>
        <w:rPr>
          <w:color w:val="000000"/>
          <w:shd w:val="clear" w:color="auto" w:fill="FFFFFF"/>
        </w:rPr>
      </w:pPr>
      <w:r w:rsidRPr="00F42A2E">
        <w:rPr>
          <w:color w:val="000000"/>
          <w:shd w:val="clear" w:color="auto" w:fill="FFFFFF"/>
        </w:rPr>
        <w:t>Any inquiries from individuals related to their PII in this study will be reviewed by the study PI’s.  The PI’s will decide what action to take (update information, remove the individual’s information, etc.) and communicate that decision to the individual within 60 days.</w:t>
      </w:r>
    </w:p>
    <w:p w:rsidRPr="00F42A2E" w:rsidR="00F42A2E" w:rsidP="00F42A2E" w:rsidRDefault="00F42A2E" w14:paraId="2F44D86F" w14:textId="77777777">
      <w:pPr>
        <w:spacing w:after="0"/>
        <w:rPr>
          <w:color w:val="000000"/>
          <w:shd w:val="clear" w:color="auto" w:fill="FFFFFF"/>
        </w:rPr>
      </w:pPr>
    </w:p>
    <w:p w:rsidR="00F42A2E" w:rsidP="00F42A2E" w:rsidRDefault="00F42A2E" w14:paraId="0342A68C" w14:textId="7F2FE639">
      <w:pPr>
        <w:spacing w:after="0"/>
        <w:rPr>
          <w:color w:val="000000"/>
          <w:shd w:val="clear" w:color="auto" w:fill="FFFFFF"/>
        </w:rPr>
      </w:pPr>
      <w:r w:rsidRPr="00F42A2E">
        <w:rPr>
          <w:color w:val="000000"/>
          <w:shd w:val="clear" w:color="auto" w:fill="FFFFFF"/>
        </w:rPr>
        <w:t>If an individual is concerned that his/her PII has been used inappropriately and communicates that to the CDC, the study PI will evaluate the concern and report the incident to the CDC Chief Privacy Officer within 48 hours.</w:t>
      </w:r>
    </w:p>
    <w:p w:rsidR="005A5982" w:rsidP="005A5982" w:rsidRDefault="005A5982" w14:paraId="58D3269E" w14:textId="6E6E264E">
      <w:pPr>
        <w:spacing w:after="0"/>
        <w:rPr>
          <w:color w:val="000000"/>
          <w:shd w:val="clear" w:color="auto" w:fill="FFFFFF"/>
        </w:rPr>
      </w:pPr>
    </w:p>
    <w:p w:rsidRPr="000B7EF6" w:rsidR="002D3CF1" w:rsidP="002D3CF1" w:rsidRDefault="002D3CF1" w14:paraId="12C06BE2" w14:textId="4CB6AF53">
      <w:pPr>
        <w:pStyle w:val="Heading1"/>
        <w:rPr>
          <w:shd w:val="clear" w:color="auto" w:fill="FFFFFF"/>
        </w:rPr>
      </w:pPr>
      <w:bookmarkStart w:name="_Toc92192152" w:id="42"/>
      <w:r>
        <w:rPr>
          <w:shd w:val="clear" w:color="auto" w:fill="FFFFFF"/>
        </w:rPr>
        <w:t>8.0. Study Completion and Close-out Procedures</w:t>
      </w:r>
      <w:bookmarkEnd w:id="42"/>
      <w:r>
        <w:rPr>
          <w:shd w:val="clear" w:color="auto" w:fill="FFFFFF"/>
        </w:rPr>
        <w:t xml:space="preserve"> </w:t>
      </w:r>
    </w:p>
    <w:p w:rsidRPr="00017A01" w:rsidR="007B48BD" w:rsidP="00AE6C12" w:rsidRDefault="007B48BD" w14:paraId="0C506D3A" w14:textId="21CEFC77">
      <w:pPr>
        <w:pStyle w:val="ListParagraph"/>
        <w:spacing w:after="0"/>
        <w:ind w:left="0"/>
      </w:pPr>
      <w:r w:rsidRPr="00017A01">
        <w:t>This section of the MOP outlines the Study Completion and Close-out procedures.  These include the following:</w:t>
      </w:r>
    </w:p>
    <w:p w:rsidRPr="00017A01" w:rsidR="00017A01" w:rsidP="0038728D" w:rsidRDefault="006F6BA9" w14:paraId="70B8C173" w14:textId="395DA327">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CDC</w:t>
      </w:r>
      <w:r w:rsidRPr="00017A01" w:rsidR="00017A01">
        <w:rPr>
          <w:rStyle w:val="normaltextrun"/>
          <w:rFonts w:ascii="Calibri" w:hAnsi="Calibri" w:cs="Calibri"/>
          <w:sz w:val="22"/>
          <w:szCs w:val="22"/>
        </w:rPr>
        <w:t>/ATSDR will verify that all aspects of the study have been completed:</w:t>
      </w:r>
      <w:r w:rsidRPr="00017A01" w:rsidR="00017A01">
        <w:rPr>
          <w:rStyle w:val="eop"/>
          <w:rFonts w:ascii="Calibri" w:hAnsi="Calibri" w:cs="Calibri"/>
          <w:sz w:val="22"/>
          <w:szCs w:val="22"/>
        </w:rPr>
        <w:t> </w:t>
      </w:r>
    </w:p>
    <w:p w:rsidR="00901DC8" w:rsidP="00901DC8" w:rsidRDefault="00017A01" w14:paraId="2E9BBBF4" w14:textId="77777777">
      <w:pPr>
        <w:pStyle w:val="paragraph"/>
        <w:numPr>
          <w:ilvl w:val="0"/>
          <w:numId w:val="18"/>
        </w:numPr>
        <w:spacing w:before="0" w:beforeAutospacing="0" w:after="0" w:afterAutospacing="0"/>
        <w:ind w:left="1080" w:firstLine="0"/>
        <w:textAlignment w:val="baseline"/>
        <w:rPr>
          <w:rStyle w:val="eop"/>
          <w:rFonts w:ascii="Calibri" w:hAnsi="Calibri" w:cs="Calibri"/>
          <w:sz w:val="22"/>
          <w:szCs w:val="22"/>
        </w:rPr>
      </w:pPr>
      <w:r w:rsidRPr="00017A01">
        <w:rPr>
          <w:rStyle w:val="normaltextrun"/>
          <w:rFonts w:ascii="Calibri" w:hAnsi="Calibri" w:cs="Calibri"/>
          <w:sz w:val="22"/>
          <w:szCs w:val="22"/>
        </w:rPr>
        <w:t>data have been collected and analyzed</w:t>
      </w:r>
      <w:r w:rsidRPr="00017A01">
        <w:rPr>
          <w:rStyle w:val="eop"/>
          <w:rFonts w:ascii="Calibri" w:hAnsi="Calibri" w:cs="Calibri"/>
          <w:sz w:val="22"/>
          <w:szCs w:val="22"/>
        </w:rPr>
        <w:t> </w:t>
      </w:r>
    </w:p>
    <w:p w:rsidRPr="00901DC8" w:rsidR="00017A01" w:rsidP="00901DC8" w:rsidRDefault="00017A01" w14:paraId="31F2E9AE" w14:textId="6292A39D">
      <w:pPr>
        <w:pStyle w:val="paragraph"/>
        <w:numPr>
          <w:ilvl w:val="0"/>
          <w:numId w:val="18"/>
        </w:numPr>
        <w:spacing w:before="0" w:beforeAutospacing="0" w:after="0" w:afterAutospacing="0"/>
        <w:ind w:left="1080" w:firstLine="0"/>
        <w:textAlignment w:val="baseline"/>
        <w:rPr>
          <w:rFonts w:ascii="Calibri" w:hAnsi="Calibri" w:cs="Calibri"/>
          <w:sz w:val="22"/>
          <w:szCs w:val="22"/>
        </w:rPr>
      </w:pPr>
      <w:r w:rsidRPr="00901DC8">
        <w:rPr>
          <w:rStyle w:val="normaltextrun"/>
          <w:rFonts w:ascii="Calibri" w:hAnsi="Calibri" w:cs="Calibri"/>
          <w:sz w:val="22"/>
          <w:szCs w:val="22"/>
        </w:rPr>
        <w:t>a deidentified data set has been prepared as described above</w:t>
      </w:r>
      <w:r w:rsidRPr="00901DC8">
        <w:rPr>
          <w:rStyle w:val="eop"/>
          <w:rFonts w:ascii="Calibri" w:hAnsi="Calibri" w:cs="Calibri"/>
          <w:sz w:val="22"/>
          <w:szCs w:val="22"/>
        </w:rPr>
        <w:t> </w:t>
      </w:r>
    </w:p>
    <w:p w:rsidR="00017A01" w:rsidP="0038728D" w:rsidRDefault="00017A01" w14:paraId="4EFB9113" w14:textId="278638D0">
      <w:pPr>
        <w:pStyle w:val="paragraph"/>
        <w:numPr>
          <w:ilvl w:val="0"/>
          <w:numId w:val="18"/>
        </w:numPr>
        <w:spacing w:before="0" w:beforeAutospacing="0" w:after="0" w:afterAutospacing="0"/>
        <w:ind w:left="1080" w:firstLine="0"/>
        <w:textAlignment w:val="baseline"/>
        <w:rPr>
          <w:rStyle w:val="eop"/>
          <w:rFonts w:ascii="Calibri" w:hAnsi="Calibri" w:cs="Calibri"/>
          <w:sz w:val="22"/>
          <w:szCs w:val="22"/>
        </w:rPr>
      </w:pPr>
      <w:r w:rsidRPr="00017A01">
        <w:rPr>
          <w:rStyle w:val="normaltextrun"/>
          <w:rFonts w:ascii="Calibri" w:hAnsi="Calibri" w:cs="Calibri"/>
          <w:sz w:val="22"/>
          <w:szCs w:val="22"/>
        </w:rPr>
        <w:t xml:space="preserve">a report has been finalized and presented to </w:t>
      </w:r>
      <w:r w:rsidR="006F6BA9">
        <w:rPr>
          <w:rStyle w:val="normaltextrun"/>
          <w:rFonts w:ascii="Calibri" w:hAnsi="Calibri" w:cs="Calibri"/>
          <w:sz w:val="22"/>
          <w:szCs w:val="22"/>
        </w:rPr>
        <w:t>CDC</w:t>
      </w:r>
      <w:r w:rsidRPr="00017A01">
        <w:rPr>
          <w:rStyle w:val="normaltextrun"/>
          <w:rFonts w:ascii="Calibri" w:hAnsi="Calibri" w:cs="Calibri"/>
          <w:sz w:val="22"/>
          <w:szCs w:val="22"/>
        </w:rPr>
        <w:t>/ATSDR </w:t>
      </w:r>
      <w:r w:rsidRPr="00017A01">
        <w:rPr>
          <w:rStyle w:val="eop"/>
          <w:rFonts w:ascii="Calibri" w:hAnsi="Calibri" w:cs="Calibri"/>
          <w:sz w:val="22"/>
          <w:szCs w:val="22"/>
        </w:rPr>
        <w:t> </w:t>
      </w:r>
    </w:p>
    <w:p w:rsidRPr="00017A01" w:rsidR="00901DC8" w:rsidP="0038728D" w:rsidRDefault="00DF3C31" w14:paraId="633E4DBD" w14:textId="0D83A13B">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Fonts w:ascii="Calibri" w:hAnsi="Calibri" w:cs="Calibri"/>
          <w:sz w:val="22"/>
          <w:szCs w:val="22"/>
        </w:rPr>
        <w:t>results from the study have been shared through community-facing mechanisms</w:t>
      </w:r>
    </w:p>
    <w:p w:rsidR="00555DDE" w:rsidP="00555DDE" w:rsidRDefault="00017A01" w14:paraId="4E9BFA17"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017A01">
        <w:rPr>
          <w:rStyle w:val="normaltextrun"/>
          <w:rFonts w:ascii="Calibri" w:hAnsi="Calibri" w:cs="Calibri"/>
          <w:sz w:val="22"/>
          <w:szCs w:val="22"/>
        </w:rPr>
        <w:t>Assurance provided by the PI that:</w:t>
      </w:r>
      <w:r w:rsidRPr="00017A01">
        <w:rPr>
          <w:rStyle w:val="eop"/>
          <w:rFonts w:ascii="Calibri" w:hAnsi="Calibri" w:cs="Calibri"/>
          <w:sz w:val="22"/>
          <w:szCs w:val="22"/>
        </w:rPr>
        <w:t> </w:t>
      </w:r>
    </w:p>
    <w:p w:rsidR="00555DDE" w:rsidP="00555DDE" w:rsidRDefault="00017A01" w14:paraId="4582A543" w14:textId="77777777">
      <w:pPr>
        <w:pStyle w:val="paragraph"/>
        <w:numPr>
          <w:ilvl w:val="1"/>
          <w:numId w:val="19"/>
        </w:numPr>
        <w:spacing w:before="0" w:beforeAutospacing="0" w:after="0" w:afterAutospacing="0"/>
        <w:textAlignment w:val="baseline"/>
        <w:rPr>
          <w:rFonts w:ascii="Calibri" w:hAnsi="Calibri" w:cs="Calibri"/>
          <w:sz w:val="22"/>
          <w:szCs w:val="22"/>
        </w:rPr>
      </w:pPr>
      <w:r w:rsidRPr="00555DDE">
        <w:rPr>
          <w:rStyle w:val="normaltextrun"/>
          <w:rFonts w:ascii="Calibri" w:hAnsi="Calibri" w:cs="Calibri"/>
          <w:sz w:val="22"/>
          <w:szCs w:val="22"/>
        </w:rPr>
        <w:t>correspondence and study files are accessible for Freedom of Information Act (FOIA) requests.</w:t>
      </w:r>
      <w:r w:rsidRPr="00555DDE">
        <w:rPr>
          <w:rStyle w:val="eop"/>
          <w:rFonts w:ascii="Calibri" w:hAnsi="Calibri" w:cs="Calibri"/>
          <w:sz w:val="22"/>
          <w:szCs w:val="22"/>
        </w:rPr>
        <w:t> </w:t>
      </w:r>
    </w:p>
    <w:p w:rsidR="00555DDE" w:rsidP="00555DDE" w:rsidRDefault="00017A01" w14:paraId="6C979C97" w14:textId="77777777">
      <w:pPr>
        <w:pStyle w:val="paragraph"/>
        <w:numPr>
          <w:ilvl w:val="1"/>
          <w:numId w:val="19"/>
        </w:numPr>
        <w:spacing w:before="0" w:beforeAutospacing="0" w:after="0" w:afterAutospacing="0"/>
        <w:textAlignment w:val="baseline"/>
        <w:rPr>
          <w:rFonts w:ascii="Calibri" w:hAnsi="Calibri" w:cs="Calibri"/>
          <w:sz w:val="22"/>
          <w:szCs w:val="22"/>
        </w:rPr>
      </w:pPr>
      <w:r w:rsidRPr="00555DDE">
        <w:rPr>
          <w:rStyle w:val="normaltextrun"/>
          <w:rFonts w:ascii="Calibri" w:hAnsi="Calibri" w:cs="Calibri"/>
          <w:sz w:val="22"/>
          <w:szCs w:val="22"/>
        </w:rPr>
        <w:t>study records (those that are not required to be destroyed or deleted) are appropriately maintained. </w:t>
      </w:r>
      <w:r w:rsidRPr="00555DDE">
        <w:rPr>
          <w:rStyle w:val="eop"/>
          <w:rFonts w:ascii="Calibri" w:hAnsi="Calibri" w:cs="Calibri"/>
          <w:sz w:val="22"/>
          <w:szCs w:val="22"/>
        </w:rPr>
        <w:t> </w:t>
      </w:r>
    </w:p>
    <w:p w:rsidR="00017A01" w:rsidP="00555DDE" w:rsidRDefault="00017A01" w14:paraId="7D6ED683" w14:textId="4DF8765E">
      <w:pPr>
        <w:pStyle w:val="paragraph"/>
        <w:numPr>
          <w:ilvl w:val="1"/>
          <w:numId w:val="19"/>
        </w:numPr>
        <w:spacing w:before="0" w:beforeAutospacing="0" w:after="0" w:afterAutospacing="0"/>
        <w:textAlignment w:val="baseline"/>
        <w:rPr>
          <w:rStyle w:val="eop"/>
          <w:rFonts w:ascii="Calibri" w:hAnsi="Calibri" w:cs="Calibri"/>
          <w:sz w:val="22"/>
          <w:szCs w:val="22"/>
        </w:rPr>
      </w:pPr>
      <w:r w:rsidRPr="00555DDE">
        <w:rPr>
          <w:rStyle w:val="normaltextrun"/>
          <w:rFonts w:ascii="Calibri" w:hAnsi="Calibri" w:cs="Calibri"/>
          <w:sz w:val="22"/>
          <w:szCs w:val="22"/>
        </w:rPr>
        <w:t>the IRB will be notified of the study’s completion and store a copy of the notification.</w:t>
      </w:r>
      <w:r w:rsidRPr="00555DDE">
        <w:rPr>
          <w:rStyle w:val="eop"/>
          <w:rFonts w:ascii="Calibri" w:hAnsi="Calibri" w:cs="Calibri"/>
          <w:sz w:val="22"/>
          <w:szCs w:val="22"/>
        </w:rPr>
        <w:t> </w:t>
      </w:r>
    </w:p>
    <w:p w:rsidRPr="00587DE1" w:rsidR="00D01468" w:rsidP="00D01468" w:rsidRDefault="00D01468" w14:paraId="24BF338D" w14:textId="77777777">
      <w:pPr>
        <w:numPr>
          <w:ilvl w:val="0"/>
          <w:numId w:val="19"/>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00" w:afterAutospacing="1" w:line="240" w:lineRule="auto"/>
        <w:rPr>
          <w:rFonts w:cstheme="minorHAnsi"/>
          <w:b/>
          <w:sz w:val="24"/>
          <w:szCs w:val="24"/>
        </w:rPr>
      </w:pPr>
      <w:r w:rsidRPr="00261E2D">
        <w:rPr>
          <w:rFonts w:cstheme="minorHAnsi"/>
          <w:sz w:val="24"/>
          <w:szCs w:val="24"/>
        </w:rPr>
        <w:lastRenderedPageBreak/>
        <w:t>PII and</w:t>
      </w:r>
      <w:r>
        <w:rPr>
          <w:rFonts w:cstheme="minorHAnsi"/>
          <w:sz w:val="24"/>
          <w:szCs w:val="24"/>
        </w:rPr>
        <w:t xml:space="preserve"> any</w:t>
      </w:r>
      <w:r w:rsidRPr="00261E2D">
        <w:rPr>
          <w:rFonts w:cstheme="minorHAnsi"/>
          <w:sz w:val="24"/>
          <w:szCs w:val="24"/>
        </w:rPr>
        <w:t xml:space="preserve"> links to PII will be destroyed </w:t>
      </w:r>
      <w:r>
        <w:rPr>
          <w:rFonts w:cstheme="minorHAnsi"/>
          <w:sz w:val="24"/>
          <w:szCs w:val="24"/>
        </w:rPr>
        <w:t>as soon as allowable by law after all analyses are complete and</w:t>
      </w:r>
      <w:r w:rsidRPr="00261E2D">
        <w:rPr>
          <w:rFonts w:cstheme="minorHAnsi"/>
          <w:sz w:val="24"/>
          <w:szCs w:val="24"/>
        </w:rPr>
        <w:t xml:space="preserve"> the manuscript describing the study has been published.</w:t>
      </w:r>
    </w:p>
    <w:p w:rsidRPr="00555DDE" w:rsidR="00D01468" w:rsidP="00D01468" w:rsidRDefault="002145BD" w14:paraId="4FE1CE96" w14:textId="6E9DFC0B">
      <w:pPr>
        <w:pStyle w:val="paragraph"/>
        <w:numPr>
          <w:ilvl w:val="0"/>
          <w:numId w:val="1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rPr>
        <w:t>Records will be retained and disposed of in accordance with the </w:t>
      </w:r>
      <w:hyperlink w:tgtFrame="_blank" w:history="1" r:id="rId22">
        <w:r>
          <w:rPr>
            <w:rStyle w:val="normaltextrun"/>
            <w:rFonts w:ascii="Calibri" w:hAnsi="Calibri" w:cs="Calibri"/>
            <w:color w:val="0563C1"/>
            <w:sz w:val="22"/>
            <w:szCs w:val="22"/>
            <w:u w:val="single"/>
            <w:shd w:val="clear" w:color="auto" w:fill="FFFFFF"/>
          </w:rPr>
          <w:t>CDC/ATSDR Scientific and Research Records Control Schedule</w:t>
        </w:r>
      </w:hyperlink>
      <w:r>
        <w:rPr>
          <w:rStyle w:val="normaltextrun"/>
          <w:rFonts w:ascii="Calibri" w:hAnsi="Calibri" w:cs="Calibri"/>
          <w:color w:val="000000"/>
          <w:sz w:val="22"/>
          <w:szCs w:val="22"/>
          <w:shd w:val="clear" w:color="auto" w:fill="FFFFFF"/>
        </w:rPr>
        <w:t>.</w:t>
      </w:r>
    </w:p>
    <w:p w:rsidR="00685324" w:rsidP="00AE6C12" w:rsidRDefault="00685324" w14:paraId="02AE1279" w14:textId="674FF99C">
      <w:pPr>
        <w:pStyle w:val="ListParagraph"/>
        <w:spacing w:after="0"/>
        <w:ind w:left="0"/>
      </w:pPr>
    </w:p>
    <w:p w:rsidR="00BE682A" w:rsidP="00BE682A" w:rsidRDefault="00BE682A" w14:paraId="0227B549" w14:textId="40BFB469">
      <w:pPr>
        <w:pStyle w:val="Heading1"/>
      </w:pPr>
      <w:bookmarkStart w:name="_Toc92192153" w:id="43"/>
      <w:r>
        <w:t>9.0. Manual of Procedures (MOP) Maintenance</w:t>
      </w:r>
      <w:bookmarkEnd w:id="43"/>
    </w:p>
    <w:p w:rsidR="00BE682A" w:rsidP="009B1931" w:rsidRDefault="009B1931" w14:paraId="4B0F02E1" w14:textId="50128D2D">
      <w:pPr>
        <w:pStyle w:val="ListParagraph"/>
        <w:spacing w:after="0"/>
        <w:ind w:left="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Each page of the MOP is numbered</w:t>
      </w:r>
      <w:r w:rsidR="005A6ECF">
        <w:rPr>
          <w:rStyle w:val="normaltextrun"/>
          <w:rFonts w:ascii="Calibri" w:hAnsi="Calibri" w:cs="Calibri"/>
          <w:color w:val="000000"/>
          <w:shd w:val="clear" w:color="auto" w:fill="FFFFFF"/>
        </w:rPr>
        <w:t>, dated, and contains a version number to facilitate</w:t>
      </w:r>
      <w:r>
        <w:rPr>
          <w:rStyle w:val="normaltextrun"/>
          <w:rFonts w:ascii="Calibri" w:hAnsi="Calibri" w:cs="Calibri"/>
          <w:color w:val="000000"/>
          <w:shd w:val="clear" w:color="auto" w:fill="FFFFFF"/>
        </w:rPr>
        <w:t xml:space="preserve"> any changes and/or additions. The MOP will serve as a history of the study process, documenting the time and nature of any changes in procedures and policies.  All MOP modifications will be recorded in the MOP Modification Log </w:t>
      </w:r>
      <w:r w:rsidR="00F2135A">
        <w:rPr>
          <w:rStyle w:val="normaltextrun"/>
          <w:rFonts w:ascii="Calibri" w:hAnsi="Calibri" w:cs="Calibri"/>
          <w:color w:val="000000"/>
          <w:shd w:val="clear" w:color="auto" w:fill="FFFFFF"/>
        </w:rPr>
        <w:t>(</w:t>
      </w:r>
      <w:r w:rsidR="007C4C6F">
        <w:rPr>
          <w:rStyle w:val="normaltextrun"/>
          <w:rFonts w:ascii="Calibri" w:hAnsi="Calibri" w:cs="Calibri"/>
          <w:color w:val="000000"/>
          <w:shd w:val="clear" w:color="auto" w:fill="FFFFFF"/>
        </w:rPr>
        <w:t>Appendix B</w:t>
      </w:r>
      <w:r w:rsidR="00F2135A">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p>
    <w:p w:rsidR="00BE682A" w:rsidP="009B1931" w:rsidRDefault="00BE682A" w14:paraId="72BEE14B" w14:textId="1FD5F44E">
      <w:pPr>
        <w:pStyle w:val="ListParagraph"/>
        <w:spacing w:after="0"/>
        <w:ind w:left="0"/>
        <w:rPr>
          <w:rStyle w:val="normaltextrun"/>
          <w:rFonts w:ascii="Calibri" w:hAnsi="Calibri" w:cs="Calibri"/>
          <w:color w:val="000000"/>
          <w:shd w:val="clear" w:color="auto" w:fill="FFFFFF"/>
        </w:rPr>
      </w:pPr>
    </w:p>
    <w:p w:rsidR="00BE682A" w:rsidP="009B1931" w:rsidRDefault="00BE682A" w14:paraId="6E0A2A20" w14:textId="77777777">
      <w:pPr>
        <w:pStyle w:val="ListParagraph"/>
        <w:spacing w:after="0"/>
        <w:ind w:left="0"/>
        <w:rPr>
          <w:rStyle w:val="normaltextrun"/>
          <w:rFonts w:ascii="Calibri" w:hAnsi="Calibri" w:cs="Calibri"/>
          <w:color w:val="000000"/>
          <w:shd w:val="clear" w:color="auto" w:fill="FFFFFF"/>
        </w:rPr>
      </w:pPr>
    </w:p>
    <w:p w:rsidR="00BE682A" w:rsidRDefault="00BE682A" w14:paraId="2DFA6EF4"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br w:type="page"/>
      </w:r>
    </w:p>
    <w:p w:rsidRPr="00AD6F21" w:rsidR="00F67708" w:rsidP="00AD6F21" w:rsidRDefault="00AD6F21" w14:paraId="433DC462" w14:textId="63F90F41">
      <w:pPr>
        <w:pStyle w:val="Heading1"/>
      </w:pPr>
      <w:bookmarkStart w:name="_Toc92192154" w:id="44"/>
      <w:r w:rsidRPr="00AD6F21">
        <w:lastRenderedPageBreak/>
        <w:t>Appendix A – Rules of Behavior</w:t>
      </w:r>
      <w:bookmarkEnd w:id="44"/>
    </w:p>
    <w:p w:rsidRPr="000B7EF6" w:rsidR="000B7EF6" w:rsidP="000B7EF6" w:rsidRDefault="000B7EF6" w14:paraId="1E6D3F0E" w14:textId="77777777">
      <w:pPr>
        <w:pStyle w:val="paragraph"/>
        <w:spacing w:before="0" w:beforeAutospacing="0" w:after="0" w:afterAutospacing="0"/>
        <w:textAlignment w:val="baseline"/>
        <w:rPr>
          <w:rFonts w:cs="Segoe UI" w:asciiTheme="minorHAnsi" w:hAnsiTheme="minorHAnsi"/>
          <w:sz w:val="22"/>
          <w:szCs w:val="22"/>
        </w:rPr>
      </w:pPr>
      <w:r w:rsidRPr="000B7EF6">
        <w:rPr>
          <w:rStyle w:val="eop"/>
          <w:rFonts w:cs="Segoe UI" w:asciiTheme="minorHAnsi" w:hAnsiTheme="minorHAnsi"/>
          <w:sz w:val="22"/>
          <w:szCs w:val="22"/>
        </w:rPr>
        <w:t> </w:t>
      </w:r>
    </w:p>
    <w:p w:rsidRPr="000B7EF6" w:rsidR="000B7EF6" w:rsidP="000B7EF6" w:rsidRDefault="000B7EF6" w14:paraId="6018C18B" w14:textId="77777777">
      <w:pPr>
        <w:pStyle w:val="paragraph"/>
        <w:spacing w:before="0" w:beforeAutospacing="0" w:after="0" w:afterAutospacing="0"/>
        <w:jc w:val="center"/>
        <w:textAlignment w:val="baseline"/>
        <w:rPr>
          <w:rFonts w:cs="Segoe UI" w:asciiTheme="minorHAnsi" w:hAnsiTheme="minorHAnsi"/>
          <w:sz w:val="22"/>
          <w:szCs w:val="22"/>
        </w:rPr>
      </w:pPr>
      <w:r w:rsidRPr="000B7EF6">
        <w:rPr>
          <w:rStyle w:val="normaltextrun"/>
          <w:rFonts w:cs="Segoe UI" w:asciiTheme="minorHAnsi" w:hAnsiTheme="minorHAnsi"/>
          <w:b/>
          <w:bCs/>
          <w:sz w:val="22"/>
          <w:szCs w:val="22"/>
        </w:rPr>
        <w:t>Rules of Behavior for Data Access and Use</w:t>
      </w:r>
      <w:r w:rsidRPr="000B7EF6">
        <w:rPr>
          <w:rStyle w:val="eop"/>
          <w:rFonts w:cs="Segoe UI" w:asciiTheme="minorHAnsi" w:hAnsiTheme="minorHAnsi"/>
          <w:sz w:val="22"/>
          <w:szCs w:val="22"/>
        </w:rPr>
        <w:t> </w:t>
      </w:r>
    </w:p>
    <w:p w:rsidRPr="000B7EF6" w:rsidR="000B7EF6" w:rsidP="000B7EF6" w:rsidRDefault="000B7EF6" w14:paraId="20CDA3F6" w14:textId="77777777">
      <w:pPr>
        <w:spacing w:after="0"/>
        <w:jc w:val="center"/>
      </w:pPr>
      <w:bookmarkStart w:name="_Hlk69114336" w:id="45"/>
    </w:p>
    <w:p w:rsidRPr="002E710B" w:rsidR="000B7EF6" w:rsidP="000B7EF6" w:rsidRDefault="000B7EF6" w14:paraId="7BDE5F6E" w14:textId="1CFFEA56">
      <w:pPr>
        <w:spacing w:after="0"/>
        <w:jc w:val="center"/>
        <w:rPr>
          <w:b/>
          <w:bCs/>
          <w:i/>
          <w:iCs/>
        </w:rPr>
      </w:pPr>
      <w:r w:rsidRPr="002E710B">
        <w:rPr>
          <w:b/>
          <w:bCs/>
          <w:i/>
          <w:iCs/>
        </w:rPr>
        <w:t>Evaluating the Association between Serum Concentrations of Per- and Polyfluoroalkyl Substances (PFAS) and Symptoms and Diagnoses of Selected Acute Viral Illnesses</w:t>
      </w:r>
    </w:p>
    <w:bookmarkEnd w:id="45"/>
    <w:p w:rsidRPr="000B7EF6" w:rsidR="000B7EF6" w:rsidP="000B7EF6" w:rsidRDefault="000B7EF6" w14:paraId="127E7E31" w14:textId="19BBCDAF">
      <w:pPr>
        <w:spacing w:after="0"/>
      </w:pPr>
    </w:p>
    <w:p w:rsidRPr="000B7EF6" w:rsidR="000B7EF6" w:rsidP="000B7EF6" w:rsidRDefault="000B7EF6" w14:paraId="54CE68AC" w14:textId="27CD8E5C">
      <w:pPr>
        <w:spacing w:after="0"/>
      </w:pPr>
      <w:r w:rsidRPr="000B7EF6">
        <w:rPr>
          <w:rStyle w:val="normaltextrun"/>
          <w:b/>
          <w:bCs/>
          <w:color w:val="000000"/>
          <w:shd w:val="clear" w:color="auto" w:fill="FFFFFF"/>
        </w:rPr>
        <w:t>Purpose</w:t>
      </w:r>
      <w:r w:rsidRPr="000B7EF6">
        <w:rPr>
          <w:rStyle w:val="normaltextrun"/>
          <w:color w:val="000000"/>
          <w:shd w:val="clear" w:color="auto" w:fill="FFFFFF"/>
        </w:rPr>
        <w:t>: The Rules of Behavior for Data Access and Use</w:t>
      </w:r>
      <w:r w:rsidR="002E710B">
        <w:rPr>
          <w:rStyle w:val="normaltextrun"/>
          <w:color w:val="000000"/>
          <w:shd w:val="clear" w:color="auto" w:fill="FFFFFF"/>
        </w:rPr>
        <w:t xml:space="preserve"> (ROB)</w:t>
      </w:r>
      <w:r w:rsidRPr="000B7EF6">
        <w:rPr>
          <w:rStyle w:val="normaltextrun"/>
          <w:color w:val="000000"/>
          <w:shd w:val="clear" w:color="auto" w:fill="FFFFFF"/>
        </w:rPr>
        <w:t xml:space="preserve"> provide study staff with the rules that govern the access and use of data and ensure that all investigators working on the study agree to these rules.</w:t>
      </w:r>
      <w:r w:rsidRPr="000B7EF6">
        <w:rPr>
          <w:rStyle w:val="eop"/>
          <w:color w:val="000000"/>
          <w:shd w:val="clear" w:color="auto" w:fill="FFFFFF"/>
        </w:rPr>
        <w:t> </w:t>
      </w:r>
    </w:p>
    <w:p w:rsidRPr="000B7EF6" w:rsidR="000B7EF6" w:rsidP="00AA6708" w:rsidRDefault="000B7EF6" w14:paraId="18D63C2F" w14:textId="1B877126">
      <w:pPr>
        <w:spacing w:after="0"/>
      </w:pPr>
    </w:p>
    <w:p w:rsidR="00FF1953" w:rsidP="00AA6708" w:rsidRDefault="000B7EF6" w14:paraId="5175266E" w14:textId="77777777">
      <w:pPr>
        <w:spacing w:after="0"/>
        <w:rPr>
          <w:rStyle w:val="normaltextrun"/>
          <w:color w:val="000000"/>
          <w:shd w:val="clear" w:color="auto" w:fill="FFFFFF"/>
        </w:rPr>
      </w:pPr>
      <w:r w:rsidRPr="0097146A">
        <w:rPr>
          <w:rStyle w:val="normaltextrun"/>
          <w:b/>
          <w:bCs/>
          <w:color w:val="000000"/>
          <w:shd w:val="clear" w:color="auto" w:fill="FFFFFF"/>
        </w:rPr>
        <w:t>Description of Project</w:t>
      </w:r>
      <w:r w:rsidRPr="0097146A">
        <w:rPr>
          <w:rStyle w:val="normaltextrun"/>
          <w:color w:val="000000"/>
          <w:shd w:val="clear" w:color="auto" w:fill="FFFFFF"/>
        </w:rPr>
        <w:t>: </w:t>
      </w:r>
      <w:r w:rsidRPr="0097146A" w:rsidR="0097146A">
        <w:rPr>
          <w:rStyle w:val="normaltextrun"/>
          <w:color w:val="000000"/>
          <w:shd w:val="clear" w:color="auto" w:fill="FFFFFF"/>
        </w:rPr>
        <w:t xml:space="preserve"> </w:t>
      </w:r>
      <w:r w:rsidRPr="00B0461B" w:rsidR="00B0461B">
        <w:rPr>
          <w:rStyle w:val="normaltextrun"/>
          <w:color w:val="000000"/>
          <w:shd w:val="clear" w:color="auto" w:fill="FFFFFF"/>
        </w:rPr>
        <w:t xml:space="preserve">In 2019 and 2020, the Agency for Toxic Substances and Disease Registry (ATSDR) conducted statistically based biomonitoring PFAS exposure assessments (EAs) in eight communities that had documented exposures to PFAS in drinking water. ATSDR also supported two EAs that were designed to test the PFAS Exposure Assessment Technical Tools (PEATT). PFAS concentrations were measured in serum collected from EA and PEATT assessment participants. During the same period, ATSDR initiated a health study at the Pease International Tradeport that included measurement of participants’ PFAS serum concentrations. </w:t>
      </w:r>
    </w:p>
    <w:p w:rsidR="00FF1953" w:rsidP="00AA6708" w:rsidRDefault="00FF1953" w14:paraId="1F59F488" w14:textId="77777777">
      <w:pPr>
        <w:spacing w:after="0"/>
        <w:rPr>
          <w:rStyle w:val="normaltextrun"/>
          <w:color w:val="000000"/>
          <w:shd w:val="clear" w:color="auto" w:fill="FFFFFF"/>
        </w:rPr>
      </w:pPr>
    </w:p>
    <w:p w:rsidRPr="004165AE" w:rsidR="00B0461B" w:rsidP="004165AE" w:rsidRDefault="00B0461B" w14:paraId="2AA49F85" w14:textId="185AECD4">
      <w:pPr>
        <w:rPr>
          <w:rStyle w:val="normaltextrun"/>
        </w:rPr>
      </w:pPr>
      <w:r w:rsidRPr="00B0461B">
        <w:rPr>
          <w:rStyle w:val="normaltextrun"/>
          <w:color w:val="000000"/>
          <w:shd w:val="clear" w:color="auto" w:fill="FFFFFF"/>
        </w:rPr>
        <w:t xml:space="preserve">This follow-up </w:t>
      </w:r>
      <w:r w:rsidR="00FF1953">
        <w:rPr>
          <w:rStyle w:val="normaltextrun"/>
          <w:color w:val="000000"/>
          <w:shd w:val="clear" w:color="auto" w:fill="FFFFFF"/>
        </w:rPr>
        <w:t xml:space="preserve">longitudinal </w:t>
      </w:r>
      <w:r w:rsidRPr="00B0461B">
        <w:rPr>
          <w:rStyle w:val="normaltextrun"/>
          <w:color w:val="000000"/>
          <w:shd w:val="clear" w:color="auto" w:fill="FFFFFF"/>
        </w:rPr>
        <w:t xml:space="preserve">study will recruit participants from the above studies who have existing PFAS serum measurements. </w:t>
      </w:r>
      <w:r w:rsidRPr="002A248B" w:rsidR="00153AED">
        <w:t xml:space="preserve">CDC/ATSDR will invite participants to complete a new series of surveys to determine whether PFAS exposure increases susceptibility to viral infections including, but not limited to, COVID-19. Surveys will be administered in 5 rounds spaced by 3 months, over the course of one calendar year. </w:t>
      </w:r>
      <w:r w:rsidRPr="002A248B" w:rsidR="002146C2">
        <w:t xml:space="preserve">Survival analysis will be used to assess associations between </w:t>
      </w:r>
      <w:r w:rsidR="002146C2">
        <w:t>the previously collected serum-</w:t>
      </w:r>
      <w:r w:rsidRPr="002A248B" w:rsidR="002146C2">
        <w:t>PFAS concentrations and incident viral infections for outcomes that are expected to occur only once during the follow-up period (e.g., diagnosis of COVID-19). Recurrent-event survival analysis, using the counting process approach, will be used for outcomes that are expected to occur multiple times during the follow-up period (e.g., upper respiratory illness). Models will control for potential confounders (e.g., age, gender, race/ethnicity)</w:t>
      </w:r>
      <w:r w:rsidR="002146C2">
        <w:t xml:space="preserve"> and account for clustering within households (in both types of analyses) and within individuals (in the recurrent events analysis)</w:t>
      </w:r>
      <w:r w:rsidRPr="002A248B" w:rsidR="002146C2">
        <w:t>. The analysis will be a within-community analysis to control for the local COVID-19 transmission level, combining information across communities.</w:t>
      </w:r>
      <w:r w:rsidRPr="00AE2677" w:rsidR="002146C2">
        <w:t xml:space="preserve"> </w:t>
      </w:r>
    </w:p>
    <w:p w:rsidR="00B0461B" w:rsidP="00AA6708" w:rsidRDefault="00B0461B" w14:paraId="74C60373" w14:textId="77777777">
      <w:pPr>
        <w:spacing w:after="0"/>
        <w:rPr>
          <w:rStyle w:val="normaltextrun"/>
          <w:color w:val="000000"/>
          <w:shd w:val="clear" w:color="auto" w:fill="FFFFFF"/>
        </w:rPr>
      </w:pPr>
    </w:p>
    <w:p w:rsidR="000B7EF6" w:rsidP="00AA6708" w:rsidRDefault="000B7EF6" w14:paraId="360C726E" w14:textId="618345AA">
      <w:pPr>
        <w:spacing w:after="0"/>
        <w:rPr>
          <w:rStyle w:val="eop"/>
          <w:color w:val="000000"/>
          <w:shd w:val="clear" w:color="auto" w:fill="FFFFFF"/>
        </w:rPr>
      </w:pPr>
      <w:r w:rsidRPr="0097146A">
        <w:rPr>
          <w:rStyle w:val="normaltextrun"/>
          <w:color w:val="000000"/>
          <w:shd w:val="clear" w:color="auto" w:fill="FFFFFF"/>
        </w:rPr>
        <w:t xml:space="preserve">In the course of a study, investigators will collect, manage, and transfer personal identifier information (PII) and non-PII data as outlined in the protocol. Access to PII and non-PII data will be limited to those investigators who have a demonstrated need, and will be subject to the </w:t>
      </w:r>
      <w:r w:rsidR="003E7072">
        <w:rPr>
          <w:rStyle w:val="normaltextrun"/>
          <w:color w:val="000000"/>
          <w:shd w:val="clear" w:color="auto" w:fill="FFFFFF"/>
        </w:rPr>
        <w:t>ROB</w:t>
      </w:r>
      <w:r w:rsidRPr="0097146A">
        <w:rPr>
          <w:rStyle w:val="normaltextrun"/>
          <w:color w:val="000000"/>
          <w:shd w:val="clear" w:color="auto" w:fill="FFFFFF"/>
        </w:rPr>
        <w:t xml:space="preserve"> set forth below.</w:t>
      </w:r>
      <w:r w:rsidRPr="000B7EF6">
        <w:rPr>
          <w:rStyle w:val="eop"/>
          <w:color w:val="000000"/>
          <w:shd w:val="clear" w:color="auto" w:fill="FFFFFF"/>
        </w:rPr>
        <w:t> </w:t>
      </w:r>
    </w:p>
    <w:p w:rsidR="00AA6708" w:rsidP="00AA6708" w:rsidRDefault="00AA6708" w14:paraId="468064F9" w14:textId="77777777">
      <w:pPr>
        <w:spacing w:after="0"/>
      </w:pPr>
    </w:p>
    <w:p w:rsidRPr="000B7EF6" w:rsidR="000B7EF6" w:rsidP="000B7EF6" w:rsidRDefault="000B7EF6" w14:paraId="30EE74AE" w14:textId="1F247F15">
      <w:pPr>
        <w:pStyle w:val="paragraph"/>
        <w:spacing w:before="0" w:beforeAutospacing="0" w:after="0" w:afterAutospacing="0"/>
        <w:textAlignment w:val="baseline"/>
        <w:rPr>
          <w:rFonts w:cs="Segoe UI" w:asciiTheme="minorHAnsi" w:hAnsiTheme="minorHAnsi"/>
          <w:sz w:val="22"/>
          <w:szCs w:val="22"/>
        </w:rPr>
      </w:pPr>
      <w:r w:rsidRPr="000B7EF6">
        <w:rPr>
          <w:rStyle w:val="normaltextrun"/>
          <w:rFonts w:cs="Segoe UI" w:asciiTheme="minorHAnsi" w:hAnsiTheme="minorHAnsi"/>
          <w:sz w:val="22"/>
          <w:szCs w:val="22"/>
        </w:rPr>
        <w:t>The ROB described below are specific for this project and supplement the following ROB and policies:</w:t>
      </w:r>
      <w:r w:rsidRPr="000B7EF6">
        <w:rPr>
          <w:rStyle w:val="eop"/>
          <w:rFonts w:cs="Segoe UI" w:asciiTheme="minorHAnsi" w:hAnsiTheme="minorHAnsi"/>
          <w:sz w:val="22"/>
          <w:szCs w:val="22"/>
        </w:rPr>
        <w:t> </w:t>
      </w:r>
    </w:p>
    <w:p w:rsidR="003C4850" w:rsidP="003C4850" w:rsidRDefault="000B7EF6" w14:paraId="0CF472A1" w14:textId="77777777">
      <w:pPr>
        <w:pStyle w:val="paragraph"/>
        <w:numPr>
          <w:ilvl w:val="0"/>
          <w:numId w:val="35"/>
        </w:numPr>
        <w:spacing w:before="0" w:beforeAutospacing="0" w:after="0" w:afterAutospacing="0"/>
        <w:textAlignment w:val="baseline"/>
        <w:rPr>
          <w:rFonts w:cs="Segoe UI" w:asciiTheme="minorHAnsi" w:hAnsiTheme="minorHAnsi"/>
          <w:sz w:val="22"/>
          <w:szCs w:val="22"/>
        </w:rPr>
      </w:pPr>
      <w:r w:rsidRPr="000B7EF6">
        <w:rPr>
          <w:rStyle w:val="normaltextrun"/>
          <w:rFonts w:cs="Segoe UI" w:asciiTheme="minorHAnsi" w:hAnsiTheme="minorHAnsi"/>
          <w:sz w:val="22"/>
          <w:szCs w:val="22"/>
        </w:rPr>
        <w:t>CDC Implementation of the HHS Rules of Behavior for Use of HHS Information Technology Resources (2014)</w:t>
      </w:r>
      <w:r w:rsidRPr="000B7EF6">
        <w:rPr>
          <w:rStyle w:val="eop"/>
          <w:rFonts w:cs="Segoe UI" w:asciiTheme="minorHAnsi" w:hAnsiTheme="minorHAnsi"/>
          <w:sz w:val="22"/>
          <w:szCs w:val="22"/>
        </w:rPr>
        <w:t> </w:t>
      </w:r>
    </w:p>
    <w:p w:rsidR="003C4850" w:rsidP="003C4850" w:rsidRDefault="000B7EF6" w14:paraId="2CF644CF" w14:textId="77777777">
      <w:pPr>
        <w:pStyle w:val="paragraph"/>
        <w:numPr>
          <w:ilvl w:val="0"/>
          <w:numId w:val="35"/>
        </w:numPr>
        <w:spacing w:before="0" w:beforeAutospacing="0" w:after="0" w:afterAutospacing="0"/>
        <w:textAlignment w:val="baseline"/>
        <w:rPr>
          <w:rFonts w:cs="Segoe UI" w:asciiTheme="minorHAnsi" w:hAnsiTheme="minorHAnsi"/>
          <w:sz w:val="22"/>
          <w:szCs w:val="22"/>
        </w:rPr>
      </w:pPr>
      <w:r w:rsidRPr="003C4850">
        <w:rPr>
          <w:rStyle w:val="normaltextrun"/>
          <w:rFonts w:cs="Segoe UI" w:asciiTheme="minorHAnsi" w:hAnsiTheme="minorHAnsi"/>
          <w:sz w:val="22"/>
          <w:szCs w:val="22"/>
        </w:rPr>
        <w:t>HHS </w:t>
      </w:r>
      <w:r w:rsidRPr="003C4850">
        <w:rPr>
          <w:rStyle w:val="normaltextrun"/>
          <w:rFonts w:cs="Segoe UI" w:asciiTheme="minorHAnsi" w:hAnsiTheme="minorHAnsi"/>
          <w:sz w:val="22"/>
          <w:szCs w:val="22"/>
          <w:lang w:val="en"/>
        </w:rPr>
        <w:t>Rules of Behavior for Use of HHS Information Resources (2013)</w:t>
      </w:r>
      <w:r w:rsidRPr="003C4850">
        <w:rPr>
          <w:rStyle w:val="eop"/>
          <w:rFonts w:cs="Segoe UI" w:asciiTheme="minorHAnsi" w:hAnsiTheme="minorHAnsi"/>
          <w:sz w:val="22"/>
          <w:szCs w:val="22"/>
        </w:rPr>
        <w:t> </w:t>
      </w:r>
    </w:p>
    <w:p w:rsidR="003C4850" w:rsidP="003C4850" w:rsidRDefault="000B7EF6" w14:paraId="0C3DC7D7" w14:textId="77777777">
      <w:pPr>
        <w:pStyle w:val="paragraph"/>
        <w:numPr>
          <w:ilvl w:val="0"/>
          <w:numId w:val="35"/>
        </w:numPr>
        <w:spacing w:before="0" w:beforeAutospacing="0" w:after="0" w:afterAutospacing="0"/>
        <w:textAlignment w:val="baseline"/>
        <w:rPr>
          <w:rFonts w:cs="Segoe UI" w:asciiTheme="minorHAnsi" w:hAnsiTheme="minorHAnsi"/>
          <w:sz w:val="22"/>
          <w:szCs w:val="22"/>
        </w:rPr>
      </w:pPr>
      <w:r w:rsidRPr="003C4850">
        <w:rPr>
          <w:rStyle w:val="normaltextrun"/>
          <w:rFonts w:cs="Segoe UI" w:asciiTheme="minorHAnsi" w:hAnsiTheme="minorHAnsi"/>
          <w:sz w:val="22"/>
          <w:szCs w:val="22"/>
        </w:rPr>
        <w:t>CDC Protection of Information Resources Policy (2010)</w:t>
      </w:r>
      <w:r w:rsidRPr="003C4850">
        <w:rPr>
          <w:rStyle w:val="eop"/>
          <w:rFonts w:cs="Segoe UI" w:asciiTheme="minorHAnsi" w:hAnsiTheme="minorHAnsi"/>
          <w:sz w:val="22"/>
          <w:szCs w:val="22"/>
        </w:rPr>
        <w:t> </w:t>
      </w:r>
    </w:p>
    <w:p w:rsidRPr="003C4850" w:rsidR="000B7EF6" w:rsidP="003C4850" w:rsidRDefault="000B7EF6" w14:paraId="4596C419" w14:textId="04CECA91">
      <w:pPr>
        <w:pStyle w:val="paragraph"/>
        <w:numPr>
          <w:ilvl w:val="0"/>
          <w:numId w:val="35"/>
        </w:numPr>
        <w:spacing w:before="0" w:beforeAutospacing="0" w:after="0" w:afterAutospacing="0"/>
        <w:textAlignment w:val="baseline"/>
        <w:rPr>
          <w:rFonts w:cs="Segoe UI" w:asciiTheme="minorHAnsi" w:hAnsiTheme="minorHAnsi"/>
          <w:sz w:val="22"/>
          <w:szCs w:val="22"/>
        </w:rPr>
      </w:pPr>
      <w:r w:rsidRPr="003C4850">
        <w:rPr>
          <w:rStyle w:val="normaltextrun"/>
          <w:rFonts w:cs="Segoe UI" w:asciiTheme="minorHAnsi" w:hAnsiTheme="minorHAnsi"/>
          <w:sz w:val="22"/>
          <w:szCs w:val="22"/>
        </w:rPr>
        <w:t>Use of CDC Information Technology Resources (2014)</w:t>
      </w:r>
      <w:r w:rsidRPr="003C4850">
        <w:rPr>
          <w:rStyle w:val="eop"/>
          <w:rFonts w:cs="Segoe UI" w:asciiTheme="minorHAnsi" w:hAnsiTheme="minorHAnsi"/>
          <w:sz w:val="22"/>
          <w:szCs w:val="22"/>
        </w:rPr>
        <w:t> </w:t>
      </w:r>
    </w:p>
    <w:p w:rsidR="0097146A" w:rsidP="000B7EF6" w:rsidRDefault="0097146A" w14:paraId="3D93582A" w14:textId="77777777">
      <w:pPr>
        <w:spacing w:after="0" w:line="240" w:lineRule="auto"/>
        <w:textAlignment w:val="baseline"/>
      </w:pPr>
    </w:p>
    <w:p w:rsidRPr="000B7EF6" w:rsidR="000B7EF6" w:rsidP="000B7EF6" w:rsidRDefault="000B7EF6" w14:paraId="45885F75" w14:textId="562C04F2">
      <w:pPr>
        <w:spacing w:after="0" w:line="240" w:lineRule="auto"/>
        <w:textAlignment w:val="baseline"/>
        <w:rPr>
          <w:rFonts w:eastAsia="Times New Roman" w:cs="Times New Roman"/>
        </w:rPr>
      </w:pPr>
      <w:r w:rsidRPr="000B7EF6">
        <w:rPr>
          <w:rFonts w:eastAsia="Times New Roman" w:cs="Times New Roman"/>
        </w:rPr>
        <w:lastRenderedPageBreak/>
        <w:t xml:space="preserve">These </w:t>
      </w:r>
      <w:r w:rsidR="003E7072">
        <w:rPr>
          <w:rFonts w:eastAsia="Times New Roman" w:cs="Times New Roman"/>
        </w:rPr>
        <w:t>ROB</w:t>
      </w:r>
      <w:r w:rsidRPr="000B7EF6">
        <w:rPr>
          <w:rFonts w:eastAsia="Times New Roman" w:cs="Times New Roman"/>
        </w:rPr>
        <w:t xml:space="preserve"> apply to ALL original data, copies of data, and manipulated data. Data here refers to Personally Identifiable Information (PII) and non-PII data. </w:t>
      </w:r>
      <w:r>
        <w:rPr>
          <w:rFonts w:eastAsia="Times New Roman" w:cs="Times New Roman"/>
        </w:rPr>
        <w:t>User</w:t>
      </w:r>
      <w:r w:rsidRPr="000B7EF6">
        <w:rPr>
          <w:rFonts w:eastAsia="Times New Roman" w:cs="Times New Roman"/>
        </w:rPr>
        <w:t>s with access to data agree that: </w:t>
      </w:r>
    </w:p>
    <w:p w:rsidRPr="000B7EF6" w:rsidR="000B7EF6" w:rsidP="000B7EF6" w:rsidRDefault="000B7EF6" w14:paraId="1770D602" w14:textId="77777777">
      <w:pPr>
        <w:spacing w:after="0" w:line="240" w:lineRule="auto"/>
        <w:textAlignment w:val="baseline"/>
        <w:rPr>
          <w:rFonts w:eastAsia="Times New Roman" w:cs="Times New Roman"/>
        </w:rPr>
      </w:pPr>
    </w:p>
    <w:p w:rsidRPr="000B7EF6" w:rsidR="000B7EF6" w:rsidP="0038728D" w:rsidRDefault="000B7EF6" w14:paraId="1BC2EAF7" w14:textId="6B173C2B">
      <w:pPr>
        <w:numPr>
          <w:ilvl w:val="0"/>
          <w:numId w:val="5"/>
        </w:numPr>
        <w:spacing w:after="0" w:line="240" w:lineRule="auto"/>
        <w:textAlignment w:val="baseline"/>
        <w:rPr>
          <w:rFonts w:eastAsia="Times New Roman" w:cs="Times New Roman"/>
        </w:rPr>
      </w:pPr>
      <w:r>
        <w:rPr>
          <w:rFonts w:eastAsia="Times New Roman" w:cs="Times New Roman"/>
        </w:rPr>
        <w:t>They</w:t>
      </w:r>
      <w:r w:rsidRPr="000B7EF6">
        <w:rPr>
          <w:rFonts w:eastAsia="Times New Roman" w:cs="Times New Roman"/>
        </w:rPr>
        <w:t xml:space="preserve"> will comply with all conditions set forth in these </w:t>
      </w:r>
      <w:r w:rsidR="00556594">
        <w:rPr>
          <w:rFonts w:eastAsia="Times New Roman" w:cs="Times New Roman"/>
        </w:rPr>
        <w:t>ROB</w:t>
      </w:r>
      <w:r w:rsidRPr="000B7EF6">
        <w:rPr>
          <w:rFonts w:eastAsia="Times New Roman" w:cs="Times New Roman"/>
        </w:rPr>
        <w:t xml:space="preserve"> for</w:t>
      </w:r>
      <w:r>
        <w:rPr>
          <w:rFonts w:eastAsia="Times New Roman" w:cs="Times New Roman"/>
        </w:rPr>
        <w:t xml:space="preserve"> this project</w:t>
      </w:r>
      <w:r w:rsidRPr="000B7EF6">
        <w:rPr>
          <w:rFonts w:eastAsia="Times New Roman" w:cs="Times New Roman"/>
          <w:i/>
          <w:iCs/>
        </w:rPr>
        <w:t>.</w:t>
      </w:r>
      <w:r w:rsidRPr="000B7EF6">
        <w:rPr>
          <w:rFonts w:eastAsia="Times New Roman" w:cs="Times New Roman"/>
          <w:b/>
          <w:bCs/>
          <w:i/>
          <w:iCs/>
        </w:rPr>
        <w:t> </w:t>
      </w:r>
      <w:r w:rsidRPr="000B7EF6">
        <w:rPr>
          <w:rFonts w:eastAsia="Times New Roman" w:cs="Times New Roman"/>
        </w:rPr>
        <w:t> </w:t>
      </w:r>
    </w:p>
    <w:p w:rsidRPr="000B7EF6" w:rsidR="000B7EF6" w:rsidP="0038728D" w:rsidRDefault="000B7EF6" w14:paraId="1FBCC8F2" w14:textId="5FF6202B">
      <w:pPr>
        <w:numPr>
          <w:ilvl w:val="0"/>
          <w:numId w:val="5"/>
        </w:numPr>
        <w:spacing w:after="0" w:line="240" w:lineRule="auto"/>
        <w:textAlignment w:val="baseline"/>
        <w:rPr>
          <w:rFonts w:eastAsia="Times New Roman" w:cs="Times New Roman"/>
        </w:rPr>
      </w:pPr>
      <w:r>
        <w:rPr>
          <w:rFonts w:eastAsia="Times New Roman" w:cs="Times New Roman"/>
        </w:rPr>
        <w:t xml:space="preserve">They </w:t>
      </w:r>
      <w:r w:rsidRPr="000B7EF6">
        <w:rPr>
          <w:rFonts w:eastAsia="Times New Roman" w:cs="Times New Roman"/>
        </w:rPr>
        <w:t xml:space="preserve">will comply with all conditions set forth in any applicable data use agreements for the </w:t>
      </w:r>
      <w:r>
        <w:rPr>
          <w:rFonts w:eastAsia="Times New Roman" w:cs="Times New Roman"/>
        </w:rPr>
        <w:t>PFAS Exposure Assessments</w:t>
      </w:r>
      <w:r w:rsidRPr="000B7EF6">
        <w:rPr>
          <w:rFonts w:eastAsia="Times New Roman" w:cs="Times New Roman"/>
        </w:rPr>
        <w:t>. </w:t>
      </w:r>
    </w:p>
    <w:p w:rsidRPr="000B7EF6" w:rsidR="000B7EF6" w:rsidP="0038728D" w:rsidRDefault="0097146A" w14:paraId="430BF587" w14:textId="4DA111F8">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not share any data with any personnel or entity </w:t>
      </w:r>
      <w:r w:rsidR="00EA568F">
        <w:rPr>
          <w:rFonts w:eastAsia="Times New Roman" w:cs="Times New Roman"/>
        </w:rPr>
        <w:t xml:space="preserve">inside or </w:t>
      </w:r>
      <w:r w:rsidRPr="000B7EF6" w:rsidR="000B7EF6">
        <w:rPr>
          <w:rFonts w:eastAsia="Times New Roman" w:cs="Times New Roman"/>
        </w:rPr>
        <w:t>outside of CDC without an approved Memorandum of Understanding (MOU) or Data Use Agreement (DUA). Study Investigators and Study Data Manager should be parties to this agreement. </w:t>
      </w:r>
    </w:p>
    <w:p w:rsidRPr="000B7EF6" w:rsidR="000B7EF6" w:rsidP="0038728D" w:rsidRDefault="000B7EF6" w14:paraId="3CD70C37" w14:textId="31B3AB8B">
      <w:pPr>
        <w:numPr>
          <w:ilvl w:val="0"/>
          <w:numId w:val="5"/>
        </w:numPr>
        <w:spacing w:after="0" w:line="240" w:lineRule="auto"/>
        <w:textAlignment w:val="baseline"/>
        <w:rPr>
          <w:rFonts w:eastAsia="Times New Roman" w:cs="Times New Roman"/>
        </w:rPr>
      </w:pPr>
      <w:r w:rsidRPr="000B7EF6">
        <w:rPr>
          <w:rFonts w:eastAsia="Times New Roman" w:cs="Times New Roman"/>
        </w:rPr>
        <w:t xml:space="preserve">Study PII will ONLY be saved on common </w:t>
      </w:r>
      <w:r w:rsidR="00043DB3">
        <w:rPr>
          <w:rFonts w:eastAsia="Times New Roman" w:cs="Times New Roman"/>
        </w:rPr>
        <w:t xml:space="preserve">share </w:t>
      </w:r>
      <w:hyperlink w:history="1" r:id="rId23">
        <w:r w:rsidRPr="0006525C" w:rsidR="00FB51E0">
          <w:rPr>
            <w:rStyle w:val="Hyperlink"/>
            <w:rFonts w:eastAsia="Times New Roman" w:cs="Times New Roman"/>
          </w:rPr>
          <w:t>\\cdc.gov\locker\ATSDR_PFAS_Data\PFAS_Viral_Infections</w:t>
        </w:r>
      </w:hyperlink>
      <w:r w:rsidR="00043DB3">
        <w:rPr>
          <w:rFonts w:eastAsia="Times New Roman" w:cs="Times New Roman"/>
        </w:rPr>
        <w:t xml:space="preserve">, created with </w:t>
      </w:r>
      <w:r w:rsidR="00906AD5">
        <w:rPr>
          <w:rFonts w:eastAsia="Times New Roman" w:cs="Times New Roman"/>
        </w:rPr>
        <w:t>CDC’s Multi-User Share Tool (MUST)</w:t>
      </w:r>
      <w:r w:rsidRPr="000B7EF6">
        <w:rPr>
          <w:rFonts w:eastAsia="Times New Roman" w:cs="Times New Roman"/>
        </w:rPr>
        <w:t>. Only approved users will have access to the </w:t>
      </w:r>
      <w:r w:rsidR="00293DC5">
        <w:rPr>
          <w:rFonts w:eastAsia="Times New Roman" w:cs="Times New Roman"/>
        </w:rPr>
        <w:t>share</w:t>
      </w:r>
      <w:r w:rsidR="0097146A">
        <w:rPr>
          <w:rFonts w:eastAsia="Times New Roman" w:cs="Times New Roman"/>
        </w:rPr>
        <w:t>.</w:t>
      </w:r>
      <w:r w:rsidRPr="000B7EF6">
        <w:rPr>
          <w:rFonts w:eastAsia="Times New Roman" w:cs="Times New Roman"/>
        </w:rPr>
        <w:t>  All PII data must be encrypted using file level encryption. </w:t>
      </w:r>
    </w:p>
    <w:p w:rsidRPr="000B7EF6" w:rsidR="000B7EF6" w:rsidP="0038728D" w:rsidRDefault="000B7EF6" w14:paraId="20FC8175" w14:textId="1A8C7968">
      <w:pPr>
        <w:numPr>
          <w:ilvl w:val="0"/>
          <w:numId w:val="5"/>
        </w:numPr>
        <w:spacing w:after="0" w:line="240" w:lineRule="auto"/>
        <w:textAlignment w:val="baseline"/>
        <w:rPr>
          <w:rFonts w:eastAsia="Times New Roman" w:cs="Times New Roman"/>
        </w:rPr>
      </w:pPr>
      <w:r>
        <w:rPr>
          <w:rFonts w:eastAsia="Times New Roman" w:cs="Times New Roman"/>
        </w:rPr>
        <w:t>B</w:t>
      </w:r>
      <w:r w:rsidRPr="000B7EF6">
        <w:rPr>
          <w:rFonts w:eastAsia="Times New Roman" w:cs="Times New Roman"/>
        </w:rPr>
        <w:t>efore they can access the data</w:t>
      </w:r>
      <w:r>
        <w:rPr>
          <w:rFonts w:eastAsia="Times New Roman" w:cs="Times New Roman"/>
        </w:rPr>
        <w:t xml:space="preserve">, </w:t>
      </w:r>
      <w:r w:rsidR="0097146A">
        <w:rPr>
          <w:rFonts w:eastAsia="Times New Roman" w:cs="Times New Roman"/>
        </w:rPr>
        <w:t>they</w:t>
      </w:r>
      <w:r w:rsidRPr="000B7EF6">
        <w:rPr>
          <w:rFonts w:eastAsia="Times New Roman" w:cs="Times New Roman"/>
        </w:rPr>
        <w:t xml:space="preserve"> must have a signed </w:t>
      </w:r>
      <w:r w:rsidR="00D16B66">
        <w:rPr>
          <w:rFonts w:eastAsia="Times New Roman" w:cs="Times New Roman"/>
        </w:rPr>
        <w:t>ROB</w:t>
      </w:r>
      <w:r w:rsidRPr="000B7EF6">
        <w:rPr>
          <w:rFonts w:eastAsia="Times New Roman" w:cs="Times New Roman"/>
        </w:rPr>
        <w:t>, which will be stored in the shared drive. </w:t>
      </w:r>
    </w:p>
    <w:p w:rsidRPr="000B7EF6" w:rsidR="000B7EF6" w:rsidP="0038728D" w:rsidRDefault="0097146A" w14:paraId="11FF396D" w14:textId="25BC7ED8">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only transfer data between CDC and external entities using CDC’s Secure Access Management S</w:t>
      </w:r>
      <w:r w:rsidR="00B4217A">
        <w:rPr>
          <w:rFonts w:eastAsia="Times New Roman" w:cs="Times New Roman"/>
        </w:rPr>
        <w:t>ervices</w:t>
      </w:r>
      <w:r w:rsidRPr="000B7EF6" w:rsidR="000B7EF6">
        <w:rPr>
          <w:rFonts w:eastAsia="Times New Roman" w:cs="Times New Roman"/>
        </w:rPr>
        <w:t xml:space="preserve"> (SAMS), e-Authentication Level 3, and approved FIPS 140-2 encryption.  </w:t>
      </w:r>
    </w:p>
    <w:p w:rsidRPr="000B7EF6" w:rsidR="000B7EF6" w:rsidP="0038728D" w:rsidRDefault="0097146A" w14:paraId="074ACEDC" w14:textId="69457DC9">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will not download data to a non-encrypted CDC desktop or laptop.  </w:t>
      </w:r>
    </w:p>
    <w:p w:rsidRPr="000B7EF6" w:rsidR="000B7EF6" w:rsidP="0038728D" w:rsidRDefault="000B7EF6" w14:paraId="5BEE939B" w14:textId="0A5A070E">
      <w:pPr>
        <w:numPr>
          <w:ilvl w:val="0"/>
          <w:numId w:val="5"/>
        </w:numPr>
        <w:spacing w:after="0" w:line="240" w:lineRule="auto"/>
        <w:textAlignment w:val="baseline"/>
        <w:rPr>
          <w:rFonts w:eastAsia="Times New Roman" w:cs="Times New Roman"/>
        </w:rPr>
      </w:pPr>
      <w:r w:rsidRPr="000B7EF6">
        <w:rPr>
          <w:rFonts w:eastAsia="Times New Roman" w:cs="Times New Roman"/>
        </w:rPr>
        <w:t xml:space="preserve">If data must be downloaded for offline or desktop analyses, </w:t>
      </w:r>
      <w:r w:rsidR="0097146A">
        <w:rPr>
          <w:rFonts w:eastAsia="Times New Roman" w:cs="Times New Roman"/>
        </w:rPr>
        <w:t>they</w:t>
      </w:r>
      <w:r w:rsidRPr="000B7EF6">
        <w:rPr>
          <w:rFonts w:eastAsia="Times New Roman" w:cs="Times New Roman"/>
        </w:rPr>
        <w:t xml:space="preserve"> will provide written notification on need and use, and duration of access of copy of data to the Study Investigators and Data Manager. In addition, a log of all additional copies must be maintained in the common share.   </w:t>
      </w:r>
    </w:p>
    <w:p w:rsidRPr="000B7EF6" w:rsidR="000B7EF6" w:rsidP="0038728D" w:rsidRDefault="000B7EF6" w14:paraId="6AA1784C" w14:textId="03D13A5F">
      <w:pPr>
        <w:numPr>
          <w:ilvl w:val="0"/>
          <w:numId w:val="5"/>
        </w:numPr>
        <w:spacing w:after="0" w:line="240" w:lineRule="auto"/>
        <w:textAlignment w:val="baseline"/>
        <w:rPr>
          <w:rFonts w:eastAsia="Times New Roman" w:cs="Times New Roman"/>
        </w:rPr>
      </w:pPr>
      <w:r w:rsidRPr="000B7EF6">
        <w:rPr>
          <w:rFonts w:eastAsia="Times New Roman" w:cs="Times New Roman"/>
        </w:rPr>
        <w:t xml:space="preserve">All computers and laptops storing, processing, or transmitting data from this </w:t>
      </w:r>
      <w:r w:rsidR="0097146A">
        <w:rPr>
          <w:rFonts w:eastAsia="Times New Roman" w:cs="Times New Roman"/>
        </w:rPr>
        <w:t>study</w:t>
      </w:r>
      <w:r w:rsidRPr="000B7EF6">
        <w:rPr>
          <w:rFonts w:eastAsia="Times New Roman" w:cs="Times New Roman"/>
        </w:rPr>
        <w:t xml:space="preserve"> must be provided by CDC and encrypted using CDC FIPS 140-2 approved whole disk encryption. </w:t>
      </w:r>
    </w:p>
    <w:p w:rsidRPr="000B7EF6" w:rsidR="000B7EF6" w:rsidP="0038728D" w:rsidRDefault="0097146A" w14:paraId="4F90F764" w14:textId="1A1A424F">
      <w:pPr>
        <w:numPr>
          <w:ilvl w:val="0"/>
          <w:numId w:val="5"/>
        </w:numPr>
        <w:spacing w:after="0" w:line="240" w:lineRule="auto"/>
        <w:textAlignment w:val="baseline"/>
        <w:rPr>
          <w:rFonts w:eastAsia="Times New Roman" w:cs="Times New Roman"/>
        </w:rPr>
      </w:pPr>
      <w:r>
        <w:rPr>
          <w:rFonts w:eastAsia="Times New Roman" w:cs="Times New Roman"/>
        </w:rPr>
        <w:t>A</w:t>
      </w:r>
      <w:r w:rsidRPr="000B7EF6" w:rsidR="000B7EF6">
        <w:rPr>
          <w:rFonts w:eastAsia="Times New Roman" w:cs="Times New Roman"/>
        </w:rPr>
        <w:t xml:space="preserve">ll CDC systems processing the data must be authorized to operate by CDC and categorized as moderate or higher and approved to store, process or transmit personally identifiable information (PII).  They acknowledge that they must obtain approval from the </w:t>
      </w:r>
      <w:r w:rsidR="00762ED3">
        <w:rPr>
          <w:rFonts w:eastAsia="Times New Roman" w:cs="Times New Roman"/>
        </w:rPr>
        <w:t>CDC</w:t>
      </w:r>
      <w:r w:rsidRPr="000B7EF6" w:rsidR="000B7EF6">
        <w:rPr>
          <w:rFonts w:eastAsia="Times New Roman" w:cs="Times New Roman"/>
        </w:rPr>
        <w:t>/ATSDR Information Systems Security Officer (ISSO) before any additional CDC systems are used to process, store or transmit these data. </w:t>
      </w:r>
    </w:p>
    <w:p w:rsidRPr="000B7EF6" w:rsidR="000B7EF6" w:rsidP="0038728D" w:rsidRDefault="0097146A" w14:paraId="076F93DE" w14:textId="5D7919B1">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will not print out any data.  If printing is absolutely necessary, </w:t>
      </w:r>
      <w:r>
        <w:rPr>
          <w:rFonts w:eastAsia="Times New Roman" w:cs="Times New Roman"/>
        </w:rPr>
        <w:t>they</w:t>
      </w:r>
      <w:r w:rsidRPr="000B7EF6" w:rsidR="000B7EF6">
        <w:rPr>
          <w:rFonts w:eastAsia="Times New Roman" w:cs="Times New Roman"/>
        </w:rPr>
        <w:t xml:space="preserve"> will provide written notification on need, use, and duration of use of printouts to the Study Investigators and Data Manager. The printouts must be stored in locked cabinets when not in use and shredded when no longer needed. </w:t>
      </w:r>
      <w:r>
        <w:rPr>
          <w:rFonts w:eastAsia="Times New Roman" w:cs="Times New Roman"/>
        </w:rPr>
        <w:t>They</w:t>
      </w:r>
      <w:r w:rsidRPr="000B7EF6" w:rsidR="000B7EF6">
        <w:rPr>
          <w:rFonts w:eastAsia="Times New Roman" w:cs="Times New Roman"/>
        </w:rPr>
        <w:t xml:space="preserve"> shall provide written notification to Study Investigators and Data Manager when they destroy or shred the printouts.  </w:t>
      </w:r>
    </w:p>
    <w:p w:rsidRPr="000B7EF6" w:rsidR="000B7EF6" w:rsidP="0038728D" w:rsidRDefault="0097146A" w14:paraId="5E886BA3" w14:textId="7C6E8BAA">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not transfer this data to external electronic media e.g. CD’s, DVD’s, thumb drives, portable hard drives. If absolutely necessary to transfer data on external electronic media, </w:t>
      </w:r>
      <w:r>
        <w:rPr>
          <w:rFonts w:eastAsia="Times New Roman" w:cs="Times New Roman"/>
        </w:rPr>
        <w:t>they</w:t>
      </w:r>
      <w:r w:rsidRPr="000B7EF6" w:rsidR="000B7EF6">
        <w:rPr>
          <w:rFonts w:eastAsia="Times New Roman" w:cs="Times New Roman"/>
        </w:rPr>
        <w:t xml:space="preserve"> shall get approval from </w:t>
      </w:r>
      <w:r w:rsidR="00762ED3">
        <w:rPr>
          <w:rFonts w:eastAsia="Times New Roman" w:cs="Times New Roman"/>
        </w:rPr>
        <w:t>CDC</w:t>
      </w:r>
      <w:r w:rsidRPr="000B7EF6" w:rsidR="000B7EF6">
        <w:rPr>
          <w:rFonts w:eastAsia="Times New Roman" w:cs="Times New Roman"/>
        </w:rPr>
        <w:t>/ATSDR ISSO. </w:t>
      </w:r>
    </w:p>
    <w:p w:rsidRPr="000B7EF6" w:rsidR="000B7EF6" w:rsidP="0038728D" w:rsidRDefault="0097146A" w14:paraId="32962AB3" w14:textId="56B75EBC">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not transfer or save this data to a non-CDC personal computing device such as personal or contractor laptop, smart phone, etc. </w:t>
      </w:r>
    </w:p>
    <w:p w:rsidRPr="000B7EF6" w:rsidR="000B7EF6" w:rsidP="0038728D" w:rsidRDefault="0097146A" w14:paraId="45F0F0BD" w14:textId="3284506D">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not record or photograph any data to CDC or non-CDC personal computing device such as personal or contractor laptop, smart phone, etc. </w:t>
      </w:r>
    </w:p>
    <w:p w:rsidRPr="000B7EF6" w:rsidR="000B7EF6" w:rsidP="0038728D" w:rsidRDefault="0097146A" w14:paraId="47506916" w14:textId="0AEB2B22">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not transfer or save any data to non-CDC authorized cloud-based storage such</w:t>
      </w:r>
      <w:r w:rsidR="002D096B">
        <w:rPr>
          <w:rFonts w:eastAsia="Times New Roman" w:cs="Times New Roman"/>
        </w:rPr>
        <w:t xml:space="preserve"> as </w:t>
      </w:r>
      <w:r w:rsidRPr="000B7EF6" w:rsidR="000B7EF6">
        <w:rPr>
          <w:rFonts w:eastAsia="Times New Roman" w:cs="Times New Roman"/>
        </w:rPr>
        <w:t>DropBox, Google Drive, etc. </w:t>
      </w:r>
    </w:p>
    <w:p w:rsidRPr="000B7EF6" w:rsidR="000B7EF6" w:rsidP="0038728D" w:rsidRDefault="0097146A" w14:paraId="72DC5671" w14:textId="3D059570">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shall not email any PII or sensitive data to a CDC, personal, state, university, or any other non-CDC email address.   </w:t>
      </w:r>
    </w:p>
    <w:p w:rsidRPr="000B7EF6" w:rsidR="000B7EF6" w:rsidP="0038728D" w:rsidRDefault="0097146A" w14:paraId="09ED2B02" w14:textId="4F0E0495">
      <w:pPr>
        <w:numPr>
          <w:ilvl w:val="0"/>
          <w:numId w:val="5"/>
        </w:numPr>
        <w:spacing w:after="0" w:line="240" w:lineRule="auto"/>
        <w:textAlignment w:val="baseline"/>
        <w:rPr>
          <w:rFonts w:eastAsia="Times New Roman" w:cs="Times New Roman"/>
        </w:rPr>
      </w:pPr>
      <w:r>
        <w:rPr>
          <w:rFonts w:eastAsia="Times New Roman" w:cs="Times New Roman"/>
        </w:rPr>
        <w:t>O</w:t>
      </w:r>
      <w:r w:rsidRPr="000B7EF6" w:rsidR="000B7EF6">
        <w:rPr>
          <w:rFonts w:eastAsia="Times New Roman" w:cs="Times New Roman"/>
        </w:rPr>
        <w:t>nly non-sensitive reports and statistical analyses may be transmitted via email. These emails and/or reports cannot contain personally identifiable information (PII). </w:t>
      </w:r>
    </w:p>
    <w:p w:rsidRPr="000B7EF6" w:rsidR="000B7EF6" w:rsidP="0038728D" w:rsidRDefault="0097146A" w14:paraId="6A97AC3D" w14:textId="15D0B958">
      <w:pPr>
        <w:numPr>
          <w:ilvl w:val="0"/>
          <w:numId w:val="5"/>
        </w:numPr>
        <w:spacing w:after="0" w:line="240" w:lineRule="auto"/>
        <w:textAlignment w:val="baseline"/>
        <w:rPr>
          <w:rFonts w:eastAsia="Times New Roman" w:cs="Times New Roman"/>
        </w:rPr>
      </w:pPr>
      <w:r>
        <w:rPr>
          <w:rFonts w:eastAsia="Times New Roman" w:cs="Times New Roman"/>
        </w:rPr>
        <w:lastRenderedPageBreak/>
        <w:t>T</w:t>
      </w:r>
      <w:r w:rsidRPr="000B7EF6" w:rsidR="000B7EF6">
        <w:rPr>
          <w:rFonts w:eastAsia="Times New Roman" w:cs="Times New Roman"/>
        </w:rPr>
        <w:t>hey are responsible for data compromise or breaches resulting from inappropriate uses of data or violations of any of the data use and access rules set forth within this Rules of Behavior for Data Access and Use agreement. </w:t>
      </w:r>
    </w:p>
    <w:p w:rsidRPr="000B7EF6" w:rsidR="000B7EF6" w:rsidP="0038728D" w:rsidRDefault="0097146A" w14:paraId="57B7890F" w14:textId="37F0F716">
      <w:pPr>
        <w:numPr>
          <w:ilvl w:val="0"/>
          <w:numId w:val="5"/>
        </w:numPr>
        <w:spacing w:after="0" w:line="240" w:lineRule="auto"/>
        <w:textAlignment w:val="baseline"/>
        <w:rPr>
          <w:rFonts w:eastAsia="Times New Roman" w:cs="Times New Roman"/>
        </w:rPr>
      </w:pPr>
      <w:r>
        <w:rPr>
          <w:rFonts w:eastAsia="Times New Roman" w:cs="Times New Roman"/>
        </w:rPr>
        <w:t>They will</w:t>
      </w:r>
      <w:r w:rsidRPr="000B7EF6" w:rsidR="000B7EF6">
        <w:rPr>
          <w:rFonts w:eastAsia="Times New Roman" w:cs="Times New Roman"/>
        </w:rPr>
        <w:t xml:space="preserve"> report any security breach immediately </w:t>
      </w:r>
      <w:r w:rsidRPr="000B7EF6" w:rsidR="000B7EF6">
        <w:rPr>
          <w:rFonts w:eastAsia="Times New Roman" w:cs="Times New Roman"/>
          <w:b/>
          <w:bCs/>
          <w:i/>
          <w:iCs/>
        </w:rPr>
        <w:t>(within 1 hour)</w:t>
      </w:r>
      <w:r w:rsidRPr="000B7EF6" w:rsidR="000B7EF6">
        <w:rPr>
          <w:rFonts w:eastAsia="Times New Roman" w:cs="Times New Roman"/>
        </w:rPr>
        <w:t xml:space="preserve"> to both the </w:t>
      </w:r>
      <w:r w:rsidR="0022696F">
        <w:rPr>
          <w:rFonts w:eastAsia="Times New Roman" w:cs="Times New Roman"/>
        </w:rPr>
        <w:t>CDC</w:t>
      </w:r>
      <w:r w:rsidRPr="000B7EF6" w:rsidR="000B7EF6">
        <w:rPr>
          <w:rFonts w:eastAsia="Times New Roman" w:cs="Times New Roman"/>
        </w:rPr>
        <w:t>/ATSDR ISSO (</w:t>
      </w:r>
      <w:hyperlink w:tgtFrame="_blank" w:history="1" r:id="rId24">
        <w:r w:rsidRPr="000B7EF6" w:rsidR="000B7EF6">
          <w:rPr>
            <w:rFonts w:eastAsia="Times New Roman" w:cs="Times New Roman"/>
            <w:color w:val="0000FF"/>
            <w:u w:val="single"/>
          </w:rPr>
          <w:t>fgi5@cdc.gov</w:t>
        </w:r>
      </w:hyperlink>
      <w:r w:rsidRPr="000B7EF6" w:rsidR="000B7EF6">
        <w:rPr>
          <w:rFonts w:eastAsia="Times New Roman" w:cs="Times New Roman"/>
        </w:rPr>
        <w:t>, (770) 488-6447) and the CDC Security Incident Response Team (CSIRT) (</w:t>
      </w:r>
      <w:hyperlink w:tgtFrame="_blank" w:history="1" r:id="rId25">
        <w:r w:rsidRPr="000B7EF6" w:rsidR="000B7EF6">
          <w:rPr>
            <w:rFonts w:eastAsia="Times New Roman" w:cs="Times New Roman"/>
            <w:color w:val="0000FF"/>
            <w:u w:val="single"/>
          </w:rPr>
          <w:t>csirt@cdc.gov</w:t>
        </w:r>
      </w:hyperlink>
      <w:r w:rsidRPr="000B7EF6" w:rsidR="000B7EF6">
        <w:rPr>
          <w:rFonts w:eastAsia="Times New Roman" w:cs="Times New Roman"/>
        </w:rPr>
        <w:t>, (</w:t>
      </w:r>
      <w:r w:rsidRPr="000B7EF6" w:rsidR="000B7EF6">
        <w:rPr>
          <w:rFonts w:eastAsia="Times New Roman" w:cs="Times New Roman"/>
          <w:lang w:val="en"/>
        </w:rPr>
        <w:t>866) 655-2245</w:t>
      </w:r>
      <w:r w:rsidRPr="000B7EF6" w:rsidR="000B7EF6">
        <w:rPr>
          <w:rFonts w:eastAsia="Times New Roman" w:cs="Times New Roman"/>
        </w:rPr>
        <w:t>). </w:t>
      </w:r>
    </w:p>
    <w:p w:rsidRPr="000B7EF6" w:rsidR="000B7EF6" w:rsidP="0038728D" w:rsidRDefault="0097146A" w14:paraId="3711E9AE" w14:textId="5D4DF6F8">
      <w:pPr>
        <w:numPr>
          <w:ilvl w:val="0"/>
          <w:numId w:val="5"/>
        </w:numPr>
        <w:spacing w:after="0" w:line="240" w:lineRule="auto"/>
        <w:textAlignment w:val="baseline"/>
        <w:rPr>
          <w:rFonts w:eastAsia="Times New Roman" w:cs="Times New Roman"/>
        </w:rPr>
      </w:pPr>
      <w:r>
        <w:rPr>
          <w:rFonts w:eastAsia="Times New Roman" w:cs="Times New Roman"/>
        </w:rPr>
        <w:t>They</w:t>
      </w:r>
      <w:r w:rsidRPr="000B7EF6" w:rsidR="000B7EF6">
        <w:rPr>
          <w:rFonts w:eastAsia="Times New Roman" w:cs="Times New Roman"/>
        </w:rPr>
        <w:t xml:space="preserve"> </w:t>
      </w:r>
      <w:r>
        <w:rPr>
          <w:rFonts w:eastAsia="Times New Roman" w:cs="Times New Roman"/>
        </w:rPr>
        <w:t xml:space="preserve">will </w:t>
      </w:r>
      <w:r w:rsidRPr="000B7EF6" w:rsidR="000B7EF6">
        <w:rPr>
          <w:rFonts w:eastAsia="Times New Roman" w:cs="Times New Roman"/>
        </w:rPr>
        <w:t>keep a copy of the signed Rules of Behavior for Data Access and Use for their records and as a reference. </w:t>
      </w:r>
    </w:p>
    <w:p w:rsidRPr="009E332D" w:rsidR="009E332D" w:rsidP="00225857" w:rsidRDefault="009E332D" w14:paraId="73135157" w14:textId="7858EE36">
      <w:pPr>
        <w:spacing w:after="120"/>
      </w:pPr>
    </w:p>
    <w:p w:rsidRPr="009E332D" w:rsidR="009E332D" w:rsidP="00225857" w:rsidRDefault="009E332D" w14:paraId="47247A54" w14:textId="77777777">
      <w:pPr>
        <w:spacing w:after="120"/>
      </w:pPr>
      <w:r w:rsidRPr="009E332D">
        <w:t>Name (printed):   _____________________________________________________ </w:t>
      </w:r>
    </w:p>
    <w:p w:rsidRPr="009E332D" w:rsidR="009E332D" w:rsidP="00225857" w:rsidRDefault="009E332D" w14:paraId="5D75CEF1" w14:textId="77777777">
      <w:pPr>
        <w:spacing w:after="120"/>
      </w:pPr>
      <w:r w:rsidRPr="009E332D">
        <w:t>CDC User ID: ____________ </w:t>
      </w:r>
    </w:p>
    <w:p w:rsidRPr="009E332D" w:rsidR="009E332D" w:rsidP="00225857" w:rsidRDefault="009E332D" w14:paraId="0B90D902" w14:textId="77777777">
      <w:pPr>
        <w:spacing w:after="120"/>
      </w:pPr>
      <w:r w:rsidRPr="009E332D">
        <w:t>Organization: __________________________________________ </w:t>
      </w:r>
    </w:p>
    <w:p w:rsidRPr="009E332D" w:rsidR="009E332D" w:rsidP="00225857" w:rsidRDefault="009E332D" w14:paraId="4EE1D2F4" w14:textId="77777777">
      <w:pPr>
        <w:spacing w:after="120"/>
      </w:pPr>
      <w:r w:rsidRPr="009E332D">
        <w:t>Date: _________________________ </w:t>
      </w:r>
    </w:p>
    <w:p w:rsidRPr="00225857" w:rsidR="009E332D" w:rsidP="00225857" w:rsidRDefault="009E332D" w14:paraId="0D5C085E" w14:textId="4FA6F4B9">
      <w:pPr>
        <w:spacing w:after="120"/>
      </w:pPr>
      <w:r w:rsidRPr="009E332D">
        <w:t>Signature (please use blue ink): </w:t>
      </w:r>
      <w:r w:rsidRPr="00225857" w:rsidR="00225857">
        <w:t>__________________________________________</w:t>
      </w:r>
    </w:p>
    <w:p w:rsidRPr="000B7EF6" w:rsidR="009E332D" w:rsidP="00BB2551" w:rsidRDefault="009E332D" w14:paraId="57CB772C" w14:textId="77777777"/>
    <w:p w:rsidR="0022696F" w:rsidRDefault="0022696F" w14:paraId="1DCB38C8" w14:textId="77777777">
      <w:pPr>
        <w:rPr>
          <w:rFonts w:asciiTheme="majorHAnsi" w:hAnsiTheme="majorHAnsi" w:eastAsiaTheme="majorEastAsia" w:cstheme="majorBidi"/>
          <w:color w:val="2F5496" w:themeColor="accent1" w:themeShade="BF"/>
          <w:sz w:val="32"/>
          <w:szCs w:val="32"/>
        </w:rPr>
      </w:pPr>
      <w:r>
        <w:br w:type="page"/>
      </w:r>
    </w:p>
    <w:p w:rsidRPr="00AD6F21" w:rsidR="00AD6F21" w:rsidP="00AD6F21" w:rsidRDefault="00AD6F21" w14:paraId="3B526BF6" w14:textId="727C18AA">
      <w:pPr>
        <w:pStyle w:val="Heading1"/>
      </w:pPr>
      <w:bookmarkStart w:name="_Toc92192155" w:id="46"/>
      <w:r>
        <w:lastRenderedPageBreak/>
        <w:t>Appendix B – MOP Modification Log</w:t>
      </w:r>
      <w:bookmarkEnd w:id="46"/>
    </w:p>
    <w:p w:rsidRPr="00AD6F21" w:rsidR="00F67708" w:rsidP="00AD6F21" w:rsidRDefault="00F67708" w14:paraId="79DAF713" w14:textId="26D6D24B">
      <w:pPr>
        <w:spacing w:after="0"/>
        <w:rPr>
          <w:rStyle w:val="normaltextrun"/>
          <w:rFonts w:cstheme="minorHAnsi"/>
          <w:color w:val="0070C0"/>
          <w:sz w:val="28"/>
          <w:szCs w:val="28"/>
        </w:rPr>
      </w:pPr>
    </w:p>
    <w:p w:rsidRPr="00F67708" w:rsidR="00F67708" w:rsidP="00F67708" w:rsidRDefault="00F67708" w14:paraId="46397CF6" w14:textId="51C54F90">
      <w:pPr>
        <w:rPr>
          <w:rFonts w:ascii="Calibri" w:hAnsi="Calibri"/>
          <w:color w:val="0070C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8"/>
        <w:gridCol w:w="1124"/>
        <w:gridCol w:w="1118"/>
        <w:gridCol w:w="2684"/>
        <w:gridCol w:w="3170"/>
      </w:tblGrid>
      <w:tr w:rsidRPr="00D37D41" w:rsidR="00F67708" w:rsidTr="00F67708" w14:paraId="7E2A8D58" w14:textId="77777777">
        <w:tc>
          <w:tcPr>
            <w:tcW w:w="1335" w:type="dxa"/>
            <w:tcBorders>
              <w:top w:val="single" w:color="000000" w:sz="6" w:space="0"/>
              <w:left w:val="single" w:color="000000" w:sz="6" w:space="0"/>
              <w:bottom w:val="single" w:color="auto" w:sz="6" w:space="0"/>
              <w:right w:val="single" w:color="000000" w:sz="6" w:space="0"/>
            </w:tcBorders>
            <w:shd w:val="clear" w:color="auto" w:fill="BFBFBF"/>
            <w:hideMark/>
          </w:tcPr>
          <w:p w:rsidRPr="00D37D41" w:rsidR="00F67708" w:rsidP="00F67708" w:rsidRDefault="00F67708" w14:paraId="267BB532" w14:textId="77777777">
            <w:pPr>
              <w:spacing w:after="0" w:line="240" w:lineRule="auto"/>
              <w:textAlignment w:val="baseline"/>
              <w:rPr>
                <w:rFonts w:ascii="Calibri" w:hAnsi="Calibri" w:eastAsia="Times New Roman" w:cs="Segoe UI"/>
                <w:sz w:val="24"/>
                <w:szCs w:val="24"/>
              </w:rPr>
            </w:pPr>
            <w:r w:rsidRPr="00D37D41">
              <w:rPr>
                <w:rFonts w:ascii="Calibri" w:hAnsi="Calibri" w:eastAsia="Times New Roman" w:cs="Segoe UI"/>
                <w:b/>
                <w:bCs/>
                <w:sz w:val="24"/>
                <w:szCs w:val="24"/>
              </w:rPr>
              <w:t>Author</w:t>
            </w:r>
            <w:r w:rsidRPr="00D37D41">
              <w:rPr>
                <w:rFonts w:ascii="Calibri" w:hAnsi="Calibri" w:eastAsia="Times New Roman" w:cs="Segoe UI"/>
                <w:sz w:val="24"/>
                <w:szCs w:val="24"/>
              </w:rPr>
              <w:t> </w:t>
            </w:r>
          </w:p>
        </w:tc>
        <w:tc>
          <w:tcPr>
            <w:tcW w:w="1230" w:type="dxa"/>
            <w:tcBorders>
              <w:top w:val="single" w:color="000000" w:sz="6" w:space="0"/>
              <w:left w:val="nil"/>
              <w:bottom w:val="single" w:color="auto" w:sz="6" w:space="0"/>
              <w:right w:val="single" w:color="000000" w:sz="6" w:space="0"/>
            </w:tcBorders>
            <w:shd w:val="clear" w:color="auto" w:fill="BFBFBF"/>
            <w:hideMark/>
          </w:tcPr>
          <w:p w:rsidRPr="00D37D41" w:rsidR="00F67708" w:rsidP="00F67708" w:rsidRDefault="00F67708" w14:paraId="72E3121B" w14:textId="77777777">
            <w:pPr>
              <w:spacing w:after="0" w:line="240" w:lineRule="auto"/>
              <w:textAlignment w:val="baseline"/>
              <w:rPr>
                <w:rFonts w:ascii="Calibri" w:hAnsi="Calibri" w:eastAsia="Times New Roman" w:cs="Segoe UI"/>
                <w:sz w:val="24"/>
                <w:szCs w:val="24"/>
              </w:rPr>
            </w:pPr>
            <w:r w:rsidRPr="00D37D41">
              <w:rPr>
                <w:rFonts w:ascii="Calibri" w:hAnsi="Calibri" w:eastAsia="Times New Roman" w:cs="Segoe UI"/>
                <w:b/>
                <w:bCs/>
                <w:sz w:val="24"/>
                <w:szCs w:val="24"/>
              </w:rPr>
              <w:t>Date</w:t>
            </w:r>
            <w:r w:rsidRPr="00D37D41">
              <w:rPr>
                <w:rFonts w:ascii="Calibri" w:hAnsi="Calibri" w:eastAsia="Times New Roman" w:cs="Segoe UI"/>
                <w:sz w:val="24"/>
                <w:szCs w:val="24"/>
              </w:rPr>
              <w:t> </w:t>
            </w:r>
          </w:p>
        </w:tc>
        <w:tc>
          <w:tcPr>
            <w:tcW w:w="1170" w:type="dxa"/>
            <w:tcBorders>
              <w:top w:val="single" w:color="000000" w:sz="6" w:space="0"/>
              <w:left w:val="nil"/>
              <w:bottom w:val="single" w:color="auto" w:sz="6" w:space="0"/>
              <w:right w:val="single" w:color="000000" w:sz="6" w:space="0"/>
            </w:tcBorders>
            <w:shd w:val="clear" w:color="auto" w:fill="BFBFBF"/>
            <w:hideMark/>
          </w:tcPr>
          <w:p w:rsidRPr="00D37D41" w:rsidR="00F67708" w:rsidP="00F67708" w:rsidRDefault="00F67708" w14:paraId="0C3A98F0" w14:textId="77777777">
            <w:pPr>
              <w:spacing w:after="0" w:line="240" w:lineRule="auto"/>
              <w:textAlignment w:val="baseline"/>
              <w:rPr>
                <w:rFonts w:ascii="Calibri" w:hAnsi="Calibri" w:eastAsia="Times New Roman" w:cs="Segoe UI"/>
                <w:sz w:val="24"/>
                <w:szCs w:val="24"/>
              </w:rPr>
            </w:pPr>
            <w:r w:rsidRPr="00D37D41">
              <w:rPr>
                <w:rFonts w:ascii="Calibri" w:hAnsi="Calibri" w:eastAsia="Times New Roman" w:cs="Segoe UI"/>
                <w:b/>
                <w:bCs/>
                <w:sz w:val="24"/>
                <w:szCs w:val="24"/>
              </w:rPr>
              <w:t>Version</w:t>
            </w:r>
            <w:r w:rsidRPr="00D37D41">
              <w:rPr>
                <w:rFonts w:ascii="Calibri" w:hAnsi="Calibri" w:eastAsia="Times New Roman" w:cs="Segoe UI"/>
                <w:sz w:val="24"/>
                <w:szCs w:val="24"/>
              </w:rPr>
              <w:t> </w:t>
            </w:r>
          </w:p>
        </w:tc>
        <w:tc>
          <w:tcPr>
            <w:tcW w:w="2985" w:type="dxa"/>
            <w:tcBorders>
              <w:top w:val="single" w:color="000000" w:sz="6" w:space="0"/>
              <w:left w:val="nil"/>
              <w:bottom w:val="single" w:color="auto" w:sz="6" w:space="0"/>
              <w:right w:val="single" w:color="auto" w:sz="6" w:space="0"/>
            </w:tcBorders>
            <w:shd w:val="clear" w:color="auto" w:fill="BFBFBF"/>
            <w:hideMark/>
          </w:tcPr>
          <w:p w:rsidRPr="00D37D41" w:rsidR="00F67708" w:rsidP="00F67708" w:rsidRDefault="00F67708" w14:paraId="3F09DDDE" w14:textId="77777777">
            <w:pPr>
              <w:spacing w:after="0" w:line="240" w:lineRule="auto"/>
              <w:textAlignment w:val="baseline"/>
              <w:rPr>
                <w:rFonts w:ascii="Calibri" w:hAnsi="Calibri" w:eastAsia="Times New Roman" w:cs="Segoe UI"/>
                <w:sz w:val="24"/>
                <w:szCs w:val="24"/>
              </w:rPr>
            </w:pPr>
            <w:r w:rsidRPr="00D37D41">
              <w:rPr>
                <w:rFonts w:ascii="Calibri" w:hAnsi="Calibri" w:eastAsia="Times New Roman" w:cs="Segoe UI"/>
                <w:b/>
                <w:bCs/>
                <w:sz w:val="24"/>
                <w:szCs w:val="24"/>
              </w:rPr>
              <w:t>Changes made (including page numbers)</w:t>
            </w:r>
            <w:r w:rsidRPr="00D37D41">
              <w:rPr>
                <w:rFonts w:ascii="Calibri" w:hAnsi="Calibri" w:eastAsia="Times New Roman" w:cs="Segoe UI"/>
                <w:sz w:val="24"/>
                <w:szCs w:val="24"/>
              </w:rPr>
              <w:t> </w:t>
            </w:r>
          </w:p>
        </w:tc>
        <w:tc>
          <w:tcPr>
            <w:tcW w:w="3600" w:type="dxa"/>
            <w:tcBorders>
              <w:top w:val="single" w:color="000000" w:sz="6" w:space="0"/>
              <w:left w:val="single" w:color="auto" w:sz="6" w:space="0"/>
              <w:bottom w:val="single" w:color="auto" w:sz="6" w:space="0"/>
              <w:right w:val="single" w:color="000000" w:sz="6" w:space="0"/>
            </w:tcBorders>
            <w:shd w:val="clear" w:color="auto" w:fill="BFBFBF"/>
            <w:hideMark/>
          </w:tcPr>
          <w:p w:rsidRPr="00D37D41" w:rsidR="00F67708" w:rsidP="00F67708" w:rsidRDefault="00F67708" w14:paraId="78916DB4" w14:textId="77777777">
            <w:pPr>
              <w:spacing w:after="0" w:line="240" w:lineRule="auto"/>
              <w:textAlignment w:val="baseline"/>
              <w:rPr>
                <w:rFonts w:ascii="Calibri" w:hAnsi="Calibri" w:eastAsia="Times New Roman" w:cs="Segoe UI"/>
                <w:sz w:val="24"/>
                <w:szCs w:val="24"/>
              </w:rPr>
            </w:pPr>
            <w:r w:rsidRPr="00D37D41">
              <w:rPr>
                <w:rFonts w:ascii="Calibri" w:hAnsi="Calibri" w:eastAsia="Times New Roman" w:cs="Segoe UI"/>
                <w:b/>
                <w:bCs/>
                <w:sz w:val="24"/>
                <w:szCs w:val="24"/>
              </w:rPr>
              <w:t>Reason for Change</w:t>
            </w:r>
            <w:r w:rsidRPr="00D37D41">
              <w:rPr>
                <w:rFonts w:ascii="Calibri" w:hAnsi="Calibri" w:eastAsia="Times New Roman" w:cs="Segoe UI"/>
                <w:sz w:val="24"/>
                <w:szCs w:val="24"/>
              </w:rPr>
              <w:t> </w:t>
            </w:r>
          </w:p>
        </w:tc>
      </w:tr>
      <w:tr w:rsidRPr="00D37D41" w:rsidR="00F67708" w:rsidTr="00F67708" w14:paraId="0569688F" w14:textId="77777777">
        <w:trPr>
          <w:trHeight w:val="420"/>
        </w:trPr>
        <w:tc>
          <w:tcPr>
            <w:tcW w:w="1335" w:type="dxa"/>
            <w:tcBorders>
              <w:top w:val="single" w:color="auto" w:sz="6" w:space="0"/>
              <w:left w:val="single" w:color="auto" w:sz="6" w:space="0"/>
              <w:bottom w:val="single" w:color="auto" w:sz="6" w:space="0"/>
              <w:right w:val="single" w:color="auto" w:sz="6" w:space="0"/>
            </w:tcBorders>
            <w:shd w:val="clear" w:color="auto" w:fill="auto"/>
            <w:hideMark/>
          </w:tcPr>
          <w:p w:rsidRPr="00D37D41" w:rsidR="00F67708" w:rsidP="00F67708" w:rsidRDefault="00F67708" w14:paraId="417D6C05" w14:textId="77777777">
            <w:pPr>
              <w:spacing w:after="0" w:line="240" w:lineRule="auto"/>
              <w:textAlignment w:val="baseline"/>
              <w:rPr>
                <w:rFonts w:ascii="Calibri" w:hAnsi="Calibri" w:eastAsia="Times New Roman" w:cs="Segoe UI"/>
                <w:sz w:val="24"/>
                <w:szCs w:val="24"/>
              </w:rPr>
            </w:pPr>
          </w:p>
        </w:tc>
        <w:tc>
          <w:tcPr>
            <w:tcW w:w="1230" w:type="dxa"/>
            <w:tcBorders>
              <w:top w:val="single" w:color="auto" w:sz="6" w:space="0"/>
              <w:left w:val="single" w:color="auto" w:sz="6" w:space="0"/>
              <w:bottom w:val="single" w:color="auto" w:sz="6" w:space="0"/>
              <w:right w:val="single" w:color="auto" w:sz="6" w:space="0"/>
            </w:tcBorders>
            <w:shd w:val="clear" w:color="auto" w:fill="auto"/>
          </w:tcPr>
          <w:p w:rsidRPr="00D37D41" w:rsidR="00F67708" w:rsidP="00F67708" w:rsidRDefault="00F67708" w14:paraId="03A5C9D2" w14:textId="77777777">
            <w:pPr>
              <w:spacing w:after="0" w:line="240" w:lineRule="auto"/>
              <w:textAlignment w:val="baseline"/>
              <w:rPr>
                <w:rFonts w:ascii="Calibri" w:hAnsi="Calibri" w:eastAsia="Times New Roman" w:cs="Segoe UI"/>
                <w:sz w:val="24"/>
                <w:szCs w:val="24"/>
              </w:rPr>
            </w:pPr>
          </w:p>
        </w:tc>
        <w:tc>
          <w:tcPr>
            <w:tcW w:w="1170" w:type="dxa"/>
            <w:tcBorders>
              <w:top w:val="single" w:color="auto" w:sz="6" w:space="0"/>
              <w:left w:val="single" w:color="auto" w:sz="6" w:space="0"/>
              <w:bottom w:val="single" w:color="auto" w:sz="6" w:space="0"/>
              <w:right w:val="single" w:color="auto" w:sz="6" w:space="0"/>
            </w:tcBorders>
            <w:shd w:val="clear" w:color="auto" w:fill="auto"/>
          </w:tcPr>
          <w:p w:rsidRPr="00D37D41" w:rsidR="00F67708" w:rsidP="00F67708" w:rsidRDefault="00F67708" w14:paraId="0A3C3424" w14:textId="77777777">
            <w:pPr>
              <w:spacing w:after="0" w:line="240" w:lineRule="auto"/>
              <w:textAlignment w:val="baseline"/>
              <w:rPr>
                <w:rFonts w:ascii="Calibri" w:hAnsi="Calibri" w:eastAsia="Times New Roman" w:cs="Segoe UI"/>
                <w:sz w:val="24"/>
                <w:szCs w:val="24"/>
              </w:rPr>
            </w:pPr>
          </w:p>
        </w:tc>
        <w:tc>
          <w:tcPr>
            <w:tcW w:w="2985" w:type="dxa"/>
            <w:tcBorders>
              <w:top w:val="single" w:color="auto" w:sz="6" w:space="0"/>
              <w:left w:val="single" w:color="auto" w:sz="6" w:space="0"/>
              <w:bottom w:val="single" w:color="auto" w:sz="6" w:space="0"/>
              <w:right w:val="single" w:color="auto" w:sz="6" w:space="0"/>
            </w:tcBorders>
            <w:shd w:val="clear" w:color="auto" w:fill="auto"/>
          </w:tcPr>
          <w:p w:rsidRPr="00D37D41" w:rsidR="00F67708" w:rsidP="00F67708" w:rsidRDefault="00F67708" w14:paraId="42A8FB0E" w14:textId="77777777">
            <w:pPr>
              <w:spacing w:after="0" w:line="240" w:lineRule="auto"/>
              <w:textAlignment w:val="baseline"/>
              <w:rPr>
                <w:rFonts w:ascii="Calibri" w:hAnsi="Calibri" w:eastAsia="Times New Roman" w:cs="Segoe UI"/>
                <w:sz w:val="24"/>
                <w:szCs w:val="24"/>
              </w:rPr>
            </w:pPr>
          </w:p>
        </w:tc>
        <w:tc>
          <w:tcPr>
            <w:tcW w:w="3600" w:type="dxa"/>
            <w:tcBorders>
              <w:top w:val="single" w:color="auto" w:sz="6" w:space="0"/>
              <w:left w:val="single" w:color="auto" w:sz="6" w:space="0"/>
              <w:bottom w:val="single" w:color="auto" w:sz="6" w:space="0"/>
              <w:right w:val="single" w:color="auto" w:sz="6" w:space="0"/>
            </w:tcBorders>
            <w:shd w:val="clear" w:color="auto" w:fill="auto"/>
          </w:tcPr>
          <w:p w:rsidRPr="00D37D41" w:rsidR="00F67708" w:rsidP="00F67708" w:rsidRDefault="00F67708" w14:paraId="67B427D8" w14:textId="77777777">
            <w:pPr>
              <w:spacing w:after="0" w:line="240" w:lineRule="auto"/>
              <w:textAlignment w:val="baseline"/>
              <w:rPr>
                <w:rFonts w:ascii="Calibri" w:hAnsi="Calibri" w:eastAsia="Times New Roman" w:cs="Segoe UI"/>
                <w:sz w:val="24"/>
                <w:szCs w:val="24"/>
              </w:rPr>
            </w:pPr>
          </w:p>
        </w:tc>
      </w:tr>
      <w:tr w:rsidRPr="00D37D41" w:rsidR="00F67708" w:rsidTr="00F67708" w14:paraId="078575C7" w14:textId="77777777">
        <w:trPr>
          <w:trHeight w:val="420"/>
        </w:trPr>
        <w:tc>
          <w:tcPr>
            <w:tcW w:w="1335" w:type="dxa"/>
            <w:tcBorders>
              <w:top w:val="single" w:color="auto" w:sz="6" w:space="0"/>
              <w:left w:val="single" w:color="000000" w:sz="6" w:space="0"/>
              <w:bottom w:val="single" w:color="auto" w:sz="6" w:space="0"/>
              <w:right w:val="single" w:color="000000" w:sz="6" w:space="0"/>
            </w:tcBorders>
            <w:shd w:val="clear" w:color="auto" w:fill="auto"/>
            <w:hideMark/>
          </w:tcPr>
          <w:p w:rsidRPr="00D37D41" w:rsidR="00F67708" w:rsidP="00F67708" w:rsidRDefault="00F67708" w14:paraId="37DCD652" w14:textId="77777777">
            <w:pPr>
              <w:spacing w:after="0" w:line="240" w:lineRule="auto"/>
              <w:textAlignment w:val="baseline"/>
              <w:rPr>
                <w:rFonts w:ascii="Calibri" w:hAnsi="Calibri" w:eastAsia="Times New Roman" w:cs="Segoe UI"/>
                <w:sz w:val="24"/>
                <w:szCs w:val="24"/>
              </w:rPr>
            </w:pPr>
          </w:p>
        </w:tc>
        <w:tc>
          <w:tcPr>
            <w:tcW w:w="1230" w:type="dxa"/>
            <w:tcBorders>
              <w:top w:val="single" w:color="auto" w:sz="6" w:space="0"/>
              <w:left w:val="nil"/>
              <w:bottom w:val="single" w:color="auto" w:sz="6" w:space="0"/>
              <w:right w:val="single" w:color="000000" w:sz="6" w:space="0"/>
            </w:tcBorders>
            <w:shd w:val="clear" w:color="auto" w:fill="auto"/>
          </w:tcPr>
          <w:p w:rsidRPr="00D37D41" w:rsidR="00F67708" w:rsidP="00F67708" w:rsidRDefault="00F67708" w14:paraId="2E16CD40" w14:textId="77777777">
            <w:pPr>
              <w:spacing w:after="0" w:line="240" w:lineRule="auto"/>
              <w:textAlignment w:val="baseline"/>
              <w:rPr>
                <w:rFonts w:ascii="Calibri" w:hAnsi="Calibri" w:eastAsia="Times New Roman" w:cs="Segoe UI"/>
                <w:sz w:val="24"/>
                <w:szCs w:val="24"/>
              </w:rPr>
            </w:pPr>
          </w:p>
        </w:tc>
        <w:tc>
          <w:tcPr>
            <w:tcW w:w="1170" w:type="dxa"/>
            <w:tcBorders>
              <w:top w:val="single" w:color="auto" w:sz="6" w:space="0"/>
              <w:left w:val="nil"/>
              <w:bottom w:val="single" w:color="auto" w:sz="6" w:space="0"/>
              <w:right w:val="single" w:color="000000" w:sz="6" w:space="0"/>
            </w:tcBorders>
            <w:shd w:val="clear" w:color="auto" w:fill="auto"/>
          </w:tcPr>
          <w:p w:rsidRPr="00D37D41" w:rsidR="00F67708" w:rsidP="00F67708" w:rsidRDefault="00F67708" w14:paraId="3BCCD256" w14:textId="77777777">
            <w:pPr>
              <w:spacing w:after="0" w:line="240" w:lineRule="auto"/>
              <w:textAlignment w:val="baseline"/>
              <w:rPr>
                <w:rFonts w:ascii="Calibri" w:hAnsi="Calibri" w:eastAsia="Times New Roman" w:cs="Segoe UI"/>
                <w:sz w:val="24"/>
                <w:szCs w:val="24"/>
              </w:rPr>
            </w:pPr>
          </w:p>
        </w:tc>
        <w:tc>
          <w:tcPr>
            <w:tcW w:w="2985" w:type="dxa"/>
            <w:tcBorders>
              <w:top w:val="single" w:color="auto" w:sz="6" w:space="0"/>
              <w:left w:val="nil"/>
              <w:bottom w:val="single" w:color="auto" w:sz="6" w:space="0"/>
              <w:right w:val="single" w:color="auto" w:sz="6" w:space="0"/>
            </w:tcBorders>
            <w:shd w:val="clear" w:color="auto" w:fill="auto"/>
          </w:tcPr>
          <w:p w:rsidRPr="00D37D41" w:rsidR="00F67708" w:rsidP="00F67708" w:rsidRDefault="00F67708" w14:paraId="3BAE0F06" w14:textId="77777777">
            <w:pPr>
              <w:spacing w:after="0" w:line="240" w:lineRule="auto"/>
              <w:textAlignment w:val="baseline"/>
              <w:rPr>
                <w:rFonts w:ascii="Calibri" w:hAnsi="Calibri" w:eastAsia="Times New Roman" w:cs="Segoe UI"/>
                <w:sz w:val="24"/>
                <w:szCs w:val="24"/>
              </w:rPr>
            </w:pPr>
          </w:p>
        </w:tc>
        <w:tc>
          <w:tcPr>
            <w:tcW w:w="3600" w:type="dxa"/>
            <w:tcBorders>
              <w:top w:val="single" w:color="auto" w:sz="6" w:space="0"/>
              <w:left w:val="single" w:color="auto" w:sz="6" w:space="0"/>
              <w:bottom w:val="single" w:color="auto" w:sz="6" w:space="0"/>
              <w:right w:val="single" w:color="000000" w:sz="6" w:space="0"/>
            </w:tcBorders>
            <w:shd w:val="clear" w:color="auto" w:fill="auto"/>
          </w:tcPr>
          <w:p w:rsidRPr="00D37D41" w:rsidR="00F67708" w:rsidP="00F67708" w:rsidRDefault="00F67708" w14:paraId="1F833498" w14:textId="77777777">
            <w:pPr>
              <w:spacing w:after="0" w:line="240" w:lineRule="auto"/>
              <w:textAlignment w:val="baseline"/>
              <w:rPr>
                <w:rFonts w:ascii="Calibri" w:hAnsi="Calibri" w:eastAsia="Times New Roman" w:cs="Segoe UI"/>
                <w:sz w:val="24"/>
                <w:szCs w:val="24"/>
              </w:rPr>
            </w:pPr>
          </w:p>
        </w:tc>
      </w:tr>
      <w:tr w:rsidRPr="00D37D41" w:rsidR="00F67708" w:rsidTr="00F67708" w14:paraId="67AD337C" w14:textId="77777777">
        <w:trPr>
          <w:trHeight w:val="420"/>
        </w:trPr>
        <w:tc>
          <w:tcPr>
            <w:tcW w:w="1335" w:type="dxa"/>
            <w:tcBorders>
              <w:top w:val="single" w:color="auto" w:sz="6" w:space="0"/>
              <w:left w:val="single" w:color="000000" w:sz="6" w:space="0"/>
              <w:bottom w:val="single" w:color="auto" w:sz="6" w:space="0"/>
              <w:right w:val="single" w:color="000000" w:sz="6" w:space="0"/>
            </w:tcBorders>
            <w:shd w:val="clear" w:color="auto" w:fill="auto"/>
            <w:hideMark/>
          </w:tcPr>
          <w:p w:rsidRPr="00D37D41" w:rsidR="00F67708" w:rsidP="00F67708" w:rsidRDefault="00F67708" w14:paraId="2603FC81" w14:textId="77777777">
            <w:pPr>
              <w:spacing w:after="0" w:line="240" w:lineRule="auto"/>
              <w:textAlignment w:val="baseline"/>
              <w:rPr>
                <w:rFonts w:ascii="Calibri" w:hAnsi="Calibri" w:eastAsia="Times New Roman" w:cs="Segoe UI"/>
                <w:sz w:val="24"/>
                <w:szCs w:val="24"/>
              </w:rPr>
            </w:pPr>
          </w:p>
        </w:tc>
        <w:tc>
          <w:tcPr>
            <w:tcW w:w="1230" w:type="dxa"/>
            <w:tcBorders>
              <w:top w:val="single" w:color="auto" w:sz="6" w:space="0"/>
              <w:left w:val="nil"/>
              <w:bottom w:val="single" w:color="auto" w:sz="6" w:space="0"/>
              <w:right w:val="single" w:color="000000" w:sz="6" w:space="0"/>
            </w:tcBorders>
            <w:shd w:val="clear" w:color="auto" w:fill="auto"/>
          </w:tcPr>
          <w:p w:rsidRPr="00D37D41" w:rsidR="00F67708" w:rsidP="00F67708" w:rsidRDefault="00F67708" w14:paraId="01FAB6F6" w14:textId="77777777">
            <w:pPr>
              <w:spacing w:after="0" w:line="240" w:lineRule="auto"/>
              <w:textAlignment w:val="baseline"/>
              <w:rPr>
                <w:rFonts w:ascii="Calibri" w:hAnsi="Calibri" w:eastAsia="Times New Roman" w:cs="Segoe UI"/>
                <w:sz w:val="24"/>
                <w:szCs w:val="24"/>
              </w:rPr>
            </w:pPr>
          </w:p>
        </w:tc>
        <w:tc>
          <w:tcPr>
            <w:tcW w:w="1170" w:type="dxa"/>
            <w:tcBorders>
              <w:top w:val="single" w:color="auto" w:sz="6" w:space="0"/>
              <w:left w:val="nil"/>
              <w:bottom w:val="single" w:color="auto" w:sz="6" w:space="0"/>
              <w:right w:val="single" w:color="000000" w:sz="6" w:space="0"/>
            </w:tcBorders>
            <w:shd w:val="clear" w:color="auto" w:fill="auto"/>
          </w:tcPr>
          <w:p w:rsidRPr="00D37D41" w:rsidR="00F67708" w:rsidP="00F67708" w:rsidRDefault="00F67708" w14:paraId="0A49A388" w14:textId="77777777">
            <w:pPr>
              <w:spacing w:after="0" w:line="240" w:lineRule="auto"/>
              <w:textAlignment w:val="baseline"/>
              <w:rPr>
                <w:rFonts w:ascii="Calibri" w:hAnsi="Calibri" w:eastAsia="Times New Roman" w:cs="Segoe UI"/>
                <w:sz w:val="24"/>
                <w:szCs w:val="24"/>
              </w:rPr>
            </w:pPr>
          </w:p>
        </w:tc>
        <w:tc>
          <w:tcPr>
            <w:tcW w:w="2985" w:type="dxa"/>
            <w:tcBorders>
              <w:top w:val="single" w:color="auto" w:sz="6" w:space="0"/>
              <w:left w:val="nil"/>
              <w:bottom w:val="single" w:color="auto" w:sz="6" w:space="0"/>
              <w:right w:val="single" w:color="auto" w:sz="6" w:space="0"/>
            </w:tcBorders>
            <w:shd w:val="clear" w:color="auto" w:fill="auto"/>
          </w:tcPr>
          <w:p w:rsidRPr="00D37D41" w:rsidR="00F67708" w:rsidP="00F67708" w:rsidRDefault="00F67708" w14:paraId="461359AC" w14:textId="77777777">
            <w:pPr>
              <w:spacing w:after="0" w:line="240" w:lineRule="auto"/>
              <w:textAlignment w:val="baseline"/>
              <w:rPr>
                <w:rFonts w:ascii="Calibri" w:hAnsi="Calibri" w:eastAsia="Times New Roman" w:cs="Segoe UI"/>
                <w:sz w:val="24"/>
                <w:szCs w:val="24"/>
              </w:rPr>
            </w:pPr>
          </w:p>
        </w:tc>
        <w:tc>
          <w:tcPr>
            <w:tcW w:w="3600" w:type="dxa"/>
            <w:tcBorders>
              <w:top w:val="single" w:color="auto" w:sz="6" w:space="0"/>
              <w:left w:val="single" w:color="auto" w:sz="6" w:space="0"/>
              <w:bottom w:val="single" w:color="auto" w:sz="6" w:space="0"/>
              <w:right w:val="single" w:color="000000" w:sz="6" w:space="0"/>
            </w:tcBorders>
            <w:shd w:val="clear" w:color="auto" w:fill="auto"/>
          </w:tcPr>
          <w:p w:rsidRPr="00D37D41" w:rsidR="00F67708" w:rsidP="00F67708" w:rsidRDefault="00F67708" w14:paraId="6F63EDF8" w14:textId="77777777">
            <w:pPr>
              <w:spacing w:after="0" w:line="240" w:lineRule="auto"/>
              <w:textAlignment w:val="baseline"/>
              <w:rPr>
                <w:rFonts w:ascii="Calibri" w:hAnsi="Calibri" w:eastAsia="Times New Roman" w:cs="Segoe UI"/>
                <w:sz w:val="24"/>
                <w:szCs w:val="24"/>
              </w:rPr>
            </w:pPr>
          </w:p>
        </w:tc>
      </w:tr>
      <w:tr w:rsidRPr="00D37D41" w:rsidR="00F67708" w:rsidTr="00F67708" w14:paraId="1BAD0460" w14:textId="77777777">
        <w:trPr>
          <w:trHeight w:val="420"/>
        </w:trPr>
        <w:tc>
          <w:tcPr>
            <w:tcW w:w="1335" w:type="dxa"/>
            <w:tcBorders>
              <w:top w:val="single" w:color="auto" w:sz="6" w:space="0"/>
              <w:left w:val="single" w:color="000000" w:sz="6" w:space="0"/>
              <w:bottom w:val="single" w:color="000000" w:sz="6" w:space="0"/>
              <w:right w:val="single" w:color="000000" w:sz="6" w:space="0"/>
            </w:tcBorders>
            <w:shd w:val="clear" w:color="auto" w:fill="auto"/>
            <w:hideMark/>
          </w:tcPr>
          <w:p w:rsidRPr="00D37D41" w:rsidR="00F67708" w:rsidP="00F67708" w:rsidRDefault="00F67708" w14:paraId="7A9D0791" w14:textId="77777777">
            <w:pPr>
              <w:spacing w:after="0" w:line="240" w:lineRule="auto"/>
              <w:textAlignment w:val="baseline"/>
              <w:rPr>
                <w:rFonts w:ascii="Calibri" w:hAnsi="Calibri" w:eastAsia="Times New Roman" w:cs="Segoe UI"/>
                <w:sz w:val="24"/>
                <w:szCs w:val="24"/>
              </w:rPr>
            </w:pPr>
          </w:p>
        </w:tc>
        <w:tc>
          <w:tcPr>
            <w:tcW w:w="1230" w:type="dxa"/>
            <w:tcBorders>
              <w:top w:val="single" w:color="auto" w:sz="6" w:space="0"/>
              <w:left w:val="nil"/>
              <w:bottom w:val="single" w:color="000000" w:sz="6" w:space="0"/>
              <w:right w:val="single" w:color="000000" w:sz="6" w:space="0"/>
            </w:tcBorders>
            <w:shd w:val="clear" w:color="auto" w:fill="auto"/>
          </w:tcPr>
          <w:p w:rsidRPr="00D37D41" w:rsidR="00F67708" w:rsidP="00F67708" w:rsidRDefault="00F67708" w14:paraId="7538389D" w14:textId="77777777">
            <w:pPr>
              <w:spacing w:after="0" w:line="240" w:lineRule="auto"/>
              <w:textAlignment w:val="baseline"/>
              <w:rPr>
                <w:rFonts w:ascii="Calibri" w:hAnsi="Calibri" w:eastAsia="Times New Roman" w:cs="Segoe UI"/>
                <w:sz w:val="24"/>
                <w:szCs w:val="24"/>
              </w:rPr>
            </w:pPr>
          </w:p>
        </w:tc>
        <w:tc>
          <w:tcPr>
            <w:tcW w:w="1170" w:type="dxa"/>
            <w:tcBorders>
              <w:top w:val="single" w:color="auto" w:sz="6" w:space="0"/>
              <w:left w:val="nil"/>
              <w:bottom w:val="single" w:color="000000" w:sz="6" w:space="0"/>
              <w:right w:val="single" w:color="000000" w:sz="6" w:space="0"/>
            </w:tcBorders>
            <w:shd w:val="clear" w:color="auto" w:fill="auto"/>
          </w:tcPr>
          <w:p w:rsidRPr="00D37D41" w:rsidR="00F67708" w:rsidP="00F67708" w:rsidRDefault="00F67708" w14:paraId="08E0D174" w14:textId="77777777">
            <w:pPr>
              <w:spacing w:after="0" w:line="240" w:lineRule="auto"/>
              <w:textAlignment w:val="baseline"/>
              <w:rPr>
                <w:rFonts w:ascii="Calibri" w:hAnsi="Calibri" w:eastAsia="Times New Roman" w:cs="Segoe UI"/>
                <w:sz w:val="24"/>
                <w:szCs w:val="24"/>
              </w:rPr>
            </w:pPr>
          </w:p>
        </w:tc>
        <w:tc>
          <w:tcPr>
            <w:tcW w:w="2985" w:type="dxa"/>
            <w:tcBorders>
              <w:top w:val="single" w:color="auto" w:sz="6" w:space="0"/>
              <w:left w:val="nil"/>
              <w:bottom w:val="single" w:color="000000" w:sz="6" w:space="0"/>
              <w:right w:val="single" w:color="auto" w:sz="6" w:space="0"/>
            </w:tcBorders>
            <w:shd w:val="clear" w:color="auto" w:fill="auto"/>
          </w:tcPr>
          <w:p w:rsidRPr="00D37D41" w:rsidR="00F67708" w:rsidP="00F67708" w:rsidRDefault="00F67708" w14:paraId="33D010B4" w14:textId="77777777">
            <w:pPr>
              <w:spacing w:after="0" w:line="240" w:lineRule="auto"/>
              <w:textAlignment w:val="baseline"/>
              <w:rPr>
                <w:rFonts w:ascii="Calibri" w:hAnsi="Calibri" w:eastAsia="Times New Roman" w:cs="Segoe UI"/>
                <w:sz w:val="24"/>
                <w:szCs w:val="24"/>
              </w:rPr>
            </w:pPr>
          </w:p>
        </w:tc>
        <w:tc>
          <w:tcPr>
            <w:tcW w:w="3600" w:type="dxa"/>
            <w:tcBorders>
              <w:top w:val="single" w:color="auto" w:sz="6" w:space="0"/>
              <w:left w:val="single" w:color="auto" w:sz="6" w:space="0"/>
              <w:bottom w:val="single" w:color="000000" w:sz="6" w:space="0"/>
              <w:right w:val="single" w:color="000000" w:sz="6" w:space="0"/>
            </w:tcBorders>
            <w:shd w:val="clear" w:color="auto" w:fill="auto"/>
          </w:tcPr>
          <w:p w:rsidRPr="00D37D41" w:rsidR="00F67708" w:rsidP="00F67708" w:rsidRDefault="00F67708" w14:paraId="501DA0C2" w14:textId="77777777">
            <w:pPr>
              <w:spacing w:after="0" w:line="240" w:lineRule="auto"/>
              <w:textAlignment w:val="baseline"/>
              <w:rPr>
                <w:rFonts w:ascii="Calibri" w:hAnsi="Calibri" w:eastAsia="Times New Roman" w:cs="Segoe UI"/>
                <w:sz w:val="24"/>
                <w:szCs w:val="24"/>
              </w:rPr>
            </w:pPr>
          </w:p>
        </w:tc>
      </w:tr>
    </w:tbl>
    <w:p w:rsidRPr="00BB2551" w:rsidR="00D14475" w:rsidP="00F67708" w:rsidRDefault="00D14475" w14:paraId="75399052" w14:textId="7F97B3D5"/>
    <w:sectPr w:rsidRPr="00BB2551" w:rsidR="00D1447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D74E" w14:textId="77777777" w:rsidR="00310288" w:rsidRDefault="00310288" w:rsidP="00DF3C2E">
      <w:pPr>
        <w:spacing w:after="0" w:line="240" w:lineRule="auto"/>
      </w:pPr>
      <w:r>
        <w:separator/>
      </w:r>
    </w:p>
  </w:endnote>
  <w:endnote w:type="continuationSeparator" w:id="0">
    <w:p w14:paraId="47BB3765" w14:textId="77777777" w:rsidR="00310288" w:rsidRDefault="00310288" w:rsidP="00DF3C2E">
      <w:pPr>
        <w:spacing w:after="0" w:line="240" w:lineRule="auto"/>
      </w:pPr>
      <w:r>
        <w:continuationSeparator/>
      </w:r>
    </w:p>
  </w:endnote>
  <w:endnote w:type="continuationNotice" w:id="1">
    <w:p w14:paraId="2BDA4A46" w14:textId="77777777" w:rsidR="00310288" w:rsidRDefault="00310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4F40" w14:textId="77777777" w:rsidR="00924DD2" w:rsidRDefault="0092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075402"/>
      <w:docPartObj>
        <w:docPartGallery w:val="Page Numbers (Bottom of Page)"/>
        <w:docPartUnique/>
      </w:docPartObj>
    </w:sdtPr>
    <w:sdtEndPr>
      <w:rPr>
        <w:noProof/>
      </w:rPr>
    </w:sdtEndPr>
    <w:sdtContent>
      <w:p w14:paraId="2246293D" w14:textId="7EFA2C9F" w:rsidR="005471C3" w:rsidRDefault="00547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6F706" w14:textId="77777777" w:rsidR="005471C3" w:rsidRDefault="00547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8936" w14:textId="77777777" w:rsidR="00924DD2" w:rsidRDefault="0092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63C64" w14:textId="77777777" w:rsidR="00310288" w:rsidRDefault="00310288" w:rsidP="00DF3C2E">
      <w:pPr>
        <w:spacing w:after="0" w:line="240" w:lineRule="auto"/>
      </w:pPr>
      <w:r>
        <w:separator/>
      </w:r>
    </w:p>
  </w:footnote>
  <w:footnote w:type="continuationSeparator" w:id="0">
    <w:p w14:paraId="1A4F23B0" w14:textId="77777777" w:rsidR="00310288" w:rsidRDefault="00310288" w:rsidP="00DF3C2E">
      <w:pPr>
        <w:spacing w:after="0" w:line="240" w:lineRule="auto"/>
      </w:pPr>
      <w:r>
        <w:continuationSeparator/>
      </w:r>
    </w:p>
  </w:footnote>
  <w:footnote w:type="continuationNotice" w:id="1">
    <w:p w14:paraId="7A2DB2BE" w14:textId="77777777" w:rsidR="00310288" w:rsidRDefault="00310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6046" w14:textId="77777777" w:rsidR="00924DD2" w:rsidRDefault="00924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AD68" w14:textId="16E85364" w:rsidR="005471C3" w:rsidRDefault="005471C3">
    <w:pPr>
      <w:pStyle w:val="Header"/>
    </w:pPr>
    <w:r>
      <w:t>Manual of Procedures, PFAS/viral infection, v1.0</w:t>
    </w:r>
  </w:p>
  <w:p w14:paraId="69D3E94F" w14:textId="3243EA6C" w:rsidR="005471C3" w:rsidRDefault="005471C3">
    <w:pPr>
      <w:pStyle w:val="Header"/>
    </w:pPr>
    <w:r>
      <w:t xml:space="preserve">Last Revised: </w:t>
    </w:r>
    <w:r w:rsidR="00990E1C">
      <w:t>January 3,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C55E6" w14:textId="77777777" w:rsidR="00924DD2" w:rsidRDefault="00924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5467"/>
    <w:multiLevelType w:val="hybridMultilevel"/>
    <w:tmpl w:val="521E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15728"/>
    <w:multiLevelType w:val="hybridMultilevel"/>
    <w:tmpl w:val="B092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6357"/>
    <w:multiLevelType w:val="hybridMultilevel"/>
    <w:tmpl w:val="AD6ED5C0"/>
    <w:lvl w:ilvl="0" w:tplc="A43E60B2">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931F0"/>
    <w:multiLevelType w:val="multilevel"/>
    <w:tmpl w:val="0B96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752A8"/>
    <w:multiLevelType w:val="multilevel"/>
    <w:tmpl w:val="9228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C68DA"/>
    <w:multiLevelType w:val="multilevel"/>
    <w:tmpl w:val="A27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466BF"/>
    <w:multiLevelType w:val="hybridMultilevel"/>
    <w:tmpl w:val="17E8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E51D1"/>
    <w:multiLevelType w:val="hybridMultilevel"/>
    <w:tmpl w:val="1A2A1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1E5E60"/>
    <w:multiLevelType w:val="multilevel"/>
    <w:tmpl w:val="995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0B6B08"/>
    <w:multiLevelType w:val="multilevel"/>
    <w:tmpl w:val="35D204CA"/>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0" w15:restartNumberingAfterBreak="0">
    <w:nsid w:val="354B48AC"/>
    <w:multiLevelType w:val="multilevel"/>
    <w:tmpl w:val="431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021167"/>
    <w:multiLevelType w:val="hybridMultilevel"/>
    <w:tmpl w:val="8FE4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2D6133"/>
    <w:multiLevelType w:val="multilevel"/>
    <w:tmpl w:val="6AAE22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B8D5750"/>
    <w:multiLevelType w:val="multilevel"/>
    <w:tmpl w:val="B07E5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C63765"/>
    <w:multiLevelType w:val="multilevel"/>
    <w:tmpl w:val="9B16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65309"/>
    <w:multiLevelType w:val="multilevel"/>
    <w:tmpl w:val="9F58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A40536"/>
    <w:multiLevelType w:val="multilevel"/>
    <w:tmpl w:val="366AE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FB0286"/>
    <w:multiLevelType w:val="multilevel"/>
    <w:tmpl w:val="EB9A27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765BC4"/>
    <w:multiLevelType w:val="multilevel"/>
    <w:tmpl w:val="61742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7D1E40"/>
    <w:multiLevelType w:val="multilevel"/>
    <w:tmpl w:val="76F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E30AAE"/>
    <w:multiLevelType w:val="multilevel"/>
    <w:tmpl w:val="61E4CED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50A2980"/>
    <w:multiLevelType w:val="multilevel"/>
    <w:tmpl w:val="900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9124AE"/>
    <w:multiLevelType w:val="multilevel"/>
    <w:tmpl w:val="A84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95F36"/>
    <w:multiLevelType w:val="multilevel"/>
    <w:tmpl w:val="A69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F4375F"/>
    <w:multiLevelType w:val="multilevel"/>
    <w:tmpl w:val="EC3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0A1072"/>
    <w:multiLevelType w:val="hybridMultilevel"/>
    <w:tmpl w:val="99BC3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44ACA"/>
    <w:multiLevelType w:val="multilevel"/>
    <w:tmpl w:val="D80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F85F7F"/>
    <w:multiLevelType w:val="multilevel"/>
    <w:tmpl w:val="C804F94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87468FC"/>
    <w:multiLevelType w:val="hybridMultilevel"/>
    <w:tmpl w:val="A678D0F8"/>
    <w:lvl w:ilvl="0" w:tplc="04090001">
      <w:start w:val="1"/>
      <w:numFmt w:val="bullet"/>
      <w:lvlText w:val=""/>
      <w:lvlJc w:val="left"/>
      <w:pPr>
        <w:tabs>
          <w:tab w:val="num" w:pos="864"/>
        </w:tabs>
        <w:ind w:left="86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F948B9"/>
    <w:multiLevelType w:val="hybridMultilevel"/>
    <w:tmpl w:val="2738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717EC"/>
    <w:multiLevelType w:val="multilevel"/>
    <w:tmpl w:val="BB6A4D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5963B8"/>
    <w:multiLevelType w:val="multilevel"/>
    <w:tmpl w:val="1726569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5D70F53"/>
    <w:multiLevelType w:val="multilevel"/>
    <w:tmpl w:val="4770E24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7EF5253"/>
    <w:multiLevelType w:val="multilevel"/>
    <w:tmpl w:val="1A98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657C14"/>
    <w:multiLevelType w:val="multilevel"/>
    <w:tmpl w:val="CC9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813E2"/>
    <w:multiLevelType w:val="hybridMultilevel"/>
    <w:tmpl w:val="EE3E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3"/>
  </w:num>
  <w:num w:numId="4">
    <w:abstractNumId w:val="30"/>
  </w:num>
  <w:num w:numId="5">
    <w:abstractNumId w:val="11"/>
  </w:num>
  <w:num w:numId="6">
    <w:abstractNumId w:val="12"/>
  </w:num>
  <w:num w:numId="7">
    <w:abstractNumId w:val="9"/>
  </w:num>
  <w:num w:numId="8">
    <w:abstractNumId w:val="7"/>
  </w:num>
  <w:num w:numId="9">
    <w:abstractNumId w:val="25"/>
  </w:num>
  <w:num w:numId="10">
    <w:abstractNumId w:val="29"/>
  </w:num>
  <w:num w:numId="11">
    <w:abstractNumId w:val="10"/>
  </w:num>
  <w:num w:numId="12">
    <w:abstractNumId w:val="24"/>
  </w:num>
  <w:num w:numId="13">
    <w:abstractNumId w:val="4"/>
  </w:num>
  <w:num w:numId="14">
    <w:abstractNumId w:val="3"/>
  </w:num>
  <w:num w:numId="15">
    <w:abstractNumId w:val="21"/>
  </w:num>
  <w:num w:numId="16">
    <w:abstractNumId w:val="15"/>
  </w:num>
  <w:num w:numId="17">
    <w:abstractNumId w:val="26"/>
  </w:num>
  <w:num w:numId="18">
    <w:abstractNumId w:val="20"/>
  </w:num>
  <w:num w:numId="19">
    <w:abstractNumId w:val="16"/>
  </w:num>
  <w:num w:numId="20">
    <w:abstractNumId w:val="17"/>
  </w:num>
  <w:num w:numId="21">
    <w:abstractNumId w:val="2"/>
  </w:num>
  <w:num w:numId="22">
    <w:abstractNumId w:val="34"/>
  </w:num>
  <w:num w:numId="23">
    <w:abstractNumId w:val="8"/>
  </w:num>
  <w:num w:numId="24">
    <w:abstractNumId w:val="23"/>
  </w:num>
  <w:num w:numId="25">
    <w:abstractNumId w:val="5"/>
  </w:num>
  <w:num w:numId="26">
    <w:abstractNumId w:val="19"/>
  </w:num>
  <w:num w:numId="27">
    <w:abstractNumId w:val="22"/>
  </w:num>
  <w:num w:numId="28">
    <w:abstractNumId w:val="14"/>
  </w:num>
  <w:num w:numId="29">
    <w:abstractNumId w:val="27"/>
  </w:num>
  <w:num w:numId="30">
    <w:abstractNumId w:val="32"/>
  </w:num>
  <w:num w:numId="31">
    <w:abstractNumId w:val="6"/>
  </w:num>
  <w:num w:numId="32">
    <w:abstractNumId w:val="0"/>
  </w:num>
  <w:num w:numId="33">
    <w:abstractNumId w:val="1"/>
  </w:num>
  <w:num w:numId="34">
    <w:abstractNumId w:val="28"/>
  </w:num>
  <w:num w:numId="35">
    <w:abstractNumId w:val="31"/>
  </w:num>
  <w:num w:numId="3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76"/>
    <w:rsid w:val="00001D08"/>
    <w:rsid w:val="00001E05"/>
    <w:rsid w:val="0000336D"/>
    <w:rsid w:val="00003D30"/>
    <w:rsid w:val="00012098"/>
    <w:rsid w:val="00013A5D"/>
    <w:rsid w:val="00017A01"/>
    <w:rsid w:val="00023034"/>
    <w:rsid w:val="00027C54"/>
    <w:rsid w:val="0003080B"/>
    <w:rsid w:val="00031450"/>
    <w:rsid w:val="00043DB3"/>
    <w:rsid w:val="00044762"/>
    <w:rsid w:val="00046EC8"/>
    <w:rsid w:val="00054D64"/>
    <w:rsid w:val="00065E8E"/>
    <w:rsid w:val="0007782E"/>
    <w:rsid w:val="00077FC9"/>
    <w:rsid w:val="000A3524"/>
    <w:rsid w:val="000B7EF6"/>
    <w:rsid w:val="000C192E"/>
    <w:rsid w:val="000C4353"/>
    <w:rsid w:val="000D25A8"/>
    <w:rsid w:val="000D2C21"/>
    <w:rsid w:val="000E734D"/>
    <w:rsid w:val="00100DB8"/>
    <w:rsid w:val="00104F93"/>
    <w:rsid w:val="00105F27"/>
    <w:rsid w:val="00107F80"/>
    <w:rsid w:val="001124B3"/>
    <w:rsid w:val="001312A0"/>
    <w:rsid w:val="00134975"/>
    <w:rsid w:val="0013627E"/>
    <w:rsid w:val="001373A0"/>
    <w:rsid w:val="00137C1C"/>
    <w:rsid w:val="00142A2B"/>
    <w:rsid w:val="00144508"/>
    <w:rsid w:val="00150C63"/>
    <w:rsid w:val="00153AED"/>
    <w:rsid w:val="0015536D"/>
    <w:rsid w:val="00165FA4"/>
    <w:rsid w:val="001870CD"/>
    <w:rsid w:val="00187A1A"/>
    <w:rsid w:val="00195AE1"/>
    <w:rsid w:val="001A221F"/>
    <w:rsid w:val="001A496A"/>
    <w:rsid w:val="001A7B91"/>
    <w:rsid w:val="001C292D"/>
    <w:rsid w:val="001C40D4"/>
    <w:rsid w:val="001E307A"/>
    <w:rsid w:val="001F0B1B"/>
    <w:rsid w:val="001F0D0E"/>
    <w:rsid w:val="001F22E9"/>
    <w:rsid w:val="001F4A34"/>
    <w:rsid w:val="001F716A"/>
    <w:rsid w:val="0020338F"/>
    <w:rsid w:val="00203C33"/>
    <w:rsid w:val="002041FA"/>
    <w:rsid w:val="00204341"/>
    <w:rsid w:val="00207424"/>
    <w:rsid w:val="002145BD"/>
    <w:rsid w:val="002146C2"/>
    <w:rsid w:val="00220C19"/>
    <w:rsid w:val="00221EB1"/>
    <w:rsid w:val="00225857"/>
    <w:rsid w:val="0022696F"/>
    <w:rsid w:val="00233253"/>
    <w:rsid w:val="00242EE0"/>
    <w:rsid w:val="0025497C"/>
    <w:rsid w:val="002610A9"/>
    <w:rsid w:val="00273085"/>
    <w:rsid w:val="002823C1"/>
    <w:rsid w:val="002849E2"/>
    <w:rsid w:val="00286AB5"/>
    <w:rsid w:val="0029294F"/>
    <w:rsid w:val="00292F55"/>
    <w:rsid w:val="00293D8B"/>
    <w:rsid w:val="00293DC5"/>
    <w:rsid w:val="002A3E2F"/>
    <w:rsid w:val="002D096B"/>
    <w:rsid w:val="002D1276"/>
    <w:rsid w:val="002D3CF1"/>
    <w:rsid w:val="002D5097"/>
    <w:rsid w:val="002E5A0D"/>
    <w:rsid w:val="002E5EFE"/>
    <w:rsid w:val="002E710B"/>
    <w:rsid w:val="002F2B39"/>
    <w:rsid w:val="002F7896"/>
    <w:rsid w:val="00304BFD"/>
    <w:rsid w:val="00310288"/>
    <w:rsid w:val="0033139B"/>
    <w:rsid w:val="0034367D"/>
    <w:rsid w:val="00345AA5"/>
    <w:rsid w:val="003531B7"/>
    <w:rsid w:val="00354D2A"/>
    <w:rsid w:val="003611A9"/>
    <w:rsid w:val="003621A7"/>
    <w:rsid w:val="003650AD"/>
    <w:rsid w:val="0037458B"/>
    <w:rsid w:val="00374D13"/>
    <w:rsid w:val="00374DCD"/>
    <w:rsid w:val="00383646"/>
    <w:rsid w:val="00384EFF"/>
    <w:rsid w:val="0038728D"/>
    <w:rsid w:val="00392836"/>
    <w:rsid w:val="003960CC"/>
    <w:rsid w:val="003A2C91"/>
    <w:rsid w:val="003A3790"/>
    <w:rsid w:val="003B0AFB"/>
    <w:rsid w:val="003B2B84"/>
    <w:rsid w:val="003B5562"/>
    <w:rsid w:val="003C207F"/>
    <w:rsid w:val="003C4850"/>
    <w:rsid w:val="003C7FE6"/>
    <w:rsid w:val="003D34A9"/>
    <w:rsid w:val="003E7072"/>
    <w:rsid w:val="003F04BF"/>
    <w:rsid w:val="003F2A69"/>
    <w:rsid w:val="003F58E2"/>
    <w:rsid w:val="0040050A"/>
    <w:rsid w:val="004165AE"/>
    <w:rsid w:val="00447E92"/>
    <w:rsid w:val="00451B7C"/>
    <w:rsid w:val="00457B02"/>
    <w:rsid w:val="004636FC"/>
    <w:rsid w:val="00470FBD"/>
    <w:rsid w:val="0047467C"/>
    <w:rsid w:val="00481892"/>
    <w:rsid w:val="00487375"/>
    <w:rsid w:val="00490C70"/>
    <w:rsid w:val="00495BC1"/>
    <w:rsid w:val="004B11C4"/>
    <w:rsid w:val="004B1A26"/>
    <w:rsid w:val="004B2044"/>
    <w:rsid w:val="004C0AB6"/>
    <w:rsid w:val="004C0F69"/>
    <w:rsid w:val="004C125B"/>
    <w:rsid w:val="004D56A7"/>
    <w:rsid w:val="004D626A"/>
    <w:rsid w:val="005040E2"/>
    <w:rsid w:val="00506AFB"/>
    <w:rsid w:val="00507F50"/>
    <w:rsid w:val="00516D91"/>
    <w:rsid w:val="0053107D"/>
    <w:rsid w:val="005339F3"/>
    <w:rsid w:val="00534C2A"/>
    <w:rsid w:val="00540981"/>
    <w:rsid w:val="005444E0"/>
    <w:rsid w:val="005471C3"/>
    <w:rsid w:val="005557BD"/>
    <w:rsid w:val="00555DDE"/>
    <w:rsid w:val="00556594"/>
    <w:rsid w:val="0056059C"/>
    <w:rsid w:val="00572758"/>
    <w:rsid w:val="005748C3"/>
    <w:rsid w:val="005769B2"/>
    <w:rsid w:val="00581A46"/>
    <w:rsid w:val="00582B89"/>
    <w:rsid w:val="00585602"/>
    <w:rsid w:val="005941B2"/>
    <w:rsid w:val="00594E38"/>
    <w:rsid w:val="00597734"/>
    <w:rsid w:val="005A44AB"/>
    <w:rsid w:val="005A5982"/>
    <w:rsid w:val="005A6ECF"/>
    <w:rsid w:val="005B0B34"/>
    <w:rsid w:val="005B107A"/>
    <w:rsid w:val="005C0340"/>
    <w:rsid w:val="005C0F18"/>
    <w:rsid w:val="005C73A8"/>
    <w:rsid w:val="005D0E35"/>
    <w:rsid w:val="005F774E"/>
    <w:rsid w:val="00600B8B"/>
    <w:rsid w:val="00610758"/>
    <w:rsid w:val="0062310B"/>
    <w:rsid w:val="00634552"/>
    <w:rsid w:val="00656376"/>
    <w:rsid w:val="00664B0D"/>
    <w:rsid w:val="006719F5"/>
    <w:rsid w:val="006751F0"/>
    <w:rsid w:val="006758EA"/>
    <w:rsid w:val="00680832"/>
    <w:rsid w:val="006843CD"/>
    <w:rsid w:val="00684F51"/>
    <w:rsid w:val="00685324"/>
    <w:rsid w:val="0068620A"/>
    <w:rsid w:val="006869C9"/>
    <w:rsid w:val="00687070"/>
    <w:rsid w:val="0069152C"/>
    <w:rsid w:val="006952D0"/>
    <w:rsid w:val="006C4E70"/>
    <w:rsid w:val="006E02AE"/>
    <w:rsid w:val="006F1122"/>
    <w:rsid w:val="006F6BA9"/>
    <w:rsid w:val="00701E11"/>
    <w:rsid w:val="0073501D"/>
    <w:rsid w:val="007413D5"/>
    <w:rsid w:val="00745370"/>
    <w:rsid w:val="00762ED3"/>
    <w:rsid w:val="00773B87"/>
    <w:rsid w:val="0077443D"/>
    <w:rsid w:val="00774B77"/>
    <w:rsid w:val="0078139D"/>
    <w:rsid w:val="00782D74"/>
    <w:rsid w:val="00784116"/>
    <w:rsid w:val="00797ED6"/>
    <w:rsid w:val="007B48BD"/>
    <w:rsid w:val="007B5BF0"/>
    <w:rsid w:val="007C1C66"/>
    <w:rsid w:val="007C1C91"/>
    <w:rsid w:val="007C2526"/>
    <w:rsid w:val="007C3320"/>
    <w:rsid w:val="007C4C6F"/>
    <w:rsid w:val="007C4C9B"/>
    <w:rsid w:val="007D4A06"/>
    <w:rsid w:val="007D5416"/>
    <w:rsid w:val="007D65A5"/>
    <w:rsid w:val="007E50CF"/>
    <w:rsid w:val="00801A16"/>
    <w:rsid w:val="00812CC2"/>
    <w:rsid w:val="00813447"/>
    <w:rsid w:val="00813E78"/>
    <w:rsid w:val="00814F32"/>
    <w:rsid w:val="00816EFC"/>
    <w:rsid w:val="00821B8C"/>
    <w:rsid w:val="00823E05"/>
    <w:rsid w:val="008256B0"/>
    <w:rsid w:val="0083651D"/>
    <w:rsid w:val="008454DF"/>
    <w:rsid w:val="00850CA3"/>
    <w:rsid w:val="0086681F"/>
    <w:rsid w:val="00887360"/>
    <w:rsid w:val="008C1F87"/>
    <w:rsid w:val="008C55A3"/>
    <w:rsid w:val="008D731C"/>
    <w:rsid w:val="008F0A56"/>
    <w:rsid w:val="008F7E89"/>
    <w:rsid w:val="00901DC8"/>
    <w:rsid w:val="00906AD5"/>
    <w:rsid w:val="00923042"/>
    <w:rsid w:val="00924DD2"/>
    <w:rsid w:val="0092755A"/>
    <w:rsid w:val="00930CE9"/>
    <w:rsid w:val="00941E26"/>
    <w:rsid w:val="009530A8"/>
    <w:rsid w:val="009561CD"/>
    <w:rsid w:val="00971277"/>
    <w:rsid w:val="0097146A"/>
    <w:rsid w:val="00982060"/>
    <w:rsid w:val="00990E1C"/>
    <w:rsid w:val="009914B9"/>
    <w:rsid w:val="009964FE"/>
    <w:rsid w:val="009A0C5F"/>
    <w:rsid w:val="009A3748"/>
    <w:rsid w:val="009A4AA5"/>
    <w:rsid w:val="009B1931"/>
    <w:rsid w:val="009B5D85"/>
    <w:rsid w:val="009B7B0A"/>
    <w:rsid w:val="009E332D"/>
    <w:rsid w:val="009F7140"/>
    <w:rsid w:val="00A00FD7"/>
    <w:rsid w:val="00A17342"/>
    <w:rsid w:val="00A323D5"/>
    <w:rsid w:val="00A329B0"/>
    <w:rsid w:val="00A43CA4"/>
    <w:rsid w:val="00A47C6E"/>
    <w:rsid w:val="00A63E29"/>
    <w:rsid w:val="00A648E3"/>
    <w:rsid w:val="00A6490A"/>
    <w:rsid w:val="00A677C4"/>
    <w:rsid w:val="00A67D7B"/>
    <w:rsid w:val="00A70E9C"/>
    <w:rsid w:val="00A74198"/>
    <w:rsid w:val="00A76880"/>
    <w:rsid w:val="00A77A49"/>
    <w:rsid w:val="00A934F2"/>
    <w:rsid w:val="00AA51CA"/>
    <w:rsid w:val="00AA6708"/>
    <w:rsid w:val="00AD23B2"/>
    <w:rsid w:val="00AD6F21"/>
    <w:rsid w:val="00AD7AD3"/>
    <w:rsid w:val="00AE6C12"/>
    <w:rsid w:val="00AF079D"/>
    <w:rsid w:val="00AF4B9B"/>
    <w:rsid w:val="00B00433"/>
    <w:rsid w:val="00B01AC5"/>
    <w:rsid w:val="00B01B6F"/>
    <w:rsid w:val="00B0461B"/>
    <w:rsid w:val="00B06973"/>
    <w:rsid w:val="00B148DD"/>
    <w:rsid w:val="00B34923"/>
    <w:rsid w:val="00B37B0B"/>
    <w:rsid w:val="00B4217A"/>
    <w:rsid w:val="00B767AE"/>
    <w:rsid w:val="00B80F0F"/>
    <w:rsid w:val="00B8423C"/>
    <w:rsid w:val="00B903D9"/>
    <w:rsid w:val="00B973D0"/>
    <w:rsid w:val="00B97E52"/>
    <w:rsid w:val="00BA715C"/>
    <w:rsid w:val="00BB0F4E"/>
    <w:rsid w:val="00BB1908"/>
    <w:rsid w:val="00BB1D73"/>
    <w:rsid w:val="00BB2551"/>
    <w:rsid w:val="00BB4152"/>
    <w:rsid w:val="00BC0619"/>
    <w:rsid w:val="00BC7E47"/>
    <w:rsid w:val="00BD0199"/>
    <w:rsid w:val="00BD5345"/>
    <w:rsid w:val="00BD648F"/>
    <w:rsid w:val="00BE0C47"/>
    <w:rsid w:val="00BE213D"/>
    <w:rsid w:val="00BE682A"/>
    <w:rsid w:val="00BF6D8B"/>
    <w:rsid w:val="00C04ACB"/>
    <w:rsid w:val="00C06575"/>
    <w:rsid w:val="00C140DB"/>
    <w:rsid w:val="00C3726E"/>
    <w:rsid w:val="00C418E1"/>
    <w:rsid w:val="00C43D88"/>
    <w:rsid w:val="00C4649A"/>
    <w:rsid w:val="00C5051C"/>
    <w:rsid w:val="00C543D8"/>
    <w:rsid w:val="00C56062"/>
    <w:rsid w:val="00C56FB3"/>
    <w:rsid w:val="00C5758E"/>
    <w:rsid w:val="00C649A0"/>
    <w:rsid w:val="00C661AB"/>
    <w:rsid w:val="00C903A1"/>
    <w:rsid w:val="00C97B3B"/>
    <w:rsid w:val="00CB462B"/>
    <w:rsid w:val="00CB4E08"/>
    <w:rsid w:val="00CF6C97"/>
    <w:rsid w:val="00CF7728"/>
    <w:rsid w:val="00D01468"/>
    <w:rsid w:val="00D03960"/>
    <w:rsid w:val="00D14475"/>
    <w:rsid w:val="00D14FE1"/>
    <w:rsid w:val="00D16B66"/>
    <w:rsid w:val="00D20C7E"/>
    <w:rsid w:val="00D37D41"/>
    <w:rsid w:val="00D47DA1"/>
    <w:rsid w:val="00D50DB9"/>
    <w:rsid w:val="00D5361E"/>
    <w:rsid w:val="00D5787F"/>
    <w:rsid w:val="00D6705C"/>
    <w:rsid w:val="00D76C34"/>
    <w:rsid w:val="00D8234F"/>
    <w:rsid w:val="00D85744"/>
    <w:rsid w:val="00D87409"/>
    <w:rsid w:val="00D95A9A"/>
    <w:rsid w:val="00D974E8"/>
    <w:rsid w:val="00DA1A54"/>
    <w:rsid w:val="00DB3AB0"/>
    <w:rsid w:val="00DD4A87"/>
    <w:rsid w:val="00DE4E86"/>
    <w:rsid w:val="00DE5278"/>
    <w:rsid w:val="00DE6498"/>
    <w:rsid w:val="00DE73D2"/>
    <w:rsid w:val="00DF2D57"/>
    <w:rsid w:val="00DF3C2E"/>
    <w:rsid w:val="00DF3C31"/>
    <w:rsid w:val="00E024D6"/>
    <w:rsid w:val="00E03D78"/>
    <w:rsid w:val="00E03F8F"/>
    <w:rsid w:val="00E04952"/>
    <w:rsid w:val="00E073D4"/>
    <w:rsid w:val="00E32E8C"/>
    <w:rsid w:val="00E37738"/>
    <w:rsid w:val="00E4178B"/>
    <w:rsid w:val="00E457DF"/>
    <w:rsid w:val="00E50E31"/>
    <w:rsid w:val="00E57C0F"/>
    <w:rsid w:val="00E67351"/>
    <w:rsid w:val="00E81E1E"/>
    <w:rsid w:val="00E83B44"/>
    <w:rsid w:val="00EA08D0"/>
    <w:rsid w:val="00EA3A68"/>
    <w:rsid w:val="00EA568F"/>
    <w:rsid w:val="00EC0479"/>
    <w:rsid w:val="00EC245B"/>
    <w:rsid w:val="00EC256E"/>
    <w:rsid w:val="00ED7B0A"/>
    <w:rsid w:val="00EE1A30"/>
    <w:rsid w:val="00EE6474"/>
    <w:rsid w:val="00EE74E1"/>
    <w:rsid w:val="00EF26DD"/>
    <w:rsid w:val="00EF275E"/>
    <w:rsid w:val="00EF525B"/>
    <w:rsid w:val="00EF56C3"/>
    <w:rsid w:val="00F073BD"/>
    <w:rsid w:val="00F112AC"/>
    <w:rsid w:val="00F2135A"/>
    <w:rsid w:val="00F3524D"/>
    <w:rsid w:val="00F42A2E"/>
    <w:rsid w:val="00F5320F"/>
    <w:rsid w:val="00F67708"/>
    <w:rsid w:val="00F80209"/>
    <w:rsid w:val="00F83B2F"/>
    <w:rsid w:val="00F83CE4"/>
    <w:rsid w:val="00F90F8D"/>
    <w:rsid w:val="00FA0EB4"/>
    <w:rsid w:val="00FB51E0"/>
    <w:rsid w:val="00FB756F"/>
    <w:rsid w:val="00FC176B"/>
    <w:rsid w:val="00FC597C"/>
    <w:rsid w:val="00FD455B"/>
    <w:rsid w:val="00FD5E12"/>
    <w:rsid w:val="00FD6C40"/>
    <w:rsid w:val="00FE2A91"/>
    <w:rsid w:val="00FE3BC5"/>
    <w:rsid w:val="00FE5813"/>
    <w:rsid w:val="00FE7F4A"/>
    <w:rsid w:val="00FF0AE8"/>
    <w:rsid w:val="00FF0F4A"/>
    <w:rsid w:val="00FF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CDABC"/>
  <w15:chartTrackingRefBased/>
  <w15:docId w15:val="{115014ED-5964-4E19-8D43-49A3982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276"/>
  </w:style>
  <w:style w:type="paragraph" w:styleId="Heading1">
    <w:name w:val="heading 1"/>
    <w:basedOn w:val="Normal"/>
    <w:next w:val="Normal"/>
    <w:link w:val="Heading1Char"/>
    <w:uiPriority w:val="9"/>
    <w:qFormat/>
    <w:rsid w:val="00BB25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62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4C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D1276"/>
  </w:style>
  <w:style w:type="character" w:customStyle="1" w:styleId="Heading1Char">
    <w:name w:val="Heading 1 Char"/>
    <w:basedOn w:val="DefaultParagraphFont"/>
    <w:link w:val="Heading1"/>
    <w:uiPriority w:val="9"/>
    <w:rsid w:val="00BB255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B2551"/>
    <w:pPr>
      <w:outlineLvl w:val="9"/>
    </w:pPr>
  </w:style>
  <w:style w:type="paragraph" w:styleId="TOC1">
    <w:name w:val="toc 1"/>
    <w:basedOn w:val="Normal"/>
    <w:next w:val="Normal"/>
    <w:autoRedefine/>
    <w:uiPriority w:val="39"/>
    <w:unhideWhenUsed/>
    <w:rsid w:val="00BB2551"/>
    <w:pPr>
      <w:spacing w:after="100"/>
    </w:pPr>
  </w:style>
  <w:style w:type="character" w:styleId="Hyperlink">
    <w:name w:val="Hyperlink"/>
    <w:basedOn w:val="DefaultParagraphFont"/>
    <w:uiPriority w:val="99"/>
    <w:unhideWhenUsed/>
    <w:rsid w:val="00BB2551"/>
    <w:rPr>
      <w:color w:val="0563C1" w:themeColor="hyperlink"/>
      <w:u w:val="single"/>
    </w:rPr>
  </w:style>
  <w:style w:type="paragraph" w:styleId="BalloonText">
    <w:name w:val="Balloon Text"/>
    <w:basedOn w:val="Normal"/>
    <w:link w:val="BalloonTextChar"/>
    <w:uiPriority w:val="99"/>
    <w:semiHidden/>
    <w:unhideWhenUsed/>
    <w:rsid w:val="00930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E9"/>
    <w:rPr>
      <w:rFonts w:ascii="Segoe UI" w:hAnsi="Segoe UI" w:cs="Segoe UI"/>
      <w:sz w:val="18"/>
      <w:szCs w:val="18"/>
    </w:rPr>
  </w:style>
  <w:style w:type="paragraph" w:customStyle="1" w:styleId="paragraph">
    <w:name w:val="paragraph"/>
    <w:basedOn w:val="Normal"/>
    <w:rsid w:val="000B7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7EF6"/>
  </w:style>
  <w:style w:type="character" w:styleId="CommentReference">
    <w:name w:val="annotation reference"/>
    <w:basedOn w:val="DefaultParagraphFont"/>
    <w:uiPriority w:val="99"/>
    <w:semiHidden/>
    <w:unhideWhenUsed/>
    <w:rsid w:val="0097146A"/>
    <w:rPr>
      <w:sz w:val="16"/>
      <w:szCs w:val="16"/>
    </w:rPr>
  </w:style>
  <w:style w:type="paragraph" w:styleId="CommentText">
    <w:name w:val="annotation text"/>
    <w:basedOn w:val="Normal"/>
    <w:link w:val="CommentTextChar"/>
    <w:uiPriority w:val="99"/>
    <w:semiHidden/>
    <w:unhideWhenUsed/>
    <w:rsid w:val="0097146A"/>
    <w:pPr>
      <w:spacing w:line="240" w:lineRule="auto"/>
    </w:pPr>
    <w:rPr>
      <w:sz w:val="20"/>
      <w:szCs w:val="20"/>
    </w:rPr>
  </w:style>
  <w:style w:type="character" w:customStyle="1" w:styleId="CommentTextChar">
    <w:name w:val="Comment Text Char"/>
    <w:basedOn w:val="DefaultParagraphFont"/>
    <w:link w:val="CommentText"/>
    <w:uiPriority w:val="99"/>
    <w:semiHidden/>
    <w:rsid w:val="0097146A"/>
    <w:rPr>
      <w:sz w:val="20"/>
      <w:szCs w:val="20"/>
    </w:rPr>
  </w:style>
  <w:style w:type="paragraph" w:styleId="CommentSubject">
    <w:name w:val="annotation subject"/>
    <w:basedOn w:val="CommentText"/>
    <w:next w:val="CommentText"/>
    <w:link w:val="CommentSubjectChar"/>
    <w:uiPriority w:val="99"/>
    <w:semiHidden/>
    <w:unhideWhenUsed/>
    <w:rsid w:val="0097146A"/>
    <w:rPr>
      <w:b/>
      <w:bCs/>
    </w:rPr>
  </w:style>
  <w:style w:type="character" w:customStyle="1" w:styleId="CommentSubjectChar">
    <w:name w:val="Comment Subject Char"/>
    <w:basedOn w:val="CommentTextChar"/>
    <w:link w:val="CommentSubject"/>
    <w:uiPriority w:val="99"/>
    <w:semiHidden/>
    <w:rsid w:val="0097146A"/>
    <w:rPr>
      <w:b/>
      <w:bCs/>
      <w:sz w:val="20"/>
      <w:szCs w:val="20"/>
    </w:rPr>
  </w:style>
  <w:style w:type="paragraph" w:styleId="ListParagraph">
    <w:name w:val="List Paragraph"/>
    <w:basedOn w:val="Normal"/>
    <w:uiPriority w:val="34"/>
    <w:qFormat/>
    <w:rsid w:val="00D37D41"/>
    <w:pPr>
      <w:ind w:left="720"/>
      <w:contextualSpacing/>
    </w:pPr>
  </w:style>
  <w:style w:type="character" w:styleId="UnresolvedMention">
    <w:name w:val="Unresolved Mention"/>
    <w:basedOn w:val="DefaultParagraphFont"/>
    <w:uiPriority w:val="99"/>
    <w:semiHidden/>
    <w:unhideWhenUsed/>
    <w:rsid w:val="005A5982"/>
    <w:rPr>
      <w:color w:val="605E5C"/>
      <w:shd w:val="clear" w:color="auto" w:fill="E1DFDD"/>
    </w:rPr>
  </w:style>
  <w:style w:type="table" w:styleId="TableGrid">
    <w:name w:val="Table Grid"/>
    <w:basedOn w:val="TableNormal"/>
    <w:uiPriority w:val="39"/>
    <w:rsid w:val="00B4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E70"/>
  </w:style>
  <w:style w:type="paragraph" w:styleId="Footer">
    <w:name w:val="footer"/>
    <w:basedOn w:val="Normal"/>
    <w:link w:val="FooterChar"/>
    <w:uiPriority w:val="99"/>
    <w:unhideWhenUsed/>
    <w:rsid w:val="006C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E70"/>
  </w:style>
  <w:style w:type="paragraph" w:styleId="TOC2">
    <w:name w:val="toc 2"/>
    <w:basedOn w:val="Normal"/>
    <w:next w:val="Normal"/>
    <w:autoRedefine/>
    <w:uiPriority w:val="39"/>
    <w:unhideWhenUsed/>
    <w:rsid w:val="00782D74"/>
    <w:pPr>
      <w:spacing w:after="100"/>
      <w:ind w:left="220"/>
    </w:pPr>
    <w:rPr>
      <w:rFonts w:eastAsiaTheme="minorEastAsia" w:cs="Times New Roman"/>
    </w:rPr>
  </w:style>
  <w:style w:type="paragraph" w:styleId="TOC3">
    <w:name w:val="toc 3"/>
    <w:basedOn w:val="Normal"/>
    <w:next w:val="Normal"/>
    <w:autoRedefine/>
    <w:uiPriority w:val="39"/>
    <w:unhideWhenUsed/>
    <w:rsid w:val="00782D74"/>
    <w:pPr>
      <w:spacing w:after="100"/>
      <w:ind w:left="440"/>
    </w:pPr>
    <w:rPr>
      <w:rFonts w:eastAsiaTheme="minorEastAsia" w:cs="Times New Roman"/>
    </w:rPr>
  </w:style>
  <w:style w:type="paragraph" w:styleId="Title">
    <w:name w:val="Title"/>
    <w:basedOn w:val="Normal"/>
    <w:next w:val="Normal"/>
    <w:link w:val="TitleChar"/>
    <w:uiPriority w:val="10"/>
    <w:qFormat/>
    <w:rsid w:val="00FE7F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4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D62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4C2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rsid w:val="00E32E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2633">
      <w:bodyDiv w:val="1"/>
      <w:marLeft w:val="0"/>
      <w:marRight w:val="0"/>
      <w:marTop w:val="0"/>
      <w:marBottom w:val="0"/>
      <w:divBdr>
        <w:top w:val="none" w:sz="0" w:space="0" w:color="auto"/>
        <w:left w:val="none" w:sz="0" w:space="0" w:color="auto"/>
        <w:bottom w:val="none" w:sz="0" w:space="0" w:color="auto"/>
        <w:right w:val="none" w:sz="0" w:space="0" w:color="auto"/>
      </w:divBdr>
      <w:divsChild>
        <w:div w:id="802046110">
          <w:marLeft w:val="0"/>
          <w:marRight w:val="0"/>
          <w:marTop w:val="0"/>
          <w:marBottom w:val="0"/>
          <w:divBdr>
            <w:top w:val="none" w:sz="0" w:space="0" w:color="auto"/>
            <w:left w:val="none" w:sz="0" w:space="0" w:color="auto"/>
            <w:bottom w:val="none" w:sz="0" w:space="0" w:color="auto"/>
            <w:right w:val="none" w:sz="0" w:space="0" w:color="auto"/>
          </w:divBdr>
          <w:divsChild>
            <w:div w:id="778764933">
              <w:marLeft w:val="0"/>
              <w:marRight w:val="0"/>
              <w:marTop w:val="0"/>
              <w:marBottom w:val="0"/>
              <w:divBdr>
                <w:top w:val="none" w:sz="0" w:space="0" w:color="auto"/>
                <w:left w:val="none" w:sz="0" w:space="0" w:color="auto"/>
                <w:bottom w:val="none" w:sz="0" w:space="0" w:color="auto"/>
                <w:right w:val="none" w:sz="0" w:space="0" w:color="auto"/>
              </w:divBdr>
            </w:div>
          </w:divsChild>
        </w:div>
        <w:div w:id="931082786">
          <w:marLeft w:val="0"/>
          <w:marRight w:val="0"/>
          <w:marTop w:val="0"/>
          <w:marBottom w:val="0"/>
          <w:divBdr>
            <w:top w:val="none" w:sz="0" w:space="0" w:color="auto"/>
            <w:left w:val="none" w:sz="0" w:space="0" w:color="auto"/>
            <w:bottom w:val="none" w:sz="0" w:space="0" w:color="auto"/>
            <w:right w:val="none" w:sz="0" w:space="0" w:color="auto"/>
          </w:divBdr>
          <w:divsChild>
            <w:div w:id="33047111">
              <w:marLeft w:val="0"/>
              <w:marRight w:val="0"/>
              <w:marTop w:val="0"/>
              <w:marBottom w:val="0"/>
              <w:divBdr>
                <w:top w:val="none" w:sz="0" w:space="0" w:color="auto"/>
                <w:left w:val="none" w:sz="0" w:space="0" w:color="auto"/>
                <w:bottom w:val="none" w:sz="0" w:space="0" w:color="auto"/>
                <w:right w:val="none" w:sz="0" w:space="0" w:color="auto"/>
              </w:divBdr>
            </w:div>
            <w:div w:id="1524441659">
              <w:marLeft w:val="0"/>
              <w:marRight w:val="0"/>
              <w:marTop w:val="0"/>
              <w:marBottom w:val="0"/>
              <w:divBdr>
                <w:top w:val="none" w:sz="0" w:space="0" w:color="auto"/>
                <w:left w:val="none" w:sz="0" w:space="0" w:color="auto"/>
                <w:bottom w:val="none" w:sz="0" w:space="0" w:color="auto"/>
                <w:right w:val="none" w:sz="0" w:space="0" w:color="auto"/>
              </w:divBdr>
            </w:div>
          </w:divsChild>
        </w:div>
        <w:div w:id="1298140787">
          <w:marLeft w:val="0"/>
          <w:marRight w:val="0"/>
          <w:marTop w:val="0"/>
          <w:marBottom w:val="0"/>
          <w:divBdr>
            <w:top w:val="none" w:sz="0" w:space="0" w:color="auto"/>
            <w:left w:val="none" w:sz="0" w:space="0" w:color="auto"/>
            <w:bottom w:val="none" w:sz="0" w:space="0" w:color="auto"/>
            <w:right w:val="none" w:sz="0" w:space="0" w:color="auto"/>
          </w:divBdr>
          <w:divsChild>
            <w:div w:id="1009143129">
              <w:marLeft w:val="0"/>
              <w:marRight w:val="0"/>
              <w:marTop w:val="0"/>
              <w:marBottom w:val="0"/>
              <w:divBdr>
                <w:top w:val="none" w:sz="0" w:space="0" w:color="auto"/>
                <w:left w:val="none" w:sz="0" w:space="0" w:color="auto"/>
                <w:bottom w:val="none" w:sz="0" w:space="0" w:color="auto"/>
                <w:right w:val="none" w:sz="0" w:space="0" w:color="auto"/>
              </w:divBdr>
            </w:div>
            <w:div w:id="1819227795">
              <w:marLeft w:val="0"/>
              <w:marRight w:val="0"/>
              <w:marTop w:val="0"/>
              <w:marBottom w:val="0"/>
              <w:divBdr>
                <w:top w:val="none" w:sz="0" w:space="0" w:color="auto"/>
                <w:left w:val="none" w:sz="0" w:space="0" w:color="auto"/>
                <w:bottom w:val="none" w:sz="0" w:space="0" w:color="auto"/>
                <w:right w:val="none" w:sz="0" w:space="0" w:color="auto"/>
              </w:divBdr>
            </w:div>
          </w:divsChild>
        </w:div>
        <w:div w:id="1318725548">
          <w:marLeft w:val="0"/>
          <w:marRight w:val="0"/>
          <w:marTop w:val="0"/>
          <w:marBottom w:val="0"/>
          <w:divBdr>
            <w:top w:val="none" w:sz="0" w:space="0" w:color="auto"/>
            <w:left w:val="none" w:sz="0" w:space="0" w:color="auto"/>
            <w:bottom w:val="none" w:sz="0" w:space="0" w:color="auto"/>
            <w:right w:val="none" w:sz="0" w:space="0" w:color="auto"/>
          </w:divBdr>
        </w:div>
        <w:div w:id="1360086251">
          <w:marLeft w:val="0"/>
          <w:marRight w:val="0"/>
          <w:marTop w:val="0"/>
          <w:marBottom w:val="0"/>
          <w:divBdr>
            <w:top w:val="none" w:sz="0" w:space="0" w:color="auto"/>
            <w:left w:val="none" w:sz="0" w:space="0" w:color="auto"/>
            <w:bottom w:val="none" w:sz="0" w:space="0" w:color="auto"/>
            <w:right w:val="none" w:sz="0" w:space="0" w:color="auto"/>
          </w:divBdr>
          <w:divsChild>
            <w:div w:id="9195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5406">
      <w:bodyDiv w:val="1"/>
      <w:marLeft w:val="0"/>
      <w:marRight w:val="0"/>
      <w:marTop w:val="0"/>
      <w:marBottom w:val="0"/>
      <w:divBdr>
        <w:top w:val="none" w:sz="0" w:space="0" w:color="auto"/>
        <w:left w:val="none" w:sz="0" w:space="0" w:color="auto"/>
        <w:bottom w:val="none" w:sz="0" w:space="0" w:color="auto"/>
        <w:right w:val="none" w:sz="0" w:space="0" w:color="auto"/>
      </w:divBdr>
      <w:divsChild>
        <w:div w:id="838233337">
          <w:marLeft w:val="0"/>
          <w:marRight w:val="0"/>
          <w:marTop w:val="0"/>
          <w:marBottom w:val="0"/>
          <w:divBdr>
            <w:top w:val="none" w:sz="0" w:space="0" w:color="auto"/>
            <w:left w:val="none" w:sz="0" w:space="0" w:color="auto"/>
            <w:bottom w:val="none" w:sz="0" w:space="0" w:color="auto"/>
            <w:right w:val="none" w:sz="0" w:space="0" w:color="auto"/>
          </w:divBdr>
          <w:divsChild>
            <w:div w:id="1196389779">
              <w:marLeft w:val="0"/>
              <w:marRight w:val="0"/>
              <w:marTop w:val="0"/>
              <w:marBottom w:val="0"/>
              <w:divBdr>
                <w:top w:val="none" w:sz="0" w:space="0" w:color="auto"/>
                <w:left w:val="none" w:sz="0" w:space="0" w:color="auto"/>
                <w:bottom w:val="none" w:sz="0" w:space="0" w:color="auto"/>
                <w:right w:val="none" w:sz="0" w:space="0" w:color="auto"/>
              </w:divBdr>
            </w:div>
            <w:div w:id="1842550371">
              <w:marLeft w:val="0"/>
              <w:marRight w:val="0"/>
              <w:marTop w:val="0"/>
              <w:marBottom w:val="0"/>
              <w:divBdr>
                <w:top w:val="none" w:sz="0" w:space="0" w:color="auto"/>
                <w:left w:val="none" w:sz="0" w:space="0" w:color="auto"/>
                <w:bottom w:val="none" w:sz="0" w:space="0" w:color="auto"/>
                <w:right w:val="none" w:sz="0" w:space="0" w:color="auto"/>
              </w:divBdr>
            </w:div>
          </w:divsChild>
        </w:div>
        <w:div w:id="1734162186">
          <w:marLeft w:val="0"/>
          <w:marRight w:val="0"/>
          <w:marTop w:val="0"/>
          <w:marBottom w:val="0"/>
          <w:divBdr>
            <w:top w:val="none" w:sz="0" w:space="0" w:color="auto"/>
            <w:left w:val="none" w:sz="0" w:space="0" w:color="auto"/>
            <w:bottom w:val="none" w:sz="0" w:space="0" w:color="auto"/>
            <w:right w:val="none" w:sz="0" w:space="0" w:color="auto"/>
          </w:divBdr>
          <w:divsChild>
            <w:div w:id="15849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2144">
      <w:bodyDiv w:val="1"/>
      <w:marLeft w:val="0"/>
      <w:marRight w:val="0"/>
      <w:marTop w:val="0"/>
      <w:marBottom w:val="0"/>
      <w:divBdr>
        <w:top w:val="none" w:sz="0" w:space="0" w:color="auto"/>
        <w:left w:val="none" w:sz="0" w:space="0" w:color="auto"/>
        <w:bottom w:val="none" w:sz="0" w:space="0" w:color="auto"/>
        <w:right w:val="none" w:sz="0" w:space="0" w:color="auto"/>
      </w:divBdr>
      <w:divsChild>
        <w:div w:id="221522875">
          <w:marLeft w:val="0"/>
          <w:marRight w:val="0"/>
          <w:marTop w:val="0"/>
          <w:marBottom w:val="0"/>
          <w:divBdr>
            <w:top w:val="none" w:sz="0" w:space="0" w:color="auto"/>
            <w:left w:val="none" w:sz="0" w:space="0" w:color="auto"/>
            <w:bottom w:val="none" w:sz="0" w:space="0" w:color="auto"/>
            <w:right w:val="none" w:sz="0" w:space="0" w:color="auto"/>
          </w:divBdr>
        </w:div>
        <w:div w:id="594439092">
          <w:marLeft w:val="0"/>
          <w:marRight w:val="0"/>
          <w:marTop w:val="0"/>
          <w:marBottom w:val="0"/>
          <w:divBdr>
            <w:top w:val="none" w:sz="0" w:space="0" w:color="auto"/>
            <w:left w:val="none" w:sz="0" w:space="0" w:color="auto"/>
            <w:bottom w:val="none" w:sz="0" w:space="0" w:color="auto"/>
            <w:right w:val="none" w:sz="0" w:space="0" w:color="auto"/>
          </w:divBdr>
        </w:div>
        <w:div w:id="844632232">
          <w:marLeft w:val="0"/>
          <w:marRight w:val="0"/>
          <w:marTop w:val="0"/>
          <w:marBottom w:val="0"/>
          <w:divBdr>
            <w:top w:val="none" w:sz="0" w:space="0" w:color="auto"/>
            <w:left w:val="none" w:sz="0" w:space="0" w:color="auto"/>
            <w:bottom w:val="none" w:sz="0" w:space="0" w:color="auto"/>
            <w:right w:val="none" w:sz="0" w:space="0" w:color="auto"/>
          </w:divBdr>
        </w:div>
        <w:div w:id="855534077">
          <w:marLeft w:val="0"/>
          <w:marRight w:val="0"/>
          <w:marTop w:val="0"/>
          <w:marBottom w:val="0"/>
          <w:divBdr>
            <w:top w:val="none" w:sz="0" w:space="0" w:color="auto"/>
            <w:left w:val="none" w:sz="0" w:space="0" w:color="auto"/>
            <w:bottom w:val="none" w:sz="0" w:space="0" w:color="auto"/>
            <w:right w:val="none" w:sz="0" w:space="0" w:color="auto"/>
          </w:divBdr>
        </w:div>
        <w:div w:id="970406692">
          <w:marLeft w:val="0"/>
          <w:marRight w:val="0"/>
          <w:marTop w:val="0"/>
          <w:marBottom w:val="0"/>
          <w:divBdr>
            <w:top w:val="none" w:sz="0" w:space="0" w:color="auto"/>
            <w:left w:val="none" w:sz="0" w:space="0" w:color="auto"/>
            <w:bottom w:val="none" w:sz="0" w:space="0" w:color="auto"/>
            <w:right w:val="none" w:sz="0" w:space="0" w:color="auto"/>
          </w:divBdr>
        </w:div>
        <w:div w:id="1191379185">
          <w:marLeft w:val="0"/>
          <w:marRight w:val="0"/>
          <w:marTop w:val="0"/>
          <w:marBottom w:val="0"/>
          <w:divBdr>
            <w:top w:val="none" w:sz="0" w:space="0" w:color="auto"/>
            <w:left w:val="none" w:sz="0" w:space="0" w:color="auto"/>
            <w:bottom w:val="none" w:sz="0" w:space="0" w:color="auto"/>
            <w:right w:val="none" w:sz="0" w:space="0" w:color="auto"/>
          </w:divBdr>
        </w:div>
        <w:div w:id="2075858724">
          <w:marLeft w:val="0"/>
          <w:marRight w:val="0"/>
          <w:marTop w:val="0"/>
          <w:marBottom w:val="0"/>
          <w:divBdr>
            <w:top w:val="none" w:sz="0" w:space="0" w:color="auto"/>
            <w:left w:val="none" w:sz="0" w:space="0" w:color="auto"/>
            <w:bottom w:val="none" w:sz="0" w:space="0" w:color="auto"/>
            <w:right w:val="none" w:sz="0" w:space="0" w:color="auto"/>
          </w:divBdr>
        </w:div>
      </w:divsChild>
    </w:div>
    <w:div w:id="613249771">
      <w:bodyDiv w:val="1"/>
      <w:marLeft w:val="0"/>
      <w:marRight w:val="0"/>
      <w:marTop w:val="0"/>
      <w:marBottom w:val="0"/>
      <w:divBdr>
        <w:top w:val="none" w:sz="0" w:space="0" w:color="auto"/>
        <w:left w:val="none" w:sz="0" w:space="0" w:color="auto"/>
        <w:bottom w:val="none" w:sz="0" w:space="0" w:color="auto"/>
        <w:right w:val="none" w:sz="0" w:space="0" w:color="auto"/>
      </w:divBdr>
      <w:divsChild>
        <w:div w:id="1282767785">
          <w:marLeft w:val="0"/>
          <w:marRight w:val="0"/>
          <w:marTop w:val="0"/>
          <w:marBottom w:val="0"/>
          <w:divBdr>
            <w:top w:val="none" w:sz="0" w:space="0" w:color="auto"/>
            <w:left w:val="none" w:sz="0" w:space="0" w:color="auto"/>
            <w:bottom w:val="none" w:sz="0" w:space="0" w:color="auto"/>
            <w:right w:val="none" w:sz="0" w:space="0" w:color="auto"/>
          </w:divBdr>
        </w:div>
        <w:div w:id="1524516888">
          <w:marLeft w:val="0"/>
          <w:marRight w:val="0"/>
          <w:marTop w:val="0"/>
          <w:marBottom w:val="0"/>
          <w:divBdr>
            <w:top w:val="none" w:sz="0" w:space="0" w:color="auto"/>
            <w:left w:val="none" w:sz="0" w:space="0" w:color="auto"/>
            <w:bottom w:val="none" w:sz="0" w:space="0" w:color="auto"/>
            <w:right w:val="none" w:sz="0" w:space="0" w:color="auto"/>
          </w:divBdr>
        </w:div>
        <w:div w:id="2105179157">
          <w:marLeft w:val="0"/>
          <w:marRight w:val="0"/>
          <w:marTop w:val="0"/>
          <w:marBottom w:val="0"/>
          <w:divBdr>
            <w:top w:val="none" w:sz="0" w:space="0" w:color="auto"/>
            <w:left w:val="none" w:sz="0" w:space="0" w:color="auto"/>
            <w:bottom w:val="none" w:sz="0" w:space="0" w:color="auto"/>
            <w:right w:val="none" w:sz="0" w:space="0" w:color="auto"/>
          </w:divBdr>
        </w:div>
      </w:divsChild>
    </w:div>
    <w:div w:id="626088063">
      <w:bodyDiv w:val="1"/>
      <w:marLeft w:val="0"/>
      <w:marRight w:val="0"/>
      <w:marTop w:val="0"/>
      <w:marBottom w:val="0"/>
      <w:divBdr>
        <w:top w:val="none" w:sz="0" w:space="0" w:color="auto"/>
        <w:left w:val="none" w:sz="0" w:space="0" w:color="auto"/>
        <w:bottom w:val="none" w:sz="0" w:space="0" w:color="auto"/>
        <w:right w:val="none" w:sz="0" w:space="0" w:color="auto"/>
      </w:divBdr>
      <w:divsChild>
        <w:div w:id="442265606">
          <w:marLeft w:val="0"/>
          <w:marRight w:val="0"/>
          <w:marTop w:val="0"/>
          <w:marBottom w:val="0"/>
          <w:divBdr>
            <w:top w:val="none" w:sz="0" w:space="0" w:color="auto"/>
            <w:left w:val="none" w:sz="0" w:space="0" w:color="auto"/>
            <w:bottom w:val="none" w:sz="0" w:space="0" w:color="auto"/>
            <w:right w:val="none" w:sz="0" w:space="0" w:color="auto"/>
          </w:divBdr>
        </w:div>
        <w:div w:id="571620670">
          <w:marLeft w:val="0"/>
          <w:marRight w:val="0"/>
          <w:marTop w:val="0"/>
          <w:marBottom w:val="0"/>
          <w:divBdr>
            <w:top w:val="none" w:sz="0" w:space="0" w:color="auto"/>
            <w:left w:val="none" w:sz="0" w:space="0" w:color="auto"/>
            <w:bottom w:val="none" w:sz="0" w:space="0" w:color="auto"/>
            <w:right w:val="none" w:sz="0" w:space="0" w:color="auto"/>
          </w:divBdr>
        </w:div>
        <w:div w:id="593634182">
          <w:marLeft w:val="0"/>
          <w:marRight w:val="0"/>
          <w:marTop w:val="0"/>
          <w:marBottom w:val="0"/>
          <w:divBdr>
            <w:top w:val="none" w:sz="0" w:space="0" w:color="auto"/>
            <w:left w:val="none" w:sz="0" w:space="0" w:color="auto"/>
            <w:bottom w:val="none" w:sz="0" w:space="0" w:color="auto"/>
            <w:right w:val="none" w:sz="0" w:space="0" w:color="auto"/>
          </w:divBdr>
        </w:div>
        <w:div w:id="644236587">
          <w:marLeft w:val="0"/>
          <w:marRight w:val="0"/>
          <w:marTop w:val="0"/>
          <w:marBottom w:val="0"/>
          <w:divBdr>
            <w:top w:val="none" w:sz="0" w:space="0" w:color="auto"/>
            <w:left w:val="none" w:sz="0" w:space="0" w:color="auto"/>
            <w:bottom w:val="none" w:sz="0" w:space="0" w:color="auto"/>
            <w:right w:val="none" w:sz="0" w:space="0" w:color="auto"/>
          </w:divBdr>
        </w:div>
        <w:div w:id="911894366">
          <w:marLeft w:val="0"/>
          <w:marRight w:val="0"/>
          <w:marTop w:val="0"/>
          <w:marBottom w:val="0"/>
          <w:divBdr>
            <w:top w:val="none" w:sz="0" w:space="0" w:color="auto"/>
            <w:left w:val="none" w:sz="0" w:space="0" w:color="auto"/>
            <w:bottom w:val="none" w:sz="0" w:space="0" w:color="auto"/>
            <w:right w:val="none" w:sz="0" w:space="0" w:color="auto"/>
          </w:divBdr>
        </w:div>
        <w:div w:id="922490215">
          <w:marLeft w:val="0"/>
          <w:marRight w:val="0"/>
          <w:marTop w:val="0"/>
          <w:marBottom w:val="0"/>
          <w:divBdr>
            <w:top w:val="none" w:sz="0" w:space="0" w:color="auto"/>
            <w:left w:val="none" w:sz="0" w:space="0" w:color="auto"/>
            <w:bottom w:val="none" w:sz="0" w:space="0" w:color="auto"/>
            <w:right w:val="none" w:sz="0" w:space="0" w:color="auto"/>
          </w:divBdr>
        </w:div>
        <w:div w:id="1171722171">
          <w:marLeft w:val="0"/>
          <w:marRight w:val="0"/>
          <w:marTop w:val="0"/>
          <w:marBottom w:val="0"/>
          <w:divBdr>
            <w:top w:val="none" w:sz="0" w:space="0" w:color="auto"/>
            <w:left w:val="none" w:sz="0" w:space="0" w:color="auto"/>
            <w:bottom w:val="none" w:sz="0" w:space="0" w:color="auto"/>
            <w:right w:val="none" w:sz="0" w:space="0" w:color="auto"/>
          </w:divBdr>
        </w:div>
        <w:div w:id="1247618394">
          <w:marLeft w:val="0"/>
          <w:marRight w:val="0"/>
          <w:marTop w:val="0"/>
          <w:marBottom w:val="0"/>
          <w:divBdr>
            <w:top w:val="none" w:sz="0" w:space="0" w:color="auto"/>
            <w:left w:val="none" w:sz="0" w:space="0" w:color="auto"/>
            <w:bottom w:val="none" w:sz="0" w:space="0" w:color="auto"/>
            <w:right w:val="none" w:sz="0" w:space="0" w:color="auto"/>
          </w:divBdr>
        </w:div>
        <w:div w:id="1361394852">
          <w:marLeft w:val="0"/>
          <w:marRight w:val="0"/>
          <w:marTop w:val="0"/>
          <w:marBottom w:val="0"/>
          <w:divBdr>
            <w:top w:val="none" w:sz="0" w:space="0" w:color="auto"/>
            <w:left w:val="none" w:sz="0" w:space="0" w:color="auto"/>
            <w:bottom w:val="none" w:sz="0" w:space="0" w:color="auto"/>
            <w:right w:val="none" w:sz="0" w:space="0" w:color="auto"/>
          </w:divBdr>
        </w:div>
        <w:div w:id="1363673108">
          <w:marLeft w:val="0"/>
          <w:marRight w:val="0"/>
          <w:marTop w:val="0"/>
          <w:marBottom w:val="0"/>
          <w:divBdr>
            <w:top w:val="none" w:sz="0" w:space="0" w:color="auto"/>
            <w:left w:val="none" w:sz="0" w:space="0" w:color="auto"/>
            <w:bottom w:val="none" w:sz="0" w:space="0" w:color="auto"/>
            <w:right w:val="none" w:sz="0" w:space="0" w:color="auto"/>
          </w:divBdr>
        </w:div>
        <w:div w:id="1365406643">
          <w:marLeft w:val="0"/>
          <w:marRight w:val="0"/>
          <w:marTop w:val="0"/>
          <w:marBottom w:val="0"/>
          <w:divBdr>
            <w:top w:val="none" w:sz="0" w:space="0" w:color="auto"/>
            <w:left w:val="none" w:sz="0" w:space="0" w:color="auto"/>
            <w:bottom w:val="none" w:sz="0" w:space="0" w:color="auto"/>
            <w:right w:val="none" w:sz="0" w:space="0" w:color="auto"/>
          </w:divBdr>
        </w:div>
        <w:div w:id="1424758927">
          <w:marLeft w:val="0"/>
          <w:marRight w:val="0"/>
          <w:marTop w:val="0"/>
          <w:marBottom w:val="0"/>
          <w:divBdr>
            <w:top w:val="none" w:sz="0" w:space="0" w:color="auto"/>
            <w:left w:val="none" w:sz="0" w:space="0" w:color="auto"/>
            <w:bottom w:val="none" w:sz="0" w:space="0" w:color="auto"/>
            <w:right w:val="none" w:sz="0" w:space="0" w:color="auto"/>
          </w:divBdr>
        </w:div>
        <w:div w:id="1460368996">
          <w:marLeft w:val="0"/>
          <w:marRight w:val="0"/>
          <w:marTop w:val="0"/>
          <w:marBottom w:val="0"/>
          <w:divBdr>
            <w:top w:val="none" w:sz="0" w:space="0" w:color="auto"/>
            <w:left w:val="none" w:sz="0" w:space="0" w:color="auto"/>
            <w:bottom w:val="none" w:sz="0" w:space="0" w:color="auto"/>
            <w:right w:val="none" w:sz="0" w:space="0" w:color="auto"/>
          </w:divBdr>
        </w:div>
        <w:div w:id="1508128520">
          <w:marLeft w:val="0"/>
          <w:marRight w:val="0"/>
          <w:marTop w:val="0"/>
          <w:marBottom w:val="0"/>
          <w:divBdr>
            <w:top w:val="none" w:sz="0" w:space="0" w:color="auto"/>
            <w:left w:val="none" w:sz="0" w:space="0" w:color="auto"/>
            <w:bottom w:val="none" w:sz="0" w:space="0" w:color="auto"/>
            <w:right w:val="none" w:sz="0" w:space="0" w:color="auto"/>
          </w:divBdr>
        </w:div>
        <w:div w:id="1511947307">
          <w:marLeft w:val="0"/>
          <w:marRight w:val="0"/>
          <w:marTop w:val="0"/>
          <w:marBottom w:val="0"/>
          <w:divBdr>
            <w:top w:val="none" w:sz="0" w:space="0" w:color="auto"/>
            <w:left w:val="none" w:sz="0" w:space="0" w:color="auto"/>
            <w:bottom w:val="none" w:sz="0" w:space="0" w:color="auto"/>
            <w:right w:val="none" w:sz="0" w:space="0" w:color="auto"/>
          </w:divBdr>
        </w:div>
        <w:div w:id="1517188344">
          <w:marLeft w:val="0"/>
          <w:marRight w:val="0"/>
          <w:marTop w:val="0"/>
          <w:marBottom w:val="0"/>
          <w:divBdr>
            <w:top w:val="none" w:sz="0" w:space="0" w:color="auto"/>
            <w:left w:val="none" w:sz="0" w:space="0" w:color="auto"/>
            <w:bottom w:val="none" w:sz="0" w:space="0" w:color="auto"/>
            <w:right w:val="none" w:sz="0" w:space="0" w:color="auto"/>
          </w:divBdr>
        </w:div>
        <w:div w:id="1567956771">
          <w:marLeft w:val="0"/>
          <w:marRight w:val="0"/>
          <w:marTop w:val="0"/>
          <w:marBottom w:val="0"/>
          <w:divBdr>
            <w:top w:val="none" w:sz="0" w:space="0" w:color="auto"/>
            <w:left w:val="none" w:sz="0" w:space="0" w:color="auto"/>
            <w:bottom w:val="none" w:sz="0" w:space="0" w:color="auto"/>
            <w:right w:val="none" w:sz="0" w:space="0" w:color="auto"/>
          </w:divBdr>
        </w:div>
        <w:div w:id="1715738873">
          <w:marLeft w:val="0"/>
          <w:marRight w:val="0"/>
          <w:marTop w:val="0"/>
          <w:marBottom w:val="0"/>
          <w:divBdr>
            <w:top w:val="none" w:sz="0" w:space="0" w:color="auto"/>
            <w:left w:val="none" w:sz="0" w:space="0" w:color="auto"/>
            <w:bottom w:val="none" w:sz="0" w:space="0" w:color="auto"/>
            <w:right w:val="none" w:sz="0" w:space="0" w:color="auto"/>
          </w:divBdr>
        </w:div>
        <w:div w:id="1753743625">
          <w:marLeft w:val="0"/>
          <w:marRight w:val="0"/>
          <w:marTop w:val="0"/>
          <w:marBottom w:val="0"/>
          <w:divBdr>
            <w:top w:val="none" w:sz="0" w:space="0" w:color="auto"/>
            <w:left w:val="none" w:sz="0" w:space="0" w:color="auto"/>
            <w:bottom w:val="none" w:sz="0" w:space="0" w:color="auto"/>
            <w:right w:val="none" w:sz="0" w:space="0" w:color="auto"/>
          </w:divBdr>
        </w:div>
        <w:div w:id="1870752461">
          <w:marLeft w:val="0"/>
          <w:marRight w:val="0"/>
          <w:marTop w:val="0"/>
          <w:marBottom w:val="0"/>
          <w:divBdr>
            <w:top w:val="none" w:sz="0" w:space="0" w:color="auto"/>
            <w:left w:val="none" w:sz="0" w:space="0" w:color="auto"/>
            <w:bottom w:val="none" w:sz="0" w:space="0" w:color="auto"/>
            <w:right w:val="none" w:sz="0" w:space="0" w:color="auto"/>
          </w:divBdr>
        </w:div>
        <w:div w:id="1881942067">
          <w:marLeft w:val="0"/>
          <w:marRight w:val="0"/>
          <w:marTop w:val="0"/>
          <w:marBottom w:val="0"/>
          <w:divBdr>
            <w:top w:val="none" w:sz="0" w:space="0" w:color="auto"/>
            <w:left w:val="none" w:sz="0" w:space="0" w:color="auto"/>
            <w:bottom w:val="none" w:sz="0" w:space="0" w:color="auto"/>
            <w:right w:val="none" w:sz="0" w:space="0" w:color="auto"/>
          </w:divBdr>
        </w:div>
        <w:div w:id="1934582221">
          <w:marLeft w:val="0"/>
          <w:marRight w:val="0"/>
          <w:marTop w:val="0"/>
          <w:marBottom w:val="0"/>
          <w:divBdr>
            <w:top w:val="none" w:sz="0" w:space="0" w:color="auto"/>
            <w:left w:val="none" w:sz="0" w:space="0" w:color="auto"/>
            <w:bottom w:val="none" w:sz="0" w:space="0" w:color="auto"/>
            <w:right w:val="none" w:sz="0" w:space="0" w:color="auto"/>
          </w:divBdr>
        </w:div>
      </w:divsChild>
    </w:div>
    <w:div w:id="791438324">
      <w:bodyDiv w:val="1"/>
      <w:marLeft w:val="0"/>
      <w:marRight w:val="0"/>
      <w:marTop w:val="0"/>
      <w:marBottom w:val="0"/>
      <w:divBdr>
        <w:top w:val="none" w:sz="0" w:space="0" w:color="auto"/>
        <w:left w:val="none" w:sz="0" w:space="0" w:color="auto"/>
        <w:bottom w:val="none" w:sz="0" w:space="0" w:color="auto"/>
        <w:right w:val="none" w:sz="0" w:space="0" w:color="auto"/>
      </w:divBdr>
      <w:divsChild>
        <w:div w:id="613633344">
          <w:marLeft w:val="0"/>
          <w:marRight w:val="0"/>
          <w:marTop w:val="0"/>
          <w:marBottom w:val="0"/>
          <w:divBdr>
            <w:top w:val="none" w:sz="0" w:space="0" w:color="auto"/>
            <w:left w:val="none" w:sz="0" w:space="0" w:color="auto"/>
            <w:bottom w:val="none" w:sz="0" w:space="0" w:color="auto"/>
            <w:right w:val="none" w:sz="0" w:space="0" w:color="auto"/>
          </w:divBdr>
        </w:div>
        <w:div w:id="1222641739">
          <w:marLeft w:val="0"/>
          <w:marRight w:val="0"/>
          <w:marTop w:val="0"/>
          <w:marBottom w:val="0"/>
          <w:divBdr>
            <w:top w:val="none" w:sz="0" w:space="0" w:color="auto"/>
            <w:left w:val="none" w:sz="0" w:space="0" w:color="auto"/>
            <w:bottom w:val="none" w:sz="0" w:space="0" w:color="auto"/>
            <w:right w:val="none" w:sz="0" w:space="0" w:color="auto"/>
          </w:divBdr>
        </w:div>
      </w:divsChild>
    </w:div>
    <w:div w:id="1005519843">
      <w:bodyDiv w:val="1"/>
      <w:marLeft w:val="0"/>
      <w:marRight w:val="0"/>
      <w:marTop w:val="0"/>
      <w:marBottom w:val="0"/>
      <w:divBdr>
        <w:top w:val="none" w:sz="0" w:space="0" w:color="auto"/>
        <w:left w:val="none" w:sz="0" w:space="0" w:color="auto"/>
        <w:bottom w:val="none" w:sz="0" w:space="0" w:color="auto"/>
        <w:right w:val="none" w:sz="0" w:space="0" w:color="auto"/>
      </w:divBdr>
      <w:divsChild>
        <w:div w:id="238176973">
          <w:marLeft w:val="0"/>
          <w:marRight w:val="0"/>
          <w:marTop w:val="0"/>
          <w:marBottom w:val="0"/>
          <w:divBdr>
            <w:top w:val="none" w:sz="0" w:space="0" w:color="auto"/>
            <w:left w:val="none" w:sz="0" w:space="0" w:color="auto"/>
            <w:bottom w:val="none" w:sz="0" w:space="0" w:color="auto"/>
            <w:right w:val="none" w:sz="0" w:space="0" w:color="auto"/>
          </w:divBdr>
        </w:div>
        <w:div w:id="880482906">
          <w:marLeft w:val="0"/>
          <w:marRight w:val="0"/>
          <w:marTop w:val="0"/>
          <w:marBottom w:val="0"/>
          <w:divBdr>
            <w:top w:val="none" w:sz="0" w:space="0" w:color="auto"/>
            <w:left w:val="none" w:sz="0" w:space="0" w:color="auto"/>
            <w:bottom w:val="none" w:sz="0" w:space="0" w:color="auto"/>
            <w:right w:val="none" w:sz="0" w:space="0" w:color="auto"/>
          </w:divBdr>
        </w:div>
        <w:div w:id="1035077969">
          <w:marLeft w:val="0"/>
          <w:marRight w:val="0"/>
          <w:marTop w:val="0"/>
          <w:marBottom w:val="0"/>
          <w:divBdr>
            <w:top w:val="none" w:sz="0" w:space="0" w:color="auto"/>
            <w:left w:val="none" w:sz="0" w:space="0" w:color="auto"/>
            <w:bottom w:val="none" w:sz="0" w:space="0" w:color="auto"/>
            <w:right w:val="none" w:sz="0" w:space="0" w:color="auto"/>
          </w:divBdr>
        </w:div>
        <w:div w:id="1190139703">
          <w:marLeft w:val="0"/>
          <w:marRight w:val="0"/>
          <w:marTop w:val="0"/>
          <w:marBottom w:val="0"/>
          <w:divBdr>
            <w:top w:val="none" w:sz="0" w:space="0" w:color="auto"/>
            <w:left w:val="none" w:sz="0" w:space="0" w:color="auto"/>
            <w:bottom w:val="none" w:sz="0" w:space="0" w:color="auto"/>
            <w:right w:val="none" w:sz="0" w:space="0" w:color="auto"/>
          </w:divBdr>
        </w:div>
        <w:div w:id="1504974874">
          <w:marLeft w:val="0"/>
          <w:marRight w:val="0"/>
          <w:marTop w:val="0"/>
          <w:marBottom w:val="0"/>
          <w:divBdr>
            <w:top w:val="none" w:sz="0" w:space="0" w:color="auto"/>
            <w:left w:val="none" w:sz="0" w:space="0" w:color="auto"/>
            <w:bottom w:val="none" w:sz="0" w:space="0" w:color="auto"/>
            <w:right w:val="none" w:sz="0" w:space="0" w:color="auto"/>
          </w:divBdr>
        </w:div>
        <w:div w:id="1706254989">
          <w:marLeft w:val="0"/>
          <w:marRight w:val="0"/>
          <w:marTop w:val="0"/>
          <w:marBottom w:val="0"/>
          <w:divBdr>
            <w:top w:val="none" w:sz="0" w:space="0" w:color="auto"/>
            <w:left w:val="none" w:sz="0" w:space="0" w:color="auto"/>
            <w:bottom w:val="none" w:sz="0" w:space="0" w:color="auto"/>
            <w:right w:val="none" w:sz="0" w:space="0" w:color="auto"/>
          </w:divBdr>
        </w:div>
        <w:div w:id="1855072234">
          <w:marLeft w:val="0"/>
          <w:marRight w:val="0"/>
          <w:marTop w:val="0"/>
          <w:marBottom w:val="0"/>
          <w:divBdr>
            <w:top w:val="none" w:sz="0" w:space="0" w:color="auto"/>
            <w:left w:val="none" w:sz="0" w:space="0" w:color="auto"/>
            <w:bottom w:val="none" w:sz="0" w:space="0" w:color="auto"/>
            <w:right w:val="none" w:sz="0" w:space="0" w:color="auto"/>
          </w:divBdr>
        </w:div>
      </w:divsChild>
    </w:div>
    <w:div w:id="1112241841">
      <w:bodyDiv w:val="1"/>
      <w:marLeft w:val="0"/>
      <w:marRight w:val="0"/>
      <w:marTop w:val="0"/>
      <w:marBottom w:val="0"/>
      <w:divBdr>
        <w:top w:val="none" w:sz="0" w:space="0" w:color="auto"/>
        <w:left w:val="none" w:sz="0" w:space="0" w:color="auto"/>
        <w:bottom w:val="none" w:sz="0" w:space="0" w:color="auto"/>
        <w:right w:val="none" w:sz="0" w:space="0" w:color="auto"/>
      </w:divBdr>
      <w:divsChild>
        <w:div w:id="236407608">
          <w:marLeft w:val="0"/>
          <w:marRight w:val="0"/>
          <w:marTop w:val="0"/>
          <w:marBottom w:val="0"/>
          <w:divBdr>
            <w:top w:val="none" w:sz="0" w:space="0" w:color="auto"/>
            <w:left w:val="none" w:sz="0" w:space="0" w:color="auto"/>
            <w:bottom w:val="none" w:sz="0" w:space="0" w:color="auto"/>
            <w:right w:val="none" w:sz="0" w:space="0" w:color="auto"/>
          </w:divBdr>
        </w:div>
        <w:div w:id="269510208">
          <w:marLeft w:val="0"/>
          <w:marRight w:val="0"/>
          <w:marTop w:val="0"/>
          <w:marBottom w:val="0"/>
          <w:divBdr>
            <w:top w:val="none" w:sz="0" w:space="0" w:color="auto"/>
            <w:left w:val="none" w:sz="0" w:space="0" w:color="auto"/>
            <w:bottom w:val="none" w:sz="0" w:space="0" w:color="auto"/>
            <w:right w:val="none" w:sz="0" w:space="0" w:color="auto"/>
          </w:divBdr>
        </w:div>
        <w:div w:id="1468888176">
          <w:marLeft w:val="0"/>
          <w:marRight w:val="0"/>
          <w:marTop w:val="0"/>
          <w:marBottom w:val="0"/>
          <w:divBdr>
            <w:top w:val="none" w:sz="0" w:space="0" w:color="auto"/>
            <w:left w:val="none" w:sz="0" w:space="0" w:color="auto"/>
            <w:bottom w:val="none" w:sz="0" w:space="0" w:color="auto"/>
            <w:right w:val="none" w:sz="0" w:space="0" w:color="auto"/>
          </w:divBdr>
        </w:div>
      </w:divsChild>
    </w:div>
    <w:div w:id="1185905486">
      <w:bodyDiv w:val="1"/>
      <w:marLeft w:val="0"/>
      <w:marRight w:val="0"/>
      <w:marTop w:val="0"/>
      <w:marBottom w:val="0"/>
      <w:divBdr>
        <w:top w:val="none" w:sz="0" w:space="0" w:color="auto"/>
        <w:left w:val="none" w:sz="0" w:space="0" w:color="auto"/>
        <w:bottom w:val="none" w:sz="0" w:space="0" w:color="auto"/>
        <w:right w:val="none" w:sz="0" w:space="0" w:color="auto"/>
      </w:divBdr>
      <w:divsChild>
        <w:div w:id="78529026">
          <w:marLeft w:val="0"/>
          <w:marRight w:val="0"/>
          <w:marTop w:val="0"/>
          <w:marBottom w:val="0"/>
          <w:divBdr>
            <w:top w:val="none" w:sz="0" w:space="0" w:color="auto"/>
            <w:left w:val="none" w:sz="0" w:space="0" w:color="auto"/>
            <w:bottom w:val="none" w:sz="0" w:space="0" w:color="auto"/>
            <w:right w:val="none" w:sz="0" w:space="0" w:color="auto"/>
          </w:divBdr>
          <w:divsChild>
            <w:div w:id="1406412246">
              <w:marLeft w:val="0"/>
              <w:marRight w:val="0"/>
              <w:marTop w:val="0"/>
              <w:marBottom w:val="0"/>
              <w:divBdr>
                <w:top w:val="none" w:sz="0" w:space="0" w:color="auto"/>
                <w:left w:val="none" w:sz="0" w:space="0" w:color="auto"/>
                <w:bottom w:val="none" w:sz="0" w:space="0" w:color="auto"/>
                <w:right w:val="none" w:sz="0" w:space="0" w:color="auto"/>
              </w:divBdr>
            </w:div>
          </w:divsChild>
        </w:div>
        <w:div w:id="91557444">
          <w:marLeft w:val="0"/>
          <w:marRight w:val="0"/>
          <w:marTop w:val="0"/>
          <w:marBottom w:val="0"/>
          <w:divBdr>
            <w:top w:val="none" w:sz="0" w:space="0" w:color="auto"/>
            <w:left w:val="none" w:sz="0" w:space="0" w:color="auto"/>
            <w:bottom w:val="none" w:sz="0" w:space="0" w:color="auto"/>
            <w:right w:val="none" w:sz="0" w:space="0" w:color="auto"/>
          </w:divBdr>
          <w:divsChild>
            <w:div w:id="1161189706">
              <w:marLeft w:val="0"/>
              <w:marRight w:val="0"/>
              <w:marTop w:val="0"/>
              <w:marBottom w:val="0"/>
              <w:divBdr>
                <w:top w:val="none" w:sz="0" w:space="0" w:color="auto"/>
                <w:left w:val="none" w:sz="0" w:space="0" w:color="auto"/>
                <w:bottom w:val="none" w:sz="0" w:space="0" w:color="auto"/>
                <w:right w:val="none" w:sz="0" w:space="0" w:color="auto"/>
              </w:divBdr>
            </w:div>
          </w:divsChild>
        </w:div>
        <w:div w:id="92360301">
          <w:marLeft w:val="0"/>
          <w:marRight w:val="0"/>
          <w:marTop w:val="0"/>
          <w:marBottom w:val="0"/>
          <w:divBdr>
            <w:top w:val="none" w:sz="0" w:space="0" w:color="auto"/>
            <w:left w:val="none" w:sz="0" w:space="0" w:color="auto"/>
            <w:bottom w:val="none" w:sz="0" w:space="0" w:color="auto"/>
            <w:right w:val="none" w:sz="0" w:space="0" w:color="auto"/>
          </w:divBdr>
          <w:divsChild>
            <w:div w:id="1452630240">
              <w:marLeft w:val="0"/>
              <w:marRight w:val="0"/>
              <w:marTop w:val="0"/>
              <w:marBottom w:val="0"/>
              <w:divBdr>
                <w:top w:val="none" w:sz="0" w:space="0" w:color="auto"/>
                <w:left w:val="none" w:sz="0" w:space="0" w:color="auto"/>
                <w:bottom w:val="none" w:sz="0" w:space="0" w:color="auto"/>
                <w:right w:val="none" w:sz="0" w:space="0" w:color="auto"/>
              </w:divBdr>
            </w:div>
          </w:divsChild>
        </w:div>
        <w:div w:id="133837200">
          <w:marLeft w:val="0"/>
          <w:marRight w:val="0"/>
          <w:marTop w:val="0"/>
          <w:marBottom w:val="0"/>
          <w:divBdr>
            <w:top w:val="none" w:sz="0" w:space="0" w:color="auto"/>
            <w:left w:val="none" w:sz="0" w:space="0" w:color="auto"/>
            <w:bottom w:val="none" w:sz="0" w:space="0" w:color="auto"/>
            <w:right w:val="none" w:sz="0" w:space="0" w:color="auto"/>
          </w:divBdr>
          <w:divsChild>
            <w:div w:id="347605917">
              <w:marLeft w:val="0"/>
              <w:marRight w:val="0"/>
              <w:marTop w:val="0"/>
              <w:marBottom w:val="0"/>
              <w:divBdr>
                <w:top w:val="none" w:sz="0" w:space="0" w:color="auto"/>
                <w:left w:val="none" w:sz="0" w:space="0" w:color="auto"/>
                <w:bottom w:val="none" w:sz="0" w:space="0" w:color="auto"/>
                <w:right w:val="none" w:sz="0" w:space="0" w:color="auto"/>
              </w:divBdr>
            </w:div>
          </w:divsChild>
        </w:div>
        <w:div w:id="142814170">
          <w:marLeft w:val="0"/>
          <w:marRight w:val="0"/>
          <w:marTop w:val="0"/>
          <w:marBottom w:val="0"/>
          <w:divBdr>
            <w:top w:val="none" w:sz="0" w:space="0" w:color="auto"/>
            <w:left w:val="none" w:sz="0" w:space="0" w:color="auto"/>
            <w:bottom w:val="none" w:sz="0" w:space="0" w:color="auto"/>
            <w:right w:val="none" w:sz="0" w:space="0" w:color="auto"/>
          </w:divBdr>
          <w:divsChild>
            <w:div w:id="573860515">
              <w:marLeft w:val="0"/>
              <w:marRight w:val="0"/>
              <w:marTop w:val="0"/>
              <w:marBottom w:val="0"/>
              <w:divBdr>
                <w:top w:val="none" w:sz="0" w:space="0" w:color="auto"/>
                <w:left w:val="none" w:sz="0" w:space="0" w:color="auto"/>
                <w:bottom w:val="none" w:sz="0" w:space="0" w:color="auto"/>
                <w:right w:val="none" w:sz="0" w:space="0" w:color="auto"/>
              </w:divBdr>
            </w:div>
          </w:divsChild>
        </w:div>
        <w:div w:id="298148607">
          <w:marLeft w:val="0"/>
          <w:marRight w:val="0"/>
          <w:marTop w:val="0"/>
          <w:marBottom w:val="0"/>
          <w:divBdr>
            <w:top w:val="none" w:sz="0" w:space="0" w:color="auto"/>
            <w:left w:val="none" w:sz="0" w:space="0" w:color="auto"/>
            <w:bottom w:val="none" w:sz="0" w:space="0" w:color="auto"/>
            <w:right w:val="none" w:sz="0" w:space="0" w:color="auto"/>
          </w:divBdr>
          <w:divsChild>
            <w:div w:id="663899722">
              <w:marLeft w:val="0"/>
              <w:marRight w:val="0"/>
              <w:marTop w:val="0"/>
              <w:marBottom w:val="0"/>
              <w:divBdr>
                <w:top w:val="none" w:sz="0" w:space="0" w:color="auto"/>
                <w:left w:val="none" w:sz="0" w:space="0" w:color="auto"/>
                <w:bottom w:val="none" w:sz="0" w:space="0" w:color="auto"/>
                <w:right w:val="none" w:sz="0" w:space="0" w:color="auto"/>
              </w:divBdr>
            </w:div>
          </w:divsChild>
        </w:div>
        <w:div w:id="323551426">
          <w:marLeft w:val="0"/>
          <w:marRight w:val="0"/>
          <w:marTop w:val="0"/>
          <w:marBottom w:val="0"/>
          <w:divBdr>
            <w:top w:val="none" w:sz="0" w:space="0" w:color="auto"/>
            <w:left w:val="none" w:sz="0" w:space="0" w:color="auto"/>
            <w:bottom w:val="none" w:sz="0" w:space="0" w:color="auto"/>
            <w:right w:val="none" w:sz="0" w:space="0" w:color="auto"/>
          </w:divBdr>
          <w:divsChild>
            <w:div w:id="1928683537">
              <w:marLeft w:val="0"/>
              <w:marRight w:val="0"/>
              <w:marTop w:val="0"/>
              <w:marBottom w:val="0"/>
              <w:divBdr>
                <w:top w:val="none" w:sz="0" w:space="0" w:color="auto"/>
                <w:left w:val="none" w:sz="0" w:space="0" w:color="auto"/>
                <w:bottom w:val="none" w:sz="0" w:space="0" w:color="auto"/>
                <w:right w:val="none" w:sz="0" w:space="0" w:color="auto"/>
              </w:divBdr>
            </w:div>
          </w:divsChild>
        </w:div>
        <w:div w:id="460734128">
          <w:marLeft w:val="0"/>
          <w:marRight w:val="0"/>
          <w:marTop w:val="0"/>
          <w:marBottom w:val="0"/>
          <w:divBdr>
            <w:top w:val="none" w:sz="0" w:space="0" w:color="auto"/>
            <w:left w:val="none" w:sz="0" w:space="0" w:color="auto"/>
            <w:bottom w:val="none" w:sz="0" w:space="0" w:color="auto"/>
            <w:right w:val="none" w:sz="0" w:space="0" w:color="auto"/>
          </w:divBdr>
          <w:divsChild>
            <w:div w:id="1705213351">
              <w:marLeft w:val="0"/>
              <w:marRight w:val="0"/>
              <w:marTop w:val="0"/>
              <w:marBottom w:val="0"/>
              <w:divBdr>
                <w:top w:val="none" w:sz="0" w:space="0" w:color="auto"/>
                <w:left w:val="none" w:sz="0" w:space="0" w:color="auto"/>
                <w:bottom w:val="none" w:sz="0" w:space="0" w:color="auto"/>
                <w:right w:val="none" w:sz="0" w:space="0" w:color="auto"/>
              </w:divBdr>
            </w:div>
          </w:divsChild>
        </w:div>
        <w:div w:id="531655698">
          <w:marLeft w:val="0"/>
          <w:marRight w:val="0"/>
          <w:marTop w:val="0"/>
          <w:marBottom w:val="0"/>
          <w:divBdr>
            <w:top w:val="none" w:sz="0" w:space="0" w:color="auto"/>
            <w:left w:val="none" w:sz="0" w:space="0" w:color="auto"/>
            <w:bottom w:val="none" w:sz="0" w:space="0" w:color="auto"/>
            <w:right w:val="none" w:sz="0" w:space="0" w:color="auto"/>
          </w:divBdr>
          <w:divsChild>
            <w:div w:id="1921063385">
              <w:marLeft w:val="0"/>
              <w:marRight w:val="0"/>
              <w:marTop w:val="0"/>
              <w:marBottom w:val="0"/>
              <w:divBdr>
                <w:top w:val="none" w:sz="0" w:space="0" w:color="auto"/>
                <w:left w:val="none" w:sz="0" w:space="0" w:color="auto"/>
                <w:bottom w:val="none" w:sz="0" w:space="0" w:color="auto"/>
                <w:right w:val="none" w:sz="0" w:space="0" w:color="auto"/>
              </w:divBdr>
            </w:div>
          </w:divsChild>
        </w:div>
        <w:div w:id="535388960">
          <w:marLeft w:val="0"/>
          <w:marRight w:val="0"/>
          <w:marTop w:val="0"/>
          <w:marBottom w:val="0"/>
          <w:divBdr>
            <w:top w:val="none" w:sz="0" w:space="0" w:color="auto"/>
            <w:left w:val="none" w:sz="0" w:space="0" w:color="auto"/>
            <w:bottom w:val="none" w:sz="0" w:space="0" w:color="auto"/>
            <w:right w:val="none" w:sz="0" w:space="0" w:color="auto"/>
          </w:divBdr>
          <w:divsChild>
            <w:div w:id="1242525304">
              <w:marLeft w:val="0"/>
              <w:marRight w:val="0"/>
              <w:marTop w:val="0"/>
              <w:marBottom w:val="0"/>
              <w:divBdr>
                <w:top w:val="none" w:sz="0" w:space="0" w:color="auto"/>
                <w:left w:val="none" w:sz="0" w:space="0" w:color="auto"/>
                <w:bottom w:val="none" w:sz="0" w:space="0" w:color="auto"/>
                <w:right w:val="none" w:sz="0" w:space="0" w:color="auto"/>
              </w:divBdr>
            </w:div>
          </w:divsChild>
        </w:div>
        <w:div w:id="657419570">
          <w:marLeft w:val="0"/>
          <w:marRight w:val="0"/>
          <w:marTop w:val="0"/>
          <w:marBottom w:val="0"/>
          <w:divBdr>
            <w:top w:val="none" w:sz="0" w:space="0" w:color="auto"/>
            <w:left w:val="none" w:sz="0" w:space="0" w:color="auto"/>
            <w:bottom w:val="none" w:sz="0" w:space="0" w:color="auto"/>
            <w:right w:val="none" w:sz="0" w:space="0" w:color="auto"/>
          </w:divBdr>
          <w:divsChild>
            <w:div w:id="1787197056">
              <w:marLeft w:val="0"/>
              <w:marRight w:val="0"/>
              <w:marTop w:val="0"/>
              <w:marBottom w:val="0"/>
              <w:divBdr>
                <w:top w:val="none" w:sz="0" w:space="0" w:color="auto"/>
                <w:left w:val="none" w:sz="0" w:space="0" w:color="auto"/>
                <w:bottom w:val="none" w:sz="0" w:space="0" w:color="auto"/>
                <w:right w:val="none" w:sz="0" w:space="0" w:color="auto"/>
              </w:divBdr>
            </w:div>
          </w:divsChild>
        </w:div>
        <w:div w:id="732460401">
          <w:marLeft w:val="0"/>
          <w:marRight w:val="0"/>
          <w:marTop w:val="0"/>
          <w:marBottom w:val="0"/>
          <w:divBdr>
            <w:top w:val="none" w:sz="0" w:space="0" w:color="auto"/>
            <w:left w:val="none" w:sz="0" w:space="0" w:color="auto"/>
            <w:bottom w:val="none" w:sz="0" w:space="0" w:color="auto"/>
            <w:right w:val="none" w:sz="0" w:space="0" w:color="auto"/>
          </w:divBdr>
          <w:divsChild>
            <w:div w:id="2068987806">
              <w:marLeft w:val="0"/>
              <w:marRight w:val="0"/>
              <w:marTop w:val="0"/>
              <w:marBottom w:val="0"/>
              <w:divBdr>
                <w:top w:val="none" w:sz="0" w:space="0" w:color="auto"/>
                <w:left w:val="none" w:sz="0" w:space="0" w:color="auto"/>
                <w:bottom w:val="none" w:sz="0" w:space="0" w:color="auto"/>
                <w:right w:val="none" w:sz="0" w:space="0" w:color="auto"/>
              </w:divBdr>
            </w:div>
          </w:divsChild>
        </w:div>
        <w:div w:id="839276448">
          <w:marLeft w:val="0"/>
          <w:marRight w:val="0"/>
          <w:marTop w:val="0"/>
          <w:marBottom w:val="0"/>
          <w:divBdr>
            <w:top w:val="none" w:sz="0" w:space="0" w:color="auto"/>
            <w:left w:val="none" w:sz="0" w:space="0" w:color="auto"/>
            <w:bottom w:val="none" w:sz="0" w:space="0" w:color="auto"/>
            <w:right w:val="none" w:sz="0" w:space="0" w:color="auto"/>
          </w:divBdr>
          <w:divsChild>
            <w:div w:id="347799813">
              <w:marLeft w:val="0"/>
              <w:marRight w:val="0"/>
              <w:marTop w:val="0"/>
              <w:marBottom w:val="0"/>
              <w:divBdr>
                <w:top w:val="none" w:sz="0" w:space="0" w:color="auto"/>
                <w:left w:val="none" w:sz="0" w:space="0" w:color="auto"/>
                <w:bottom w:val="none" w:sz="0" w:space="0" w:color="auto"/>
                <w:right w:val="none" w:sz="0" w:space="0" w:color="auto"/>
              </w:divBdr>
            </w:div>
          </w:divsChild>
        </w:div>
        <w:div w:id="949243224">
          <w:marLeft w:val="0"/>
          <w:marRight w:val="0"/>
          <w:marTop w:val="0"/>
          <w:marBottom w:val="0"/>
          <w:divBdr>
            <w:top w:val="none" w:sz="0" w:space="0" w:color="auto"/>
            <w:left w:val="none" w:sz="0" w:space="0" w:color="auto"/>
            <w:bottom w:val="none" w:sz="0" w:space="0" w:color="auto"/>
            <w:right w:val="none" w:sz="0" w:space="0" w:color="auto"/>
          </w:divBdr>
          <w:divsChild>
            <w:div w:id="859395670">
              <w:marLeft w:val="0"/>
              <w:marRight w:val="0"/>
              <w:marTop w:val="0"/>
              <w:marBottom w:val="0"/>
              <w:divBdr>
                <w:top w:val="none" w:sz="0" w:space="0" w:color="auto"/>
                <w:left w:val="none" w:sz="0" w:space="0" w:color="auto"/>
                <w:bottom w:val="none" w:sz="0" w:space="0" w:color="auto"/>
                <w:right w:val="none" w:sz="0" w:space="0" w:color="auto"/>
              </w:divBdr>
            </w:div>
          </w:divsChild>
        </w:div>
        <w:div w:id="1041175764">
          <w:marLeft w:val="0"/>
          <w:marRight w:val="0"/>
          <w:marTop w:val="0"/>
          <w:marBottom w:val="0"/>
          <w:divBdr>
            <w:top w:val="none" w:sz="0" w:space="0" w:color="auto"/>
            <w:left w:val="none" w:sz="0" w:space="0" w:color="auto"/>
            <w:bottom w:val="none" w:sz="0" w:space="0" w:color="auto"/>
            <w:right w:val="none" w:sz="0" w:space="0" w:color="auto"/>
          </w:divBdr>
          <w:divsChild>
            <w:div w:id="1629774496">
              <w:marLeft w:val="0"/>
              <w:marRight w:val="0"/>
              <w:marTop w:val="0"/>
              <w:marBottom w:val="0"/>
              <w:divBdr>
                <w:top w:val="none" w:sz="0" w:space="0" w:color="auto"/>
                <w:left w:val="none" w:sz="0" w:space="0" w:color="auto"/>
                <w:bottom w:val="none" w:sz="0" w:space="0" w:color="auto"/>
                <w:right w:val="none" w:sz="0" w:space="0" w:color="auto"/>
              </w:divBdr>
            </w:div>
          </w:divsChild>
        </w:div>
        <w:div w:id="1113398450">
          <w:marLeft w:val="0"/>
          <w:marRight w:val="0"/>
          <w:marTop w:val="0"/>
          <w:marBottom w:val="0"/>
          <w:divBdr>
            <w:top w:val="none" w:sz="0" w:space="0" w:color="auto"/>
            <w:left w:val="none" w:sz="0" w:space="0" w:color="auto"/>
            <w:bottom w:val="none" w:sz="0" w:space="0" w:color="auto"/>
            <w:right w:val="none" w:sz="0" w:space="0" w:color="auto"/>
          </w:divBdr>
          <w:divsChild>
            <w:div w:id="1146629955">
              <w:marLeft w:val="0"/>
              <w:marRight w:val="0"/>
              <w:marTop w:val="0"/>
              <w:marBottom w:val="0"/>
              <w:divBdr>
                <w:top w:val="none" w:sz="0" w:space="0" w:color="auto"/>
                <w:left w:val="none" w:sz="0" w:space="0" w:color="auto"/>
                <w:bottom w:val="none" w:sz="0" w:space="0" w:color="auto"/>
                <w:right w:val="none" w:sz="0" w:space="0" w:color="auto"/>
              </w:divBdr>
            </w:div>
          </w:divsChild>
        </w:div>
        <w:div w:id="1129131599">
          <w:marLeft w:val="0"/>
          <w:marRight w:val="0"/>
          <w:marTop w:val="0"/>
          <w:marBottom w:val="0"/>
          <w:divBdr>
            <w:top w:val="none" w:sz="0" w:space="0" w:color="auto"/>
            <w:left w:val="none" w:sz="0" w:space="0" w:color="auto"/>
            <w:bottom w:val="none" w:sz="0" w:space="0" w:color="auto"/>
            <w:right w:val="none" w:sz="0" w:space="0" w:color="auto"/>
          </w:divBdr>
          <w:divsChild>
            <w:div w:id="2060544926">
              <w:marLeft w:val="0"/>
              <w:marRight w:val="0"/>
              <w:marTop w:val="0"/>
              <w:marBottom w:val="0"/>
              <w:divBdr>
                <w:top w:val="none" w:sz="0" w:space="0" w:color="auto"/>
                <w:left w:val="none" w:sz="0" w:space="0" w:color="auto"/>
                <w:bottom w:val="none" w:sz="0" w:space="0" w:color="auto"/>
                <w:right w:val="none" w:sz="0" w:space="0" w:color="auto"/>
              </w:divBdr>
            </w:div>
          </w:divsChild>
        </w:div>
        <w:div w:id="1205826010">
          <w:marLeft w:val="0"/>
          <w:marRight w:val="0"/>
          <w:marTop w:val="0"/>
          <w:marBottom w:val="0"/>
          <w:divBdr>
            <w:top w:val="none" w:sz="0" w:space="0" w:color="auto"/>
            <w:left w:val="none" w:sz="0" w:space="0" w:color="auto"/>
            <w:bottom w:val="none" w:sz="0" w:space="0" w:color="auto"/>
            <w:right w:val="none" w:sz="0" w:space="0" w:color="auto"/>
          </w:divBdr>
          <w:divsChild>
            <w:div w:id="1627849350">
              <w:marLeft w:val="0"/>
              <w:marRight w:val="0"/>
              <w:marTop w:val="0"/>
              <w:marBottom w:val="0"/>
              <w:divBdr>
                <w:top w:val="none" w:sz="0" w:space="0" w:color="auto"/>
                <w:left w:val="none" w:sz="0" w:space="0" w:color="auto"/>
                <w:bottom w:val="none" w:sz="0" w:space="0" w:color="auto"/>
                <w:right w:val="none" w:sz="0" w:space="0" w:color="auto"/>
              </w:divBdr>
            </w:div>
          </w:divsChild>
        </w:div>
        <w:div w:id="1302615827">
          <w:marLeft w:val="0"/>
          <w:marRight w:val="0"/>
          <w:marTop w:val="0"/>
          <w:marBottom w:val="0"/>
          <w:divBdr>
            <w:top w:val="none" w:sz="0" w:space="0" w:color="auto"/>
            <w:left w:val="none" w:sz="0" w:space="0" w:color="auto"/>
            <w:bottom w:val="none" w:sz="0" w:space="0" w:color="auto"/>
            <w:right w:val="none" w:sz="0" w:space="0" w:color="auto"/>
          </w:divBdr>
          <w:divsChild>
            <w:div w:id="29693478">
              <w:marLeft w:val="0"/>
              <w:marRight w:val="0"/>
              <w:marTop w:val="0"/>
              <w:marBottom w:val="0"/>
              <w:divBdr>
                <w:top w:val="none" w:sz="0" w:space="0" w:color="auto"/>
                <w:left w:val="none" w:sz="0" w:space="0" w:color="auto"/>
                <w:bottom w:val="none" w:sz="0" w:space="0" w:color="auto"/>
                <w:right w:val="none" w:sz="0" w:space="0" w:color="auto"/>
              </w:divBdr>
            </w:div>
          </w:divsChild>
        </w:div>
        <w:div w:id="1543324036">
          <w:marLeft w:val="0"/>
          <w:marRight w:val="0"/>
          <w:marTop w:val="0"/>
          <w:marBottom w:val="0"/>
          <w:divBdr>
            <w:top w:val="none" w:sz="0" w:space="0" w:color="auto"/>
            <w:left w:val="none" w:sz="0" w:space="0" w:color="auto"/>
            <w:bottom w:val="none" w:sz="0" w:space="0" w:color="auto"/>
            <w:right w:val="none" w:sz="0" w:space="0" w:color="auto"/>
          </w:divBdr>
          <w:divsChild>
            <w:div w:id="652294701">
              <w:marLeft w:val="0"/>
              <w:marRight w:val="0"/>
              <w:marTop w:val="0"/>
              <w:marBottom w:val="0"/>
              <w:divBdr>
                <w:top w:val="none" w:sz="0" w:space="0" w:color="auto"/>
                <w:left w:val="none" w:sz="0" w:space="0" w:color="auto"/>
                <w:bottom w:val="none" w:sz="0" w:space="0" w:color="auto"/>
                <w:right w:val="none" w:sz="0" w:space="0" w:color="auto"/>
              </w:divBdr>
            </w:div>
          </w:divsChild>
        </w:div>
        <w:div w:id="1584488055">
          <w:marLeft w:val="0"/>
          <w:marRight w:val="0"/>
          <w:marTop w:val="0"/>
          <w:marBottom w:val="0"/>
          <w:divBdr>
            <w:top w:val="none" w:sz="0" w:space="0" w:color="auto"/>
            <w:left w:val="none" w:sz="0" w:space="0" w:color="auto"/>
            <w:bottom w:val="none" w:sz="0" w:space="0" w:color="auto"/>
            <w:right w:val="none" w:sz="0" w:space="0" w:color="auto"/>
          </w:divBdr>
          <w:divsChild>
            <w:div w:id="610211120">
              <w:marLeft w:val="0"/>
              <w:marRight w:val="0"/>
              <w:marTop w:val="0"/>
              <w:marBottom w:val="0"/>
              <w:divBdr>
                <w:top w:val="none" w:sz="0" w:space="0" w:color="auto"/>
                <w:left w:val="none" w:sz="0" w:space="0" w:color="auto"/>
                <w:bottom w:val="none" w:sz="0" w:space="0" w:color="auto"/>
                <w:right w:val="none" w:sz="0" w:space="0" w:color="auto"/>
              </w:divBdr>
            </w:div>
          </w:divsChild>
        </w:div>
        <w:div w:id="1584988483">
          <w:marLeft w:val="0"/>
          <w:marRight w:val="0"/>
          <w:marTop w:val="0"/>
          <w:marBottom w:val="0"/>
          <w:divBdr>
            <w:top w:val="none" w:sz="0" w:space="0" w:color="auto"/>
            <w:left w:val="none" w:sz="0" w:space="0" w:color="auto"/>
            <w:bottom w:val="none" w:sz="0" w:space="0" w:color="auto"/>
            <w:right w:val="none" w:sz="0" w:space="0" w:color="auto"/>
          </w:divBdr>
          <w:divsChild>
            <w:div w:id="662859236">
              <w:marLeft w:val="0"/>
              <w:marRight w:val="0"/>
              <w:marTop w:val="0"/>
              <w:marBottom w:val="0"/>
              <w:divBdr>
                <w:top w:val="none" w:sz="0" w:space="0" w:color="auto"/>
                <w:left w:val="none" w:sz="0" w:space="0" w:color="auto"/>
                <w:bottom w:val="none" w:sz="0" w:space="0" w:color="auto"/>
                <w:right w:val="none" w:sz="0" w:space="0" w:color="auto"/>
              </w:divBdr>
            </w:div>
          </w:divsChild>
        </w:div>
        <w:div w:id="1653832763">
          <w:marLeft w:val="0"/>
          <w:marRight w:val="0"/>
          <w:marTop w:val="0"/>
          <w:marBottom w:val="0"/>
          <w:divBdr>
            <w:top w:val="none" w:sz="0" w:space="0" w:color="auto"/>
            <w:left w:val="none" w:sz="0" w:space="0" w:color="auto"/>
            <w:bottom w:val="none" w:sz="0" w:space="0" w:color="auto"/>
            <w:right w:val="none" w:sz="0" w:space="0" w:color="auto"/>
          </w:divBdr>
          <w:divsChild>
            <w:div w:id="179205771">
              <w:marLeft w:val="0"/>
              <w:marRight w:val="0"/>
              <w:marTop w:val="0"/>
              <w:marBottom w:val="0"/>
              <w:divBdr>
                <w:top w:val="none" w:sz="0" w:space="0" w:color="auto"/>
                <w:left w:val="none" w:sz="0" w:space="0" w:color="auto"/>
                <w:bottom w:val="none" w:sz="0" w:space="0" w:color="auto"/>
                <w:right w:val="none" w:sz="0" w:space="0" w:color="auto"/>
              </w:divBdr>
            </w:div>
          </w:divsChild>
        </w:div>
        <w:div w:id="1752434259">
          <w:marLeft w:val="0"/>
          <w:marRight w:val="0"/>
          <w:marTop w:val="0"/>
          <w:marBottom w:val="0"/>
          <w:divBdr>
            <w:top w:val="none" w:sz="0" w:space="0" w:color="auto"/>
            <w:left w:val="none" w:sz="0" w:space="0" w:color="auto"/>
            <w:bottom w:val="none" w:sz="0" w:space="0" w:color="auto"/>
            <w:right w:val="none" w:sz="0" w:space="0" w:color="auto"/>
          </w:divBdr>
          <w:divsChild>
            <w:div w:id="1143961828">
              <w:marLeft w:val="0"/>
              <w:marRight w:val="0"/>
              <w:marTop w:val="0"/>
              <w:marBottom w:val="0"/>
              <w:divBdr>
                <w:top w:val="none" w:sz="0" w:space="0" w:color="auto"/>
                <w:left w:val="none" w:sz="0" w:space="0" w:color="auto"/>
                <w:bottom w:val="none" w:sz="0" w:space="0" w:color="auto"/>
                <w:right w:val="none" w:sz="0" w:space="0" w:color="auto"/>
              </w:divBdr>
            </w:div>
          </w:divsChild>
        </w:div>
        <w:div w:id="1960838973">
          <w:marLeft w:val="0"/>
          <w:marRight w:val="0"/>
          <w:marTop w:val="0"/>
          <w:marBottom w:val="0"/>
          <w:divBdr>
            <w:top w:val="none" w:sz="0" w:space="0" w:color="auto"/>
            <w:left w:val="none" w:sz="0" w:space="0" w:color="auto"/>
            <w:bottom w:val="none" w:sz="0" w:space="0" w:color="auto"/>
            <w:right w:val="none" w:sz="0" w:space="0" w:color="auto"/>
          </w:divBdr>
          <w:divsChild>
            <w:div w:id="18731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623">
      <w:bodyDiv w:val="1"/>
      <w:marLeft w:val="0"/>
      <w:marRight w:val="0"/>
      <w:marTop w:val="0"/>
      <w:marBottom w:val="0"/>
      <w:divBdr>
        <w:top w:val="none" w:sz="0" w:space="0" w:color="auto"/>
        <w:left w:val="none" w:sz="0" w:space="0" w:color="auto"/>
        <w:bottom w:val="none" w:sz="0" w:space="0" w:color="auto"/>
        <w:right w:val="none" w:sz="0" w:space="0" w:color="auto"/>
      </w:divBdr>
      <w:divsChild>
        <w:div w:id="7492912">
          <w:marLeft w:val="0"/>
          <w:marRight w:val="0"/>
          <w:marTop w:val="0"/>
          <w:marBottom w:val="0"/>
          <w:divBdr>
            <w:top w:val="none" w:sz="0" w:space="0" w:color="auto"/>
            <w:left w:val="none" w:sz="0" w:space="0" w:color="auto"/>
            <w:bottom w:val="none" w:sz="0" w:space="0" w:color="auto"/>
            <w:right w:val="none" w:sz="0" w:space="0" w:color="auto"/>
          </w:divBdr>
          <w:divsChild>
            <w:div w:id="406075848">
              <w:marLeft w:val="0"/>
              <w:marRight w:val="0"/>
              <w:marTop w:val="0"/>
              <w:marBottom w:val="0"/>
              <w:divBdr>
                <w:top w:val="none" w:sz="0" w:space="0" w:color="auto"/>
                <w:left w:val="none" w:sz="0" w:space="0" w:color="auto"/>
                <w:bottom w:val="none" w:sz="0" w:space="0" w:color="auto"/>
                <w:right w:val="none" w:sz="0" w:space="0" w:color="auto"/>
              </w:divBdr>
            </w:div>
            <w:div w:id="1700233191">
              <w:marLeft w:val="0"/>
              <w:marRight w:val="0"/>
              <w:marTop w:val="0"/>
              <w:marBottom w:val="0"/>
              <w:divBdr>
                <w:top w:val="none" w:sz="0" w:space="0" w:color="auto"/>
                <w:left w:val="none" w:sz="0" w:space="0" w:color="auto"/>
                <w:bottom w:val="none" w:sz="0" w:space="0" w:color="auto"/>
                <w:right w:val="none" w:sz="0" w:space="0" w:color="auto"/>
              </w:divBdr>
            </w:div>
            <w:div w:id="1720740191">
              <w:marLeft w:val="0"/>
              <w:marRight w:val="0"/>
              <w:marTop w:val="0"/>
              <w:marBottom w:val="0"/>
              <w:divBdr>
                <w:top w:val="none" w:sz="0" w:space="0" w:color="auto"/>
                <w:left w:val="none" w:sz="0" w:space="0" w:color="auto"/>
                <w:bottom w:val="none" w:sz="0" w:space="0" w:color="auto"/>
                <w:right w:val="none" w:sz="0" w:space="0" w:color="auto"/>
              </w:divBdr>
            </w:div>
          </w:divsChild>
        </w:div>
        <w:div w:id="721633550">
          <w:marLeft w:val="0"/>
          <w:marRight w:val="0"/>
          <w:marTop w:val="0"/>
          <w:marBottom w:val="0"/>
          <w:divBdr>
            <w:top w:val="none" w:sz="0" w:space="0" w:color="auto"/>
            <w:left w:val="none" w:sz="0" w:space="0" w:color="auto"/>
            <w:bottom w:val="none" w:sz="0" w:space="0" w:color="auto"/>
            <w:right w:val="none" w:sz="0" w:space="0" w:color="auto"/>
          </w:divBdr>
          <w:divsChild>
            <w:div w:id="583608541">
              <w:marLeft w:val="0"/>
              <w:marRight w:val="0"/>
              <w:marTop w:val="0"/>
              <w:marBottom w:val="0"/>
              <w:divBdr>
                <w:top w:val="none" w:sz="0" w:space="0" w:color="auto"/>
                <w:left w:val="none" w:sz="0" w:space="0" w:color="auto"/>
                <w:bottom w:val="none" w:sz="0" w:space="0" w:color="auto"/>
                <w:right w:val="none" w:sz="0" w:space="0" w:color="auto"/>
              </w:divBdr>
            </w:div>
            <w:div w:id="11980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7015">
      <w:bodyDiv w:val="1"/>
      <w:marLeft w:val="0"/>
      <w:marRight w:val="0"/>
      <w:marTop w:val="0"/>
      <w:marBottom w:val="0"/>
      <w:divBdr>
        <w:top w:val="none" w:sz="0" w:space="0" w:color="auto"/>
        <w:left w:val="none" w:sz="0" w:space="0" w:color="auto"/>
        <w:bottom w:val="none" w:sz="0" w:space="0" w:color="auto"/>
        <w:right w:val="none" w:sz="0" w:space="0" w:color="auto"/>
      </w:divBdr>
      <w:divsChild>
        <w:div w:id="135220414">
          <w:marLeft w:val="0"/>
          <w:marRight w:val="0"/>
          <w:marTop w:val="0"/>
          <w:marBottom w:val="0"/>
          <w:divBdr>
            <w:top w:val="none" w:sz="0" w:space="0" w:color="auto"/>
            <w:left w:val="none" w:sz="0" w:space="0" w:color="auto"/>
            <w:bottom w:val="none" w:sz="0" w:space="0" w:color="auto"/>
            <w:right w:val="none" w:sz="0" w:space="0" w:color="auto"/>
          </w:divBdr>
        </w:div>
        <w:div w:id="262227591">
          <w:marLeft w:val="0"/>
          <w:marRight w:val="0"/>
          <w:marTop w:val="0"/>
          <w:marBottom w:val="0"/>
          <w:divBdr>
            <w:top w:val="none" w:sz="0" w:space="0" w:color="auto"/>
            <w:left w:val="none" w:sz="0" w:space="0" w:color="auto"/>
            <w:bottom w:val="none" w:sz="0" w:space="0" w:color="auto"/>
            <w:right w:val="none" w:sz="0" w:space="0" w:color="auto"/>
          </w:divBdr>
        </w:div>
        <w:div w:id="283587308">
          <w:marLeft w:val="0"/>
          <w:marRight w:val="0"/>
          <w:marTop w:val="0"/>
          <w:marBottom w:val="0"/>
          <w:divBdr>
            <w:top w:val="none" w:sz="0" w:space="0" w:color="auto"/>
            <w:left w:val="none" w:sz="0" w:space="0" w:color="auto"/>
            <w:bottom w:val="none" w:sz="0" w:space="0" w:color="auto"/>
            <w:right w:val="none" w:sz="0" w:space="0" w:color="auto"/>
          </w:divBdr>
        </w:div>
        <w:div w:id="354159209">
          <w:marLeft w:val="0"/>
          <w:marRight w:val="0"/>
          <w:marTop w:val="0"/>
          <w:marBottom w:val="0"/>
          <w:divBdr>
            <w:top w:val="none" w:sz="0" w:space="0" w:color="auto"/>
            <w:left w:val="none" w:sz="0" w:space="0" w:color="auto"/>
            <w:bottom w:val="none" w:sz="0" w:space="0" w:color="auto"/>
            <w:right w:val="none" w:sz="0" w:space="0" w:color="auto"/>
          </w:divBdr>
        </w:div>
        <w:div w:id="389959038">
          <w:marLeft w:val="0"/>
          <w:marRight w:val="0"/>
          <w:marTop w:val="0"/>
          <w:marBottom w:val="0"/>
          <w:divBdr>
            <w:top w:val="none" w:sz="0" w:space="0" w:color="auto"/>
            <w:left w:val="none" w:sz="0" w:space="0" w:color="auto"/>
            <w:bottom w:val="none" w:sz="0" w:space="0" w:color="auto"/>
            <w:right w:val="none" w:sz="0" w:space="0" w:color="auto"/>
          </w:divBdr>
        </w:div>
        <w:div w:id="412632113">
          <w:marLeft w:val="0"/>
          <w:marRight w:val="0"/>
          <w:marTop w:val="0"/>
          <w:marBottom w:val="0"/>
          <w:divBdr>
            <w:top w:val="none" w:sz="0" w:space="0" w:color="auto"/>
            <w:left w:val="none" w:sz="0" w:space="0" w:color="auto"/>
            <w:bottom w:val="none" w:sz="0" w:space="0" w:color="auto"/>
            <w:right w:val="none" w:sz="0" w:space="0" w:color="auto"/>
          </w:divBdr>
        </w:div>
        <w:div w:id="422067678">
          <w:marLeft w:val="0"/>
          <w:marRight w:val="0"/>
          <w:marTop w:val="0"/>
          <w:marBottom w:val="0"/>
          <w:divBdr>
            <w:top w:val="none" w:sz="0" w:space="0" w:color="auto"/>
            <w:left w:val="none" w:sz="0" w:space="0" w:color="auto"/>
            <w:bottom w:val="none" w:sz="0" w:space="0" w:color="auto"/>
            <w:right w:val="none" w:sz="0" w:space="0" w:color="auto"/>
          </w:divBdr>
        </w:div>
        <w:div w:id="435095792">
          <w:marLeft w:val="0"/>
          <w:marRight w:val="0"/>
          <w:marTop w:val="0"/>
          <w:marBottom w:val="0"/>
          <w:divBdr>
            <w:top w:val="none" w:sz="0" w:space="0" w:color="auto"/>
            <w:left w:val="none" w:sz="0" w:space="0" w:color="auto"/>
            <w:bottom w:val="none" w:sz="0" w:space="0" w:color="auto"/>
            <w:right w:val="none" w:sz="0" w:space="0" w:color="auto"/>
          </w:divBdr>
        </w:div>
        <w:div w:id="548996545">
          <w:marLeft w:val="0"/>
          <w:marRight w:val="0"/>
          <w:marTop w:val="0"/>
          <w:marBottom w:val="0"/>
          <w:divBdr>
            <w:top w:val="none" w:sz="0" w:space="0" w:color="auto"/>
            <w:left w:val="none" w:sz="0" w:space="0" w:color="auto"/>
            <w:bottom w:val="none" w:sz="0" w:space="0" w:color="auto"/>
            <w:right w:val="none" w:sz="0" w:space="0" w:color="auto"/>
          </w:divBdr>
        </w:div>
        <w:div w:id="556403550">
          <w:marLeft w:val="0"/>
          <w:marRight w:val="0"/>
          <w:marTop w:val="0"/>
          <w:marBottom w:val="0"/>
          <w:divBdr>
            <w:top w:val="none" w:sz="0" w:space="0" w:color="auto"/>
            <w:left w:val="none" w:sz="0" w:space="0" w:color="auto"/>
            <w:bottom w:val="none" w:sz="0" w:space="0" w:color="auto"/>
            <w:right w:val="none" w:sz="0" w:space="0" w:color="auto"/>
          </w:divBdr>
        </w:div>
        <w:div w:id="623195497">
          <w:marLeft w:val="0"/>
          <w:marRight w:val="0"/>
          <w:marTop w:val="0"/>
          <w:marBottom w:val="0"/>
          <w:divBdr>
            <w:top w:val="none" w:sz="0" w:space="0" w:color="auto"/>
            <w:left w:val="none" w:sz="0" w:space="0" w:color="auto"/>
            <w:bottom w:val="none" w:sz="0" w:space="0" w:color="auto"/>
            <w:right w:val="none" w:sz="0" w:space="0" w:color="auto"/>
          </w:divBdr>
        </w:div>
        <w:div w:id="634914818">
          <w:marLeft w:val="0"/>
          <w:marRight w:val="0"/>
          <w:marTop w:val="0"/>
          <w:marBottom w:val="0"/>
          <w:divBdr>
            <w:top w:val="none" w:sz="0" w:space="0" w:color="auto"/>
            <w:left w:val="none" w:sz="0" w:space="0" w:color="auto"/>
            <w:bottom w:val="none" w:sz="0" w:space="0" w:color="auto"/>
            <w:right w:val="none" w:sz="0" w:space="0" w:color="auto"/>
          </w:divBdr>
        </w:div>
        <w:div w:id="678502865">
          <w:marLeft w:val="0"/>
          <w:marRight w:val="0"/>
          <w:marTop w:val="0"/>
          <w:marBottom w:val="0"/>
          <w:divBdr>
            <w:top w:val="none" w:sz="0" w:space="0" w:color="auto"/>
            <w:left w:val="none" w:sz="0" w:space="0" w:color="auto"/>
            <w:bottom w:val="none" w:sz="0" w:space="0" w:color="auto"/>
            <w:right w:val="none" w:sz="0" w:space="0" w:color="auto"/>
          </w:divBdr>
        </w:div>
        <w:div w:id="690568312">
          <w:marLeft w:val="0"/>
          <w:marRight w:val="0"/>
          <w:marTop w:val="0"/>
          <w:marBottom w:val="0"/>
          <w:divBdr>
            <w:top w:val="none" w:sz="0" w:space="0" w:color="auto"/>
            <w:left w:val="none" w:sz="0" w:space="0" w:color="auto"/>
            <w:bottom w:val="none" w:sz="0" w:space="0" w:color="auto"/>
            <w:right w:val="none" w:sz="0" w:space="0" w:color="auto"/>
          </w:divBdr>
        </w:div>
        <w:div w:id="823931724">
          <w:marLeft w:val="0"/>
          <w:marRight w:val="0"/>
          <w:marTop w:val="0"/>
          <w:marBottom w:val="0"/>
          <w:divBdr>
            <w:top w:val="none" w:sz="0" w:space="0" w:color="auto"/>
            <w:left w:val="none" w:sz="0" w:space="0" w:color="auto"/>
            <w:bottom w:val="none" w:sz="0" w:space="0" w:color="auto"/>
            <w:right w:val="none" w:sz="0" w:space="0" w:color="auto"/>
          </w:divBdr>
        </w:div>
        <w:div w:id="957564202">
          <w:marLeft w:val="0"/>
          <w:marRight w:val="0"/>
          <w:marTop w:val="0"/>
          <w:marBottom w:val="0"/>
          <w:divBdr>
            <w:top w:val="none" w:sz="0" w:space="0" w:color="auto"/>
            <w:left w:val="none" w:sz="0" w:space="0" w:color="auto"/>
            <w:bottom w:val="none" w:sz="0" w:space="0" w:color="auto"/>
            <w:right w:val="none" w:sz="0" w:space="0" w:color="auto"/>
          </w:divBdr>
        </w:div>
        <w:div w:id="1056123148">
          <w:marLeft w:val="0"/>
          <w:marRight w:val="0"/>
          <w:marTop w:val="0"/>
          <w:marBottom w:val="0"/>
          <w:divBdr>
            <w:top w:val="none" w:sz="0" w:space="0" w:color="auto"/>
            <w:left w:val="none" w:sz="0" w:space="0" w:color="auto"/>
            <w:bottom w:val="none" w:sz="0" w:space="0" w:color="auto"/>
            <w:right w:val="none" w:sz="0" w:space="0" w:color="auto"/>
          </w:divBdr>
        </w:div>
        <w:div w:id="1065883775">
          <w:marLeft w:val="0"/>
          <w:marRight w:val="0"/>
          <w:marTop w:val="0"/>
          <w:marBottom w:val="0"/>
          <w:divBdr>
            <w:top w:val="none" w:sz="0" w:space="0" w:color="auto"/>
            <w:left w:val="none" w:sz="0" w:space="0" w:color="auto"/>
            <w:bottom w:val="none" w:sz="0" w:space="0" w:color="auto"/>
            <w:right w:val="none" w:sz="0" w:space="0" w:color="auto"/>
          </w:divBdr>
        </w:div>
        <w:div w:id="1128165131">
          <w:marLeft w:val="0"/>
          <w:marRight w:val="0"/>
          <w:marTop w:val="0"/>
          <w:marBottom w:val="0"/>
          <w:divBdr>
            <w:top w:val="none" w:sz="0" w:space="0" w:color="auto"/>
            <w:left w:val="none" w:sz="0" w:space="0" w:color="auto"/>
            <w:bottom w:val="none" w:sz="0" w:space="0" w:color="auto"/>
            <w:right w:val="none" w:sz="0" w:space="0" w:color="auto"/>
          </w:divBdr>
        </w:div>
        <w:div w:id="1222863215">
          <w:marLeft w:val="0"/>
          <w:marRight w:val="0"/>
          <w:marTop w:val="0"/>
          <w:marBottom w:val="0"/>
          <w:divBdr>
            <w:top w:val="none" w:sz="0" w:space="0" w:color="auto"/>
            <w:left w:val="none" w:sz="0" w:space="0" w:color="auto"/>
            <w:bottom w:val="none" w:sz="0" w:space="0" w:color="auto"/>
            <w:right w:val="none" w:sz="0" w:space="0" w:color="auto"/>
          </w:divBdr>
        </w:div>
        <w:div w:id="1304039273">
          <w:marLeft w:val="0"/>
          <w:marRight w:val="0"/>
          <w:marTop w:val="0"/>
          <w:marBottom w:val="0"/>
          <w:divBdr>
            <w:top w:val="none" w:sz="0" w:space="0" w:color="auto"/>
            <w:left w:val="none" w:sz="0" w:space="0" w:color="auto"/>
            <w:bottom w:val="none" w:sz="0" w:space="0" w:color="auto"/>
            <w:right w:val="none" w:sz="0" w:space="0" w:color="auto"/>
          </w:divBdr>
        </w:div>
        <w:div w:id="1314868352">
          <w:marLeft w:val="0"/>
          <w:marRight w:val="0"/>
          <w:marTop w:val="0"/>
          <w:marBottom w:val="0"/>
          <w:divBdr>
            <w:top w:val="none" w:sz="0" w:space="0" w:color="auto"/>
            <w:left w:val="none" w:sz="0" w:space="0" w:color="auto"/>
            <w:bottom w:val="none" w:sz="0" w:space="0" w:color="auto"/>
            <w:right w:val="none" w:sz="0" w:space="0" w:color="auto"/>
          </w:divBdr>
        </w:div>
        <w:div w:id="1327976952">
          <w:marLeft w:val="0"/>
          <w:marRight w:val="0"/>
          <w:marTop w:val="0"/>
          <w:marBottom w:val="0"/>
          <w:divBdr>
            <w:top w:val="none" w:sz="0" w:space="0" w:color="auto"/>
            <w:left w:val="none" w:sz="0" w:space="0" w:color="auto"/>
            <w:bottom w:val="none" w:sz="0" w:space="0" w:color="auto"/>
            <w:right w:val="none" w:sz="0" w:space="0" w:color="auto"/>
          </w:divBdr>
        </w:div>
        <w:div w:id="1487672011">
          <w:marLeft w:val="0"/>
          <w:marRight w:val="0"/>
          <w:marTop w:val="0"/>
          <w:marBottom w:val="0"/>
          <w:divBdr>
            <w:top w:val="none" w:sz="0" w:space="0" w:color="auto"/>
            <w:left w:val="none" w:sz="0" w:space="0" w:color="auto"/>
            <w:bottom w:val="none" w:sz="0" w:space="0" w:color="auto"/>
            <w:right w:val="none" w:sz="0" w:space="0" w:color="auto"/>
          </w:divBdr>
        </w:div>
        <w:div w:id="1492208624">
          <w:marLeft w:val="0"/>
          <w:marRight w:val="0"/>
          <w:marTop w:val="0"/>
          <w:marBottom w:val="0"/>
          <w:divBdr>
            <w:top w:val="none" w:sz="0" w:space="0" w:color="auto"/>
            <w:left w:val="none" w:sz="0" w:space="0" w:color="auto"/>
            <w:bottom w:val="none" w:sz="0" w:space="0" w:color="auto"/>
            <w:right w:val="none" w:sz="0" w:space="0" w:color="auto"/>
          </w:divBdr>
        </w:div>
        <w:div w:id="1521234471">
          <w:marLeft w:val="0"/>
          <w:marRight w:val="0"/>
          <w:marTop w:val="0"/>
          <w:marBottom w:val="0"/>
          <w:divBdr>
            <w:top w:val="none" w:sz="0" w:space="0" w:color="auto"/>
            <w:left w:val="none" w:sz="0" w:space="0" w:color="auto"/>
            <w:bottom w:val="none" w:sz="0" w:space="0" w:color="auto"/>
            <w:right w:val="none" w:sz="0" w:space="0" w:color="auto"/>
          </w:divBdr>
        </w:div>
        <w:div w:id="1565217324">
          <w:marLeft w:val="0"/>
          <w:marRight w:val="0"/>
          <w:marTop w:val="0"/>
          <w:marBottom w:val="0"/>
          <w:divBdr>
            <w:top w:val="none" w:sz="0" w:space="0" w:color="auto"/>
            <w:left w:val="none" w:sz="0" w:space="0" w:color="auto"/>
            <w:bottom w:val="none" w:sz="0" w:space="0" w:color="auto"/>
            <w:right w:val="none" w:sz="0" w:space="0" w:color="auto"/>
          </w:divBdr>
        </w:div>
        <w:div w:id="1693267451">
          <w:marLeft w:val="0"/>
          <w:marRight w:val="0"/>
          <w:marTop w:val="0"/>
          <w:marBottom w:val="0"/>
          <w:divBdr>
            <w:top w:val="none" w:sz="0" w:space="0" w:color="auto"/>
            <w:left w:val="none" w:sz="0" w:space="0" w:color="auto"/>
            <w:bottom w:val="none" w:sz="0" w:space="0" w:color="auto"/>
            <w:right w:val="none" w:sz="0" w:space="0" w:color="auto"/>
          </w:divBdr>
        </w:div>
        <w:div w:id="1741518899">
          <w:marLeft w:val="0"/>
          <w:marRight w:val="0"/>
          <w:marTop w:val="0"/>
          <w:marBottom w:val="0"/>
          <w:divBdr>
            <w:top w:val="none" w:sz="0" w:space="0" w:color="auto"/>
            <w:left w:val="none" w:sz="0" w:space="0" w:color="auto"/>
            <w:bottom w:val="none" w:sz="0" w:space="0" w:color="auto"/>
            <w:right w:val="none" w:sz="0" w:space="0" w:color="auto"/>
          </w:divBdr>
        </w:div>
        <w:div w:id="1853910872">
          <w:marLeft w:val="0"/>
          <w:marRight w:val="0"/>
          <w:marTop w:val="0"/>
          <w:marBottom w:val="0"/>
          <w:divBdr>
            <w:top w:val="none" w:sz="0" w:space="0" w:color="auto"/>
            <w:left w:val="none" w:sz="0" w:space="0" w:color="auto"/>
            <w:bottom w:val="none" w:sz="0" w:space="0" w:color="auto"/>
            <w:right w:val="none" w:sz="0" w:space="0" w:color="auto"/>
          </w:divBdr>
        </w:div>
        <w:div w:id="1974673547">
          <w:marLeft w:val="0"/>
          <w:marRight w:val="0"/>
          <w:marTop w:val="0"/>
          <w:marBottom w:val="0"/>
          <w:divBdr>
            <w:top w:val="none" w:sz="0" w:space="0" w:color="auto"/>
            <w:left w:val="none" w:sz="0" w:space="0" w:color="auto"/>
            <w:bottom w:val="none" w:sz="0" w:space="0" w:color="auto"/>
            <w:right w:val="none" w:sz="0" w:space="0" w:color="auto"/>
          </w:divBdr>
        </w:div>
        <w:div w:id="2012831358">
          <w:marLeft w:val="0"/>
          <w:marRight w:val="0"/>
          <w:marTop w:val="0"/>
          <w:marBottom w:val="0"/>
          <w:divBdr>
            <w:top w:val="none" w:sz="0" w:space="0" w:color="auto"/>
            <w:left w:val="none" w:sz="0" w:space="0" w:color="auto"/>
            <w:bottom w:val="none" w:sz="0" w:space="0" w:color="auto"/>
            <w:right w:val="none" w:sz="0" w:space="0" w:color="auto"/>
          </w:divBdr>
        </w:div>
        <w:div w:id="2034187781">
          <w:marLeft w:val="0"/>
          <w:marRight w:val="0"/>
          <w:marTop w:val="0"/>
          <w:marBottom w:val="0"/>
          <w:divBdr>
            <w:top w:val="none" w:sz="0" w:space="0" w:color="auto"/>
            <w:left w:val="none" w:sz="0" w:space="0" w:color="auto"/>
            <w:bottom w:val="none" w:sz="0" w:space="0" w:color="auto"/>
            <w:right w:val="none" w:sz="0" w:space="0" w:color="auto"/>
          </w:divBdr>
        </w:div>
        <w:div w:id="2042507762">
          <w:marLeft w:val="0"/>
          <w:marRight w:val="0"/>
          <w:marTop w:val="0"/>
          <w:marBottom w:val="0"/>
          <w:divBdr>
            <w:top w:val="none" w:sz="0" w:space="0" w:color="auto"/>
            <w:left w:val="none" w:sz="0" w:space="0" w:color="auto"/>
            <w:bottom w:val="none" w:sz="0" w:space="0" w:color="auto"/>
            <w:right w:val="none" w:sz="0" w:space="0" w:color="auto"/>
          </w:divBdr>
        </w:div>
      </w:divsChild>
    </w:div>
    <w:div w:id="2094353115">
      <w:bodyDiv w:val="1"/>
      <w:marLeft w:val="0"/>
      <w:marRight w:val="0"/>
      <w:marTop w:val="0"/>
      <w:marBottom w:val="0"/>
      <w:divBdr>
        <w:top w:val="none" w:sz="0" w:space="0" w:color="auto"/>
        <w:left w:val="none" w:sz="0" w:space="0" w:color="auto"/>
        <w:bottom w:val="none" w:sz="0" w:space="0" w:color="auto"/>
        <w:right w:val="none" w:sz="0" w:space="0" w:color="auto"/>
      </w:divBdr>
      <w:divsChild>
        <w:div w:id="101149742">
          <w:marLeft w:val="0"/>
          <w:marRight w:val="0"/>
          <w:marTop w:val="0"/>
          <w:marBottom w:val="0"/>
          <w:divBdr>
            <w:top w:val="none" w:sz="0" w:space="0" w:color="auto"/>
            <w:left w:val="none" w:sz="0" w:space="0" w:color="auto"/>
            <w:bottom w:val="none" w:sz="0" w:space="0" w:color="auto"/>
            <w:right w:val="none" w:sz="0" w:space="0" w:color="auto"/>
          </w:divBdr>
        </w:div>
        <w:div w:id="109982113">
          <w:marLeft w:val="0"/>
          <w:marRight w:val="0"/>
          <w:marTop w:val="0"/>
          <w:marBottom w:val="0"/>
          <w:divBdr>
            <w:top w:val="none" w:sz="0" w:space="0" w:color="auto"/>
            <w:left w:val="none" w:sz="0" w:space="0" w:color="auto"/>
            <w:bottom w:val="none" w:sz="0" w:space="0" w:color="auto"/>
            <w:right w:val="none" w:sz="0" w:space="0" w:color="auto"/>
          </w:divBdr>
        </w:div>
        <w:div w:id="113906132">
          <w:marLeft w:val="0"/>
          <w:marRight w:val="0"/>
          <w:marTop w:val="0"/>
          <w:marBottom w:val="0"/>
          <w:divBdr>
            <w:top w:val="none" w:sz="0" w:space="0" w:color="auto"/>
            <w:left w:val="none" w:sz="0" w:space="0" w:color="auto"/>
            <w:bottom w:val="none" w:sz="0" w:space="0" w:color="auto"/>
            <w:right w:val="none" w:sz="0" w:space="0" w:color="auto"/>
          </w:divBdr>
        </w:div>
        <w:div w:id="125583604">
          <w:marLeft w:val="0"/>
          <w:marRight w:val="0"/>
          <w:marTop w:val="0"/>
          <w:marBottom w:val="0"/>
          <w:divBdr>
            <w:top w:val="none" w:sz="0" w:space="0" w:color="auto"/>
            <w:left w:val="none" w:sz="0" w:space="0" w:color="auto"/>
            <w:bottom w:val="none" w:sz="0" w:space="0" w:color="auto"/>
            <w:right w:val="none" w:sz="0" w:space="0" w:color="auto"/>
          </w:divBdr>
        </w:div>
        <w:div w:id="231085638">
          <w:marLeft w:val="0"/>
          <w:marRight w:val="0"/>
          <w:marTop w:val="0"/>
          <w:marBottom w:val="0"/>
          <w:divBdr>
            <w:top w:val="none" w:sz="0" w:space="0" w:color="auto"/>
            <w:left w:val="none" w:sz="0" w:space="0" w:color="auto"/>
            <w:bottom w:val="none" w:sz="0" w:space="0" w:color="auto"/>
            <w:right w:val="none" w:sz="0" w:space="0" w:color="auto"/>
          </w:divBdr>
        </w:div>
        <w:div w:id="248973444">
          <w:marLeft w:val="0"/>
          <w:marRight w:val="0"/>
          <w:marTop w:val="0"/>
          <w:marBottom w:val="0"/>
          <w:divBdr>
            <w:top w:val="none" w:sz="0" w:space="0" w:color="auto"/>
            <w:left w:val="none" w:sz="0" w:space="0" w:color="auto"/>
            <w:bottom w:val="none" w:sz="0" w:space="0" w:color="auto"/>
            <w:right w:val="none" w:sz="0" w:space="0" w:color="auto"/>
          </w:divBdr>
        </w:div>
        <w:div w:id="250313280">
          <w:marLeft w:val="0"/>
          <w:marRight w:val="0"/>
          <w:marTop w:val="0"/>
          <w:marBottom w:val="0"/>
          <w:divBdr>
            <w:top w:val="none" w:sz="0" w:space="0" w:color="auto"/>
            <w:left w:val="none" w:sz="0" w:space="0" w:color="auto"/>
            <w:bottom w:val="none" w:sz="0" w:space="0" w:color="auto"/>
            <w:right w:val="none" w:sz="0" w:space="0" w:color="auto"/>
          </w:divBdr>
        </w:div>
        <w:div w:id="276834572">
          <w:marLeft w:val="0"/>
          <w:marRight w:val="0"/>
          <w:marTop w:val="0"/>
          <w:marBottom w:val="0"/>
          <w:divBdr>
            <w:top w:val="none" w:sz="0" w:space="0" w:color="auto"/>
            <w:left w:val="none" w:sz="0" w:space="0" w:color="auto"/>
            <w:bottom w:val="none" w:sz="0" w:space="0" w:color="auto"/>
            <w:right w:val="none" w:sz="0" w:space="0" w:color="auto"/>
          </w:divBdr>
        </w:div>
        <w:div w:id="296833975">
          <w:marLeft w:val="0"/>
          <w:marRight w:val="0"/>
          <w:marTop w:val="0"/>
          <w:marBottom w:val="0"/>
          <w:divBdr>
            <w:top w:val="none" w:sz="0" w:space="0" w:color="auto"/>
            <w:left w:val="none" w:sz="0" w:space="0" w:color="auto"/>
            <w:bottom w:val="none" w:sz="0" w:space="0" w:color="auto"/>
            <w:right w:val="none" w:sz="0" w:space="0" w:color="auto"/>
          </w:divBdr>
        </w:div>
        <w:div w:id="322710103">
          <w:marLeft w:val="0"/>
          <w:marRight w:val="0"/>
          <w:marTop w:val="0"/>
          <w:marBottom w:val="0"/>
          <w:divBdr>
            <w:top w:val="none" w:sz="0" w:space="0" w:color="auto"/>
            <w:left w:val="none" w:sz="0" w:space="0" w:color="auto"/>
            <w:bottom w:val="none" w:sz="0" w:space="0" w:color="auto"/>
            <w:right w:val="none" w:sz="0" w:space="0" w:color="auto"/>
          </w:divBdr>
        </w:div>
        <w:div w:id="397171165">
          <w:marLeft w:val="0"/>
          <w:marRight w:val="0"/>
          <w:marTop w:val="0"/>
          <w:marBottom w:val="0"/>
          <w:divBdr>
            <w:top w:val="none" w:sz="0" w:space="0" w:color="auto"/>
            <w:left w:val="none" w:sz="0" w:space="0" w:color="auto"/>
            <w:bottom w:val="none" w:sz="0" w:space="0" w:color="auto"/>
            <w:right w:val="none" w:sz="0" w:space="0" w:color="auto"/>
          </w:divBdr>
        </w:div>
        <w:div w:id="419528032">
          <w:marLeft w:val="0"/>
          <w:marRight w:val="0"/>
          <w:marTop w:val="0"/>
          <w:marBottom w:val="0"/>
          <w:divBdr>
            <w:top w:val="none" w:sz="0" w:space="0" w:color="auto"/>
            <w:left w:val="none" w:sz="0" w:space="0" w:color="auto"/>
            <w:bottom w:val="none" w:sz="0" w:space="0" w:color="auto"/>
            <w:right w:val="none" w:sz="0" w:space="0" w:color="auto"/>
          </w:divBdr>
        </w:div>
        <w:div w:id="559755908">
          <w:marLeft w:val="0"/>
          <w:marRight w:val="0"/>
          <w:marTop w:val="0"/>
          <w:marBottom w:val="0"/>
          <w:divBdr>
            <w:top w:val="none" w:sz="0" w:space="0" w:color="auto"/>
            <w:left w:val="none" w:sz="0" w:space="0" w:color="auto"/>
            <w:bottom w:val="none" w:sz="0" w:space="0" w:color="auto"/>
            <w:right w:val="none" w:sz="0" w:space="0" w:color="auto"/>
          </w:divBdr>
        </w:div>
        <w:div w:id="580333367">
          <w:marLeft w:val="0"/>
          <w:marRight w:val="0"/>
          <w:marTop w:val="0"/>
          <w:marBottom w:val="0"/>
          <w:divBdr>
            <w:top w:val="none" w:sz="0" w:space="0" w:color="auto"/>
            <w:left w:val="none" w:sz="0" w:space="0" w:color="auto"/>
            <w:bottom w:val="none" w:sz="0" w:space="0" w:color="auto"/>
            <w:right w:val="none" w:sz="0" w:space="0" w:color="auto"/>
          </w:divBdr>
        </w:div>
        <w:div w:id="593903224">
          <w:marLeft w:val="0"/>
          <w:marRight w:val="0"/>
          <w:marTop w:val="0"/>
          <w:marBottom w:val="0"/>
          <w:divBdr>
            <w:top w:val="none" w:sz="0" w:space="0" w:color="auto"/>
            <w:left w:val="none" w:sz="0" w:space="0" w:color="auto"/>
            <w:bottom w:val="none" w:sz="0" w:space="0" w:color="auto"/>
            <w:right w:val="none" w:sz="0" w:space="0" w:color="auto"/>
          </w:divBdr>
        </w:div>
        <w:div w:id="615255106">
          <w:marLeft w:val="0"/>
          <w:marRight w:val="0"/>
          <w:marTop w:val="0"/>
          <w:marBottom w:val="0"/>
          <w:divBdr>
            <w:top w:val="none" w:sz="0" w:space="0" w:color="auto"/>
            <w:left w:val="none" w:sz="0" w:space="0" w:color="auto"/>
            <w:bottom w:val="none" w:sz="0" w:space="0" w:color="auto"/>
            <w:right w:val="none" w:sz="0" w:space="0" w:color="auto"/>
          </w:divBdr>
        </w:div>
        <w:div w:id="623511183">
          <w:marLeft w:val="0"/>
          <w:marRight w:val="0"/>
          <w:marTop w:val="0"/>
          <w:marBottom w:val="0"/>
          <w:divBdr>
            <w:top w:val="none" w:sz="0" w:space="0" w:color="auto"/>
            <w:left w:val="none" w:sz="0" w:space="0" w:color="auto"/>
            <w:bottom w:val="none" w:sz="0" w:space="0" w:color="auto"/>
            <w:right w:val="none" w:sz="0" w:space="0" w:color="auto"/>
          </w:divBdr>
        </w:div>
        <w:div w:id="653949552">
          <w:marLeft w:val="0"/>
          <w:marRight w:val="0"/>
          <w:marTop w:val="0"/>
          <w:marBottom w:val="0"/>
          <w:divBdr>
            <w:top w:val="none" w:sz="0" w:space="0" w:color="auto"/>
            <w:left w:val="none" w:sz="0" w:space="0" w:color="auto"/>
            <w:bottom w:val="none" w:sz="0" w:space="0" w:color="auto"/>
            <w:right w:val="none" w:sz="0" w:space="0" w:color="auto"/>
          </w:divBdr>
        </w:div>
        <w:div w:id="683366535">
          <w:marLeft w:val="0"/>
          <w:marRight w:val="0"/>
          <w:marTop w:val="0"/>
          <w:marBottom w:val="0"/>
          <w:divBdr>
            <w:top w:val="none" w:sz="0" w:space="0" w:color="auto"/>
            <w:left w:val="none" w:sz="0" w:space="0" w:color="auto"/>
            <w:bottom w:val="none" w:sz="0" w:space="0" w:color="auto"/>
            <w:right w:val="none" w:sz="0" w:space="0" w:color="auto"/>
          </w:divBdr>
        </w:div>
        <w:div w:id="688528994">
          <w:marLeft w:val="0"/>
          <w:marRight w:val="0"/>
          <w:marTop w:val="0"/>
          <w:marBottom w:val="0"/>
          <w:divBdr>
            <w:top w:val="none" w:sz="0" w:space="0" w:color="auto"/>
            <w:left w:val="none" w:sz="0" w:space="0" w:color="auto"/>
            <w:bottom w:val="none" w:sz="0" w:space="0" w:color="auto"/>
            <w:right w:val="none" w:sz="0" w:space="0" w:color="auto"/>
          </w:divBdr>
        </w:div>
        <w:div w:id="689376107">
          <w:marLeft w:val="0"/>
          <w:marRight w:val="0"/>
          <w:marTop w:val="0"/>
          <w:marBottom w:val="0"/>
          <w:divBdr>
            <w:top w:val="none" w:sz="0" w:space="0" w:color="auto"/>
            <w:left w:val="none" w:sz="0" w:space="0" w:color="auto"/>
            <w:bottom w:val="none" w:sz="0" w:space="0" w:color="auto"/>
            <w:right w:val="none" w:sz="0" w:space="0" w:color="auto"/>
          </w:divBdr>
        </w:div>
        <w:div w:id="863246837">
          <w:marLeft w:val="0"/>
          <w:marRight w:val="0"/>
          <w:marTop w:val="0"/>
          <w:marBottom w:val="0"/>
          <w:divBdr>
            <w:top w:val="none" w:sz="0" w:space="0" w:color="auto"/>
            <w:left w:val="none" w:sz="0" w:space="0" w:color="auto"/>
            <w:bottom w:val="none" w:sz="0" w:space="0" w:color="auto"/>
            <w:right w:val="none" w:sz="0" w:space="0" w:color="auto"/>
          </w:divBdr>
        </w:div>
        <w:div w:id="920218899">
          <w:marLeft w:val="0"/>
          <w:marRight w:val="0"/>
          <w:marTop w:val="0"/>
          <w:marBottom w:val="0"/>
          <w:divBdr>
            <w:top w:val="none" w:sz="0" w:space="0" w:color="auto"/>
            <w:left w:val="none" w:sz="0" w:space="0" w:color="auto"/>
            <w:bottom w:val="none" w:sz="0" w:space="0" w:color="auto"/>
            <w:right w:val="none" w:sz="0" w:space="0" w:color="auto"/>
          </w:divBdr>
        </w:div>
        <w:div w:id="964458615">
          <w:marLeft w:val="0"/>
          <w:marRight w:val="0"/>
          <w:marTop w:val="0"/>
          <w:marBottom w:val="0"/>
          <w:divBdr>
            <w:top w:val="none" w:sz="0" w:space="0" w:color="auto"/>
            <w:left w:val="none" w:sz="0" w:space="0" w:color="auto"/>
            <w:bottom w:val="none" w:sz="0" w:space="0" w:color="auto"/>
            <w:right w:val="none" w:sz="0" w:space="0" w:color="auto"/>
          </w:divBdr>
        </w:div>
        <w:div w:id="1086875526">
          <w:marLeft w:val="0"/>
          <w:marRight w:val="0"/>
          <w:marTop w:val="0"/>
          <w:marBottom w:val="0"/>
          <w:divBdr>
            <w:top w:val="none" w:sz="0" w:space="0" w:color="auto"/>
            <w:left w:val="none" w:sz="0" w:space="0" w:color="auto"/>
            <w:bottom w:val="none" w:sz="0" w:space="0" w:color="auto"/>
            <w:right w:val="none" w:sz="0" w:space="0" w:color="auto"/>
          </w:divBdr>
        </w:div>
        <w:div w:id="1130130374">
          <w:marLeft w:val="0"/>
          <w:marRight w:val="0"/>
          <w:marTop w:val="0"/>
          <w:marBottom w:val="0"/>
          <w:divBdr>
            <w:top w:val="none" w:sz="0" w:space="0" w:color="auto"/>
            <w:left w:val="none" w:sz="0" w:space="0" w:color="auto"/>
            <w:bottom w:val="none" w:sz="0" w:space="0" w:color="auto"/>
            <w:right w:val="none" w:sz="0" w:space="0" w:color="auto"/>
          </w:divBdr>
        </w:div>
        <w:div w:id="1159737992">
          <w:marLeft w:val="0"/>
          <w:marRight w:val="0"/>
          <w:marTop w:val="0"/>
          <w:marBottom w:val="0"/>
          <w:divBdr>
            <w:top w:val="none" w:sz="0" w:space="0" w:color="auto"/>
            <w:left w:val="none" w:sz="0" w:space="0" w:color="auto"/>
            <w:bottom w:val="none" w:sz="0" w:space="0" w:color="auto"/>
            <w:right w:val="none" w:sz="0" w:space="0" w:color="auto"/>
          </w:divBdr>
        </w:div>
        <w:div w:id="1188376398">
          <w:marLeft w:val="0"/>
          <w:marRight w:val="0"/>
          <w:marTop w:val="0"/>
          <w:marBottom w:val="0"/>
          <w:divBdr>
            <w:top w:val="none" w:sz="0" w:space="0" w:color="auto"/>
            <w:left w:val="none" w:sz="0" w:space="0" w:color="auto"/>
            <w:bottom w:val="none" w:sz="0" w:space="0" w:color="auto"/>
            <w:right w:val="none" w:sz="0" w:space="0" w:color="auto"/>
          </w:divBdr>
        </w:div>
        <w:div w:id="1199122302">
          <w:marLeft w:val="0"/>
          <w:marRight w:val="0"/>
          <w:marTop w:val="0"/>
          <w:marBottom w:val="0"/>
          <w:divBdr>
            <w:top w:val="none" w:sz="0" w:space="0" w:color="auto"/>
            <w:left w:val="none" w:sz="0" w:space="0" w:color="auto"/>
            <w:bottom w:val="none" w:sz="0" w:space="0" w:color="auto"/>
            <w:right w:val="none" w:sz="0" w:space="0" w:color="auto"/>
          </w:divBdr>
        </w:div>
        <w:div w:id="1218007810">
          <w:marLeft w:val="0"/>
          <w:marRight w:val="0"/>
          <w:marTop w:val="0"/>
          <w:marBottom w:val="0"/>
          <w:divBdr>
            <w:top w:val="none" w:sz="0" w:space="0" w:color="auto"/>
            <w:left w:val="none" w:sz="0" w:space="0" w:color="auto"/>
            <w:bottom w:val="none" w:sz="0" w:space="0" w:color="auto"/>
            <w:right w:val="none" w:sz="0" w:space="0" w:color="auto"/>
          </w:divBdr>
        </w:div>
        <w:div w:id="1265308472">
          <w:marLeft w:val="0"/>
          <w:marRight w:val="0"/>
          <w:marTop w:val="0"/>
          <w:marBottom w:val="0"/>
          <w:divBdr>
            <w:top w:val="none" w:sz="0" w:space="0" w:color="auto"/>
            <w:left w:val="none" w:sz="0" w:space="0" w:color="auto"/>
            <w:bottom w:val="none" w:sz="0" w:space="0" w:color="auto"/>
            <w:right w:val="none" w:sz="0" w:space="0" w:color="auto"/>
          </w:divBdr>
        </w:div>
        <w:div w:id="1312711977">
          <w:marLeft w:val="0"/>
          <w:marRight w:val="0"/>
          <w:marTop w:val="0"/>
          <w:marBottom w:val="0"/>
          <w:divBdr>
            <w:top w:val="none" w:sz="0" w:space="0" w:color="auto"/>
            <w:left w:val="none" w:sz="0" w:space="0" w:color="auto"/>
            <w:bottom w:val="none" w:sz="0" w:space="0" w:color="auto"/>
            <w:right w:val="none" w:sz="0" w:space="0" w:color="auto"/>
          </w:divBdr>
        </w:div>
        <w:div w:id="1418483569">
          <w:marLeft w:val="0"/>
          <w:marRight w:val="0"/>
          <w:marTop w:val="0"/>
          <w:marBottom w:val="0"/>
          <w:divBdr>
            <w:top w:val="none" w:sz="0" w:space="0" w:color="auto"/>
            <w:left w:val="none" w:sz="0" w:space="0" w:color="auto"/>
            <w:bottom w:val="none" w:sz="0" w:space="0" w:color="auto"/>
            <w:right w:val="none" w:sz="0" w:space="0" w:color="auto"/>
          </w:divBdr>
        </w:div>
        <w:div w:id="1455757202">
          <w:marLeft w:val="0"/>
          <w:marRight w:val="0"/>
          <w:marTop w:val="0"/>
          <w:marBottom w:val="0"/>
          <w:divBdr>
            <w:top w:val="none" w:sz="0" w:space="0" w:color="auto"/>
            <w:left w:val="none" w:sz="0" w:space="0" w:color="auto"/>
            <w:bottom w:val="none" w:sz="0" w:space="0" w:color="auto"/>
            <w:right w:val="none" w:sz="0" w:space="0" w:color="auto"/>
          </w:divBdr>
        </w:div>
        <w:div w:id="1481456033">
          <w:marLeft w:val="0"/>
          <w:marRight w:val="0"/>
          <w:marTop w:val="0"/>
          <w:marBottom w:val="0"/>
          <w:divBdr>
            <w:top w:val="none" w:sz="0" w:space="0" w:color="auto"/>
            <w:left w:val="none" w:sz="0" w:space="0" w:color="auto"/>
            <w:bottom w:val="none" w:sz="0" w:space="0" w:color="auto"/>
            <w:right w:val="none" w:sz="0" w:space="0" w:color="auto"/>
          </w:divBdr>
        </w:div>
        <w:div w:id="1616910607">
          <w:marLeft w:val="0"/>
          <w:marRight w:val="0"/>
          <w:marTop w:val="0"/>
          <w:marBottom w:val="0"/>
          <w:divBdr>
            <w:top w:val="none" w:sz="0" w:space="0" w:color="auto"/>
            <w:left w:val="none" w:sz="0" w:space="0" w:color="auto"/>
            <w:bottom w:val="none" w:sz="0" w:space="0" w:color="auto"/>
            <w:right w:val="none" w:sz="0" w:space="0" w:color="auto"/>
          </w:divBdr>
        </w:div>
        <w:div w:id="1709987477">
          <w:marLeft w:val="0"/>
          <w:marRight w:val="0"/>
          <w:marTop w:val="0"/>
          <w:marBottom w:val="0"/>
          <w:divBdr>
            <w:top w:val="none" w:sz="0" w:space="0" w:color="auto"/>
            <w:left w:val="none" w:sz="0" w:space="0" w:color="auto"/>
            <w:bottom w:val="none" w:sz="0" w:space="0" w:color="auto"/>
            <w:right w:val="none" w:sz="0" w:space="0" w:color="auto"/>
          </w:divBdr>
        </w:div>
        <w:div w:id="1737974747">
          <w:marLeft w:val="0"/>
          <w:marRight w:val="0"/>
          <w:marTop w:val="0"/>
          <w:marBottom w:val="0"/>
          <w:divBdr>
            <w:top w:val="none" w:sz="0" w:space="0" w:color="auto"/>
            <w:left w:val="none" w:sz="0" w:space="0" w:color="auto"/>
            <w:bottom w:val="none" w:sz="0" w:space="0" w:color="auto"/>
            <w:right w:val="none" w:sz="0" w:space="0" w:color="auto"/>
          </w:divBdr>
        </w:div>
        <w:div w:id="1896698232">
          <w:marLeft w:val="0"/>
          <w:marRight w:val="0"/>
          <w:marTop w:val="0"/>
          <w:marBottom w:val="0"/>
          <w:divBdr>
            <w:top w:val="none" w:sz="0" w:space="0" w:color="auto"/>
            <w:left w:val="none" w:sz="0" w:space="0" w:color="auto"/>
            <w:bottom w:val="none" w:sz="0" w:space="0" w:color="auto"/>
            <w:right w:val="none" w:sz="0" w:space="0" w:color="auto"/>
          </w:divBdr>
        </w:div>
        <w:div w:id="1962224356">
          <w:marLeft w:val="0"/>
          <w:marRight w:val="0"/>
          <w:marTop w:val="0"/>
          <w:marBottom w:val="0"/>
          <w:divBdr>
            <w:top w:val="none" w:sz="0" w:space="0" w:color="auto"/>
            <w:left w:val="none" w:sz="0" w:space="0" w:color="auto"/>
            <w:bottom w:val="none" w:sz="0" w:space="0" w:color="auto"/>
            <w:right w:val="none" w:sz="0" w:space="0" w:color="auto"/>
          </w:divBdr>
        </w:div>
        <w:div w:id="1963270146">
          <w:marLeft w:val="0"/>
          <w:marRight w:val="0"/>
          <w:marTop w:val="0"/>
          <w:marBottom w:val="0"/>
          <w:divBdr>
            <w:top w:val="none" w:sz="0" w:space="0" w:color="auto"/>
            <w:left w:val="none" w:sz="0" w:space="0" w:color="auto"/>
            <w:bottom w:val="none" w:sz="0" w:space="0" w:color="auto"/>
            <w:right w:val="none" w:sz="0" w:space="0" w:color="auto"/>
          </w:divBdr>
        </w:div>
        <w:div w:id="2014334128">
          <w:marLeft w:val="0"/>
          <w:marRight w:val="0"/>
          <w:marTop w:val="0"/>
          <w:marBottom w:val="0"/>
          <w:divBdr>
            <w:top w:val="none" w:sz="0" w:space="0" w:color="auto"/>
            <w:left w:val="none" w:sz="0" w:space="0" w:color="auto"/>
            <w:bottom w:val="none" w:sz="0" w:space="0" w:color="auto"/>
            <w:right w:val="none" w:sz="0" w:space="0" w:color="auto"/>
          </w:divBdr>
        </w:div>
        <w:div w:id="2116517102">
          <w:marLeft w:val="0"/>
          <w:marRight w:val="0"/>
          <w:marTop w:val="0"/>
          <w:marBottom w:val="0"/>
          <w:divBdr>
            <w:top w:val="none" w:sz="0" w:space="0" w:color="auto"/>
            <w:left w:val="none" w:sz="0" w:space="0" w:color="auto"/>
            <w:bottom w:val="none" w:sz="0" w:space="0" w:color="auto"/>
            <w:right w:val="none" w:sz="0" w:space="0" w:color="auto"/>
          </w:divBdr>
        </w:div>
        <w:div w:id="212395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c.gov\locker\ATSDR_PFAS_Data\PFAS_Viral_Infections" TargetMode="External"/><Relationship Id="rId18" Type="http://schemas.openxmlformats.org/officeDocument/2006/relationships/hyperlink" Target="http://itsotools.cdc.gov/mus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sirt@cdc.gov" TargetMode="External"/><Relationship Id="rId7" Type="http://schemas.openxmlformats.org/officeDocument/2006/relationships/styles" Target="styles.xml"/><Relationship Id="rId12" Type="http://schemas.openxmlformats.org/officeDocument/2006/relationships/hyperlink" Target="https://www.citiprogram.org/?pageID=668" TargetMode="External"/><Relationship Id="rId17" Type="http://schemas.openxmlformats.org/officeDocument/2006/relationships/hyperlink" Target="file:///\\cdc.gov\locker\ATSDR_PFAS_Data\PFAS_Viral_Infections" TargetMode="External"/><Relationship Id="rId25" Type="http://schemas.openxmlformats.org/officeDocument/2006/relationships/hyperlink" Target="mailto:csirt@cdc.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c.gov\locker\ATSDR_PFAS_Data\PFAS_Viral_Infections" TargetMode="External"/><Relationship Id="rId20" Type="http://schemas.openxmlformats.org/officeDocument/2006/relationships/hyperlink" Target="https://sams.cdc.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gi5@cdc.go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intranet.cdc.gov/ocoo/docs/services/bb-scientific-research.docx" TargetMode="External"/><Relationship Id="rId23" Type="http://schemas.openxmlformats.org/officeDocument/2006/relationships/hyperlink" Target="file:///\\cdc.gov\locker\ATSDR_PFAS_Data\PFAS_Viral_Infection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dc.gov\locker\ATSDR_PFAS_Data\PFAS_Viral_Infec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tmp"/><Relationship Id="rId22" Type="http://schemas.openxmlformats.org/officeDocument/2006/relationships/hyperlink" Target="http://intranet.cdc.gov/ocoo/docs/services/bb-scientific-research.doc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D19673A293EE49AE1C63CE543B173F" ma:contentTypeVersion="980" ma:contentTypeDescription="Create a new document." ma:contentTypeScope="" ma:versionID="723201d53c63004ec7245f3096b09c12">
  <xsd:schema xmlns:xsd="http://www.w3.org/2001/XMLSchema" xmlns:xs="http://www.w3.org/2001/XMLSchema" xmlns:p="http://schemas.microsoft.com/office/2006/metadata/properties" xmlns:ns1="http://schemas.microsoft.com/sharepoint/v3" xmlns:ns2="2fb1b662-f59d-4b16-9d61-2106d813860a" xmlns:ns3="377b3288-2328-4c20-862b-2b05ed14cb3c" xmlns:ns4="2d711d5d-7588-4f90-989f-689dad7cc2e3" targetNamespace="http://schemas.microsoft.com/office/2006/metadata/properties" ma:root="true" ma:fieldsID="f8e2f6b2eb420e8308391eb9a4d00597" ns1:_="" ns2:_="" ns3:_="" ns4:_="">
    <xsd:import namespace="http://schemas.microsoft.com/sharepoint/v3"/>
    <xsd:import namespace="2fb1b662-f59d-4b16-9d61-2106d813860a"/>
    <xsd:import namespace="377b3288-2328-4c20-862b-2b05ed14cb3c"/>
    <xsd:import namespace="2d711d5d-7588-4f90-989f-689dad7cc2e3"/>
    <xsd:element name="properties">
      <xsd:complexType>
        <xsd:sequence>
          <xsd:element name="documentManagement">
            <xsd:complexType>
              <xsd:all>
                <xsd:element ref="ns2:_dlc_DocId" minOccurs="0"/>
                <xsd:element ref="ns2:_dlc_DocIdUrl" minOccurs="0"/>
                <xsd:element ref="ns2:_dlc_DocIdPersistId" minOccurs="0"/>
                <xsd:element ref="ns1:FirstName" minOccurs="0"/>
                <xsd:element ref="ns3:Event-Type" minOccurs="0"/>
                <xsd:element ref="ns4:SharedWithUsers" minOccurs="0"/>
                <xsd:element ref="ns4: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7"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7b3288-2328-4c20-862b-2b05ed14cb3c" elementFormDefault="qualified">
    <xsd:import namespace="http://schemas.microsoft.com/office/2006/documentManagement/types"/>
    <xsd:import namespace="http://schemas.microsoft.com/office/infopath/2007/PartnerControls"/>
    <xsd:element name="Event-Type" ma:index="8" nillable="true" ma:displayName="Event-Type" ma:internalName="Event_x002d_Type"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11d5d-7588-4f90-989f-689dad7cc2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377b3288-2328-4c20-862b-2b05ed14cb3c" xsi:nil="true"/>
  </documentManagement>
</p:properties>
</file>

<file path=customXml/itemProps1.xml><?xml version="1.0" encoding="utf-8"?>
<ds:datastoreItem xmlns:ds="http://schemas.openxmlformats.org/officeDocument/2006/customXml" ds:itemID="{716C0270-20BF-41AF-94D1-3DFDE40D13E7}">
  <ds:schemaRefs>
    <ds:schemaRef ds:uri="http://schemas.microsoft.com/sharepoint/events"/>
  </ds:schemaRefs>
</ds:datastoreItem>
</file>

<file path=customXml/itemProps2.xml><?xml version="1.0" encoding="utf-8"?>
<ds:datastoreItem xmlns:ds="http://schemas.openxmlformats.org/officeDocument/2006/customXml" ds:itemID="{B280D132-AF68-4DC0-93B9-5976407998D5}">
  <ds:schemaRefs>
    <ds:schemaRef ds:uri="http://schemas.openxmlformats.org/officeDocument/2006/bibliography"/>
  </ds:schemaRefs>
</ds:datastoreItem>
</file>

<file path=customXml/itemProps3.xml><?xml version="1.0" encoding="utf-8"?>
<ds:datastoreItem xmlns:ds="http://schemas.openxmlformats.org/officeDocument/2006/customXml" ds:itemID="{9B027FDF-E050-4743-86E2-FD3A848FE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1b662-f59d-4b16-9d61-2106d813860a"/>
    <ds:schemaRef ds:uri="377b3288-2328-4c20-862b-2b05ed14cb3c"/>
    <ds:schemaRef ds:uri="2d711d5d-7588-4f90-989f-689dad7c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F74F1-D235-4CA0-868E-9F696614E56A}">
  <ds:schemaRefs>
    <ds:schemaRef ds:uri="http://schemas.microsoft.com/sharepoint/v3/contenttype/forms"/>
  </ds:schemaRefs>
</ds:datastoreItem>
</file>

<file path=customXml/itemProps5.xml><?xml version="1.0" encoding="utf-8"?>
<ds:datastoreItem xmlns:ds="http://schemas.openxmlformats.org/officeDocument/2006/customXml" ds:itemID="{D67B07F2-5594-4192-A9A7-9DA9D997548B}">
  <ds:schemaRefs>
    <ds:schemaRef ds:uri="http://schemas.microsoft.com/office/2006/metadata/properties"/>
    <ds:schemaRef ds:uri="http://schemas.microsoft.com/office/infopath/2007/PartnerControls"/>
    <ds:schemaRef ds:uri="http://schemas.microsoft.com/sharepoint/v3"/>
    <ds:schemaRef ds:uri="377b3288-2328-4c20-862b-2b05ed14cb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6577</Words>
  <Characters>37490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43980</CharactersWithSpaces>
  <SharedDoc>false</SharedDoc>
  <HLinks>
    <vt:vector size="354" baseType="variant">
      <vt:variant>
        <vt:i4>852014</vt:i4>
      </vt:variant>
      <vt:variant>
        <vt:i4>315</vt:i4>
      </vt:variant>
      <vt:variant>
        <vt:i4>0</vt:i4>
      </vt:variant>
      <vt:variant>
        <vt:i4>5</vt:i4>
      </vt:variant>
      <vt:variant>
        <vt:lpwstr>mailto:csirt@cdc.gov</vt:lpwstr>
      </vt:variant>
      <vt:variant>
        <vt:lpwstr/>
      </vt:variant>
      <vt:variant>
        <vt:i4>524415</vt:i4>
      </vt:variant>
      <vt:variant>
        <vt:i4>312</vt:i4>
      </vt:variant>
      <vt:variant>
        <vt:i4>0</vt:i4>
      </vt:variant>
      <vt:variant>
        <vt:i4>5</vt:i4>
      </vt:variant>
      <vt:variant>
        <vt:lpwstr>mailto:fgi5@cdc.gov</vt:lpwstr>
      </vt:variant>
      <vt:variant>
        <vt:lpwstr/>
      </vt:variant>
      <vt:variant>
        <vt:i4>458875</vt:i4>
      </vt:variant>
      <vt:variant>
        <vt:i4>309</vt:i4>
      </vt:variant>
      <vt:variant>
        <vt:i4>0</vt:i4>
      </vt:variant>
      <vt:variant>
        <vt:i4>5</vt:i4>
      </vt:variant>
      <vt:variant>
        <vt:lpwstr>\\cdc.gov\locker\ATSDR_PFAS_Data\PFAS_Viral_Infections</vt:lpwstr>
      </vt:variant>
      <vt:variant>
        <vt:lpwstr/>
      </vt:variant>
      <vt:variant>
        <vt:i4>3342377</vt:i4>
      </vt:variant>
      <vt:variant>
        <vt:i4>306</vt:i4>
      </vt:variant>
      <vt:variant>
        <vt:i4>0</vt:i4>
      </vt:variant>
      <vt:variant>
        <vt:i4>5</vt:i4>
      </vt:variant>
      <vt:variant>
        <vt:lpwstr>http://intranet.cdc.gov/ocoo/docs/services/bb-scientific-research.docx</vt:lpwstr>
      </vt:variant>
      <vt:variant>
        <vt:lpwstr/>
      </vt:variant>
      <vt:variant>
        <vt:i4>852014</vt:i4>
      </vt:variant>
      <vt:variant>
        <vt:i4>303</vt:i4>
      </vt:variant>
      <vt:variant>
        <vt:i4>0</vt:i4>
      </vt:variant>
      <vt:variant>
        <vt:i4>5</vt:i4>
      </vt:variant>
      <vt:variant>
        <vt:lpwstr>mailto:csirt@cdc.gov</vt:lpwstr>
      </vt:variant>
      <vt:variant>
        <vt:lpwstr/>
      </vt:variant>
      <vt:variant>
        <vt:i4>1179733</vt:i4>
      </vt:variant>
      <vt:variant>
        <vt:i4>300</vt:i4>
      </vt:variant>
      <vt:variant>
        <vt:i4>0</vt:i4>
      </vt:variant>
      <vt:variant>
        <vt:i4>5</vt:i4>
      </vt:variant>
      <vt:variant>
        <vt:lpwstr>https://sams.cdc.gov/</vt:lpwstr>
      </vt:variant>
      <vt:variant>
        <vt:lpwstr/>
      </vt:variant>
      <vt:variant>
        <vt:i4>458875</vt:i4>
      </vt:variant>
      <vt:variant>
        <vt:i4>297</vt:i4>
      </vt:variant>
      <vt:variant>
        <vt:i4>0</vt:i4>
      </vt:variant>
      <vt:variant>
        <vt:i4>5</vt:i4>
      </vt:variant>
      <vt:variant>
        <vt:lpwstr>\\cdc.gov\locker\ATSDR_PFAS_Data\PFAS_Viral_Infections</vt:lpwstr>
      </vt:variant>
      <vt:variant>
        <vt:lpwstr/>
      </vt:variant>
      <vt:variant>
        <vt:i4>7929908</vt:i4>
      </vt:variant>
      <vt:variant>
        <vt:i4>294</vt:i4>
      </vt:variant>
      <vt:variant>
        <vt:i4>0</vt:i4>
      </vt:variant>
      <vt:variant>
        <vt:i4>5</vt:i4>
      </vt:variant>
      <vt:variant>
        <vt:lpwstr>http://itsotools.cdc.gov/must/</vt:lpwstr>
      </vt:variant>
      <vt:variant>
        <vt:lpwstr/>
      </vt:variant>
      <vt:variant>
        <vt:i4>458875</vt:i4>
      </vt:variant>
      <vt:variant>
        <vt:i4>291</vt:i4>
      </vt:variant>
      <vt:variant>
        <vt:i4>0</vt:i4>
      </vt:variant>
      <vt:variant>
        <vt:i4>5</vt:i4>
      </vt:variant>
      <vt:variant>
        <vt:lpwstr>\\cdc.gov\locker\ATSDR_PFAS_Data\PFAS_Viral_Infections</vt:lpwstr>
      </vt:variant>
      <vt:variant>
        <vt:lpwstr/>
      </vt:variant>
      <vt:variant>
        <vt:i4>458875</vt:i4>
      </vt:variant>
      <vt:variant>
        <vt:i4>288</vt:i4>
      </vt:variant>
      <vt:variant>
        <vt:i4>0</vt:i4>
      </vt:variant>
      <vt:variant>
        <vt:i4>5</vt:i4>
      </vt:variant>
      <vt:variant>
        <vt:lpwstr>\\cdc.gov\locker\ATSDR_PFAS_Data\PFAS_Viral_Infections</vt:lpwstr>
      </vt:variant>
      <vt:variant>
        <vt:lpwstr/>
      </vt:variant>
      <vt:variant>
        <vt:i4>3342377</vt:i4>
      </vt:variant>
      <vt:variant>
        <vt:i4>285</vt:i4>
      </vt:variant>
      <vt:variant>
        <vt:i4>0</vt:i4>
      </vt:variant>
      <vt:variant>
        <vt:i4>5</vt:i4>
      </vt:variant>
      <vt:variant>
        <vt:lpwstr>http://intranet.cdc.gov/ocoo/docs/services/bb-scientific-research.docx</vt:lpwstr>
      </vt:variant>
      <vt:variant>
        <vt:lpwstr/>
      </vt:variant>
      <vt:variant>
        <vt:i4>458875</vt:i4>
      </vt:variant>
      <vt:variant>
        <vt:i4>282</vt:i4>
      </vt:variant>
      <vt:variant>
        <vt:i4>0</vt:i4>
      </vt:variant>
      <vt:variant>
        <vt:i4>5</vt:i4>
      </vt:variant>
      <vt:variant>
        <vt:lpwstr>\\cdc.gov\locker\ATSDR_PFAS_Data\PFAS_Viral_Infections</vt:lpwstr>
      </vt:variant>
      <vt:variant>
        <vt:lpwstr/>
      </vt:variant>
      <vt:variant>
        <vt:i4>3801142</vt:i4>
      </vt:variant>
      <vt:variant>
        <vt:i4>279</vt:i4>
      </vt:variant>
      <vt:variant>
        <vt:i4>0</vt:i4>
      </vt:variant>
      <vt:variant>
        <vt:i4>5</vt:i4>
      </vt:variant>
      <vt:variant>
        <vt:lpwstr>https://www.citiprogram.org/?pageID=668</vt:lpwstr>
      </vt:variant>
      <vt:variant>
        <vt:lpwstr/>
      </vt:variant>
      <vt:variant>
        <vt:i4>1376319</vt:i4>
      </vt:variant>
      <vt:variant>
        <vt:i4>272</vt:i4>
      </vt:variant>
      <vt:variant>
        <vt:i4>0</vt:i4>
      </vt:variant>
      <vt:variant>
        <vt:i4>5</vt:i4>
      </vt:variant>
      <vt:variant>
        <vt:lpwstr/>
      </vt:variant>
      <vt:variant>
        <vt:lpwstr>_Toc70944254</vt:lpwstr>
      </vt:variant>
      <vt:variant>
        <vt:i4>1179711</vt:i4>
      </vt:variant>
      <vt:variant>
        <vt:i4>266</vt:i4>
      </vt:variant>
      <vt:variant>
        <vt:i4>0</vt:i4>
      </vt:variant>
      <vt:variant>
        <vt:i4>5</vt:i4>
      </vt:variant>
      <vt:variant>
        <vt:lpwstr/>
      </vt:variant>
      <vt:variant>
        <vt:lpwstr>_Toc70944253</vt:lpwstr>
      </vt:variant>
      <vt:variant>
        <vt:i4>1245247</vt:i4>
      </vt:variant>
      <vt:variant>
        <vt:i4>260</vt:i4>
      </vt:variant>
      <vt:variant>
        <vt:i4>0</vt:i4>
      </vt:variant>
      <vt:variant>
        <vt:i4>5</vt:i4>
      </vt:variant>
      <vt:variant>
        <vt:lpwstr/>
      </vt:variant>
      <vt:variant>
        <vt:lpwstr>_Toc70944252</vt:lpwstr>
      </vt:variant>
      <vt:variant>
        <vt:i4>1048639</vt:i4>
      </vt:variant>
      <vt:variant>
        <vt:i4>254</vt:i4>
      </vt:variant>
      <vt:variant>
        <vt:i4>0</vt:i4>
      </vt:variant>
      <vt:variant>
        <vt:i4>5</vt:i4>
      </vt:variant>
      <vt:variant>
        <vt:lpwstr/>
      </vt:variant>
      <vt:variant>
        <vt:lpwstr>_Toc70944251</vt:lpwstr>
      </vt:variant>
      <vt:variant>
        <vt:i4>1114175</vt:i4>
      </vt:variant>
      <vt:variant>
        <vt:i4>248</vt:i4>
      </vt:variant>
      <vt:variant>
        <vt:i4>0</vt:i4>
      </vt:variant>
      <vt:variant>
        <vt:i4>5</vt:i4>
      </vt:variant>
      <vt:variant>
        <vt:lpwstr/>
      </vt:variant>
      <vt:variant>
        <vt:lpwstr>_Toc70944250</vt:lpwstr>
      </vt:variant>
      <vt:variant>
        <vt:i4>1572926</vt:i4>
      </vt:variant>
      <vt:variant>
        <vt:i4>242</vt:i4>
      </vt:variant>
      <vt:variant>
        <vt:i4>0</vt:i4>
      </vt:variant>
      <vt:variant>
        <vt:i4>5</vt:i4>
      </vt:variant>
      <vt:variant>
        <vt:lpwstr/>
      </vt:variant>
      <vt:variant>
        <vt:lpwstr>_Toc70944249</vt:lpwstr>
      </vt:variant>
      <vt:variant>
        <vt:i4>1638462</vt:i4>
      </vt:variant>
      <vt:variant>
        <vt:i4>236</vt:i4>
      </vt:variant>
      <vt:variant>
        <vt:i4>0</vt:i4>
      </vt:variant>
      <vt:variant>
        <vt:i4>5</vt:i4>
      </vt:variant>
      <vt:variant>
        <vt:lpwstr/>
      </vt:variant>
      <vt:variant>
        <vt:lpwstr>_Toc70944248</vt:lpwstr>
      </vt:variant>
      <vt:variant>
        <vt:i4>1441854</vt:i4>
      </vt:variant>
      <vt:variant>
        <vt:i4>230</vt:i4>
      </vt:variant>
      <vt:variant>
        <vt:i4>0</vt:i4>
      </vt:variant>
      <vt:variant>
        <vt:i4>5</vt:i4>
      </vt:variant>
      <vt:variant>
        <vt:lpwstr/>
      </vt:variant>
      <vt:variant>
        <vt:lpwstr>_Toc70944247</vt:lpwstr>
      </vt:variant>
      <vt:variant>
        <vt:i4>1507390</vt:i4>
      </vt:variant>
      <vt:variant>
        <vt:i4>224</vt:i4>
      </vt:variant>
      <vt:variant>
        <vt:i4>0</vt:i4>
      </vt:variant>
      <vt:variant>
        <vt:i4>5</vt:i4>
      </vt:variant>
      <vt:variant>
        <vt:lpwstr/>
      </vt:variant>
      <vt:variant>
        <vt:lpwstr>_Toc70944246</vt:lpwstr>
      </vt:variant>
      <vt:variant>
        <vt:i4>1310782</vt:i4>
      </vt:variant>
      <vt:variant>
        <vt:i4>218</vt:i4>
      </vt:variant>
      <vt:variant>
        <vt:i4>0</vt:i4>
      </vt:variant>
      <vt:variant>
        <vt:i4>5</vt:i4>
      </vt:variant>
      <vt:variant>
        <vt:lpwstr/>
      </vt:variant>
      <vt:variant>
        <vt:lpwstr>_Toc70944245</vt:lpwstr>
      </vt:variant>
      <vt:variant>
        <vt:i4>1376318</vt:i4>
      </vt:variant>
      <vt:variant>
        <vt:i4>212</vt:i4>
      </vt:variant>
      <vt:variant>
        <vt:i4>0</vt:i4>
      </vt:variant>
      <vt:variant>
        <vt:i4>5</vt:i4>
      </vt:variant>
      <vt:variant>
        <vt:lpwstr/>
      </vt:variant>
      <vt:variant>
        <vt:lpwstr>_Toc70944244</vt:lpwstr>
      </vt:variant>
      <vt:variant>
        <vt:i4>1179710</vt:i4>
      </vt:variant>
      <vt:variant>
        <vt:i4>206</vt:i4>
      </vt:variant>
      <vt:variant>
        <vt:i4>0</vt:i4>
      </vt:variant>
      <vt:variant>
        <vt:i4>5</vt:i4>
      </vt:variant>
      <vt:variant>
        <vt:lpwstr/>
      </vt:variant>
      <vt:variant>
        <vt:lpwstr>_Toc70944243</vt:lpwstr>
      </vt:variant>
      <vt:variant>
        <vt:i4>1245246</vt:i4>
      </vt:variant>
      <vt:variant>
        <vt:i4>200</vt:i4>
      </vt:variant>
      <vt:variant>
        <vt:i4>0</vt:i4>
      </vt:variant>
      <vt:variant>
        <vt:i4>5</vt:i4>
      </vt:variant>
      <vt:variant>
        <vt:lpwstr/>
      </vt:variant>
      <vt:variant>
        <vt:lpwstr>_Toc70944242</vt:lpwstr>
      </vt:variant>
      <vt:variant>
        <vt:i4>1048638</vt:i4>
      </vt:variant>
      <vt:variant>
        <vt:i4>194</vt:i4>
      </vt:variant>
      <vt:variant>
        <vt:i4>0</vt:i4>
      </vt:variant>
      <vt:variant>
        <vt:i4>5</vt:i4>
      </vt:variant>
      <vt:variant>
        <vt:lpwstr/>
      </vt:variant>
      <vt:variant>
        <vt:lpwstr>_Toc70944241</vt:lpwstr>
      </vt:variant>
      <vt:variant>
        <vt:i4>1114174</vt:i4>
      </vt:variant>
      <vt:variant>
        <vt:i4>188</vt:i4>
      </vt:variant>
      <vt:variant>
        <vt:i4>0</vt:i4>
      </vt:variant>
      <vt:variant>
        <vt:i4>5</vt:i4>
      </vt:variant>
      <vt:variant>
        <vt:lpwstr/>
      </vt:variant>
      <vt:variant>
        <vt:lpwstr>_Toc70944240</vt:lpwstr>
      </vt:variant>
      <vt:variant>
        <vt:i4>1572921</vt:i4>
      </vt:variant>
      <vt:variant>
        <vt:i4>182</vt:i4>
      </vt:variant>
      <vt:variant>
        <vt:i4>0</vt:i4>
      </vt:variant>
      <vt:variant>
        <vt:i4>5</vt:i4>
      </vt:variant>
      <vt:variant>
        <vt:lpwstr/>
      </vt:variant>
      <vt:variant>
        <vt:lpwstr>_Toc70944239</vt:lpwstr>
      </vt:variant>
      <vt:variant>
        <vt:i4>1638457</vt:i4>
      </vt:variant>
      <vt:variant>
        <vt:i4>176</vt:i4>
      </vt:variant>
      <vt:variant>
        <vt:i4>0</vt:i4>
      </vt:variant>
      <vt:variant>
        <vt:i4>5</vt:i4>
      </vt:variant>
      <vt:variant>
        <vt:lpwstr/>
      </vt:variant>
      <vt:variant>
        <vt:lpwstr>_Toc70944238</vt:lpwstr>
      </vt:variant>
      <vt:variant>
        <vt:i4>1441849</vt:i4>
      </vt:variant>
      <vt:variant>
        <vt:i4>170</vt:i4>
      </vt:variant>
      <vt:variant>
        <vt:i4>0</vt:i4>
      </vt:variant>
      <vt:variant>
        <vt:i4>5</vt:i4>
      </vt:variant>
      <vt:variant>
        <vt:lpwstr/>
      </vt:variant>
      <vt:variant>
        <vt:lpwstr>_Toc70944237</vt:lpwstr>
      </vt:variant>
      <vt:variant>
        <vt:i4>1507385</vt:i4>
      </vt:variant>
      <vt:variant>
        <vt:i4>164</vt:i4>
      </vt:variant>
      <vt:variant>
        <vt:i4>0</vt:i4>
      </vt:variant>
      <vt:variant>
        <vt:i4>5</vt:i4>
      </vt:variant>
      <vt:variant>
        <vt:lpwstr/>
      </vt:variant>
      <vt:variant>
        <vt:lpwstr>_Toc70944236</vt:lpwstr>
      </vt:variant>
      <vt:variant>
        <vt:i4>1310777</vt:i4>
      </vt:variant>
      <vt:variant>
        <vt:i4>158</vt:i4>
      </vt:variant>
      <vt:variant>
        <vt:i4>0</vt:i4>
      </vt:variant>
      <vt:variant>
        <vt:i4>5</vt:i4>
      </vt:variant>
      <vt:variant>
        <vt:lpwstr/>
      </vt:variant>
      <vt:variant>
        <vt:lpwstr>_Toc70944235</vt:lpwstr>
      </vt:variant>
      <vt:variant>
        <vt:i4>1376313</vt:i4>
      </vt:variant>
      <vt:variant>
        <vt:i4>152</vt:i4>
      </vt:variant>
      <vt:variant>
        <vt:i4>0</vt:i4>
      </vt:variant>
      <vt:variant>
        <vt:i4>5</vt:i4>
      </vt:variant>
      <vt:variant>
        <vt:lpwstr/>
      </vt:variant>
      <vt:variant>
        <vt:lpwstr>_Toc70944234</vt:lpwstr>
      </vt:variant>
      <vt:variant>
        <vt:i4>1179705</vt:i4>
      </vt:variant>
      <vt:variant>
        <vt:i4>146</vt:i4>
      </vt:variant>
      <vt:variant>
        <vt:i4>0</vt:i4>
      </vt:variant>
      <vt:variant>
        <vt:i4>5</vt:i4>
      </vt:variant>
      <vt:variant>
        <vt:lpwstr/>
      </vt:variant>
      <vt:variant>
        <vt:lpwstr>_Toc70944233</vt:lpwstr>
      </vt:variant>
      <vt:variant>
        <vt:i4>1245241</vt:i4>
      </vt:variant>
      <vt:variant>
        <vt:i4>140</vt:i4>
      </vt:variant>
      <vt:variant>
        <vt:i4>0</vt:i4>
      </vt:variant>
      <vt:variant>
        <vt:i4>5</vt:i4>
      </vt:variant>
      <vt:variant>
        <vt:lpwstr/>
      </vt:variant>
      <vt:variant>
        <vt:lpwstr>_Toc70944232</vt:lpwstr>
      </vt:variant>
      <vt:variant>
        <vt:i4>1048633</vt:i4>
      </vt:variant>
      <vt:variant>
        <vt:i4>134</vt:i4>
      </vt:variant>
      <vt:variant>
        <vt:i4>0</vt:i4>
      </vt:variant>
      <vt:variant>
        <vt:i4>5</vt:i4>
      </vt:variant>
      <vt:variant>
        <vt:lpwstr/>
      </vt:variant>
      <vt:variant>
        <vt:lpwstr>_Toc70944231</vt:lpwstr>
      </vt:variant>
      <vt:variant>
        <vt:i4>1114169</vt:i4>
      </vt:variant>
      <vt:variant>
        <vt:i4>128</vt:i4>
      </vt:variant>
      <vt:variant>
        <vt:i4>0</vt:i4>
      </vt:variant>
      <vt:variant>
        <vt:i4>5</vt:i4>
      </vt:variant>
      <vt:variant>
        <vt:lpwstr/>
      </vt:variant>
      <vt:variant>
        <vt:lpwstr>_Toc70944230</vt:lpwstr>
      </vt:variant>
      <vt:variant>
        <vt:i4>1572920</vt:i4>
      </vt:variant>
      <vt:variant>
        <vt:i4>122</vt:i4>
      </vt:variant>
      <vt:variant>
        <vt:i4>0</vt:i4>
      </vt:variant>
      <vt:variant>
        <vt:i4>5</vt:i4>
      </vt:variant>
      <vt:variant>
        <vt:lpwstr/>
      </vt:variant>
      <vt:variant>
        <vt:lpwstr>_Toc70944229</vt:lpwstr>
      </vt:variant>
      <vt:variant>
        <vt:i4>1638456</vt:i4>
      </vt:variant>
      <vt:variant>
        <vt:i4>116</vt:i4>
      </vt:variant>
      <vt:variant>
        <vt:i4>0</vt:i4>
      </vt:variant>
      <vt:variant>
        <vt:i4>5</vt:i4>
      </vt:variant>
      <vt:variant>
        <vt:lpwstr/>
      </vt:variant>
      <vt:variant>
        <vt:lpwstr>_Toc70944228</vt:lpwstr>
      </vt:variant>
      <vt:variant>
        <vt:i4>1441848</vt:i4>
      </vt:variant>
      <vt:variant>
        <vt:i4>110</vt:i4>
      </vt:variant>
      <vt:variant>
        <vt:i4>0</vt:i4>
      </vt:variant>
      <vt:variant>
        <vt:i4>5</vt:i4>
      </vt:variant>
      <vt:variant>
        <vt:lpwstr/>
      </vt:variant>
      <vt:variant>
        <vt:lpwstr>_Toc70944227</vt:lpwstr>
      </vt:variant>
      <vt:variant>
        <vt:i4>1507384</vt:i4>
      </vt:variant>
      <vt:variant>
        <vt:i4>104</vt:i4>
      </vt:variant>
      <vt:variant>
        <vt:i4>0</vt:i4>
      </vt:variant>
      <vt:variant>
        <vt:i4>5</vt:i4>
      </vt:variant>
      <vt:variant>
        <vt:lpwstr/>
      </vt:variant>
      <vt:variant>
        <vt:lpwstr>_Toc70944226</vt:lpwstr>
      </vt:variant>
      <vt:variant>
        <vt:i4>1310776</vt:i4>
      </vt:variant>
      <vt:variant>
        <vt:i4>98</vt:i4>
      </vt:variant>
      <vt:variant>
        <vt:i4>0</vt:i4>
      </vt:variant>
      <vt:variant>
        <vt:i4>5</vt:i4>
      </vt:variant>
      <vt:variant>
        <vt:lpwstr/>
      </vt:variant>
      <vt:variant>
        <vt:lpwstr>_Toc70944225</vt:lpwstr>
      </vt:variant>
      <vt:variant>
        <vt:i4>1376312</vt:i4>
      </vt:variant>
      <vt:variant>
        <vt:i4>92</vt:i4>
      </vt:variant>
      <vt:variant>
        <vt:i4>0</vt:i4>
      </vt:variant>
      <vt:variant>
        <vt:i4>5</vt:i4>
      </vt:variant>
      <vt:variant>
        <vt:lpwstr/>
      </vt:variant>
      <vt:variant>
        <vt:lpwstr>_Toc70944224</vt:lpwstr>
      </vt:variant>
      <vt:variant>
        <vt:i4>1179704</vt:i4>
      </vt:variant>
      <vt:variant>
        <vt:i4>86</vt:i4>
      </vt:variant>
      <vt:variant>
        <vt:i4>0</vt:i4>
      </vt:variant>
      <vt:variant>
        <vt:i4>5</vt:i4>
      </vt:variant>
      <vt:variant>
        <vt:lpwstr/>
      </vt:variant>
      <vt:variant>
        <vt:lpwstr>_Toc70944223</vt:lpwstr>
      </vt:variant>
      <vt:variant>
        <vt:i4>1245240</vt:i4>
      </vt:variant>
      <vt:variant>
        <vt:i4>80</vt:i4>
      </vt:variant>
      <vt:variant>
        <vt:i4>0</vt:i4>
      </vt:variant>
      <vt:variant>
        <vt:i4>5</vt:i4>
      </vt:variant>
      <vt:variant>
        <vt:lpwstr/>
      </vt:variant>
      <vt:variant>
        <vt:lpwstr>_Toc70944222</vt:lpwstr>
      </vt:variant>
      <vt:variant>
        <vt:i4>1048632</vt:i4>
      </vt:variant>
      <vt:variant>
        <vt:i4>74</vt:i4>
      </vt:variant>
      <vt:variant>
        <vt:i4>0</vt:i4>
      </vt:variant>
      <vt:variant>
        <vt:i4>5</vt:i4>
      </vt:variant>
      <vt:variant>
        <vt:lpwstr/>
      </vt:variant>
      <vt:variant>
        <vt:lpwstr>_Toc70944221</vt:lpwstr>
      </vt:variant>
      <vt:variant>
        <vt:i4>1114168</vt:i4>
      </vt:variant>
      <vt:variant>
        <vt:i4>68</vt:i4>
      </vt:variant>
      <vt:variant>
        <vt:i4>0</vt:i4>
      </vt:variant>
      <vt:variant>
        <vt:i4>5</vt:i4>
      </vt:variant>
      <vt:variant>
        <vt:lpwstr/>
      </vt:variant>
      <vt:variant>
        <vt:lpwstr>_Toc70944220</vt:lpwstr>
      </vt:variant>
      <vt:variant>
        <vt:i4>1572923</vt:i4>
      </vt:variant>
      <vt:variant>
        <vt:i4>62</vt:i4>
      </vt:variant>
      <vt:variant>
        <vt:i4>0</vt:i4>
      </vt:variant>
      <vt:variant>
        <vt:i4>5</vt:i4>
      </vt:variant>
      <vt:variant>
        <vt:lpwstr/>
      </vt:variant>
      <vt:variant>
        <vt:lpwstr>_Toc70944219</vt:lpwstr>
      </vt:variant>
      <vt:variant>
        <vt:i4>1638459</vt:i4>
      </vt:variant>
      <vt:variant>
        <vt:i4>56</vt:i4>
      </vt:variant>
      <vt:variant>
        <vt:i4>0</vt:i4>
      </vt:variant>
      <vt:variant>
        <vt:i4>5</vt:i4>
      </vt:variant>
      <vt:variant>
        <vt:lpwstr/>
      </vt:variant>
      <vt:variant>
        <vt:lpwstr>_Toc70944218</vt:lpwstr>
      </vt:variant>
      <vt:variant>
        <vt:i4>1441851</vt:i4>
      </vt:variant>
      <vt:variant>
        <vt:i4>50</vt:i4>
      </vt:variant>
      <vt:variant>
        <vt:i4>0</vt:i4>
      </vt:variant>
      <vt:variant>
        <vt:i4>5</vt:i4>
      </vt:variant>
      <vt:variant>
        <vt:lpwstr/>
      </vt:variant>
      <vt:variant>
        <vt:lpwstr>_Toc70944217</vt:lpwstr>
      </vt:variant>
      <vt:variant>
        <vt:i4>1507387</vt:i4>
      </vt:variant>
      <vt:variant>
        <vt:i4>44</vt:i4>
      </vt:variant>
      <vt:variant>
        <vt:i4>0</vt:i4>
      </vt:variant>
      <vt:variant>
        <vt:i4>5</vt:i4>
      </vt:variant>
      <vt:variant>
        <vt:lpwstr/>
      </vt:variant>
      <vt:variant>
        <vt:lpwstr>_Toc70944216</vt:lpwstr>
      </vt:variant>
      <vt:variant>
        <vt:i4>1310779</vt:i4>
      </vt:variant>
      <vt:variant>
        <vt:i4>38</vt:i4>
      </vt:variant>
      <vt:variant>
        <vt:i4>0</vt:i4>
      </vt:variant>
      <vt:variant>
        <vt:i4>5</vt:i4>
      </vt:variant>
      <vt:variant>
        <vt:lpwstr/>
      </vt:variant>
      <vt:variant>
        <vt:lpwstr>_Toc70944215</vt:lpwstr>
      </vt:variant>
      <vt:variant>
        <vt:i4>1376315</vt:i4>
      </vt:variant>
      <vt:variant>
        <vt:i4>32</vt:i4>
      </vt:variant>
      <vt:variant>
        <vt:i4>0</vt:i4>
      </vt:variant>
      <vt:variant>
        <vt:i4>5</vt:i4>
      </vt:variant>
      <vt:variant>
        <vt:lpwstr/>
      </vt:variant>
      <vt:variant>
        <vt:lpwstr>_Toc70944214</vt:lpwstr>
      </vt:variant>
      <vt:variant>
        <vt:i4>1179707</vt:i4>
      </vt:variant>
      <vt:variant>
        <vt:i4>26</vt:i4>
      </vt:variant>
      <vt:variant>
        <vt:i4>0</vt:i4>
      </vt:variant>
      <vt:variant>
        <vt:i4>5</vt:i4>
      </vt:variant>
      <vt:variant>
        <vt:lpwstr/>
      </vt:variant>
      <vt:variant>
        <vt:lpwstr>_Toc70944213</vt:lpwstr>
      </vt:variant>
      <vt:variant>
        <vt:i4>1245243</vt:i4>
      </vt:variant>
      <vt:variant>
        <vt:i4>20</vt:i4>
      </vt:variant>
      <vt:variant>
        <vt:i4>0</vt:i4>
      </vt:variant>
      <vt:variant>
        <vt:i4>5</vt:i4>
      </vt:variant>
      <vt:variant>
        <vt:lpwstr/>
      </vt:variant>
      <vt:variant>
        <vt:lpwstr>_Toc70944212</vt:lpwstr>
      </vt:variant>
      <vt:variant>
        <vt:i4>1048635</vt:i4>
      </vt:variant>
      <vt:variant>
        <vt:i4>14</vt:i4>
      </vt:variant>
      <vt:variant>
        <vt:i4>0</vt:i4>
      </vt:variant>
      <vt:variant>
        <vt:i4>5</vt:i4>
      </vt:variant>
      <vt:variant>
        <vt:lpwstr/>
      </vt:variant>
      <vt:variant>
        <vt:lpwstr>_Toc70944211</vt:lpwstr>
      </vt:variant>
      <vt:variant>
        <vt:i4>1114171</vt:i4>
      </vt:variant>
      <vt:variant>
        <vt:i4>8</vt:i4>
      </vt:variant>
      <vt:variant>
        <vt:i4>0</vt:i4>
      </vt:variant>
      <vt:variant>
        <vt:i4>5</vt:i4>
      </vt:variant>
      <vt:variant>
        <vt:lpwstr/>
      </vt:variant>
      <vt:variant>
        <vt:lpwstr>_Toc70944210</vt:lpwstr>
      </vt:variant>
      <vt:variant>
        <vt:i4>1572922</vt:i4>
      </vt:variant>
      <vt:variant>
        <vt:i4>2</vt:i4>
      </vt:variant>
      <vt:variant>
        <vt:i4>0</vt:i4>
      </vt:variant>
      <vt:variant>
        <vt:i4>5</vt:i4>
      </vt:variant>
      <vt:variant>
        <vt:lpwstr/>
      </vt:variant>
      <vt:variant>
        <vt:lpwstr>_Toc70944209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Zeager (ATSDR/OAD/OCHHA)</dc:creator>
  <cp:keywords/>
  <dc:description/>
  <cp:lastModifiedBy>Buser, Melanie</cp:lastModifiedBy>
  <cp:revision>2</cp:revision>
  <dcterms:created xsi:type="dcterms:W3CDTF">2022-01-04T17:41:00Z</dcterms:created>
  <dcterms:modified xsi:type="dcterms:W3CDTF">2022-01-04T17:41:00Z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2021-04-12T21:26:22Z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69924d7d-cc31-4bbd-8305-1c334af41d71</vt:lpwstr>
  </property>
  <property fmtid="{D5CDD505-2E9C-101B-9397-08002B2CF9AE}" pid="8" name="MSIP_Label_7b94a7b8-f06c-4dfe-bdcc-9b548fd58c31_ContentBits">
    <vt:lpwstr>0</vt:lpwstr>
  </property>
  <property fmtid="{D5CDD505-2E9C-101B-9397-08002B2CF9AE}" pid="9" name="ContentTypeId">
    <vt:lpwstr>0x0101005CD19673A293EE49AE1C63CE543B173F</vt:lpwstr>
  </property>
</Properties>
</file>