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20211" w:rsidR="00BA2DBE" w:rsidRDefault="00BA2DBE" w14:paraId="5BA767B7" w14:textId="77777777">
      <w:pPr>
        <w:rPr>
          <w:rFonts w:ascii="Arial" w:hAnsi="Arial" w:cs="Arial"/>
        </w:rPr>
      </w:pPr>
      <w:bookmarkStart w:name="_Toc337198071" w:id="0"/>
      <w:bookmarkStart w:name="_Toc423335421" w:id="1"/>
    </w:p>
    <w:p w:rsidRPr="00D20211" w:rsidR="00BA2DBE" w:rsidRDefault="00BA2DBE" w14:paraId="4042BA50" w14:textId="77777777">
      <w:pPr>
        <w:rPr>
          <w:rFonts w:ascii="Arial" w:hAnsi="Arial" w:cs="Arial"/>
        </w:rPr>
      </w:pPr>
    </w:p>
    <w:p w:rsidRPr="00D20211" w:rsidR="00BA2DBE" w:rsidRDefault="00BA2DBE" w14:paraId="5AF258F1" w14:textId="77777777">
      <w:pPr>
        <w:rPr>
          <w:rFonts w:ascii="Arial" w:hAnsi="Arial" w:cs="Arial"/>
        </w:rPr>
      </w:pPr>
    </w:p>
    <w:p w:rsidRPr="00D20211" w:rsidR="00BA2DBE" w:rsidRDefault="00BA2DBE" w14:paraId="1E4AF323" w14:textId="77777777">
      <w:pPr>
        <w:rPr>
          <w:rFonts w:ascii="Arial" w:hAnsi="Arial" w:cs="Arial"/>
        </w:rPr>
      </w:pPr>
    </w:p>
    <w:p w:rsidRPr="00D20211" w:rsidR="00BA2DBE" w:rsidRDefault="00BA2DBE" w14:paraId="3C5E5A89" w14:textId="77777777">
      <w:pPr>
        <w:rPr>
          <w:rFonts w:ascii="Arial" w:hAnsi="Arial" w:cs="Arial"/>
        </w:rPr>
      </w:pPr>
    </w:p>
    <w:p w:rsidRPr="00D20211" w:rsidR="00BA2DBE" w:rsidP="001626E8" w:rsidRDefault="00441D1E" w14:paraId="0AC404ED" w14:textId="77777777">
      <w:pPr>
        <w:pStyle w:val="Title"/>
        <w:rPr>
          <w:color w:val="auto"/>
          <w:sz w:val="48"/>
          <w:szCs w:val="48"/>
        </w:rPr>
      </w:pPr>
      <w:r>
        <w:rPr>
          <w:color w:val="auto"/>
          <w:sz w:val="48"/>
          <w:szCs w:val="48"/>
        </w:rPr>
        <w:t>ATSDR Exposure Investigations (EIs)</w:t>
      </w:r>
    </w:p>
    <w:p w:rsidRPr="00D20211" w:rsidR="00BA2DBE" w:rsidP="001626E8" w:rsidRDefault="00480FC6" w14:paraId="1CFDB2B2" w14:textId="61C606C2">
      <w:pPr>
        <w:pStyle w:val="Subtitle"/>
        <w:rPr>
          <w:color w:val="auto"/>
        </w:rPr>
      </w:pPr>
      <w:r w:rsidRPr="00D20211">
        <w:rPr>
          <w:color w:val="auto"/>
        </w:rPr>
        <w:t>OMB Control N</w:t>
      </w:r>
      <w:r w:rsidRPr="00D20211" w:rsidR="00EA55C0">
        <w:rPr>
          <w:color w:val="auto"/>
        </w:rPr>
        <w:t>o</w:t>
      </w:r>
      <w:r w:rsidRPr="00441D1E" w:rsidR="00EA55C0">
        <w:rPr>
          <w:color w:val="auto"/>
        </w:rPr>
        <w:t xml:space="preserve">. </w:t>
      </w:r>
      <w:r w:rsidRPr="00441D1E" w:rsidR="00E52761">
        <w:rPr>
          <w:color w:val="auto"/>
        </w:rPr>
        <w:t>0923-</w:t>
      </w:r>
      <w:r w:rsidR="00441D1E">
        <w:rPr>
          <w:color w:val="auto"/>
        </w:rPr>
        <w:t>0048</w:t>
      </w:r>
      <w:r w:rsidRPr="00D20211">
        <w:rPr>
          <w:color w:val="auto"/>
        </w:rPr>
        <w:t xml:space="preserve"> (Expiration Date</w:t>
      </w:r>
      <w:r w:rsidRPr="00D20211" w:rsidR="00AE1D9F">
        <w:rPr>
          <w:color w:val="auto"/>
        </w:rPr>
        <w:t xml:space="preserve">: </w:t>
      </w:r>
      <w:r w:rsidR="00963545">
        <w:rPr>
          <w:color w:val="auto"/>
        </w:rPr>
        <w:t>04/30/2022</w:t>
      </w:r>
      <w:r w:rsidRPr="00D20211">
        <w:rPr>
          <w:color w:val="auto"/>
        </w:rPr>
        <w:t xml:space="preserve">) </w:t>
      </w:r>
    </w:p>
    <w:p w:rsidRPr="00D20211" w:rsidR="001626E8" w:rsidRDefault="00441D1E" w14:paraId="4BBD0BCA" w14:textId="77777777">
      <w:pPr>
        <w:spacing w:after="200" w:line="276" w:lineRule="auto"/>
        <w:rPr>
          <w:rFonts w:cs="Arial" w:asciiTheme="majorHAnsi" w:hAnsiTheme="majorHAnsi"/>
          <w:sz w:val="36"/>
          <w:szCs w:val="36"/>
        </w:rPr>
      </w:pPr>
      <w:r>
        <w:rPr>
          <w:rFonts w:cs="Arial" w:asciiTheme="majorHAnsi" w:hAnsiTheme="majorHAnsi"/>
          <w:sz w:val="36"/>
          <w:szCs w:val="36"/>
        </w:rPr>
        <w:t>Extension</w:t>
      </w:r>
    </w:p>
    <w:p w:rsidRPr="00D20211" w:rsidR="00C000CD" w:rsidP="001626E8" w:rsidRDefault="00C000CD" w14:paraId="2E7A15E8" w14:textId="77777777">
      <w:pPr>
        <w:pStyle w:val="Subtitle"/>
        <w:rPr>
          <w:color w:val="auto"/>
        </w:rPr>
      </w:pPr>
    </w:p>
    <w:p w:rsidRPr="00D20211" w:rsidR="00D16598" w:rsidP="001626E8" w:rsidRDefault="00480FC6" w14:paraId="1CA730BD" w14:textId="77777777">
      <w:pPr>
        <w:pStyle w:val="Subtitle"/>
        <w:rPr>
          <w:color w:val="auto"/>
        </w:rPr>
      </w:pPr>
      <w:r w:rsidRPr="00D20211">
        <w:rPr>
          <w:color w:val="auto"/>
        </w:rPr>
        <w:t xml:space="preserve">Supporting Statement Part A </w:t>
      </w:r>
      <w:r w:rsidRPr="00D20211" w:rsidR="00BB0E8E">
        <w:rPr>
          <w:color w:val="auto"/>
        </w:rPr>
        <w:t>–</w:t>
      </w:r>
      <w:r w:rsidRPr="00D20211">
        <w:rPr>
          <w:color w:val="auto"/>
        </w:rPr>
        <w:t xml:space="preserve"> </w:t>
      </w:r>
    </w:p>
    <w:p w:rsidRPr="00D20211" w:rsidR="00BA2DBE" w:rsidP="001626E8" w:rsidRDefault="00480FC6" w14:paraId="550572C3" w14:textId="77777777">
      <w:pPr>
        <w:pStyle w:val="Subtitle"/>
        <w:rPr>
          <w:color w:val="auto"/>
        </w:rPr>
      </w:pPr>
      <w:r w:rsidRPr="00D20211">
        <w:rPr>
          <w:color w:val="auto"/>
        </w:rPr>
        <w:t>Justification</w:t>
      </w:r>
    </w:p>
    <w:p w:rsidRPr="00D20211" w:rsidR="00BA2DBE" w:rsidRDefault="00BA2DBE" w14:paraId="4D109435" w14:textId="77777777">
      <w:pPr>
        <w:spacing w:after="200" w:line="276" w:lineRule="auto"/>
        <w:rPr>
          <w:rFonts w:cs="Arial" w:asciiTheme="majorHAnsi" w:hAnsiTheme="majorHAnsi"/>
          <w:sz w:val="36"/>
          <w:szCs w:val="36"/>
        </w:rPr>
      </w:pPr>
    </w:p>
    <w:p w:rsidRPr="00D20211" w:rsidR="00BA2DBE" w:rsidP="008E47E6" w:rsidRDefault="00480FC6" w14:paraId="10128847" w14:textId="77777777">
      <w:pPr>
        <w:pStyle w:val="Subtitle"/>
        <w:spacing w:after="0"/>
        <w:rPr>
          <w:color w:val="auto"/>
        </w:rPr>
      </w:pPr>
      <w:r w:rsidRPr="00D20211">
        <w:rPr>
          <w:color w:val="auto"/>
        </w:rPr>
        <w:t xml:space="preserve">Program Official: </w:t>
      </w:r>
    </w:p>
    <w:p w:rsidRPr="00441D1E" w:rsidR="00441D1E" w:rsidP="00441D1E" w:rsidRDefault="00441D1E" w14:paraId="3202C929" w14:textId="77777777">
      <w:pPr>
        <w:autoSpaceDE w:val="0"/>
        <w:autoSpaceDN w:val="0"/>
        <w:adjustRightInd w:val="0"/>
        <w:spacing w:after="0" w:line="240" w:lineRule="auto"/>
        <w:ind w:left="720"/>
        <w:rPr>
          <w:sz w:val="24"/>
          <w:szCs w:val="24"/>
        </w:rPr>
      </w:pPr>
      <w:r w:rsidRPr="00441D1E">
        <w:rPr>
          <w:sz w:val="24"/>
          <w:szCs w:val="24"/>
        </w:rPr>
        <w:t>Peter J. Kowalski, MPH, CIH</w:t>
      </w:r>
    </w:p>
    <w:p w:rsidRPr="00441D1E" w:rsidR="00441D1E" w:rsidP="00441D1E" w:rsidRDefault="00963545" w14:paraId="2FEBFAAB" w14:textId="2956955D">
      <w:pPr>
        <w:autoSpaceDE w:val="0"/>
        <w:autoSpaceDN w:val="0"/>
        <w:adjustRightInd w:val="0"/>
        <w:spacing w:after="0" w:line="240" w:lineRule="auto"/>
        <w:ind w:left="720"/>
        <w:rPr>
          <w:sz w:val="24"/>
          <w:szCs w:val="24"/>
        </w:rPr>
      </w:pPr>
      <w:r>
        <w:rPr>
          <w:sz w:val="24"/>
          <w:szCs w:val="24"/>
        </w:rPr>
        <w:t xml:space="preserve">Team </w:t>
      </w:r>
      <w:r w:rsidRPr="00441D1E" w:rsidR="00441D1E">
        <w:rPr>
          <w:sz w:val="24"/>
          <w:szCs w:val="24"/>
        </w:rPr>
        <w:t>Lead, Exposure Investigations Team</w:t>
      </w:r>
    </w:p>
    <w:p w:rsidR="00963545" w:rsidP="00441D1E" w:rsidRDefault="00963545" w14:paraId="7F06A56B" w14:textId="77777777">
      <w:pPr>
        <w:autoSpaceDE w:val="0"/>
        <w:autoSpaceDN w:val="0"/>
        <w:adjustRightInd w:val="0"/>
        <w:spacing w:after="0" w:line="240" w:lineRule="auto"/>
        <w:ind w:left="720"/>
        <w:rPr>
          <w:sz w:val="24"/>
          <w:szCs w:val="24"/>
        </w:rPr>
      </w:pPr>
      <w:r>
        <w:rPr>
          <w:sz w:val="24"/>
          <w:szCs w:val="24"/>
        </w:rPr>
        <w:t>Office of Community Health and Hazard Assessment</w:t>
      </w:r>
    </w:p>
    <w:p w:rsidRPr="00441D1E" w:rsidR="00441D1E" w:rsidP="00441D1E" w:rsidRDefault="00441D1E" w14:paraId="7D9645BC" w14:textId="24A5930A">
      <w:pPr>
        <w:autoSpaceDE w:val="0"/>
        <w:autoSpaceDN w:val="0"/>
        <w:adjustRightInd w:val="0"/>
        <w:spacing w:after="0" w:line="240" w:lineRule="auto"/>
        <w:ind w:left="720"/>
        <w:rPr>
          <w:sz w:val="24"/>
          <w:szCs w:val="24"/>
        </w:rPr>
      </w:pPr>
      <w:r w:rsidRPr="00441D1E">
        <w:rPr>
          <w:sz w:val="24"/>
          <w:szCs w:val="24"/>
        </w:rPr>
        <w:t>Agency for Toxic Substances and Disease Registry</w:t>
      </w:r>
    </w:p>
    <w:p w:rsidRPr="00441D1E" w:rsidR="00441D1E" w:rsidP="00441D1E" w:rsidRDefault="00441D1E" w14:paraId="08FE338A" w14:textId="77777777">
      <w:pPr>
        <w:autoSpaceDE w:val="0"/>
        <w:autoSpaceDN w:val="0"/>
        <w:adjustRightInd w:val="0"/>
        <w:spacing w:after="0" w:line="240" w:lineRule="auto"/>
        <w:ind w:left="720"/>
        <w:rPr>
          <w:sz w:val="24"/>
          <w:szCs w:val="24"/>
          <w:lang w:val="en"/>
        </w:rPr>
      </w:pPr>
      <w:r w:rsidRPr="00441D1E">
        <w:rPr>
          <w:sz w:val="24"/>
          <w:szCs w:val="24"/>
          <w:lang w:val="en"/>
        </w:rPr>
        <w:t>4770 Buford Hwy NE, MS F59</w:t>
      </w:r>
      <w:r w:rsidRPr="00441D1E">
        <w:rPr>
          <w:sz w:val="24"/>
          <w:szCs w:val="24"/>
          <w:lang w:val="en"/>
        </w:rPr>
        <w:br/>
        <w:t>Atlanta, GA 30341</w:t>
      </w:r>
    </w:p>
    <w:p w:rsidRPr="00441D1E" w:rsidR="00441D1E" w:rsidP="00441D1E" w:rsidRDefault="00441D1E" w14:paraId="1B0BDA86" w14:textId="77777777">
      <w:pPr>
        <w:autoSpaceDE w:val="0"/>
        <w:autoSpaceDN w:val="0"/>
        <w:adjustRightInd w:val="0"/>
        <w:spacing w:after="0" w:line="240" w:lineRule="auto"/>
        <w:ind w:left="720"/>
        <w:rPr>
          <w:sz w:val="24"/>
          <w:szCs w:val="24"/>
        </w:rPr>
      </w:pPr>
      <w:r w:rsidRPr="00441D1E">
        <w:rPr>
          <w:sz w:val="24"/>
          <w:szCs w:val="24"/>
        </w:rPr>
        <w:t>Phone: 770-488-0776</w:t>
      </w:r>
    </w:p>
    <w:p w:rsidRPr="00441D1E" w:rsidR="00441D1E" w:rsidP="00441D1E" w:rsidRDefault="00441D1E" w14:paraId="30CB12A9" w14:textId="77777777">
      <w:pPr>
        <w:autoSpaceDE w:val="0"/>
        <w:autoSpaceDN w:val="0"/>
        <w:adjustRightInd w:val="0"/>
        <w:spacing w:after="0" w:line="240" w:lineRule="auto"/>
        <w:ind w:left="720"/>
        <w:rPr>
          <w:sz w:val="24"/>
          <w:szCs w:val="24"/>
        </w:rPr>
      </w:pPr>
      <w:r w:rsidRPr="00441D1E">
        <w:rPr>
          <w:sz w:val="24"/>
          <w:szCs w:val="24"/>
        </w:rPr>
        <w:t>Fax:  770-488-1542</w:t>
      </w:r>
    </w:p>
    <w:p w:rsidRPr="00441D1E" w:rsidR="00441D1E" w:rsidP="00441D1E" w:rsidRDefault="00441D1E" w14:paraId="799797E9" w14:textId="77777777">
      <w:pPr>
        <w:autoSpaceDE w:val="0"/>
        <w:autoSpaceDN w:val="0"/>
        <w:adjustRightInd w:val="0"/>
        <w:spacing w:after="0" w:line="240" w:lineRule="auto"/>
        <w:ind w:left="720"/>
        <w:rPr>
          <w:sz w:val="24"/>
          <w:szCs w:val="24"/>
        </w:rPr>
      </w:pPr>
      <w:r w:rsidRPr="00441D1E">
        <w:rPr>
          <w:sz w:val="24"/>
          <w:szCs w:val="24"/>
        </w:rPr>
        <w:t xml:space="preserve">Email: </w:t>
      </w:r>
      <w:hyperlink w:history="1" r:id="rId8">
        <w:r w:rsidRPr="00441D1E">
          <w:rPr>
            <w:rStyle w:val="Hyperlink"/>
            <w:sz w:val="24"/>
            <w:szCs w:val="24"/>
          </w:rPr>
          <w:t>PKowalski@cdc.gov</w:t>
        </w:r>
      </w:hyperlink>
    </w:p>
    <w:p w:rsidRPr="00441D1E" w:rsidR="00BA2DBE" w:rsidP="00441D1E" w:rsidRDefault="00BA2DBE" w14:paraId="47ABC087" w14:textId="77777777">
      <w:pPr>
        <w:pStyle w:val="Subtitle"/>
        <w:spacing w:after="0"/>
        <w:rPr>
          <w:color w:val="auto"/>
          <w:sz w:val="24"/>
          <w:szCs w:val="24"/>
        </w:rPr>
      </w:pPr>
    </w:p>
    <w:p w:rsidRPr="00D20211" w:rsidR="00EA0849" w:rsidP="008E47E6" w:rsidRDefault="00EA0849" w14:paraId="2305D0B0" w14:textId="77777777">
      <w:pPr>
        <w:pStyle w:val="Subtitle"/>
        <w:spacing w:after="0"/>
        <w:rPr>
          <w:color w:val="auto"/>
        </w:rPr>
      </w:pPr>
    </w:p>
    <w:p w:rsidRPr="00D20211" w:rsidR="00965C2A" w:rsidP="008E47E6" w:rsidRDefault="00480FC6" w14:paraId="3123BB04" w14:textId="4DA6793B">
      <w:pPr>
        <w:pStyle w:val="Subtitle"/>
        <w:spacing w:after="0"/>
        <w:rPr>
          <w:rFonts w:ascii="Arial" w:hAnsi="Arial"/>
          <w:color w:val="auto"/>
        </w:rPr>
      </w:pPr>
      <w:r w:rsidRPr="00D20211">
        <w:rPr>
          <w:color w:val="auto"/>
        </w:rPr>
        <w:t>Date:</w:t>
      </w:r>
      <w:r w:rsidR="00441D1E">
        <w:rPr>
          <w:color w:val="auto"/>
        </w:rPr>
        <w:t xml:space="preserve"> </w:t>
      </w:r>
      <w:r w:rsidR="00880459">
        <w:rPr>
          <w:color w:val="auto"/>
        </w:rPr>
        <w:t>December 1</w:t>
      </w:r>
      <w:r w:rsidR="00C90156">
        <w:rPr>
          <w:color w:val="auto"/>
        </w:rPr>
        <w:t>7</w:t>
      </w:r>
      <w:r w:rsidR="00880459">
        <w:rPr>
          <w:color w:val="auto"/>
        </w:rPr>
        <w:t>, 2021</w:t>
      </w:r>
      <w:r w:rsidRPr="00D20211" w:rsidR="00BA2DBE">
        <w:rPr>
          <w:rFonts w:ascii="Arial" w:hAnsi="Arial"/>
          <w:color w:val="auto"/>
        </w:rPr>
        <w:br w:type="page"/>
      </w:r>
    </w:p>
    <w:sdt>
      <w:sdtPr>
        <w:rPr>
          <w:rFonts w:asciiTheme="minorHAnsi" w:hAnsiTheme="minorHAnsi" w:eastAsiaTheme="minorEastAsia" w:cstheme="minorBidi"/>
          <w:color w:val="auto"/>
          <w:sz w:val="21"/>
          <w:szCs w:val="21"/>
        </w:rPr>
        <w:id w:val="-1403140958"/>
        <w:docPartObj>
          <w:docPartGallery w:val="Table of Contents"/>
          <w:docPartUnique/>
        </w:docPartObj>
      </w:sdtPr>
      <w:sdtEndPr>
        <w:rPr>
          <w:b/>
          <w:bCs/>
          <w:noProof/>
        </w:rPr>
      </w:sdtEndPr>
      <w:sdtContent>
        <w:p w:rsidRPr="00D20211" w:rsidR="009B765E" w:rsidP="00637DF7" w:rsidRDefault="009B765E" w14:paraId="42CA6271" w14:textId="77777777">
          <w:pPr>
            <w:pStyle w:val="TOCHeading"/>
            <w:spacing w:after="480"/>
            <w:jc w:val="center"/>
            <w:rPr>
              <w:color w:val="auto"/>
            </w:rPr>
          </w:pPr>
          <w:r w:rsidRPr="00D20211">
            <w:rPr>
              <w:color w:val="auto"/>
            </w:rPr>
            <w:t>Table of Contents</w:t>
          </w:r>
        </w:p>
        <w:p w:rsidR="0070512A" w:rsidRDefault="009B765E" w14:paraId="692F68A8" w14:textId="17559D90">
          <w:pPr>
            <w:pStyle w:val="TOC1"/>
            <w:tabs>
              <w:tab w:val="right" w:leader="dot" w:pos="9350"/>
            </w:tabs>
            <w:rPr>
              <w:noProof/>
              <w:sz w:val="22"/>
              <w:szCs w:val="22"/>
            </w:rPr>
          </w:pPr>
          <w:r w:rsidRPr="00D20211">
            <w:fldChar w:fldCharType="begin"/>
          </w:r>
          <w:r w:rsidRPr="00D20211">
            <w:instrText xml:space="preserve"> TOC \o "1-3" \h \z \u </w:instrText>
          </w:r>
          <w:r w:rsidRPr="00D20211">
            <w:fldChar w:fldCharType="separate"/>
          </w:r>
          <w:hyperlink w:history="1" w:anchor="_Toc433960188">
            <w:r w:rsidRPr="00B2432F" w:rsidR="0070512A">
              <w:rPr>
                <w:rStyle w:val="Hyperlink"/>
                <w:noProof/>
              </w:rPr>
              <w:t>A.1.  Circumstances Making the Collection of Information Necessary</w:t>
            </w:r>
            <w:r w:rsidR="0070512A">
              <w:rPr>
                <w:noProof/>
                <w:webHidden/>
              </w:rPr>
              <w:tab/>
            </w:r>
            <w:r w:rsidR="0070512A">
              <w:rPr>
                <w:noProof/>
                <w:webHidden/>
              </w:rPr>
              <w:fldChar w:fldCharType="begin"/>
            </w:r>
            <w:r w:rsidR="0070512A">
              <w:rPr>
                <w:noProof/>
                <w:webHidden/>
              </w:rPr>
              <w:instrText xml:space="preserve"> PAGEREF _Toc433960188 \h </w:instrText>
            </w:r>
            <w:r w:rsidR="0070512A">
              <w:rPr>
                <w:noProof/>
                <w:webHidden/>
              </w:rPr>
            </w:r>
            <w:r w:rsidR="0070512A">
              <w:rPr>
                <w:noProof/>
                <w:webHidden/>
              </w:rPr>
              <w:fldChar w:fldCharType="separate"/>
            </w:r>
            <w:r w:rsidR="008007EE">
              <w:rPr>
                <w:noProof/>
                <w:webHidden/>
              </w:rPr>
              <w:t>4</w:t>
            </w:r>
            <w:r w:rsidR="0070512A">
              <w:rPr>
                <w:noProof/>
                <w:webHidden/>
              </w:rPr>
              <w:fldChar w:fldCharType="end"/>
            </w:r>
          </w:hyperlink>
        </w:p>
        <w:p w:rsidR="0070512A" w:rsidRDefault="00D849F3" w14:paraId="5ACEEC8A" w14:textId="3866C5C1">
          <w:pPr>
            <w:pStyle w:val="TOC1"/>
            <w:tabs>
              <w:tab w:val="right" w:leader="dot" w:pos="9350"/>
            </w:tabs>
            <w:rPr>
              <w:noProof/>
              <w:sz w:val="22"/>
              <w:szCs w:val="22"/>
            </w:rPr>
          </w:pPr>
          <w:hyperlink w:history="1" w:anchor="_Toc433960189">
            <w:r w:rsidRPr="00B2432F" w:rsidR="0070512A">
              <w:rPr>
                <w:rStyle w:val="Hyperlink"/>
                <w:noProof/>
              </w:rPr>
              <w:t>A.2.  Purpose and Use of the Information Collection</w:t>
            </w:r>
            <w:r w:rsidR="0070512A">
              <w:rPr>
                <w:noProof/>
                <w:webHidden/>
              </w:rPr>
              <w:tab/>
            </w:r>
            <w:r w:rsidR="0070512A">
              <w:rPr>
                <w:noProof/>
                <w:webHidden/>
              </w:rPr>
              <w:fldChar w:fldCharType="begin"/>
            </w:r>
            <w:r w:rsidR="0070512A">
              <w:rPr>
                <w:noProof/>
                <w:webHidden/>
              </w:rPr>
              <w:instrText xml:space="preserve"> PAGEREF _Toc433960189 \h </w:instrText>
            </w:r>
            <w:r w:rsidR="0070512A">
              <w:rPr>
                <w:noProof/>
                <w:webHidden/>
              </w:rPr>
            </w:r>
            <w:r w:rsidR="0070512A">
              <w:rPr>
                <w:noProof/>
                <w:webHidden/>
              </w:rPr>
              <w:fldChar w:fldCharType="separate"/>
            </w:r>
            <w:r w:rsidR="008007EE">
              <w:rPr>
                <w:noProof/>
                <w:webHidden/>
              </w:rPr>
              <w:t>6</w:t>
            </w:r>
            <w:r w:rsidR="0070512A">
              <w:rPr>
                <w:noProof/>
                <w:webHidden/>
              </w:rPr>
              <w:fldChar w:fldCharType="end"/>
            </w:r>
          </w:hyperlink>
        </w:p>
        <w:p w:rsidR="0070512A" w:rsidRDefault="00D849F3" w14:paraId="4F555F78" w14:textId="4E3991C5">
          <w:pPr>
            <w:pStyle w:val="TOC1"/>
            <w:tabs>
              <w:tab w:val="right" w:leader="dot" w:pos="9350"/>
            </w:tabs>
            <w:rPr>
              <w:noProof/>
              <w:sz w:val="22"/>
              <w:szCs w:val="22"/>
            </w:rPr>
          </w:pPr>
          <w:hyperlink w:history="1" w:anchor="_Toc433960190">
            <w:r w:rsidRPr="00B2432F" w:rsidR="0070512A">
              <w:rPr>
                <w:rStyle w:val="Hyperlink"/>
                <w:noProof/>
              </w:rPr>
              <w:t>A.3.  Use of Improved Information Technology and Burden Reduction</w:t>
            </w:r>
            <w:r w:rsidR="0070512A">
              <w:rPr>
                <w:noProof/>
                <w:webHidden/>
              </w:rPr>
              <w:tab/>
            </w:r>
            <w:r w:rsidR="0070512A">
              <w:rPr>
                <w:noProof/>
                <w:webHidden/>
              </w:rPr>
              <w:fldChar w:fldCharType="begin"/>
            </w:r>
            <w:r w:rsidR="0070512A">
              <w:rPr>
                <w:noProof/>
                <w:webHidden/>
              </w:rPr>
              <w:instrText xml:space="preserve"> PAGEREF _Toc433960190 \h </w:instrText>
            </w:r>
            <w:r w:rsidR="0070512A">
              <w:rPr>
                <w:noProof/>
                <w:webHidden/>
              </w:rPr>
            </w:r>
            <w:r w:rsidR="0070512A">
              <w:rPr>
                <w:noProof/>
                <w:webHidden/>
              </w:rPr>
              <w:fldChar w:fldCharType="separate"/>
            </w:r>
            <w:r w:rsidR="008007EE">
              <w:rPr>
                <w:noProof/>
                <w:webHidden/>
              </w:rPr>
              <w:t>10</w:t>
            </w:r>
            <w:r w:rsidR="0070512A">
              <w:rPr>
                <w:noProof/>
                <w:webHidden/>
              </w:rPr>
              <w:fldChar w:fldCharType="end"/>
            </w:r>
          </w:hyperlink>
        </w:p>
        <w:p w:rsidR="0070512A" w:rsidRDefault="00D849F3" w14:paraId="193C69AB" w14:textId="60AC42FE">
          <w:pPr>
            <w:pStyle w:val="TOC1"/>
            <w:tabs>
              <w:tab w:val="right" w:leader="dot" w:pos="9350"/>
            </w:tabs>
            <w:rPr>
              <w:noProof/>
              <w:sz w:val="22"/>
              <w:szCs w:val="22"/>
            </w:rPr>
          </w:pPr>
          <w:hyperlink w:history="1" w:anchor="_Toc433960191">
            <w:r w:rsidRPr="00B2432F" w:rsidR="0070512A">
              <w:rPr>
                <w:rStyle w:val="Hyperlink"/>
                <w:noProof/>
              </w:rPr>
              <w:t>A.4.  Efforts to Identify Duplication and Use of Similar Information</w:t>
            </w:r>
            <w:r w:rsidR="0070512A">
              <w:rPr>
                <w:noProof/>
                <w:webHidden/>
              </w:rPr>
              <w:tab/>
            </w:r>
            <w:r w:rsidR="0070512A">
              <w:rPr>
                <w:noProof/>
                <w:webHidden/>
              </w:rPr>
              <w:fldChar w:fldCharType="begin"/>
            </w:r>
            <w:r w:rsidR="0070512A">
              <w:rPr>
                <w:noProof/>
                <w:webHidden/>
              </w:rPr>
              <w:instrText xml:space="preserve"> PAGEREF _Toc433960191 \h </w:instrText>
            </w:r>
            <w:r w:rsidR="0070512A">
              <w:rPr>
                <w:noProof/>
                <w:webHidden/>
              </w:rPr>
            </w:r>
            <w:r w:rsidR="0070512A">
              <w:rPr>
                <w:noProof/>
                <w:webHidden/>
              </w:rPr>
              <w:fldChar w:fldCharType="separate"/>
            </w:r>
            <w:r w:rsidR="008007EE">
              <w:rPr>
                <w:noProof/>
                <w:webHidden/>
              </w:rPr>
              <w:t>10</w:t>
            </w:r>
            <w:r w:rsidR="0070512A">
              <w:rPr>
                <w:noProof/>
                <w:webHidden/>
              </w:rPr>
              <w:fldChar w:fldCharType="end"/>
            </w:r>
          </w:hyperlink>
        </w:p>
        <w:p w:rsidR="0070512A" w:rsidRDefault="00D849F3" w14:paraId="3DAE8E40" w14:textId="5D6B5C86">
          <w:pPr>
            <w:pStyle w:val="TOC1"/>
            <w:tabs>
              <w:tab w:val="right" w:leader="dot" w:pos="9350"/>
            </w:tabs>
            <w:rPr>
              <w:noProof/>
              <w:sz w:val="22"/>
              <w:szCs w:val="22"/>
            </w:rPr>
          </w:pPr>
          <w:hyperlink w:history="1" w:anchor="_Toc433960192">
            <w:r w:rsidRPr="00B2432F" w:rsidR="0070512A">
              <w:rPr>
                <w:rStyle w:val="Hyperlink"/>
                <w:noProof/>
              </w:rPr>
              <w:t>A.5.  Impact on Small Businesses or Other Small Entities</w:t>
            </w:r>
            <w:r w:rsidR="0070512A">
              <w:rPr>
                <w:noProof/>
                <w:webHidden/>
              </w:rPr>
              <w:tab/>
            </w:r>
            <w:r w:rsidR="0070512A">
              <w:rPr>
                <w:noProof/>
                <w:webHidden/>
              </w:rPr>
              <w:fldChar w:fldCharType="begin"/>
            </w:r>
            <w:r w:rsidR="0070512A">
              <w:rPr>
                <w:noProof/>
                <w:webHidden/>
              </w:rPr>
              <w:instrText xml:space="preserve"> PAGEREF _Toc433960192 \h </w:instrText>
            </w:r>
            <w:r w:rsidR="0070512A">
              <w:rPr>
                <w:noProof/>
                <w:webHidden/>
              </w:rPr>
            </w:r>
            <w:r w:rsidR="0070512A">
              <w:rPr>
                <w:noProof/>
                <w:webHidden/>
              </w:rPr>
              <w:fldChar w:fldCharType="separate"/>
            </w:r>
            <w:r w:rsidR="008007EE">
              <w:rPr>
                <w:noProof/>
                <w:webHidden/>
              </w:rPr>
              <w:t>11</w:t>
            </w:r>
            <w:r w:rsidR="0070512A">
              <w:rPr>
                <w:noProof/>
                <w:webHidden/>
              </w:rPr>
              <w:fldChar w:fldCharType="end"/>
            </w:r>
          </w:hyperlink>
        </w:p>
        <w:p w:rsidR="0070512A" w:rsidRDefault="00D849F3" w14:paraId="6C9411E0" w14:textId="1D096ACE">
          <w:pPr>
            <w:pStyle w:val="TOC1"/>
            <w:tabs>
              <w:tab w:val="right" w:leader="dot" w:pos="9350"/>
            </w:tabs>
            <w:rPr>
              <w:noProof/>
              <w:sz w:val="22"/>
              <w:szCs w:val="22"/>
            </w:rPr>
          </w:pPr>
          <w:hyperlink w:history="1" w:anchor="_Toc433960193">
            <w:r w:rsidRPr="00B2432F" w:rsidR="0070512A">
              <w:rPr>
                <w:rStyle w:val="Hyperlink"/>
                <w:noProof/>
              </w:rPr>
              <w:t>A.6.  Consequences of Collecting the Information Less Frequently</w:t>
            </w:r>
            <w:r w:rsidR="0070512A">
              <w:rPr>
                <w:noProof/>
                <w:webHidden/>
              </w:rPr>
              <w:tab/>
            </w:r>
            <w:r w:rsidR="0070512A">
              <w:rPr>
                <w:noProof/>
                <w:webHidden/>
              </w:rPr>
              <w:fldChar w:fldCharType="begin"/>
            </w:r>
            <w:r w:rsidR="0070512A">
              <w:rPr>
                <w:noProof/>
                <w:webHidden/>
              </w:rPr>
              <w:instrText xml:space="preserve"> PAGEREF _Toc433960193 \h </w:instrText>
            </w:r>
            <w:r w:rsidR="0070512A">
              <w:rPr>
                <w:noProof/>
                <w:webHidden/>
              </w:rPr>
            </w:r>
            <w:r w:rsidR="0070512A">
              <w:rPr>
                <w:noProof/>
                <w:webHidden/>
              </w:rPr>
              <w:fldChar w:fldCharType="separate"/>
            </w:r>
            <w:r w:rsidR="008007EE">
              <w:rPr>
                <w:noProof/>
                <w:webHidden/>
              </w:rPr>
              <w:t>11</w:t>
            </w:r>
            <w:r w:rsidR="0070512A">
              <w:rPr>
                <w:noProof/>
                <w:webHidden/>
              </w:rPr>
              <w:fldChar w:fldCharType="end"/>
            </w:r>
          </w:hyperlink>
        </w:p>
        <w:p w:rsidR="0070512A" w:rsidRDefault="00D849F3" w14:paraId="077EBC68" w14:textId="49C8B582">
          <w:pPr>
            <w:pStyle w:val="TOC1"/>
            <w:tabs>
              <w:tab w:val="right" w:leader="dot" w:pos="9350"/>
            </w:tabs>
            <w:rPr>
              <w:noProof/>
              <w:sz w:val="22"/>
              <w:szCs w:val="22"/>
            </w:rPr>
          </w:pPr>
          <w:hyperlink w:history="1" w:anchor="_Toc433960194">
            <w:r w:rsidRPr="00B2432F" w:rsidR="0070512A">
              <w:rPr>
                <w:rStyle w:val="Hyperlink"/>
                <w:noProof/>
              </w:rPr>
              <w:t>A.7.  Special Circumstances Relating to the Guidelines of 5 CFR 1320.5</w:t>
            </w:r>
            <w:r w:rsidR="0070512A">
              <w:rPr>
                <w:noProof/>
                <w:webHidden/>
              </w:rPr>
              <w:tab/>
            </w:r>
            <w:r w:rsidR="0070512A">
              <w:rPr>
                <w:noProof/>
                <w:webHidden/>
              </w:rPr>
              <w:fldChar w:fldCharType="begin"/>
            </w:r>
            <w:r w:rsidR="0070512A">
              <w:rPr>
                <w:noProof/>
                <w:webHidden/>
              </w:rPr>
              <w:instrText xml:space="preserve"> PAGEREF _Toc433960194 \h </w:instrText>
            </w:r>
            <w:r w:rsidR="0070512A">
              <w:rPr>
                <w:noProof/>
                <w:webHidden/>
              </w:rPr>
            </w:r>
            <w:r w:rsidR="0070512A">
              <w:rPr>
                <w:noProof/>
                <w:webHidden/>
              </w:rPr>
              <w:fldChar w:fldCharType="separate"/>
            </w:r>
            <w:r w:rsidR="008007EE">
              <w:rPr>
                <w:noProof/>
                <w:webHidden/>
              </w:rPr>
              <w:t>11</w:t>
            </w:r>
            <w:r w:rsidR="0070512A">
              <w:rPr>
                <w:noProof/>
                <w:webHidden/>
              </w:rPr>
              <w:fldChar w:fldCharType="end"/>
            </w:r>
          </w:hyperlink>
        </w:p>
        <w:p w:rsidR="0070512A" w:rsidRDefault="00D849F3" w14:paraId="240EA957" w14:textId="67F9EEFC">
          <w:pPr>
            <w:pStyle w:val="TOC1"/>
            <w:tabs>
              <w:tab w:val="right" w:leader="dot" w:pos="9350"/>
            </w:tabs>
            <w:rPr>
              <w:noProof/>
              <w:sz w:val="22"/>
              <w:szCs w:val="22"/>
            </w:rPr>
          </w:pPr>
          <w:hyperlink w:history="1" w:anchor="_Toc433960195">
            <w:r w:rsidRPr="00B2432F" w:rsidR="0070512A">
              <w:rPr>
                <w:rStyle w:val="Hyperlink"/>
                <w:noProof/>
              </w:rPr>
              <w:t>A.8.  Comments in Response to the Federal Register Notice and Efforts to Consult Outside the Agency</w:t>
            </w:r>
            <w:r w:rsidR="0070512A">
              <w:rPr>
                <w:noProof/>
                <w:webHidden/>
              </w:rPr>
              <w:tab/>
            </w:r>
            <w:r w:rsidR="0070512A">
              <w:rPr>
                <w:noProof/>
                <w:webHidden/>
              </w:rPr>
              <w:fldChar w:fldCharType="begin"/>
            </w:r>
            <w:r w:rsidR="0070512A">
              <w:rPr>
                <w:noProof/>
                <w:webHidden/>
              </w:rPr>
              <w:instrText xml:space="preserve"> PAGEREF _Toc433960195 \h </w:instrText>
            </w:r>
            <w:r w:rsidR="0070512A">
              <w:rPr>
                <w:noProof/>
                <w:webHidden/>
              </w:rPr>
            </w:r>
            <w:r w:rsidR="0070512A">
              <w:rPr>
                <w:noProof/>
                <w:webHidden/>
              </w:rPr>
              <w:fldChar w:fldCharType="separate"/>
            </w:r>
            <w:r w:rsidR="008007EE">
              <w:rPr>
                <w:noProof/>
                <w:webHidden/>
              </w:rPr>
              <w:t>11</w:t>
            </w:r>
            <w:r w:rsidR="0070512A">
              <w:rPr>
                <w:noProof/>
                <w:webHidden/>
              </w:rPr>
              <w:fldChar w:fldCharType="end"/>
            </w:r>
          </w:hyperlink>
        </w:p>
        <w:p w:rsidR="0070512A" w:rsidRDefault="00D849F3" w14:paraId="618333FD" w14:textId="3ED793EC">
          <w:pPr>
            <w:pStyle w:val="TOC1"/>
            <w:tabs>
              <w:tab w:val="right" w:leader="dot" w:pos="9350"/>
            </w:tabs>
            <w:rPr>
              <w:noProof/>
              <w:sz w:val="22"/>
              <w:szCs w:val="22"/>
            </w:rPr>
          </w:pPr>
          <w:hyperlink w:history="1" w:anchor="_Toc433960196">
            <w:r w:rsidRPr="00B2432F" w:rsidR="0070512A">
              <w:rPr>
                <w:rStyle w:val="Hyperlink"/>
                <w:noProof/>
              </w:rPr>
              <w:t>A.9.  Explanation of Any Payment or Gift to Respondents</w:t>
            </w:r>
            <w:r w:rsidR="0070512A">
              <w:rPr>
                <w:noProof/>
                <w:webHidden/>
              </w:rPr>
              <w:tab/>
            </w:r>
            <w:r w:rsidR="0070512A">
              <w:rPr>
                <w:noProof/>
                <w:webHidden/>
              </w:rPr>
              <w:fldChar w:fldCharType="begin"/>
            </w:r>
            <w:r w:rsidR="0070512A">
              <w:rPr>
                <w:noProof/>
                <w:webHidden/>
              </w:rPr>
              <w:instrText xml:space="preserve"> PAGEREF _Toc433960196 \h </w:instrText>
            </w:r>
            <w:r w:rsidR="0070512A">
              <w:rPr>
                <w:noProof/>
                <w:webHidden/>
              </w:rPr>
            </w:r>
            <w:r w:rsidR="0070512A">
              <w:rPr>
                <w:noProof/>
                <w:webHidden/>
              </w:rPr>
              <w:fldChar w:fldCharType="separate"/>
            </w:r>
            <w:r w:rsidR="008007EE">
              <w:rPr>
                <w:noProof/>
                <w:webHidden/>
              </w:rPr>
              <w:t>12</w:t>
            </w:r>
            <w:r w:rsidR="0070512A">
              <w:rPr>
                <w:noProof/>
                <w:webHidden/>
              </w:rPr>
              <w:fldChar w:fldCharType="end"/>
            </w:r>
          </w:hyperlink>
        </w:p>
        <w:p w:rsidR="0070512A" w:rsidRDefault="00D849F3" w14:paraId="016E5265" w14:textId="50DC3097">
          <w:pPr>
            <w:pStyle w:val="TOC1"/>
            <w:tabs>
              <w:tab w:val="right" w:leader="dot" w:pos="9350"/>
            </w:tabs>
            <w:rPr>
              <w:noProof/>
              <w:sz w:val="22"/>
              <w:szCs w:val="22"/>
            </w:rPr>
          </w:pPr>
          <w:hyperlink w:history="1" w:anchor="_Toc433960197">
            <w:r w:rsidRPr="00B2432F" w:rsidR="0070512A">
              <w:rPr>
                <w:rStyle w:val="Hyperlink"/>
                <w:noProof/>
              </w:rPr>
              <w:t>A.10.  Protection of the Privacy and Confidentiality of Information Provided by Respondents</w:t>
            </w:r>
            <w:r w:rsidR="0070512A">
              <w:rPr>
                <w:noProof/>
                <w:webHidden/>
              </w:rPr>
              <w:tab/>
            </w:r>
            <w:r w:rsidR="0070512A">
              <w:rPr>
                <w:noProof/>
                <w:webHidden/>
              </w:rPr>
              <w:fldChar w:fldCharType="begin"/>
            </w:r>
            <w:r w:rsidR="0070512A">
              <w:rPr>
                <w:noProof/>
                <w:webHidden/>
              </w:rPr>
              <w:instrText xml:space="preserve"> PAGEREF _Toc433960197 \h </w:instrText>
            </w:r>
            <w:r w:rsidR="0070512A">
              <w:rPr>
                <w:noProof/>
                <w:webHidden/>
              </w:rPr>
            </w:r>
            <w:r w:rsidR="0070512A">
              <w:rPr>
                <w:noProof/>
                <w:webHidden/>
              </w:rPr>
              <w:fldChar w:fldCharType="separate"/>
            </w:r>
            <w:r w:rsidR="008007EE">
              <w:rPr>
                <w:noProof/>
                <w:webHidden/>
              </w:rPr>
              <w:t>13</w:t>
            </w:r>
            <w:r w:rsidR="0070512A">
              <w:rPr>
                <w:noProof/>
                <w:webHidden/>
              </w:rPr>
              <w:fldChar w:fldCharType="end"/>
            </w:r>
          </w:hyperlink>
        </w:p>
        <w:p w:rsidR="0070512A" w:rsidRDefault="00D849F3" w14:paraId="005BAC3C" w14:textId="173F02ED">
          <w:pPr>
            <w:pStyle w:val="TOC1"/>
            <w:tabs>
              <w:tab w:val="right" w:leader="dot" w:pos="9350"/>
            </w:tabs>
            <w:rPr>
              <w:noProof/>
              <w:sz w:val="22"/>
              <w:szCs w:val="22"/>
            </w:rPr>
          </w:pPr>
          <w:hyperlink w:history="1" w:anchor="_Toc433960198">
            <w:r w:rsidRPr="00B2432F" w:rsidR="0070512A">
              <w:rPr>
                <w:rStyle w:val="Hyperlink"/>
                <w:noProof/>
              </w:rPr>
              <w:t>A.11.  Institutional Review Board (IRB) and Justification for Sensitive Questions</w:t>
            </w:r>
            <w:r w:rsidR="0070512A">
              <w:rPr>
                <w:noProof/>
                <w:webHidden/>
              </w:rPr>
              <w:tab/>
            </w:r>
            <w:r w:rsidR="0070512A">
              <w:rPr>
                <w:noProof/>
                <w:webHidden/>
              </w:rPr>
              <w:fldChar w:fldCharType="begin"/>
            </w:r>
            <w:r w:rsidR="0070512A">
              <w:rPr>
                <w:noProof/>
                <w:webHidden/>
              </w:rPr>
              <w:instrText xml:space="preserve"> PAGEREF _Toc433960198 \h </w:instrText>
            </w:r>
            <w:r w:rsidR="0070512A">
              <w:rPr>
                <w:noProof/>
                <w:webHidden/>
              </w:rPr>
            </w:r>
            <w:r w:rsidR="0070512A">
              <w:rPr>
                <w:noProof/>
                <w:webHidden/>
              </w:rPr>
              <w:fldChar w:fldCharType="separate"/>
            </w:r>
            <w:r w:rsidR="008007EE">
              <w:rPr>
                <w:noProof/>
                <w:webHidden/>
              </w:rPr>
              <w:t>14</w:t>
            </w:r>
            <w:r w:rsidR="0070512A">
              <w:rPr>
                <w:noProof/>
                <w:webHidden/>
              </w:rPr>
              <w:fldChar w:fldCharType="end"/>
            </w:r>
          </w:hyperlink>
        </w:p>
        <w:p w:rsidR="0070512A" w:rsidRDefault="00D849F3" w14:paraId="57EB2E79" w14:textId="678C9D05">
          <w:pPr>
            <w:pStyle w:val="TOC1"/>
            <w:tabs>
              <w:tab w:val="right" w:leader="dot" w:pos="9350"/>
            </w:tabs>
            <w:rPr>
              <w:noProof/>
              <w:sz w:val="22"/>
              <w:szCs w:val="22"/>
            </w:rPr>
          </w:pPr>
          <w:hyperlink w:history="1" w:anchor="_Toc433960199">
            <w:r w:rsidRPr="00B2432F" w:rsidR="0070512A">
              <w:rPr>
                <w:rStyle w:val="Hyperlink"/>
                <w:noProof/>
              </w:rPr>
              <w:t>A.12.  Estimates of Annualized Burden Hours and Costs</w:t>
            </w:r>
            <w:r w:rsidR="0070512A">
              <w:rPr>
                <w:noProof/>
                <w:webHidden/>
              </w:rPr>
              <w:tab/>
            </w:r>
            <w:r w:rsidR="0070512A">
              <w:rPr>
                <w:noProof/>
                <w:webHidden/>
              </w:rPr>
              <w:fldChar w:fldCharType="begin"/>
            </w:r>
            <w:r w:rsidR="0070512A">
              <w:rPr>
                <w:noProof/>
                <w:webHidden/>
              </w:rPr>
              <w:instrText xml:space="preserve"> PAGEREF _Toc433960199 \h </w:instrText>
            </w:r>
            <w:r w:rsidR="0070512A">
              <w:rPr>
                <w:noProof/>
                <w:webHidden/>
              </w:rPr>
            </w:r>
            <w:r w:rsidR="0070512A">
              <w:rPr>
                <w:noProof/>
                <w:webHidden/>
              </w:rPr>
              <w:fldChar w:fldCharType="separate"/>
            </w:r>
            <w:r w:rsidR="008007EE">
              <w:rPr>
                <w:noProof/>
                <w:webHidden/>
              </w:rPr>
              <w:t>15</w:t>
            </w:r>
            <w:r w:rsidR="0070512A">
              <w:rPr>
                <w:noProof/>
                <w:webHidden/>
              </w:rPr>
              <w:fldChar w:fldCharType="end"/>
            </w:r>
          </w:hyperlink>
        </w:p>
        <w:p w:rsidR="0070512A" w:rsidRDefault="00D849F3" w14:paraId="7462B187" w14:textId="36CEB9AA">
          <w:pPr>
            <w:pStyle w:val="TOC1"/>
            <w:tabs>
              <w:tab w:val="right" w:leader="dot" w:pos="9350"/>
            </w:tabs>
            <w:rPr>
              <w:noProof/>
              <w:sz w:val="22"/>
              <w:szCs w:val="22"/>
            </w:rPr>
          </w:pPr>
          <w:hyperlink w:history="1" w:anchor="_Toc433960200">
            <w:r w:rsidRPr="00B2432F" w:rsidR="0070512A">
              <w:rPr>
                <w:rStyle w:val="Hyperlink"/>
                <w:noProof/>
              </w:rPr>
              <w:t>A.13.  Estimates of Other Total Annual Cost Burden to Respondents and Record Keepers</w:t>
            </w:r>
            <w:r w:rsidR="0070512A">
              <w:rPr>
                <w:noProof/>
                <w:webHidden/>
              </w:rPr>
              <w:tab/>
            </w:r>
            <w:r w:rsidR="0070512A">
              <w:rPr>
                <w:noProof/>
                <w:webHidden/>
              </w:rPr>
              <w:fldChar w:fldCharType="begin"/>
            </w:r>
            <w:r w:rsidR="0070512A">
              <w:rPr>
                <w:noProof/>
                <w:webHidden/>
              </w:rPr>
              <w:instrText xml:space="preserve"> PAGEREF _Toc433960200 \h </w:instrText>
            </w:r>
            <w:r w:rsidR="0070512A">
              <w:rPr>
                <w:noProof/>
                <w:webHidden/>
              </w:rPr>
            </w:r>
            <w:r w:rsidR="0070512A">
              <w:rPr>
                <w:noProof/>
                <w:webHidden/>
              </w:rPr>
              <w:fldChar w:fldCharType="separate"/>
            </w:r>
            <w:r w:rsidR="008007EE">
              <w:rPr>
                <w:noProof/>
                <w:webHidden/>
              </w:rPr>
              <w:t>16</w:t>
            </w:r>
            <w:r w:rsidR="0070512A">
              <w:rPr>
                <w:noProof/>
                <w:webHidden/>
              </w:rPr>
              <w:fldChar w:fldCharType="end"/>
            </w:r>
          </w:hyperlink>
        </w:p>
        <w:p w:rsidR="0070512A" w:rsidRDefault="00D849F3" w14:paraId="09418D1F" w14:textId="5776D98B">
          <w:pPr>
            <w:pStyle w:val="TOC1"/>
            <w:tabs>
              <w:tab w:val="right" w:leader="dot" w:pos="9350"/>
            </w:tabs>
            <w:rPr>
              <w:noProof/>
              <w:sz w:val="22"/>
              <w:szCs w:val="22"/>
            </w:rPr>
          </w:pPr>
          <w:hyperlink w:history="1" w:anchor="_Toc433960201">
            <w:r w:rsidRPr="00B2432F" w:rsidR="0070512A">
              <w:rPr>
                <w:rStyle w:val="Hyperlink"/>
                <w:noProof/>
              </w:rPr>
              <w:t>A.14.  Annualized Cost to the Federal Government</w:t>
            </w:r>
            <w:r w:rsidR="0070512A">
              <w:rPr>
                <w:noProof/>
                <w:webHidden/>
              </w:rPr>
              <w:tab/>
            </w:r>
            <w:r w:rsidR="0070512A">
              <w:rPr>
                <w:noProof/>
                <w:webHidden/>
              </w:rPr>
              <w:fldChar w:fldCharType="begin"/>
            </w:r>
            <w:r w:rsidR="0070512A">
              <w:rPr>
                <w:noProof/>
                <w:webHidden/>
              </w:rPr>
              <w:instrText xml:space="preserve"> PAGEREF _Toc433960201 \h </w:instrText>
            </w:r>
            <w:r w:rsidR="0070512A">
              <w:rPr>
                <w:noProof/>
                <w:webHidden/>
              </w:rPr>
            </w:r>
            <w:r w:rsidR="0070512A">
              <w:rPr>
                <w:noProof/>
                <w:webHidden/>
              </w:rPr>
              <w:fldChar w:fldCharType="separate"/>
            </w:r>
            <w:r w:rsidR="008007EE">
              <w:rPr>
                <w:noProof/>
                <w:webHidden/>
              </w:rPr>
              <w:t>16</w:t>
            </w:r>
            <w:r w:rsidR="0070512A">
              <w:rPr>
                <w:noProof/>
                <w:webHidden/>
              </w:rPr>
              <w:fldChar w:fldCharType="end"/>
            </w:r>
          </w:hyperlink>
        </w:p>
        <w:p w:rsidR="0070512A" w:rsidRDefault="00D849F3" w14:paraId="32CF8227" w14:textId="4B24A415">
          <w:pPr>
            <w:pStyle w:val="TOC1"/>
            <w:tabs>
              <w:tab w:val="right" w:leader="dot" w:pos="9350"/>
            </w:tabs>
            <w:rPr>
              <w:noProof/>
              <w:sz w:val="22"/>
              <w:szCs w:val="22"/>
            </w:rPr>
          </w:pPr>
          <w:hyperlink w:history="1" w:anchor="_Toc433960202">
            <w:r w:rsidRPr="00B2432F" w:rsidR="0070512A">
              <w:rPr>
                <w:rStyle w:val="Hyperlink"/>
                <w:noProof/>
              </w:rPr>
              <w:t>A.15.  Explanation for Program Changes or Adjustments</w:t>
            </w:r>
            <w:r w:rsidR="0070512A">
              <w:rPr>
                <w:noProof/>
                <w:webHidden/>
              </w:rPr>
              <w:tab/>
            </w:r>
            <w:r w:rsidR="0070512A">
              <w:rPr>
                <w:noProof/>
                <w:webHidden/>
              </w:rPr>
              <w:fldChar w:fldCharType="begin"/>
            </w:r>
            <w:r w:rsidR="0070512A">
              <w:rPr>
                <w:noProof/>
                <w:webHidden/>
              </w:rPr>
              <w:instrText xml:space="preserve"> PAGEREF _Toc433960202 \h </w:instrText>
            </w:r>
            <w:r w:rsidR="0070512A">
              <w:rPr>
                <w:noProof/>
                <w:webHidden/>
              </w:rPr>
            </w:r>
            <w:r w:rsidR="0070512A">
              <w:rPr>
                <w:noProof/>
                <w:webHidden/>
              </w:rPr>
              <w:fldChar w:fldCharType="separate"/>
            </w:r>
            <w:r w:rsidR="008007EE">
              <w:rPr>
                <w:noProof/>
                <w:webHidden/>
              </w:rPr>
              <w:t>17</w:t>
            </w:r>
            <w:r w:rsidR="0070512A">
              <w:rPr>
                <w:noProof/>
                <w:webHidden/>
              </w:rPr>
              <w:fldChar w:fldCharType="end"/>
            </w:r>
          </w:hyperlink>
        </w:p>
        <w:p w:rsidR="0070512A" w:rsidRDefault="00D849F3" w14:paraId="5DC0EC3B" w14:textId="38117ABC">
          <w:pPr>
            <w:pStyle w:val="TOC1"/>
            <w:tabs>
              <w:tab w:val="right" w:leader="dot" w:pos="9350"/>
            </w:tabs>
            <w:rPr>
              <w:noProof/>
              <w:sz w:val="22"/>
              <w:szCs w:val="22"/>
            </w:rPr>
          </w:pPr>
          <w:hyperlink w:history="1" w:anchor="_Toc433960203">
            <w:r w:rsidRPr="00B2432F" w:rsidR="0070512A">
              <w:rPr>
                <w:rStyle w:val="Hyperlink"/>
                <w:noProof/>
              </w:rPr>
              <w:t>A.16.  Plans for Tabulation and Publication and Project Time Schedule</w:t>
            </w:r>
            <w:r w:rsidR="0070512A">
              <w:rPr>
                <w:noProof/>
                <w:webHidden/>
              </w:rPr>
              <w:tab/>
            </w:r>
            <w:r w:rsidR="0070512A">
              <w:rPr>
                <w:noProof/>
                <w:webHidden/>
              </w:rPr>
              <w:fldChar w:fldCharType="begin"/>
            </w:r>
            <w:r w:rsidR="0070512A">
              <w:rPr>
                <w:noProof/>
                <w:webHidden/>
              </w:rPr>
              <w:instrText xml:space="preserve"> PAGEREF _Toc433960203 \h </w:instrText>
            </w:r>
            <w:r w:rsidR="0070512A">
              <w:rPr>
                <w:noProof/>
                <w:webHidden/>
              </w:rPr>
            </w:r>
            <w:r w:rsidR="0070512A">
              <w:rPr>
                <w:noProof/>
                <w:webHidden/>
              </w:rPr>
              <w:fldChar w:fldCharType="separate"/>
            </w:r>
            <w:r w:rsidR="008007EE">
              <w:rPr>
                <w:noProof/>
                <w:webHidden/>
              </w:rPr>
              <w:t>17</w:t>
            </w:r>
            <w:r w:rsidR="0070512A">
              <w:rPr>
                <w:noProof/>
                <w:webHidden/>
              </w:rPr>
              <w:fldChar w:fldCharType="end"/>
            </w:r>
          </w:hyperlink>
        </w:p>
        <w:p w:rsidR="0070512A" w:rsidRDefault="00D849F3" w14:paraId="4D337A03" w14:textId="7EF932CD">
          <w:pPr>
            <w:pStyle w:val="TOC1"/>
            <w:tabs>
              <w:tab w:val="right" w:leader="dot" w:pos="9350"/>
            </w:tabs>
            <w:rPr>
              <w:noProof/>
              <w:sz w:val="22"/>
              <w:szCs w:val="22"/>
            </w:rPr>
          </w:pPr>
          <w:hyperlink w:history="1" w:anchor="_Toc433960204">
            <w:r w:rsidRPr="00B2432F" w:rsidR="0070512A">
              <w:rPr>
                <w:rStyle w:val="Hyperlink"/>
                <w:noProof/>
              </w:rPr>
              <w:t>A.17.  Reason(s) Display of OMB Expiration Date is Inappropriate</w:t>
            </w:r>
            <w:r w:rsidR="0070512A">
              <w:rPr>
                <w:noProof/>
                <w:webHidden/>
              </w:rPr>
              <w:tab/>
            </w:r>
            <w:r w:rsidR="0070512A">
              <w:rPr>
                <w:noProof/>
                <w:webHidden/>
              </w:rPr>
              <w:fldChar w:fldCharType="begin"/>
            </w:r>
            <w:r w:rsidR="0070512A">
              <w:rPr>
                <w:noProof/>
                <w:webHidden/>
              </w:rPr>
              <w:instrText xml:space="preserve"> PAGEREF _Toc433960204 \h </w:instrText>
            </w:r>
            <w:r w:rsidR="0070512A">
              <w:rPr>
                <w:noProof/>
                <w:webHidden/>
              </w:rPr>
            </w:r>
            <w:r w:rsidR="0070512A">
              <w:rPr>
                <w:noProof/>
                <w:webHidden/>
              </w:rPr>
              <w:fldChar w:fldCharType="separate"/>
            </w:r>
            <w:r w:rsidR="008007EE">
              <w:rPr>
                <w:noProof/>
                <w:webHidden/>
              </w:rPr>
              <w:t>17</w:t>
            </w:r>
            <w:r w:rsidR="0070512A">
              <w:rPr>
                <w:noProof/>
                <w:webHidden/>
              </w:rPr>
              <w:fldChar w:fldCharType="end"/>
            </w:r>
          </w:hyperlink>
        </w:p>
        <w:p w:rsidR="0070512A" w:rsidRDefault="00D849F3" w14:paraId="4ADC921E" w14:textId="723289D9">
          <w:pPr>
            <w:pStyle w:val="TOC1"/>
            <w:tabs>
              <w:tab w:val="right" w:leader="dot" w:pos="9350"/>
            </w:tabs>
            <w:rPr>
              <w:noProof/>
              <w:sz w:val="22"/>
              <w:szCs w:val="22"/>
            </w:rPr>
          </w:pPr>
          <w:hyperlink w:history="1" w:anchor="_Toc433960205">
            <w:r w:rsidRPr="00B2432F" w:rsidR="0070512A">
              <w:rPr>
                <w:rStyle w:val="Hyperlink"/>
                <w:noProof/>
              </w:rPr>
              <w:t>A.18.  Exceptions to Certification for Paperwork Reduction Act Submissions</w:t>
            </w:r>
            <w:r w:rsidR="0070512A">
              <w:rPr>
                <w:noProof/>
                <w:webHidden/>
              </w:rPr>
              <w:tab/>
            </w:r>
            <w:r w:rsidR="0070512A">
              <w:rPr>
                <w:noProof/>
                <w:webHidden/>
              </w:rPr>
              <w:fldChar w:fldCharType="begin"/>
            </w:r>
            <w:r w:rsidR="0070512A">
              <w:rPr>
                <w:noProof/>
                <w:webHidden/>
              </w:rPr>
              <w:instrText xml:space="preserve"> PAGEREF _Toc433960205 \h </w:instrText>
            </w:r>
            <w:r w:rsidR="0070512A">
              <w:rPr>
                <w:noProof/>
                <w:webHidden/>
              </w:rPr>
            </w:r>
            <w:r w:rsidR="0070512A">
              <w:rPr>
                <w:noProof/>
                <w:webHidden/>
              </w:rPr>
              <w:fldChar w:fldCharType="separate"/>
            </w:r>
            <w:r w:rsidR="008007EE">
              <w:rPr>
                <w:noProof/>
                <w:webHidden/>
              </w:rPr>
              <w:t>17</w:t>
            </w:r>
            <w:r w:rsidR="0070512A">
              <w:rPr>
                <w:noProof/>
                <w:webHidden/>
              </w:rPr>
              <w:fldChar w:fldCharType="end"/>
            </w:r>
          </w:hyperlink>
        </w:p>
        <w:p w:rsidRPr="00D20211" w:rsidR="009B765E" w:rsidRDefault="009B765E" w14:paraId="0ADE5840" w14:textId="77777777">
          <w:r w:rsidRPr="00D20211">
            <w:rPr>
              <w:b/>
              <w:bCs/>
              <w:noProof/>
            </w:rPr>
            <w:fldChar w:fldCharType="end"/>
          </w:r>
        </w:p>
      </w:sdtContent>
    </w:sdt>
    <w:bookmarkEnd w:id="0"/>
    <w:bookmarkEnd w:id="1"/>
    <w:p w:rsidR="008D2B70" w:rsidP="008D2B70" w:rsidRDefault="008D2B70" w14:paraId="0EEC5071" w14:textId="77777777"/>
    <w:p w:rsidRPr="00D20211" w:rsidR="00480FC6" w:rsidRDefault="00480FC6" w14:paraId="1AD6B394" w14:textId="77777777">
      <w:r w:rsidRPr="00D20211">
        <w:br w:type="page"/>
      </w:r>
    </w:p>
    <w:p w:rsidRPr="00D20211" w:rsidR="0024399D" w:rsidP="00EE7CF9" w:rsidRDefault="0024399D" w14:paraId="39B3F4E8" w14:textId="77777777">
      <w:pPr>
        <w:pBdr>
          <w:bottom w:val="single" w:color="auto" w:sz="4" w:space="1"/>
        </w:pBdr>
        <w:rPr>
          <w:rFonts w:asciiTheme="majorHAnsi" w:hAnsiTheme="majorHAnsi"/>
          <w:sz w:val="36"/>
          <w:szCs w:val="36"/>
        </w:rPr>
      </w:pPr>
      <w:r w:rsidRPr="00D20211">
        <w:rPr>
          <w:rFonts w:asciiTheme="majorHAnsi" w:hAnsiTheme="majorHAnsi"/>
          <w:noProof/>
          <w:sz w:val="36"/>
          <w:szCs w:val="36"/>
        </w:rPr>
        <w:lastRenderedPageBreak/>
        <mc:AlternateContent>
          <mc:Choice Requires="wps">
            <w:drawing>
              <wp:anchor distT="45720" distB="45720" distL="114300" distR="114300" simplePos="0" relativeHeight="251659264" behindDoc="0" locked="0" layoutInCell="1" allowOverlap="1" wp14:editId="61EA0D77" wp14:anchorId="1CAE3D5A">
                <wp:simplePos x="0" y="0"/>
                <wp:positionH relativeFrom="margin">
                  <wp:align>right</wp:align>
                </wp:positionH>
                <wp:positionV relativeFrom="paragraph">
                  <wp:posOffset>494665</wp:posOffset>
                </wp:positionV>
                <wp:extent cx="5930900" cy="6007100"/>
                <wp:effectExtent l="0" t="0" r="1270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6007100"/>
                        </a:xfrm>
                        <a:prstGeom prst="rect">
                          <a:avLst/>
                        </a:prstGeom>
                        <a:solidFill>
                          <a:srgbClr val="FFFFFF"/>
                        </a:solidFill>
                        <a:ln w="9525">
                          <a:solidFill>
                            <a:srgbClr val="000000"/>
                          </a:solidFill>
                          <a:miter lim="800000"/>
                          <a:headEnd/>
                          <a:tailEnd/>
                        </a:ln>
                      </wps:spPr>
                      <wps:txbx>
                        <w:txbxContent>
                          <w:p w:rsidRPr="00441D1E" w:rsidR="0093769B" w:rsidP="00441D1E" w:rsidRDefault="0093769B" w14:paraId="2B016FE9" w14:textId="77777777">
                            <w:pPr>
                              <w:pStyle w:val="ListParagraph"/>
                              <w:spacing w:after="200" w:line="276" w:lineRule="auto"/>
                              <w:ind w:left="360"/>
                              <w:jc w:val="center"/>
                              <w:rPr>
                                <w:sz w:val="24"/>
                                <w:szCs w:val="24"/>
                              </w:rPr>
                            </w:pPr>
                            <w:r w:rsidRPr="00441D1E">
                              <w:rPr>
                                <w:b/>
                                <w:sz w:val="24"/>
                                <w:szCs w:val="24"/>
                              </w:rPr>
                              <w:t>ATSDR Exposure Investigations (EI)</w:t>
                            </w:r>
                          </w:p>
                          <w:p w:rsidR="0093769B" w:rsidP="00441D1E" w:rsidRDefault="0093769B" w14:paraId="712F0007" w14:textId="77777777">
                            <w:pPr>
                              <w:spacing w:after="200" w:line="276" w:lineRule="auto"/>
                            </w:pPr>
                            <w:r w:rsidRPr="001B2712">
                              <w:rPr>
                                <w:b/>
                                <w:sz w:val="24"/>
                                <w:szCs w:val="24"/>
                              </w:rPr>
                              <w:t xml:space="preserve">Goal of the study: </w:t>
                            </w:r>
                            <w:r w:rsidRPr="00441D1E">
                              <w:rPr>
                                <w:sz w:val="24"/>
                                <w:szCs w:val="24"/>
                              </w:rPr>
                              <w:t>Under this generic clearance, ATSDR conducts exposure investigations (EIs) to determine whether people are or have been exposed to unusual levels of pollutants at specific locations.</w:t>
                            </w:r>
                            <w:r>
                              <w:t xml:space="preserve"> </w:t>
                            </w:r>
                          </w:p>
                          <w:p w:rsidRPr="00441D1E" w:rsidR="0093769B" w:rsidP="00441D1E" w:rsidRDefault="0093769B" w14:paraId="33210A33" w14:textId="14D55A79">
                            <w:pPr>
                              <w:spacing w:after="200" w:line="276" w:lineRule="auto"/>
                              <w:rPr>
                                <w:sz w:val="24"/>
                                <w:szCs w:val="24"/>
                              </w:rPr>
                            </w:pPr>
                            <w:r w:rsidRPr="001B2712">
                              <w:rPr>
                                <w:b/>
                                <w:sz w:val="24"/>
                                <w:szCs w:val="24"/>
                              </w:rPr>
                              <w:t xml:space="preserve">Intended use of the resulting data: </w:t>
                            </w:r>
                            <w:r w:rsidRPr="00441D1E">
                              <w:rPr>
                                <w:sz w:val="24"/>
                                <w:szCs w:val="24"/>
                              </w:rPr>
                              <w:t xml:space="preserve">Beginning in 1995, public health professionals, environmental risk managers, and other decision makers have used data from ATSDR’s EI reports to determine if conditions warrant additional sampling and to decide if intervention is needed to minimize or eliminate exposure. ATSDR has completed over </w:t>
                            </w:r>
                            <w:r w:rsidR="002701E6">
                              <w:rPr>
                                <w:sz w:val="24"/>
                                <w:szCs w:val="24"/>
                              </w:rPr>
                              <w:t>200</w:t>
                            </w:r>
                            <w:r w:rsidRPr="00441D1E">
                              <w:rPr>
                                <w:sz w:val="24"/>
                                <w:szCs w:val="24"/>
                              </w:rPr>
                              <w:t xml:space="preserve"> EIs over approximately 1</w:t>
                            </w:r>
                            <w:r w:rsidR="0066681D">
                              <w:rPr>
                                <w:sz w:val="24"/>
                                <w:szCs w:val="24"/>
                              </w:rPr>
                              <w:t>5</w:t>
                            </w:r>
                            <w:r w:rsidRPr="00441D1E">
                              <w:rPr>
                                <w:sz w:val="24"/>
                                <w:szCs w:val="24"/>
                              </w:rPr>
                              <w:t xml:space="preserve"> years.</w:t>
                            </w:r>
                          </w:p>
                          <w:p w:rsidRPr="00453CF0" w:rsidR="0093769B" w:rsidP="00441D1E" w:rsidRDefault="0093769B" w14:paraId="15911189" w14:textId="77777777">
                            <w:pPr>
                              <w:spacing w:after="200" w:line="276" w:lineRule="auto"/>
                              <w:rPr>
                                <w:i/>
                                <w:sz w:val="24"/>
                                <w:szCs w:val="24"/>
                              </w:rPr>
                            </w:pPr>
                            <w:r w:rsidRPr="00453CF0">
                              <w:rPr>
                                <w:sz w:val="24"/>
                                <w:szCs w:val="24"/>
                              </w:rPr>
                              <w:t xml:space="preserve">Using data collected under this generic clearance information collection request (ICR), decision makers can determine whether exposure resulting from environmental contamination has occurred in a community. The results of the EI are used to recommend methods for communities to reduce exposure, if needed. </w:t>
                            </w:r>
                          </w:p>
                          <w:p w:rsidRPr="00441D1E" w:rsidR="0093769B" w:rsidP="008C46E9" w:rsidRDefault="0093769B" w14:paraId="795A616C" w14:textId="77777777">
                            <w:pPr>
                              <w:spacing w:before="240" w:line="240" w:lineRule="auto"/>
                              <w:rPr>
                                <w:sz w:val="24"/>
                                <w:szCs w:val="24"/>
                              </w:rPr>
                            </w:pPr>
                            <w:r w:rsidRPr="001B2712">
                              <w:rPr>
                                <w:b/>
                                <w:sz w:val="24"/>
                                <w:szCs w:val="24"/>
                              </w:rPr>
                              <w:t xml:space="preserve">Methods to be used to collect: </w:t>
                            </w:r>
                            <w:r w:rsidRPr="00441D1E">
                              <w:rPr>
                                <w:sz w:val="24"/>
                                <w:szCs w:val="24"/>
                              </w:rPr>
                              <w:t xml:space="preserve">The intent of using </w:t>
                            </w:r>
                            <w:r>
                              <w:rPr>
                                <w:sz w:val="24"/>
                                <w:szCs w:val="24"/>
                              </w:rPr>
                              <w:t xml:space="preserve">purposive, </w:t>
                            </w:r>
                            <w:r w:rsidRPr="00441D1E">
                              <w:rPr>
                                <w:sz w:val="24"/>
                                <w:szCs w:val="24"/>
                              </w:rPr>
                              <w:t>convenience sampling for participants is to identify and investigate the most highly exposed individuals in the community.</w:t>
                            </w:r>
                          </w:p>
                          <w:p w:rsidRPr="00441D1E" w:rsidR="0093769B" w:rsidP="00441D1E" w:rsidRDefault="0093769B" w14:paraId="1B587654" w14:textId="77777777">
                            <w:pPr>
                              <w:spacing w:after="200" w:line="276" w:lineRule="auto"/>
                              <w:rPr>
                                <w:sz w:val="24"/>
                                <w:szCs w:val="24"/>
                              </w:rPr>
                            </w:pPr>
                            <w:r w:rsidRPr="001B2712">
                              <w:rPr>
                                <w:b/>
                                <w:sz w:val="24"/>
                                <w:szCs w:val="24"/>
                              </w:rPr>
                              <w:t xml:space="preserve">Subpopulation to be studied: </w:t>
                            </w:r>
                            <w:r w:rsidRPr="00441D1E">
                              <w:rPr>
                                <w:sz w:val="24"/>
                                <w:szCs w:val="24"/>
                              </w:rPr>
                              <w:t>An ATSDR team identifies a subpopulation for each EI based on the type of environmental contamination present at the site, for example, participants may be preschool children or pregnant women when testing blood for lead.</w:t>
                            </w:r>
                          </w:p>
                          <w:p w:rsidRPr="00441D1E" w:rsidR="0093769B" w:rsidP="00441D1E" w:rsidRDefault="0093769B" w14:paraId="2BC0455D" w14:textId="0A4EB129">
                            <w:pPr>
                              <w:spacing w:after="200" w:line="276" w:lineRule="auto"/>
                              <w:rPr>
                                <w:sz w:val="24"/>
                                <w:szCs w:val="24"/>
                              </w:rPr>
                            </w:pPr>
                            <w:r w:rsidRPr="001B2712">
                              <w:rPr>
                                <w:b/>
                                <w:sz w:val="24"/>
                                <w:szCs w:val="24"/>
                              </w:rPr>
                              <w:t xml:space="preserve">How data will be analyzed: </w:t>
                            </w:r>
                            <w:r w:rsidRPr="00441D1E">
                              <w:rPr>
                                <w:sz w:val="24"/>
                                <w:szCs w:val="24"/>
                              </w:rPr>
                              <w:t xml:space="preserve">Biological or environmental samples will be analyzed at an accredited laboratory and the data results will be evaluated using ATSDR Public Health Assessment (PHA) evaluation methods to determine whether participants have been exposed to environmental contaminants.  ATSDR </w:t>
                            </w:r>
                            <w:r>
                              <w:rPr>
                                <w:sz w:val="24"/>
                                <w:szCs w:val="24"/>
                              </w:rPr>
                              <w:t>may also provide</w:t>
                            </w:r>
                            <w:r w:rsidRPr="00441D1E">
                              <w:rPr>
                                <w:sz w:val="24"/>
                                <w:szCs w:val="24"/>
                              </w:rPr>
                              <w:t xml:space="preserve"> individual exposure information to participants</w:t>
                            </w:r>
                            <w:r>
                              <w:rPr>
                                <w:sz w:val="24"/>
                                <w:szCs w:val="24"/>
                              </w:rPr>
                              <w:t>, although this is not the primary purpose of the investigation</w:t>
                            </w:r>
                            <w:r w:rsidRPr="00441D1E">
                              <w:rPr>
                                <w:sz w:val="24"/>
                                <w:szCs w:val="24"/>
                              </w:rPr>
                              <w:t>.</w:t>
                            </w:r>
                          </w:p>
                          <w:p w:rsidRPr="001B2712" w:rsidR="0093769B" w:rsidP="008C46E9" w:rsidRDefault="0093769B" w14:paraId="0A31DA41" w14:textId="77777777">
                            <w:pPr>
                              <w:spacing w:before="240" w:line="240" w:lineRule="auto"/>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CAE3D5A">
                <v:stroke joinstyle="miter"/>
                <v:path gradientshapeok="t" o:connecttype="rect"/>
              </v:shapetype>
              <v:shape id="Text Box 2" style="position:absolute;margin-left:415.8pt;margin-top:38.95pt;width:467pt;height:47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">
                <v:textbox>
                  <w:txbxContent>
                    <w:p w:rsidRPr="00441D1E" w:rsidR="0093769B" w:rsidP="00441D1E" w:rsidRDefault="0093769B" w14:paraId="2B016FE9" w14:textId="77777777">
                      <w:pPr>
                        <w:pStyle w:val="ListParagraph"/>
                        <w:spacing w:after="200" w:line="276" w:lineRule="auto"/>
                        <w:ind w:left="360"/>
                        <w:jc w:val="center"/>
                        <w:rPr>
                          <w:sz w:val="24"/>
                          <w:szCs w:val="24"/>
                        </w:rPr>
                      </w:pPr>
                      <w:r w:rsidRPr="00441D1E">
                        <w:rPr>
                          <w:b/>
                          <w:sz w:val="24"/>
                          <w:szCs w:val="24"/>
                        </w:rPr>
                        <w:t>ATSDR Exposure Investigations (EI)</w:t>
                      </w:r>
                    </w:p>
                    <w:p w:rsidR="0093769B" w:rsidP="00441D1E" w:rsidRDefault="0093769B" w14:paraId="712F0007" w14:textId="77777777">
                      <w:pPr>
                        <w:spacing w:after="200" w:line="276" w:lineRule="auto"/>
                      </w:pPr>
                      <w:r w:rsidRPr="001B2712">
                        <w:rPr>
                          <w:b/>
                          <w:sz w:val="24"/>
                          <w:szCs w:val="24"/>
                        </w:rPr>
                        <w:t xml:space="preserve">Goal of the study: </w:t>
                      </w:r>
                      <w:r w:rsidRPr="00441D1E">
                        <w:rPr>
                          <w:sz w:val="24"/>
                          <w:szCs w:val="24"/>
                        </w:rPr>
                        <w:t>Under this generic clearance, ATSDR conducts exposure investigations (EIs) to determine whether people are or have been exposed to unusual levels of pollutants at specific locations.</w:t>
                      </w:r>
                      <w:r>
                        <w:t xml:space="preserve"> </w:t>
                      </w:r>
                    </w:p>
                    <w:p w:rsidRPr="00441D1E" w:rsidR="0093769B" w:rsidP="00441D1E" w:rsidRDefault="0093769B" w14:paraId="33210A33" w14:textId="14D55A79">
                      <w:pPr>
                        <w:spacing w:after="200" w:line="276" w:lineRule="auto"/>
                        <w:rPr>
                          <w:sz w:val="24"/>
                          <w:szCs w:val="24"/>
                        </w:rPr>
                      </w:pPr>
                      <w:r w:rsidRPr="001B2712">
                        <w:rPr>
                          <w:b/>
                          <w:sz w:val="24"/>
                          <w:szCs w:val="24"/>
                        </w:rPr>
                        <w:t xml:space="preserve">Intended use of the resulting data: </w:t>
                      </w:r>
                      <w:r w:rsidRPr="00441D1E">
                        <w:rPr>
                          <w:sz w:val="24"/>
                          <w:szCs w:val="24"/>
                        </w:rPr>
                        <w:t xml:space="preserve">Beginning in 1995, public health professionals, environmental risk managers, and other decision makers have used data from ATSDR’s EI reports to determine if conditions warrant additional sampling and to decide if intervention is needed to minimize or eliminate exposure. ATSDR has completed over </w:t>
                      </w:r>
                      <w:r w:rsidR="002701E6">
                        <w:rPr>
                          <w:sz w:val="24"/>
                          <w:szCs w:val="24"/>
                        </w:rPr>
                        <w:t>200</w:t>
                      </w:r>
                      <w:r w:rsidRPr="00441D1E">
                        <w:rPr>
                          <w:sz w:val="24"/>
                          <w:szCs w:val="24"/>
                        </w:rPr>
                        <w:t xml:space="preserve"> EIs over approximately 1</w:t>
                      </w:r>
                      <w:r w:rsidR="0066681D">
                        <w:rPr>
                          <w:sz w:val="24"/>
                          <w:szCs w:val="24"/>
                        </w:rPr>
                        <w:t>5</w:t>
                      </w:r>
                      <w:r w:rsidRPr="00441D1E">
                        <w:rPr>
                          <w:sz w:val="24"/>
                          <w:szCs w:val="24"/>
                        </w:rPr>
                        <w:t xml:space="preserve"> years.</w:t>
                      </w:r>
                    </w:p>
                    <w:p w:rsidRPr="00453CF0" w:rsidR="0093769B" w:rsidP="00441D1E" w:rsidRDefault="0093769B" w14:paraId="15911189" w14:textId="77777777">
                      <w:pPr>
                        <w:spacing w:after="200" w:line="276" w:lineRule="auto"/>
                        <w:rPr>
                          <w:i/>
                          <w:sz w:val="24"/>
                          <w:szCs w:val="24"/>
                        </w:rPr>
                      </w:pPr>
                      <w:r w:rsidRPr="00453CF0">
                        <w:rPr>
                          <w:sz w:val="24"/>
                          <w:szCs w:val="24"/>
                        </w:rPr>
                        <w:t xml:space="preserve">Using data collected under this generic clearance information collection request (ICR), decision makers can determine whether exposure resulting from environmental contamination has occurred in a community. The results of the EI are used to recommend methods for communities to reduce exposure, if needed. </w:t>
                      </w:r>
                    </w:p>
                    <w:p w:rsidRPr="00441D1E" w:rsidR="0093769B" w:rsidP="008C46E9" w:rsidRDefault="0093769B" w14:paraId="795A616C" w14:textId="77777777">
                      <w:pPr>
                        <w:spacing w:before="240" w:line="240" w:lineRule="auto"/>
                        <w:rPr>
                          <w:sz w:val="24"/>
                          <w:szCs w:val="24"/>
                        </w:rPr>
                      </w:pPr>
                      <w:r w:rsidRPr="001B2712">
                        <w:rPr>
                          <w:b/>
                          <w:sz w:val="24"/>
                          <w:szCs w:val="24"/>
                        </w:rPr>
                        <w:t xml:space="preserve">Methods to be used to collect: </w:t>
                      </w:r>
                      <w:r w:rsidRPr="00441D1E">
                        <w:rPr>
                          <w:sz w:val="24"/>
                          <w:szCs w:val="24"/>
                        </w:rPr>
                        <w:t xml:space="preserve">The intent of using </w:t>
                      </w:r>
                      <w:r>
                        <w:rPr>
                          <w:sz w:val="24"/>
                          <w:szCs w:val="24"/>
                        </w:rPr>
                        <w:t xml:space="preserve">purposive, </w:t>
                      </w:r>
                      <w:r w:rsidRPr="00441D1E">
                        <w:rPr>
                          <w:sz w:val="24"/>
                          <w:szCs w:val="24"/>
                        </w:rPr>
                        <w:t>convenience sampling for participants is to identify and investigate the most highly exposed individuals in the community.</w:t>
                      </w:r>
                    </w:p>
                    <w:p w:rsidRPr="00441D1E" w:rsidR="0093769B" w:rsidP="00441D1E" w:rsidRDefault="0093769B" w14:paraId="1B587654" w14:textId="77777777">
                      <w:pPr>
                        <w:spacing w:after="200" w:line="276" w:lineRule="auto"/>
                        <w:rPr>
                          <w:sz w:val="24"/>
                          <w:szCs w:val="24"/>
                        </w:rPr>
                      </w:pPr>
                      <w:r w:rsidRPr="001B2712">
                        <w:rPr>
                          <w:b/>
                          <w:sz w:val="24"/>
                          <w:szCs w:val="24"/>
                        </w:rPr>
                        <w:t xml:space="preserve">Subpopulation to be studied: </w:t>
                      </w:r>
                      <w:r w:rsidRPr="00441D1E">
                        <w:rPr>
                          <w:sz w:val="24"/>
                          <w:szCs w:val="24"/>
                        </w:rPr>
                        <w:t>An ATSDR team identifies a subpopulation for each EI based on the type of environmental contamination present at the site, for example, participants may be preschool children or pregnant women when testing blood for lead.</w:t>
                      </w:r>
                    </w:p>
                    <w:p w:rsidRPr="00441D1E" w:rsidR="0093769B" w:rsidP="00441D1E" w:rsidRDefault="0093769B" w14:paraId="2BC0455D" w14:textId="0A4EB129">
                      <w:pPr>
                        <w:spacing w:after="200" w:line="276" w:lineRule="auto"/>
                        <w:rPr>
                          <w:sz w:val="24"/>
                          <w:szCs w:val="24"/>
                        </w:rPr>
                      </w:pPr>
                      <w:r w:rsidRPr="001B2712">
                        <w:rPr>
                          <w:b/>
                          <w:sz w:val="24"/>
                          <w:szCs w:val="24"/>
                        </w:rPr>
                        <w:t xml:space="preserve">How data will be analyzed: </w:t>
                      </w:r>
                      <w:r w:rsidRPr="00441D1E">
                        <w:rPr>
                          <w:sz w:val="24"/>
                          <w:szCs w:val="24"/>
                        </w:rPr>
                        <w:t xml:space="preserve">Biological or environmental samples will be analyzed at an accredited laboratory and the data results will be evaluated using ATSDR Public Health Assessment (PHA) evaluation methods to determine whether participants have been exposed to environmental contaminants.  ATSDR </w:t>
                      </w:r>
                      <w:r>
                        <w:rPr>
                          <w:sz w:val="24"/>
                          <w:szCs w:val="24"/>
                        </w:rPr>
                        <w:t>may also provide</w:t>
                      </w:r>
                      <w:r w:rsidRPr="00441D1E">
                        <w:rPr>
                          <w:sz w:val="24"/>
                          <w:szCs w:val="24"/>
                        </w:rPr>
                        <w:t xml:space="preserve"> individual exposure information to participants</w:t>
                      </w:r>
                      <w:r>
                        <w:rPr>
                          <w:sz w:val="24"/>
                          <w:szCs w:val="24"/>
                        </w:rPr>
                        <w:t>, although this is not the primary purpose of the investigation</w:t>
                      </w:r>
                      <w:r w:rsidRPr="00441D1E">
                        <w:rPr>
                          <w:sz w:val="24"/>
                          <w:szCs w:val="24"/>
                        </w:rPr>
                        <w:t>.</w:t>
                      </w:r>
                    </w:p>
                    <w:p w:rsidRPr="001B2712" w:rsidR="0093769B" w:rsidP="008C46E9" w:rsidRDefault="0093769B" w14:paraId="0A31DA41" w14:textId="77777777">
                      <w:pPr>
                        <w:spacing w:before="240" w:line="240" w:lineRule="auto"/>
                        <w:rPr>
                          <w:sz w:val="24"/>
                          <w:szCs w:val="24"/>
                        </w:rPr>
                      </w:pPr>
                    </w:p>
                  </w:txbxContent>
                </v:textbox>
                <w10:wrap type="square" anchorx="margin"/>
              </v:shape>
            </w:pict>
          </mc:Fallback>
        </mc:AlternateContent>
      </w:r>
      <w:r w:rsidRPr="00D20211">
        <w:rPr>
          <w:rFonts w:asciiTheme="majorHAnsi" w:hAnsiTheme="majorHAnsi"/>
          <w:sz w:val="36"/>
          <w:szCs w:val="36"/>
        </w:rPr>
        <w:t>Part A. Justification</w:t>
      </w:r>
    </w:p>
    <w:p w:rsidRPr="00880459" w:rsidR="005D0DDF" w:rsidP="006521F7" w:rsidRDefault="00880459" w14:paraId="62A90AEA" w14:textId="0A14AFEB">
      <w:bookmarkStart w:name="_Toc433960188" w:id="2"/>
      <w:r>
        <w:br w:type="page"/>
      </w:r>
    </w:p>
    <w:p w:rsidRPr="00D20211" w:rsidR="00B45002" w:rsidP="00C03179" w:rsidRDefault="00FC5B5A" w14:paraId="47C72E57" w14:textId="77777777">
      <w:pPr>
        <w:pStyle w:val="Heading1"/>
        <w:pBdr>
          <w:bottom w:val="none" w:color="auto" w:sz="0" w:space="0"/>
        </w:pBdr>
        <w:rPr>
          <w:color w:val="auto"/>
        </w:rPr>
      </w:pPr>
      <w:r w:rsidRPr="00D20211">
        <w:rPr>
          <w:color w:val="auto"/>
        </w:rPr>
        <w:lastRenderedPageBreak/>
        <w:t>A</w:t>
      </w:r>
      <w:r w:rsidRPr="00D20211" w:rsidR="0024399D">
        <w:rPr>
          <w:color w:val="auto"/>
        </w:rPr>
        <w:t>.</w:t>
      </w:r>
      <w:r w:rsidRPr="00D20211" w:rsidR="004D21C9">
        <w:rPr>
          <w:color w:val="auto"/>
        </w:rPr>
        <w:t xml:space="preserve">1.  </w:t>
      </w:r>
      <w:r w:rsidRPr="00D20211" w:rsidR="00B45002">
        <w:rPr>
          <w:color w:val="auto"/>
        </w:rPr>
        <w:t>Circumstances Making the Collection of Information Necessary</w:t>
      </w:r>
      <w:bookmarkEnd w:id="2"/>
    </w:p>
    <w:p w:rsidRPr="00D20211" w:rsidR="00FC5B5A" w:rsidP="00601F1A" w:rsidRDefault="00FC5B5A" w14:paraId="3F499313" w14:textId="77777777"/>
    <w:p w:rsidRPr="0033105E" w:rsidR="0033105E" w:rsidP="007D4152" w:rsidRDefault="005E0ADE" w14:paraId="049C2715" w14:textId="3AF45040">
      <w:pPr>
        <w:rPr>
          <w:sz w:val="24"/>
          <w:szCs w:val="24"/>
        </w:rPr>
      </w:pPr>
      <w:r w:rsidRPr="0033105E">
        <w:rPr>
          <w:bCs/>
          <w:sz w:val="24"/>
          <w:szCs w:val="24"/>
        </w:rPr>
        <w:t xml:space="preserve">This is a request for a three-year extension of a generic clearance information collection request (ICR) titled the </w:t>
      </w:r>
      <w:r w:rsidRPr="0033105E">
        <w:rPr>
          <w:bCs/>
          <w:i/>
          <w:sz w:val="24"/>
          <w:szCs w:val="24"/>
        </w:rPr>
        <w:t>ATSDR Exposure Investigations (EI)</w:t>
      </w:r>
      <w:r w:rsidRPr="0033105E">
        <w:rPr>
          <w:sz w:val="24"/>
          <w:szCs w:val="24"/>
        </w:rPr>
        <w:t xml:space="preserve"> (OMB 0923-0048, expiration date </w:t>
      </w:r>
      <w:r w:rsidR="001C3CA7">
        <w:rPr>
          <w:sz w:val="24"/>
          <w:szCs w:val="24"/>
        </w:rPr>
        <w:t>04/30/2022</w:t>
      </w:r>
      <w:r w:rsidRPr="0033105E">
        <w:rPr>
          <w:sz w:val="24"/>
          <w:szCs w:val="24"/>
        </w:rPr>
        <w:t xml:space="preserve">) to continue to </w:t>
      </w:r>
      <w:r w:rsidRPr="0033105E">
        <w:rPr>
          <w:bCs/>
          <w:sz w:val="24"/>
          <w:szCs w:val="24"/>
        </w:rPr>
        <w:t xml:space="preserve">allow the Agency to carry out its public health activities in a timely and efficient manner. ATSDR is authorized to conduct EIs </w:t>
      </w:r>
      <w:r w:rsidRPr="0033105E">
        <w:rPr>
          <w:sz w:val="24"/>
          <w:szCs w:val="24"/>
        </w:rPr>
        <w:t>under t</w:t>
      </w:r>
      <w:r w:rsidRPr="0033105E">
        <w:rPr>
          <w:bCs/>
          <w:iCs/>
          <w:sz w:val="24"/>
          <w:szCs w:val="24"/>
        </w:rPr>
        <w:t>he Comprehensive Environmental Response, Compensation, and Liability Act of 1980 (CERCLA), commonly known as the "Superfund" Act, as amended by the Superfund Amendments and Reauthorization Act (SARA) of 1986 (</w:t>
      </w:r>
      <w:r w:rsidRPr="003717C7">
        <w:rPr>
          <w:b/>
          <w:bCs/>
          <w:iCs/>
          <w:sz w:val="24"/>
          <w:szCs w:val="24"/>
        </w:rPr>
        <w:t>Attachment 1</w:t>
      </w:r>
      <w:r w:rsidRPr="0033105E">
        <w:rPr>
          <w:bCs/>
          <w:iCs/>
          <w:sz w:val="24"/>
          <w:szCs w:val="24"/>
        </w:rPr>
        <w:t>)</w:t>
      </w:r>
      <w:r w:rsidRPr="0033105E">
        <w:rPr>
          <w:sz w:val="24"/>
          <w:szCs w:val="24"/>
        </w:rPr>
        <w:t xml:space="preserve">. </w:t>
      </w:r>
      <w:r w:rsidRPr="0033105E">
        <w:rPr>
          <w:color w:val="000000"/>
          <w:sz w:val="24"/>
          <w:szCs w:val="24"/>
        </w:rPr>
        <w:t xml:space="preserve">Under CERCLA, ATSDR works closely with the U.S. Environmental Protection Agency (EPA) to evaluate the presence and nature of hazardous substances at specific sites and the levels at which these substances may pose a threat to human health. ATSDR works to prevent or reduce further exposure and the illnesses that result from such hazardous substances. </w:t>
      </w:r>
      <w:r w:rsidRPr="0033105E" w:rsidR="0033105E">
        <w:rPr>
          <w:sz w:val="24"/>
          <w:szCs w:val="24"/>
        </w:rPr>
        <w:t xml:space="preserve">The 60-day Federal Register Notice was published on </w:t>
      </w:r>
      <w:r w:rsidR="001B7A4E">
        <w:rPr>
          <w:sz w:val="24"/>
          <w:szCs w:val="24"/>
        </w:rPr>
        <w:t xml:space="preserve">August </w:t>
      </w:r>
      <w:r w:rsidR="001A3F02">
        <w:rPr>
          <w:sz w:val="24"/>
          <w:szCs w:val="24"/>
        </w:rPr>
        <w:t>13, 2021</w:t>
      </w:r>
      <w:r w:rsidRPr="0033105E" w:rsidR="0033105E">
        <w:rPr>
          <w:sz w:val="24"/>
          <w:szCs w:val="24"/>
        </w:rPr>
        <w:t xml:space="preserve"> (</w:t>
      </w:r>
      <w:r w:rsidRPr="003717C7" w:rsidR="0033105E">
        <w:rPr>
          <w:b/>
          <w:sz w:val="24"/>
          <w:szCs w:val="24"/>
        </w:rPr>
        <w:t>Attachment 2</w:t>
      </w:r>
      <w:r w:rsidRPr="0033105E" w:rsidR="0033105E">
        <w:rPr>
          <w:sz w:val="24"/>
          <w:szCs w:val="24"/>
        </w:rPr>
        <w:t>) and is further discussed in Section A.8.</w:t>
      </w:r>
    </w:p>
    <w:p w:rsidRPr="005E0ADE" w:rsidR="005E0ADE" w:rsidP="007D4152" w:rsidRDefault="005E0ADE" w14:paraId="759408AC" w14:textId="65538D14">
      <w:pPr>
        <w:tabs>
          <w:tab w:val="left" w:pos="1545"/>
        </w:tabs>
        <w:rPr>
          <w:color w:val="000000"/>
          <w:sz w:val="24"/>
          <w:szCs w:val="24"/>
          <w:lang w:val="en"/>
        </w:rPr>
      </w:pPr>
      <w:r w:rsidRPr="005E0ADE">
        <w:rPr>
          <w:color w:val="000000"/>
          <w:sz w:val="24"/>
          <w:szCs w:val="24"/>
        </w:rPr>
        <w:t xml:space="preserve">The </w:t>
      </w:r>
      <w:r w:rsidRPr="005E0ADE">
        <w:rPr>
          <w:sz w:val="24"/>
          <w:szCs w:val="24"/>
        </w:rPr>
        <w:t xml:space="preserve">ATSDR </w:t>
      </w:r>
      <w:r w:rsidR="00AF6426">
        <w:rPr>
          <w:sz w:val="24"/>
          <w:szCs w:val="24"/>
        </w:rPr>
        <w:t xml:space="preserve">Office of Community Health and Hazard Assessment (OCHHA), formerly the </w:t>
      </w:r>
      <w:r w:rsidRPr="005E0ADE">
        <w:rPr>
          <w:sz w:val="24"/>
          <w:szCs w:val="24"/>
        </w:rPr>
        <w:t>Division of Community Health and Investigation (DCHI</w:t>
      </w:r>
      <w:r w:rsidR="00AF6426">
        <w:rPr>
          <w:sz w:val="24"/>
          <w:szCs w:val="24"/>
        </w:rPr>
        <w:t>,</w:t>
      </w:r>
      <w:r w:rsidRPr="005E0ADE">
        <w:rPr>
          <w:sz w:val="24"/>
          <w:szCs w:val="24"/>
        </w:rPr>
        <w:t>)</w:t>
      </w:r>
      <w:r w:rsidRPr="005E0ADE">
        <w:rPr>
          <w:color w:val="000000"/>
          <w:sz w:val="24"/>
          <w:szCs w:val="24"/>
        </w:rPr>
        <w:t xml:space="preserve"> conducts public health assessments (PHAs) at sites when requested by the U.S. EPA, states, organizations, or individual petitioners following the </w:t>
      </w:r>
      <w:r w:rsidRPr="005E0ADE">
        <w:rPr>
          <w:i/>
          <w:color w:val="000000"/>
          <w:sz w:val="24"/>
          <w:szCs w:val="24"/>
        </w:rPr>
        <w:t>Public Health Assessment Guidance Manual</w:t>
      </w:r>
      <w:r w:rsidRPr="005E0ADE">
        <w:rPr>
          <w:color w:val="000000"/>
          <w:sz w:val="24"/>
          <w:szCs w:val="24"/>
        </w:rPr>
        <w:t xml:space="preserve"> (ATSDR, 2005).</w:t>
      </w:r>
      <w:r w:rsidRPr="005E0ADE">
        <w:rPr>
          <w:rStyle w:val="FootnoteReference"/>
          <w:rFonts w:asciiTheme="minorHAnsi" w:hAnsiTheme="minorHAnsi"/>
          <w:color w:val="000000"/>
          <w:sz w:val="24"/>
          <w:szCs w:val="24"/>
        </w:rPr>
        <w:footnoteReference w:id="1"/>
      </w:r>
      <w:r w:rsidRPr="005E0ADE">
        <w:rPr>
          <w:color w:val="000000"/>
          <w:sz w:val="24"/>
          <w:szCs w:val="24"/>
        </w:rPr>
        <w:t xml:space="preserve"> </w:t>
      </w:r>
      <w:r w:rsidRPr="005E0ADE">
        <w:rPr>
          <w:color w:val="000000"/>
          <w:sz w:val="24"/>
          <w:szCs w:val="24"/>
          <w:lang w:val="en"/>
        </w:rPr>
        <w:t xml:space="preserve">The purpose of the agency’s PHA process is to find out whether </w:t>
      </w:r>
      <w:r w:rsidR="004F5FCE">
        <w:rPr>
          <w:color w:val="000000"/>
          <w:sz w:val="24"/>
          <w:szCs w:val="24"/>
          <w:lang w:val="en"/>
        </w:rPr>
        <w:t xml:space="preserve">a community has experienced environmental exposures of concerns or is now </w:t>
      </w:r>
      <w:r w:rsidRPr="005E0ADE" w:rsidR="004F5FCE">
        <w:rPr>
          <w:color w:val="000000"/>
          <w:sz w:val="24"/>
          <w:szCs w:val="24"/>
          <w:lang w:val="en"/>
        </w:rPr>
        <w:t>being</w:t>
      </w:r>
      <w:r w:rsidRPr="005E0ADE">
        <w:rPr>
          <w:color w:val="000000"/>
          <w:sz w:val="24"/>
          <w:szCs w:val="24"/>
          <w:lang w:val="en"/>
        </w:rPr>
        <w:t xml:space="preserve"> exposed to hazardous substances and, if so whether</w:t>
      </w:r>
      <w:r w:rsidRPr="00441D1E" w:rsidR="004F5FCE">
        <w:rPr>
          <w:sz w:val="24"/>
          <w:szCs w:val="24"/>
        </w:rPr>
        <w:t xml:space="preserve"> conditions warrant additional sampling and to decide if intervention is needed to minimize or eliminate exposure</w:t>
      </w:r>
      <w:r w:rsidRPr="005E0ADE">
        <w:rPr>
          <w:color w:val="000000"/>
          <w:sz w:val="24"/>
          <w:szCs w:val="24"/>
          <w:lang w:val="en"/>
        </w:rPr>
        <w:t xml:space="preserve">. The process also serves as a mechanism through which the agency responds to specific community health concerns related to hazardous waste sites. </w:t>
      </w:r>
    </w:p>
    <w:p w:rsidRPr="005E0ADE" w:rsidR="005E0ADE" w:rsidP="007D4152" w:rsidRDefault="005E0ADE" w14:paraId="4B1DA997" w14:textId="77777777">
      <w:pPr>
        <w:tabs>
          <w:tab w:val="left" w:pos="1545"/>
        </w:tabs>
        <w:rPr>
          <w:color w:val="000000"/>
          <w:sz w:val="24"/>
          <w:szCs w:val="24"/>
          <w:lang w:val="en"/>
        </w:rPr>
      </w:pPr>
      <w:r w:rsidRPr="005E0ADE">
        <w:rPr>
          <w:color w:val="000000"/>
          <w:sz w:val="24"/>
          <w:szCs w:val="24"/>
          <w:lang w:val="en"/>
        </w:rPr>
        <w:t>In summary, the PHA process includes the following steps:</w:t>
      </w:r>
    </w:p>
    <w:p w:rsidRPr="005E0ADE" w:rsidR="005E0ADE" w:rsidP="007D4152" w:rsidRDefault="005E0ADE" w14:paraId="4BFFF07A" w14:textId="77777777">
      <w:pPr>
        <w:pStyle w:val="ListParagraph"/>
        <w:numPr>
          <w:ilvl w:val="0"/>
          <w:numId w:val="31"/>
        </w:numPr>
        <w:tabs>
          <w:tab w:val="left" w:pos="1545"/>
        </w:tabs>
        <w:spacing w:line="240" w:lineRule="auto"/>
        <w:ind w:left="0" w:firstLine="0"/>
        <w:rPr>
          <w:color w:val="000000"/>
          <w:sz w:val="24"/>
          <w:szCs w:val="24"/>
          <w:lang w:val="en"/>
        </w:rPr>
      </w:pPr>
      <w:r w:rsidRPr="005E0ADE">
        <w:rPr>
          <w:color w:val="000000"/>
          <w:sz w:val="24"/>
          <w:szCs w:val="24"/>
          <w:lang w:val="en"/>
        </w:rPr>
        <w:t xml:space="preserve">Obtaining site </w:t>
      </w:r>
      <w:proofErr w:type="gramStart"/>
      <w:r w:rsidRPr="005E0ADE">
        <w:rPr>
          <w:color w:val="000000"/>
          <w:sz w:val="24"/>
          <w:szCs w:val="24"/>
          <w:lang w:val="en"/>
        </w:rPr>
        <w:t>information;</w:t>
      </w:r>
      <w:proofErr w:type="gramEnd"/>
    </w:p>
    <w:p w:rsidRPr="005E0ADE" w:rsidR="005E0ADE" w:rsidP="007D4152" w:rsidRDefault="005E0ADE" w14:paraId="34B9645E" w14:textId="77777777">
      <w:pPr>
        <w:pStyle w:val="ListParagraph"/>
        <w:numPr>
          <w:ilvl w:val="0"/>
          <w:numId w:val="31"/>
        </w:numPr>
        <w:tabs>
          <w:tab w:val="left" w:pos="1545"/>
        </w:tabs>
        <w:spacing w:line="240" w:lineRule="auto"/>
        <w:ind w:left="0" w:firstLine="0"/>
        <w:rPr>
          <w:color w:val="000000"/>
          <w:sz w:val="24"/>
          <w:szCs w:val="24"/>
          <w:lang w:val="en"/>
        </w:rPr>
      </w:pPr>
      <w:r w:rsidRPr="005E0ADE">
        <w:rPr>
          <w:color w:val="000000"/>
          <w:sz w:val="24"/>
          <w:szCs w:val="24"/>
          <w:lang w:val="en"/>
        </w:rPr>
        <w:t xml:space="preserve">Involving and communicating with the </w:t>
      </w:r>
      <w:proofErr w:type="gramStart"/>
      <w:r w:rsidRPr="005E0ADE">
        <w:rPr>
          <w:color w:val="000000"/>
          <w:sz w:val="24"/>
          <w:szCs w:val="24"/>
          <w:lang w:val="en"/>
        </w:rPr>
        <w:t>community;</w:t>
      </w:r>
      <w:proofErr w:type="gramEnd"/>
      <w:r w:rsidRPr="005E0ADE">
        <w:rPr>
          <w:color w:val="000000"/>
          <w:sz w:val="24"/>
          <w:szCs w:val="24"/>
          <w:lang w:val="en"/>
        </w:rPr>
        <w:t xml:space="preserve"> </w:t>
      </w:r>
    </w:p>
    <w:p w:rsidRPr="005E0ADE" w:rsidR="005E0ADE" w:rsidP="007D4152" w:rsidRDefault="005E0ADE" w14:paraId="474C4124" w14:textId="77777777">
      <w:pPr>
        <w:pStyle w:val="ListParagraph"/>
        <w:numPr>
          <w:ilvl w:val="0"/>
          <w:numId w:val="31"/>
        </w:numPr>
        <w:tabs>
          <w:tab w:val="left" w:pos="1545"/>
        </w:tabs>
        <w:spacing w:line="240" w:lineRule="auto"/>
        <w:ind w:left="0" w:firstLine="0"/>
        <w:rPr>
          <w:color w:val="000000"/>
          <w:sz w:val="24"/>
          <w:szCs w:val="24"/>
          <w:lang w:val="en"/>
        </w:rPr>
      </w:pPr>
      <w:r w:rsidRPr="005E0ADE">
        <w:rPr>
          <w:color w:val="000000"/>
          <w:sz w:val="24"/>
          <w:szCs w:val="24"/>
          <w:lang w:val="en"/>
        </w:rPr>
        <w:t xml:space="preserve">Exposure </w:t>
      </w:r>
      <w:proofErr w:type="gramStart"/>
      <w:r w:rsidRPr="005E0ADE">
        <w:rPr>
          <w:color w:val="000000"/>
          <w:sz w:val="24"/>
          <w:szCs w:val="24"/>
          <w:lang w:val="en"/>
        </w:rPr>
        <w:t>evaluation;</w:t>
      </w:r>
      <w:proofErr w:type="gramEnd"/>
    </w:p>
    <w:p w:rsidRPr="005E0ADE" w:rsidR="005E0ADE" w:rsidP="007D4152" w:rsidRDefault="005E0ADE" w14:paraId="536BD77F" w14:textId="77777777">
      <w:pPr>
        <w:pStyle w:val="ListParagraph"/>
        <w:numPr>
          <w:ilvl w:val="0"/>
          <w:numId w:val="31"/>
        </w:numPr>
        <w:tabs>
          <w:tab w:val="left" w:pos="1545"/>
        </w:tabs>
        <w:spacing w:line="240" w:lineRule="auto"/>
        <w:ind w:left="0" w:firstLine="0"/>
        <w:rPr>
          <w:color w:val="000000"/>
          <w:sz w:val="24"/>
          <w:szCs w:val="24"/>
          <w:lang w:val="en"/>
        </w:rPr>
      </w:pPr>
      <w:r w:rsidRPr="005E0ADE">
        <w:rPr>
          <w:color w:val="000000"/>
          <w:sz w:val="24"/>
          <w:szCs w:val="24"/>
          <w:lang w:val="en"/>
        </w:rPr>
        <w:t>Health outcome evaluation; and</w:t>
      </w:r>
    </w:p>
    <w:p w:rsidRPr="005E0ADE" w:rsidR="005E0ADE" w:rsidP="007D4152" w:rsidRDefault="005E0ADE" w14:paraId="6B36FFAC" w14:textId="77777777">
      <w:pPr>
        <w:pStyle w:val="ListParagraph"/>
        <w:numPr>
          <w:ilvl w:val="0"/>
          <w:numId w:val="31"/>
        </w:numPr>
        <w:tabs>
          <w:tab w:val="left" w:pos="1545"/>
        </w:tabs>
        <w:spacing w:line="240" w:lineRule="auto"/>
        <w:ind w:left="0" w:firstLine="0"/>
        <w:rPr>
          <w:color w:val="000000"/>
          <w:sz w:val="24"/>
          <w:szCs w:val="24"/>
          <w:lang w:val="en"/>
        </w:rPr>
      </w:pPr>
      <w:r w:rsidRPr="005E0ADE">
        <w:rPr>
          <w:color w:val="000000"/>
          <w:sz w:val="24"/>
          <w:szCs w:val="24"/>
          <w:lang w:val="en"/>
        </w:rPr>
        <w:t>Determining conclusions and recommendations</w:t>
      </w:r>
    </w:p>
    <w:p w:rsidRPr="005E0ADE" w:rsidR="005E0ADE" w:rsidP="007D4152" w:rsidRDefault="005E0ADE" w14:paraId="37FB4FD6" w14:textId="24C43BDC">
      <w:pPr>
        <w:rPr>
          <w:color w:val="000000"/>
          <w:sz w:val="24"/>
          <w:szCs w:val="24"/>
          <w:lang w:val="en"/>
        </w:rPr>
      </w:pPr>
      <w:r w:rsidRPr="005E0ADE">
        <w:rPr>
          <w:color w:val="000000"/>
          <w:sz w:val="24"/>
          <w:szCs w:val="24"/>
          <w:lang w:val="en"/>
        </w:rPr>
        <w:t xml:space="preserve">Exposure assessment is the hallmark of the PHA process. ATSDR scientists review environmental data to see how much contamination is at a site, where it is, and how </w:t>
      </w:r>
      <w:r w:rsidR="004F5FCE">
        <w:rPr>
          <w:color w:val="000000"/>
          <w:sz w:val="24"/>
          <w:szCs w:val="24"/>
          <w:lang w:val="en"/>
        </w:rPr>
        <w:t>community residents</w:t>
      </w:r>
      <w:r w:rsidRPr="005E0ADE">
        <w:rPr>
          <w:color w:val="000000"/>
          <w:sz w:val="24"/>
          <w:szCs w:val="24"/>
          <w:lang w:val="en"/>
        </w:rPr>
        <w:t xml:space="preserve"> might come into contact with it. Generally, ATSDR does not collect its own environmental sampling data but reviews information provided by federal and state government agencies and/or their contractors, potentially responsible parties, and the public. </w:t>
      </w:r>
    </w:p>
    <w:p w:rsidRPr="005E0ADE" w:rsidR="005E0ADE" w:rsidP="007D4152" w:rsidRDefault="005E0ADE" w14:paraId="3F32A361" w14:textId="77777777">
      <w:pPr>
        <w:rPr>
          <w:sz w:val="24"/>
          <w:szCs w:val="24"/>
        </w:rPr>
      </w:pPr>
      <w:r w:rsidRPr="005E0ADE">
        <w:rPr>
          <w:color w:val="000000"/>
          <w:sz w:val="24"/>
          <w:szCs w:val="24"/>
          <w:lang w:val="en"/>
        </w:rPr>
        <w:lastRenderedPageBreak/>
        <w:t xml:space="preserve">When adequate environmental or exposure information to assess human exposures and possible related health effects do not exist, however, ATSDR will perform an EI. </w:t>
      </w:r>
      <w:r w:rsidRPr="005E0ADE">
        <w:rPr>
          <w:sz w:val="24"/>
          <w:szCs w:val="24"/>
        </w:rPr>
        <w:t>The EI team conducts point of human-contact sampling focused on geographic areas where exposures are expected to be high. EIs may include environmental (</w:t>
      </w:r>
      <w:proofErr w:type="spellStart"/>
      <w:r w:rsidRPr="005E0ADE">
        <w:rPr>
          <w:sz w:val="24"/>
          <w:szCs w:val="24"/>
        </w:rPr>
        <w:t>e.g</w:t>
      </w:r>
      <w:proofErr w:type="spellEnd"/>
      <w:r w:rsidRPr="005E0ADE">
        <w:rPr>
          <w:sz w:val="24"/>
          <w:szCs w:val="24"/>
        </w:rPr>
        <w:t xml:space="preserve">, soil, drinking water, sediment, food sources) or biological sampling (e.g., blood or urine), or both (ATSDR, 2005). </w:t>
      </w:r>
    </w:p>
    <w:p w:rsidRPr="005D0DDF" w:rsidR="005E0ADE" w:rsidP="007D4152" w:rsidRDefault="005E0ADE" w14:paraId="1F6C89DE" w14:textId="4EB9B107">
      <w:pPr>
        <w:rPr>
          <w:sz w:val="24"/>
          <w:szCs w:val="24"/>
        </w:rPr>
      </w:pPr>
      <w:r w:rsidRPr="005E0ADE">
        <w:rPr>
          <w:sz w:val="24"/>
          <w:szCs w:val="24"/>
        </w:rPr>
        <w:t xml:space="preserve">Within ATSDR, the </w:t>
      </w:r>
      <w:r w:rsidR="00AF6426">
        <w:rPr>
          <w:sz w:val="24"/>
          <w:szCs w:val="24"/>
        </w:rPr>
        <w:t xml:space="preserve">OCHHA Exposure Investigations (EI) Team </w:t>
      </w:r>
      <w:r w:rsidRPr="005E0ADE">
        <w:rPr>
          <w:sz w:val="24"/>
          <w:szCs w:val="24"/>
        </w:rPr>
        <w:t xml:space="preserve"> is a multidisciplinary group </w:t>
      </w:r>
      <w:r w:rsidRPr="005E0ADE">
        <w:rPr>
          <w:color w:val="000000"/>
          <w:sz w:val="24"/>
          <w:szCs w:val="24"/>
        </w:rPr>
        <w:t>of 6-8 scientists</w:t>
      </w:r>
      <w:r w:rsidRPr="005E0ADE">
        <w:rPr>
          <w:sz w:val="24"/>
          <w:szCs w:val="24"/>
        </w:rPr>
        <w:t xml:space="preserve"> with expertise in environmental health science and engineering, industrial hygiene, epidemiology, toxicology, and medicine.  </w:t>
      </w:r>
      <w:r w:rsidRPr="005D0DDF">
        <w:rPr>
          <w:sz w:val="24"/>
          <w:szCs w:val="24"/>
        </w:rPr>
        <w:t xml:space="preserve">To conduct an EI, requesters must receive approval from the EI team based on the answers to the following questions: </w:t>
      </w:r>
    </w:p>
    <w:p w:rsidRPr="005D0DDF" w:rsidR="005E0ADE" w:rsidP="006521F7" w:rsidRDefault="005E0ADE" w14:paraId="21F1C97D" w14:textId="755EDB52">
      <w:pPr>
        <w:numPr>
          <w:ilvl w:val="0"/>
          <w:numId w:val="32"/>
        </w:numPr>
        <w:tabs>
          <w:tab w:val="num" w:pos="720"/>
        </w:tabs>
        <w:spacing w:line="240" w:lineRule="auto"/>
        <w:ind w:left="0" w:firstLine="540"/>
        <w:rPr>
          <w:sz w:val="24"/>
          <w:szCs w:val="24"/>
        </w:rPr>
      </w:pPr>
      <w:r w:rsidRPr="005D0DDF">
        <w:rPr>
          <w:sz w:val="24"/>
          <w:szCs w:val="24"/>
        </w:rPr>
        <w:t xml:space="preserve">Can an exposed </w:t>
      </w:r>
      <w:r w:rsidRPr="005D0DDF" w:rsidR="004F5FCE">
        <w:rPr>
          <w:sz w:val="24"/>
          <w:szCs w:val="24"/>
        </w:rPr>
        <w:t>sub</w:t>
      </w:r>
      <w:r w:rsidRPr="005D0DDF">
        <w:rPr>
          <w:sz w:val="24"/>
          <w:szCs w:val="24"/>
        </w:rPr>
        <w:t>population be identified?</w:t>
      </w:r>
    </w:p>
    <w:p w:rsidRPr="005D0DDF" w:rsidR="005E0ADE" w:rsidP="006521F7" w:rsidRDefault="005E0ADE" w14:paraId="53CB90F5" w14:textId="77777777">
      <w:pPr>
        <w:numPr>
          <w:ilvl w:val="0"/>
          <w:numId w:val="32"/>
        </w:numPr>
        <w:tabs>
          <w:tab w:val="num" w:pos="720"/>
        </w:tabs>
        <w:spacing w:line="240" w:lineRule="auto"/>
        <w:ind w:left="0" w:firstLine="540"/>
        <w:rPr>
          <w:sz w:val="24"/>
          <w:szCs w:val="24"/>
        </w:rPr>
      </w:pPr>
      <w:r w:rsidRPr="005D0DDF">
        <w:rPr>
          <w:sz w:val="24"/>
          <w:szCs w:val="24"/>
        </w:rPr>
        <w:t>Does a data gap exist that affects the ability to determine if a health hazard exists?</w:t>
      </w:r>
    </w:p>
    <w:p w:rsidRPr="005D0DDF" w:rsidR="005E0ADE" w:rsidP="006521F7" w:rsidRDefault="005E0ADE" w14:paraId="4384EAF5" w14:textId="77777777">
      <w:pPr>
        <w:numPr>
          <w:ilvl w:val="0"/>
          <w:numId w:val="32"/>
        </w:numPr>
        <w:tabs>
          <w:tab w:val="num" w:pos="720"/>
        </w:tabs>
        <w:spacing w:line="240" w:lineRule="auto"/>
        <w:ind w:left="0" w:firstLine="540"/>
        <w:rPr>
          <w:sz w:val="24"/>
          <w:szCs w:val="24"/>
        </w:rPr>
      </w:pPr>
      <w:r w:rsidRPr="005D0DDF">
        <w:rPr>
          <w:sz w:val="24"/>
          <w:szCs w:val="24"/>
        </w:rPr>
        <w:t>Can an EI be designed that will address this data gap?</w:t>
      </w:r>
    </w:p>
    <w:p w:rsidRPr="005D0DDF" w:rsidR="005E0ADE" w:rsidP="006521F7" w:rsidRDefault="005E0ADE" w14:paraId="5D369EAE" w14:textId="77777777">
      <w:pPr>
        <w:numPr>
          <w:ilvl w:val="0"/>
          <w:numId w:val="32"/>
        </w:numPr>
        <w:tabs>
          <w:tab w:val="num" w:pos="720"/>
        </w:tabs>
        <w:spacing w:line="240" w:lineRule="auto"/>
        <w:ind w:left="0" w:firstLine="540"/>
        <w:rPr>
          <w:sz w:val="24"/>
          <w:szCs w:val="24"/>
        </w:rPr>
      </w:pPr>
      <w:r w:rsidRPr="005D0DDF">
        <w:rPr>
          <w:sz w:val="24"/>
          <w:szCs w:val="24"/>
        </w:rPr>
        <w:t>How will the EI results impact the public health decision-making for the site?</w:t>
      </w:r>
    </w:p>
    <w:p w:rsidRPr="005E0ADE" w:rsidR="005E0ADE" w:rsidP="007D4152" w:rsidRDefault="005E0ADE" w14:paraId="137265B6" w14:textId="44C94764">
      <w:pPr>
        <w:rPr>
          <w:sz w:val="24"/>
          <w:szCs w:val="24"/>
        </w:rPr>
      </w:pPr>
      <w:r w:rsidRPr="005D0DDF">
        <w:rPr>
          <w:color w:val="000000"/>
          <w:sz w:val="24"/>
          <w:szCs w:val="24"/>
        </w:rPr>
        <w:t xml:space="preserve">If the answers to these questions indicate that an EI would allow ATSDR to make a better-informed public health call, </w:t>
      </w:r>
      <w:r w:rsidRPr="005D0DDF">
        <w:rPr>
          <w:sz w:val="24"/>
          <w:szCs w:val="24"/>
        </w:rPr>
        <w:t xml:space="preserve">the </w:t>
      </w:r>
      <w:r w:rsidR="003A691A">
        <w:rPr>
          <w:sz w:val="24"/>
          <w:szCs w:val="24"/>
        </w:rPr>
        <w:t>OCHHA</w:t>
      </w:r>
      <w:r w:rsidRPr="005D0DDF" w:rsidR="003A691A">
        <w:rPr>
          <w:sz w:val="24"/>
          <w:szCs w:val="24"/>
        </w:rPr>
        <w:t xml:space="preserve"> </w:t>
      </w:r>
      <w:r w:rsidRPr="005D0DDF">
        <w:rPr>
          <w:sz w:val="24"/>
          <w:szCs w:val="24"/>
        </w:rPr>
        <w:t xml:space="preserve">EI Team may conduct </w:t>
      </w:r>
      <w:proofErr w:type="gramStart"/>
      <w:r w:rsidRPr="005D0DDF">
        <w:rPr>
          <w:sz w:val="24"/>
          <w:szCs w:val="24"/>
        </w:rPr>
        <w:t>agency-led</w:t>
      </w:r>
      <w:proofErr w:type="gramEnd"/>
      <w:r w:rsidRPr="005D0DDF">
        <w:rPr>
          <w:sz w:val="24"/>
          <w:szCs w:val="24"/>
        </w:rPr>
        <w:t xml:space="preserve"> EIs. An EI, using </w:t>
      </w:r>
      <w:r w:rsidRPr="005D0DDF" w:rsidR="001A51F0">
        <w:rPr>
          <w:sz w:val="24"/>
          <w:szCs w:val="24"/>
        </w:rPr>
        <w:t xml:space="preserve">purposive </w:t>
      </w:r>
      <w:r w:rsidRPr="005D0DDF">
        <w:rPr>
          <w:sz w:val="24"/>
          <w:szCs w:val="24"/>
        </w:rPr>
        <w:t xml:space="preserve">convenience sampling, aims to identify the most highly exposed individuals and measure their exposure. </w:t>
      </w:r>
      <w:r w:rsidRPr="005D0DDF">
        <w:rPr>
          <w:color w:val="000000"/>
          <w:sz w:val="24"/>
          <w:szCs w:val="24"/>
        </w:rPr>
        <w:t>The results of the investigation are site-specific and apply only to the participants from the site. An EI is not considered a health study</w:t>
      </w:r>
      <w:r w:rsidRPr="005D0DDF" w:rsidR="001A51F0">
        <w:rPr>
          <w:color w:val="000000"/>
          <w:sz w:val="24"/>
          <w:szCs w:val="24"/>
        </w:rPr>
        <w:t xml:space="preserve"> or research, and any data gathered will thus not be disseminated as such</w:t>
      </w:r>
      <w:r w:rsidRPr="005D0DDF">
        <w:rPr>
          <w:color w:val="000000"/>
          <w:sz w:val="24"/>
          <w:szCs w:val="24"/>
        </w:rPr>
        <w:t xml:space="preserve">. </w:t>
      </w:r>
      <w:r w:rsidRPr="005D0DDF" w:rsidR="00A54AB1">
        <w:rPr>
          <w:color w:val="000000"/>
          <w:sz w:val="24"/>
          <w:szCs w:val="24"/>
        </w:rPr>
        <w:t>Furthermore, t</w:t>
      </w:r>
      <w:r w:rsidRPr="005D0DDF">
        <w:rPr>
          <w:sz w:val="24"/>
          <w:szCs w:val="24"/>
        </w:rPr>
        <w:t>he</w:t>
      </w:r>
      <w:r w:rsidRPr="005D0DDF" w:rsidR="00A54AB1">
        <w:rPr>
          <w:sz w:val="24"/>
          <w:szCs w:val="24"/>
        </w:rPr>
        <w:t xml:space="preserve"> EI</w:t>
      </w:r>
      <w:r w:rsidRPr="005D0DDF" w:rsidR="004F5FCE">
        <w:rPr>
          <w:sz w:val="24"/>
          <w:szCs w:val="24"/>
        </w:rPr>
        <w:t xml:space="preserve"> is not designed to provide individual diagnoses, nor are</w:t>
      </w:r>
      <w:r w:rsidRPr="005D0DDF">
        <w:rPr>
          <w:sz w:val="24"/>
          <w:szCs w:val="24"/>
        </w:rPr>
        <w:t xml:space="preserve"> participants’ results intended to be generalized to other populations and other communities.  </w:t>
      </w:r>
      <w:r w:rsidRPr="005D0DDF">
        <w:rPr>
          <w:color w:val="000000"/>
          <w:sz w:val="24"/>
          <w:szCs w:val="24"/>
        </w:rPr>
        <w:t xml:space="preserve">No participants from external comparison groups are included in the data collection. </w:t>
      </w:r>
      <w:r w:rsidRPr="005D0DDF">
        <w:rPr>
          <w:sz w:val="24"/>
          <w:szCs w:val="24"/>
        </w:rPr>
        <w:t>As a public service</w:t>
      </w:r>
      <w:r w:rsidRPr="005D0DDF" w:rsidR="004F5FCE">
        <w:rPr>
          <w:sz w:val="24"/>
          <w:szCs w:val="24"/>
        </w:rPr>
        <w:t xml:space="preserve"> and incentive to participate</w:t>
      </w:r>
      <w:r w:rsidRPr="005D0DDF">
        <w:rPr>
          <w:sz w:val="24"/>
          <w:szCs w:val="24"/>
        </w:rPr>
        <w:t>, EIs provide individual exposure information back to the participants.</w:t>
      </w:r>
    </w:p>
    <w:p w:rsidRPr="00880459" w:rsidR="005E0ADE" w:rsidP="006521F7" w:rsidRDefault="005E0ADE" w14:paraId="26B4AB32" w14:textId="474CB755">
      <w:pPr>
        <w:tabs>
          <w:tab w:val="left" w:pos="1545"/>
        </w:tabs>
        <w:spacing w:line="240" w:lineRule="auto"/>
        <w:rPr>
          <w:rFonts w:cstheme="minorHAnsi"/>
          <w:sz w:val="24"/>
          <w:szCs w:val="24"/>
        </w:rPr>
      </w:pPr>
      <w:r w:rsidRPr="005E0ADE">
        <w:rPr>
          <w:sz w:val="24"/>
          <w:szCs w:val="24"/>
        </w:rPr>
        <w:t xml:space="preserve">The </w:t>
      </w:r>
      <w:r w:rsidR="00AF6426">
        <w:rPr>
          <w:sz w:val="24"/>
          <w:szCs w:val="24"/>
        </w:rPr>
        <w:t>EI team</w:t>
      </w:r>
      <w:r w:rsidRPr="005E0ADE" w:rsidR="00AF6426">
        <w:rPr>
          <w:sz w:val="24"/>
          <w:szCs w:val="24"/>
        </w:rPr>
        <w:t xml:space="preserve"> </w:t>
      </w:r>
      <w:r w:rsidRPr="005E0ADE">
        <w:rPr>
          <w:sz w:val="24"/>
          <w:szCs w:val="24"/>
        </w:rPr>
        <w:t xml:space="preserve">also coordinates and lends technical assistance to states, tribal, and territorial health departments that conduct their own EIs. Currently, ATSDR is administering a multi-year cooperative agreement program called the “ATSDR’s Partnership to Promote Localized Efforts to Reduce Environmental Exposure (APPLETREE) Program” Award No. </w:t>
      </w:r>
      <w:r w:rsidR="003A691A">
        <w:rPr>
          <w:sz w:val="24"/>
          <w:szCs w:val="24"/>
        </w:rPr>
        <w:t>CDC-RFA-TS20-2001</w:t>
      </w:r>
      <w:r w:rsidRPr="005E0ADE">
        <w:rPr>
          <w:sz w:val="24"/>
          <w:szCs w:val="24"/>
        </w:rPr>
        <w:t xml:space="preserve">) </w:t>
      </w:r>
      <w:r w:rsidRPr="001F69B8" w:rsidR="000F2EDF">
        <w:rPr>
          <w:rStyle w:val="FootnoteReference"/>
          <w:rFonts w:asciiTheme="minorHAnsi" w:hAnsiTheme="minorHAnsi"/>
          <w:sz w:val="24"/>
          <w:szCs w:val="24"/>
        </w:rPr>
        <w:footnoteReference w:id="2"/>
      </w:r>
      <w:r w:rsidR="000F2EDF">
        <w:rPr>
          <w:sz w:val="24"/>
          <w:szCs w:val="24"/>
        </w:rPr>
        <w:t xml:space="preserve"> </w:t>
      </w:r>
      <w:r w:rsidRPr="005E0ADE">
        <w:rPr>
          <w:sz w:val="24"/>
          <w:szCs w:val="24"/>
        </w:rPr>
        <w:t>which sponsors state-led non</w:t>
      </w:r>
      <w:r w:rsidR="001A51F0">
        <w:rPr>
          <w:sz w:val="24"/>
          <w:szCs w:val="24"/>
        </w:rPr>
        <w:t>-</w:t>
      </w:r>
      <w:r w:rsidRPr="005E0ADE">
        <w:rPr>
          <w:sz w:val="24"/>
          <w:szCs w:val="24"/>
        </w:rPr>
        <w:t xml:space="preserve">research EIs. ATSDR anticipates that future </w:t>
      </w:r>
      <w:r w:rsidR="003A691A">
        <w:rPr>
          <w:sz w:val="24"/>
          <w:szCs w:val="24"/>
        </w:rPr>
        <w:t xml:space="preserve">OCHHA </w:t>
      </w:r>
      <w:r w:rsidRPr="005E0ADE">
        <w:rPr>
          <w:sz w:val="24"/>
          <w:szCs w:val="24"/>
        </w:rPr>
        <w:t xml:space="preserve">cooperative agreement programs will also include this long-established PHA process and underlying EI activity under the scope of this generic clearance. If future revisions to the scope of the generic clearance are </w:t>
      </w:r>
      <w:r w:rsidRPr="00880459">
        <w:rPr>
          <w:rFonts w:cstheme="minorHAnsi"/>
          <w:sz w:val="24"/>
          <w:szCs w:val="24"/>
        </w:rPr>
        <w:t>necessary, ATSDR will request OMB review and approval for changes</w:t>
      </w:r>
      <w:r w:rsidRPr="00880459" w:rsidR="001A51F0">
        <w:rPr>
          <w:rFonts w:cstheme="minorHAnsi"/>
          <w:sz w:val="24"/>
          <w:szCs w:val="24"/>
        </w:rPr>
        <w:t xml:space="preserve"> via a formal ICR revision request</w:t>
      </w:r>
      <w:r w:rsidRPr="00880459">
        <w:rPr>
          <w:rFonts w:cstheme="minorHAnsi"/>
          <w:sz w:val="24"/>
          <w:szCs w:val="24"/>
        </w:rPr>
        <w:t>.</w:t>
      </w:r>
    </w:p>
    <w:p w:rsidRPr="006521F7" w:rsidR="00880459" w:rsidP="006521F7" w:rsidRDefault="00880459" w14:paraId="0F571165" w14:textId="49B77660">
      <w:pPr>
        <w:tabs>
          <w:tab w:val="center" w:pos="4680"/>
          <w:tab w:val="left" w:pos="7710"/>
        </w:tabs>
        <w:ind w:right="86"/>
        <w:rPr>
          <w:rFonts w:cstheme="minorHAnsi"/>
          <w:bCs/>
          <w:sz w:val="24"/>
          <w:szCs w:val="24"/>
        </w:rPr>
      </w:pPr>
      <w:r w:rsidRPr="006521F7">
        <w:rPr>
          <w:rFonts w:cstheme="minorHAnsi"/>
          <w:bCs/>
          <w:sz w:val="24"/>
          <w:szCs w:val="24"/>
        </w:rPr>
        <w:t>During the past three years, no EI</w:t>
      </w:r>
      <w:r w:rsidR="002751A7">
        <w:rPr>
          <w:rFonts w:cstheme="minorHAnsi"/>
          <w:bCs/>
          <w:sz w:val="24"/>
          <w:szCs w:val="24"/>
        </w:rPr>
        <w:t>s</w:t>
      </w:r>
      <w:r w:rsidRPr="006521F7">
        <w:rPr>
          <w:rFonts w:cstheme="minorHAnsi"/>
          <w:bCs/>
          <w:sz w:val="24"/>
          <w:szCs w:val="24"/>
        </w:rPr>
        <w:t xml:space="preserve"> were completed. Instead</w:t>
      </w:r>
      <w:r w:rsidR="001A3F02">
        <w:rPr>
          <w:rFonts w:cstheme="minorHAnsi"/>
          <w:bCs/>
          <w:sz w:val="24"/>
          <w:szCs w:val="24"/>
        </w:rPr>
        <w:t>,</w:t>
      </w:r>
      <w:r w:rsidRPr="006521F7">
        <w:rPr>
          <w:rFonts w:cstheme="minorHAnsi"/>
          <w:bCs/>
          <w:sz w:val="24"/>
          <w:szCs w:val="24"/>
        </w:rPr>
        <w:t xml:space="preserve"> ATSDR, using EI methods, completed eight </w:t>
      </w:r>
      <w:r w:rsidRPr="006521F7">
        <w:rPr>
          <w:rFonts w:cstheme="minorHAnsi"/>
          <w:color w:val="2E2E2E"/>
          <w:sz w:val="24"/>
          <w:szCs w:val="24"/>
          <w:shd w:val="clear" w:color="auto" w:fill="F8F8F8"/>
        </w:rPr>
        <w:t>Per- or Polyfluoroalkyl Substances Exposure Assessments (PFAS EAs)</w:t>
      </w:r>
      <w:r>
        <w:rPr>
          <w:rFonts w:cstheme="minorHAnsi"/>
          <w:color w:val="2E2E2E"/>
          <w:sz w:val="24"/>
          <w:szCs w:val="24"/>
          <w:shd w:val="clear" w:color="auto" w:fill="F8F8F8"/>
        </w:rPr>
        <w:t xml:space="preserve"> </w:t>
      </w:r>
      <w:r w:rsidRPr="006521F7">
        <w:rPr>
          <w:rFonts w:cstheme="minorHAnsi"/>
          <w:bCs/>
          <w:sz w:val="24"/>
          <w:szCs w:val="24"/>
        </w:rPr>
        <w:t xml:space="preserve">(OMB Control No. 0923-0059, expiration date 06/30/2022) at communities near U.S. military </w:t>
      </w:r>
      <w:r w:rsidRPr="006521F7">
        <w:rPr>
          <w:rFonts w:cstheme="minorHAnsi"/>
          <w:bCs/>
          <w:sz w:val="24"/>
          <w:szCs w:val="24"/>
        </w:rPr>
        <w:lastRenderedPageBreak/>
        <w:t>installations that used Aqueous Film Forming Foam (AFFF). The PFAS from the AFFF entered groundwater and impacted the drinking water in the nearby communities. In 2022,</w:t>
      </w:r>
      <w:r w:rsidR="00E56E32">
        <w:rPr>
          <w:rFonts w:cstheme="minorHAnsi"/>
          <w:bCs/>
          <w:sz w:val="24"/>
          <w:szCs w:val="24"/>
        </w:rPr>
        <w:t xml:space="preserve"> however,</w:t>
      </w:r>
      <w:r w:rsidRPr="006521F7">
        <w:rPr>
          <w:rFonts w:cstheme="minorHAnsi"/>
          <w:bCs/>
          <w:sz w:val="24"/>
          <w:szCs w:val="24"/>
        </w:rPr>
        <w:t xml:space="preserve"> ATSDR is </w:t>
      </w:r>
      <w:r w:rsidR="00E56E32">
        <w:rPr>
          <w:rFonts w:cstheme="minorHAnsi"/>
          <w:bCs/>
          <w:sz w:val="24"/>
          <w:szCs w:val="24"/>
        </w:rPr>
        <w:t xml:space="preserve">currently </w:t>
      </w:r>
      <w:r w:rsidRPr="006521F7">
        <w:rPr>
          <w:rFonts w:cstheme="minorHAnsi"/>
          <w:bCs/>
          <w:sz w:val="24"/>
          <w:szCs w:val="24"/>
        </w:rPr>
        <w:t xml:space="preserve">conducting a follow-up </w:t>
      </w:r>
      <w:r w:rsidRPr="007E7375" w:rsidR="00BD3303">
        <w:rPr>
          <w:sz w:val="24"/>
          <w:szCs w:val="24"/>
        </w:rPr>
        <w:t xml:space="preserve">EI </w:t>
      </w:r>
      <w:r w:rsidR="00BD3303">
        <w:rPr>
          <w:sz w:val="24"/>
          <w:szCs w:val="24"/>
        </w:rPr>
        <w:t>g</w:t>
      </w:r>
      <w:r w:rsidRPr="007E7375" w:rsidR="00BD3303">
        <w:rPr>
          <w:sz w:val="24"/>
          <w:szCs w:val="24"/>
        </w:rPr>
        <w:t xml:space="preserve">eneric </w:t>
      </w:r>
      <w:r w:rsidR="00BD3303">
        <w:rPr>
          <w:sz w:val="24"/>
          <w:szCs w:val="24"/>
        </w:rPr>
        <w:t>i</w:t>
      </w:r>
      <w:r w:rsidRPr="007E7375" w:rsidR="00BD3303">
        <w:rPr>
          <w:sz w:val="24"/>
          <w:szCs w:val="24"/>
        </w:rPr>
        <w:t xml:space="preserve">nformation </w:t>
      </w:r>
      <w:r w:rsidR="00BD3303">
        <w:rPr>
          <w:sz w:val="24"/>
          <w:szCs w:val="24"/>
        </w:rPr>
        <w:t>c</w:t>
      </w:r>
      <w:r w:rsidRPr="007E7375" w:rsidR="00BD3303">
        <w:rPr>
          <w:sz w:val="24"/>
          <w:szCs w:val="24"/>
        </w:rPr>
        <w:t>ollection (</w:t>
      </w:r>
      <w:proofErr w:type="spellStart"/>
      <w:r w:rsidRPr="007E7375" w:rsidR="00BD3303">
        <w:rPr>
          <w:sz w:val="24"/>
          <w:szCs w:val="24"/>
        </w:rPr>
        <w:t>GenIC</w:t>
      </w:r>
      <w:proofErr w:type="spellEnd"/>
      <w:r w:rsidRPr="007E7375" w:rsidR="00BD3303">
        <w:rPr>
          <w:sz w:val="24"/>
          <w:szCs w:val="24"/>
        </w:rPr>
        <w:t>)</w:t>
      </w:r>
      <w:r w:rsidR="00BD3303">
        <w:rPr>
          <w:sz w:val="24"/>
          <w:szCs w:val="24"/>
        </w:rPr>
        <w:t xml:space="preserve"> </w:t>
      </w:r>
      <w:r w:rsidRPr="006521F7">
        <w:rPr>
          <w:rFonts w:cstheme="minorHAnsi"/>
          <w:bCs/>
          <w:sz w:val="24"/>
          <w:szCs w:val="24"/>
        </w:rPr>
        <w:t>to supplement the PFAS EAs</w:t>
      </w:r>
      <w:r w:rsidR="00E56E32">
        <w:rPr>
          <w:rFonts w:cstheme="minorHAnsi"/>
          <w:bCs/>
          <w:sz w:val="24"/>
          <w:szCs w:val="24"/>
        </w:rPr>
        <w:t xml:space="preserve"> under this generic clearance ICR </w:t>
      </w:r>
      <w:r w:rsidRPr="0033105E" w:rsidR="00E56E32">
        <w:rPr>
          <w:sz w:val="24"/>
          <w:szCs w:val="24"/>
        </w:rPr>
        <w:t xml:space="preserve">(OMB 0923-0048, expiration date </w:t>
      </w:r>
      <w:r w:rsidR="00E56E32">
        <w:rPr>
          <w:sz w:val="24"/>
          <w:szCs w:val="24"/>
        </w:rPr>
        <w:t>04/30/2022</w:t>
      </w:r>
      <w:r w:rsidRPr="0033105E" w:rsidR="00E56E32">
        <w:rPr>
          <w:sz w:val="24"/>
          <w:szCs w:val="24"/>
        </w:rPr>
        <w:t>)</w:t>
      </w:r>
      <w:r w:rsidRPr="006521F7">
        <w:rPr>
          <w:rFonts w:cstheme="minorHAnsi"/>
          <w:bCs/>
          <w:sz w:val="24"/>
          <w:szCs w:val="24"/>
        </w:rPr>
        <w:t>. This EI will evaluate additional non-drinking water sources of environmental PFAS exposure in two of the former EA communities.</w:t>
      </w:r>
    </w:p>
    <w:p w:rsidRPr="005E0ADE" w:rsidR="005E0ADE" w:rsidP="006521F7" w:rsidRDefault="005E0ADE" w14:paraId="7C1859DA" w14:textId="1E451386">
      <w:pPr>
        <w:tabs>
          <w:tab w:val="left" w:pos="1545"/>
        </w:tabs>
        <w:spacing w:line="240" w:lineRule="auto"/>
        <w:rPr>
          <w:sz w:val="24"/>
          <w:szCs w:val="24"/>
        </w:rPr>
      </w:pPr>
      <w:r w:rsidRPr="00880459">
        <w:rPr>
          <w:rFonts w:cstheme="minorHAnsi"/>
          <w:sz w:val="24"/>
          <w:szCs w:val="24"/>
        </w:rPr>
        <w:t>In order to continue this necessary public</w:t>
      </w:r>
      <w:r w:rsidRPr="005E0ADE">
        <w:rPr>
          <w:sz w:val="24"/>
          <w:szCs w:val="24"/>
        </w:rPr>
        <w:t xml:space="preserve"> health function, ATSDR is requesting approval of this </w:t>
      </w:r>
      <w:r w:rsidR="00407AD4">
        <w:rPr>
          <w:sz w:val="24"/>
          <w:szCs w:val="24"/>
        </w:rPr>
        <w:t xml:space="preserve">extension </w:t>
      </w:r>
      <w:r w:rsidRPr="005E0ADE">
        <w:rPr>
          <w:sz w:val="24"/>
          <w:szCs w:val="24"/>
        </w:rPr>
        <w:t xml:space="preserve">of the existing generic </w:t>
      </w:r>
      <w:r w:rsidR="002751A7">
        <w:rPr>
          <w:sz w:val="24"/>
          <w:szCs w:val="24"/>
        </w:rPr>
        <w:t>ICR</w:t>
      </w:r>
      <w:r w:rsidRPr="005E0ADE">
        <w:rPr>
          <w:sz w:val="24"/>
          <w:szCs w:val="24"/>
        </w:rPr>
        <w:t>.  Public health concerns leading to requests for an EI can be time-critical to document that an exposure exists and to address a number of public health hazard categories, such as urgent public health hazards.</w:t>
      </w:r>
      <w:r w:rsidRPr="00A50CA1">
        <w:rPr>
          <w:rStyle w:val="FootnoteReference"/>
          <w:rFonts w:asciiTheme="minorHAnsi" w:hAnsiTheme="minorHAnsi"/>
          <w:sz w:val="24"/>
          <w:szCs w:val="24"/>
        </w:rPr>
        <w:footnoteReference w:id="3"/>
      </w:r>
      <w:r w:rsidRPr="005E0ADE">
        <w:rPr>
          <w:sz w:val="24"/>
          <w:szCs w:val="24"/>
        </w:rPr>
        <w:t xml:space="preserve">  The EI team will ensure that OMB can perform a timely and expedited review for individual EIs under this generic clearance by submitting a standardized review packet that will provide all necessary information.</w:t>
      </w:r>
    </w:p>
    <w:p w:rsidRPr="00D20211" w:rsidR="00B45002" w:rsidP="00601F1A" w:rsidRDefault="00601F1A" w14:paraId="4D3C0558" w14:textId="77777777">
      <w:pPr>
        <w:pStyle w:val="Heading1"/>
        <w:pBdr>
          <w:bottom w:val="none" w:color="auto" w:sz="0" w:space="0"/>
        </w:pBdr>
        <w:rPr>
          <w:color w:val="auto"/>
        </w:rPr>
      </w:pPr>
      <w:bookmarkStart w:name="_Toc433960189" w:id="4"/>
      <w:r w:rsidRPr="00D20211">
        <w:rPr>
          <w:color w:val="auto"/>
        </w:rPr>
        <w:t>A.</w:t>
      </w:r>
      <w:r w:rsidRPr="00D20211" w:rsidR="004D21C9">
        <w:rPr>
          <w:color w:val="auto"/>
        </w:rPr>
        <w:t xml:space="preserve">2.  </w:t>
      </w:r>
      <w:r w:rsidRPr="00D20211" w:rsidR="00B45002">
        <w:rPr>
          <w:color w:val="auto"/>
        </w:rPr>
        <w:t>Purpose and Use of the Information Collection</w:t>
      </w:r>
      <w:bookmarkEnd w:id="4"/>
    </w:p>
    <w:p w:rsidRPr="00D20211" w:rsidR="00A65BAD" w:rsidP="003F6A54" w:rsidRDefault="00A65BAD" w14:paraId="12A5D245" w14:textId="77777777">
      <w:pPr>
        <w:autoSpaceDE w:val="0"/>
        <w:autoSpaceDN w:val="0"/>
        <w:adjustRightInd w:val="0"/>
        <w:spacing w:after="0" w:line="240" w:lineRule="auto"/>
        <w:rPr>
          <w:rFonts w:cs="ITCFranklinGothicStd-Book"/>
          <w:sz w:val="24"/>
          <w:szCs w:val="24"/>
        </w:rPr>
      </w:pPr>
    </w:p>
    <w:p w:rsidRPr="008D2B70" w:rsidR="008D2B70" w:rsidP="008D2B70" w:rsidRDefault="008D2B70" w14:paraId="7E80579C" w14:textId="069D4581">
      <w:pPr>
        <w:tabs>
          <w:tab w:val="left" w:pos="1545"/>
        </w:tabs>
        <w:rPr>
          <w:sz w:val="24"/>
          <w:szCs w:val="24"/>
        </w:rPr>
      </w:pPr>
      <w:r w:rsidRPr="008D2B70">
        <w:rPr>
          <w:sz w:val="24"/>
          <w:szCs w:val="24"/>
        </w:rPr>
        <w:t xml:space="preserve">The primary objectives of the information collected for EIs under this generic information request are to assess exposures to environmental contaminants using </w:t>
      </w:r>
      <w:r w:rsidR="001A51F0">
        <w:rPr>
          <w:sz w:val="24"/>
          <w:szCs w:val="24"/>
        </w:rPr>
        <w:t xml:space="preserve">purposive, </w:t>
      </w:r>
      <w:r w:rsidRPr="008D2B70">
        <w:rPr>
          <w:sz w:val="24"/>
          <w:szCs w:val="24"/>
        </w:rPr>
        <w:t xml:space="preserve">convenience sampling. Data obtained during EIs include biological (blood, </w:t>
      </w:r>
      <w:proofErr w:type="gramStart"/>
      <w:r w:rsidRPr="008D2B70">
        <w:rPr>
          <w:sz w:val="24"/>
          <w:szCs w:val="24"/>
        </w:rPr>
        <w:t>urine</w:t>
      </w:r>
      <w:proofErr w:type="gramEnd"/>
      <w:r w:rsidRPr="008D2B70">
        <w:rPr>
          <w:sz w:val="24"/>
          <w:szCs w:val="24"/>
        </w:rPr>
        <w:t xml:space="preserve"> and other biological samples) and environmental (water, air, soil and other environmental media) sampling.  </w:t>
      </w:r>
      <w:r w:rsidRPr="0093769B">
        <w:rPr>
          <w:sz w:val="24"/>
          <w:szCs w:val="24"/>
        </w:rPr>
        <w:t>Information obtained from the participants assists the team in determining if exposure has occurred or is occurring</w:t>
      </w:r>
      <w:r w:rsidRPr="0093769B" w:rsidR="00A54AB1">
        <w:rPr>
          <w:sz w:val="24"/>
          <w:szCs w:val="24"/>
        </w:rPr>
        <w:t>; exposure findings will be compared to scientific literature regarding potential harm at those exposure levels</w:t>
      </w:r>
      <w:r w:rsidRPr="0093769B">
        <w:rPr>
          <w:sz w:val="24"/>
          <w:szCs w:val="24"/>
        </w:rPr>
        <w:t xml:space="preserve">. </w:t>
      </w:r>
      <w:r w:rsidRPr="0093769B" w:rsidR="001A51F0">
        <w:rPr>
          <w:sz w:val="24"/>
          <w:szCs w:val="24"/>
        </w:rPr>
        <w:t>Data</w:t>
      </w:r>
      <w:r w:rsidR="001A51F0">
        <w:rPr>
          <w:sz w:val="24"/>
          <w:szCs w:val="24"/>
        </w:rPr>
        <w:t xml:space="preserve"> collected from the participants will not be utilized to assess for health outcomes in respondents. </w:t>
      </w:r>
      <w:r w:rsidRPr="008D2B70">
        <w:rPr>
          <w:sz w:val="24"/>
          <w:szCs w:val="24"/>
        </w:rPr>
        <w:t xml:space="preserve">For each EI, a data collection system will include </w:t>
      </w:r>
      <w:r w:rsidRPr="008D2B70">
        <w:rPr>
          <w:sz w:val="24"/>
          <w:szCs w:val="24"/>
        </w:rPr>
        <w:lastRenderedPageBreak/>
        <w:t>all of the measurements and procedures that are proposed to address data gaps in biological and environmental sampling.</w:t>
      </w:r>
    </w:p>
    <w:p w:rsidRPr="00376FC4" w:rsidR="00376FC4" w:rsidP="00376FC4" w:rsidRDefault="00376FC4" w14:paraId="1CAE04DE" w14:textId="77777777">
      <w:pPr>
        <w:tabs>
          <w:tab w:val="left" w:pos="1545"/>
        </w:tabs>
        <w:rPr>
          <w:sz w:val="24"/>
          <w:szCs w:val="24"/>
        </w:rPr>
      </w:pPr>
      <w:r w:rsidRPr="00376FC4">
        <w:rPr>
          <w:sz w:val="24"/>
          <w:szCs w:val="24"/>
        </w:rPr>
        <w:t>The data collection system for EIs will be characterized by the following:</w:t>
      </w:r>
    </w:p>
    <w:p w:rsidRPr="005D0DDF" w:rsidR="00376FC4" w:rsidP="009E2A28" w:rsidRDefault="00376FC4" w14:paraId="5AFD829A" w14:textId="77777777">
      <w:pPr>
        <w:pStyle w:val="ListParagraph"/>
        <w:numPr>
          <w:ilvl w:val="0"/>
          <w:numId w:val="33"/>
        </w:numPr>
        <w:tabs>
          <w:tab w:val="left" w:pos="1545"/>
        </w:tabs>
        <w:spacing w:after="0" w:line="240" w:lineRule="auto"/>
        <w:rPr>
          <w:sz w:val="24"/>
          <w:szCs w:val="24"/>
          <w:u w:val="single"/>
        </w:rPr>
      </w:pPr>
      <w:r w:rsidRPr="005D0DDF">
        <w:rPr>
          <w:sz w:val="24"/>
          <w:szCs w:val="24"/>
          <w:u w:val="single"/>
        </w:rPr>
        <w:t>Who can use the EI Generic Clearance?</w:t>
      </w:r>
    </w:p>
    <w:p w:rsidRPr="00376FC4" w:rsidR="00376FC4" w:rsidP="00376FC4" w:rsidRDefault="00376FC4" w14:paraId="4A883280" w14:textId="4E316305">
      <w:pPr>
        <w:pStyle w:val="ListParagraph"/>
        <w:rPr>
          <w:sz w:val="24"/>
          <w:szCs w:val="24"/>
        </w:rPr>
      </w:pPr>
      <w:r w:rsidRPr="00376FC4">
        <w:rPr>
          <w:sz w:val="24"/>
          <w:szCs w:val="24"/>
        </w:rPr>
        <w:t xml:space="preserve">The </w:t>
      </w:r>
      <w:r w:rsidR="003A691A">
        <w:rPr>
          <w:sz w:val="24"/>
          <w:szCs w:val="24"/>
        </w:rPr>
        <w:t>OCHHA</w:t>
      </w:r>
      <w:r w:rsidRPr="00376FC4">
        <w:rPr>
          <w:sz w:val="24"/>
          <w:szCs w:val="24"/>
        </w:rPr>
        <w:t xml:space="preserve"> EI team and the ATSDR staff and partners in the </w:t>
      </w:r>
      <w:r w:rsidR="003A691A">
        <w:rPr>
          <w:sz w:val="24"/>
          <w:szCs w:val="24"/>
        </w:rPr>
        <w:t xml:space="preserve">OCHHA </w:t>
      </w:r>
      <w:r w:rsidRPr="00376FC4">
        <w:rPr>
          <w:sz w:val="24"/>
          <w:szCs w:val="24"/>
        </w:rPr>
        <w:t>cooperative agreement program will use the EI Generic Clearance for OMB submittals for each EI.</w:t>
      </w:r>
    </w:p>
    <w:p w:rsidRPr="00376FC4" w:rsidR="00376FC4" w:rsidP="00376FC4" w:rsidRDefault="00376FC4" w14:paraId="66062932" w14:textId="77777777">
      <w:pPr>
        <w:pStyle w:val="ListParagraph"/>
        <w:rPr>
          <w:sz w:val="24"/>
          <w:szCs w:val="24"/>
        </w:rPr>
      </w:pPr>
    </w:p>
    <w:p w:rsidRPr="006521F7" w:rsidR="00E56E32" w:rsidP="006521F7" w:rsidRDefault="00376FC4" w14:paraId="6FD8D92A" w14:textId="0A344A1D">
      <w:pPr>
        <w:pStyle w:val="ListParagraph"/>
        <w:spacing w:line="240" w:lineRule="auto"/>
        <w:contextualSpacing w:val="0"/>
        <w:rPr>
          <w:sz w:val="24"/>
          <w:szCs w:val="24"/>
        </w:rPr>
      </w:pPr>
      <w:r w:rsidRPr="00376FC4">
        <w:rPr>
          <w:sz w:val="24"/>
          <w:szCs w:val="24"/>
        </w:rPr>
        <w:t xml:space="preserve">The </w:t>
      </w:r>
      <w:r w:rsidR="00C24CDE">
        <w:rPr>
          <w:sz w:val="24"/>
          <w:szCs w:val="24"/>
        </w:rPr>
        <w:t>OCHHA</w:t>
      </w:r>
      <w:r w:rsidRPr="00376FC4" w:rsidR="00C24CDE">
        <w:rPr>
          <w:sz w:val="24"/>
          <w:szCs w:val="24"/>
        </w:rPr>
        <w:t xml:space="preserve"> </w:t>
      </w:r>
      <w:r w:rsidRPr="00376FC4">
        <w:rPr>
          <w:sz w:val="24"/>
          <w:szCs w:val="24"/>
        </w:rPr>
        <w:t>cooperative agreement operates across ten ATSDR regions across the nation. In 2012, the site work in the ten regions were functionally reorganized (Federal Register, Volume 77 No. 221, 15 Nov 2012, Pages 68125-7; see</w:t>
      </w:r>
      <w:r w:rsidRPr="000B6783" w:rsidR="000B6783">
        <w:rPr>
          <w:sz w:val="24"/>
          <w:szCs w:val="24"/>
        </w:rPr>
        <w:t>https://www.atsdr.cdc.gov/states/index.html</w:t>
      </w:r>
      <w:r w:rsidRPr="00376FC4">
        <w:rPr>
          <w:sz w:val="24"/>
          <w:szCs w:val="24"/>
        </w:rPr>
        <w:t xml:space="preserve">. ATSDR </w:t>
      </w:r>
      <w:r w:rsidR="003A691A">
        <w:rPr>
          <w:sz w:val="24"/>
          <w:szCs w:val="24"/>
        </w:rPr>
        <w:t>OCHHA</w:t>
      </w:r>
      <w:r w:rsidRPr="00376FC4" w:rsidR="003A691A">
        <w:rPr>
          <w:sz w:val="24"/>
          <w:szCs w:val="24"/>
        </w:rPr>
        <w:t xml:space="preserve"> </w:t>
      </w:r>
      <w:r w:rsidRPr="00376FC4">
        <w:rPr>
          <w:sz w:val="24"/>
          <w:szCs w:val="24"/>
        </w:rPr>
        <w:t xml:space="preserve">was divided into three functional units that administer its ten regions and its cooperative agreement program:  Eastern Branch, Central Branch and Western Branch. The </w:t>
      </w:r>
      <w:r w:rsidR="000B6783">
        <w:rPr>
          <w:sz w:val="24"/>
          <w:szCs w:val="24"/>
        </w:rPr>
        <w:t>EI Team</w:t>
      </w:r>
      <w:r w:rsidRPr="00376FC4">
        <w:rPr>
          <w:sz w:val="24"/>
          <w:szCs w:val="24"/>
        </w:rPr>
        <w:t xml:space="preserve"> supports all three </w:t>
      </w:r>
      <w:r w:rsidR="000B6783">
        <w:rPr>
          <w:sz w:val="24"/>
          <w:szCs w:val="24"/>
        </w:rPr>
        <w:t>OCHHA</w:t>
      </w:r>
      <w:r w:rsidRPr="00376FC4" w:rsidR="000B6783">
        <w:rPr>
          <w:sz w:val="24"/>
          <w:szCs w:val="24"/>
        </w:rPr>
        <w:t xml:space="preserve"> </w:t>
      </w:r>
      <w:r w:rsidRPr="00376FC4">
        <w:rPr>
          <w:sz w:val="24"/>
          <w:szCs w:val="24"/>
        </w:rPr>
        <w:t xml:space="preserve">branches.  It is uncertain at this time how many EIs across the states, regions, and branches will require an expedited approval at the same time. </w:t>
      </w:r>
      <w:r w:rsidRPr="003717C7">
        <w:rPr>
          <w:b/>
          <w:sz w:val="24"/>
          <w:szCs w:val="24"/>
        </w:rPr>
        <w:t>Attachment 3</w:t>
      </w:r>
      <w:r w:rsidRPr="00376FC4">
        <w:rPr>
          <w:sz w:val="24"/>
          <w:szCs w:val="24"/>
        </w:rPr>
        <w:t xml:space="preserve"> provides a map of the EPA regions and ATSDR branches. The National Center for Environmental Health (NCEH) may also use this generic clearance mechanism to perform some of their important work.</w:t>
      </w:r>
    </w:p>
    <w:p w:rsidRPr="005D0DDF" w:rsidR="00376FC4" w:rsidP="006521F7" w:rsidRDefault="00376FC4" w14:paraId="2AF6F690" w14:textId="77777777">
      <w:pPr>
        <w:pStyle w:val="ListParagraph"/>
        <w:numPr>
          <w:ilvl w:val="0"/>
          <w:numId w:val="33"/>
        </w:numPr>
        <w:spacing w:line="240" w:lineRule="auto"/>
        <w:contextualSpacing w:val="0"/>
        <w:rPr>
          <w:sz w:val="24"/>
          <w:szCs w:val="24"/>
          <w:u w:val="single"/>
        </w:rPr>
      </w:pPr>
      <w:r w:rsidRPr="005D0DDF">
        <w:rPr>
          <w:sz w:val="24"/>
          <w:szCs w:val="24"/>
          <w:u w:val="single"/>
        </w:rPr>
        <w:t>Who can be included as part of the EI Generic Clearance?</w:t>
      </w:r>
    </w:p>
    <w:p w:rsidRPr="00376FC4" w:rsidR="00376FC4" w:rsidP="006521F7" w:rsidRDefault="00376FC4" w14:paraId="5F5DC5B5" w14:textId="05732A18">
      <w:pPr>
        <w:spacing w:line="240" w:lineRule="auto"/>
        <w:ind w:left="720"/>
        <w:rPr>
          <w:sz w:val="24"/>
          <w:szCs w:val="24"/>
        </w:rPr>
      </w:pPr>
      <w:r w:rsidRPr="00376FC4">
        <w:rPr>
          <w:sz w:val="24"/>
          <w:szCs w:val="24"/>
        </w:rPr>
        <w:t xml:space="preserve">EI participants will vary based on the nature of the EI but will likely include community members that </w:t>
      </w:r>
      <w:r w:rsidR="001A51F0">
        <w:rPr>
          <w:sz w:val="24"/>
          <w:szCs w:val="24"/>
        </w:rPr>
        <w:t xml:space="preserve">ATSDR has identified as being at high risk of exposure to a contaminant and those who </w:t>
      </w:r>
      <w:r w:rsidRPr="00376FC4">
        <w:rPr>
          <w:sz w:val="24"/>
          <w:szCs w:val="24"/>
        </w:rPr>
        <w:t xml:space="preserve">are concerned </w:t>
      </w:r>
      <w:r w:rsidR="001A51F0">
        <w:rPr>
          <w:sz w:val="24"/>
          <w:szCs w:val="24"/>
        </w:rPr>
        <w:t>that they have been</w:t>
      </w:r>
      <w:r w:rsidRPr="00376FC4">
        <w:rPr>
          <w:sz w:val="24"/>
          <w:szCs w:val="24"/>
        </w:rPr>
        <w:t xml:space="preserve"> exposed to environmental contamination. As previously described, the EI will be conducted if the </w:t>
      </w:r>
      <w:r w:rsidR="00A54AB1">
        <w:rPr>
          <w:sz w:val="24"/>
          <w:szCs w:val="24"/>
        </w:rPr>
        <w:t xml:space="preserve">potentially </w:t>
      </w:r>
      <w:r w:rsidRPr="00376FC4">
        <w:rPr>
          <w:sz w:val="24"/>
          <w:szCs w:val="24"/>
        </w:rPr>
        <w:t xml:space="preserve">exposed </w:t>
      </w:r>
      <w:r w:rsidR="00A54AB1">
        <w:rPr>
          <w:sz w:val="24"/>
          <w:szCs w:val="24"/>
        </w:rPr>
        <w:t>sub-</w:t>
      </w:r>
      <w:r w:rsidRPr="00376FC4">
        <w:rPr>
          <w:sz w:val="24"/>
          <w:szCs w:val="24"/>
        </w:rPr>
        <w:t xml:space="preserve">population can be identified at </w:t>
      </w:r>
      <w:r w:rsidR="001A51F0">
        <w:rPr>
          <w:sz w:val="24"/>
          <w:szCs w:val="24"/>
        </w:rPr>
        <w:t>a particular</w:t>
      </w:r>
      <w:r w:rsidRPr="00376FC4" w:rsidR="001A51F0">
        <w:rPr>
          <w:sz w:val="24"/>
          <w:szCs w:val="24"/>
        </w:rPr>
        <w:t xml:space="preserve"> </w:t>
      </w:r>
      <w:r w:rsidRPr="00376FC4">
        <w:rPr>
          <w:sz w:val="24"/>
          <w:szCs w:val="24"/>
        </w:rPr>
        <w:t>site. Investigations tend to focus on the most highly exposed at the site, such as those living in proximity to the site. On occasion, small businesses may be included as EI participants.  Based on past experience, we estimate that 2 percent of the EI participants per year may involve small businesses.</w:t>
      </w:r>
    </w:p>
    <w:p w:rsidRPr="005D0DDF" w:rsidR="00376FC4" w:rsidP="009E2A28" w:rsidRDefault="00376FC4" w14:paraId="2B7690F7" w14:textId="77777777">
      <w:pPr>
        <w:pStyle w:val="ListParagraph"/>
        <w:numPr>
          <w:ilvl w:val="0"/>
          <w:numId w:val="33"/>
        </w:numPr>
        <w:spacing w:after="0" w:line="240" w:lineRule="auto"/>
        <w:rPr>
          <w:sz w:val="24"/>
          <w:szCs w:val="24"/>
          <w:u w:val="single"/>
        </w:rPr>
      </w:pPr>
      <w:r w:rsidRPr="005D0DDF">
        <w:rPr>
          <w:sz w:val="24"/>
          <w:szCs w:val="24"/>
          <w:u w:val="single"/>
        </w:rPr>
        <w:t>What types of questions may be asked as part of the EI Generic Clearance?</w:t>
      </w:r>
    </w:p>
    <w:p w:rsidRPr="007D4152" w:rsidR="00376FC4" w:rsidP="007D4152" w:rsidRDefault="00376FC4" w14:paraId="7702BEEC" w14:textId="5AC47DEC">
      <w:pPr>
        <w:pStyle w:val="ListParagraph"/>
        <w:rPr>
          <w:sz w:val="24"/>
          <w:szCs w:val="24"/>
        </w:rPr>
      </w:pPr>
      <w:r w:rsidRPr="003717C7">
        <w:rPr>
          <w:b/>
          <w:sz w:val="24"/>
          <w:szCs w:val="24"/>
        </w:rPr>
        <w:t>Attachment 4</w:t>
      </w:r>
      <w:r w:rsidRPr="00376FC4">
        <w:rPr>
          <w:sz w:val="24"/>
          <w:szCs w:val="24"/>
        </w:rPr>
        <w:t xml:space="preserve"> provides a bank of questions that may be used to evaluate chemical exposure of individuals and communities for EIs.  It is not required that the questions in </w:t>
      </w:r>
      <w:r w:rsidRPr="003717C7">
        <w:rPr>
          <w:b/>
          <w:sz w:val="24"/>
          <w:szCs w:val="24"/>
        </w:rPr>
        <w:t>Attachment 4</w:t>
      </w:r>
      <w:r w:rsidRPr="00376FC4">
        <w:rPr>
          <w:sz w:val="24"/>
          <w:szCs w:val="24"/>
        </w:rPr>
        <w:t xml:space="preserve"> be used in the EI, but these questions will be considered.  Further details regarding the types of questions that may be included as part of the EI are discussed in the following sections.</w:t>
      </w:r>
    </w:p>
    <w:p w:rsidRPr="005D0DDF" w:rsidR="00376FC4" w:rsidP="009E2A28" w:rsidRDefault="00376FC4" w14:paraId="3F6351F4" w14:textId="77777777">
      <w:pPr>
        <w:pStyle w:val="ListParagraph"/>
        <w:numPr>
          <w:ilvl w:val="0"/>
          <w:numId w:val="33"/>
        </w:numPr>
        <w:spacing w:after="0" w:line="240" w:lineRule="auto"/>
        <w:rPr>
          <w:sz w:val="24"/>
          <w:szCs w:val="24"/>
          <w:u w:val="single"/>
        </w:rPr>
      </w:pPr>
      <w:r w:rsidRPr="005D0DDF">
        <w:rPr>
          <w:sz w:val="24"/>
          <w:szCs w:val="24"/>
          <w:u w:val="single"/>
        </w:rPr>
        <w:t>What are the benefits to using the EI Generic Clearance?</w:t>
      </w:r>
    </w:p>
    <w:p w:rsidRPr="00376FC4" w:rsidR="00376FC4" w:rsidP="00376FC4" w:rsidRDefault="00376FC4" w14:paraId="604BDEF9" w14:textId="77777777">
      <w:pPr>
        <w:ind w:left="720"/>
        <w:rPr>
          <w:sz w:val="24"/>
          <w:szCs w:val="24"/>
        </w:rPr>
      </w:pPr>
      <w:r w:rsidRPr="00376FC4">
        <w:rPr>
          <w:sz w:val="24"/>
          <w:szCs w:val="24"/>
        </w:rPr>
        <w:t>The benefits to using the EI Generic Clearance include providing a standardized review package for each EI.  The template will provide all needed information in a clear, concise document to expedite PRA clearance.</w:t>
      </w:r>
    </w:p>
    <w:p w:rsidRPr="00376FC4" w:rsidR="00376FC4" w:rsidP="00376FC4" w:rsidRDefault="00376FC4" w14:paraId="59B5CE6C" w14:textId="77777777">
      <w:pPr>
        <w:tabs>
          <w:tab w:val="left" w:pos="1545"/>
        </w:tabs>
        <w:rPr>
          <w:sz w:val="24"/>
          <w:szCs w:val="24"/>
        </w:rPr>
      </w:pPr>
      <w:r w:rsidRPr="00376FC4">
        <w:rPr>
          <w:sz w:val="24"/>
          <w:szCs w:val="24"/>
        </w:rPr>
        <w:lastRenderedPageBreak/>
        <w:t xml:space="preserve">Where needed, additional questions will be developed for the EI to assess environmental exposures (Tables A.2-1 and A.2-2). In deciding where and from whom to gather information, ATSDR considers the following: </w:t>
      </w:r>
    </w:p>
    <w:p w:rsidRPr="00376FC4" w:rsidR="00376FC4" w:rsidP="009E2A28" w:rsidRDefault="00376FC4" w14:paraId="2EBCE884" w14:textId="4A55386B">
      <w:pPr>
        <w:numPr>
          <w:ilvl w:val="0"/>
          <w:numId w:val="34"/>
        </w:numPr>
        <w:tabs>
          <w:tab w:val="left" w:pos="1545"/>
        </w:tabs>
        <w:spacing w:after="0" w:line="240" w:lineRule="auto"/>
        <w:rPr>
          <w:sz w:val="24"/>
          <w:szCs w:val="24"/>
        </w:rPr>
      </w:pPr>
      <w:r w:rsidRPr="00376FC4">
        <w:rPr>
          <w:sz w:val="24"/>
          <w:szCs w:val="24"/>
        </w:rPr>
        <w:t>Can we</w:t>
      </w:r>
      <w:r w:rsidR="002E06C8">
        <w:rPr>
          <w:sz w:val="24"/>
          <w:szCs w:val="24"/>
        </w:rPr>
        <w:t xml:space="preserve"> identify and</w:t>
      </w:r>
      <w:r w:rsidRPr="00376FC4">
        <w:rPr>
          <w:sz w:val="24"/>
          <w:szCs w:val="24"/>
        </w:rPr>
        <w:t xml:space="preserve"> test the highly exposed </w:t>
      </w:r>
      <w:r w:rsidR="00A54AB1">
        <w:rPr>
          <w:sz w:val="24"/>
          <w:szCs w:val="24"/>
        </w:rPr>
        <w:t>sub-</w:t>
      </w:r>
      <w:r w:rsidRPr="00376FC4">
        <w:rPr>
          <w:sz w:val="24"/>
          <w:szCs w:val="24"/>
        </w:rPr>
        <w:t xml:space="preserve">population?  </w:t>
      </w:r>
    </w:p>
    <w:p w:rsidRPr="00376FC4" w:rsidR="00376FC4" w:rsidP="009E2A28" w:rsidRDefault="00376FC4" w14:paraId="2030DD48" w14:textId="64D47C6F">
      <w:pPr>
        <w:numPr>
          <w:ilvl w:val="0"/>
          <w:numId w:val="34"/>
        </w:numPr>
        <w:tabs>
          <w:tab w:val="left" w:pos="1545"/>
        </w:tabs>
        <w:spacing w:after="0" w:line="240" w:lineRule="auto"/>
        <w:rPr>
          <w:sz w:val="24"/>
          <w:szCs w:val="24"/>
        </w:rPr>
      </w:pPr>
      <w:r w:rsidRPr="00376FC4">
        <w:rPr>
          <w:sz w:val="24"/>
          <w:szCs w:val="24"/>
        </w:rPr>
        <w:t xml:space="preserve">Can we identify vulnerable </w:t>
      </w:r>
      <w:r w:rsidR="00A54AB1">
        <w:rPr>
          <w:sz w:val="24"/>
          <w:szCs w:val="24"/>
        </w:rPr>
        <w:t>sub-</w:t>
      </w:r>
      <w:r w:rsidRPr="00376FC4">
        <w:rPr>
          <w:sz w:val="24"/>
          <w:szCs w:val="24"/>
        </w:rPr>
        <w:t xml:space="preserve">populations, including children or those more susceptible to specific contaminants? </w:t>
      </w:r>
    </w:p>
    <w:p w:rsidRPr="00376FC4" w:rsidR="00376FC4" w:rsidP="009E2A28" w:rsidRDefault="002E06C8" w14:paraId="0DA5D805" w14:textId="2E22958A">
      <w:pPr>
        <w:numPr>
          <w:ilvl w:val="0"/>
          <w:numId w:val="34"/>
        </w:numPr>
        <w:tabs>
          <w:tab w:val="left" w:pos="1545"/>
        </w:tabs>
        <w:spacing w:after="0" w:line="240" w:lineRule="auto"/>
        <w:rPr>
          <w:sz w:val="24"/>
          <w:szCs w:val="24"/>
        </w:rPr>
      </w:pPr>
      <w:r>
        <w:rPr>
          <w:sz w:val="24"/>
          <w:szCs w:val="24"/>
        </w:rPr>
        <w:t>How s</w:t>
      </w:r>
      <w:r w:rsidRPr="00376FC4" w:rsidR="00376FC4">
        <w:rPr>
          <w:sz w:val="24"/>
          <w:szCs w:val="24"/>
        </w:rPr>
        <w:t>hould we test children and other sensitive populations?   For example, it may not be appropriate to collect the required sample (70-ml blood) for dioxins from a small child, pregnant woman, or an anemic or underweight person.</w:t>
      </w:r>
    </w:p>
    <w:p w:rsidR="00376FC4" w:rsidP="009E2A28" w:rsidRDefault="00376FC4" w14:paraId="2E5CE885" w14:textId="4E83BF21">
      <w:pPr>
        <w:numPr>
          <w:ilvl w:val="0"/>
          <w:numId w:val="34"/>
        </w:numPr>
        <w:tabs>
          <w:tab w:val="left" w:pos="1545"/>
        </w:tabs>
        <w:spacing w:after="0" w:line="240" w:lineRule="auto"/>
        <w:rPr>
          <w:sz w:val="24"/>
          <w:szCs w:val="24"/>
        </w:rPr>
      </w:pPr>
      <w:r w:rsidRPr="0093769B">
        <w:rPr>
          <w:sz w:val="24"/>
          <w:szCs w:val="24"/>
        </w:rPr>
        <w:t>If we do pre- and post-testing to check intervention or environmental remediation effectiveness, how will participants be selected if the original participants are not available?</w:t>
      </w:r>
      <w:r w:rsidRPr="0093769B" w:rsidR="00A578A7">
        <w:rPr>
          <w:sz w:val="24"/>
          <w:szCs w:val="24"/>
        </w:rPr>
        <w:t xml:space="preserve"> </w:t>
      </w:r>
      <w:r w:rsidRPr="0093769B" w:rsidR="00391758">
        <w:rPr>
          <w:sz w:val="24"/>
          <w:szCs w:val="24"/>
        </w:rPr>
        <w:t>If pre- and post-testing will be performed, separate ICRs will be prepared for each time frame.</w:t>
      </w:r>
    </w:p>
    <w:p w:rsidRPr="0093769B" w:rsidR="0093769B" w:rsidP="0093769B" w:rsidRDefault="0093769B" w14:paraId="42624F51" w14:textId="77777777">
      <w:pPr>
        <w:tabs>
          <w:tab w:val="left" w:pos="1545"/>
        </w:tabs>
        <w:spacing w:after="0" w:line="240" w:lineRule="auto"/>
        <w:ind w:left="720"/>
        <w:rPr>
          <w:sz w:val="24"/>
          <w:szCs w:val="24"/>
        </w:rPr>
      </w:pPr>
    </w:p>
    <w:p w:rsidRPr="00376FC4" w:rsidR="00376FC4" w:rsidP="00376FC4" w:rsidRDefault="00376FC4" w14:paraId="3D5112B4" w14:textId="77777777">
      <w:pPr>
        <w:autoSpaceDE w:val="0"/>
        <w:autoSpaceDN w:val="0"/>
        <w:adjustRightInd w:val="0"/>
        <w:rPr>
          <w:bCs/>
          <w:sz w:val="24"/>
          <w:szCs w:val="24"/>
        </w:rPr>
      </w:pPr>
      <w:r w:rsidRPr="00376FC4">
        <w:rPr>
          <w:bCs/>
          <w:sz w:val="24"/>
          <w:szCs w:val="24"/>
        </w:rPr>
        <w:t>ATSDR asks approximately 12-20 questions per investigation that are pertinent to environmental exposure. This number can vary depending on the number of chemicals being investigated, the route of exposure (breathing, eating, touching), and number of other sources of the chemical(s) (e.g., products used, jobs done).</w:t>
      </w:r>
    </w:p>
    <w:p w:rsidRPr="00376FC4" w:rsidR="00376FC4" w:rsidP="00376FC4" w:rsidRDefault="00376FC4" w14:paraId="6A475BCE" w14:textId="1BAEAE20">
      <w:pPr>
        <w:tabs>
          <w:tab w:val="left" w:pos="1545"/>
        </w:tabs>
        <w:rPr>
          <w:color w:val="000000"/>
          <w:sz w:val="24"/>
          <w:szCs w:val="24"/>
        </w:rPr>
      </w:pPr>
      <w:r w:rsidRPr="00376FC4">
        <w:rPr>
          <w:color w:val="000000"/>
          <w:sz w:val="24"/>
          <w:szCs w:val="24"/>
        </w:rPr>
        <w:t>Although some of the information is entered on paper, where practical, we load the information collection form onto a laptop and record the answers electronically. ATSDR computers comply with the HHS Standard 2008-0007.001S for encryption. We generally interview people in their homes</w:t>
      </w:r>
      <w:r w:rsidR="007D4152">
        <w:rPr>
          <w:color w:val="000000"/>
          <w:sz w:val="24"/>
          <w:szCs w:val="24"/>
        </w:rPr>
        <w:t xml:space="preserve"> or at a central testing location</w:t>
      </w:r>
      <w:r w:rsidRPr="00376FC4">
        <w:rPr>
          <w:color w:val="000000"/>
          <w:sz w:val="24"/>
          <w:szCs w:val="24"/>
        </w:rPr>
        <w:t>.</w:t>
      </w:r>
    </w:p>
    <w:p w:rsidRPr="00376FC4" w:rsidR="00376FC4" w:rsidP="00376FC4" w:rsidRDefault="00376FC4" w14:paraId="4E99D490" w14:textId="77777777">
      <w:pPr>
        <w:rPr>
          <w:sz w:val="24"/>
          <w:szCs w:val="24"/>
        </w:rPr>
      </w:pPr>
      <w:r w:rsidRPr="00376FC4">
        <w:rPr>
          <w:sz w:val="24"/>
          <w:szCs w:val="24"/>
        </w:rPr>
        <w:t>All environmental and biological sampling will be overseen by the federal or state EI lead.  Environmental samples will be collected by appropriate EI personnel (assistance from state and local partners and contractors may be obtained) and shipped directly to the appropriate laboratories for analysis.  Biological samples and documentation will be obtained by trained personnel, such as registered nurses (RNs), and shipped directly to qualified laboratories for analysis. Appropriate Quality Assurance Plans will be prepared and implemented by ATSDR, states, and contractors, as appropriate.</w:t>
      </w:r>
    </w:p>
    <w:p w:rsidRPr="00376FC4" w:rsidR="00376FC4" w:rsidP="00376FC4" w:rsidRDefault="00376FC4" w14:paraId="7E7C7346" w14:textId="77777777">
      <w:pPr>
        <w:rPr>
          <w:b/>
          <w:bCs/>
          <w:sz w:val="24"/>
          <w:szCs w:val="24"/>
        </w:rPr>
      </w:pPr>
      <w:r w:rsidRPr="00376FC4">
        <w:rPr>
          <w:sz w:val="24"/>
          <w:szCs w:val="24"/>
        </w:rPr>
        <w:t>Examples of the information that may be collected during environmental and biological sampling events are provided in Tables A-2.1 and A-2.2.</w:t>
      </w:r>
    </w:p>
    <w:p w:rsidRPr="00376FC4" w:rsidR="00376FC4" w:rsidP="00376FC4" w:rsidRDefault="00376FC4" w14:paraId="075F31E7" w14:textId="77777777">
      <w:pPr>
        <w:rPr>
          <w:b/>
          <w:bCs/>
          <w:sz w:val="24"/>
          <w:szCs w:val="24"/>
        </w:rPr>
      </w:pPr>
    </w:p>
    <w:p w:rsidRPr="00376FC4" w:rsidR="00376FC4" w:rsidP="00376FC4" w:rsidRDefault="00376FC4" w14:paraId="6A0A2CED" w14:textId="77777777">
      <w:pPr>
        <w:jc w:val="center"/>
        <w:rPr>
          <w:b/>
          <w:bCs/>
          <w:sz w:val="24"/>
          <w:szCs w:val="24"/>
        </w:rPr>
      </w:pPr>
      <w:r w:rsidRPr="00376FC4">
        <w:rPr>
          <w:b/>
          <w:bCs/>
          <w:sz w:val="24"/>
          <w:szCs w:val="24"/>
        </w:rPr>
        <w:t>Table A-2.1</w:t>
      </w:r>
    </w:p>
    <w:p w:rsidRPr="00376FC4" w:rsidR="00376FC4" w:rsidP="00376FC4" w:rsidRDefault="00376FC4" w14:paraId="236A8147" w14:textId="77777777">
      <w:pPr>
        <w:jc w:val="center"/>
        <w:rPr>
          <w:b/>
          <w:bCs/>
          <w:sz w:val="24"/>
          <w:szCs w:val="24"/>
        </w:rPr>
      </w:pPr>
      <w:r w:rsidRPr="00376FC4">
        <w:rPr>
          <w:b/>
          <w:bCs/>
          <w:sz w:val="24"/>
          <w:szCs w:val="24"/>
        </w:rPr>
        <w:t>EI Activities Requiring Information from Property Owner or Resident for Environmental Sampling</w:t>
      </w:r>
    </w:p>
    <w:p w:rsidRPr="00376FC4" w:rsidR="00376FC4" w:rsidP="00376FC4" w:rsidRDefault="00376FC4" w14:paraId="47EE39F7" w14:textId="77777777">
      <w:pPr>
        <w:jc w:val="center"/>
        <w:rPr>
          <w:b/>
          <w:bCs/>
          <w:sz w:val="24"/>
          <w:szCs w:val="24"/>
        </w:rPr>
      </w:pPr>
    </w:p>
    <w:tbl>
      <w:tblPr>
        <w:tblW w:w="905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58" w:type="dxa"/>
          <w:right w:w="58" w:type="dxa"/>
        </w:tblCellMar>
        <w:tblLook w:val="00A0" w:firstRow="1" w:lastRow="0" w:firstColumn="1" w:lastColumn="0" w:noHBand="0" w:noVBand="0"/>
      </w:tblPr>
      <w:tblGrid>
        <w:gridCol w:w="3744"/>
        <w:gridCol w:w="5310"/>
      </w:tblGrid>
      <w:tr w:rsidRPr="00376FC4" w:rsidR="00376FC4" w:rsidTr="00376FC4" w14:paraId="2230F85C" w14:textId="77777777">
        <w:trPr>
          <w:trHeight w:val="557"/>
        </w:trPr>
        <w:tc>
          <w:tcPr>
            <w:tcW w:w="3744"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tcMar>
              <w:top w:w="0" w:type="dxa"/>
              <w:left w:w="72" w:type="dxa"/>
              <w:bottom w:w="0" w:type="dxa"/>
              <w:right w:w="72" w:type="dxa"/>
            </w:tcMar>
            <w:vAlign w:val="center"/>
            <w:hideMark/>
          </w:tcPr>
          <w:p w:rsidRPr="00376FC4" w:rsidR="00376FC4" w:rsidRDefault="00376FC4" w14:paraId="193282EA" w14:textId="77777777">
            <w:pPr>
              <w:jc w:val="center"/>
              <w:rPr>
                <w:b/>
                <w:bCs/>
                <w:sz w:val="24"/>
                <w:szCs w:val="24"/>
              </w:rPr>
            </w:pPr>
            <w:r w:rsidRPr="00376FC4">
              <w:rPr>
                <w:b/>
                <w:bCs/>
                <w:sz w:val="24"/>
                <w:szCs w:val="24"/>
              </w:rPr>
              <w:lastRenderedPageBreak/>
              <w:t>Information Collection Methods</w:t>
            </w:r>
          </w:p>
        </w:tc>
        <w:tc>
          <w:tcPr>
            <w:tcW w:w="5310"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tcMar>
              <w:top w:w="0" w:type="dxa"/>
              <w:left w:w="72" w:type="dxa"/>
              <w:bottom w:w="0" w:type="dxa"/>
              <w:right w:w="72" w:type="dxa"/>
            </w:tcMar>
            <w:vAlign w:val="center"/>
            <w:hideMark/>
          </w:tcPr>
          <w:p w:rsidRPr="00376FC4" w:rsidR="00376FC4" w:rsidRDefault="00376FC4" w14:paraId="41D4F7BD" w14:textId="77777777">
            <w:pPr>
              <w:jc w:val="center"/>
              <w:rPr>
                <w:b/>
                <w:bCs/>
                <w:sz w:val="24"/>
                <w:szCs w:val="24"/>
              </w:rPr>
            </w:pPr>
            <w:r w:rsidRPr="00376FC4">
              <w:rPr>
                <w:b/>
                <w:bCs/>
                <w:sz w:val="24"/>
                <w:szCs w:val="24"/>
              </w:rPr>
              <w:t>Examples of Needed Information</w:t>
            </w:r>
          </w:p>
        </w:tc>
      </w:tr>
      <w:tr w:rsidRPr="00376FC4" w:rsidR="00376FC4" w:rsidTr="00376FC4" w14:paraId="1DE72BCF" w14:textId="77777777">
        <w:tc>
          <w:tcPr>
            <w:tcW w:w="3744" w:type="dxa"/>
            <w:tcBorders>
              <w:top w:val="single" w:color="000000" w:sz="4" w:space="0"/>
              <w:left w:val="single" w:color="000000" w:sz="4" w:space="0"/>
              <w:bottom w:val="single" w:color="000000" w:sz="4" w:space="0"/>
              <w:right w:val="single" w:color="000000" w:sz="4" w:space="0"/>
            </w:tcBorders>
            <w:tcMar>
              <w:top w:w="0" w:type="dxa"/>
              <w:left w:w="72" w:type="dxa"/>
              <w:bottom w:w="0" w:type="dxa"/>
              <w:right w:w="72" w:type="dxa"/>
            </w:tcMar>
            <w:vAlign w:val="center"/>
            <w:hideMark/>
          </w:tcPr>
          <w:p w:rsidRPr="00376FC4" w:rsidR="00376FC4" w:rsidRDefault="00376FC4" w14:paraId="4BB4AE13" w14:textId="390B9D95">
            <w:pPr>
              <w:spacing w:line="240" w:lineRule="exact"/>
              <w:rPr>
                <w:sz w:val="24"/>
                <w:szCs w:val="24"/>
              </w:rPr>
            </w:pPr>
            <w:r w:rsidRPr="00376FC4">
              <w:rPr>
                <w:sz w:val="24"/>
                <w:szCs w:val="24"/>
              </w:rPr>
              <w:t xml:space="preserve">Demographic questionnaire (see Question Bank provided in Attachment </w:t>
            </w:r>
            <w:r w:rsidR="00BA49F9">
              <w:rPr>
                <w:sz w:val="24"/>
                <w:szCs w:val="24"/>
              </w:rPr>
              <w:t>4</w:t>
            </w:r>
            <w:r w:rsidRPr="00376FC4">
              <w:rPr>
                <w:sz w:val="24"/>
                <w:szCs w:val="24"/>
              </w:rPr>
              <w:t xml:space="preserve"> for suggested questions) </w:t>
            </w:r>
          </w:p>
        </w:tc>
        <w:tc>
          <w:tcPr>
            <w:tcW w:w="5310" w:type="dxa"/>
            <w:tcBorders>
              <w:top w:val="single" w:color="000000" w:sz="4" w:space="0"/>
              <w:left w:val="single" w:color="000000" w:sz="4" w:space="0"/>
              <w:bottom w:val="single" w:color="000000" w:sz="4" w:space="0"/>
              <w:right w:val="single" w:color="000000" w:sz="4" w:space="0"/>
            </w:tcBorders>
            <w:tcMar>
              <w:top w:w="0" w:type="dxa"/>
              <w:left w:w="72" w:type="dxa"/>
              <w:bottom w:w="0" w:type="dxa"/>
              <w:right w:w="72" w:type="dxa"/>
            </w:tcMar>
            <w:vAlign w:val="center"/>
          </w:tcPr>
          <w:p w:rsidRPr="00376FC4" w:rsidR="00376FC4" w:rsidRDefault="00376FC4" w14:paraId="6D86E1C5" w14:textId="77777777">
            <w:pPr>
              <w:pStyle w:val="NoSpacing"/>
              <w:spacing w:line="240" w:lineRule="exact"/>
              <w:ind w:left="198"/>
              <w:contextualSpacing/>
              <w:rPr>
                <w:rFonts w:cs="Times New Roman"/>
                <w:sz w:val="24"/>
                <w:szCs w:val="24"/>
              </w:rPr>
            </w:pPr>
          </w:p>
          <w:p w:rsidRPr="00376FC4" w:rsidR="00376FC4" w:rsidP="009E2A28" w:rsidRDefault="00376FC4" w14:paraId="6A903EB8" w14:textId="77777777">
            <w:pPr>
              <w:pStyle w:val="NoSpacing"/>
              <w:numPr>
                <w:ilvl w:val="0"/>
                <w:numId w:val="35"/>
              </w:numPr>
              <w:spacing w:line="240" w:lineRule="exact"/>
              <w:ind w:left="198" w:hanging="180"/>
              <w:contextualSpacing/>
              <w:rPr>
                <w:rFonts w:cs="Times New Roman"/>
                <w:sz w:val="24"/>
                <w:szCs w:val="24"/>
              </w:rPr>
            </w:pPr>
            <w:r w:rsidRPr="00376FC4">
              <w:rPr>
                <w:rFonts w:cs="Times New Roman"/>
                <w:sz w:val="24"/>
                <w:szCs w:val="24"/>
              </w:rPr>
              <w:t xml:space="preserve">Demographic data and residential history </w:t>
            </w:r>
          </w:p>
          <w:p w:rsidRPr="00376FC4" w:rsidR="00376FC4" w:rsidP="009E2A28" w:rsidRDefault="00376FC4" w14:paraId="3AC3184C" w14:textId="77777777">
            <w:pPr>
              <w:pStyle w:val="NoSpacing"/>
              <w:numPr>
                <w:ilvl w:val="0"/>
                <w:numId w:val="36"/>
              </w:numPr>
              <w:spacing w:line="240" w:lineRule="exact"/>
              <w:ind w:left="198" w:hanging="180"/>
              <w:contextualSpacing/>
              <w:rPr>
                <w:rFonts w:cs="Times New Roman"/>
                <w:sz w:val="24"/>
                <w:szCs w:val="24"/>
              </w:rPr>
            </w:pPr>
            <w:r w:rsidRPr="00376FC4">
              <w:rPr>
                <w:rFonts w:cs="Times New Roman"/>
                <w:sz w:val="24"/>
                <w:szCs w:val="24"/>
              </w:rPr>
              <w:t>Daily activities</w:t>
            </w:r>
          </w:p>
          <w:p w:rsidRPr="00376FC4" w:rsidR="00376FC4" w:rsidP="009E2A28" w:rsidRDefault="00376FC4" w14:paraId="6987F452" w14:textId="77777777">
            <w:pPr>
              <w:pStyle w:val="NoSpacing"/>
              <w:numPr>
                <w:ilvl w:val="0"/>
                <w:numId w:val="37"/>
              </w:numPr>
              <w:spacing w:line="240" w:lineRule="exact"/>
              <w:ind w:left="198" w:hanging="180"/>
              <w:contextualSpacing/>
              <w:rPr>
                <w:rFonts w:cs="Times New Roman"/>
                <w:sz w:val="24"/>
                <w:szCs w:val="24"/>
              </w:rPr>
            </w:pPr>
            <w:r w:rsidRPr="00376FC4">
              <w:rPr>
                <w:rFonts w:cs="Times New Roman"/>
                <w:sz w:val="24"/>
                <w:szCs w:val="24"/>
              </w:rPr>
              <w:t>Occupational history</w:t>
            </w:r>
          </w:p>
          <w:p w:rsidRPr="00376FC4" w:rsidR="00376FC4" w:rsidRDefault="00376FC4" w14:paraId="1FB4F064" w14:textId="77777777">
            <w:pPr>
              <w:pStyle w:val="NoSpacing"/>
              <w:spacing w:line="240" w:lineRule="exact"/>
              <w:ind w:left="198"/>
              <w:contextualSpacing/>
              <w:rPr>
                <w:rFonts w:cs="Times New Roman"/>
                <w:sz w:val="24"/>
                <w:szCs w:val="24"/>
              </w:rPr>
            </w:pPr>
          </w:p>
          <w:p w:rsidRPr="00376FC4" w:rsidR="00376FC4" w:rsidRDefault="00376FC4" w14:paraId="7B76F6CE" w14:textId="77777777">
            <w:pPr>
              <w:pStyle w:val="NoSpacing"/>
              <w:spacing w:line="240" w:lineRule="exact"/>
              <w:ind w:left="198"/>
              <w:contextualSpacing/>
              <w:rPr>
                <w:rFonts w:cs="Times New Roman"/>
                <w:sz w:val="24"/>
                <w:szCs w:val="24"/>
              </w:rPr>
            </w:pPr>
          </w:p>
        </w:tc>
      </w:tr>
      <w:tr w:rsidRPr="00376FC4" w:rsidR="00376FC4" w:rsidTr="00376FC4" w14:paraId="16164304" w14:textId="77777777">
        <w:tc>
          <w:tcPr>
            <w:tcW w:w="3744" w:type="dxa"/>
            <w:tcBorders>
              <w:top w:val="single" w:color="000000" w:sz="4" w:space="0"/>
              <w:left w:val="single" w:color="000000" w:sz="4" w:space="0"/>
              <w:bottom w:val="single" w:color="000000" w:sz="4" w:space="0"/>
              <w:right w:val="single" w:color="000000" w:sz="4" w:space="0"/>
            </w:tcBorders>
            <w:tcMar>
              <w:top w:w="0" w:type="dxa"/>
              <w:left w:w="72" w:type="dxa"/>
              <w:bottom w:w="0" w:type="dxa"/>
              <w:right w:w="72" w:type="dxa"/>
            </w:tcMar>
            <w:vAlign w:val="center"/>
          </w:tcPr>
          <w:p w:rsidRPr="00376FC4" w:rsidR="00376FC4" w:rsidRDefault="00376FC4" w14:paraId="48885820" w14:textId="77777777">
            <w:pPr>
              <w:spacing w:line="240" w:lineRule="exact"/>
              <w:rPr>
                <w:rFonts w:cs="Times New Roman"/>
                <w:sz w:val="24"/>
                <w:szCs w:val="24"/>
              </w:rPr>
            </w:pPr>
          </w:p>
          <w:p w:rsidRPr="00376FC4" w:rsidR="00376FC4" w:rsidRDefault="00376FC4" w14:paraId="31A998BF" w14:textId="0DA91E06">
            <w:pPr>
              <w:spacing w:line="240" w:lineRule="exact"/>
              <w:rPr>
                <w:sz w:val="24"/>
                <w:szCs w:val="24"/>
              </w:rPr>
            </w:pPr>
            <w:r w:rsidRPr="00376FC4">
              <w:rPr>
                <w:sz w:val="24"/>
                <w:szCs w:val="24"/>
              </w:rPr>
              <w:t xml:space="preserve">Household questionnaire (see Question Bank provided in Attachment </w:t>
            </w:r>
            <w:r w:rsidR="00BA49F9">
              <w:rPr>
                <w:sz w:val="24"/>
                <w:szCs w:val="24"/>
              </w:rPr>
              <w:t>4</w:t>
            </w:r>
            <w:r w:rsidRPr="00376FC4">
              <w:rPr>
                <w:sz w:val="24"/>
                <w:szCs w:val="24"/>
              </w:rPr>
              <w:t xml:space="preserve"> for suggested questions)</w:t>
            </w:r>
          </w:p>
          <w:p w:rsidRPr="00376FC4" w:rsidR="00376FC4" w:rsidRDefault="00376FC4" w14:paraId="5255980D" w14:textId="77777777">
            <w:pPr>
              <w:spacing w:line="240" w:lineRule="exact"/>
              <w:rPr>
                <w:sz w:val="24"/>
                <w:szCs w:val="24"/>
              </w:rPr>
            </w:pPr>
          </w:p>
        </w:tc>
        <w:tc>
          <w:tcPr>
            <w:tcW w:w="5310" w:type="dxa"/>
            <w:tcBorders>
              <w:top w:val="single" w:color="000000" w:sz="4" w:space="0"/>
              <w:left w:val="single" w:color="000000" w:sz="4" w:space="0"/>
              <w:bottom w:val="single" w:color="000000" w:sz="4" w:space="0"/>
              <w:right w:val="single" w:color="000000" w:sz="4" w:space="0"/>
            </w:tcBorders>
            <w:tcMar>
              <w:top w:w="0" w:type="dxa"/>
              <w:left w:w="72" w:type="dxa"/>
              <w:bottom w:w="0" w:type="dxa"/>
              <w:right w:w="72" w:type="dxa"/>
            </w:tcMar>
            <w:vAlign w:val="center"/>
          </w:tcPr>
          <w:p w:rsidRPr="00376FC4" w:rsidR="00376FC4" w:rsidRDefault="00376FC4" w14:paraId="38B6FB32" w14:textId="77777777">
            <w:pPr>
              <w:pStyle w:val="NoSpacing"/>
              <w:spacing w:line="240" w:lineRule="exact"/>
              <w:ind w:left="198"/>
              <w:contextualSpacing/>
              <w:rPr>
                <w:rFonts w:cs="Times New Roman"/>
                <w:sz w:val="24"/>
                <w:szCs w:val="24"/>
              </w:rPr>
            </w:pPr>
          </w:p>
          <w:p w:rsidRPr="00376FC4" w:rsidR="00376FC4" w:rsidP="009E2A28" w:rsidRDefault="00376FC4" w14:paraId="5ECF8A26" w14:textId="77777777">
            <w:pPr>
              <w:pStyle w:val="NoSpacing"/>
              <w:numPr>
                <w:ilvl w:val="0"/>
                <w:numId w:val="38"/>
              </w:numPr>
              <w:spacing w:line="240" w:lineRule="exact"/>
              <w:ind w:left="198" w:hanging="180"/>
              <w:contextualSpacing/>
              <w:rPr>
                <w:rFonts w:cs="Times New Roman"/>
                <w:sz w:val="24"/>
                <w:szCs w:val="24"/>
              </w:rPr>
            </w:pPr>
            <w:r w:rsidRPr="00376FC4">
              <w:rPr>
                <w:rFonts w:cs="Times New Roman"/>
                <w:sz w:val="24"/>
                <w:szCs w:val="24"/>
              </w:rPr>
              <w:t>Indoor home heating fuel</w:t>
            </w:r>
          </w:p>
          <w:p w:rsidRPr="00376FC4" w:rsidR="00376FC4" w:rsidP="009E2A28" w:rsidRDefault="00376FC4" w14:paraId="5AF3BD9A" w14:textId="77777777">
            <w:pPr>
              <w:pStyle w:val="NoSpacing"/>
              <w:numPr>
                <w:ilvl w:val="0"/>
                <w:numId w:val="38"/>
              </w:numPr>
              <w:spacing w:line="240" w:lineRule="exact"/>
              <w:ind w:left="198" w:hanging="180"/>
              <w:contextualSpacing/>
              <w:rPr>
                <w:rFonts w:cs="Times New Roman"/>
                <w:sz w:val="24"/>
                <w:szCs w:val="24"/>
              </w:rPr>
            </w:pPr>
            <w:r w:rsidRPr="00376FC4">
              <w:rPr>
                <w:rFonts w:cs="Times New Roman"/>
                <w:sz w:val="24"/>
                <w:szCs w:val="24"/>
              </w:rPr>
              <w:t>Water source, and household filtration system</w:t>
            </w:r>
          </w:p>
          <w:p w:rsidRPr="00376FC4" w:rsidR="00376FC4" w:rsidP="009E2A28" w:rsidRDefault="00376FC4" w14:paraId="53BDA911" w14:textId="77777777">
            <w:pPr>
              <w:pStyle w:val="NoSpacing"/>
              <w:numPr>
                <w:ilvl w:val="0"/>
                <w:numId w:val="38"/>
              </w:numPr>
              <w:spacing w:line="240" w:lineRule="exact"/>
              <w:ind w:left="198" w:hanging="180"/>
              <w:contextualSpacing/>
              <w:rPr>
                <w:rFonts w:cs="Times New Roman"/>
                <w:sz w:val="24"/>
                <w:szCs w:val="24"/>
              </w:rPr>
            </w:pPr>
            <w:r w:rsidRPr="00376FC4">
              <w:rPr>
                <w:rFonts w:cs="Times New Roman"/>
                <w:sz w:val="24"/>
                <w:szCs w:val="24"/>
              </w:rPr>
              <w:t>Volatile organic compound (VOC) storage</w:t>
            </w:r>
          </w:p>
          <w:p w:rsidRPr="00376FC4" w:rsidR="00376FC4" w:rsidRDefault="00376FC4" w14:paraId="2E0BCF23" w14:textId="77777777">
            <w:pPr>
              <w:pStyle w:val="NoSpacing"/>
              <w:spacing w:line="240" w:lineRule="exact"/>
              <w:ind w:left="198"/>
              <w:contextualSpacing/>
              <w:rPr>
                <w:rFonts w:cs="Times New Roman"/>
                <w:sz w:val="24"/>
                <w:szCs w:val="24"/>
              </w:rPr>
            </w:pPr>
          </w:p>
        </w:tc>
      </w:tr>
      <w:tr w:rsidRPr="00376FC4" w:rsidR="00376FC4" w:rsidTr="00376FC4" w14:paraId="48BCCE06" w14:textId="77777777">
        <w:tc>
          <w:tcPr>
            <w:tcW w:w="3744" w:type="dxa"/>
            <w:tcBorders>
              <w:top w:val="single" w:color="000000" w:sz="4" w:space="0"/>
              <w:left w:val="single" w:color="000000" w:sz="4" w:space="0"/>
              <w:bottom w:val="single" w:color="000000" w:sz="4" w:space="0"/>
              <w:right w:val="single" w:color="000000" w:sz="4" w:space="0"/>
            </w:tcBorders>
            <w:tcMar>
              <w:top w:w="0" w:type="dxa"/>
              <w:left w:w="72" w:type="dxa"/>
              <w:bottom w:w="0" w:type="dxa"/>
              <w:right w:w="72" w:type="dxa"/>
            </w:tcMar>
            <w:vAlign w:val="center"/>
            <w:hideMark/>
          </w:tcPr>
          <w:p w:rsidRPr="00376FC4" w:rsidR="00376FC4" w:rsidRDefault="00376FC4" w14:paraId="6F15A700" w14:textId="77777777">
            <w:pPr>
              <w:spacing w:line="240" w:lineRule="exact"/>
              <w:rPr>
                <w:rFonts w:cs="Times New Roman"/>
                <w:sz w:val="24"/>
                <w:szCs w:val="24"/>
              </w:rPr>
            </w:pPr>
            <w:r w:rsidRPr="00376FC4">
              <w:rPr>
                <w:sz w:val="24"/>
                <w:szCs w:val="24"/>
              </w:rPr>
              <w:t>Visual inventory of home by Field Interviewer</w:t>
            </w:r>
          </w:p>
        </w:tc>
        <w:tc>
          <w:tcPr>
            <w:tcW w:w="5310" w:type="dxa"/>
            <w:tcBorders>
              <w:top w:val="single" w:color="000000" w:sz="4" w:space="0"/>
              <w:left w:val="single" w:color="000000" w:sz="4" w:space="0"/>
              <w:bottom w:val="single" w:color="000000" w:sz="4" w:space="0"/>
              <w:right w:val="single" w:color="000000" w:sz="4" w:space="0"/>
            </w:tcBorders>
            <w:tcMar>
              <w:top w:w="0" w:type="dxa"/>
              <w:left w:w="72" w:type="dxa"/>
              <w:bottom w:w="0" w:type="dxa"/>
              <w:right w:w="72" w:type="dxa"/>
            </w:tcMar>
            <w:vAlign w:val="center"/>
          </w:tcPr>
          <w:p w:rsidRPr="00376FC4" w:rsidR="00376FC4" w:rsidRDefault="00376FC4" w14:paraId="2CB48DD5" w14:textId="77777777">
            <w:pPr>
              <w:pStyle w:val="NoSpacing"/>
              <w:spacing w:line="240" w:lineRule="exact"/>
              <w:ind w:left="198"/>
              <w:contextualSpacing/>
              <w:rPr>
                <w:rFonts w:cs="Times New Roman"/>
                <w:sz w:val="24"/>
                <w:szCs w:val="24"/>
              </w:rPr>
            </w:pPr>
          </w:p>
          <w:p w:rsidRPr="00376FC4" w:rsidR="00376FC4" w:rsidP="009E2A28" w:rsidRDefault="00376FC4" w14:paraId="25B1EE56" w14:textId="77777777">
            <w:pPr>
              <w:pStyle w:val="NoSpacing"/>
              <w:numPr>
                <w:ilvl w:val="0"/>
                <w:numId w:val="38"/>
              </w:numPr>
              <w:spacing w:line="240" w:lineRule="exact"/>
              <w:ind w:left="198" w:hanging="180"/>
              <w:contextualSpacing/>
              <w:rPr>
                <w:rFonts w:cs="Times New Roman"/>
                <w:sz w:val="24"/>
                <w:szCs w:val="24"/>
              </w:rPr>
            </w:pPr>
            <w:r w:rsidRPr="00376FC4">
              <w:rPr>
                <w:rFonts w:cs="Times New Roman"/>
                <w:sz w:val="24"/>
                <w:szCs w:val="24"/>
              </w:rPr>
              <w:t>Layout of home in relation to environmental surroundings (e.g., proximity to a water sources, location of private well or septic systems)</w:t>
            </w:r>
          </w:p>
          <w:p w:rsidRPr="00376FC4" w:rsidR="00376FC4" w:rsidRDefault="00376FC4" w14:paraId="3611176F" w14:textId="77777777">
            <w:pPr>
              <w:pStyle w:val="NoSpacing"/>
              <w:spacing w:line="240" w:lineRule="exact"/>
              <w:ind w:left="198"/>
              <w:contextualSpacing/>
              <w:rPr>
                <w:rFonts w:cs="Times New Roman"/>
                <w:sz w:val="24"/>
                <w:szCs w:val="24"/>
              </w:rPr>
            </w:pPr>
          </w:p>
        </w:tc>
      </w:tr>
    </w:tbl>
    <w:p w:rsidRPr="00376FC4" w:rsidR="00D0295E" w:rsidP="00376FC4" w:rsidRDefault="00D0295E" w14:paraId="4E049881" w14:textId="0F2469A3">
      <w:pPr>
        <w:rPr>
          <w:rFonts w:cs="Times New Roman"/>
          <w:b/>
          <w:sz w:val="24"/>
          <w:szCs w:val="24"/>
        </w:rPr>
      </w:pPr>
    </w:p>
    <w:p w:rsidRPr="00376FC4" w:rsidR="00376FC4" w:rsidP="00376FC4" w:rsidRDefault="00376FC4" w14:paraId="215B613C" w14:textId="77777777">
      <w:pPr>
        <w:ind w:left="1440" w:hanging="1440"/>
        <w:jc w:val="center"/>
        <w:rPr>
          <w:b/>
          <w:sz w:val="24"/>
          <w:szCs w:val="24"/>
        </w:rPr>
      </w:pPr>
      <w:r w:rsidRPr="00376FC4">
        <w:rPr>
          <w:b/>
          <w:sz w:val="24"/>
          <w:szCs w:val="24"/>
        </w:rPr>
        <w:t>Table A-2.2</w:t>
      </w:r>
    </w:p>
    <w:p w:rsidRPr="00376FC4" w:rsidR="00376FC4" w:rsidP="00376FC4" w:rsidRDefault="00376FC4" w14:paraId="49AE0281" w14:textId="77777777">
      <w:pPr>
        <w:jc w:val="center"/>
        <w:rPr>
          <w:b/>
          <w:sz w:val="24"/>
          <w:szCs w:val="24"/>
        </w:rPr>
      </w:pPr>
      <w:r w:rsidRPr="00376FC4">
        <w:rPr>
          <w:b/>
          <w:sz w:val="24"/>
          <w:szCs w:val="24"/>
        </w:rPr>
        <w:t>EI Activities Requiring Information from Property Owner or Resident for Biological Sampling</w:t>
      </w:r>
    </w:p>
    <w:p w:rsidRPr="00376FC4" w:rsidR="00376FC4" w:rsidP="00376FC4" w:rsidRDefault="00376FC4" w14:paraId="33A2E22F" w14:textId="77777777">
      <w:pPr>
        <w:ind w:left="1440" w:hanging="1440"/>
        <w:rPr>
          <w:b/>
          <w:sz w:val="24"/>
          <w:szCs w:val="24"/>
        </w:rPr>
      </w:pPr>
    </w:p>
    <w:tbl>
      <w:tblPr>
        <w:tblStyle w:val="TableGrid"/>
        <w:tblW w:w="9204" w:type="dxa"/>
        <w:tblLayout w:type="fixed"/>
        <w:tblLook w:val="04A0" w:firstRow="1" w:lastRow="0" w:firstColumn="1" w:lastColumn="0" w:noHBand="0" w:noVBand="1"/>
      </w:tblPr>
      <w:tblGrid>
        <w:gridCol w:w="3891"/>
        <w:gridCol w:w="5313"/>
      </w:tblGrid>
      <w:tr w:rsidRPr="00376FC4" w:rsidR="00376FC4" w:rsidTr="00A50CA1" w14:paraId="11A8D6CA" w14:textId="77777777">
        <w:trPr>
          <w:trHeight w:val="737"/>
        </w:trPr>
        <w:tc>
          <w:tcPr>
            <w:tcW w:w="389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76FC4" w:rsidR="00376FC4" w:rsidRDefault="00376FC4" w14:paraId="0ACBFE51" w14:textId="77777777">
            <w:pPr>
              <w:jc w:val="center"/>
              <w:rPr>
                <w:b/>
                <w:bCs/>
                <w:sz w:val="24"/>
                <w:szCs w:val="24"/>
              </w:rPr>
            </w:pPr>
          </w:p>
          <w:p w:rsidRPr="00376FC4" w:rsidR="00376FC4" w:rsidRDefault="00376FC4" w14:paraId="4EE829B7" w14:textId="77777777">
            <w:pPr>
              <w:jc w:val="center"/>
              <w:rPr>
                <w:b/>
                <w:bCs/>
                <w:sz w:val="24"/>
                <w:szCs w:val="24"/>
              </w:rPr>
            </w:pPr>
            <w:r w:rsidRPr="00376FC4">
              <w:rPr>
                <w:b/>
                <w:bCs/>
                <w:sz w:val="24"/>
                <w:szCs w:val="24"/>
              </w:rPr>
              <w:t>Information Collection Methods</w:t>
            </w:r>
          </w:p>
        </w:tc>
        <w:tc>
          <w:tcPr>
            <w:tcW w:w="531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76FC4" w:rsidR="00376FC4" w:rsidRDefault="00376FC4" w14:paraId="3B95257A" w14:textId="77777777">
            <w:pPr>
              <w:jc w:val="center"/>
              <w:rPr>
                <w:b/>
                <w:bCs/>
                <w:sz w:val="24"/>
                <w:szCs w:val="24"/>
              </w:rPr>
            </w:pPr>
          </w:p>
          <w:p w:rsidRPr="00376FC4" w:rsidR="00376FC4" w:rsidRDefault="00376FC4" w14:paraId="63CB848C" w14:textId="77777777">
            <w:pPr>
              <w:jc w:val="center"/>
              <w:rPr>
                <w:b/>
                <w:bCs/>
                <w:sz w:val="24"/>
                <w:szCs w:val="24"/>
              </w:rPr>
            </w:pPr>
            <w:r w:rsidRPr="00376FC4">
              <w:rPr>
                <w:b/>
                <w:bCs/>
                <w:sz w:val="24"/>
                <w:szCs w:val="24"/>
              </w:rPr>
              <w:t>Examples of Needed Information</w:t>
            </w:r>
          </w:p>
        </w:tc>
      </w:tr>
      <w:tr w:rsidRPr="00376FC4" w:rsidR="00376FC4" w:rsidTr="00A50CA1" w14:paraId="06BADEA3" w14:textId="77777777">
        <w:trPr>
          <w:trHeight w:val="674"/>
        </w:trPr>
        <w:tc>
          <w:tcPr>
            <w:tcW w:w="3891" w:type="dxa"/>
            <w:tcBorders>
              <w:top w:val="single" w:color="auto" w:sz="4" w:space="0"/>
              <w:left w:val="single" w:color="auto" w:sz="4" w:space="0"/>
              <w:bottom w:val="single" w:color="auto" w:sz="4" w:space="0"/>
              <w:right w:val="single" w:color="auto" w:sz="4" w:space="0"/>
            </w:tcBorders>
            <w:vAlign w:val="center"/>
            <w:hideMark/>
          </w:tcPr>
          <w:p w:rsidRPr="00376FC4" w:rsidR="00376FC4" w:rsidRDefault="00376FC4" w14:paraId="1544B464" w14:textId="2BF17BD6">
            <w:pPr>
              <w:spacing w:line="240" w:lineRule="exact"/>
              <w:rPr>
                <w:sz w:val="24"/>
                <w:szCs w:val="24"/>
              </w:rPr>
            </w:pPr>
            <w:r w:rsidRPr="00376FC4">
              <w:rPr>
                <w:sz w:val="24"/>
                <w:szCs w:val="24"/>
              </w:rPr>
              <w:t xml:space="preserve">Demographic questionnaire (see Question Bank provided in Attachment </w:t>
            </w:r>
            <w:r w:rsidR="00BA49F9">
              <w:rPr>
                <w:sz w:val="24"/>
                <w:szCs w:val="24"/>
              </w:rPr>
              <w:t>4</w:t>
            </w:r>
            <w:r w:rsidRPr="00376FC4">
              <w:rPr>
                <w:sz w:val="24"/>
                <w:szCs w:val="24"/>
              </w:rPr>
              <w:t xml:space="preserve"> for suggested questions) </w:t>
            </w:r>
          </w:p>
        </w:tc>
        <w:tc>
          <w:tcPr>
            <w:tcW w:w="5313" w:type="dxa"/>
            <w:tcBorders>
              <w:top w:val="single" w:color="auto" w:sz="4" w:space="0"/>
              <w:left w:val="single" w:color="auto" w:sz="4" w:space="0"/>
              <w:bottom w:val="single" w:color="auto" w:sz="4" w:space="0"/>
              <w:right w:val="single" w:color="auto" w:sz="4" w:space="0"/>
            </w:tcBorders>
            <w:vAlign w:val="center"/>
          </w:tcPr>
          <w:p w:rsidRPr="00376FC4" w:rsidR="00376FC4" w:rsidRDefault="00376FC4" w14:paraId="07C90BDD" w14:textId="77777777">
            <w:pPr>
              <w:pStyle w:val="NoSpacing"/>
              <w:spacing w:line="240" w:lineRule="exact"/>
              <w:ind w:left="198"/>
              <w:contextualSpacing/>
              <w:rPr>
                <w:rFonts w:cs="Times New Roman"/>
                <w:sz w:val="24"/>
                <w:szCs w:val="24"/>
              </w:rPr>
            </w:pPr>
          </w:p>
          <w:p w:rsidRPr="00376FC4" w:rsidR="00376FC4" w:rsidP="009E2A28" w:rsidRDefault="00376FC4" w14:paraId="46D8E537" w14:textId="77777777">
            <w:pPr>
              <w:pStyle w:val="NoSpacing"/>
              <w:numPr>
                <w:ilvl w:val="0"/>
                <w:numId w:val="35"/>
              </w:numPr>
              <w:spacing w:line="240" w:lineRule="exact"/>
              <w:ind w:left="198" w:hanging="180"/>
              <w:contextualSpacing/>
              <w:rPr>
                <w:rFonts w:cs="Times New Roman"/>
                <w:sz w:val="24"/>
                <w:szCs w:val="24"/>
              </w:rPr>
            </w:pPr>
            <w:r w:rsidRPr="00376FC4">
              <w:rPr>
                <w:rFonts w:cs="Times New Roman"/>
                <w:sz w:val="24"/>
                <w:szCs w:val="24"/>
              </w:rPr>
              <w:t xml:space="preserve">Demographic data and residential history </w:t>
            </w:r>
          </w:p>
          <w:p w:rsidRPr="00376FC4" w:rsidR="00376FC4" w:rsidP="009E2A28" w:rsidRDefault="00376FC4" w14:paraId="09DE5736" w14:textId="77777777">
            <w:pPr>
              <w:pStyle w:val="NoSpacing"/>
              <w:numPr>
                <w:ilvl w:val="0"/>
                <w:numId w:val="36"/>
              </w:numPr>
              <w:spacing w:line="240" w:lineRule="exact"/>
              <w:ind w:left="198" w:hanging="180"/>
              <w:contextualSpacing/>
              <w:rPr>
                <w:rFonts w:cs="Times New Roman"/>
                <w:sz w:val="24"/>
                <w:szCs w:val="24"/>
              </w:rPr>
            </w:pPr>
            <w:r w:rsidRPr="00376FC4">
              <w:rPr>
                <w:rFonts w:cs="Times New Roman"/>
                <w:sz w:val="24"/>
                <w:szCs w:val="24"/>
              </w:rPr>
              <w:t>Daily activities</w:t>
            </w:r>
          </w:p>
          <w:p w:rsidRPr="00376FC4" w:rsidR="00376FC4" w:rsidP="009E2A28" w:rsidRDefault="00376FC4" w14:paraId="31C45922" w14:textId="77777777">
            <w:pPr>
              <w:pStyle w:val="NoSpacing"/>
              <w:numPr>
                <w:ilvl w:val="0"/>
                <w:numId w:val="37"/>
              </w:numPr>
              <w:spacing w:line="240" w:lineRule="exact"/>
              <w:ind w:left="198" w:hanging="180"/>
              <w:contextualSpacing/>
              <w:rPr>
                <w:rFonts w:cs="Times New Roman"/>
                <w:sz w:val="24"/>
                <w:szCs w:val="24"/>
              </w:rPr>
            </w:pPr>
            <w:r w:rsidRPr="00376FC4">
              <w:rPr>
                <w:rFonts w:cs="Times New Roman"/>
                <w:sz w:val="24"/>
                <w:szCs w:val="24"/>
              </w:rPr>
              <w:t>Occupational history</w:t>
            </w:r>
          </w:p>
          <w:p w:rsidRPr="00376FC4" w:rsidR="00376FC4" w:rsidRDefault="00376FC4" w14:paraId="549C2EC3" w14:textId="77777777">
            <w:pPr>
              <w:pStyle w:val="NoSpacing"/>
              <w:spacing w:line="240" w:lineRule="exact"/>
              <w:rPr>
                <w:rFonts w:cs="Times New Roman"/>
                <w:sz w:val="24"/>
                <w:szCs w:val="24"/>
              </w:rPr>
            </w:pPr>
          </w:p>
        </w:tc>
      </w:tr>
      <w:tr w:rsidRPr="00376FC4" w:rsidR="00376FC4" w:rsidTr="00A50CA1" w14:paraId="4904A8EF" w14:textId="77777777">
        <w:trPr>
          <w:trHeight w:val="674"/>
        </w:trPr>
        <w:tc>
          <w:tcPr>
            <w:tcW w:w="3891" w:type="dxa"/>
            <w:tcBorders>
              <w:top w:val="single" w:color="auto" w:sz="4" w:space="0"/>
              <w:left w:val="single" w:color="auto" w:sz="4" w:space="0"/>
              <w:bottom w:val="single" w:color="auto" w:sz="4" w:space="0"/>
              <w:right w:val="single" w:color="auto" w:sz="4" w:space="0"/>
            </w:tcBorders>
            <w:vAlign w:val="center"/>
          </w:tcPr>
          <w:p w:rsidRPr="00376FC4" w:rsidR="00376FC4" w:rsidRDefault="00376FC4" w14:paraId="49FBC6FD" w14:textId="77777777">
            <w:pPr>
              <w:spacing w:line="240" w:lineRule="exact"/>
              <w:rPr>
                <w:rFonts w:cs="Times New Roman"/>
                <w:sz w:val="24"/>
                <w:szCs w:val="24"/>
              </w:rPr>
            </w:pPr>
          </w:p>
          <w:p w:rsidRPr="00376FC4" w:rsidR="00376FC4" w:rsidRDefault="00376FC4" w14:paraId="5B0DC574" w14:textId="6A28884C">
            <w:pPr>
              <w:spacing w:line="240" w:lineRule="exact"/>
              <w:rPr>
                <w:sz w:val="24"/>
                <w:szCs w:val="24"/>
              </w:rPr>
            </w:pPr>
            <w:r w:rsidRPr="00376FC4">
              <w:rPr>
                <w:sz w:val="24"/>
                <w:szCs w:val="24"/>
              </w:rPr>
              <w:t xml:space="preserve">Household questionnaire (see Question Bank provided in Attachment </w:t>
            </w:r>
            <w:r w:rsidR="00BA49F9">
              <w:rPr>
                <w:sz w:val="24"/>
                <w:szCs w:val="24"/>
              </w:rPr>
              <w:t>4</w:t>
            </w:r>
            <w:r w:rsidRPr="00376FC4">
              <w:rPr>
                <w:sz w:val="24"/>
                <w:szCs w:val="24"/>
              </w:rPr>
              <w:t xml:space="preserve"> for suggested questions)</w:t>
            </w:r>
          </w:p>
          <w:p w:rsidRPr="00376FC4" w:rsidR="00376FC4" w:rsidRDefault="00376FC4" w14:paraId="3A5CE269" w14:textId="77777777">
            <w:pPr>
              <w:spacing w:line="240" w:lineRule="exact"/>
              <w:rPr>
                <w:sz w:val="24"/>
                <w:szCs w:val="24"/>
              </w:rPr>
            </w:pPr>
          </w:p>
        </w:tc>
        <w:tc>
          <w:tcPr>
            <w:tcW w:w="5313" w:type="dxa"/>
            <w:tcBorders>
              <w:top w:val="single" w:color="auto" w:sz="4" w:space="0"/>
              <w:left w:val="single" w:color="auto" w:sz="4" w:space="0"/>
              <w:bottom w:val="single" w:color="auto" w:sz="4" w:space="0"/>
              <w:right w:val="single" w:color="auto" w:sz="4" w:space="0"/>
            </w:tcBorders>
            <w:vAlign w:val="center"/>
          </w:tcPr>
          <w:p w:rsidRPr="00376FC4" w:rsidR="00376FC4" w:rsidRDefault="00376FC4" w14:paraId="1866A5DF" w14:textId="77777777">
            <w:pPr>
              <w:pStyle w:val="NoSpacing"/>
              <w:spacing w:line="240" w:lineRule="exact"/>
              <w:ind w:left="198"/>
              <w:contextualSpacing/>
              <w:rPr>
                <w:rFonts w:cs="Times New Roman"/>
                <w:sz w:val="24"/>
                <w:szCs w:val="24"/>
              </w:rPr>
            </w:pPr>
          </w:p>
          <w:p w:rsidRPr="00376FC4" w:rsidR="00376FC4" w:rsidP="009E2A28" w:rsidRDefault="00376FC4" w14:paraId="34F619AE" w14:textId="77777777">
            <w:pPr>
              <w:pStyle w:val="NoSpacing"/>
              <w:numPr>
                <w:ilvl w:val="0"/>
                <w:numId w:val="38"/>
              </w:numPr>
              <w:spacing w:line="240" w:lineRule="exact"/>
              <w:ind w:left="198" w:hanging="180"/>
              <w:contextualSpacing/>
              <w:rPr>
                <w:rFonts w:cs="Times New Roman"/>
                <w:sz w:val="24"/>
                <w:szCs w:val="24"/>
              </w:rPr>
            </w:pPr>
            <w:r w:rsidRPr="00376FC4">
              <w:rPr>
                <w:rFonts w:cs="Times New Roman"/>
                <w:sz w:val="24"/>
                <w:szCs w:val="24"/>
              </w:rPr>
              <w:t>Indoor home heating fuel</w:t>
            </w:r>
          </w:p>
          <w:p w:rsidRPr="00376FC4" w:rsidR="00376FC4" w:rsidP="009E2A28" w:rsidRDefault="00376FC4" w14:paraId="6043EE7E" w14:textId="77777777">
            <w:pPr>
              <w:pStyle w:val="NoSpacing"/>
              <w:numPr>
                <w:ilvl w:val="0"/>
                <w:numId w:val="38"/>
              </w:numPr>
              <w:spacing w:line="240" w:lineRule="exact"/>
              <w:ind w:left="198" w:hanging="180"/>
              <w:contextualSpacing/>
              <w:rPr>
                <w:rFonts w:cs="Times New Roman"/>
                <w:sz w:val="24"/>
                <w:szCs w:val="24"/>
              </w:rPr>
            </w:pPr>
            <w:r w:rsidRPr="00376FC4">
              <w:rPr>
                <w:rFonts w:cs="Times New Roman"/>
                <w:sz w:val="24"/>
                <w:szCs w:val="24"/>
              </w:rPr>
              <w:t>Water source, and household filtration system</w:t>
            </w:r>
          </w:p>
          <w:p w:rsidRPr="00376FC4" w:rsidR="00376FC4" w:rsidP="009E2A28" w:rsidRDefault="00376FC4" w14:paraId="29214026" w14:textId="77777777">
            <w:pPr>
              <w:pStyle w:val="NoSpacing"/>
              <w:numPr>
                <w:ilvl w:val="0"/>
                <w:numId w:val="38"/>
              </w:numPr>
              <w:spacing w:line="240" w:lineRule="exact"/>
              <w:ind w:left="198" w:hanging="180"/>
              <w:contextualSpacing/>
              <w:rPr>
                <w:rFonts w:cs="Times New Roman"/>
                <w:sz w:val="24"/>
                <w:szCs w:val="24"/>
              </w:rPr>
            </w:pPr>
            <w:r w:rsidRPr="00376FC4">
              <w:rPr>
                <w:rFonts w:cs="Times New Roman"/>
                <w:sz w:val="24"/>
                <w:szCs w:val="24"/>
              </w:rPr>
              <w:t>VOC storage</w:t>
            </w:r>
          </w:p>
          <w:p w:rsidRPr="00376FC4" w:rsidR="00376FC4" w:rsidRDefault="00376FC4" w14:paraId="7BA6CC9D" w14:textId="77777777">
            <w:pPr>
              <w:pStyle w:val="NoSpacing"/>
              <w:spacing w:line="240" w:lineRule="exact"/>
              <w:ind w:left="198"/>
              <w:contextualSpacing/>
              <w:rPr>
                <w:rFonts w:cs="Times New Roman"/>
                <w:sz w:val="24"/>
                <w:szCs w:val="24"/>
              </w:rPr>
            </w:pPr>
          </w:p>
        </w:tc>
      </w:tr>
      <w:tr w:rsidRPr="00376FC4" w:rsidR="00376FC4" w:rsidTr="00A50CA1" w14:paraId="53FA94BC" w14:textId="77777777">
        <w:trPr>
          <w:trHeight w:val="674"/>
        </w:trPr>
        <w:tc>
          <w:tcPr>
            <w:tcW w:w="3891" w:type="dxa"/>
            <w:tcBorders>
              <w:top w:val="single" w:color="auto" w:sz="4" w:space="0"/>
              <w:left w:val="single" w:color="auto" w:sz="4" w:space="0"/>
              <w:bottom w:val="single" w:color="auto" w:sz="4" w:space="0"/>
              <w:right w:val="single" w:color="auto" w:sz="4" w:space="0"/>
            </w:tcBorders>
            <w:vAlign w:val="center"/>
            <w:hideMark/>
          </w:tcPr>
          <w:p w:rsidRPr="00376FC4" w:rsidR="00376FC4" w:rsidRDefault="00376FC4" w14:paraId="52D1A314" w14:textId="77777777">
            <w:pPr>
              <w:spacing w:line="240" w:lineRule="exact"/>
              <w:rPr>
                <w:rFonts w:cs="Times New Roman"/>
                <w:sz w:val="24"/>
                <w:szCs w:val="24"/>
              </w:rPr>
            </w:pPr>
            <w:r w:rsidRPr="00376FC4">
              <w:rPr>
                <w:sz w:val="24"/>
                <w:szCs w:val="24"/>
              </w:rPr>
              <w:t>Visual inventory of home by Field Interviewer</w:t>
            </w:r>
          </w:p>
        </w:tc>
        <w:tc>
          <w:tcPr>
            <w:tcW w:w="5313" w:type="dxa"/>
            <w:tcBorders>
              <w:top w:val="single" w:color="auto" w:sz="4" w:space="0"/>
              <w:left w:val="single" w:color="auto" w:sz="4" w:space="0"/>
              <w:bottom w:val="single" w:color="auto" w:sz="4" w:space="0"/>
              <w:right w:val="single" w:color="auto" w:sz="4" w:space="0"/>
            </w:tcBorders>
            <w:vAlign w:val="center"/>
          </w:tcPr>
          <w:p w:rsidRPr="00376FC4" w:rsidR="00376FC4" w:rsidRDefault="00376FC4" w14:paraId="4F6A1054" w14:textId="77777777">
            <w:pPr>
              <w:pStyle w:val="NoSpacing"/>
              <w:spacing w:line="240" w:lineRule="exact"/>
              <w:ind w:left="198"/>
              <w:contextualSpacing/>
              <w:rPr>
                <w:rFonts w:cs="Times New Roman"/>
                <w:sz w:val="24"/>
                <w:szCs w:val="24"/>
              </w:rPr>
            </w:pPr>
          </w:p>
          <w:p w:rsidRPr="00376FC4" w:rsidR="00376FC4" w:rsidP="009E2A28" w:rsidRDefault="00376FC4" w14:paraId="33014D18" w14:textId="77777777">
            <w:pPr>
              <w:pStyle w:val="NoSpacing"/>
              <w:numPr>
                <w:ilvl w:val="0"/>
                <w:numId w:val="38"/>
              </w:numPr>
              <w:spacing w:line="240" w:lineRule="exact"/>
              <w:ind w:left="198" w:hanging="180"/>
              <w:contextualSpacing/>
              <w:rPr>
                <w:rFonts w:cs="Times New Roman"/>
                <w:sz w:val="24"/>
                <w:szCs w:val="24"/>
              </w:rPr>
            </w:pPr>
            <w:r w:rsidRPr="00376FC4">
              <w:rPr>
                <w:rFonts w:cs="Times New Roman"/>
                <w:sz w:val="24"/>
                <w:szCs w:val="24"/>
              </w:rPr>
              <w:t>Layout of home in relation to environmental surroundings (e.g., proximity to a water sources, location of private well or septic systems)</w:t>
            </w:r>
          </w:p>
          <w:p w:rsidRPr="00376FC4" w:rsidR="00376FC4" w:rsidRDefault="00376FC4" w14:paraId="53F75EBF" w14:textId="77777777">
            <w:pPr>
              <w:pStyle w:val="NoSpacing"/>
              <w:spacing w:line="240" w:lineRule="exact"/>
              <w:ind w:left="198"/>
              <w:contextualSpacing/>
              <w:rPr>
                <w:rFonts w:cs="Times New Roman"/>
                <w:sz w:val="24"/>
                <w:szCs w:val="24"/>
              </w:rPr>
            </w:pPr>
          </w:p>
        </w:tc>
      </w:tr>
      <w:tr w:rsidRPr="00376FC4" w:rsidR="00376FC4" w:rsidTr="00A50CA1" w14:paraId="46AA7C68" w14:textId="77777777">
        <w:trPr>
          <w:trHeight w:val="674"/>
        </w:trPr>
        <w:tc>
          <w:tcPr>
            <w:tcW w:w="3891" w:type="dxa"/>
            <w:tcBorders>
              <w:top w:val="single" w:color="auto" w:sz="4" w:space="0"/>
              <w:left w:val="single" w:color="auto" w:sz="4" w:space="0"/>
              <w:bottom w:val="single" w:color="auto" w:sz="4" w:space="0"/>
              <w:right w:val="single" w:color="auto" w:sz="4" w:space="0"/>
            </w:tcBorders>
            <w:vAlign w:val="center"/>
            <w:hideMark/>
          </w:tcPr>
          <w:p w:rsidRPr="00376FC4" w:rsidR="00376FC4" w:rsidRDefault="00376FC4" w14:paraId="4F28D7D9" w14:textId="77777777">
            <w:pPr>
              <w:rPr>
                <w:rFonts w:cs="Times New Roman"/>
                <w:sz w:val="24"/>
                <w:szCs w:val="24"/>
              </w:rPr>
            </w:pPr>
            <w:r w:rsidRPr="00376FC4">
              <w:rPr>
                <w:sz w:val="24"/>
                <w:szCs w:val="24"/>
              </w:rPr>
              <w:t>Biological sampling of participant by appropriate health professional</w:t>
            </w:r>
          </w:p>
        </w:tc>
        <w:tc>
          <w:tcPr>
            <w:tcW w:w="5313" w:type="dxa"/>
            <w:tcBorders>
              <w:top w:val="single" w:color="auto" w:sz="4" w:space="0"/>
              <w:left w:val="single" w:color="auto" w:sz="4" w:space="0"/>
              <w:bottom w:val="single" w:color="auto" w:sz="4" w:space="0"/>
              <w:right w:val="single" w:color="auto" w:sz="4" w:space="0"/>
            </w:tcBorders>
            <w:vAlign w:val="center"/>
          </w:tcPr>
          <w:p w:rsidRPr="00376FC4" w:rsidR="00376FC4" w:rsidRDefault="00376FC4" w14:paraId="6CED7AB8" w14:textId="77777777">
            <w:pPr>
              <w:pStyle w:val="NoSpacing"/>
              <w:spacing w:line="240" w:lineRule="exact"/>
              <w:ind w:left="198"/>
              <w:contextualSpacing/>
              <w:rPr>
                <w:rFonts w:cs="Times New Roman"/>
                <w:sz w:val="24"/>
                <w:szCs w:val="24"/>
              </w:rPr>
            </w:pPr>
          </w:p>
          <w:p w:rsidRPr="00376FC4" w:rsidR="00376FC4" w:rsidP="009E2A28" w:rsidRDefault="00376FC4" w14:paraId="6D89CB58" w14:textId="77777777">
            <w:pPr>
              <w:pStyle w:val="NoSpacing"/>
              <w:numPr>
                <w:ilvl w:val="0"/>
                <w:numId w:val="39"/>
              </w:numPr>
              <w:spacing w:line="240" w:lineRule="exact"/>
              <w:ind w:left="198" w:hanging="180"/>
              <w:contextualSpacing/>
              <w:rPr>
                <w:rFonts w:cs="Times New Roman"/>
                <w:sz w:val="24"/>
                <w:szCs w:val="24"/>
              </w:rPr>
            </w:pPr>
            <w:r w:rsidRPr="00376FC4">
              <w:rPr>
                <w:rFonts w:cs="Times New Roman"/>
                <w:sz w:val="24"/>
                <w:szCs w:val="24"/>
              </w:rPr>
              <w:t>Height and weight</w:t>
            </w:r>
          </w:p>
          <w:p w:rsidRPr="00376FC4" w:rsidR="00376FC4" w:rsidP="009E2A28" w:rsidRDefault="00376FC4" w14:paraId="5A4ADB64" w14:textId="77777777">
            <w:pPr>
              <w:pStyle w:val="NoSpacing"/>
              <w:numPr>
                <w:ilvl w:val="0"/>
                <w:numId w:val="40"/>
              </w:numPr>
              <w:spacing w:line="240" w:lineRule="exact"/>
              <w:ind w:left="198" w:hanging="180"/>
              <w:contextualSpacing/>
              <w:rPr>
                <w:rFonts w:cs="Times New Roman"/>
                <w:sz w:val="24"/>
                <w:szCs w:val="24"/>
              </w:rPr>
            </w:pPr>
            <w:r w:rsidRPr="00376FC4">
              <w:rPr>
                <w:rFonts w:cs="Times New Roman"/>
                <w:sz w:val="24"/>
                <w:szCs w:val="24"/>
              </w:rPr>
              <w:t>Urine sample collected for biological indicators or specific environmental contaminants</w:t>
            </w:r>
          </w:p>
          <w:p w:rsidRPr="00376FC4" w:rsidR="00376FC4" w:rsidP="009E2A28" w:rsidRDefault="00376FC4" w14:paraId="04CF5EE1" w14:textId="77777777">
            <w:pPr>
              <w:numPr>
                <w:ilvl w:val="0"/>
                <w:numId w:val="35"/>
              </w:numPr>
              <w:ind w:left="136" w:hanging="136"/>
              <w:rPr>
                <w:rFonts w:cs="Times New Roman"/>
                <w:sz w:val="24"/>
                <w:szCs w:val="24"/>
              </w:rPr>
            </w:pPr>
            <w:r w:rsidRPr="00376FC4">
              <w:rPr>
                <w:sz w:val="24"/>
                <w:szCs w:val="24"/>
              </w:rPr>
              <w:lastRenderedPageBreak/>
              <w:t xml:space="preserve"> Blood specimen collected for biological indicators or</w:t>
            </w:r>
          </w:p>
          <w:p w:rsidRPr="00376FC4" w:rsidR="00376FC4" w:rsidRDefault="00376FC4" w14:paraId="22777F29" w14:textId="77777777">
            <w:pPr>
              <w:ind w:left="162" w:hanging="26"/>
              <w:rPr>
                <w:sz w:val="24"/>
                <w:szCs w:val="24"/>
              </w:rPr>
            </w:pPr>
            <w:r w:rsidRPr="00376FC4">
              <w:rPr>
                <w:sz w:val="24"/>
                <w:szCs w:val="24"/>
              </w:rPr>
              <w:t>specific environmental contaminants</w:t>
            </w:r>
          </w:p>
          <w:p w:rsidRPr="00376FC4" w:rsidR="00376FC4" w:rsidRDefault="00376FC4" w14:paraId="5D55FBD2" w14:textId="77777777">
            <w:pPr>
              <w:ind w:left="136"/>
              <w:rPr>
                <w:sz w:val="24"/>
                <w:szCs w:val="24"/>
              </w:rPr>
            </w:pPr>
          </w:p>
        </w:tc>
      </w:tr>
    </w:tbl>
    <w:p w:rsidRPr="00376FC4" w:rsidR="00376FC4" w:rsidP="00376FC4" w:rsidRDefault="00376FC4" w14:paraId="16870165" w14:textId="77777777">
      <w:pPr>
        <w:tabs>
          <w:tab w:val="left" w:pos="1545"/>
        </w:tabs>
        <w:rPr>
          <w:rFonts w:cs="Times New Roman"/>
          <w:sz w:val="24"/>
          <w:szCs w:val="24"/>
        </w:rPr>
      </w:pPr>
    </w:p>
    <w:p w:rsidRPr="00C65659" w:rsidR="00913A3A" w:rsidP="00C65659" w:rsidRDefault="00913A3A" w14:paraId="171C0734" w14:textId="6482717E">
      <w:pPr>
        <w:widowControl w:val="0"/>
        <w:tabs>
          <w:tab w:val="left" w:pos="1545"/>
        </w:tabs>
        <w:autoSpaceDE w:val="0"/>
        <w:autoSpaceDN w:val="0"/>
        <w:adjustRightInd w:val="0"/>
        <w:ind w:right="86" w:firstLine="720"/>
        <w:rPr>
          <w:rFonts w:cstheme="minorHAnsi"/>
          <w:bCs/>
          <w:sz w:val="24"/>
          <w:szCs w:val="24"/>
        </w:rPr>
      </w:pPr>
    </w:p>
    <w:p w:rsidR="00C13959" w:rsidP="004976CC" w:rsidRDefault="00601F1A" w14:paraId="4D31D5B3" w14:textId="77777777">
      <w:pPr>
        <w:pStyle w:val="Heading1"/>
        <w:pBdr>
          <w:bottom w:val="none" w:color="auto" w:sz="0" w:space="0"/>
        </w:pBdr>
        <w:rPr>
          <w:color w:val="auto"/>
        </w:rPr>
      </w:pPr>
      <w:bookmarkStart w:name="_Toc433960190" w:id="5"/>
      <w:r w:rsidRPr="00D20211">
        <w:rPr>
          <w:color w:val="auto"/>
        </w:rPr>
        <w:t>A.</w:t>
      </w:r>
      <w:r w:rsidRPr="00D20211" w:rsidR="004D21C9">
        <w:rPr>
          <w:color w:val="auto"/>
        </w:rPr>
        <w:t xml:space="preserve">3.  </w:t>
      </w:r>
      <w:r w:rsidRPr="00D20211" w:rsidR="00B45002">
        <w:rPr>
          <w:color w:val="auto"/>
        </w:rPr>
        <w:t>Use of Improved Information Technology and Burden Reduction</w:t>
      </w:r>
      <w:bookmarkEnd w:id="5"/>
    </w:p>
    <w:p w:rsidRPr="00376FC4" w:rsidR="00376FC4" w:rsidP="00376FC4" w:rsidRDefault="00376FC4" w14:paraId="0BE00C12" w14:textId="77777777"/>
    <w:p w:rsidRPr="00376FC4" w:rsidR="00376FC4" w:rsidP="006521F7" w:rsidRDefault="00376FC4" w14:paraId="2D3BD26D" w14:textId="77777777">
      <w:pPr>
        <w:tabs>
          <w:tab w:val="left" w:pos="1545"/>
        </w:tabs>
        <w:rPr>
          <w:sz w:val="24"/>
          <w:szCs w:val="24"/>
        </w:rPr>
      </w:pPr>
      <w:r w:rsidRPr="00376FC4">
        <w:rPr>
          <w:sz w:val="24"/>
          <w:szCs w:val="24"/>
        </w:rPr>
        <w:t>Generally, ATSDR interviews people in their homes either in-person or over the phone. Where practical, we will record the results of the interview electronically as we are interviewing the participants.  The use of electronic data collection as compared to paper collection has steadily increased with time.  Any data on laptops will be encrypted in accordance with information systems security requirements for safeguarding personally identifiable information.  That information is stored in a secure database along with the laboratory and/or modeling results.</w:t>
      </w:r>
    </w:p>
    <w:p w:rsidRPr="00376FC4" w:rsidR="00376FC4" w:rsidP="006521F7" w:rsidRDefault="00376FC4" w14:paraId="6B0468CD" w14:textId="77777777">
      <w:pPr>
        <w:tabs>
          <w:tab w:val="left" w:pos="1545"/>
        </w:tabs>
        <w:rPr>
          <w:sz w:val="24"/>
          <w:szCs w:val="24"/>
        </w:rPr>
      </w:pPr>
      <w:r w:rsidRPr="00376FC4">
        <w:rPr>
          <w:sz w:val="24"/>
          <w:szCs w:val="24"/>
        </w:rPr>
        <w:t xml:space="preserve">Several procedures may be used to sign up participants for the EI, such as newsletters or recruitment posters. Usually, the participants are targeted for inclusion in the </w:t>
      </w:r>
      <w:proofErr w:type="gramStart"/>
      <w:r w:rsidRPr="00376FC4">
        <w:rPr>
          <w:sz w:val="24"/>
          <w:szCs w:val="24"/>
        </w:rPr>
        <w:t>EI</w:t>
      </w:r>
      <w:proofErr w:type="gramEnd"/>
      <w:r w:rsidRPr="00376FC4">
        <w:rPr>
          <w:sz w:val="24"/>
          <w:szCs w:val="24"/>
        </w:rPr>
        <w:t xml:space="preserve"> and initial contact is made with potential participants through mail or phone.</w:t>
      </w:r>
    </w:p>
    <w:p w:rsidRPr="00D20211" w:rsidR="00B45002" w:rsidP="004D7237" w:rsidRDefault="00601F1A" w14:paraId="537FC215" w14:textId="77777777">
      <w:pPr>
        <w:pStyle w:val="Heading1"/>
        <w:pBdr>
          <w:bottom w:val="none" w:color="auto" w:sz="0" w:space="0"/>
        </w:pBdr>
        <w:rPr>
          <w:color w:val="auto"/>
        </w:rPr>
      </w:pPr>
      <w:bookmarkStart w:name="_Toc433960191" w:id="6"/>
      <w:r w:rsidRPr="00D20211">
        <w:rPr>
          <w:color w:val="auto"/>
        </w:rPr>
        <w:t>A.</w:t>
      </w:r>
      <w:r w:rsidRPr="00D20211" w:rsidR="004D21C9">
        <w:rPr>
          <w:color w:val="auto"/>
        </w:rPr>
        <w:t xml:space="preserve">4.  </w:t>
      </w:r>
      <w:r w:rsidRPr="00D20211" w:rsidR="00B45002">
        <w:rPr>
          <w:color w:val="auto"/>
        </w:rPr>
        <w:t>Efforts to Identify Duplication and Use of Similar Information</w:t>
      </w:r>
      <w:bookmarkEnd w:id="6"/>
    </w:p>
    <w:p w:rsidRPr="009E2A28" w:rsidR="004D7237" w:rsidP="009E2A28" w:rsidRDefault="004D7237" w14:paraId="67458DC5" w14:textId="77777777">
      <w:pPr>
        <w:ind w:left="360"/>
        <w:rPr>
          <w:sz w:val="24"/>
          <w:szCs w:val="24"/>
        </w:rPr>
      </w:pPr>
    </w:p>
    <w:p w:rsidRPr="009E2A28" w:rsidR="009E2A28" w:rsidP="006521F7" w:rsidRDefault="009E2A28" w14:paraId="725CBF37" w14:textId="287F7D94">
      <w:pPr>
        <w:tabs>
          <w:tab w:val="left" w:pos="1545"/>
        </w:tabs>
        <w:rPr>
          <w:sz w:val="24"/>
          <w:szCs w:val="24"/>
        </w:rPr>
      </w:pPr>
      <w:r w:rsidRPr="009E2A28">
        <w:rPr>
          <w:sz w:val="24"/>
          <w:szCs w:val="24"/>
        </w:rPr>
        <w:t xml:space="preserve">ATSDR determined through literature and internet searches, discussions with other public health and environmental professionals, and attendance at meetings that other agencies are asking or have asked similar questions. </w:t>
      </w:r>
      <w:r w:rsidRPr="009E2A28">
        <w:rPr>
          <w:i/>
          <w:sz w:val="24"/>
          <w:szCs w:val="24"/>
        </w:rPr>
        <w:t xml:space="preserve">However, their questions and resulting data are being used for population-based research and modeling, policy setting, or behavioral change through education. </w:t>
      </w:r>
      <w:r w:rsidRPr="009E2A28">
        <w:rPr>
          <w:sz w:val="24"/>
          <w:szCs w:val="24"/>
        </w:rPr>
        <w:t xml:space="preserve">Since our information collection is </w:t>
      </w:r>
      <w:r w:rsidRPr="009E2A28">
        <w:rPr>
          <w:i/>
          <w:sz w:val="24"/>
          <w:szCs w:val="24"/>
        </w:rPr>
        <w:t>inherently person- or location-specific,</w:t>
      </w:r>
      <w:r w:rsidRPr="009E2A28">
        <w:rPr>
          <w:sz w:val="24"/>
          <w:szCs w:val="24"/>
        </w:rPr>
        <w:t xml:space="preserve"> we cannot use the results of national probability surveys to inform our site-specific work</w:t>
      </w:r>
      <w:r w:rsidRPr="00A50CA1">
        <w:rPr>
          <w:sz w:val="24"/>
          <w:szCs w:val="24"/>
        </w:rPr>
        <w:t xml:space="preserve">. Again, the intent of the EI is </w:t>
      </w:r>
      <w:r w:rsidRPr="00A50CA1">
        <w:rPr>
          <w:sz w:val="24"/>
          <w:szCs w:val="24"/>
          <w:u w:val="single"/>
        </w:rPr>
        <w:t>not</w:t>
      </w:r>
      <w:r w:rsidRPr="00A50CA1">
        <w:rPr>
          <w:sz w:val="24"/>
          <w:szCs w:val="24"/>
        </w:rPr>
        <w:t xml:space="preserve"> to generalize information to represent population-based data</w:t>
      </w:r>
      <w:r w:rsidRPr="00A50CA1" w:rsidR="002A3E2D">
        <w:rPr>
          <w:sz w:val="24"/>
          <w:szCs w:val="24"/>
        </w:rPr>
        <w:t xml:space="preserve"> or to draw conclusions about the health or medical effects of the exposures documents</w:t>
      </w:r>
      <w:r w:rsidRPr="00A50CA1">
        <w:rPr>
          <w:sz w:val="24"/>
          <w:szCs w:val="24"/>
        </w:rPr>
        <w:t xml:space="preserve">, but to match the unique answers given by participants with their laboratory results or environmental samples to determine whether </w:t>
      </w:r>
      <w:r w:rsidRPr="00A50CA1" w:rsidR="002A3E2D">
        <w:rPr>
          <w:sz w:val="24"/>
          <w:szCs w:val="24"/>
        </w:rPr>
        <w:t xml:space="preserve">community </w:t>
      </w:r>
      <w:r w:rsidRPr="00A50CA1">
        <w:rPr>
          <w:sz w:val="24"/>
          <w:szCs w:val="24"/>
        </w:rPr>
        <w:t>intervention is needed</w:t>
      </w:r>
      <w:r w:rsidRPr="00A50CA1" w:rsidR="002A3E2D">
        <w:rPr>
          <w:sz w:val="24"/>
          <w:szCs w:val="24"/>
        </w:rPr>
        <w:t xml:space="preserve"> to reduce exposures</w:t>
      </w:r>
      <w:r w:rsidRPr="00A50CA1">
        <w:rPr>
          <w:sz w:val="24"/>
          <w:szCs w:val="24"/>
        </w:rPr>
        <w:t>. We have, however, found some of the questions from other federal agencies’ surveys useful to</w:t>
      </w:r>
      <w:r w:rsidRPr="009E2A28">
        <w:rPr>
          <w:sz w:val="24"/>
          <w:szCs w:val="24"/>
        </w:rPr>
        <w:t xml:space="preserve"> identify appropriate chemical exposure questions. We have also used reference values from the </w:t>
      </w:r>
      <w:r w:rsidRPr="009E2A28">
        <w:rPr>
          <w:i/>
          <w:sz w:val="24"/>
          <w:szCs w:val="24"/>
        </w:rPr>
        <w:t xml:space="preserve">Fourth National </w:t>
      </w:r>
      <w:r w:rsidRPr="009E2A28">
        <w:rPr>
          <w:i/>
          <w:sz w:val="24"/>
          <w:szCs w:val="24"/>
        </w:rPr>
        <w:lastRenderedPageBreak/>
        <w:t xml:space="preserve">Report on Human Exposure to Environmental Chemicals </w:t>
      </w:r>
      <w:r w:rsidRPr="009E2A28">
        <w:rPr>
          <w:sz w:val="24"/>
          <w:szCs w:val="24"/>
        </w:rPr>
        <w:t xml:space="preserve">as national comparison values for EI participant results (see </w:t>
      </w:r>
      <w:hyperlink w:history="1" r:id="rId9">
        <w:r w:rsidRPr="009E2A28">
          <w:rPr>
            <w:rStyle w:val="Hyperlink"/>
            <w:sz w:val="24"/>
            <w:szCs w:val="24"/>
          </w:rPr>
          <w:t>http://www.cdc.gov/exposurereport/</w:t>
        </w:r>
      </w:hyperlink>
      <w:r w:rsidRPr="009E2A28">
        <w:rPr>
          <w:sz w:val="24"/>
          <w:szCs w:val="24"/>
        </w:rPr>
        <w:t xml:space="preserve">). </w:t>
      </w:r>
    </w:p>
    <w:p w:rsidRPr="00D20211" w:rsidR="00B45002" w:rsidP="00601F1A" w:rsidRDefault="00601F1A" w14:paraId="28E338B7" w14:textId="77777777">
      <w:pPr>
        <w:pStyle w:val="Heading1"/>
        <w:pBdr>
          <w:bottom w:val="none" w:color="auto" w:sz="0" w:space="0"/>
        </w:pBdr>
        <w:rPr>
          <w:color w:val="auto"/>
        </w:rPr>
      </w:pPr>
      <w:bookmarkStart w:name="_Toc433960192" w:id="7"/>
      <w:r w:rsidRPr="00D20211">
        <w:rPr>
          <w:color w:val="auto"/>
        </w:rPr>
        <w:t>A.</w:t>
      </w:r>
      <w:r w:rsidRPr="00D20211" w:rsidR="004D21C9">
        <w:rPr>
          <w:color w:val="auto"/>
        </w:rPr>
        <w:t xml:space="preserve">5.  </w:t>
      </w:r>
      <w:r w:rsidRPr="00D20211" w:rsidR="00B45002">
        <w:rPr>
          <w:color w:val="auto"/>
        </w:rPr>
        <w:t>Impact on Small Businesses or Other Small Entities</w:t>
      </w:r>
      <w:bookmarkEnd w:id="7"/>
    </w:p>
    <w:p w:rsidR="009A6C91" w:rsidP="009A6C91" w:rsidRDefault="009A6C91" w14:paraId="30038A9D" w14:textId="77777777">
      <w:pPr>
        <w:tabs>
          <w:tab w:val="left" w:pos="1545"/>
        </w:tabs>
      </w:pPr>
    </w:p>
    <w:p w:rsidRPr="009A6C91" w:rsidR="009A6C91" w:rsidP="006521F7" w:rsidRDefault="009A6C91" w14:paraId="12E9837A" w14:textId="77777777">
      <w:pPr>
        <w:tabs>
          <w:tab w:val="left" w:pos="1545"/>
        </w:tabs>
        <w:rPr>
          <w:sz w:val="24"/>
          <w:szCs w:val="24"/>
        </w:rPr>
      </w:pPr>
      <w:r w:rsidRPr="009A6C91">
        <w:rPr>
          <w:sz w:val="24"/>
          <w:szCs w:val="24"/>
        </w:rPr>
        <w:t>Every effort is made to minimize the burden on all participants in EIs. Very few of our EIs (approximately 2 percent) have involved small businesses. On occasion, ATSDR has asked for participation from employees and attendees of daycare facilities and schools. When such an entity will be involved in an EI, ATSDR will identify these in each request for approval under this generic clearance.</w:t>
      </w:r>
    </w:p>
    <w:p w:rsidRPr="00D20211" w:rsidR="00B45002" w:rsidP="00601F1A" w:rsidRDefault="00601F1A" w14:paraId="23659C04" w14:textId="77777777">
      <w:pPr>
        <w:pStyle w:val="Heading1"/>
        <w:pBdr>
          <w:bottom w:val="none" w:color="auto" w:sz="0" w:space="0"/>
        </w:pBdr>
        <w:rPr>
          <w:color w:val="auto"/>
        </w:rPr>
      </w:pPr>
      <w:bookmarkStart w:name="_Toc433960193" w:id="8"/>
      <w:r w:rsidRPr="00D20211">
        <w:rPr>
          <w:color w:val="auto"/>
        </w:rPr>
        <w:t>A.</w:t>
      </w:r>
      <w:r w:rsidRPr="00D20211" w:rsidR="004D21C9">
        <w:rPr>
          <w:color w:val="auto"/>
        </w:rPr>
        <w:t xml:space="preserve">6.  </w:t>
      </w:r>
      <w:r w:rsidRPr="00D20211" w:rsidR="00B45002">
        <w:rPr>
          <w:color w:val="auto"/>
        </w:rPr>
        <w:t>Consequences of Collecting the Information Less Frequently</w:t>
      </w:r>
      <w:bookmarkEnd w:id="8"/>
    </w:p>
    <w:p w:rsidR="009A6C91" w:rsidP="009A6C91" w:rsidRDefault="009A6C91" w14:paraId="0C1EFDE1" w14:textId="77777777">
      <w:pPr>
        <w:tabs>
          <w:tab w:val="left" w:pos="1545"/>
        </w:tabs>
        <w:rPr>
          <w:sz w:val="24"/>
          <w:szCs w:val="24"/>
        </w:rPr>
      </w:pPr>
    </w:p>
    <w:p w:rsidRPr="009A6C91" w:rsidR="009A6C91" w:rsidP="006521F7" w:rsidRDefault="009A6C91" w14:paraId="1BFE4B9A" w14:textId="77777777">
      <w:pPr>
        <w:tabs>
          <w:tab w:val="left" w:pos="1545"/>
        </w:tabs>
        <w:rPr>
          <w:sz w:val="24"/>
          <w:szCs w:val="24"/>
        </w:rPr>
      </w:pPr>
      <w:r w:rsidRPr="009A6C91">
        <w:rPr>
          <w:sz w:val="24"/>
          <w:szCs w:val="24"/>
        </w:rPr>
        <w:t xml:space="preserve">The vast majority of EIs are a one-time sampling or modeling event related to a specific exposure situation. At times, the results of the first sampling event require that we collect additional samples (either environmental or biological). Participants in EIs are generally asked one set of questions per sampling event. If we need to conduct additional sampling (e.g., to assess the effectiveness of an intervention), we </w:t>
      </w:r>
      <w:proofErr w:type="gramStart"/>
      <w:r w:rsidRPr="009A6C91">
        <w:rPr>
          <w:sz w:val="24"/>
          <w:szCs w:val="24"/>
        </w:rPr>
        <w:t>would</w:t>
      </w:r>
      <w:proofErr w:type="gramEnd"/>
      <w:r w:rsidRPr="009A6C91">
        <w:rPr>
          <w:sz w:val="24"/>
          <w:szCs w:val="24"/>
        </w:rPr>
        <w:t xml:space="preserve"> request that the participants answer another set of appropriate questions.</w:t>
      </w:r>
    </w:p>
    <w:p w:rsidRPr="009A6C91" w:rsidR="009A6C91" w:rsidP="006521F7" w:rsidRDefault="009A6C91" w14:paraId="05A70287" w14:textId="17701540">
      <w:pPr>
        <w:tabs>
          <w:tab w:val="left" w:pos="1545"/>
        </w:tabs>
        <w:rPr>
          <w:sz w:val="24"/>
          <w:szCs w:val="24"/>
        </w:rPr>
      </w:pPr>
      <w:r w:rsidRPr="009A6C91">
        <w:rPr>
          <w:sz w:val="24"/>
          <w:szCs w:val="24"/>
        </w:rPr>
        <w:t xml:space="preserve">If ATSDR determines that additional </w:t>
      </w:r>
      <w:r w:rsidR="009A5BFB">
        <w:rPr>
          <w:sz w:val="24"/>
          <w:szCs w:val="24"/>
        </w:rPr>
        <w:t xml:space="preserve">follow-up </w:t>
      </w:r>
      <w:r w:rsidRPr="009A6C91">
        <w:rPr>
          <w:sz w:val="24"/>
          <w:szCs w:val="24"/>
        </w:rPr>
        <w:t xml:space="preserve">investigation is needed, ATSDR would obtain a separate PRA clearance under this </w:t>
      </w:r>
      <w:r w:rsidR="009A5BFB">
        <w:rPr>
          <w:sz w:val="24"/>
          <w:szCs w:val="24"/>
        </w:rPr>
        <w:t xml:space="preserve">generic </w:t>
      </w:r>
      <w:r w:rsidRPr="009A6C91">
        <w:rPr>
          <w:sz w:val="24"/>
          <w:szCs w:val="24"/>
        </w:rPr>
        <w:t>mechanism to conduct that investigation.</w:t>
      </w:r>
    </w:p>
    <w:p w:rsidRPr="009A6C91" w:rsidR="009A6C91" w:rsidP="006521F7" w:rsidRDefault="009A6C91" w14:paraId="7318B5A1" w14:textId="77777777">
      <w:pPr>
        <w:tabs>
          <w:tab w:val="left" w:pos="1545"/>
        </w:tabs>
        <w:rPr>
          <w:sz w:val="24"/>
          <w:szCs w:val="24"/>
        </w:rPr>
      </w:pPr>
      <w:r w:rsidRPr="009A6C91">
        <w:rPr>
          <w:sz w:val="24"/>
          <w:szCs w:val="24"/>
        </w:rPr>
        <w:t>There are no legal obstacles to reduce the burden.</w:t>
      </w:r>
    </w:p>
    <w:p w:rsidRPr="00D20211" w:rsidR="00B45002" w:rsidP="00601F1A" w:rsidRDefault="00601F1A" w14:paraId="15FCD15C" w14:textId="77777777">
      <w:pPr>
        <w:pStyle w:val="Heading1"/>
        <w:pBdr>
          <w:bottom w:val="none" w:color="auto" w:sz="0" w:space="0"/>
        </w:pBdr>
        <w:rPr>
          <w:color w:val="auto"/>
        </w:rPr>
      </w:pPr>
      <w:bookmarkStart w:name="_Toc433960194" w:id="9"/>
      <w:r w:rsidRPr="00D20211">
        <w:rPr>
          <w:color w:val="auto"/>
        </w:rPr>
        <w:t>A.</w:t>
      </w:r>
      <w:r w:rsidRPr="00D20211" w:rsidR="00B45002">
        <w:rPr>
          <w:color w:val="auto"/>
        </w:rPr>
        <w:t>7.</w:t>
      </w:r>
      <w:r w:rsidRPr="00D20211" w:rsidR="004D21C9">
        <w:rPr>
          <w:color w:val="auto"/>
        </w:rPr>
        <w:t xml:space="preserve">  </w:t>
      </w:r>
      <w:r w:rsidRPr="00D20211" w:rsidR="00B45002">
        <w:rPr>
          <w:color w:val="auto"/>
        </w:rPr>
        <w:t>Special Circumstances Relating to the Guidelines of 5 CFR 1320.5</w:t>
      </w:r>
      <w:bookmarkEnd w:id="9"/>
    </w:p>
    <w:p w:rsidRPr="00D20211" w:rsidR="0014151A" w:rsidP="00FB3333" w:rsidRDefault="0014151A" w14:paraId="1EF8713E" w14:textId="77777777">
      <w:pPr>
        <w:autoSpaceDE w:val="0"/>
        <w:autoSpaceDN w:val="0"/>
        <w:adjustRightInd w:val="0"/>
        <w:spacing w:line="240" w:lineRule="auto"/>
        <w:rPr>
          <w:sz w:val="24"/>
          <w:szCs w:val="24"/>
        </w:rPr>
      </w:pPr>
    </w:p>
    <w:p w:rsidRPr="00D20211" w:rsidR="00FB3333" w:rsidP="006521F7" w:rsidRDefault="00FB3333" w14:paraId="3C1D218E" w14:textId="77777777">
      <w:pPr>
        <w:autoSpaceDE w:val="0"/>
        <w:autoSpaceDN w:val="0"/>
        <w:adjustRightInd w:val="0"/>
        <w:spacing w:line="240" w:lineRule="auto"/>
        <w:rPr>
          <w:rFonts w:cs="ITCFranklinGothicStd-Book"/>
          <w:sz w:val="24"/>
          <w:szCs w:val="24"/>
        </w:rPr>
      </w:pPr>
      <w:r w:rsidRPr="00D20211">
        <w:rPr>
          <w:rFonts w:cs="ITCFranklinGothicStd-Book"/>
          <w:sz w:val="24"/>
          <w:szCs w:val="24"/>
        </w:rPr>
        <w:t>This request fully complies with the regulation 5 CFR</w:t>
      </w:r>
      <w:r w:rsidRPr="00D20211" w:rsidR="002605A1">
        <w:rPr>
          <w:rFonts w:cs="ITCFranklinGothicStd-Book"/>
          <w:sz w:val="24"/>
          <w:szCs w:val="24"/>
        </w:rPr>
        <w:t xml:space="preserve"> </w:t>
      </w:r>
      <w:r w:rsidRPr="00D20211">
        <w:rPr>
          <w:rFonts w:cs="ITCFranklinGothicStd-Book"/>
          <w:sz w:val="24"/>
          <w:szCs w:val="24"/>
        </w:rPr>
        <w:t>1320.5.</w:t>
      </w:r>
    </w:p>
    <w:p w:rsidRPr="00D20211" w:rsidR="00B45002" w:rsidP="00601F1A" w:rsidRDefault="00601F1A" w14:paraId="449D09BF" w14:textId="77777777">
      <w:pPr>
        <w:pStyle w:val="Heading1"/>
        <w:pBdr>
          <w:bottom w:val="none" w:color="auto" w:sz="0" w:space="0"/>
        </w:pBdr>
        <w:rPr>
          <w:color w:val="auto"/>
        </w:rPr>
      </w:pPr>
      <w:bookmarkStart w:name="_Toc433960195" w:id="10"/>
      <w:r w:rsidRPr="00D20211">
        <w:rPr>
          <w:color w:val="auto"/>
        </w:rPr>
        <w:t>A.</w:t>
      </w:r>
      <w:r w:rsidRPr="00D20211" w:rsidR="004D21C9">
        <w:rPr>
          <w:color w:val="auto"/>
        </w:rPr>
        <w:t xml:space="preserve">8.  </w:t>
      </w:r>
      <w:r w:rsidRPr="00D20211" w:rsidR="00B45002">
        <w:rPr>
          <w:color w:val="auto"/>
        </w:rPr>
        <w:t>Comments in Response to the Federal Register Notice and Efforts to Consult Outside the Agency</w:t>
      </w:r>
      <w:bookmarkEnd w:id="10"/>
    </w:p>
    <w:p w:rsidRPr="00D20211" w:rsidR="00D62EE3" w:rsidP="00D62EE3" w:rsidRDefault="00D62EE3" w14:paraId="578BB0F6" w14:textId="77777777">
      <w:pPr>
        <w:autoSpaceDE w:val="0"/>
        <w:autoSpaceDN w:val="0"/>
        <w:adjustRightInd w:val="0"/>
        <w:spacing w:after="0" w:line="240" w:lineRule="auto"/>
        <w:rPr>
          <w:rFonts w:cs="ITCFranklinGothicStd-Demi"/>
          <w:sz w:val="24"/>
          <w:szCs w:val="24"/>
        </w:rPr>
      </w:pPr>
    </w:p>
    <w:p w:rsidRPr="00563D35" w:rsidR="003E092D" w:rsidP="006521F7" w:rsidRDefault="008D4FD2" w14:paraId="2510BFA3" w14:textId="16A1D76D">
      <w:pPr>
        <w:pStyle w:val="ListParagraph"/>
        <w:numPr>
          <w:ilvl w:val="0"/>
          <w:numId w:val="6"/>
        </w:numPr>
        <w:autoSpaceDE w:val="0"/>
        <w:autoSpaceDN w:val="0"/>
        <w:adjustRightInd w:val="0"/>
        <w:spacing w:after="0" w:line="240" w:lineRule="auto"/>
        <w:ind w:left="360"/>
        <w:contextualSpacing w:val="0"/>
      </w:pPr>
      <w:r w:rsidRPr="00563D35">
        <w:rPr>
          <w:rFonts w:cs="ITCFranklinGothicStd-Book"/>
          <w:sz w:val="24"/>
          <w:szCs w:val="24"/>
        </w:rPr>
        <w:t>A</w:t>
      </w:r>
      <w:r w:rsidRPr="00563D35" w:rsidR="00D62EE3">
        <w:rPr>
          <w:rFonts w:cs="ITCFranklinGothicStd-Book"/>
          <w:sz w:val="24"/>
          <w:szCs w:val="24"/>
        </w:rPr>
        <w:t xml:space="preserve"> 60-day Federal Register Notice was published in the </w:t>
      </w:r>
      <w:r w:rsidRPr="00563D35" w:rsidR="00D62EE3">
        <w:rPr>
          <w:rFonts w:cs="ITCFranklinGothicStd-BookIt"/>
          <w:i/>
          <w:iCs/>
          <w:sz w:val="24"/>
          <w:szCs w:val="24"/>
        </w:rPr>
        <w:t xml:space="preserve">Federal Register </w:t>
      </w:r>
      <w:r w:rsidR="000E158A">
        <w:rPr>
          <w:rFonts w:cs="ITCFranklinGothicStd-Book"/>
          <w:sz w:val="24"/>
          <w:szCs w:val="24"/>
        </w:rPr>
        <w:t>August 13, 2021</w:t>
      </w:r>
      <w:r w:rsidRPr="00563D35" w:rsidR="00D62EE3">
        <w:rPr>
          <w:rFonts w:cs="ITCFranklinGothicStd-Book"/>
          <w:sz w:val="24"/>
          <w:szCs w:val="24"/>
        </w:rPr>
        <w:t xml:space="preserve"> </w:t>
      </w:r>
      <w:r w:rsidRPr="00563D35" w:rsidR="00A6012F">
        <w:rPr>
          <w:rFonts w:cs="ITCFranklinGothicStd-Book"/>
          <w:sz w:val="24"/>
          <w:szCs w:val="24"/>
        </w:rPr>
        <w:t>(</w:t>
      </w:r>
      <w:r w:rsidRPr="001D657C" w:rsidR="00D62EE3">
        <w:rPr>
          <w:rFonts w:cs="ITCFranklinGothicStd-Book"/>
          <w:b/>
          <w:sz w:val="24"/>
          <w:szCs w:val="24"/>
        </w:rPr>
        <w:t>Att</w:t>
      </w:r>
      <w:r w:rsidRPr="001D657C" w:rsidR="00A6012F">
        <w:rPr>
          <w:rFonts w:cs="ITCFranklinGothicStd-Book"/>
          <w:b/>
          <w:sz w:val="24"/>
          <w:szCs w:val="24"/>
        </w:rPr>
        <w:t>achment 2</w:t>
      </w:r>
      <w:r w:rsidRPr="00563D35" w:rsidR="00D62EE3">
        <w:rPr>
          <w:rFonts w:cs="ITCFranklinGothicStd-Book"/>
          <w:sz w:val="24"/>
          <w:szCs w:val="24"/>
        </w:rPr>
        <w:t xml:space="preserve">). </w:t>
      </w:r>
      <w:r w:rsidRPr="00563D35" w:rsidR="00E00EAC">
        <w:rPr>
          <w:rFonts w:cs="ITCFranklinGothicStd-Book"/>
          <w:sz w:val="24"/>
          <w:szCs w:val="24"/>
        </w:rPr>
        <w:t>CDC/ATSDR</w:t>
      </w:r>
      <w:r w:rsidRPr="00563D35" w:rsidR="00D62EE3">
        <w:rPr>
          <w:rFonts w:cs="ITCFranklinGothicStd-Book"/>
          <w:sz w:val="24"/>
          <w:szCs w:val="24"/>
        </w:rPr>
        <w:t xml:space="preserve"> did not receive public comments related to this notice</w:t>
      </w:r>
      <w:r w:rsidRPr="00563D35" w:rsidR="003E092D">
        <w:t>.</w:t>
      </w:r>
    </w:p>
    <w:p w:rsidRPr="00D20211" w:rsidR="00D62EE3" w:rsidP="006521F7" w:rsidRDefault="00D62EE3" w14:paraId="0E9483C5" w14:textId="77777777">
      <w:pPr>
        <w:autoSpaceDE w:val="0"/>
        <w:autoSpaceDN w:val="0"/>
        <w:adjustRightInd w:val="0"/>
        <w:spacing w:after="0" w:line="240" w:lineRule="auto"/>
        <w:ind w:hanging="360"/>
        <w:rPr>
          <w:rFonts w:cs="ITCFranklinGothicStd-Demi"/>
          <w:sz w:val="24"/>
          <w:szCs w:val="24"/>
        </w:rPr>
      </w:pPr>
    </w:p>
    <w:p w:rsidRPr="009A6C91" w:rsidR="009A6C91" w:rsidP="006521F7" w:rsidRDefault="009A6C91" w14:paraId="728FCED7" w14:textId="77777777">
      <w:pPr>
        <w:pStyle w:val="ListParagraph"/>
        <w:numPr>
          <w:ilvl w:val="0"/>
          <w:numId w:val="6"/>
        </w:numPr>
        <w:tabs>
          <w:tab w:val="left" w:pos="1545"/>
        </w:tabs>
        <w:spacing w:after="0" w:line="240" w:lineRule="auto"/>
        <w:ind w:left="360"/>
        <w:contextualSpacing w:val="0"/>
        <w:rPr>
          <w:sz w:val="24"/>
          <w:szCs w:val="24"/>
        </w:rPr>
      </w:pPr>
      <w:r w:rsidRPr="009A6C91">
        <w:rPr>
          <w:sz w:val="24"/>
          <w:szCs w:val="24"/>
        </w:rPr>
        <w:lastRenderedPageBreak/>
        <w:t xml:space="preserve">Below is a list of individuals and groups outside of the agency who were consulted in 2006, to obtain their views on the availability of data, the clarity of instructions and information, and the completeness of the material. </w:t>
      </w:r>
    </w:p>
    <w:p w:rsidRPr="009A6C91" w:rsidR="009A6C91" w:rsidP="0081498F" w:rsidRDefault="009A6C91" w14:paraId="11FF09BE" w14:textId="77777777">
      <w:pPr>
        <w:tabs>
          <w:tab w:val="left" w:pos="1545"/>
        </w:tabs>
        <w:spacing w:after="0" w:line="240" w:lineRule="auto"/>
        <w:rPr>
          <w:sz w:val="24"/>
          <w:szCs w:val="24"/>
        </w:rPr>
      </w:pPr>
    </w:p>
    <w:p w:rsidRPr="009A6C91" w:rsidR="009A6C91" w:rsidP="006521F7" w:rsidRDefault="009A6C91" w14:paraId="0025666A" w14:textId="77777777">
      <w:pPr>
        <w:pStyle w:val="ListParagraph"/>
        <w:numPr>
          <w:ilvl w:val="0"/>
          <w:numId w:val="46"/>
        </w:numPr>
        <w:tabs>
          <w:tab w:val="left" w:pos="1545"/>
        </w:tabs>
        <w:spacing w:after="0" w:line="240" w:lineRule="auto"/>
        <w:ind w:left="720"/>
        <w:contextualSpacing w:val="0"/>
        <w:rPr>
          <w:sz w:val="24"/>
          <w:szCs w:val="24"/>
        </w:rPr>
      </w:pPr>
      <w:r w:rsidRPr="009A6C91">
        <w:rPr>
          <w:i/>
          <w:sz w:val="24"/>
          <w:szCs w:val="24"/>
        </w:rPr>
        <w:t>Sharon Lee</w:t>
      </w:r>
      <w:r w:rsidRPr="009A6C91">
        <w:rPr>
          <w:sz w:val="24"/>
          <w:szCs w:val="24"/>
        </w:rPr>
        <w:t xml:space="preserve">, Division of Environmental &amp; Occupational Disease Control, </w:t>
      </w:r>
    </w:p>
    <w:p w:rsidRPr="009A6C91" w:rsidR="009A6C91" w:rsidP="006521F7" w:rsidRDefault="009A6C91" w14:paraId="35D6A050" w14:textId="77777777">
      <w:pPr>
        <w:tabs>
          <w:tab w:val="left" w:pos="1545"/>
        </w:tabs>
        <w:spacing w:after="0" w:line="240" w:lineRule="auto"/>
        <w:ind w:left="720"/>
        <w:rPr>
          <w:sz w:val="24"/>
          <w:szCs w:val="24"/>
        </w:rPr>
      </w:pPr>
      <w:r w:rsidRPr="009A6C91">
        <w:rPr>
          <w:sz w:val="24"/>
          <w:szCs w:val="24"/>
        </w:rPr>
        <w:t xml:space="preserve">CA Dept of Health Services </w:t>
      </w:r>
    </w:p>
    <w:p w:rsidR="009A6C91" w:rsidP="006521F7" w:rsidRDefault="009A6C91" w14:paraId="05D0F290" w14:textId="77777777">
      <w:pPr>
        <w:tabs>
          <w:tab w:val="left" w:pos="1545"/>
        </w:tabs>
        <w:spacing w:after="0" w:line="240" w:lineRule="auto"/>
        <w:ind w:left="720"/>
        <w:rPr>
          <w:sz w:val="24"/>
          <w:szCs w:val="24"/>
        </w:rPr>
      </w:pPr>
      <w:r w:rsidRPr="009A6C91">
        <w:rPr>
          <w:sz w:val="24"/>
          <w:szCs w:val="24"/>
        </w:rPr>
        <w:t>&amp; Facilitator of the Interstate Chemical Terrorism Workgroup</w:t>
      </w:r>
    </w:p>
    <w:p w:rsidRPr="009A6C91" w:rsidR="009A6C91" w:rsidP="006521F7" w:rsidRDefault="009A6C91" w14:paraId="3BF6237A" w14:textId="77777777">
      <w:pPr>
        <w:tabs>
          <w:tab w:val="left" w:pos="1545"/>
        </w:tabs>
        <w:spacing w:after="0" w:line="240" w:lineRule="auto"/>
        <w:ind w:left="720"/>
        <w:rPr>
          <w:sz w:val="24"/>
          <w:szCs w:val="24"/>
        </w:rPr>
      </w:pPr>
    </w:p>
    <w:p w:rsidRPr="009A6C91" w:rsidR="009A6C91" w:rsidP="006521F7" w:rsidRDefault="009A6C91" w14:paraId="6CBBDCC1" w14:textId="77777777">
      <w:pPr>
        <w:tabs>
          <w:tab w:val="left" w:pos="1545"/>
        </w:tabs>
        <w:spacing w:after="0" w:line="240" w:lineRule="auto"/>
        <w:ind w:left="720"/>
        <w:rPr>
          <w:color w:val="FF0000"/>
          <w:sz w:val="24"/>
          <w:szCs w:val="24"/>
        </w:rPr>
      </w:pPr>
      <w:r w:rsidRPr="009A6C91">
        <w:rPr>
          <w:sz w:val="24"/>
          <w:szCs w:val="24"/>
        </w:rPr>
        <w:t xml:space="preserve">ATSDR solicited comments through </w:t>
      </w:r>
      <w:r>
        <w:rPr>
          <w:sz w:val="24"/>
          <w:szCs w:val="24"/>
        </w:rPr>
        <w:t>Ms. Lee</w:t>
      </w:r>
      <w:r w:rsidRPr="009A6C91">
        <w:rPr>
          <w:sz w:val="24"/>
          <w:szCs w:val="24"/>
        </w:rPr>
        <w:t xml:space="preserve"> from the Interstate Chemical Terrorism Workgroup and requested information on other surveys. More than 30 state representatives reviewed the chemical exposure questions. ATSDR received oral and written comments from 10 representatives and added questions from other surveys.</w:t>
      </w:r>
    </w:p>
    <w:p w:rsidRPr="009A6C91" w:rsidR="009A6C91" w:rsidP="006521F7" w:rsidRDefault="009A6C91" w14:paraId="7E10C55B" w14:textId="77777777">
      <w:pPr>
        <w:tabs>
          <w:tab w:val="left" w:pos="1545"/>
        </w:tabs>
        <w:spacing w:after="0" w:line="240" w:lineRule="auto"/>
        <w:rPr>
          <w:sz w:val="24"/>
          <w:szCs w:val="24"/>
        </w:rPr>
      </w:pPr>
    </w:p>
    <w:p w:rsidRPr="009A6C91" w:rsidR="009A6C91" w:rsidP="006521F7" w:rsidRDefault="009A6C91" w14:paraId="64702DF7" w14:textId="77777777">
      <w:pPr>
        <w:pStyle w:val="ListParagraph"/>
        <w:numPr>
          <w:ilvl w:val="0"/>
          <w:numId w:val="46"/>
        </w:numPr>
        <w:tabs>
          <w:tab w:val="left" w:pos="1545"/>
        </w:tabs>
        <w:spacing w:after="0" w:line="240" w:lineRule="auto"/>
        <w:ind w:left="720"/>
        <w:contextualSpacing w:val="0"/>
        <w:rPr>
          <w:sz w:val="24"/>
          <w:szCs w:val="24"/>
        </w:rPr>
      </w:pPr>
      <w:r w:rsidRPr="009A6C91">
        <w:rPr>
          <w:i/>
          <w:sz w:val="24"/>
          <w:szCs w:val="24"/>
        </w:rPr>
        <w:t>Laura Fenster</w:t>
      </w:r>
      <w:r w:rsidRPr="009A6C91">
        <w:rPr>
          <w:sz w:val="24"/>
          <w:szCs w:val="24"/>
        </w:rPr>
        <w:t>, PhD., Epidemiologist</w:t>
      </w:r>
    </w:p>
    <w:p w:rsidRPr="009A6C91" w:rsidR="009A6C91" w:rsidP="006521F7" w:rsidRDefault="009A6C91" w14:paraId="3EA04AF3" w14:textId="77777777">
      <w:pPr>
        <w:tabs>
          <w:tab w:val="left" w:pos="1545"/>
        </w:tabs>
        <w:spacing w:after="0" w:line="240" w:lineRule="auto"/>
        <w:ind w:left="720"/>
        <w:rPr>
          <w:sz w:val="24"/>
          <w:szCs w:val="24"/>
        </w:rPr>
      </w:pPr>
      <w:r w:rsidRPr="009A6C91">
        <w:rPr>
          <w:sz w:val="24"/>
          <w:szCs w:val="24"/>
        </w:rPr>
        <w:t>Occupational Health Branch</w:t>
      </w:r>
    </w:p>
    <w:p w:rsidR="009A6C91" w:rsidP="006521F7" w:rsidRDefault="009A6C91" w14:paraId="26682D89" w14:textId="77777777">
      <w:pPr>
        <w:tabs>
          <w:tab w:val="left" w:pos="1545"/>
        </w:tabs>
        <w:spacing w:after="0" w:line="240" w:lineRule="auto"/>
        <w:ind w:left="720"/>
        <w:rPr>
          <w:sz w:val="24"/>
          <w:szCs w:val="24"/>
        </w:rPr>
      </w:pPr>
      <w:r w:rsidRPr="009A6C91">
        <w:rPr>
          <w:sz w:val="24"/>
          <w:szCs w:val="24"/>
        </w:rPr>
        <w:t>CA Dept of Health Services</w:t>
      </w:r>
    </w:p>
    <w:p w:rsidRPr="009A6C91" w:rsidR="009A6C91" w:rsidP="006521F7" w:rsidRDefault="009A6C91" w14:paraId="05A7B1C5" w14:textId="77777777">
      <w:pPr>
        <w:tabs>
          <w:tab w:val="left" w:pos="1545"/>
        </w:tabs>
        <w:spacing w:after="0" w:line="240" w:lineRule="auto"/>
        <w:ind w:left="720"/>
        <w:rPr>
          <w:sz w:val="24"/>
          <w:szCs w:val="24"/>
        </w:rPr>
      </w:pPr>
    </w:p>
    <w:p w:rsidRPr="009A6C91" w:rsidR="009A6C91" w:rsidP="006521F7" w:rsidRDefault="009A6C91" w14:paraId="0D5B939C" w14:textId="77777777">
      <w:pPr>
        <w:tabs>
          <w:tab w:val="left" w:pos="1545"/>
        </w:tabs>
        <w:spacing w:after="0" w:line="240" w:lineRule="auto"/>
        <w:ind w:left="720"/>
        <w:rPr>
          <w:sz w:val="24"/>
          <w:szCs w:val="24"/>
        </w:rPr>
      </w:pPr>
      <w:r>
        <w:rPr>
          <w:sz w:val="24"/>
          <w:szCs w:val="24"/>
        </w:rPr>
        <w:t xml:space="preserve">Dr. Fenster </w:t>
      </w:r>
      <w:r w:rsidRPr="009A6C91">
        <w:rPr>
          <w:sz w:val="24"/>
          <w:szCs w:val="24"/>
        </w:rPr>
        <w:t>reviewed the chemical exposure questions and provided comments. She also provided information on other surveys and ATSDR incorporated some of the questions into the chemical exposure questions.</w:t>
      </w:r>
    </w:p>
    <w:p w:rsidRPr="009A6C91" w:rsidR="009A6C91" w:rsidP="006521F7" w:rsidRDefault="009A6C91" w14:paraId="0D3A6E43" w14:textId="77777777">
      <w:pPr>
        <w:tabs>
          <w:tab w:val="left" w:pos="1545"/>
        </w:tabs>
        <w:spacing w:after="0" w:line="240" w:lineRule="auto"/>
        <w:rPr>
          <w:sz w:val="24"/>
          <w:szCs w:val="24"/>
        </w:rPr>
      </w:pPr>
    </w:p>
    <w:p w:rsidRPr="009A6C91" w:rsidR="009A6C91" w:rsidP="006521F7" w:rsidRDefault="009A6C91" w14:paraId="15A4C8B9" w14:textId="77777777">
      <w:pPr>
        <w:pStyle w:val="ListParagraph"/>
        <w:numPr>
          <w:ilvl w:val="0"/>
          <w:numId w:val="46"/>
        </w:numPr>
        <w:tabs>
          <w:tab w:val="left" w:pos="1545"/>
        </w:tabs>
        <w:spacing w:after="0" w:line="240" w:lineRule="auto"/>
        <w:ind w:left="720"/>
        <w:contextualSpacing w:val="0"/>
        <w:rPr>
          <w:i/>
          <w:sz w:val="24"/>
          <w:szCs w:val="24"/>
        </w:rPr>
      </w:pPr>
      <w:r w:rsidRPr="009A6C91">
        <w:rPr>
          <w:i/>
          <w:sz w:val="24"/>
          <w:szCs w:val="24"/>
        </w:rPr>
        <w:t>Bruce Bernard, M.D., M.P.H.</w:t>
      </w:r>
    </w:p>
    <w:p w:rsidRPr="009A6C91" w:rsidR="009A6C91" w:rsidP="006521F7" w:rsidRDefault="009A6C91" w14:paraId="6DB52683" w14:textId="77777777">
      <w:pPr>
        <w:tabs>
          <w:tab w:val="left" w:pos="1545"/>
        </w:tabs>
        <w:spacing w:after="0" w:line="240" w:lineRule="auto"/>
        <w:ind w:left="720"/>
        <w:rPr>
          <w:sz w:val="24"/>
          <w:szCs w:val="24"/>
        </w:rPr>
      </w:pPr>
      <w:r w:rsidRPr="009A6C91">
        <w:rPr>
          <w:sz w:val="24"/>
          <w:szCs w:val="24"/>
        </w:rPr>
        <w:t>Medical Section Chief</w:t>
      </w:r>
    </w:p>
    <w:p w:rsidRPr="009A6C91" w:rsidR="009A6C91" w:rsidP="006521F7" w:rsidRDefault="009A6C91" w14:paraId="59937077" w14:textId="77777777">
      <w:pPr>
        <w:tabs>
          <w:tab w:val="left" w:pos="1545"/>
        </w:tabs>
        <w:spacing w:after="0" w:line="240" w:lineRule="auto"/>
        <w:ind w:left="720"/>
        <w:rPr>
          <w:sz w:val="24"/>
          <w:szCs w:val="24"/>
        </w:rPr>
      </w:pPr>
      <w:r w:rsidRPr="009A6C91">
        <w:rPr>
          <w:sz w:val="24"/>
          <w:szCs w:val="24"/>
        </w:rPr>
        <w:t>Hazard Evaluations and Technical Assistance Branch</w:t>
      </w:r>
    </w:p>
    <w:p w:rsidRPr="009A6C91" w:rsidR="009A6C91" w:rsidP="006521F7" w:rsidRDefault="009A6C91" w14:paraId="084E6F42" w14:textId="77777777">
      <w:pPr>
        <w:tabs>
          <w:tab w:val="left" w:pos="1545"/>
        </w:tabs>
        <w:spacing w:after="0" w:line="240" w:lineRule="auto"/>
        <w:ind w:left="720"/>
        <w:rPr>
          <w:sz w:val="24"/>
          <w:szCs w:val="24"/>
        </w:rPr>
      </w:pPr>
      <w:proofErr w:type="spellStart"/>
      <w:r w:rsidRPr="009A6C91">
        <w:rPr>
          <w:sz w:val="24"/>
          <w:szCs w:val="24"/>
        </w:rPr>
        <w:t>Div</w:t>
      </w:r>
      <w:proofErr w:type="spellEnd"/>
      <w:r w:rsidRPr="009A6C91">
        <w:rPr>
          <w:sz w:val="24"/>
          <w:szCs w:val="24"/>
        </w:rPr>
        <w:t xml:space="preserve"> of Surveillance, Hazard Evaluations &amp; Field Studies </w:t>
      </w:r>
    </w:p>
    <w:p w:rsidRPr="009A6C91" w:rsidR="009A6C91" w:rsidP="006521F7" w:rsidRDefault="009A6C91" w14:paraId="440EEB47" w14:textId="77777777">
      <w:pPr>
        <w:tabs>
          <w:tab w:val="left" w:pos="1545"/>
        </w:tabs>
        <w:spacing w:after="0" w:line="240" w:lineRule="auto"/>
        <w:ind w:left="720"/>
        <w:rPr>
          <w:sz w:val="24"/>
          <w:szCs w:val="24"/>
        </w:rPr>
      </w:pPr>
      <w:r w:rsidRPr="009A6C91">
        <w:rPr>
          <w:sz w:val="24"/>
          <w:szCs w:val="24"/>
        </w:rPr>
        <w:t>National Institute for Occupational Safety and Health (NIOSH)</w:t>
      </w:r>
    </w:p>
    <w:p w:rsidR="009A6C91" w:rsidP="006521F7" w:rsidRDefault="009A6C91" w14:paraId="0B64D465" w14:textId="77777777">
      <w:pPr>
        <w:tabs>
          <w:tab w:val="left" w:pos="1545"/>
        </w:tabs>
        <w:spacing w:after="0" w:line="240" w:lineRule="auto"/>
        <w:ind w:left="720"/>
        <w:rPr>
          <w:sz w:val="24"/>
          <w:szCs w:val="24"/>
        </w:rPr>
      </w:pPr>
      <w:r w:rsidRPr="009A6C91">
        <w:rPr>
          <w:sz w:val="24"/>
          <w:szCs w:val="24"/>
        </w:rPr>
        <w:t>Centers for Disease Control and Prevention (CDC)</w:t>
      </w:r>
    </w:p>
    <w:p w:rsidRPr="009A6C91" w:rsidR="009A6C91" w:rsidP="006521F7" w:rsidRDefault="009A6C91" w14:paraId="3634D2C0" w14:textId="77777777">
      <w:pPr>
        <w:tabs>
          <w:tab w:val="left" w:pos="1545"/>
        </w:tabs>
        <w:spacing w:after="0" w:line="240" w:lineRule="auto"/>
        <w:ind w:left="720"/>
        <w:rPr>
          <w:sz w:val="24"/>
          <w:szCs w:val="24"/>
        </w:rPr>
      </w:pPr>
    </w:p>
    <w:p w:rsidRPr="009A6C91" w:rsidR="009A6C91" w:rsidP="006521F7" w:rsidRDefault="009A6C91" w14:paraId="2385E219" w14:textId="77777777">
      <w:pPr>
        <w:tabs>
          <w:tab w:val="left" w:pos="1545"/>
        </w:tabs>
        <w:spacing w:after="0" w:line="240" w:lineRule="auto"/>
        <w:ind w:left="720"/>
        <w:rPr>
          <w:sz w:val="24"/>
          <w:szCs w:val="24"/>
        </w:rPr>
      </w:pPr>
      <w:r>
        <w:rPr>
          <w:sz w:val="24"/>
          <w:szCs w:val="24"/>
        </w:rPr>
        <w:t>Dr. Bernard p</w:t>
      </w:r>
      <w:r w:rsidRPr="009A6C91">
        <w:rPr>
          <w:sz w:val="24"/>
          <w:szCs w:val="24"/>
        </w:rPr>
        <w:t>rovided review of portions of the package pertaining to occupational exposure.</w:t>
      </w:r>
    </w:p>
    <w:p w:rsidRPr="009A6C91" w:rsidR="009A6C91" w:rsidP="00B72FE1" w:rsidRDefault="009A6C91" w14:paraId="623FA475" w14:textId="77777777">
      <w:pPr>
        <w:tabs>
          <w:tab w:val="left" w:pos="1545"/>
        </w:tabs>
        <w:spacing w:after="0" w:line="240" w:lineRule="auto"/>
        <w:ind w:left="360"/>
        <w:rPr>
          <w:sz w:val="24"/>
          <w:szCs w:val="24"/>
        </w:rPr>
      </w:pPr>
    </w:p>
    <w:p w:rsidRPr="00F2353B" w:rsidR="009A6C91" w:rsidP="006521F7" w:rsidRDefault="009A6C91" w14:paraId="3E95125E" w14:textId="61E53A6D">
      <w:pPr>
        <w:tabs>
          <w:tab w:val="left" w:pos="1545"/>
        </w:tabs>
        <w:rPr>
          <w:sz w:val="24"/>
          <w:szCs w:val="24"/>
        </w:rPr>
      </w:pPr>
      <w:r w:rsidRPr="009A6C91">
        <w:rPr>
          <w:sz w:val="24"/>
          <w:szCs w:val="24"/>
        </w:rPr>
        <w:t xml:space="preserve">In the past </w:t>
      </w:r>
      <w:r w:rsidR="00BB465D">
        <w:rPr>
          <w:sz w:val="24"/>
          <w:szCs w:val="24"/>
        </w:rPr>
        <w:t>nine</w:t>
      </w:r>
      <w:r w:rsidRPr="009A6C91" w:rsidR="00BB465D">
        <w:rPr>
          <w:sz w:val="24"/>
          <w:szCs w:val="24"/>
        </w:rPr>
        <w:t xml:space="preserve"> </w:t>
      </w:r>
      <w:r w:rsidRPr="009A6C91">
        <w:rPr>
          <w:sz w:val="24"/>
          <w:szCs w:val="24"/>
        </w:rPr>
        <w:t xml:space="preserve">years, ATSDR has not sought additional consultations because EI methods have been long established and have been successful for the stated goals of the EI program. ATSDR has completed over </w:t>
      </w:r>
      <w:r w:rsidR="00AF1245">
        <w:rPr>
          <w:sz w:val="24"/>
          <w:szCs w:val="24"/>
        </w:rPr>
        <w:t>200</w:t>
      </w:r>
      <w:r w:rsidRPr="009A6C91">
        <w:rPr>
          <w:sz w:val="24"/>
          <w:szCs w:val="24"/>
        </w:rPr>
        <w:t xml:space="preserve"> EIs over approximately </w:t>
      </w:r>
      <w:r w:rsidRPr="009A6C91" w:rsidR="000E158A">
        <w:rPr>
          <w:sz w:val="24"/>
          <w:szCs w:val="24"/>
        </w:rPr>
        <w:t>1</w:t>
      </w:r>
      <w:r w:rsidR="000E158A">
        <w:rPr>
          <w:sz w:val="24"/>
          <w:szCs w:val="24"/>
        </w:rPr>
        <w:t>5</w:t>
      </w:r>
      <w:r w:rsidRPr="009A6C91" w:rsidR="000E158A">
        <w:rPr>
          <w:sz w:val="24"/>
          <w:szCs w:val="24"/>
        </w:rPr>
        <w:t xml:space="preserve"> </w:t>
      </w:r>
      <w:r w:rsidRPr="009A6C91">
        <w:rPr>
          <w:sz w:val="24"/>
          <w:szCs w:val="24"/>
        </w:rPr>
        <w:t xml:space="preserve">years. After 2005, ATSDR discovered that PRA clearance was required; therefore, 31 of those EIs were completed under </w:t>
      </w:r>
      <w:r w:rsidRPr="009A6C91">
        <w:rPr>
          <w:i/>
          <w:sz w:val="24"/>
          <w:szCs w:val="24"/>
        </w:rPr>
        <w:t xml:space="preserve">NCEH/ATSDR Exposure Investigations (EI) </w:t>
      </w:r>
      <w:r w:rsidRPr="009A6C91">
        <w:rPr>
          <w:sz w:val="24"/>
          <w:szCs w:val="24"/>
        </w:rPr>
        <w:t xml:space="preserve">(OMB Control No. 0923-0040, expiration date 12/31/2012). </w:t>
      </w:r>
      <w:r w:rsidR="00BB465D">
        <w:rPr>
          <w:sz w:val="24"/>
          <w:szCs w:val="24"/>
        </w:rPr>
        <w:t xml:space="preserve">From 2012 to 2019, </w:t>
      </w:r>
      <w:r w:rsidRPr="009A6C91">
        <w:rPr>
          <w:sz w:val="24"/>
          <w:szCs w:val="24"/>
        </w:rPr>
        <w:t xml:space="preserve"> ATSDR completed </w:t>
      </w:r>
      <w:r w:rsidR="007B3A78">
        <w:rPr>
          <w:sz w:val="24"/>
          <w:szCs w:val="24"/>
        </w:rPr>
        <w:t>6</w:t>
      </w:r>
      <w:r w:rsidRPr="009A6C91">
        <w:rPr>
          <w:sz w:val="24"/>
          <w:szCs w:val="24"/>
        </w:rPr>
        <w:t xml:space="preserve"> EIs under the current generic clearance</w:t>
      </w:r>
      <w:r w:rsidR="00316A96">
        <w:rPr>
          <w:sz w:val="24"/>
          <w:szCs w:val="24"/>
        </w:rPr>
        <w:t xml:space="preserve"> (</w:t>
      </w:r>
      <w:r w:rsidRPr="009A6C91">
        <w:rPr>
          <w:sz w:val="24"/>
          <w:szCs w:val="24"/>
        </w:rPr>
        <w:t>OMB Control No. 0923-0048</w:t>
      </w:r>
      <w:r w:rsidR="00316A96">
        <w:rPr>
          <w:sz w:val="24"/>
          <w:szCs w:val="24"/>
        </w:rPr>
        <w:t xml:space="preserve">; </w:t>
      </w:r>
      <w:r w:rsidRPr="009A6C91">
        <w:rPr>
          <w:sz w:val="24"/>
          <w:szCs w:val="24"/>
        </w:rPr>
        <w:t xml:space="preserve">expiration date </w:t>
      </w:r>
      <w:r w:rsidR="00BB465D">
        <w:rPr>
          <w:sz w:val="24"/>
          <w:szCs w:val="24"/>
        </w:rPr>
        <w:t>04/30/2022</w:t>
      </w:r>
      <w:r w:rsidRPr="009A6C91">
        <w:rPr>
          <w:sz w:val="24"/>
          <w:szCs w:val="24"/>
        </w:rPr>
        <w:t>).</w:t>
      </w:r>
    </w:p>
    <w:p w:rsidR="00B45002" w:rsidP="00601F1A" w:rsidRDefault="00601F1A" w14:paraId="77EE6F45" w14:textId="77777777">
      <w:pPr>
        <w:pStyle w:val="Heading1"/>
        <w:pBdr>
          <w:bottom w:val="none" w:color="auto" w:sz="0" w:space="0"/>
        </w:pBdr>
        <w:rPr>
          <w:color w:val="auto"/>
        </w:rPr>
      </w:pPr>
      <w:bookmarkStart w:name="_Toc433960196" w:id="11"/>
      <w:r w:rsidRPr="00D20211">
        <w:rPr>
          <w:color w:val="auto"/>
        </w:rPr>
        <w:t>A.</w:t>
      </w:r>
      <w:r w:rsidRPr="00D20211" w:rsidR="004D21C9">
        <w:rPr>
          <w:color w:val="auto"/>
        </w:rPr>
        <w:t xml:space="preserve">9.  </w:t>
      </w:r>
      <w:r w:rsidRPr="00D20211" w:rsidR="00B45002">
        <w:rPr>
          <w:color w:val="auto"/>
        </w:rPr>
        <w:t>Explanation of Any Payment or Gift to Respondents</w:t>
      </w:r>
      <w:bookmarkEnd w:id="11"/>
    </w:p>
    <w:p w:rsidRPr="00F2353B" w:rsidR="00F2353B" w:rsidP="00F2353B" w:rsidRDefault="00F2353B" w14:paraId="112FA314" w14:textId="77777777"/>
    <w:p w:rsidRPr="00D20211" w:rsidR="00100D0E" w:rsidP="006521F7" w:rsidRDefault="00F2353B" w14:paraId="6B8FF73A" w14:textId="6E4BE886">
      <w:pPr>
        <w:tabs>
          <w:tab w:val="left" w:pos="1545"/>
        </w:tabs>
        <w:rPr>
          <w:sz w:val="24"/>
          <w:szCs w:val="24"/>
        </w:rPr>
      </w:pPr>
      <w:r w:rsidRPr="00F2353B">
        <w:rPr>
          <w:sz w:val="24"/>
          <w:szCs w:val="24"/>
        </w:rPr>
        <w:lastRenderedPageBreak/>
        <w:t xml:space="preserve">Although </w:t>
      </w:r>
      <w:r w:rsidRPr="00F2353B" w:rsidR="00BB465D">
        <w:rPr>
          <w:sz w:val="24"/>
          <w:szCs w:val="24"/>
        </w:rPr>
        <w:t>E</w:t>
      </w:r>
      <w:r w:rsidR="00BB465D">
        <w:rPr>
          <w:sz w:val="24"/>
          <w:szCs w:val="24"/>
        </w:rPr>
        <w:t>Is</w:t>
      </w:r>
      <w:r w:rsidRPr="00F2353B" w:rsidR="00BB465D">
        <w:rPr>
          <w:sz w:val="24"/>
          <w:szCs w:val="24"/>
        </w:rPr>
        <w:t xml:space="preserve"> </w:t>
      </w:r>
      <w:r w:rsidRPr="00F2353B">
        <w:rPr>
          <w:sz w:val="24"/>
          <w:szCs w:val="24"/>
        </w:rPr>
        <w:t xml:space="preserve">usually do not involve </w:t>
      </w:r>
      <w:r w:rsidR="009A5BFB">
        <w:rPr>
          <w:sz w:val="24"/>
          <w:szCs w:val="24"/>
        </w:rPr>
        <w:t>any payments</w:t>
      </w:r>
      <w:r w:rsidRPr="00F2353B">
        <w:rPr>
          <w:sz w:val="24"/>
          <w:szCs w:val="24"/>
        </w:rPr>
        <w:t xml:space="preserve">, occasionally ATSDR may request approval for monetary tokens of appreciation. </w:t>
      </w:r>
      <w:r w:rsidR="009A5BFB">
        <w:rPr>
          <w:sz w:val="24"/>
          <w:szCs w:val="24"/>
        </w:rPr>
        <w:t>For all</w:t>
      </w:r>
      <w:r w:rsidRPr="00F2353B">
        <w:rPr>
          <w:sz w:val="24"/>
          <w:szCs w:val="24"/>
        </w:rPr>
        <w:t xml:space="preserve"> instances</w:t>
      </w:r>
      <w:r w:rsidR="009A5BFB">
        <w:rPr>
          <w:sz w:val="24"/>
          <w:szCs w:val="24"/>
        </w:rPr>
        <w:t xml:space="preserve"> in which </w:t>
      </w:r>
      <w:r w:rsidR="00844BB6">
        <w:rPr>
          <w:sz w:val="24"/>
          <w:szCs w:val="24"/>
        </w:rPr>
        <w:t>incentives are</w:t>
      </w:r>
      <w:r w:rsidR="009A5BFB">
        <w:rPr>
          <w:sz w:val="24"/>
          <w:szCs w:val="24"/>
        </w:rPr>
        <w:t xml:space="preserve"> provided for participation</w:t>
      </w:r>
      <w:r w:rsidRPr="00F2353B">
        <w:rPr>
          <w:sz w:val="24"/>
          <w:szCs w:val="24"/>
        </w:rPr>
        <w:t xml:space="preserve">, </w:t>
      </w:r>
      <w:r w:rsidR="009A5BFB">
        <w:rPr>
          <w:sz w:val="24"/>
          <w:szCs w:val="24"/>
        </w:rPr>
        <w:t xml:space="preserve">a comprehensive </w:t>
      </w:r>
      <w:r w:rsidRPr="00F2353B">
        <w:rPr>
          <w:sz w:val="24"/>
          <w:szCs w:val="24"/>
        </w:rPr>
        <w:t>justification will be provided for the amount requested</w:t>
      </w:r>
      <w:r w:rsidR="009A5BFB">
        <w:rPr>
          <w:sz w:val="24"/>
          <w:szCs w:val="24"/>
        </w:rPr>
        <w:t xml:space="preserve"> describing why a token of appreciation is necessary and evidence supporting the </w:t>
      </w:r>
      <w:r w:rsidR="00844BB6">
        <w:rPr>
          <w:sz w:val="24"/>
          <w:szCs w:val="24"/>
        </w:rPr>
        <w:t xml:space="preserve">dollar </w:t>
      </w:r>
      <w:r w:rsidR="009A5BFB">
        <w:rPr>
          <w:sz w:val="24"/>
          <w:szCs w:val="24"/>
        </w:rPr>
        <w:t>amount</w:t>
      </w:r>
      <w:r w:rsidRPr="00F2353B">
        <w:rPr>
          <w:sz w:val="24"/>
          <w:szCs w:val="24"/>
        </w:rPr>
        <w:t xml:space="preserve">. If respondents participate in these kinds of studies remotely, via phone, or Internet, any proposed </w:t>
      </w:r>
      <w:r w:rsidR="00844BB6">
        <w:rPr>
          <w:sz w:val="24"/>
          <w:szCs w:val="24"/>
        </w:rPr>
        <w:t>incentive</w:t>
      </w:r>
      <w:r w:rsidRPr="00F2353B" w:rsidR="009A5BFB">
        <w:rPr>
          <w:sz w:val="24"/>
          <w:szCs w:val="24"/>
        </w:rPr>
        <w:t xml:space="preserve"> </w:t>
      </w:r>
      <w:r w:rsidR="00844BB6">
        <w:rPr>
          <w:sz w:val="24"/>
          <w:szCs w:val="24"/>
        </w:rPr>
        <w:t>must</w:t>
      </w:r>
      <w:r w:rsidRPr="00F2353B">
        <w:rPr>
          <w:sz w:val="24"/>
          <w:szCs w:val="24"/>
        </w:rPr>
        <w:t xml:space="preserve"> be justified to OMB and must be considerably less than that provided to respondents in in-person studies, who have to travel to the agency or other facility to participate. If such information collections include hard-to-reach groups and the agency plans to offer non-standard </w:t>
      </w:r>
      <w:r w:rsidR="009A5BFB">
        <w:rPr>
          <w:sz w:val="24"/>
          <w:szCs w:val="24"/>
        </w:rPr>
        <w:t>payments</w:t>
      </w:r>
      <w:r w:rsidRPr="00F2353B">
        <w:rPr>
          <w:sz w:val="24"/>
          <w:szCs w:val="24"/>
        </w:rPr>
        <w:t>, the Agency will provide OMB with additional justifications in the request for clearance of these specific activities.</w:t>
      </w:r>
    </w:p>
    <w:p w:rsidRPr="00D20211" w:rsidR="00B45002" w:rsidP="00601F1A" w:rsidRDefault="00601F1A" w14:paraId="0D0C586C" w14:textId="77777777">
      <w:pPr>
        <w:pStyle w:val="Heading1"/>
        <w:pBdr>
          <w:bottom w:val="none" w:color="auto" w:sz="0" w:space="0"/>
        </w:pBdr>
        <w:rPr>
          <w:color w:val="auto"/>
        </w:rPr>
      </w:pPr>
      <w:bookmarkStart w:name="_Toc433960197" w:id="12"/>
      <w:r w:rsidRPr="00D20211">
        <w:rPr>
          <w:color w:val="auto"/>
        </w:rPr>
        <w:t>A.</w:t>
      </w:r>
      <w:r w:rsidRPr="00D20211" w:rsidR="004D21C9">
        <w:rPr>
          <w:color w:val="auto"/>
        </w:rPr>
        <w:t xml:space="preserve">10.  </w:t>
      </w:r>
      <w:r w:rsidRPr="00D20211" w:rsidR="00B45002">
        <w:rPr>
          <w:color w:val="auto"/>
        </w:rPr>
        <w:t>Protection of the Privacy and Confidentiality of Information Provided by Respondents</w:t>
      </w:r>
      <w:bookmarkEnd w:id="12"/>
    </w:p>
    <w:p w:rsidRPr="00D20211" w:rsidR="00CF7455" w:rsidP="00CF7455" w:rsidRDefault="00CF7455" w14:paraId="2DA8CD86" w14:textId="77777777">
      <w:pPr>
        <w:autoSpaceDE w:val="0"/>
        <w:autoSpaceDN w:val="0"/>
        <w:adjustRightInd w:val="0"/>
        <w:spacing w:line="240" w:lineRule="auto"/>
        <w:rPr>
          <w:rFonts w:cs="ITCFranklinGothicStd-Book"/>
          <w:sz w:val="24"/>
          <w:szCs w:val="24"/>
          <w:u w:val="single"/>
        </w:rPr>
      </w:pPr>
    </w:p>
    <w:p w:rsidRPr="0081498F" w:rsidR="00F36E99" w:rsidP="006521F7" w:rsidRDefault="00201AAB" w14:paraId="3FE1608D" w14:textId="77777777">
      <w:pPr>
        <w:autoSpaceDE w:val="0"/>
        <w:autoSpaceDN w:val="0"/>
        <w:adjustRightInd w:val="0"/>
        <w:spacing w:line="240" w:lineRule="auto"/>
        <w:rPr>
          <w:rFonts w:cs="ITCFranklinGothicStd-Book"/>
          <w:sz w:val="24"/>
          <w:szCs w:val="24"/>
        </w:rPr>
      </w:pPr>
      <w:r w:rsidRPr="00316A96">
        <w:rPr>
          <w:rFonts w:cs="ITCFranklinGothicStd-Book"/>
          <w:sz w:val="24"/>
          <w:szCs w:val="24"/>
        </w:rPr>
        <w:t xml:space="preserve">For the </w:t>
      </w:r>
      <w:r w:rsidRPr="0081498F" w:rsidR="00763C8E">
        <w:rPr>
          <w:rFonts w:cs="ITCFranklinGothicStd-Book"/>
          <w:sz w:val="24"/>
          <w:szCs w:val="24"/>
        </w:rPr>
        <w:t xml:space="preserve">initial 2013 PRA clearance, it was </w:t>
      </w:r>
      <w:r w:rsidRPr="0081498F" w:rsidR="00F36E99">
        <w:rPr>
          <w:rFonts w:cs="ITCFranklinGothicStd-Book"/>
          <w:sz w:val="24"/>
          <w:szCs w:val="24"/>
        </w:rPr>
        <w:t xml:space="preserve">determined that the Privacy Act does apply. </w:t>
      </w:r>
      <w:r w:rsidRPr="0081498F" w:rsidR="00563D35">
        <w:rPr>
          <w:rFonts w:cs="ITCFranklinGothicStd-Book"/>
          <w:sz w:val="24"/>
          <w:szCs w:val="24"/>
        </w:rPr>
        <w:t xml:space="preserve">There are no </w:t>
      </w:r>
      <w:r w:rsidRPr="002751A7" w:rsidR="00763C8E">
        <w:rPr>
          <w:rFonts w:cs="ITCFranklinGothicStd-Book"/>
          <w:sz w:val="24"/>
          <w:szCs w:val="24"/>
        </w:rPr>
        <w:t xml:space="preserve">proposed </w:t>
      </w:r>
      <w:r w:rsidRPr="002751A7" w:rsidR="00563D35">
        <w:rPr>
          <w:rFonts w:cs="ITCFranklinGothicStd-Book"/>
          <w:sz w:val="24"/>
          <w:szCs w:val="24"/>
        </w:rPr>
        <w:t xml:space="preserve">changes to the system. </w:t>
      </w:r>
      <w:r w:rsidRPr="002751A7" w:rsidR="00F36E99">
        <w:rPr>
          <w:rFonts w:cs="ITCFranklinGothicStd-Book"/>
          <w:sz w:val="24"/>
          <w:szCs w:val="24"/>
        </w:rPr>
        <w:t xml:space="preserve">The applicable Privacy Act System of Records Notice (SORN) is No. </w:t>
      </w:r>
      <w:r w:rsidRPr="006521F7" w:rsidR="00F36E99">
        <w:rPr>
          <w:sz w:val="24"/>
          <w:szCs w:val="24"/>
        </w:rPr>
        <w:t>09-19-0001</w:t>
      </w:r>
      <w:r w:rsidRPr="00316A96" w:rsidR="00F36E99">
        <w:rPr>
          <w:sz w:val="24"/>
          <w:szCs w:val="24"/>
        </w:rPr>
        <w:t>, “Records of Persons Exposed or Potentially Exposed to Hazardous or Toxic Substances</w:t>
      </w:r>
      <w:r w:rsidRPr="0081498F" w:rsidR="00F36E99">
        <w:rPr>
          <w:sz w:val="24"/>
          <w:szCs w:val="24"/>
        </w:rPr>
        <w:t xml:space="preserve"> (retrievable by name or SSN)</w:t>
      </w:r>
      <w:r w:rsidRPr="0081498F" w:rsidR="00F36E99">
        <w:rPr>
          <w:rFonts w:cs="ITCFranklinGothicStd-Book"/>
          <w:sz w:val="24"/>
          <w:szCs w:val="24"/>
        </w:rPr>
        <w:t>.</w:t>
      </w:r>
    </w:p>
    <w:p w:rsidR="004F34AE" w:rsidP="006521F7" w:rsidRDefault="002928DF" w14:paraId="4441D704" w14:textId="77777777">
      <w:pPr>
        <w:autoSpaceDE w:val="0"/>
        <w:autoSpaceDN w:val="0"/>
        <w:adjustRightInd w:val="0"/>
        <w:spacing w:line="240" w:lineRule="auto"/>
        <w:rPr>
          <w:rFonts w:cs="ITCFranklinGothicStd-Book"/>
          <w:sz w:val="24"/>
          <w:szCs w:val="24"/>
        </w:rPr>
        <w:sectPr w:rsidR="004F34AE" w:rsidSect="00910D5A">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cols w:space="720"/>
          <w:docGrid w:linePitch="360"/>
        </w:sectPr>
      </w:pPr>
      <w:r w:rsidRPr="0081498F">
        <w:rPr>
          <w:rFonts w:cs="ITCFranklinGothicStd-Book"/>
          <w:sz w:val="24"/>
          <w:szCs w:val="24"/>
        </w:rPr>
        <w:t>The following IIF Categories apply</w:t>
      </w:r>
      <w:r w:rsidRPr="0081498F" w:rsidR="00EC5E2E">
        <w:rPr>
          <w:rFonts w:cs="ITCFranklinGothicStd-Book"/>
          <w:sz w:val="24"/>
          <w:szCs w:val="24"/>
        </w:rPr>
        <w:t xml:space="preserve"> to this information collection</w:t>
      </w:r>
      <w:r w:rsidRPr="0081498F" w:rsidR="00D72EA8">
        <w:rPr>
          <w:rFonts w:cs="ITCFranklinGothicStd-Book"/>
          <w:sz w:val="24"/>
          <w:szCs w:val="24"/>
        </w:rPr>
        <w:t xml:space="preserve"> (</w:t>
      </w:r>
      <w:r w:rsidRPr="0081498F" w:rsidR="00A73A59">
        <w:rPr>
          <w:rFonts w:cs="ITCFranklinGothicStd-Book"/>
          <w:b/>
          <w:sz w:val="24"/>
          <w:szCs w:val="24"/>
        </w:rPr>
        <w:t xml:space="preserve">Attachment </w:t>
      </w:r>
      <w:r w:rsidRPr="0081498F" w:rsidR="00836499">
        <w:rPr>
          <w:rFonts w:cs="ITCFranklinGothicStd-Book"/>
          <w:b/>
          <w:sz w:val="24"/>
          <w:szCs w:val="24"/>
        </w:rPr>
        <w:t>4</w:t>
      </w:r>
      <w:r w:rsidRPr="0081498F" w:rsidR="00D72EA8">
        <w:rPr>
          <w:rFonts w:cs="ITCFranklinGothicStd-Book"/>
          <w:sz w:val="24"/>
          <w:szCs w:val="24"/>
        </w:rPr>
        <w:t>)</w:t>
      </w:r>
      <w:r w:rsidRPr="00BA49F9" w:rsidR="00E95E60">
        <w:rPr>
          <w:rFonts w:cs="ITCFranklinGothicStd-Book"/>
          <w:sz w:val="24"/>
          <w:szCs w:val="24"/>
        </w:rPr>
        <w:t>:</w:t>
      </w:r>
    </w:p>
    <w:p w:rsidRPr="00D20211" w:rsidR="002928DF" w:rsidP="002928DF" w:rsidRDefault="002928DF" w14:paraId="2CE28D78" w14:textId="77777777">
      <w:pPr>
        <w:pStyle w:val="CommentText"/>
        <w:spacing w:after="0"/>
        <w:ind w:left="1512"/>
      </w:pPr>
      <w:r w:rsidRPr="00D20211">
        <w:rPr>
          <w:rFonts w:ascii="Segoe UI Symbol" w:hAnsi="Segoe UI Symbol" w:cs="Segoe UI Symbol"/>
        </w:rPr>
        <w:t>❑</w:t>
      </w:r>
      <w:r w:rsidRPr="00D20211">
        <w:t xml:space="preserve"> Name</w:t>
      </w:r>
    </w:p>
    <w:p w:rsidRPr="00D20211" w:rsidR="002928DF" w:rsidP="002928DF" w:rsidRDefault="002928DF" w14:paraId="0A5A0658" w14:textId="77777777">
      <w:pPr>
        <w:pStyle w:val="CommentText"/>
        <w:spacing w:after="0"/>
        <w:ind w:left="1512"/>
      </w:pPr>
      <w:r w:rsidRPr="00D20211">
        <w:rPr>
          <w:rFonts w:ascii="Segoe UI Symbol" w:hAnsi="Segoe UI Symbol" w:cs="Segoe UI Symbol"/>
        </w:rPr>
        <w:t>❑</w:t>
      </w:r>
      <w:r w:rsidRPr="00D20211">
        <w:t xml:space="preserve"> Date of Birth</w:t>
      </w:r>
    </w:p>
    <w:p w:rsidRPr="00D20211" w:rsidR="002928DF" w:rsidP="002928DF" w:rsidRDefault="002928DF" w14:paraId="3AB217F7" w14:textId="77777777">
      <w:pPr>
        <w:pStyle w:val="CommentText"/>
        <w:spacing w:after="0"/>
        <w:ind w:left="1512"/>
      </w:pPr>
      <w:r w:rsidRPr="00D20211">
        <w:rPr>
          <w:rFonts w:ascii="Segoe UI Symbol" w:hAnsi="Segoe UI Symbol" w:cs="Segoe UI Symbol"/>
        </w:rPr>
        <w:t>❑</w:t>
      </w:r>
      <w:r w:rsidRPr="00D20211">
        <w:t xml:space="preserve"> Mailing Address</w:t>
      </w:r>
    </w:p>
    <w:p w:rsidRPr="00D20211" w:rsidR="00A73A59" w:rsidP="00A73A59" w:rsidRDefault="002928DF" w14:paraId="5D4E28D5" w14:textId="77777777">
      <w:pPr>
        <w:pStyle w:val="CommentText"/>
        <w:spacing w:after="0"/>
      </w:pPr>
      <w:r w:rsidRPr="00D20211">
        <w:rPr>
          <w:rFonts w:ascii="Segoe UI Symbol" w:hAnsi="Segoe UI Symbol" w:cs="Segoe UI Symbol"/>
        </w:rPr>
        <w:br w:type="column"/>
      </w:r>
      <w:r w:rsidRPr="00D20211" w:rsidR="00A73A59">
        <w:rPr>
          <w:rFonts w:ascii="Segoe UI Symbol" w:hAnsi="Segoe UI Symbol" w:cs="Segoe UI Symbol"/>
        </w:rPr>
        <w:t>❑</w:t>
      </w:r>
      <w:r w:rsidR="00A73A59">
        <w:t xml:space="preserve"> Phone Numbers</w:t>
      </w:r>
    </w:p>
    <w:p w:rsidRPr="00D20211" w:rsidR="002928DF" w:rsidP="002928DF" w:rsidRDefault="002928DF" w14:paraId="1A8165DF" w14:textId="77777777">
      <w:pPr>
        <w:pStyle w:val="CommentText"/>
        <w:spacing w:after="0"/>
      </w:pPr>
      <w:r w:rsidRPr="00D20211">
        <w:rPr>
          <w:rFonts w:ascii="Segoe UI Symbol" w:hAnsi="Segoe UI Symbol" w:cs="Segoe UI Symbol"/>
        </w:rPr>
        <w:t>❑</w:t>
      </w:r>
      <w:r w:rsidRPr="00D20211">
        <w:t xml:space="preserve"> Biological Specimens</w:t>
      </w:r>
    </w:p>
    <w:p w:rsidRPr="00D20211" w:rsidR="002928DF" w:rsidP="00B72FE1" w:rsidRDefault="002928DF" w14:paraId="712DE477" w14:textId="77777777">
      <w:pPr>
        <w:pStyle w:val="CommentText"/>
        <w:spacing w:after="0"/>
        <w:sectPr w:rsidRPr="00D20211" w:rsidR="002928DF" w:rsidSect="00F91C38">
          <w:type w:val="continuous"/>
          <w:pgSz w:w="12240" w:h="15840" w:code="1"/>
          <w:pgMar w:top="1440" w:right="1440" w:bottom="1440" w:left="1440" w:header="720" w:footer="720" w:gutter="0"/>
          <w:cols w:space="720" w:num="2"/>
          <w:docGrid w:linePitch="360"/>
        </w:sectPr>
      </w:pPr>
      <w:r w:rsidRPr="00D20211">
        <w:rPr>
          <w:rFonts w:ascii="Segoe UI Symbol" w:hAnsi="Segoe UI Symbol" w:cs="Segoe UI Symbol"/>
        </w:rPr>
        <w:t>❑</w:t>
      </w:r>
      <w:r w:rsidRPr="00D20211">
        <w:t xml:space="preserve"> Email Addres</w:t>
      </w:r>
      <w:r w:rsidR="0031787C">
        <w:t>s</w:t>
      </w:r>
    </w:p>
    <w:p w:rsidR="00C04509" w:rsidP="006521F7" w:rsidRDefault="00C04509" w14:paraId="52D43DF3" w14:textId="1AF4FCDC">
      <w:pPr>
        <w:rPr>
          <w:sz w:val="24"/>
          <w:szCs w:val="24"/>
        </w:rPr>
      </w:pPr>
      <w:r>
        <w:rPr>
          <w:sz w:val="24"/>
          <w:szCs w:val="24"/>
        </w:rPr>
        <w:t>A Privacy Impact Assessment (PIA) form provides information that will be collected from respondents and how it will be secured (</w:t>
      </w:r>
      <w:r w:rsidRPr="00C65659">
        <w:rPr>
          <w:b/>
          <w:sz w:val="24"/>
          <w:szCs w:val="24"/>
        </w:rPr>
        <w:t>Attachment 6</w:t>
      </w:r>
      <w:r>
        <w:rPr>
          <w:sz w:val="24"/>
          <w:szCs w:val="24"/>
        </w:rPr>
        <w:t>). A Privacy Act Statement is included in the consent package (</w:t>
      </w:r>
      <w:r w:rsidRPr="00C65659">
        <w:rPr>
          <w:b/>
          <w:sz w:val="24"/>
          <w:szCs w:val="24"/>
        </w:rPr>
        <w:t>Attachment 5</w:t>
      </w:r>
      <w:r>
        <w:rPr>
          <w:sz w:val="24"/>
          <w:szCs w:val="24"/>
        </w:rPr>
        <w:t>).</w:t>
      </w:r>
    </w:p>
    <w:p w:rsidRPr="00DA6BBB" w:rsidR="00044260" w:rsidP="006521F7" w:rsidRDefault="00DA6BBB" w14:paraId="08A29BE0" w14:textId="36A77F87">
      <w:pPr>
        <w:rPr>
          <w:sz w:val="24"/>
          <w:szCs w:val="24"/>
        </w:rPr>
      </w:pPr>
      <w:r w:rsidRPr="00DA6BBB">
        <w:rPr>
          <w:sz w:val="24"/>
          <w:szCs w:val="24"/>
        </w:rPr>
        <w:t xml:space="preserve">ATSDR only collects information that will help us interpret the laboratory data and recognize likely exposure scenarios. Once we conduct a convenience sampling EI, we match the unique answers given by participants with their laboratory results or environmental samples to determine whether intervention is needed on an individual level. The information collection is therefore </w:t>
      </w:r>
      <w:r w:rsidRPr="00DA6BBB">
        <w:rPr>
          <w:i/>
          <w:sz w:val="24"/>
          <w:szCs w:val="24"/>
        </w:rPr>
        <w:t xml:space="preserve">inherently person- or location-specific. </w:t>
      </w:r>
      <w:r w:rsidRPr="00DA6BBB">
        <w:rPr>
          <w:bCs/>
          <w:iCs/>
          <w:sz w:val="24"/>
          <w:szCs w:val="24"/>
        </w:rPr>
        <w:t xml:space="preserve">Participation is completely voluntary; participants can stop participating in the EI at any time.  </w:t>
      </w:r>
    </w:p>
    <w:p w:rsidRPr="00DA6BBB" w:rsidR="00DA6BBB" w:rsidP="006521F7" w:rsidRDefault="00DA6BBB" w14:paraId="6142908D" w14:textId="77777777">
      <w:pPr>
        <w:rPr>
          <w:sz w:val="24"/>
          <w:szCs w:val="24"/>
        </w:rPr>
      </w:pPr>
      <w:r w:rsidRPr="00DA6BBB">
        <w:rPr>
          <w:sz w:val="24"/>
          <w:szCs w:val="24"/>
        </w:rPr>
        <w:t xml:space="preserve">ATSDR uses the </w:t>
      </w:r>
      <w:r w:rsidR="00044260">
        <w:rPr>
          <w:sz w:val="24"/>
          <w:szCs w:val="24"/>
        </w:rPr>
        <w:t>IIF</w:t>
      </w:r>
      <w:r w:rsidRPr="00DA6BBB">
        <w:rPr>
          <w:sz w:val="24"/>
          <w:szCs w:val="24"/>
        </w:rPr>
        <w:t xml:space="preserve"> only to contact respondents. I</w:t>
      </w:r>
      <w:r w:rsidR="00044260">
        <w:rPr>
          <w:sz w:val="24"/>
          <w:szCs w:val="24"/>
        </w:rPr>
        <w:t>IF</w:t>
      </w:r>
      <w:r w:rsidRPr="00DA6BBB">
        <w:rPr>
          <w:sz w:val="24"/>
          <w:szCs w:val="24"/>
        </w:rPr>
        <w:t xml:space="preserve"> is necessary to facilitate the personal contact with respondents to conduct the survey, to obtain consent to participate, and to provide them their results. All </w:t>
      </w:r>
      <w:r w:rsidR="00044260">
        <w:rPr>
          <w:sz w:val="24"/>
          <w:szCs w:val="24"/>
        </w:rPr>
        <w:t>IIF</w:t>
      </w:r>
      <w:r w:rsidRPr="00DA6BBB">
        <w:rPr>
          <w:sz w:val="24"/>
          <w:szCs w:val="24"/>
        </w:rPr>
        <w:t xml:space="preserve"> maintained by the agency will be managed by ATSDR and is subject to the ATSDR Comprehensive Record Control Schedule (CRCS), B-371, which contains authorized disposition instructions for ATSDR's administrative and program records. </w:t>
      </w:r>
    </w:p>
    <w:p w:rsidRPr="00DA6BBB" w:rsidR="00DA6BBB" w:rsidP="006521F7" w:rsidRDefault="00DA6BBB" w14:paraId="51B0698F" w14:textId="77777777">
      <w:pPr>
        <w:tabs>
          <w:tab w:val="left" w:pos="1545"/>
        </w:tabs>
        <w:rPr>
          <w:sz w:val="24"/>
          <w:szCs w:val="24"/>
        </w:rPr>
      </w:pPr>
      <w:r w:rsidRPr="00DA6BBB">
        <w:rPr>
          <w:sz w:val="24"/>
          <w:szCs w:val="24"/>
        </w:rPr>
        <w:lastRenderedPageBreak/>
        <w:t>For EIs completed by states, Sunshine Laws may apply. Sunshine Laws require openness in government, which may result in personal identification being accessible by the general public.  For those states with Sunshine Laws, the consent form will include a statement indicating that these laws may apply.</w:t>
      </w:r>
    </w:p>
    <w:p w:rsidR="00DA6BBB" w:rsidP="006521F7" w:rsidRDefault="00DA6BBB" w14:paraId="77CE61D8" w14:textId="77777777">
      <w:pPr>
        <w:autoSpaceDE w:val="0"/>
        <w:autoSpaceDN w:val="0"/>
        <w:adjustRightInd w:val="0"/>
        <w:rPr>
          <w:sz w:val="24"/>
          <w:szCs w:val="24"/>
        </w:rPr>
      </w:pPr>
      <w:r w:rsidRPr="00DA6BBB">
        <w:rPr>
          <w:sz w:val="24"/>
          <w:szCs w:val="24"/>
        </w:rPr>
        <w:t xml:space="preserve">Data are treated in a private manner, unless otherwise compelled by law. The paper document containing </w:t>
      </w:r>
      <w:r w:rsidR="00561D9D">
        <w:rPr>
          <w:sz w:val="24"/>
          <w:szCs w:val="24"/>
        </w:rPr>
        <w:t>IIF</w:t>
      </w:r>
      <w:r w:rsidRPr="00DA6BBB">
        <w:rPr>
          <w:sz w:val="24"/>
          <w:szCs w:val="24"/>
        </w:rPr>
        <w:t xml:space="preserve"> are kept in locked file cabinets at ATSDR. Access to computer files is password-protected and access is limited to authorized EI personnel. All staff working on the project agree to safeguard the data and not to make unauthorized disclosures. Any data on laptops will be encrypted in accordance with information systems security requirements for safeguarding personally identifiable information.  Data are safeguarded in accordance with applicable statutes. Responses in published reports are presented in aggregate form and no individuals are identified by name.</w:t>
      </w:r>
    </w:p>
    <w:p w:rsidRPr="00D20211" w:rsidR="00B45002" w:rsidP="00601F1A" w:rsidRDefault="00601F1A" w14:paraId="438CA5F0" w14:textId="77777777">
      <w:pPr>
        <w:pStyle w:val="Heading1"/>
        <w:pBdr>
          <w:bottom w:val="none" w:color="auto" w:sz="0" w:space="0"/>
        </w:pBdr>
        <w:rPr>
          <w:color w:val="auto"/>
        </w:rPr>
      </w:pPr>
      <w:bookmarkStart w:name="_Toc433960198" w:id="13"/>
      <w:r w:rsidRPr="00D20211">
        <w:rPr>
          <w:color w:val="auto"/>
        </w:rPr>
        <w:t>A.</w:t>
      </w:r>
      <w:r w:rsidRPr="00D20211" w:rsidR="004D21C9">
        <w:rPr>
          <w:color w:val="auto"/>
        </w:rPr>
        <w:t xml:space="preserve">11.  </w:t>
      </w:r>
      <w:r w:rsidRPr="00D20211" w:rsidR="00B45002">
        <w:rPr>
          <w:color w:val="auto"/>
        </w:rPr>
        <w:t>Institutional Review Board (IRB) and Justification for Sensitive Questions</w:t>
      </w:r>
      <w:bookmarkEnd w:id="13"/>
    </w:p>
    <w:p w:rsidRPr="001F69B8" w:rsidR="00B53975" w:rsidP="00B855BC" w:rsidRDefault="00B53975" w14:paraId="05C6B571" w14:textId="77777777">
      <w:pPr>
        <w:spacing w:line="240" w:lineRule="auto"/>
        <w:rPr>
          <w:sz w:val="24"/>
          <w:szCs w:val="24"/>
        </w:rPr>
      </w:pPr>
    </w:p>
    <w:p w:rsidRPr="001F69B8" w:rsidR="001F69B8" w:rsidP="001F69B8" w:rsidRDefault="001F69B8" w14:paraId="332B6DF1" w14:textId="77777777">
      <w:pPr>
        <w:tabs>
          <w:tab w:val="left" w:pos="1545"/>
        </w:tabs>
        <w:rPr>
          <w:sz w:val="24"/>
          <w:szCs w:val="24"/>
        </w:rPr>
      </w:pPr>
      <w:r w:rsidRPr="001F69B8">
        <w:rPr>
          <w:sz w:val="24"/>
          <w:szCs w:val="24"/>
        </w:rPr>
        <w:t>Federal Regulations for Protection of Human Subjects (45 CFR 46) state that “</w:t>
      </w:r>
      <w:r w:rsidRPr="001F69B8">
        <w:rPr>
          <w:i/>
          <w:sz w:val="24"/>
          <w:szCs w:val="24"/>
        </w:rPr>
        <w:t>research</w:t>
      </w:r>
      <w:r w:rsidRPr="001F69B8">
        <w:rPr>
          <w:sz w:val="24"/>
          <w:szCs w:val="24"/>
        </w:rPr>
        <w:t xml:space="preserve"> means a systematic investigation, including research development, testing, and evaluation, designed to develop or contribute to generalizable knowledge.” In contrast, EIs are generally intended to be systematic investigations but are not designed to develop or contribute to generalizable knowledge. An EI is considered a service, and not a health study. No comparison populations are </w:t>
      </w:r>
      <w:proofErr w:type="gramStart"/>
      <w:r w:rsidRPr="001F69B8">
        <w:rPr>
          <w:sz w:val="24"/>
          <w:szCs w:val="24"/>
        </w:rPr>
        <w:t>used</w:t>
      </w:r>
      <w:proofErr w:type="gramEnd"/>
      <w:r w:rsidRPr="001F69B8">
        <w:rPr>
          <w:sz w:val="24"/>
          <w:szCs w:val="24"/>
        </w:rPr>
        <w:t xml:space="preserve"> and the results of the investigation are site-specific and applicable only to the participants of the investigation.</w:t>
      </w:r>
    </w:p>
    <w:p w:rsidRPr="001F69B8" w:rsidR="001F69B8" w:rsidP="00B72FE1" w:rsidRDefault="001F69B8" w14:paraId="242591BE" w14:textId="6F27935E">
      <w:pPr>
        <w:tabs>
          <w:tab w:val="left" w:pos="1545"/>
        </w:tabs>
        <w:rPr>
          <w:sz w:val="24"/>
          <w:szCs w:val="24"/>
        </w:rPr>
      </w:pPr>
      <w:r w:rsidRPr="001F69B8">
        <w:rPr>
          <w:sz w:val="24"/>
          <w:szCs w:val="24"/>
        </w:rPr>
        <w:t>However, ATSDR does require that participants in EIs be fully informed of the potential risks and benefits of their participation and that the privacy of the participants’ information be protected. All consent forms will be EI-</w:t>
      </w:r>
      <w:proofErr w:type="gramStart"/>
      <w:r w:rsidRPr="001F69B8">
        <w:rPr>
          <w:sz w:val="24"/>
          <w:szCs w:val="24"/>
        </w:rPr>
        <w:t>specific, and</w:t>
      </w:r>
      <w:proofErr w:type="gramEnd"/>
      <w:r w:rsidRPr="001F69B8">
        <w:rPr>
          <w:sz w:val="24"/>
          <w:szCs w:val="24"/>
        </w:rPr>
        <w:t xml:space="preserve"> will include all appropriate information from the Privacy Act including authority and purpose for collecting the data, with whom identifiable information will be shared, the voluntary nature of the information collection and the effect upon the respondent for not participating.</w:t>
      </w:r>
      <w:r w:rsidR="00F93CE5">
        <w:rPr>
          <w:sz w:val="24"/>
          <w:szCs w:val="24"/>
        </w:rPr>
        <w:t xml:space="preserve"> Examples of assent/consent/parental permission forms that may be used to conduct an EI and included in an OMB package are provided in </w:t>
      </w:r>
      <w:r w:rsidRPr="003717C7" w:rsidR="00F93CE5">
        <w:rPr>
          <w:b/>
          <w:sz w:val="24"/>
          <w:szCs w:val="24"/>
        </w:rPr>
        <w:t>Attachment 5</w:t>
      </w:r>
      <w:r w:rsidR="00F93CE5">
        <w:rPr>
          <w:sz w:val="24"/>
          <w:szCs w:val="24"/>
        </w:rPr>
        <w:t>.</w:t>
      </w:r>
      <w:r w:rsidR="00FA159B">
        <w:rPr>
          <w:sz w:val="24"/>
          <w:szCs w:val="24"/>
        </w:rPr>
        <w:t xml:space="preserve">  All consent forms accompanying a particular EI will be submitted as supplementary documentation in the generic submission.</w:t>
      </w:r>
    </w:p>
    <w:p w:rsidRPr="001F69B8" w:rsidR="001F69B8" w:rsidP="001F69B8" w:rsidRDefault="001F69B8" w14:paraId="5054DBAC" w14:textId="71244B45">
      <w:pPr>
        <w:tabs>
          <w:tab w:val="left" w:pos="1545"/>
        </w:tabs>
        <w:rPr>
          <w:sz w:val="24"/>
          <w:szCs w:val="24"/>
        </w:rPr>
      </w:pPr>
      <w:r w:rsidRPr="001F69B8">
        <w:rPr>
          <w:sz w:val="24"/>
          <w:szCs w:val="24"/>
        </w:rPr>
        <w:t>Through convenience sampling, EIs are generally a non</w:t>
      </w:r>
      <w:r w:rsidR="001A6CC9">
        <w:rPr>
          <w:sz w:val="24"/>
          <w:szCs w:val="24"/>
        </w:rPr>
        <w:t>-</w:t>
      </w:r>
      <w:r w:rsidRPr="001F69B8">
        <w:rPr>
          <w:sz w:val="24"/>
          <w:szCs w:val="24"/>
        </w:rPr>
        <w:t>research activity and human subjects review by an Institutional Review Board (IRB) will not be required.</w:t>
      </w:r>
      <w:r w:rsidR="00F93CE5">
        <w:rPr>
          <w:sz w:val="24"/>
          <w:szCs w:val="24"/>
        </w:rPr>
        <w:t xml:space="preserve"> A</w:t>
      </w:r>
      <w:r w:rsidR="00F067F5">
        <w:rPr>
          <w:sz w:val="24"/>
          <w:szCs w:val="24"/>
        </w:rPr>
        <w:t xml:space="preserve"> program </w:t>
      </w:r>
      <w:r w:rsidR="009459EE">
        <w:rPr>
          <w:sz w:val="24"/>
          <w:szCs w:val="24"/>
        </w:rPr>
        <w:t>research determination</w:t>
      </w:r>
      <w:r w:rsidR="00F93CE5">
        <w:rPr>
          <w:sz w:val="24"/>
          <w:szCs w:val="24"/>
        </w:rPr>
        <w:t xml:space="preserve"> is provided in </w:t>
      </w:r>
      <w:r w:rsidRPr="003717C7" w:rsidR="00F93CE5">
        <w:rPr>
          <w:b/>
          <w:sz w:val="24"/>
          <w:szCs w:val="24"/>
        </w:rPr>
        <w:t xml:space="preserve">Attachment </w:t>
      </w:r>
      <w:r w:rsidR="00C04509">
        <w:rPr>
          <w:b/>
          <w:sz w:val="24"/>
          <w:szCs w:val="24"/>
        </w:rPr>
        <w:t>7</w:t>
      </w:r>
      <w:r w:rsidR="00F93CE5">
        <w:rPr>
          <w:sz w:val="24"/>
          <w:szCs w:val="24"/>
        </w:rPr>
        <w:t xml:space="preserve">. </w:t>
      </w:r>
      <w:bookmarkStart w:name="_Hlk90501921" w:id="14"/>
      <w:r w:rsidRPr="001F69B8">
        <w:rPr>
          <w:sz w:val="24"/>
          <w:szCs w:val="24"/>
        </w:rPr>
        <w:t xml:space="preserve">On occasion as indicated in the </w:t>
      </w:r>
      <w:r w:rsidRPr="001F69B8">
        <w:rPr>
          <w:i/>
          <w:sz w:val="24"/>
          <w:szCs w:val="24"/>
        </w:rPr>
        <w:t xml:space="preserve">Public Health </w:t>
      </w:r>
      <w:r w:rsidRPr="001F69B8">
        <w:rPr>
          <w:i/>
          <w:sz w:val="24"/>
          <w:szCs w:val="24"/>
        </w:rPr>
        <w:lastRenderedPageBreak/>
        <w:t>Assessment Guidance Manual</w:t>
      </w:r>
      <w:r w:rsidRPr="001F69B8">
        <w:rPr>
          <w:sz w:val="24"/>
          <w:szCs w:val="24"/>
        </w:rPr>
        <w:t xml:space="preserve"> (ATSDR, 2005),</w:t>
      </w:r>
      <w:r w:rsidRPr="001F69B8">
        <w:rPr>
          <w:rStyle w:val="FootnoteReference"/>
          <w:rFonts w:asciiTheme="minorHAnsi" w:hAnsiTheme="minorHAnsi"/>
          <w:sz w:val="24"/>
          <w:szCs w:val="24"/>
        </w:rPr>
        <w:footnoteReference w:id="4"/>
      </w:r>
      <w:r w:rsidRPr="001F69B8">
        <w:rPr>
          <w:sz w:val="24"/>
          <w:szCs w:val="24"/>
        </w:rPr>
        <w:t xml:space="preserve"> state or CDC IRB review will be obtained if the purpose or methods of the EI is expanded to provide more than basic service (e.g., </w:t>
      </w:r>
      <w:r w:rsidR="00F067F5">
        <w:rPr>
          <w:sz w:val="24"/>
          <w:szCs w:val="24"/>
        </w:rPr>
        <w:t xml:space="preserve">secondary use of </w:t>
      </w:r>
      <w:r w:rsidR="00EC073D">
        <w:rPr>
          <w:sz w:val="24"/>
          <w:szCs w:val="24"/>
        </w:rPr>
        <w:t xml:space="preserve">identifiable </w:t>
      </w:r>
      <w:r w:rsidR="00F067F5">
        <w:rPr>
          <w:sz w:val="24"/>
          <w:szCs w:val="24"/>
        </w:rPr>
        <w:t>EI data to answer</w:t>
      </w:r>
      <w:r w:rsidRPr="001F69B8">
        <w:rPr>
          <w:sz w:val="24"/>
          <w:szCs w:val="24"/>
        </w:rPr>
        <w:t xml:space="preserve"> a research question, if vulnerable populations will be involved, or if circumstances would be considered greater than minimal risk in a research setting). </w:t>
      </w:r>
    </w:p>
    <w:bookmarkEnd w:id="14"/>
    <w:p w:rsidRPr="001F69B8" w:rsidR="001F69B8" w:rsidP="001F69B8" w:rsidRDefault="001F69B8" w14:paraId="627C316B" w14:textId="77777777">
      <w:pPr>
        <w:tabs>
          <w:tab w:val="left" w:pos="1545"/>
        </w:tabs>
        <w:rPr>
          <w:sz w:val="24"/>
          <w:szCs w:val="24"/>
        </w:rPr>
      </w:pPr>
      <w:r w:rsidRPr="001F69B8">
        <w:rPr>
          <w:sz w:val="24"/>
          <w:szCs w:val="24"/>
        </w:rPr>
        <w:t>All ATSDR EIs are reviewed by the NCEH/ATSDR Human Subjects Coordinator who is designated to make human subjects research-or-non-research determinations on a</w:t>
      </w:r>
      <w:r w:rsidR="007B505D">
        <w:rPr>
          <w:sz w:val="24"/>
          <w:szCs w:val="24"/>
        </w:rPr>
        <w:t>n E</w:t>
      </w:r>
      <w:r w:rsidR="00EC073D">
        <w:rPr>
          <w:sz w:val="24"/>
          <w:szCs w:val="24"/>
        </w:rPr>
        <w:t>I</w:t>
      </w:r>
      <w:r w:rsidRPr="001F69B8">
        <w:rPr>
          <w:sz w:val="24"/>
          <w:szCs w:val="24"/>
        </w:rPr>
        <w:t>-by-</w:t>
      </w:r>
      <w:r w:rsidR="007B505D">
        <w:rPr>
          <w:sz w:val="24"/>
          <w:szCs w:val="24"/>
        </w:rPr>
        <w:t>EI</w:t>
      </w:r>
      <w:r w:rsidRPr="001F69B8">
        <w:rPr>
          <w:sz w:val="24"/>
          <w:szCs w:val="24"/>
        </w:rPr>
        <w:t xml:space="preserve"> basis. </w:t>
      </w:r>
    </w:p>
    <w:p w:rsidRPr="001F69B8" w:rsidR="001F69B8" w:rsidP="001F69B8" w:rsidRDefault="001F69B8" w14:paraId="5180D134" w14:textId="77777777">
      <w:pPr>
        <w:autoSpaceDE w:val="0"/>
        <w:autoSpaceDN w:val="0"/>
        <w:adjustRightInd w:val="0"/>
        <w:rPr>
          <w:sz w:val="24"/>
          <w:szCs w:val="24"/>
        </w:rPr>
      </w:pPr>
      <w:r w:rsidRPr="001F69B8">
        <w:rPr>
          <w:color w:val="000000"/>
          <w:sz w:val="24"/>
          <w:szCs w:val="24"/>
        </w:rPr>
        <w:t xml:space="preserve">ATSDR sometimes gathers information that may be considered sensitive about individual characteristics (e.g., gender, age, weight, ethnicity, and race) to assist with interpretation for biological samples. For example, if ethnicity and race information is collected, the individual’s laboratory results are compared to similar ethnicity and race results in the </w:t>
      </w:r>
      <w:r w:rsidRPr="001F69B8">
        <w:rPr>
          <w:i/>
          <w:iCs/>
          <w:color w:val="000000"/>
          <w:sz w:val="24"/>
          <w:szCs w:val="24"/>
        </w:rPr>
        <w:t xml:space="preserve">National Report on Human Exposure to Environmental Chemicals </w:t>
      </w:r>
      <w:r w:rsidRPr="001F69B8">
        <w:rPr>
          <w:iCs/>
          <w:color w:val="000000"/>
          <w:sz w:val="24"/>
          <w:szCs w:val="24"/>
        </w:rPr>
        <w:t>(see citation above)</w:t>
      </w:r>
      <w:r w:rsidRPr="001F69B8">
        <w:rPr>
          <w:color w:val="000000"/>
          <w:sz w:val="24"/>
          <w:szCs w:val="24"/>
        </w:rPr>
        <w:t xml:space="preserve">. </w:t>
      </w:r>
      <w:r w:rsidRPr="001F69B8">
        <w:rPr>
          <w:bCs/>
          <w:iCs/>
          <w:sz w:val="24"/>
          <w:szCs w:val="24"/>
        </w:rPr>
        <w:t>Beyond that, g</w:t>
      </w:r>
      <w:r w:rsidRPr="001F69B8">
        <w:rPr>
          <w:sz w:val="24"/>
          <w:szCs w:val="24"/>
        </w:rPr>
        <w:t xml:space="preserve">enerally, questions of a sensitive nature are not asked. </w:t>
      </w:r>
    </w:p>
    <w:p w:rsidRPr="00F93CE5" w:rsidR="001F69B8" w:rsidP="00B72FE1" w:rsidRDefault="001F69B8" w14:paraId="55E690FB" w14:textId="77777777">
      <w:pPr>
        <w:autoSpaceDE w:val="0"/>
        <w:autoSpaceDN w:val="0"/>
        <w:adjustRightInd w:val="0"/>
        <w:rPr>
          <w:sz w:val="24"/>
          <w:szCs w:val="24"/>
        </w:rPr>
      </w:pPr>
      <w:r w:rsidRPr="001F69B8">
        <w:rPr>
          <w:sz w:val="24"/>
          <w:szCs w:val="24"/>
        </w:rPr>
        <w:t xml:space="preserve">Occasionally, we may need to ask sensitive questions on symptoms, medical outcomes, or drug and medication use to assist us in interpreting an individual’s laboratory results. ATSDR may also ask questions pertaining to recent or current pregnancy status for one of two reasons: 1) pregnancy makes a woman and her unborn child more vulnerable to the effects of some chemicals (e.g., lead) or 2) some blood tests require a large quantity of blood. For example it is generally difficult to collect a 70-ml blood sample for dioxins from a small child, pregnant woman, or an anemic or underweight person. </w:t>
      </w:r>
    </w:p>
    <w:p w:rsidRPr="00F93CE5" w:rsidR="001F69B8" w:rsidP="001F69B8" w:rsidRDefault="001F69B8" w14:paraId="0954C5E7" w14:textId="77777777">
      <w:pPr>
        <w:tabs>
          <w:tab w:val="left" w:pos="1545"/>
        </w:tabs>
        <w:rPr>
          <w:sz w:val="24"/>
          <w:szCs w:val="24"/>
        </w:rPr>
      </w:pPr>
      <w:r w:rsidRPr="00F93CE5">
        <w:rPr>
          <w:sz w:val="24"/>
          <w:szCs w:val="24"/>
        </w:rPr>
        <w:t>Social security numbers are not needed nor will be requested.</w:t>
      </w:r>
    </w:p>
    <w:p w:rsidRPr="00D20211" w:rsidR="00B45002" w:rsidP="00601F1A" w:rsidRDefault="00601F1A" w14:paraId="1438E4CB" w14:textId="77777777">
      <w:pPr>
        <w:pStyle w:val="Heading1"/>
        <w:pBdr>
          <w:bottom w:val="none" w:color="auto" w:sz="0" w:space="0"/>
        </w:pBdr>
        <w:rPr>
          <w:color w:val="auto"/>
        </w:rPr>
      </w:pPr>
      <w:bookmarkStart w:name="_Toc433960199" w:id="15"/>
      <w:r w:rsidRPr="00D20211">
        <w:rPr>
          <w:color w:val="auto"/>
        </w:rPr>
        <w:t>A.</w:t>
      </w:r>
      <w:r w:rsidRPr="00D20211" w:rsidR="004D21C9">
        <w:rPr>
          <w:color w:val="auto"/>
        </w:rPr>
        <w:t xml:space="preserve">12.  </w:t>
      </w:r>
      <w:r w:rsidRPr="00D20211" w:rsidR="00B45002">
        <w:rPr>
          <w:color w:val="auto"/>
        </w:rPr>
        <w:t>Estimates of Annualized Burden Hours and Costs</w:t>
      </w:r>
      <w:bookmarkEnd w:id="15"/>
    </w:p>
    <w:p w:rsidRPr="00D20211" w:rsidR="00ED72E9" w:rsidP="00ED72E9" w:rsidRDefault="00ED72E9" w14:paraId="65AE0A39" w14:textId="77777777">
      <w:pPr>
        <w:spacing w:line="240" w:lineRule="auto"/>
        <w:rPr>
          <w:sz w:val="24"/>
          <w:szCs w:val="24"/>
        </w:rPr>
      </w:pPr>
    </w:p>
    <w:p w:rsidR="00FA159B" w:rsidP="005D0DDF" w:rsidRDefault="0057192D" w14:paraId="15757156" w14:textId="6C5287BC">
      <w:pPr>
        <w:rPr>
          <w:bCs/>
          <w:sz w:val="24"/>
          <w:szCs w:val="24"/>
        </w:rPr>
      </w:pPr>
      <w:r w:rsidRPr="0057192D">
        <w:rPr>
          <w:sz w:val="24"/>
          <w:szCs w:val="24"/>
        </w:rPr>
        <w:t>A. Estimates of Annualized Burden Hours</w:t>
      </w:r>
    </w:p>
    <w:p w:rsidRPr="0057192D" w:rsidR="0057192D" w:rsidP="0057192D" w:rsidRDefault="0057192D" w14:paraId="6AF1960F" w14:textId="5F213E4A">
      <w:pPr>
        <w:tabs>
          <w:tab w:val="center" w:pos="4680"/>
          <w:tab w:val="left" w:pos="7710"/>
        </w:tabs>
        <w:rPr>
          <w:bCs/>
          <w:sz w:val="24"/>
          <w:szCs w:val="24"/>
        </w:rPr>
      </w:pPr>
      <w:r w:rsidRPr="0057192D">
        <w:rPr>
          <w:bCs/>
          <w:sz w:val="24"/>
          <w:szCs w:val="24"/>
        </w:rPr>
        <w:t xml:space="preserve">Generally, the number of participants per investigation ranges from 10 to 100. Therefore, we estimate that the maximum total number of respondents annually is 1,200 (12x100). Generally, we ask the questions once. </w:t>
      </w:r>
    </w:p>
    <w:p w:rsidRPr="0057192D" w:rsidR="0057192D" w:rsidP="0057192D" w:rsidRDefault="0057192D" w14:paraId="5116B1F6" w14:textId="7F5FFD1B">
      <w:pPr>
        <w:tabs>
          <w:tab w:val="center" w:pos="4680"/>
          <w:tab w:val="left" w:pos="7710"/>
        </w:tabs>
        <w:rPr>
          <w:sz w:val="24"/>
          <w:szCs w:val="24"/>
          <w:u w:val="single"/>
        </w:rPr>
      </w:pPr>
      <w:r w:rsidRPr="0057192D">
        <w:rPr>
          <w:bCs/>
          <w:sz w:val="24"/>
          <w:szCs w:val="24"/>
        </w:rPr>
        <w:t xml:space="preserve">The time burden per respondent is estimated at 30 minutes. A typical survey may include up to 20 general questions taking less than 30 seconds each to respond and 20 more in-depth exposure specific questions requiring less than one minute each. This estimate is consistent with our results from EIs conducted in the past few years.  </w:t>
      </w:r>
      <w:r w:rsidRPr="0057192D">
        <w:rPr>
          <w:sz w:val="24"/>
          <w:szCs w:val="24"/>
        </w:rPr>
        <w:t xml:space="preserve">The total estimated annual </w:t>
      </w:r>
      <w:r w:rsidR="00B4268B">
        <w:rPr>
          <w:sz w:val="24"/>
          <w:szCs w:val="24"/>
        </w:rPr>
        <w:t xml:space="preserve">time </w:t>
      </w:r>
      <w:r w:rsidRPr="0057192D">
        <w:rPr>
          <w:sz w:val="24"/>
          <w:szCs w:val="24"/>
        </w:rPr>
        <w:t xml:space="preserve">burden </w:t>
      </w:r>
      <w:r w:rsidR="00B4268B">
        <w:rPr>
          <w:sz w:val="24"/>
          <w:szCs w:val="24"/>
        </w:rPr>
        <w:t>remains unchanged at</w:t>
      </w:r>
      <w:r w:rsidRPr="0057192D">
        <w:rPr>
          <w:sz w:val="24"/>
          <w:szCs w:val="24"/>
        </w:rPr>
        <w:t xml:space="preserve"> 600</w:t>
      </w:r>
      <w:r w:rsidR="00B4268B">
        <w:rPr>
          <w:sz w:val="24"/>
          <w:szCs w:val="24"/>
        </w:rPr>
        <w:t xml:space="preserve"> hours</w:t>
      </w:r>
      <w:r w:rsidRPr="0057192D">
        <w:rPr>
          <w:sz w:val="24"/>
          <w:szCs w:val="24"/>
        </w:rPr>
        <w:t>.</w:t>
      </w:r>
    </w:p>
    <w:p w:rsidRPr="0057192D" w:rsidR="0057192D" w:rsidP="0057192D" w:rsidRDefault="0057192D" w14:paraId="6EB61596" w14:textId="77777777">
      <w:pPr>
        <w:tabs>
          <w:tab w:val="left" w:pos="1545"/>
        </w:tabs>
        <w:rPr>
          <w:b/>
          <w:sz w:val="24"/>
          <w:szCs w:val="24"/>
        </w:rPr>
      </w:pPr>
      <w:r w:rsidRPr="0057192D">
        <w:rPr>
          <w:sz w:val="24"/>
          <w:szCs w:val="24"/>
          <w:u w:val="single"/>
        </w:rPr>
        <w:t>Estimated Annualized Burden Hours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30"/>
        <w:gridCol w:w="1199"/>
        <w:gridCol w:w="1530"/>
        <w:gridCol w:w="1911"/>
        <w:gridCol w:w="1806"/>
        <w:gridCol w:w="1600"/>
      </w:tblGrid>
      <w:tr w:rsidRPr="0057192D" w:rsidR="0057192D" w:rsidTr="0057192D" w14:paraId="48AC1CCD" w14:textId="77777777">
        <w:tc>
          <w:tcPr>
            <w:tcW w:w="1531" w:type="dxa"/>
            <w:shd w:val="clear" w:color="auto" w:fill="auto"/>
            <w:vAlign w:val="center"/>
          </w:tcPr>
          <w:p w:rsidRPr="0057192D" w:rsidR="0057192D" w:rsidP="00B72FE1" w:rsidRDefault="0057192D" w14:paraId="5A6718EC" w14:textId="77777777">
            <w:pPr>
              <w:tabs>
                <w:tab w:val="left" w:pos="1545"/>
              </w:tabs>
              <w:spacing w:after="0" w:line="240" w:lineRule="auto"/>
              <w:jc w:val="center"/>
              <w:rPr>
                <w:rFonts w:cs="Arial"/>
                <w:sz w:val="24"/>
                <w:szCs w:val="24"/>
              </w:rPr>
            </w:pPr>
            <w:r w:rsidRPr="0057192D">
              <w:rPr>
                <w:rFonts w:cs="Arial"/>
                <w:sz w:val="24"/>
                <w:szCs w:val="24"/>
              </w:rPr>
              <w:lastRenderedPageBreak/>
              <w:t>Type of Respondents</w:t>
            </w:r>
          </w:p>
        </w:tc>
        <w:tc>
          <w:tcPr>
            <w:tcW w:w="1151" w:type="dxa"/>
            <w:vAlign w:val="center"/>
          </w:tcPr>
          <w:p w:rsidRPr="0057192D" w:rsidR="0057192D" w:rsidP="00B72FE1" w:rsidRDefault="0057192D" w14:paraId="4033F245" w14:textId="77777777">
            <w:pPr>
              <w:tabs>
                <w:tab w:val="left" w:pos="1545"/>
              </w:tabs>
              <w:spacing w:after="0" w:line="240" w:lineRule="auto"/>
              <w:jc w:val="center"/>
              <w:rPr>
                <w:rFonts w:cs="Arial"/>
                <w:sz w:val="24"/>
                <w:szCs w:val="24"/>
              </w:rPr>
            </w:pPr>
            <w:r w:rsidRPr="0057192D">
              <w:rPr>
                <w:rFonts w:cs="Arial"/>
                <w:sz w:val="24"/>
                <w:szCs w:val="24"/>
              </w:rPr>
              <w:t>Form Name</w:t>
            </w:r>
          </w:p>
        </w:tc>
        <w:tc>
          <w:tcPr>
            <w:tcW w:w="1531" w:type="dxa"/>
            <w:shd w:val="clear" w:color="auto" w:fill="auto"/>
            <w:vAlign w:val="center"/>
          </w:tcPr>
          <w:p w:rsidRPr="0057192D" w:rsidR="0057192D" w:rsidP="00B72FE1" w:rsidRDefault="0057192D" w14:paraId="23E2276C" w14:textId="77777777">
            <w:pPr>
              <w:tabs>
                <w:tab w:val="left" w:pos="1545"/>
              </w:tabs>
              <w:spacing w:after="0" w:line="240" w:lineRule="auto"/>
              <w:jc w:val="center"/>
              <w:rPr>
                <w:rFonts w:cs="Arial"/>
                <w:sz w:val="24"/>
                <w:szCs w:val="24"/>
              </w:rPr>
            </w:pPr>
            <w:r w:rsidRPr="0057192D">
              <w:rPr>
                <w:rFonts w:cs="Arial"/>
                <w:sz w:val="24"/>
                <w:szCs w:val="24"/>
              </w:rPr>
              <w:t>No. of Respondents</w:t>
            </w:r>
          </w:p>
        </w:tc>
        <w:tc>
          <w:tcPr>
            <w:tcW w:w="1924" w:type="dxa"/>
            <w:shd w:val="clear" w:color="auto" w:fill="auto"/>
            <w:vAlign w:val="center"/>
          </w:tcPr>
          <w:p w:rsidRPr="0057192D" w:rsidR="0057192D" w:rsidP="00B72FE1" w:rsidRDefault="0057192D" w14:paraId="360F125B" w14:textId="77777777">
            <w:pPr>
              <w:tabs>
                <w:tab w:val="left" w:pos="1545"/>
              </w:tabs>
              <w:spacing w:after="0" w:line="240" w:lineRule="auto"/>
              <w:jc w:val="center"/>
              <w:rPr>
                <w:rFonts w:cs="Arial"/>
                <w:sz w:val="24"/>
                <w:szCs w:val="24"/>
              </w:rPr>
            </w:pPr>
            <w:r w:rsidRPr="0057192D">
              <w:rPr>
                <w:rFonts w:cs="Arial"/>
                <w:sz w:val="24"/>
                <w:szCs w:val="24"/>
              </w:rPr>
              <w:t>No. of Responses per Respondent</w:t>
            </w:r>
          </w:p>
        </w:tc>
        <w:tc>
          <w:tcPr>
            <w:tcW w:w="1822" w:type="dxa"/>
            <w:shd w:val="clear" w:color="auto" w:fill="auto"/>
            <w:vAlign w:val="center"/>
          </w:tcPr>
          <w:p w:rsidRPr="0057192D" w:rsidR="0057192D" w:rsidP="00B72FE1" w:rsidRDefault="0057192D" w14:paraId="7B4008C4" w14:textId="77777777">
            <w:pPr>
              <w:tabs>
                <w:tab w:val="left" w:pos="1545"/>
              </w:tabs>
              <w:spacing w:after="0" w:line="240" w:lineRule="auto"/>
              <w:jc w:val="center"/>
              <w:rPr>
                <w:rFonts w:cs="Arial"/>
                <w:sz w:val="24"/>
                <w:szCs w:val="24"/>
              </w:rPr>
            </w:pPr>
            <w:r w:rsidRPr="0057192D">
              <w:rPr>
                <w:rFonts w:cs="Arial"/>
                <w:sz w:val="24"/>
                <w:szCs w:val="24"/>
              </w:rPr>
              <w:t>Average Burden per Response (in hours)</w:t>
            </w:r>
          </w:p>
        </w:tc>
        <w:tc>
          <w:tcPr>
            <w:tcW w:w="1617" w:type="dxa"/>
            <w:shd w:val="clear" w:color="auto" w:fill="auto"/>
            <w:vAlign w:val="center"/>
          </w:tcPr>
          <w:p w:rsidRPr="0057192D" w:rsidR="0057192D" w:rsidP="00B72FE1" w:rsidRDefault="0057192D" w14:paraId="629D53FE" w14:textId="77777777">
            <w:pPr>
              <w:tabs>
                <w:tab w:val="left" w:pos="1545"/>
              </w:tabs>
              <w:spacing w:after="0" w:line="240" w:lineRule="auto"/>
              <w:jc w:val="center"/>
              <w:rPr>
                <w:rFonts w:cs="Arial"/>
                <w:sz w:val="24"/>
                <w:szCs w:val="24"/>
              </w:rPr>
            </w:pPr>
            <w:r w:rsidRPr="0057192D">
              <w:rPr>
                <w:rFonts w:cs="Arial"/>
                <w:sz w:val="24"/>
                <w:szCs w:val="24"/>
              </w:rPr>
              <w:t>Total Burden (In Hours)</w:t>
            </w:r>
          </w:p>
        </w:tc>
      </w:tr>
      <w:tr w:rsidRPr="0057192D" w:rsidR="0057192D" w:rsidTr="0057192D" w14:paraId="5A62E7CA" w14:textId="77777777">
        <w:tc>
          <w:tcPr>
            <w:tcW w:w="1531" w:type="dxa"/>
            <w:shd w:val="clear" w:color="auto" w:fill="auto"/>
            <w:vAlign w:val="center"/>
          </w:tcPr>
          <w:p w:rsidRPr="0057192D" w:rsidR="0057192D" w:rsidP="00B72FE1" w:rsidRDefault="0057192D" w14:paraId="0DD9C309" w14:textId="77777777">
            <w:pPr>
              <w:tabs>
                <w:tab w:val="left" w:pos="1545"/>
              </w:tabs>
              <w:spacing w:after="0" w:line="240" w:lineRule="auto"/>
              <w:rPr>
                <w:rFonts w:cs="Arial"/>
                <w:sz w:val="24"/>
                <w:szCs w:val="24"/>
              </w:rPr>
            </w:pPr>
            <w:r w:rsidRPr="0057192D">
              <w:rPr>
                <w:rFonts w:cs="Arial"/>
                <w:sz w:val="24"/>
                <w:szCs w:val="24"/>
              </w:rPr>
              <w:t xml:space="preserve">EI participants </w:t>
            </w:r>
          </w:p>
        </w:tc>
        <w:tc>
          <w:tcPr>
            <w:tcW w:w="1151" w:type="dxa"/>
            <w:vAlign w:val="center"/>
          </w:tcPr>
          <w:p w:rsidRPr="0057192D" w:rsidR="0057192D" w:rsidP="00B72FE1" w:rsidRDefault="0057192D" w14:paraId="761BEC95" w14:textId="77777777">
            <w:pPr>
              <w:tabs>
                <w:tab w:val="left" w:pos="1545"/>
              </w:tabs>
              <w:spacing w:after="0" w:line="240" w:lineRule="auto"/>
              <w:jc w:val="center"/>
              <w:rPr>
                <w:rFonts w:cs="Arial"/>
                <w:sz w:val="24"/>
                <w:szCs w:val="24"/>
              </w:rPr>
            </w:pPr>
            <w:r w:rsidRPr="0057192D">
              <w:rPr>
                <w:rFonts w:cs="Arial"/>
                <w:sz w:val="24"/>
                <w:szCs w:val="24"/>
              </w:rPr>
              <w:t>Chemical Exposure Questions</w:t>
            </w:r>
          </w:p>
        </w:tc>
        <w:tc>
          <w:tcPr>
            <w:tcW w:w="1531" w:type="dxa"/>
            <w:shd w:val="clear" w:color="auto" w:fill="auto"/>
            <w:vAlign w:val="center"/>
          </w:tcPr>
          <w:p w:rsidRPr="0057192D" w:rsidR="0057192D" w:rsidP="00B72FE1" w:rsidRDefault="0057192D" w14:paraId="285018CD" w14:textId="77777777">
            <w:pPr>
              <w:tabs>
                <w:tab w:val="left" w:pos="1545"/>
              </w:tabs>
              <w:spacing w:after="0" w:line="240" w:lineRule="auto"/>
              <w:jc w:val="center"/>
              <w:rPr>
                <w:rFonts w:cs="Arial"/>
                <w:sz w:val="24"/>
                <w:szCs w:val="24"/>
              </w:rPr>
            </w:pPr>
            <w:r w:rsidRPr="0057192D">
              <w:rPr>
                <w:rFonts w:cs="Arial"/>
                <w:sz w:val="24"/>
                <w:szCs w:val="24"/>
              </w:rPr>
              <w:t>1,200</w:t>
            </w:r>
          </w:p>
        </w:tc>
        <w:tc>
          <w:tcPr>
            <w:tcW w:w="1924" w:type="dxa"/>
            <w:shd w:val="clear" w:color="auto" w:fill="auto"/>
            <w:vAlign w:val="center"/>
          </w:tcPr>
          <w:p w:rsidRPr="0057192D" w:rsidR="0057192D" w:rsidP="00B72FE1" w:rsidRDefault="0057192D" w14:paraId="23D42FF0" w14:textId="77777777">
            <w:pPr>
              <w:tabs>
                <w:tab w:val="left" w:pos="1545"/>
              </w:tabs>
              <w:spacing w:after="0" w:line="240" w:lineRule="auto"/>
              <w:jc w:val="center"/>
              <w:rPr>
                <w:rFonts w:cs="Arial"/>
                <w:sz w:val="24"/>
                <w:szCs w:val="24"/>
              </w:rPr>
            </w:pPr>
            <w:r w:rsidRPr="0057192D">
              <w:rPr>
                <w:rFonts w:cs="Arial"/>
                <w:sz w:val="24"/>
                <w:szCs w:val="24"/>
              </w:rPr>
              <w:t>1</w:t>
            </w:r>
          </w:p>
        </w:tc>
        <w:tc>
          <w:tcPr>
            <w:tcW w:w="1822" w:type="dxa"/>
            <w:shd w:val="clear" w:color="auto" w:fill="auto"/>
            <w:vAlign w:val="center"/>
          </w:tcPr>
          <w:p w:rsidRPr="0057192D" w:rsidR="0057192D" w:rsidP="00B72FE1" w:rsidRDefault="0057192D" w14:paraId="1E3FDE42" w14:textId="77777777">
            <w:pPr>
              <w:tabs>
                <w:tab w:val="left" w:pos="1545"/>
              </w:tabs>
              <w:spacing w:after="0" w:line="240" w:lineRule="auto"/>
              <w:jc w:val="center"/>
              <w:rPr>
                <w:rFonts w:cs="Arial"/>
                <w:sz w:val="24"/>
                <w:szCs w:val="24"/>
              </w:rPr>
            </w:pPr>
            <w:r w:rsidRPr="0057192D">
              <w:rPr>
                <w:rFonts w:cs="Arial"/>
                <w:sz w:val="24"/>
                <w:szCs w:val="24"/>
              </w:rPr>
              <w:t>30/60</w:t>
            </w:r>
          </w:p>
        </w:tc>
        <w:tc>
          <w:tcPr>
            <w:tcW w:w="1617" w:type="dxa"/>
            <w:shd w:val="clear" w:color="auto" w:fill="auto"/>
            <w:vAlign w:val="center"/>
          </w:tcPr>
          <w:p w:rsidRPr="0057192D" w:rsidR="0057192D" w:rsidP="00B72FE1" w:rsidRDefault="0057192D" w14:paraId="133E5C2D" w14:textId="77777777">
            <w:pPr>
              <w:tabs>
                <w:tab w:val="left" w:pos="1545"/>
              </w:tabs>
              <w:spacing w:after="0" w:line="240" w:lineRule="auto"/>
              <w:jc w:val="center"/>
              <w:rPr>
                <w:rFonts w:cs="Arial"/>
                <w:sz w:val="24"/>
                <w:szCs w:val="24"/>
              </w:rPr>
            </w:pPr>
            <w:r w:rsidRPr="0057192D">
              <w:rPr>
                <w:rFonts w:cs="Arial"/>
                <w:sz w:val="24"/>
                <w:szCs w:val="24"/>
              </w:rPr>
              <w:t>600</w:t>
            </w:r>
          </w:p>
        </w:tc>
      </w:tr>
    </w:tbl>
    <w:p w:rsidR="00A50CA1" w:rsidP="00B72FE1" w:rsidRDefault="00A50CA1" w14:paraId="627902D0" w14:textId="77777777">
      <w:pPr>
        <w:rPr>
          <w:sz w:val="24"/>
          <w:szCs w:val="24"/>
        </w:rPr>
      </w:pPr>
    </w:p>
    <w:p w:rsidRPr="0057192D" w:rsidR="0057192D" w:rsidP="00B72FE1" w:rsidRDefault="0057192D" w14:paraId="353B8200" w14:textId="77777777">
      <w:pPr>
        <w:rPr>
          <w:b/>
          <w:sz w:val="24"/>
          <w:szCs w:val="24"/>
        </w:rPr>
      </w:pPr>
      <w:r w:rsidRPr="0057192D">
        <w:rPr>
          <w:sz w:val="24"/>
          <w:szCs w:val="24"/>
        </w:rPr>
        <w:t>B. Annualized Cost to Respondents</w:t>
      </w:r>
    </w:p>
    <w:p w:rsidRPr="0057192D" w:rsidR="0057192D" w:rsidP="0057192D" w:rsidRDefault="0057192D" w14:paraId="46F713B0" w14:textId="6E535E0A">
      <w:pPr>
        <w:tabs>
          <w:tab w:val="center" w:pos="4680"/>
          <w:tab w:val="left" w:pos="7710"/>
        </w:tabs>
        <w:rPr>
          <w:color w:val="FF0000"/>
          <w:sz w:val="24"/>
          <w:szCs w:val="24"/>
        </w:rPr>
      </w:pPr>
      <w:r w:rsidRPr="0057192D">
        <w:rPr>
          <w:sz w:val="24"/>
          <w:szCs w:val="24"/>
        </w:rPr>
        <w:t>Using a rate of $</w:t>
      </w:r>
      <w:r w:rsidR="00D94B04">
        <w:rPr>
          <w:sz w:val="24"/>
          <w:szCs w:val="24"/>
        </w:rPr>
        <w:t>27.07</w:t>
      </w:r>
      <w:r w:rsidRPr="0057192D">
        <w:rPr>
          <w:color w:val="000000"/>
          <w:sz w:val="24"/>
          <w:szCs w:val="24"/>
        </w:rPr>
        <w:t>/</w:t>
      </w:r>
      <w:proofErr w:type="spellStart"/>
      <w:r w:rsidRPr="0057192D">
        <w:rPr>
          <w:color w:val="000000"/>
          <w:sz w:val="24"/>
          <w:szCs w:val="24"/>
        </w:rPr>
        <w:t>hr</w:t>
      </w:r>
      <w:proofErr w:type="spellEnd"/>
      <w:r w:rsidRPr="0057192D">
        <w:rPr>
          <w:color w:val="000000"/>
          <w:sz w:val="24"/>
          <w:szCs w:val="24"/>
        </w:rPr>
        <w:t>,</w:t>
      </w:r>
      <w:r w:rsidRPr="0057192D">
        <w:rPr>
          <w:sz w:val="24"/>
          <w:szCs w:val="24"/>
        </w:rPr>
        <w:t xml:space="preserve"> the annualized cost to respondents for the hour burdens for the collection of information is $</w:t>
      </w:r>
      <w:r w:rsidR="00D94B04">
        <w:rPr>
          <w:sz w:val="24"/>
          <w:szCs w:val="24"/>
        </w:rPr>
        <w:t>16,242</w:t>
      </w:r>
      <w:r w:rsidRPr="0057192D">
        <w:rPr>
          <w:sz w:val="24"/>
          <w:szCs w:val="24"/>
        </w:rPr>
        <w:t xml:space="preserve">. The hourly wage rate is based on the U.S. Department of Labor, Bureau of Labor Statistics’ most current statistics [May </w:t>
      </w:r>
      <w:r w:rsidRPr="0057192D" w:rsidR="00D94B04">
        <w:rPr>
          <w:sz w:val="24"/>
          <w:szCs w:val="24"/>
        </w:rPr>
        <w:t>20</w:t>
      </w:r>
      <w:r w:rsidR="00D94B04">
        <w:rPr>
          <w:sz w:val="24"/>
          <w:szCs w:val="24"/>
        </w:rPr>
        <w:t>20</w:t>
      </w:r>
      <w:r w:rsidRPr="0057192D" w:rsidR="00D94B04">
        <w:rPr>
          <w:sz w:val="24"/>
          <w:szCs w:val="24"/>
        </w:rPr>
        <w:t xml:space="preserve"> </w:t>
      </w:r>
      <w:r w:rsidRPr="0057192D">
        <w:rPr>
          <w:sz w:val="24"/>
          <w:szCs w:val="24"/>
        </w:rPr>
        <w:t xml:space="preserve">National Occupational Employment and Wage Estimates United States, </w:t>
      </w:r>
      <w:r w:rsidR="00FF6D29">
        <w:rPr>
          <w:sz w:val="24"/>
          <w:szCs w:val="24"/>
        </w:rPr>
        <w:t xml:space="preserve">Online </w:t>
      </w:r>
      <w:r w:rsidR="00D94B04">
        <w:rPr>
          <w:sz w:val="24"/>
          <w:szCs w:val="24"/>
        </w:rPr>
        <w:t>November 2021</w:t>
      </w:r>
      <w:r w:rsidR="00FF6D29">
        <w:rPr>
          <w:sz w:val="24"/>
          <w:szCs w:val="24"/>
        </w:rPr>
        <w:t xml:space="preserve">, </w:t>
      </w:r>
      <w:hyperlink w:history="1" r:id="rId16">
        <w:r w:rsidRPr="001A2B7D" w:rsidR="00FF6D29">
          <w:rPr>
            <w:rStyle w:val="Hyperlink"/>
            <w:rFonts w:ascii="Times New Roman" w:hAnsi="Times New Roman" w:cs="Times New Roman"/>
            <w:sz w:val="24"/>
            <w:szCs w:val="24"/>
          </w:rPr>
          <w:t>https://www.bls.gov/oes/current/oes_nat.htm</w:t>
        </w:r>
      </w:hyperlink>
      <w:r w:rsidRPr="0057192D">
        <w:rPr>
          <w:sz w:val="24"/>
          <w:szCs w:val="24"/>
        </w:rPr>
        <w:t>].</w:t>
      </w:r>
    </w:p>
    <w:p w:rsidRPr="0057192D" w:rsidR="0057192D" w:rsidP="0057192D" w:rsidRDefault="0057192D" w14:paraId="0FBB310A" w14:textId="77777777">
      <w:pPr>
        <w:tabs>
          <w:tab w:val="center" w:pos="4680"/>
          <w:tab w:val="left" w:pos="7710"/>
        </w:tabs>
        <w:rPr>
          <w:sz w:val="24"/>
          <w:szCs w:val="24"/>
        </w:rPr>
      </w:pPr>
      <w:r w:rsidRPr="0057192D">
        <w:rPr>
          <w:color w:val="000000"/>
          <w:sz w:val="24"/>
          <w:szCs w:val="24"/>
          <w:u w:val="single"/>
        </w:rPr>
        <w:t xml:space="preserve">Estimated Annualized </w:t>
      </w:r>
      <w:r w:rsidRPr="0057192D">
        <w:rPr>
          <w:sz w:val="24"/>
          <w:szCs w:val="24"/>
          <w:u w:val="single"/>
        </w:rPr>
        <w:t>Burden Costs</w:t>
      </w:r>
    </w:p>
    <w:tbl>
      <w:tblPr>
        <w:tblW w:w="9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45"/>
        <w:gridCol w:w="1260"/>
        <w:gridCol w:w="1124"/>
        <w:gridCol w:w="1124"/>
        <w:gridCol w:w="1124"/>
        <w:gridCol w:w="1124"/>
        <w:gridCol w:w="1124"/>
        <w:gridCol w:w="1125"/>
      </w:tblGrid>
      <w:tr w:rsidRPr="0057192D" w:rsidR="0057192D" w:rsidTr="00B72FE1" w14:paraId="2A10D102" w14:textId="77777777">
        <w:tc>
          <w:tcPr>
            <w:tcW w:w="1345" w:type="dxa"/>
            <w:shd w:val="clear" w:color="auto" w:fill="auto"/>
            <w:vAlign w:val="center"/>
          </w:tcPr>
          <w:p w:rsidRPr="00C432CE" w:rsidR="0057192D" w:rsidP="00B72FE1" w:rsidRDefault="0057192D" w14:paraId="1B5507E7" w14:textId="77777777">
            <w:pPr>
              <w:tabs>
                <w:tab w:val="center" w:pos="4680"/>
                <w:tab w:val="left" w:pos="7710"/>
              </w:tabs>
              <w:spacing w:after="0" w:line="240" w:lineRule="auto"/>
              <w:jc w:val="center"/>
              <w:rPr>
                <w:sz w:val="22"/>
                <w:szCs w:val="22"/>
              </w:rPr>
            </w:pPr>
            <w:r w:rsidRPr="00C432CE">
              <w:rPr>
                <w:rFonts w:cs="Arial"/>
                <w:sz w:val="22"/>
                <w:szCs w:val="22"/>
              </w:rPr>
              <w:t>Type of Respondents</w:t>
            </w:r>
          </w:p>
        </w:tc>
        <w:tc>
          <w:tcPr>
            <w:tcW w:w="1260" w:type="dxa"/>
            <w:vAlign w:val="center"/>
          </w:tcPr>
          <w:p w:rsidRPr="00C432CE" w:rsidR="0057192D" w:rsidP="00B72FE1" w:rsidRDefault="0057192D" w14:paraId="281CF665" w14:textId="77777777">
            <w:pPr>
              <w:tabs>
                <w:tab w:val="left" w:pos="1545"/>
              </w:tabs>
              <w:spacing w:after="0" w:line="240" w:lineRule="auto"/>
              <w:jc w:val="center"/>
              <w:rPr>
                <w:rFonts w:cs="Arial"/>
                <w:sz w:val="22"/>
                <w:szCs w:val="22"/>
              </w:rPr>
            </w:pPr>
            <w:r w:rsidRPr="00C432CE">
              <w:rPr>
                <w:rFonts w:cs="Arial"/>
                <w:sz w:val="22"/>
                <w:szCs w:val="22"/>
              </w:rPr>
              <w:t>Form Name</w:t>
            </w:r>
          </w:p>
        </w:tc>
        <w:tc>
          <w:tcPr>
            <w:tcW w:w="1124" w:type="dxa"/>
            <w:vAlign w:val="center"/>
          </w:tcPr>
          <w:p w:rsidRPr="00C432CE" w:rsidR="0057192D" w:rsidP="00B72FE1" w:rsidRDefault="0057192D" w14:paraId="7A25537C" w14:textId="77777777">
            <w:pPr>
              <w:tabs>
                <w:tab w:val="left" w:pos="1545"/>
              </w:tabs>
              <w:spacing w:after="0" w:line="240" w:lineRule="auto"/>
              <w:jc w:val="center"/>
              <w:rPr>
                <w:rFonts w:cs="Arial"/>
                <w:sz w:val="22"/>
                <w:szCs w:val="22"/>
              </w:rPr>
            </w:pPr>
            <w:r w:rsidRPr="00C432CE">
              <w:rPr>
                <w:rFonts w:cs="Arial"/>
                <w:sz w:val="22"/>
                <w:szCs w:val="22"/>
              </w:rPr>
              <w:t>No. of Respondents</w:t>
            </w:r>
          </w:p>
        </w:tc>
        <w:tc>
          <w:tcPr>
            <w:tcW w:w="1124" w:type="dxa"/>
            <w:vAlign w:val="center"/>
          </w:tcPr>
          <w:p w:rsidRPr="00C432CE" w:rsidR="0057192D" w:rsidP="00B72FE1" w:rsidRDefault="0057192D" w14:paraId="0500B13D" w14:textId="77777777">
            <w:pPr>
              <w:tabs>
                <w:tab w:val="left" w:pos="1545"/>
              </w:tabs>
              <w:spacing w:after="0" w:line="240" w:lineRule="auto"/>
              <w:jc w:val="center"/>
              <w:rPr>
                <w:rFonts w:cs="Arial"/>
                <w:sz w:val="22"/>
                <w:szCs w:val="22"/>
              </w:rPr>
            </w:pPr>
            <w:r w:rsidRPr="00C432CE">
              <w:rPr>
                <w:rFonts w:cs="Arial"/>
                <w:sz w:val="22"/>
                <w:szCs w:val="22"/>
              </w:rPr>
              <w:t>No. Responses per Respondent</w:t>
            </w:r>
          </w:p>
        </w:tc>
        <w:tc>
          <w:tcPr>
            <w:tcW w:w="1124" w:type="dxa"/>
            <w:vAlign w:val="center"/>
          </w:tcPr>
          <w:p w:rsidRPr="00C432CE" w:rsidR="0057192D" w:rsidP="00B72FE1" w:rsidRDefault="0057192D" w14:paraId="069C27F0" w14:textId="77777777">
            <w:pPr>
              <w:tabs>
                <w:tab w:val="left" w:pos="1545"/>
              </w:tabs>
              <w:spacing w:after="0" w:line="240" w:lineRule="auto"/>
              <w:jc w:val="center"/>
              <w:rPr>
                <w:rFonts w:cs="Arial"/>
                <w:sz w:val="22"/>
                <w:szCs w:val="22"/>
              </w:rPr>
            </w:pPr>
            <w:r w:rsidRPr="00C432CE">
              <w:rPr>
                <w:rFonts w:cs="Arial"/>
                <w:sz w:val="22"/>
                <w:szCs w:val="22"/>
              </w:rPr>
              <w:t>Avg. Burden per Response (In hours)</w:t>
            </w:r>
          </w:p>
        </w:tc>
        <w:tc>
          <w:tcPr>
            <w:tcW w:w="1124" w:type="dxa"/>
            <w:shd w:val="clear" w:color="auto" w:fill="auto"/>
            <w:vAlign w:val="center"/>
          </w:tcPr>
          <w:p w:rsidRPr="00C432CE" w:rsidR="0057192D" w:rsidP="00B72FE1" w:rsidRDefault="0057192D" w14:paraId="2FB4CD33" w14:textId="77777777">
            <w:pPr>
              <w:tabs>
                <w:tab w:val="left" w:pos="1545"/>
              </w:tabs>
              <w:spacing w:after="0" w:line="240" w:lineRule="auto"/>
              <w:jc w:val="center"/>
              <w:rPr>
                <w:rFonts w:cs="Arial"/>
                <w:sz w:val="22"/>
                <w:szCs w:val="22"/>
              </w:rPr>
            </w:pPr>
            <w:r w:rsidRPr="00C432CE">
              <w:rPr>
                <w:rFonts w:cs="Arial"/>
                <w:sz w:val="22"/>
                <w:szCs w:val="22"/>
              </w:rPr>
              <w:t>Total Burden Hours</w:t>
            </w:r>
          </w:p>
        </w:tc>
        <w:tc>
          <w:tcPr>
            <w:tcW w:w="1124" w:type="dxa"/>
            <w:shd w:val="clear" w:color="auto" w:fill="auto"/>
            <w:vAlign w:val="center"/>
          </w:tcPr>
          <w:p w:rsidRPr="00C432CE" w:rsidR="0057192D" w:rsidP="00B72FE1" w:rsidRDefault="0057192D" w14:paraId="4630DB0B" w14:textId="77777777">
            <w:pPr>
              <w:tabs>
                <w:tab w:val="center" w:pos="4680"/>
                <w:tab w:val="left" w:pos="7710"/>
              </w:tabs>
              <w:spacing w:after="0" w:line="240" w:lineRule="auto"/>
              <w:jc w:val="center"/>
              <w:rPr>
                <w:sz w:val="22"/>
                <w:szCs w:val="22"/>
              </w:rPr>
            </w:pPr>
            <w:r w:rsidRPr="00C432CE">
              <w:rPr>
                <w:rFonts w:cs="Arial"/>
                <w:sz w:val="22"/>
                <w:szCs w:val="22"/>
              </w:rPr>
              <w:t>Hourly Wage Rate</w:t>
            </w:r>
          </w:p>
        </w:tc>
        <w:tc>
          <w:tcPr>
            <w:tcW w:w="1125" w:type="dxa"/>
            <w:shd w:val="clear" w:color="auto" w:fill="auto"/>
            <w:vAlign w:val="center"/>
          </w:tcPr>
          <w:p w:rsidRPr="00C432CE" w:rsidR="0057192D" w:rsidP="00B72FE1" w:rsidRDefault="0057192D" w14:paraId="5B5013B4" w14:textId="77777777">
            <w:pPr>
              <w:tabs>
                <w:tab w:val="center" w:pos="4680"/>
                <w:tab w:val="left" w:pos="7710"/>
              </w:tabs>
              <w:spacing w:after="0" w:line="240" w:lineRule="auto"/>
              <w:jc w:val="center"/>
              <w:rPr>
                <w:sz w:val="22"/>
                <w:szCs w:val="22"/>
              </w:rPr>
            </w:pPr>
            <w:r w:rsidRPr="00C432CE">
              <w:rPr>
                <w:rFonts w:cs="Arial"/>
                <w:sz w:val="22"/>
                <w:szCs w:val="22"/>
              </w:rPr>
              <w:t>Total Respondent Costs</w:t>
            </w:r>
          </w:p>
        </w:tc>
      </w:tr>
      <w:tr w:rsidRPr="0057192D" w:rsidR="0057192D" w:rsidTr="00B72FE1" w14:paraId="1240BC6B" w14:textId="77777777">
        <w:tc>
          <w:tcPr>
            <w:tcW w:w="1345" w:type="dxa"/>
            <w:shd w:val="clear" w:color="auto" w:fill="auto"/>
            <w:vAlign w:val="center"/>
          </w:tcPr>
          <w:p w:rsidRPr="00C432CE" w:rsidR="0057192D" w:rsidP="00B72FE1" w:rsidRDefault="0057192D" w14:paraId="622F13CA" w14:textId="77777777">
            <w:pPr>
              <w:tabs>
                <w:tab w:val="center" w:pos="4680"/>
                <w:tab w:val="left" w:pos="7710"/>
              </w:tabs>
              <w:spacing w:after="0"/>
              <w:rPr>
                <w:rFonts w:cs="Arial"/>
                <w:sz w:val="22"/>
                <w:szCs w:val="22"/>
              </w:rPr>
            </w:pPr>
            <w:r w:rsidRPr="00C432CE">
              <w:rPr>
                <w:rFonts w:cs="Arial"/>
                <w:sz w:val="22"/>
                <w:szCs w:val="22"/>
              </w:rPr>
              <w:t>EI participants</w:t>
            </w:r>
          </w:p>
        </w:tc>
        <w:tc>
          <w:tcPr>
            <w:tcW w:w="1260" w:type="dxa"/>
            <w:vAlign w:val="center"/>
          </w:tcPr>
          <w:p w:rsidRPr="00C432CE" w:rsidR="0057192D" w:rsidP="00B72FE1" w:rsidRDefault="0057192D" w14:paraId="431712F6" w14:textId="77777777">
            <w:pPr>
              <w:tabs>
                <w:tab w:val="center" w:pos="4680"/>
                <w:tab w:val="left" w:pos="7710"/>
              </w:tabs>
              <w:spacing w:after="0"/>
              <w:jc w:val="center"/>
              <w:rPr>
                <w:rFonts w:cs="Arial"/>
                <w:sz w:val="22"/>
                <w:szCs w:val="22"/>
              </w:rPr>
            </w:pPr>
            <w:r w:rsidRPr="00C432CE">
              <w:rPr>
                <w:rFonts w:cs="Arial"/>
                <w:sz w:val="22"/>
                <w:szCs w:val="22"/>
              </w:rPr>
              <w:t>Chemical Exposure Questions</w:t>
            </w:r>
          </w:p>
        </w:tc>
        <w:tc>
          <w:tcPr>
            <w:tcW w:w="1124" w:type="dxa"/>
            <w:vAlign w:val="center"/>
          </w:tcPr>
          <w:p w:rsidRPr="00C432CE" w:rsidR="0057192D" w:rsidP="00B72FE1" w:rsidRDefault="0057192D" w14:paraId="673F3464" w14:textId="77777777">
            <w:pPr>
              <w:tabs>
                <w:tab w:val="center" w:pos="4680"/>
                <w:tab w:val="left" w:pos="7710"/>
              </w:tabs>
              <w:spacing w:after="0"/>
              <w:jc w:val="center"/>
              <w:rPr>
                <w:rFonts w:cs="Arial"/>
                <w:sz w:val="22"/>
                <w:szCs w:val="22"/>
              </w:rPr>
            </w:pPr>
            <w:r w:rsidRPr="00C432CE">
              <w:rPr>
                <w:rFonts w:cs="Arial"/>
                <w:sz w:val="22"/>
                <w:szCs w:val="22"/>
              </w:rPr>
              <w:t>1,200</w:t>
            </w:r>
          </w:p>
        </w:tc>
        <w:tc>
          <w:tcPr>
            <w:tcW w:w="1124" w:type="dxa"/>
            <w:vAlign w:val="center"/>
          </w:tcPr>
          <w:p w:rsidRPr="00C432CE" w:rsidR="0057192D" w:rsidP="00B72FE1" w:rsidRDefault="0057192D" w14:paraId="7EC9D609" w14:textId="77777777">
            <w:pPr>
              <w:tabs>
                <w:tab w:val="center" w:pos="4680"/>
                <w:tab w:val="left" w:pos="7710"/>
              </w:tabs>
              <w:spacing w:after="0"/>
              <w:jc w:val="center"/>
              <w:rPr>
                <w:rFonts w:cs="Arial"/>
                <w:sz w:val="22"/>
                <w:szCs w:val="22"/>
              </w:rPr>
            </w:pPr>
            <w:r w:rsidRPr="00C432CE">
              <w:rPr>
                <w:rFonts w:cs="Arial"/>
                <w:sz w:val="22"/>
                <w:szCs w:val="22"/>
              </w:rPr>
              <w:t>1</w:t>
            </w:r>
          </w:p>
        </w:tc>
        <w:tc>
          <w:tcPr>
            <w:tcW w:w="1124" w:type="dxa"/>
            <w:vAlign w:val="center"/>
          </w:tcPr>
          <w:p w:rsidRPr="00C432CE" w:rsidR="0057192D" w:rsidP="00B72FE1" w:rsidRDefault="0057192D" w14:paraId="20252530" w14:textId="77777777">
            <w:pPr>
              <w:tabs>
                <w:tab w:val="center" w:pos="4680"/>
                <w:tab w:val="left" w:pos="7710"/>
              </w:tabs>
              <w:spacing w:after="0"/>
              <w:jc w:val="center"/>
              <w:rPr>
                <w:rFonts w:cs="Arial"/>
                <w:sz w:val="22"/>
                <w:szCs w:val="22"/>
              </w:rPr>
            </w:pPr>
            <w:r w:rsidRPr="00C432CE">
              <w:rPr>
                <w:rFonts w:cs="Arial"/>
                <w:sz w:val="22"/>
                <w:szCs w:val="22"/>
              </w:rPr>
              <w:t>30/60</w:t>
            </w:r>
          </w:p>
        </w:tc>
        <w:tc>
          <w:tcPr>
            <w:tcW w:w="1124" w:type="dxa"/>
            <w:shd w:val="clear" w:color="auto" w:fill="auto"/>
            <w:vAlign w:val="center"/>
          </w:tcPr>
          <w:p w:rsidRPr="00C432CE" w:rsidR="0057192D" w:rsidP="00B72FE1" w:rsidRDefault="0057192D" w14:paraId="4C10571D" w14:textId="77777777">
            <w:pPr>
              <w:tabs>
                <w:tab w:val="center" w:pos="4680"/>
                <w:tab w:val="left" w:pos="7710"/>
              </w:tabs>
              <w:spacing w:after="0"/>
              <w:jc w:val="center"/>
              <w:rPr>
                <w:rFonts w:cs="Arial"/>
                <w:sz w:val="22"/>
                <w:szCs w:val="22"/>
              </w:rPr>
            </w:pPr>
            <w:r w:rsidRPr="00C432CE">
              <w:rPr>
                <w:rFonts w:cs="Arial"/>
                <w:sz w:val="22"/>
                <w:szCs w:val="22"/>
              </w:rPr>
              <w:t>600</w:t>
            </w:r>
          </w:p>
        </w:tc>
        <w:tc>
          <w:tcPr>
            <w:tcW w:w="1124" w:type="dxa"/>
            <w:shd w:val="clear" w:color="auto" w:fill="auto"/>
            <w:vAlign w:val="center"/>
          </w:tcPr>
          <w:p w:rsidRPr="00C432CE" w:rsidR="0057192D" w:rsidP="00FF6D29" w:rsidRDefault="0057192D" w14:paraId="29EAC19D" w14:textId="0F4B9B33">
            <w:pPr>
              <w:tabs>
                <w:tab w:val="center" w:pos="4680"/>
                <w:tab w:val="left" w:pos="7710"/>
              </w:tabs>
              <w:spacing w:after="0"/>
              <w:jc w:val="center"/>
              <w:rPr>
                <w:rFonts w:cs="Arial"/>
                <w:sz w:val="22"/>
                <w:szCs w:val="22"/>
              </w:rPr>
            </w:pPr>
            <w:r w:rsidRPr="00C432CE">
              <w:rPr>
                <w:rFonts w:cs="Arial"/>
                <w:sz w:val="22"/>
                <w:szCs w:val="22"/>
              </w:rPr>
              <w:t>$</w:t>
            </w:r>
            <w:r w:rsidR="00D94B04">
              <w:rPr>
                <w:rFonts w:cs="Arial"/>
                <w:sz w:val="22"/>
                <w:szCs w:val="22"/>
              </w:rPr>
              <w:t>27.07</w:t>
            </w:r>
          </w:p>
        </w:tc>
        <w:tc>
          <w:tcPr>
            <w:tcW w:w="1125" w:type="dxa"/>
            <w:shd w:val="clear" w:color="auto" w:fill="auto"/>
            <w:vAlign w:val="center"/>
          </w:tcPr>
          <w:p w:rsidRPr="00C432CE" w:rsidR="0057192D" w:rsidP="00FF6D29" w:rsidRDefault="0057192D" w14:paraId="2E1261DA" w14:textId="628DA6DA">
            <w:pPr>
              <w:tabs>
                <w:tab w:val="center" w:pos="4680"/>
                <w:tab w:val="left" w:pos="7710"/>
              </w:tabs>
              <w:spacing w:after="0"/>
              <w:jc w:val="center"/>
              <w:rPr>
                <w:rFonts w:cs="Arial"/>
                <w:sz w:val="22"/>
                <w:szCs w:val="22"/>
              </w:rPr>
            </w:pPr>
            <w:r w:rsidRPr="00C432CE">
              <w:rPr>
                <w:rFonts w:cs="Arial"/>
                <w:sz w:val="22"/>
                <w:szCs w:val="22"/>
              </w:rPr>
              <w:t>$</w:t>
            </w:r>
            <w:r w:rsidR="00D94B04">
              <w:rPr>
                <w:rFonts w:cs="Arial"/>
                <w:sz w:val="22"/>
                <w:szCs w:val="22"/>
              </w:rPr>
              <w:t>16,242</w:t>
            </w:r>
          </w:p>
        </w:tc>
      </w:tr>
    </w:tbl>
    <w:p w:rsidRPr="00D20211" w:rsidR="00ED72E9" w:rsidP="00ED72E9" w:rsidRDefault="00ED72E9" w14:paraId="58890EA4" w14:textId="77777777"/>
    <w:p w:rsidR="00B45002" w:rsidP="00601F1A" w:rsidRDefault="00601F1A" w14:paraId="1D038525" w14:textId="77777777">
      <w:pPr>
        <w:pStyle w:val="Heading1"/>
        <w:pBdr>
          <w:bottom w:val="none" w:color="auto" w:sz="0" w:space="0"/>
        </w:pBdr>
        <w:rPr>
          <w:color w:val="auto"/>
        </w:rPr>
      </w:pPr>
      <w:bookmarkStart w:name="_Toc433960200" w:id="16"/>
      <w:r w:rsidRPr="00D20211">
        <w:rPr>
          <w:color w:val="auto"/>
        </w:rPr>
        <w:t>A.</w:t>
      </w:r>
      <w:r w:rsidRPr="00D20211" w:rsidR="00AC62CC">
        <w:rPr>
          <w:color w:val="auto"/>
        </w:rPr>
        <w:t xml:space="preserve">13.  </w:t>
      </w:r>
      <w:r w:rsidRPr="00D20211" w:rsidR="00B45002">
        <w:rPr>
          <w:color w:val="auto"/>
        </w:rPr>
        <w:t>Estimates of Other Total Annual Cost Burden to Respondents and Record Keepers</w:t>
      </w:r>
      <w:bookmarkEnd w:id="16"/>
    </w:p>
    <w:p w:rsidR="00126C43" w:rsidP="00126C43" w:rsidRDefault="00126C43" w14:paraId="2B178E92" w14:textId="77777777">
      <w:pPr>
        <w:tabs>
          <w:tab w:val="center" w:pos="4680"/>
          <w:tab w:val="left" w:pos="7710"/>
        </w:tabs>
      </w:pPr>
    </w:p>
    <w:p w:rsidRPr="00126C43" w:rsidR="00126C43" w:rsidP="00126C43" w:rsidRDefault="00126C43" w14:paraId="41C53E5F" w14:textId="207DFD2E">
      <w:pPr>
        <w:tabs>
          <w:tab w:val="center" w:pos="4680"/>
          <w:tab w:val="left" w:pos="7710"/>
        </w:tabs>
        <w:rPr>
          <w:b/>
          <w:sz w:val="24"/>
          <w:szCs w:val="24"/>
        </w:rPr>
      </w:pPr>
      <w:r w:rsidRPr="00126C43">
        <w:rPr>
          <w:sz w:val="24"/>
          <w:szCs w:val="24"/>
        </w:rPr>
        <w:t xml:space="preserve">There </w:t>
      </w:r>
      <w:r w:rsidR="00B4268B">
        <w:rPr>
          <w:sz w:val="24"/>
          <w:szCs w:val="24"/>
        </w:rPr>
        <w:t>is</w:t>
      </w:r>
      <w:r w:rsidRPr="00126C43">
        <w:rPr>
          <w:sz w:val="24"/>
          <w:szCs w:val="24"/>
        </w:rPr>
        <w:t xml:space="preserve"> no other total annual cost burden to respondents or record keepers.</w:t>
      </w:r>
    </w:p>
    <w:p w:rsidRPr="00D20211" w:rsidR="00B45002" w:rsidP="00601F1A" w:rsidRDefault="00601F1A" w14:paraId="46F6995A" w14:textId="77777777">
      <w:pPr>
        <w:pStyle w:val="Heading1"/>
        <w:pBdr>
          <w:bottom w:val="none" w:color="auto" w:sz="0" w:space="0"/>
        </w:pBdr>
        <w:rPr>
          <w:color w:val="auto"/>
        </w:rPr>
      </w:pPr>
      <w:bookmarkStart w:name="_Toc433960201" w:id="17"/>
      <w:r w:rsidRPr="00D20211">
        <w:rPr>
          <w:color w:val="auto"/>
        </w:rPr>
        <w:t>A.</w:t>
      </w:r>
      <w:r w:rsidRPr="00D20211" w:rsidR="00AC62CC">
        <w:rPr>
          <w:color w:val="auto"/>
        </w:rPr>
        <w:t xml:space="preserve">14.  </w:t>
      </w:r>
      <w:r w:rsidRPr="00D20211" w:rsidR="00B45002">
        <w:rPr>
          <w:color w:val="auto"/>
        </w:rPr>
        <w:t>Annualized Cost to the Federal Government</w:t>
      </w:r>
      <w:bookmarkEnd w:id="17"/>
    </w:p>
    <w:p w:rsidRPr="00D20211" w:rsidR="00DA5A96" w:rsidP="00DA5A96" w:rsidRDefault="00DA5A96" w14:paraId="7D65FF89" w14:textId="77777777"/>
    <w:p w:rsidRPr="00552D02" w:rsidR="00552D02" w:rsidP="00552D02" w:rsidRDefault="00552D02" w14:paraId="4D0935E9" w14:textId="77777777">
      <w:pPr>
        <w:tabs>
          <w:tab w:val="center" w:pos="4680"/>
          <w:tab w:val="left" w:pos="7710"/>
        </w:tabs>
        <w:rPr>
          <w:b/>
          <w:sz w:val="24"/>
          <w:szCs w:val="24"/>
        </w:rPr>
      </w:pPr>
      <w:r w:rsidRPr="00552D02">
        <w:rPr>
          <w:sz w:val="24"/>
          <w:szCs w:val="24"/>
        </w:rPr>
        <w:t>Costs for ATSDR personnel and cooperative agreement state personnel were estimated based on experience with previous EI activities.</w:t>
      </w:r>
      <w:r w:rsidRPr="00552D02">
        <w:rPr>
          <w:b/>
          <w:sz w:val="24"/>
          <w:szCs w:val="24"/>
        </w:rPr>
        <w:t xml:space="preserve">                                                                                 </w:t>
      </w:r>
    </w:p>
    <w:p w:rsidRPr="00552D02" w:rsidR="00552D02" w:rsidP="00552D02" w:rsidRDefault="00552D02" w14:paraId="75661152" w14:textId="6870A3A8">
      <w:pPr>
        <w:tabs>
          <w:tab w:val="left" w:pos="1545"/>
        </w:tabs>
        <w:rPr>
          <w:sz w:val="24"/>
          <w:szCs w:val="24"/>
        </w:rPr>
      </w:pPr>
      <w:r w:rsidRPr="00552D02">
        <w:rPr>
          <w:sz w:val="24"/>
          <w:szCs w:val="24"/>
        </w:rPr>
        <w:t>For the past 3 years, the annual budget for EIs has been $960,000. This includes FTEs (including benefits), contractors, travel, per diem, and laboratory, supply, and equipment costs. We expect the budget to remain unchanged for the next three years.</w:t>
      </w:r>
    </w:p>
    <w:p w:rsidRPr="00D20211" w:rsidR="00B45002" w:rsidP="00236267" w:rsidRDefault="00601F1A" w14:paraId="67B36348" w14:textId="77777777">
      <w:pPr>
        <w:pStyle w:val="Heading1"/>
        <w:rPr>
          <w:rFonts w:cs="ITCFranklinGothicStd-Demi"/>
          <w:color w:val="auto"/>
          <w:sz w:val="24"/>
          <w:szCs w:val="24"/>
        </w:rPr>
      </w:pPr>
      <w:bookmarkStart w:name="_Toc433960202" w:id="18"/>
      <w:r w:rsidRPr="00D20211">
        <w:rPr>
          <w:color w:val="auto"/>
        </w:rPr>
        <w:lastRenderedPageBreak/>
        <w:t>A.</w:t>
      </w:r>
      <w:r w:rsidRPr="00D20211" w:rsidR="00AC62CC">
        <w:rPr>
          <w:color w:val="auto"/>
        </w:rPr>
        <w:t xml:space="preserve">15.  </w:t>
      </w:r>
      <w:r w:rsidRPr="00D20211" w:rsidR="00B45002">
        <w:rPr>
          <w:color w:val="auto"/>
        </w:rPr>
        <w:t>Explanation for Program Changes or Adjustments</w:t>
      </w:r>
      <w:bookmarkEnd w:id="18"/>
    </w:p>
    <w:p w:rsidRPr="00D20211" w:rsidR="007F6CB2" w:rsidP="007F6CB2" w:rsidRDefault="007F6CB2" w14:paraId="67F4C1F5" w14:textId="77777777">
      <w:pPr>
        <w:spacing w:line="240" w:lineRule="auto"/>
        <w:rPr>
          <w:sz w:val="24"/>
          <w:szCs w:val="24"/>
        </w:rPr>
      </w:pPr>
    </w:p>
    <w:p w:rsidRPr="00D20211" w:rsidR="007F6CB2" w:rsidP="00A51051" w:rsidRDefault="001B3522" w14:paraId="33C1B70F" w14:textId="77777777">
      <w:pPr>
        <w:spacing w:line="240" w:lineRule="auto"/>
        <w:rPr>
          <w:sz w:val="24"/>
          <w:szCs w:val="24"/>
        </w:rPr>
      </w:pPr>
      <w:r w:rsidRPr="00D20211">
        <w:rPr>
          <w:sz w:val="24"/>
          <w:szCs w:val="24"/>
        </w:rPr>
        <w:t>T</w:t>
      </w:r>
      <w:r w:rsidRPr="00D20211" w:rsidR="007F6CB2">
        <w:rPr>
          <w:sz w:val="24"/>
          <w:szCs w:val="24"/>
        </w:rPr>
        <w:t>he burden has not changed from the burden shown in the current inventory.</w:t>
      </w:r>
    </w:p>
    <w:p w:rsidRPr="00D20211" w:rsidR="00B45002" w:rsidP="00601F1A" w:rsidRDefault="00601F1A" w14:paraId="2998993C" w14:textId="77777777">
      <w:pPr>
        <w:pStyle w:val="Heading1"/>
        <w:pBdr>
          <w:bottom w:val="none" w:color="auto" w:sz="0" w:space="0"/>
        </w:pBdr>
        <w:rPr>
          <w:color w:val="auto"/>
        </w:rPr>
      </w:pPr>
      <w:bookmarkStart w:name="_Toc433960203" w:id="19"/>
      <w:r w:rsidRPr="00D20211">
        <w:rPr>
          <w:color w:val="auto"/>
        </w:rPr>
        <w:t>A.</w:t>
      </w:r>
      <w:r w:rsidRPr="00D20211" w:rsidR="00AC62CC">
        <w:rPr>
          <w:color w:val="auto"/>
        </w:rPr>
        <w:t xml:space="preserve">16.  </w:t>
      </w:r>
      <w:r w:rsidRPr="00D20211" w:rsidR="00B45002">
        <w:rPr>
          <w:color w:val="auto"/>
        </w:rPr>
        <w:t>Plans for Tabulation and Publication and Project Time Schedule</w:t>
      </w:r>
      <w:bookmarkEnd w:id="19"/>
    </w:p>
    <w:p w:rsidRPr="00D20211" w:rsidR="003248A4" w:rsidP="003248A4" w:rsidRDefault="003248A4" w14:paraId="5E3B6405" w14:textId="77777777"/>
    <w:p w:rsidR="00F04E5E" w:rsidP="003248A4" w:rsidRDefault="00B72FE1" w14:paraId="2778E9C3" w14:textId="77777777">
      <w:pPr>
        <w:spacing w:line="240" w:lineRule="auto"/>
        <w:rPr>
          <w:rFonts w:cs="ITCFranklinGothicStd-Book"/>
          <w:sz w:val="24"/>
          <w:szCs w:val="24"/>
        </w:rPr>
      </w:pPr>
      <w:r w:rsidRPr="00B72FE1">
        <w:rPr>
          <w:sz w:val="24"/>
          <w:szCs w:val="24"/>
        </w:rPr>
        <w:t xml:space="preserve">A project Time Schedule will be provided for each EI submitted under the generic clearance.  The Time Schedule for the EI will be variable, based on site-specific conditions.  The time frame for collecting the environmental and/or biological data for an EI can range from one day to several months, depending on the sampled medium and complexity of the EI.  The following is a general schedule that is anticipated for most EIs. </w:t>
      </w:r>
    </w:p>
    <w:p w:rsidRPr="00D20211" w:rsidR="003C21A1" w:rsidP="003248A4" w:rsidRDefault="003C21A1" w14:paraId="64AC9E6D" w14:textId="77777777">
      <w:pPr>
        <w:spacing w:line="240" w:lineRule="auto"/>
        <w:rPr>
          <w:rFonts w:cs="ITCFranklinGothicStd-Book"/>
          <w:sz w:val="24"/>
          <w:szCs w:val="24"/>
        </w:rPr>
      </w:pPr>
      <w:r w:rsidRPr="00D20211">
        <w:rPr>
          <w:rFonts w:cs="ITCFranklinGothicStd-Book"/>
          <w:sz w:val="24"/>
          <w:szCs w:val="24"/>
        </w:rPr>
        <w:t>Table A.16.1</w:t>
      </w:r>
    </w:p>
    <w:tbl>
      <w:tblPr>
        <w:tblStyle w:val="TableGrid"/>
        <w:tblW w:w="0" w:type="auto"/>
        <w:tblLook w:val="04A0" w:firstRow="1" w:lastRow="0" w:firstColumn="1" w:lastColumn="0" w:noHBand="0" w:noVBand="1"/>
      </w:tblPr>
      <w:tblGrid>
        <w:gridCol w:w="4675"/>
        <w:gridCol w:w="4675"/>
      </w:tblGrid>
      <w:tr w:rsidRPr="00D20211" w:rsidR="00D20211" w:rsidTr="003C21A1" w14:paraId="2B2CD557" w14:textId="77777777">
        <w:tc>
          <w:tcPr>
            <w:tcW w:w="9350" w:type="dxa"/>
            <w:gridSpan w:val="2"/>
          </w:tcPr>
          <w:p w:rsidRPr="006065B9" w:rsidR="003C21A1" w:rsidP="003C21A1" w:rsidRDefault="003C21A1" w14:paraId="4D46AB77" w14:textId="77777777">
            <w:pPr>
              <w:jc w:val="center"/>
              <w:rPr>
                <w:sz w:val="24"/>
                <w:szCs w:val="24"/>
              </w:rPr>
            </w:pPr>
            <w:r w:rsidRPr="006065B9">
              <w:rPr>
                <w:sz w:val="24"/>
                <w:szCs w:val="24"/>
              </w:rPr>
              <w:t>Project Time Schedule</w:t>
            </w:r>
          </w:p>
        </w:tc>
      </w:tr>
      <w:tr w:rsidRPr="00D20211" w:rsidR="00D20211" w:rsidTr="003C21A1" w14:paraId="1FCBB5C6" w14:textId="77777777">
        <w:tc>
          <w:tcPr>
            <w:tcW w:w="4675" w:type="dxa"/>
          </w:tcPr>
          <w:p w:rsidRPr="006065B9" w:rsidR="003C21A1" w:rsidP="003C21A1" w:rsidRDefault="003C21A1" w14:paraId="72012DAA" w14:textId="77777777">
            <w:pPr>
              <w:jc w:val="center"/>
              <w:rPr>
                <w:sz w:val="24"/>
                <w:szCs w:val="24"/>
              </w:rPr>
            </w:pPr>
            <w:r w:rsidRPr="006065B9">
              <w:rPr>
                <w:sz w:val="24"/>
                <w:szCs w:val="24"/>
              </w:rPr>
              <w:t>Activity</w:t>
            </w:r>
          </w:p>
        </w:tc>
        <w:tc>
          <w:tcPr>
            <w:tcW w:w="4675" w:type="dxa"/>
          </w:tcPr>
          <w:p w:rsidRPr="006065B9" w:rsidR="003C21A1" w:rsidP="003C21A1" w:rsidRDefault="003C21A1" w14:paraId="3241C267" w14:textId="77777777">
            <w:pPr>
              <w:jc w:val="center"/>
              <w:rPr>
                <w:sz w:val="24"/>
                <w:szCs w:val="24"/>
              </w:rPr>
            </w:pPr>
            <w:r w:rsidRPr="006065B9">
              <w:rPr>
                <w:sz w:val="24"/>
                <w:szCs w:val="24"/>
              </w:rPr>
              <w:t>Time Schedule</w:t>
            </w:r>
          </w:p>
        </w:tc>
      </w:tr>
      <w:tr w:rsidRPr="00D20211" w:rsidR="00D20211" w:rsidTr="003C21A1" w14:paraId="5B713764" w14:textId="77777777">
        <w:tc>
          <w:tcPr>
            <w:tcW w:w="4675" w:type="dxa"/>
          </w:tcPr>
          <w:p w:rsidRPr="006065B9" w:rsidR="00F30919" w:rsidP="00F30919" w:rsidRDefault="002F0763" w14:paraId="650923ED" w14:textId="77777777">
            <w:pPr>
              <w:jc w:val="center"/>
              <w:rPr>
                <w:sz w:val="24"/>
                <w:szCs w:val="24"/>
              </w:rPr>
            </w:pPr>
            <w:r>
              <w:rPr>
                <w:rFonts w:cs="ITCFranklinGothicStd-BkCd"/>
                <w:sz w:val="24"/>
                <w:szCs w:val="24"/>
              </w:rPr>
              <w:t>Start of Data Collection</w:t>
            </w:r>
          </w:p>
        </w:tc>
        <w:tc>
          <w:tcPr>
            <w:tcW w:w="4675" w:type="dxa"/>
          </w:tcPr>
          <w:p w:rsidRPr="006065B9" w:rsidR="00F30919" w:rsidP="00F30919" w:rsidRDefault="00F30919" w14:paraId="2AB42160" w14:textId="77777777">
            <w:pPr>
              <w:jc w:val="center"/>
              <w:rPr>
                <w:sz w:val="24"/>
                <w:szCs w:val="24"/>
              </w:rPr>
            </w:pPr>
            <w:r w:rsidRPr="006065B9">
              <w:rPr>
                <w:rFonts w:cs="ITCFranklinGothicStd-BkCd"/>
                <w:sz w:val="24"/>
                <w:szCs w:val="24"/>
              </w:rPr>
              <w:t>1—2 months after OMB approval</w:t>
            </w:r>
          </w:p>
        </w:tc>
      </w:tr>
      <w:tr w:rsidRPr="00D20211" w:rsidR="00D20211" w:rsidTr="003C21A1" w14:paraId="54119DE3" w14:textId="77777777">
        <w:tc>
          <w:tcPr>
            <w:tcW w:w="4675" w:type="dxa"/>
          </w:tcPr>
          <w:p w:rsidRPr="006065B9" w:rsidR="00F30919" w:rsidP="00F30919" w:rsidRDefault="002F0763" w14:paraId="2166D72A" w14:textId="77777777">
            <w:pPr>
              <w:jc w:val="center"/>
              <w:rPr>
                <w:sz w:val="24"/>
                <w:szCs w:val="24"/>
              </w:rPr>
            </w:pPr>
            <w:r>
              <w:rPr>
                <w:rFonts w:cs="ITCFranklinGothicStd-BkCd"/>
                <w:sz w:val="24"/>
                <w:szCs w:val="24"/>
              </w:rPr>
              <w:t>Field Work</w:t>
            </w:r>
          </w:p>
        </w:tc>
        <w:tc>
          <w:tcPr>
            <w:tcW w:w="4675" w:type="dxa"/>
          </w:tcPr>
          <w:p w:rsidRPr="006065B9" w:rsidR="00F30919" w:rsidP="00F30919" w:rsidRDefault="00B0320A" w14:paraId="015925F3" w14:textId="77777777">
            <w:pPr>
              <w:jc w:val="center"/>
              <w:rPr>
                <w:sz w:val="24"/>
                <w:szCs w:val="24"/>
              </w:rPr>
            </w:pPr>
            <w:r>
              <w:rPr>
                <w:rFonts w:cs="ITCFranklinGothicStd-BkCd"/>
                <w:sz w:val="24"/>
                <w:szCs w:val="24"/>
              </w:rPr>
              <w:t>1</w:t>
            </w:r>
            <w:r w:rsidRPr="006065B9" w:rsidR="00F30919">
              <w:rPr>
                <w:rFonts w:cs="ITCFranklinGothicStd-BkCd"/>
                <w:sz w:val="24"/>
                <w:szCs w:val="24"/>
              </w:rPr>
              <w:t>—8 months after OMB approval</w:t>
            </w:r>
          </w:p>
        </w:tc>
      </w:tr>
      <w:tr w:rsidRPr="00D20211" w:rsidR="00D20211" w:rsidTr="003C21A1" w14:paraId="030DE28C" w14:textId="77777777">
        <w:tc>
          <w:tcPr>
            <w:tcW w:w="4675" w:type="dxa"/>
          </w:tcPr>
          <w:p w:rsidRPr="006065B9" w:rsidR="00F30919" w:rsidP="00F30919" w:rsidRDefault="00B0320A" w14:paraId="42E2F9AA" w14:textId="77777777">
            <w:pPr>
              <w:jc w:val="center"/>
              <w:rPr>
                <w:sz w:val="24"/>
                <w:szCs w:val="24"/>
              </w:rPr>
            </w:pPr>
            <w:r>
              <w:rPr>
                <w:rFonts w:cs="ITCFranklinGothicStd-BkCd"/>
                <w:sz w:val="24"/>
                <w:szCs w:val="24"/>
              </w:rPr>
              <w:t xml:space="preserve"> Analysis</w:t>
            </w:r>
          </w:p>
        </w:tc>
        <w:tc>
          <w:tcPr>
            <w:tcW w:w="4675" w:type="dxa"/>
          </w:tcPr>
          <w:p w:rsidRPr="006065B9" w:rsidR="00F30919" w:rsidP="00B0320A" w:rsidRDefault="00F30919" w14:paraId="1890B8CA" w14:textId="77777777">
            <w:pPr>
              <w:jc w:val="center"/>
              <w:rPr>
                <w:sz w:val="24"/>
                <w:szCs w:val="24"/>
              </w:rPr>
            </w:pPr>
            <w:r w:rsidRPr="006065B9">
              <w:rPr>
                <w:rFonts w:cs="ITCFranklinGothicStd-BkCd"/>
                <w:sz w:val="24"/>
                <w:szCs w:val="24"/>
              </w:rPr>
              <w:t>8—</w:t>
            </w:r>
            <w:r w:rsidR="00B0320A">
              <w:rPr>
                <w:rFonts w:cs="ITCFranklinGothicStd-BkCd"/>
                <w:sz w:val="24"/>
                <w:szCs w:val="24"/>
              </w:rPr>
              <w:t>12</w:t>
            </w:r>
            <w:r w:rsidRPr="006065B9">
              <w:rPr>
                <w:rFonts w:cs="ITCFranklinGothicStd-BkCd"/>
                <w:sz w:val="24"/>
                <w:szCs w:val="24"/>
              </w:rPr>
              <w:t xml:space="preserve"> months after OMB approval</w:t>
            </w:r>
          </w:p>
        </w:tc>
      </w:tr>
      <w:tr w:rsidRPr="00D20211" w:rsidR="00D20211" w:rsidTr="003C21A1" w14:paraId="304C36C1" w14:textId="77777777">
        <w:tc>
          <w:tcPr>
            <w:tcW w:w="4675" w:type="dxa"/>
          </w:tcPr>
          <w:p w:rsidRPr="006065B9" w:rsidR="00F30919" w:rsidP="00F30919" w:rsidRDefault="00B0320A" w14:paraId="46B8BB13" w14:textId="77777777">
            <w:pPr>
              <w:jc w:val="center"/>
              <w:rPr>
                <w:sz w:val="24"/>
                <w:szCs w:val="24"/>
              </w:rPr>
            </w:pPr>
            <w:r>
              <w:rPr>
                <w:rFonts w:cs="ITCFranklinGothicStd-BkCd"/>
                <w:sz w:val="24"/>
                <w:szCs w:val="24"/>
              </w:rPr>
              <w:t>Respond to Participants</w:t>
            </w:r>
          </w:p>
        </w:tc>
        <w:tc>
          <w:tcPr>
            <w:tcW w:w="4675" w:type="dxa"/>
          </w:tcPr>
          <w:p w:rsidRPr="006065B9" w:rsidR="00F30919" w:rsidP="00B0320A" w:rsidRDefault="00F30919" w14:paraId="37ED93CF" w14:textId="77777777">
            <w:pPr>
              <w:jc w:val="center"/>
              <w:rPr>
                <w:sz w:val="24"/>
                <w:szCs w:val="24"/>
              </w:rPr>
            </w:pPr>
            <w:r w:rsidRPr="006065B9">
              <w:rPr>
                <w:rFonts w:cs="ITCFranklinGothicStd-BkCd"/>
                <w:sz w:val="24"/>
                <w:szCs w:val="24"/>
              </w:rPr>
              <w:t>1</w:t>
            </w:r>
            <w:r w:rsidR="00B0320A">
              <w:rPr>
                <w:rFonts w:cs="ITCFranklinGothicStd-BkCd"/>
                <w:sz w:val="24"/>
                <w:szCs w:val="24"/>
              </w:rPr>
              <w:t>2</w:t>
            </w:r>
            <w:r w:rsidRPr="006065B9">
              <w:rPr>
                <w:rFonts w:cs="ITCFranklinGothicStd-BkCd"/>
                <w:sz w:val="24"/>
                <w:szCs w:val="24"/>
              </w:rPr>
              <w:t>—1</w:t>
            </w:r>
            <w:r w:rsidR="00B0320A">
              <w:rPr>
                <w:rFonts w:cs="ITCFranklinGothicStd-BkCd"/>
                <w:sz w:val="24"/>
                <w:szCs w:val="24"/>
              </w:rPr>
              <w:t>8</w:t>
            </w:r>
            <w:r w:rsidRPr="006065B9">
              <w:rPr>
                <w:rFonts w:cs="ITCFranklinGothicStd-BkCd"/>
                <w:sz w:val="24"/>
                <w:szCs w:val="24"/>
              </w:rPr>
              <w:t xml:space="preserve"> months after OMB approval</w:t>
            </w:r>
          </w:p>
        </w:tc>
      </w:tr>
      <w:tr w:rsidRPr="00D20211" w:rsidR="00D20211" w:rsidTr="003C21A1" w14:paraId="6FD08081" w14:textId="77777777">
        <w:tc>
          <w:tcPr>
            <w:tcW w:w="4675" w:type="dxa"/>
          </w:tcPr>
          <w:p w:rsidRPr="006065B9" w:rsidR="00F30919" w:rsidP="00F30919" w:rsidRDefault="00B0320A" w14:paraId="76DD59AF" w14:textId="77777777">
            <w:pPr>
              <w:jc w:val="center"/>
              <w:rPr>
                <w:sz w:val="24"/>
                <w:szCs w:val="24"/>
              </w:rPr>
            </w:pPr>
            <w:r>
              <w:rPr>
                <w:rFonts w:cs="ITCFranklinGothicStd-BkCd"/>
                <w:sz w:val="24"/>
                <w:szCs w:val="24"/>
              </w:rPr>
              <w:t>Written Report</w:t>
            </w:r>
          </w:p>
        </w:tc>
        <w:tc>
          <w:tcPr>
            <w:tcW w:w="4675" w:type="dxa"/>
          </w:tcPr>
          <w:p w:rsidRPr="006065B9" w:rsidR="00F30919" w:rsidP="00B0320A" w:rsidRDefault="00F30919" w14:paraId="24C68B08" w14:textId="77777777">
            <w:pPr>
              <w:jc w:val="center"/>
              <w:rPr>
                <w:sz w:val="24"/>
                <w:szCs w:val="24"/>
              </w:rPr>
            </w:pPr>
            <w:r w:rsidRPr="006065B9">
              <w:rPr>
                <w:rFonts w:cs="ITCFranklinGothicStd-BkCd"/>
                <w:sz w:val="24"/>
                <w:szCs w:val="24"/>
              </w:rPr>
              <w:t>1</w:t>
            </w:r>
            <w:r w:rsidR="00B0320A">
              <w:rPr>
                <w:rFonts w:cs="ITCFranklinGothicStd-BkCd"/>
                <w:sz w:val="24"/>
                <w:szCs w:val="24"/>
              </w:rPr>
              <w:t>8</w:t>
            </w:r>
            <w:r w:rsidRPr="006065B9">
              <w:rPr>
                <w:rFonts w:cs="ITCFranklinGothicStd-BkCd"/>
                <w:sz w:val="24"/>
                <w:szCs w:val="24"/>
              </w:rPr>
              <w:t>—</w:t>
            </w:r>
            <w:r w:rsidR="00B0320A">
              <w:rPr>
                <w:rFonts w:cs="ITCFranklinGothicStd-BkCd"/>
                <w:sz w:val="24"/>
                <w:szCs w:val="24"/>
              </w:rPr>
              <w:t>36</w:t>
            </w:r>
            <w:r w:rsidRPr="006065B9">
              <w:rPr>
                <w:rFonts w:cs="ITCFranklinGothicStd-BkCd"/>
                <w:sz w:val="24"/>
                <w:szCs w:val="24"/>
              </w:rPr>
              <w:t xml:space="preserve"> months after OMB approval</w:t>
            </w:r>
          </w:p>
        </w:tc>
      </w:tr>
    </w:tbl>
    <w:p w:rsidRPr="003717C7" w:rsidR="00F04E5E" w:rsidP="003717C7" w:rsidRDefault="00F04E5E" w14:paraId="2CDEC375" w14:textId="77777777"/>
    <w:p w:rsidRPr="00D20211" w:rsidR="00B45002" w:rsidP="00601F1A" w:rsidRDefault="00601F1A" w14:paraId="78FD3D3C" w14:textId="77777777">
      <w:pPr>
        <w:pStyle w:val="Heading1"/>
        <w:pBdr>
          <w:bottom w:val="none" w:color="auto" w:sz="0" w:space="0"/>
        </w:pBdr>
        <w:rPr>
          <w:color w:val="auto"/>
        </w:rPr>
      </w:pPr>
      <w:bookmarkStart w:name="_Toc433960204" w:id="20"/>
      <w:r w:rsidRPr="00D20211">
        <w:rPr>
          <w:color w:val="auto"/>
        </w:rPr>
        <w:t>A.</w:t>
      </w:r>
      <w:r w:rsidRPr="00D20211" w:rsidR="00AC62CC">
        <w:rPr>
          <w:color w:val="auto"/>
        </w:rPr>
        <w:t xml:space="preserve">17.  </w:t>
      </w:r>
      <w:r w:rsidRPr="00D20211" w:rsidR="00B45002">
        <w:rPr>
          <w:color w:val="auto"/>
        </w:rPr>
        <w:t>Reason(s) Display of OMB Expiration Date is Inappropriate</w:t>
      </w:r>
      <w:bookmarkEnd w:id="20"/>
    </w:p>
    <w:p w:rsidRPr="00D20211" w:rsidR="005B6E55" w:rsidP="005B6E55" w:rsidRDefault="005B6E55" w14:paraId="26232FEB" w14:textId="77777777"/>
    <w:p w:rsidRPr="00D20211" w:rsidR="005B6E55" w:rsidP="005B6E55" w:rsidRDefault="005B6E55" w14:paraId="2EF20D6F" w14:textId="1C6697AB">
      <w:pPr>
        <w:autoSpaceDE w:val="0"/>
        <w:autoSpaceDN w:val="0"/>
        <w:adjustRightInd w:val="0"/>
        <w:spacing w:line="240" w:lineRule="auto"/>
        <w:rPr>
          <w:rFonts w:cs="ITCFranklinGothicStd-Book"/>
          <w:sz w:val="24"/>
          <w:szCs w:val="24"/>
        </w:rPr>
      </w:pPr>
      <w:r w:rsidRPr="00D20211">
        <w:rPr>
          <w:rFonts w:cs="ITCFranklinGothicStd-Book"/>
          <w:sz w:val="24"/>
          <w:szCs w:val="24"/>
        </w:rPr>
        <w:t>The display of the OMB expiration date is appropriate.</w:t>
      </w:r>
    </w:p>
    <w:p w:rsidRPr="00D20211" w:rsidR="00DC57CC" w:rsidP="00601F1A" w:rsidRDefault="00601F1A" w14:paraId="16FA249B" w14:textId="77777777">
      <w:pPr>
        <w:pStyle w:val="Heading1"/>
        <w:pBdr>
          <w:bottom w:val="none" w:color="auto" w:sz="0" w:space="0"/>
        </w:pBdr>
        <w:rPr>
          <w:color w:val="auto"/>
        </w:rPr>
      </w:pPr>
      <w:bookmarkStart w:name="_Toc433960205" w:id="21"/>
      <w:r w:rsidRPr="00D20211">
        <w:rPr>
          <w:color w:val="auto"/>
        </w:rPr>
        <w:t>A.</w:t>
      </w:r>
      <w:r w:rsidRPr="00D20211" w:rsidR="00B45002">
        <w:rPr>
          <w:color w:val="auto"/>
        </w:rPr>
        <w:t>18</w:t>
      </w:r>
      <w:r w:rsidRPr="00D20211" w:rsidR="00AC62CC">
        <w:rPr>
          <w:color w:val="auto"/>
        </w:rPr>
        <w:t xml:space="preserve">.  </w:t>
      </w:r>
      <w:r w:rsidRPr="00D20211" w:rsidR="00B45002">
        <w:rPr>
          <w:color w:val="auto"/>
        </w:rPr>
        <w:t>Exceptions to Certification for Paperwork Reduction Act Submissions</w:t>
      </w:r>
      <w:bookmarkEnd w:id="21"/>
    </w:p>
    <w:p w:rsidRPr="00D20211" w:rsidR="008C154D" w:rsidP="005B6E55" w:rsidRDefault="008C154D" w14:paraId="155B1A83" w14:textId="77777777">
      <w:pPr>
        <w:spacing w:line="240" w:lineRule="auto"/>
        <w:rPr>
          <w:sz w:val="24"/>
          <w:szCs w:val="24"/>
        </w:rPr>
      </w:pPr>
    </w:p>
    <w:p w:rsidR="001E595A" w:rsidP="00F93CE5" w:rsidRDefault="005B6E55" w14:paraId="6314E303" w14:textId="77777777">
      <w:pPr>
        <w:autoSpaceDE w:val="0"/>
        <w:autoSpaceDN w:val="0"/>
        <w:adjustRightInd w:val="0"/>
        <w:spacing w:line="240" w:lineRule="auto"/>
        <w:rPr>
          <w:rFonts w:cs="ITCFranklinGothicStd-Book"/>
          <w:sz w:val="24"/>
          <w:szCs w:val="24"/>
        </w:rPr>
      </w:pPr>
      <w:r w:rsidRPr="00D20211">
        <w:rPr>
          <w:rFonts w:cs="ITCFranklinGothicStd-Book"/>
          <w:sz w:val="24"/>
          <w:szCs w:val="24"/>
        </w:rPr>
        <w:t>There are no exceptions to the certification.</w:t>
      </w:r>
    </w:p>
    <w:p w:rsidRPr="00A75CA3" w:rsidR="003C14CE" w:rsidP="00A75CA3" w:rsidRDefault="003C14CE" w14:paraId="3355D89C" w14:textId="77777777">
      <w:pPr>
        <w:pStyle w:val="Heading1"/>
        <w:pBdr>
          <w:bottom w:val="none" w:color="auto" w:sz="0" w:space="0"/>
        </w:pBdr>
        <w:rPr>
          <w:color w:val="auto"/>
        </w:rPr>
      </w:pPr>
      <w:r w:rsidRPr="00A75CA3">
        <w:rPr>
          <w:color w:val="auto"/>
        </w:rPr>
        <w:t>List of Attachments</w:t>
      </w:r>
    </w:p>
    <w:p w:rsidRPr="0070512A" w:rsidR="0070512A" w:rsidP="00B72FE1" w:rsidRDefault="0070512A" w14:paraId="7F63AF6F" w14:textId="77777777"/>
    <w:p w:rsidRPr="00C833F5" w:rsidR="003C14CE" w:rsidP="003C14CE" w:rsidRDefault="003C14CE" w14:paraId="2E4E4291" w14:textId="77777777">
      <w:r w:rsidRPr="00C833F5">
        <w:t>Attachment 1. Authorizing Legislation</w:t>
      </w:r>
      <w:r>
        <w:t xml:space="preserve"> -CERCLA</w:t>
      </w:r>
    </w:p>
    <w:p w:rsidRPr="00C833F5" w:rsidR="003C14CE" w:rsidP="00E665AD" w:rsidRDefault="003C14CE" w14:paraId="0B5C774A" w14:textId="77777777">
      <w:r w:rsidRPr="00C833F5">
        <w:lastRenderedPageBreak/>
        <w:t>Attachment 2. 60-day Federal Register Notice</w:t>
      </w:r>
    </w:p>
    <w:p w:rsidR="003C14CE" w:rsidP="003C14CE" w:rsidRDefault="003C14CE" w14:paraId="755917B7" w14:textId="77777777">
      <w:pPr>
        <w:rPr>
          <w:bCs/>
        </w:rPr>
      </w:pPr>
      <w:r>
        <w:rPr>
          <w:bCs/>
        </w:rPr>
        <w:t>Attachment 3:  Map of EPA and ATSDR Regions</w:t>
      </w:r>
    </w:p>
    <w:p w:rsidR="003C14CE" w:rsidP="003C14CE" w:rsidRDefault="003C14CE" w14:paraId="75EFAC68" w14:textId="77777777">
      <w:pPr>
        <w:rPr>
          <w:bCs/>
        </w:rPr>
      </w:pPr>
      <w:r>
        <w:rPr>
          <w:bCs/>
        </w:rPr>
        <w:t xml:space="preserve">Attachment 4:  Chemical Exposure Question Bank </w:t>
      </w:r>
    </w:p>
    <w:p w:rsidR="003C14CE" w:rsidP="003C14CE" w:rsidRDefault="003C14CE" w14:paraId="06B60566" w14:textId="30D54B40">
      <w:pPr>
        <w:rPr>
          <w:bCs/>
        </w:rPr>
      </w:pPr>
      <w:r>
        <w:rPr>
          <w:bCs/>
        </w:rPr>
        <w:t>Attachment 5:  Example Consent Form</w:t>
      </w:r>
    </w:p>
    <w:p w:rsidR="00FE4142" w:rsidP="003C14CE" w:rsidRDefault="00FE4142" w14:paraId="01B4945F" w14:textId="40077FDF">
      <w:pPr>
        <w:rPr>
          <w:bCs/>
        </w:rPr>
      </w:pPr>
      <w:r>
        <w:rPr>
          <w:bCs/>
        </w:rPr>
        <w:t xml:space="preserve">Attachment 6: Privacy Impact Assessment (PIA) </w:t>
      </w:r>
    </w:p>
    <w:p w:rsidRPr="00C833F5" w:rsidR="003C14CE" w:rsidP="003C14CE" w:rsidRDefault="003C14CE" w14:paraId="0FF9D806" w14:textId="6F46E34B">
      <w:r w:rsidRPr="00C833F5">
        <w:t xml:space="preserve">Attachment </w:t>
      </w:r>
      <w:r w:rsidR="00FE4142">
        <w:t>7</w:t>
      </w:r>
      <w:r w:rsidRPr="00C833F5">
        <w:t xml:space="preserve">. </w:t>
      </w:r>
      <w:r w:rsidR="00F067F5">
        <w:t xml:space="preserve">Program </w:t>
      </w:r>
      <w:r w:rsidR="002F31A8">
        <w:t>Research Determination</w:t>
      </w:r>
    </w:p>
    <w:p w:rsidRPr="00F93CE5" w:rsidR="003C14CE" w:rsidP="00F93CE5" w:rsidRDefault="003C14CE" w14:paraId="7EE119F8" w14:textId="2B63203F">
      <w:pPr>
        <w:autoSpaceDE w:val="0"/>
        <w:autoSpaceDN w:val="0"/>
        <w:adjustRightInd w:val="0"/>
        <w:spacing w:line="240" w:lineRule="auto"/>
        <w:rPr>
          <w:rFonts w:cs="ITCFranklinGothicStd-Book"/>
          <w:sz w:val="24"/>
          <w:szCs w:val="24"/>
        </w:rPr>
      </w:pPr>
    </w:p>
    <w:sectPr w:rsidRPr="00F93CE5" w:rsidR="003C14CE" w:rsidSect="00F91C38">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C5D0D" w14:textId="77777777" w:rsidR="0093769B" w:rsidRDefault="0093769B" w:rsidP="008B5D54">
      <w:r>
        <w:separator/>
      </w:r>
    </w:p>
  </w:endnote>
  <w:endnote w:type="continuationSeparator" w:id="0">
    <w:p w14:paraId="242A7880" w14:textId="77777777" w:rsidR="0093769B" w:rsidRDefault="0093769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TCFranklinGothicStd-BookI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ITCFranklinGothicStd-Bk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F2BC4" w14:textId="77777777" w:rsidR="00C74819" w:rsidRDefault="00C74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8180305"/>
      <w:docPartObj>
        <w:docPartGallery w:val="Page Numbers (Bottom of Page)"/>
        <w:docPartUnique/>
      </w:docPartObj>
    </w:sdtPr>
    <w:sdtEndPr>
      <w:rPr>
        <w:noProof/>
      </w:rPr>
    </w:sdtEndPr>
    <w:sdtContent>
      <w:p w14:paraId="5CAE648C" w14:textId="1DCC7FA4" w:rsidR="00910D5A" w:rsidRDefault="00910D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B184B" w14:textId="77777777" w:rsidR="0093769B" w:rsidRDefault="009376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F275B" w14:textId="77777777" w:rsidR="00C74819" w:rsidRDefault="00C748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415D3" w14:textId="77777777" w:rsidR="0093769B" w:rsidRDefault="009376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07591" w14:textId="77777777" w:rsidR="0093769B" w:rsidRDefault="0093769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03F12" w14:textId="77777777" w:rsidR="0093769B" w:rsidRDefault="00937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F333A" w14:textId="77777777" w:rsidR="0093769B" w:rsidRDefault="0093769B" w:rsidP="008B5D54">
      <w:r>
        <w:separator/>
      </w:r>
    </w:p>
  </w:footnote>
  <w:footnote w:type="continuationSeparator" w:id="0">
    <w:p w14:paraId="470DDE20" w14:textId="77777777" w:rsidR="0093769B" w:rsidRDefault="0093769B" w:rsidP="008B5D54">
      <w:r>
        <w:continuationSeparator/>
      </w:r>
    </w:p>
  </w:footnote>
  <w:footnote w:id="1">
    <w:p w14:paraId="10887B5B" w14:textId="77777777" w:rsidR="0093769B" w:rsidRPr="00A75CA3" w:rsidRDefault="0093769B" w:rsidP="005E0ADE">
      <w:pPr>
        <w:pStyle w:val="FootnoteText"/>
        <w:rPr>
          <w:rFonts w:asciiTheme="minorHAnsi" w:hAnsiTheme="minorHAnsi"/>
        </w:rPr>
      </w:pPr>
      <w:r w:rsidRPr="00A75CA3">
        <w:rPr>
          <w:rStyle w:val="FootnoteReference"/>
          <w:rFonts w:asciiTheme="minorHAnsi" w:eastAsiaTheme="majorEastAsia" w:hAnsiTheme="minorHAnsi"/>
        </w:rPr>
        <w:footnoteRef/>
      </w:r>
      <w:r w:rsidRPr="00A75CA3">
        <w:rPr>
          <w:rFonts w:asciiTheme="minorHAnsi" w:hAnsiTheme="minorHAnsi"/>
        </w:rPr>
        <w:t xml:space="preserve"> </w:t>
      </w:r>
      <w:r w:rsidRPr="00A75CA3">
        <w:rPr>
          <w:rFonts w:asciiTheme="minorHAnsi" w:hAnsiTheme="minorHAnsi"/>
          <w:color w:val="000000"/>
        </w:rPr>
        <w:t>Available at</w:t>
      </w:r>
      <w:r w:rsidRPr="00A75CA3">
        <w:rPr>
          <w:rFonts w:asciiTheme="minorHAnsi" w:hAnsiTheme="minorHAnsi"/>
          <w:color w:val="000000"/>
          <w:lang w:val="en"/>
        </w:rPr>
        <w:t xml:space="preserve">, </w:t>
      </w:r>
      <w:hyperlink r:id="rId1" w:history="1">
        <w:r w:rsidRPr="00A75CA3">
          <w:rPr>
            <w:rStyle w:val="Hyperlink"/>
            <w:rFonts w:asciiTheme="minorHAnsi" w:hAnsiTheme="minorHAnsi"/>
          </w:rPr>
          <w:t>http://www.atsdr.cdc.gov/HAC/PHAManual/toc.html</w:t>
        </w:r>
      </w:hyperlink>
      <w:r w:rsidRPr="00A75CA3">
        <w:rPr>
          <w:rStyle w:val="Hyperlink"/>
          <w:rFonts w:asciiTheme="minorHAnsi" w:hAnsiTheme="minorHAnsi"/>
        </w:rPr>
        <w:t>.</w:t>
      </w:r>
    </w:p>
  </w:footnote>
  <w:footnote w:id="2">
    <w:p w14:paraId="056D027B" w14:textId="505F05DC" w:rsidR="000F2EDF" w:rsidRPr="00A75CA3" w:rsidRDefault="000F2EDF" w:rsidP="000F2EDF">
      <w:pPr>
        <w:pStyle w:val="FootnoteText"/>
        <w:rPr>
          <w:rFonts w:asciiTheme="minorHAnsi" w:hAnsiTheme="minorHAnsi"/>
        </w:rPr>
      </w:pPr>
      <w:bookmarkStart w:id="3" w:name="_Hlk90644786"/>
      <w:r w:rsidRPr="00A75CA3">
        <w:rPr>
          <w:rStyle w:val="FootnoteReference"/>
          <w:rFonts w:asciiTheme="minorHAnsi" w:eastAsiaTheme="majorEastAsia" w:hAnsiTheme="minorHAnsi"/>
        </w:rPr>
        <w:footnoteRef/>
      </w:r>
      <w:r w:rsidRPr="00A75CA3">
        <w:rPr>
          <w:rFonts w:asciiTheme="minorHAnsi" w:hAnsiTheme="minorHAnsi"/>
        </w:rPr>
        <w:t xml:space="preserve"> The APPLETREE cooperative agreement program </w:t>
      </w:r>
      <w:r w:rsidRPr="00910D5A">
        <w:rPr>
          <w:rFonts w:asciiTheme="minorHAnsi" w:hAnsiTheme="minorHAnsi"/>
        </w:rPr>
        <w:t>(NOFO No.TS</w:t>
      </w:r>
      <w:r w:rsidR="002A66BA">
        <w:rPr>
          <w:rFonts w:asciiTheme="minorHAnsi" w:hAnsiTheme="minorHAnsi"/>
        </w:rPr>
        <w:t>20-2001</w:t>
      </w:r>
      <w:r w:rsidRPr="00910D5A">
        <w:rPr>
          <w:rFonts w:asciiTheme="minorHAnsi" w:hAnsiTheme="minorHAnsi"/>
        </w:rPr>
        <w:t>)</w:t>
      </w:r>
      <w:r w:rsidRPr="00A75CA3">
        <w:rPr>
          <w:rFonts w:asciiTheme="minorHAnsi" w:hAnsiTheme="minorHAnsi"/>
        </w:rPr>
        <w:t xml:space="preserve"> specifies that funded state, tribal, and territorial partners are limited to conducting </w:t>
      </w:r>
      <w:proofErr w:type="spellStart"/>
      <w:r w:rsidRPr="00A75CA3">
        <w:rPr>
          <w:rFonts w:asciiTheme="minorHAnsi" w:hAnsiTheme="minorHAnsi"/>
        </w:rPr>
        <w:t>nonresearch</w:t>
      </w:r>
      <w:proofErr w:type="spellEnd"/>
      <w:r w:rsidRPr="00A75CA3">
        <w:rPr>
          <w:rFonts w:asciiTheme="minorHAnsi" w:hAnsiTheme="minorHAnsi"/>
        </w:rPr>
        <w:t xml:space="preserve"> EIs. For these, ATSDR may provide technical assistance.</w:t>
      </w:r>
      <w:bookmarkEnd w:id="3"/>
    </w:p>
  </w:footnote>
  <w:footnote w:id="3">
    <w:p w14:paraId="5EF10BFA" w14:textId="73CC93CA" w:rsidR="0093769B" w:rsidRPr="00A75CA3" w:rsidRDefault="0093769B" w:rsidP="0033105E">
      <w:pPr>
        <w:pStyle w:val="NormalWeb"/>
        <w:rPr>
          <w:rFonts w:asciiTheme="minorHAnsi" w:hAnsiTheme="minorHAnsi"/>
          <w:color w:val="000000"/>
          <w:sz w:val="20"/>
          <w:szCs w:val="20"/>
          <w:lang w:val="en"/>
        </w:rPr>
      </w:pPr>
      <w:r w:rsidRPr="0093769B">
        <w:rPr>
          <w:rStyle w:val="FootnoteReference"/>
          <w:rFonts w:asciiTheme="minorHAnsi" w:eastAsiaTheme="majorEastAsia" w:hAnsiTheme="minorHAnsi"/>
          <w:sz w:val="20"/>
          <w:szCs w:val="20"/>
        </w:rPr>
        <w:footnoteRef/>
      </w:r>
      <w:r w:rsidRPr="0093769B">
        <w:rPr>
          <w:rFonts w:asciiTheme="minorHAnsi" w:hAnsiTheme="minorHAnsi"/>
          <w:sz w:val="20"/>
          <w:szCs w:val="20"/>
        </w:rPr>
        <w:t xml:space="preserve"> </w:t>
      </w:r>
      <w:r w:rsidRPr="0093769B">
        <w:rPr>
          <w:rStyle w:val="Strong"/>
          <w:rFonts w:asciiTheme="minorHAnsi" w:eastAsiaTheme="majorEastAsia" w:hAnsiTheme="minorHAnsi"/>
          <w:i/>
          <w:color w:val="000000"/>
          <w:sz w:val="20"/>
          <w:szCs w:val="20"/>
          <w:lang w:val="en"/>
        </w:rPr>
        <w:t>Public health hazard categories</w:t>
      </w:r>
      <w:r w:rsidRPr="0093769B">
        <w:rPr>
          <w:rStyle w:val="Strong"/>
          <w:rFonts w:asciiTheme="minorHAnsi" w:eastAsiaTheme="majorEastAsia" w:hAnsiTheme="minorHAnsi"/>
          <w:color w:val="000000"/>
          <w:sz w:val="20"/>
          <w:szCs w:val="20"/>
          <w:lang w:val="en"/>
        </w:rPr>
        <w:t xml:space="preserve"> - </w:t>
      </w:r>
      <w:r w:rsidRPr="0093769B">
        <w:rPr>
          <w:rFonts w:asciiTheme="minorHAnsi" w:hAnsiTheme="minorHAnsi"/>
          <w:color w:val="000000"/>
          <w:sz w:val="20"/>
          <w:szCs w:val="20"/>
          <w:lang w:val="en"/>
        </w:rPr>
        <w:t xml:space="preserve">Public health hazard categories are statements used in PHAs about whether environmental conditions in a community are such that people could be harmed by conditions present at the site in the past, present, or future. One or more hazard categories might be appropriate for each site. There are five public health hazard categories (ATSDR, 2005). 1) </w:t>
      </w:r>
      <w:r w:rsidRPr="0093769B">
        <w:rPr>
          <w:rStyle w:val="Strong"/>
          <w:rFonts w:asciiTheme="minorHAnsi" w:eastAsiaTheme="majorEastAsia" w:hAnsiTheme="minorHAnsi"/>
          <w:i/>
          <w:color w:val="000000"/>
          <w:sz w:val="20"/>
          <w:szCs w:val="20"/>
          <w:lang w:val="en"/>
        </w:rPr>
        <w:t>No public health hazard</w:t>
      </w:r>
      <w:r w:rsidRPr="0093769B">
        <w:rPr>
          <w:rStyle w:val="Strong"/>
          <w:rFonts w:asciiTheme="minorHAnsi" w:eastAsiaTheme="majorEastAsia" w:hAnsiTheme="minorHAnsi"/>
          <w:color w:val="000000"/>
          <w:sz w:val="20"/>
          <w:szCs w:val="20"/>
          <w:lang w:val="en"/>
        </w:rPr>
        <w:t xml:space="preserve"> </w:t>
      </w:r>
      <w:r w:rsidRPr="0093769B">
        <w:rPr>
          <w:rFonts w:asciiTheme="minorHAnsi" w:hAnsiTheme="minorHAnsi"/>
          <w:color w:val="000000"/>
          <w:sz w:val="20"/>
          <w:szCs w:val="20"/>
          <w:lang w:val="en"/>
        </w:rPr>
        <w:t>- A category used in ATSDR's public health assessment documents for sites where people have never and will never come into contact with harmful amounts of site-related substances.</w:t>
      </w:r>
      <w:r w:rsidRPr="0093769B">
        <w:rPr>
          <w:rStyle w:val="Strong"/>
          <w:rFonts w:asciiTheme="minorHAnsi" w:eastAsiaTheme="majorEastAsia" w:hAnsiTheme="minorHAnsi"/>
          <w:i/>
          <w:color w:val="000000"/>
          <w:sz w:val="20"/>
          <w:szCs w:val="20"/>
          <w:lang w:val="en"/>
        </w:rPr>
        <w:t xml:space="preserve"> </w:t>
      </w:r>
      <w:r w:rsidRPr="0093769B">
        <w:rPr>
          <w:rStyle w:val="Strong"/>
          <w:rFonts w:asciiTheme="minorHAnsi" w:eastAsiaTheme="majorEastAsia" w:hAnsiTheme="minorHAnsi"/>
          <w:color w:val="000000"/>
          <w:sz w:val="20"/>
          <w:szCs w:val="20"/>
          <w:lang w:val="en"/>
        </w:rPr>
        <w:t xml:space="preserve">2) </w:t>
      </w:r>
      <w:r w:rsidRPr="0093769B">
        <w:rPr>
          <w:rStyle w:val="Strong"/>
          <w:rFonts w:asciiTheme="minorHAnsi" w:eastAsiaTheme="majorEastAsia" w:hAnsiTheme="minorHAnsi"/>
          <w:i/>
          <w:color w:val="000000"/>
          <w:sz w:val="20"/>
          <w:szCs w:val="20"/>
          <w:lang w:val="en"/>
        </w:rPr>
        <w:t xml:space="preserve">No apparent public health hazard </w:t>
      </w:r>
      <w:r w:rsidRPr="0093769B">
        <w:rPr>
          <w:rFonts w:asciiTheme="minorHAnsi" w:hAnsiTheme="minorHAnsi"/>
          <w:b/>
          <w:color w:val="000000"/>
          <w:sz w:val="20"/>
          <w:szCs w:val="20"/>
          <w:lang w:val="en"/>
        </w:rPr>
        <w:t xml:space="preserve">- </w:t>
      </w:r>
      <w:r w:rsidRPr="0093769B">
        <w:rPr>
          <w:rFonts w:asciiTheme="minorHAnsi" w:hAnsiTheme="minorHAnsi"/>
          <w:color w:val="000000"/>
          <w:sz w:val="20"/>
          <w:szCs w:val="20"/>
          <w:lang w:val="en"/>
        </w:rPr>
        <w:t>A category used in ATSDR's public health assessments for sites where human exposure to contaminated media might be occurring, might have occurred in the past, or might occur in the future, but where the exposure is not expected to cause any harmful health effects.</w:t>
      </w:r>
      <w:r w:rsidRPr="0093769B">
        <w:rPr>
          <w:rStyle w:val="Strong"/>
          <w:rFonts w:asciiTheme="minorHAnsi" w:eastAsiaTheme="majorEastAsia" w:hAnsiTheme="minorHAnsi"/>
          <w:i/>
          <w:color w:val="000000"/>
          <w:sz w:val="20"/>
          <w:szCs w:val="20"/>
          <w:lang w:val="en"/>
        </w:rPr>
        <w:t xml:space="preserve"> </w:t>
      </w:r>
      <w:r w:rsidRPr="0093769B">
        <w:rPr>
          <w:rStyle w:val="Strong"/>
          <w:rFonts w:asciiTheme="minorHAnsi" w:eastAsiaTheme="majorEastAsia" w:hAnsiTheme="minorHAnsi"/>
          <w:color w:val="000000"/>
          <w:sz w:val="20"/>
          <w:szCs w:val="20"/>
          <w:lang w:val="en"/>
        </w:rPr>
        <w:t xml:space="preserve">3) </w:t>
      </w:r>
      <w:r w:rsidRPr="0093769B">
        <w:rPr>
          <w:rStyle w:val="Strong"/>
          <w:rFonts w:asciiTheme="minorHAnsi" w:eastAsiaTheme="majorEastAsia" w:hAnsiTheme="minorHAnsi"/>
          <w:i/>
          <w:color w:val="000000"/>
          <w:sz w:val="20"/>
          <w:szCs w:val="20"/>
          <w:lang w:val="en"/>
        </w:rPr>
        <w:t>Indeterminate public health hazard -</w:t>
      </w:r>
      <w:r w:rsidRPr="0093769B">
        <w:rPr>
          <w:rStyle w:val="Strong"/>
          <w:rFonts w:asciiTheme="minorHAnsi" w:eastAsiaTheme="majorEastAsia" w:hAnsiTheme="minorHAnsi"/>
          <w:color w:val="000000"/>
          <w:sz w:val="20"/>
          <w:szCs w:val="20"/>
          <w:lang w:val="en"/>
        </w:rPr>
        <w:t xml:space="preserve"> </w:t>
      </w:r>
      <w:r w:rsidRPr="0093769B">
        <w:rPr>
          <w:rFonts w:asciiTheme="minorHAnsi" w:hAnsiTheme="minorHAnsi"/>
          <w:color w:val="000000"/>
          <w:sz w:val="20"/>
          <w:szCs w:val="20"/>
          <w:lang w:val="en"/>
        </w:rPr>
        <w:t xml:space="preserve">The category used in ATSDR's public health assessment documents when a professional judgment about the level of health hazard cannot be made because information critical to such a decision is lacking. 4) </w:t>
      </w:r>
      <w:r w:rsidRPr="0093769B">
        <w:rPr>
          <w:rStyle w:val="Strong"/>
          <w:rFonts w:asciiTheme="minorHAnsi" w:eastAsiaTheme="majorEastAsia" w:hAnsiTheme="minorHAnsi"/>
          <w:i/>
          <w:color w:val="000000"/>
          <w:sz w:val="20"/>
          <w:szCs w:val="20"/>
          <w:lang w:val="en"/>
        </w:rPr>
        <w:t xml:space="preserve">Public health hazard </w:t>
      </w:r>
      <w:r w:rsidRPr="0093769B">
        <w:rPr>
          <w:rFonts w:asciiTheme="minorHAnsi" w:hAnsiTheme="minorHAnsi"/>
          <w:b/>
          <w:color w:val="000000"/>
          <w:sz w:val="20"/>
          <w:szCs w:val="20"/>
          <w:lang w:val="en"/>
        </w:rPr>
        <w:t xml:space="preserve">- </w:t>
      </w:r>
      <w:r w:rsidRPr="0093769B">
        <w:rPr>
          <w:rFonts w:asciiTheme="minorHAnsi" w:hAnsiTheme="minorHAnsi"/>
          <w:color w:val="000000"/>
          <w:sz w:val="20"/>
          <w:szCs w:val="20"/>
          <w:lang w:val="en"/>
        </w:rPr>
        <w:t xml:space="preserve">A category used in ATSDR's public health assessments for sites that pose a public health hazard because of long-term exposures (greater than 1 year) to sufficiently high levels of hazardous substances or radionuclides that could result in harmful health effects. 5) </w:t>
      </w:r>
      <w:r w:rsidRPr="0093769B">
        <w:rPr>
          <w:rStyle w:val="Strong"/>
          <w:rFonts w:asciiTheme="minorHAnsi" w:eastAsiaTheme="majorEastAsia" w:hAnsiTheme="minorHAnsi"/>
          <w:i/>
          <w:color w:val="000000"/>
          <w:sz w:val="20"/>
          <w:szCs w:val="20"/>
          <w:lang w:val="en"/>
        </w:rPr>
        <w:t>Urgent public health hazard -</w:t>
      </w:r>
      <w:r w:rsidRPr="0093769B">
        <w:rPr>
          <w:rStyle w:val="Strong"/>
          <w:rFonts w:asciiTheme="minorHAnsi" w:eastAsiaTheme="majorEastAsia" w:hAnsiTheme="minorHAnsi"/>
          <w:color w:val="000000"/>
          <w:sz w:val="20"/>
          <w:szCs w:val="20"/>
          <w:lang w:val="en"/>
        </w:rPr>
        <w:t xml:space="preserve"> </w:t>
      </w:r>
      <w:r w:rsidRPr="0093769B">
        <w:rPr>
          <w:rFonts w:asciiTheme="minorHAnsi" w:hAnsiTheme="minorHAnsi"/>
          <w:color w:val="000000"/>
          <w:sz w:val="20"/>
          <w:szCs w:val="20"/>
          <w:lang w:val="en"/>
        </w:rPr>
        <w:t>A category used in ATSDR's public health assessments for sites where short-term exposures (less than 1 year) to hazardous substances or conditions could result in harmful health effects that require rapid intervention.</w:t>
      </w:r>
      <w:r w:rsidRPr="00A75CA3">
        <w:rPr>
          <w:rFonts w:asciiTheme="minorHAnsi" w:hAnsiTheme="minorHAnsi"/>
          <w:color w:val="000000"/>
          <w:sz w:val="20"/>
          <w:szCs w:val="20"/>
          <w:lang w:val="en"/>
        </w:rPr>
        <w:t xml:space="preserve"> </w:t>
      </w:r>
    </w:p>
    <w:p w14:paraId="60655F51" w14:textId="77777777" w:rsidR="0093769B" w:rsidRDefault="0093769B" w:rsidP="005E0ADE">
      <w:pPr>
        <w:pStyle w:val="FootnoteText"/>
      </w:pPr>
    </w:p>
  </w:footnote>
  <w:footnote w:id="4">
    <w:p w14:paraId="23FC4C48" w14:textId="77777777" w:rsidR="0093769B" w:rsidRPr="00A75CA3" w:rsidRDefault="0093769B" w:rsidP="001F69B8">
      <w:pPr>
        <w:pStyle w:val="FootnoteText"/>
        <w:rPr>
          <w:rFonts w:asciiTheme="minorHAnsi" w:hAnsiTheme="minorHAnsi"/>
        </w:rPr>
      </w:pPr>
      <w:r w:rsidRPr="00A75CA3">
        <w:rPr>
          <w:rStyle w:val="FootnoteReference"/>
          <w:rFonts w:asciiTheme="minorHAnsi" w:eastAsiaTheme="majorEastAsia" w:hAnsiTheme="minorHAnsi"/>
        </w:rPr>
        <w:footnoteRef/>
      </w:r>
      <w:r w:rsidRPr="00A75CA3">
        <w:rPr>
          <w:rFonts w:asciiTheme="minorHAnsi" w:hAnsiTheme="minorHAnsi"/>
        </w:rPr>
        <w:t xml:space="preserve"> </w:t>
      </w:r>
      <w:hyperlink r:id="rId2" w:history="1">
        <w:r w:rsidRPr="00A75CA3">
          <w:rPr>
            <w:rStyle w:val="Hyperlink"/>
            <w:rFonts w:asciiTheme="minorHAnsi" w:hAnsiTheme="minorHAnsi"/>
          </w:rPr>
          <w:t>http://www.atsdr.cdc.gov/hac/PHAManual/PDFs/PHAGM_final1-27-05.pdf</w:t>
        </w:r>
      </w:hyperlink>
      <w:r w:rsidRPr="00A75CA3">
        <w:rPr>
          <w:rFonts w:asciiTheme="minorHAnsi" w:hAnsiTheme="minorHAnsi"/>
        </w:rPr>
        <w:t>. See Page 6-31.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C337E" w14:textId="77777777" w:rsidR="00C74819" w:rsidRDefault="00C74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D2A3F" w14:textId="77777777" w:rsidR="00C74819" w:rsidRDefault="00C748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75B61" w14:textId="77777777" w:rsidR="00C74819" w:rsidRDefault="00C748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350FB" w14:textId="77777777" w:rsidR="0093769B" w:rsidRDefault="009376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5947A" w14:textId="77777777" w:rsidR="0093769B" w:rsidRDefault="0093769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5E8AA" w14:textId="77777777" w:rsidR="0093769B" w:rsidRDefault="009376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abstractNum w:abstractNumId="0" w15:restartNumberingAfterBreak="0">
    <w:nsid w:val="015A7DFD"/>
    <w:multiLevelType w:val="multilevel"/>
    <w:tmpl w:val="8C6819F4"/>
    <w:lvl w:ilvl="0">
      <w:start w:val="1"/>
      <w:numFmt w:val="bullet"/>
      <w:lvlText w:val=""/>
      <w:lvlPicBulletId w:val="0"/>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75528"/>
    <w:multiLevelType w:val="hybridMultilevel"/>
    <w:tmpl w:val="89E0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90916"/>
    <w:multiLevelType w:val="hybridMultilevel"/>
    <w:tmpl w:val="804ED732"/>
    <w:lvl w:ilvl="0" w:tplc="89C26822">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0EE8083F"/>
    <w:multiLevelType w:val="hybridMultilevel"/>
    <w:tmpl w:val="10587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21201"/>
    <w:multiLevelType w:val="hybridMultilevel"/>
    <w:tmpl w:val="F3606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F5960"/>
    <w:multiLevelType w:val="hybridMultilevel"/>
    <w:tmpl w:val="FD38D7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8B581B"/>
    <w:multiLevelType w:val="hybridMultilevel"/>
    <w:tmpl w:val="D1566D2A"/>
    <w:lvl w:ilvl="0" w:tplc="B1A2242A">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BD865C4"/>
    <w:multiLevelType w:val="hybridMultilevel"/>
    <w:tmpl w:val="BDD2A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9092D"/>
    <w:multiLevelType w:val="hybridMultilevel"/>
    <w:tmpl w:val="49CA4D1A"/>
    <w:lvl w:ilvl="0" w:tplc="43FEE6F8">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CD53F9"/>
    <w:multiLevelType w:val="hybridMultilevel"/>
    <w:tmpl w:val="78D068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3F81F01"/>
    <w:multiLevelType w:val="hybridMultilevel"/>
    <w:tmpl w:val="3E188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81D09"/>
    <w:multiLevelType w:val="hybridMultilevel"/>
    <w:tmpl w:val="33244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D7994"/>
    <w:multiLevelType w:val="hybridMultilevel"/>
    <w:tmpl w:val="ABDC8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8E486C"/>
    <w:multiLevelType w:val="hybridMultilevel"/>
    <w:tmpl w:val="583A36A8"/>
    <w:lvl w:ilvl="0" w:tplc="B1A2242A">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FF1965"/>
    <w:multiLevelType w:val="hybridMultilevel"/>
    <w:tmpl w:val="61CC6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2678A9"/>
    <w:multiLevelType w:val="hybridMultilevel"/>
    <w:tmpl w:val="5BE03D64"/>
    <w:lvl w:ilvl="0" w:tplc="B1A2242A">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3B28224A"/>
    <w:multiLevelType w:val="hybridMultilevel"/>
    <w:tmpl w:val="71DC7A72"/>
    <w:lvl w:ilvl="0" w:tplc="04090001">
      <w:start w:val="1"/>
      <w:numFmt w:val="bullet"/>
      <w:lvlText w:val=""/>
      <w:lvlJc w:val="left"/>
      <w:pPr>
        <w:ind w:left="720" w:hanging="360"/>
      </w:pPr>
      <w:rPr>
        <w:rFonts w:ascii="Symbol" w:hAnsi="Symbol" w:hint="default"/>
      </w:rPr>
    </w:lvl>
    <w:lvl w:ilvl="1" w:tplc="E508036C">
      <w:start w:val="1"/>
      <w:numFmt w:val="lowerLetter"/>
      <w:lvlText w:val="(%2)"/>
      <w:lvlJc w:val="left"/>
      <w:pPr>
        <w:ind w:left="1440" w:hanging="360"/>
      </w:pPr>
      <w:rPr>
        <w:rFonts w:asciiTheme="minorHAnsi" w:eastAsiaTheme="minorEastAsia" w:hAnsiTheme="minorHAnsi" w:cs="ITCFranklinGothicStd-Book"/>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F773E9"/>
    <w:multiLevelType w:val="hybridMultilevel"/>
    <w:tmpl w:val="26B2C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CE3B62"/>
    <w:multiLevelType w:val="hybridMultilevel"/>
    <w:tmpl w:val="B5F2BD7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4843BB9"/>
    <w:multiLevelType w:val="hybridMultilevel"/>
    <w:tmpl w:val="BFF0ED8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5" w15:restartNumberingAfterBreak="0">
    <w:nsid w:val="45CC6BE9"/>
    <w:multiLevelType w:val="hybridMultilevel"/>
    <w:tmpl w:val="ABB00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7636F6A"/>
    <w:multiLevelType w:val="hybridMultilevel"/>
    <w:tmpl w:val="2428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3D4F14"/>
    <w:multiLevelType w:val="hybridMultilevel"/>
    <w:tmpl w:val="B9F43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31761C6"/>
    <w:multiLevelType w:val="hybridMultilevel"/>
    <w:tmpl w:val="663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CC023E"/>
    <w:multiLevelType w:val="hybridMultilevel"/>
    <w:tmpl w:val="4B8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C1000E"/>
    <w:multiLevelType w:val="hybridMultilevel"/>
    <w:tmpl w:val="AA7CF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B2B46B8"/>
    <w:multiLevelType w:val="hybridMultilevel"/>
    <w:tmpl w:val="794485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635D2CA2"/>
    <w:multiLevelType w:val="hybridMultilevel"/>
    <w:tmpl w:val="1D4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493609"/>
    <w:multiLevelType w:val="hybridMultilevel"/>
    <w:tmpl w:val="0568E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AF624F"/>
    <w:multiLevelType w:val="hybridMultilevel"/>
    <w:tmpl w:val="555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7A1778"/>
    <w:multiLevelType w:val="hybridMultilevel"/>
    <w:tmpl w:val="2E20DD88"/>
    <w:lvl w:ilvl="0" w:tplc="B1A2242A">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6D68059C"/>
    <w:multiLevelType w:val="hybridMultilevel"/>
    <w:tmpl w:val="D0C01106"/>
    <w:lvl w:ilvl="0" w:tplc="B1A2242A">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6EFE4BFA"/>
    <w:multiLevelType w:val="hybridMultilevel"/>
    <w:tmpl w:val="CC7C46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0105741"/>
    <w:multiLevelType w:val="hybridMultilevel"/>
    <w:tmpl w:val="4E64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FD3D46"/>
    <w:multiLevelType w:val="hybridMultilevel"/>
    <w:tmpl w:val="6E647882"/>
    <w:lvl w:ilvl="0" w:tplc="B1A2242A">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5" w15:restartNumberingAfterBreak="0">
    <w:nsid w:val="766D0351"/>
    <w:multiLevelType w:val="hybridMultilevel"/>
    <w:tmpl w:val="F48A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6224E5"/>
    <w:multiLevelType w:val="hybridMultilevel"/>
    <w:tmpl w:val="2C9A87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43"/>
  </w:num>
  <w:num w:numId="3">
    <w:abstractNumId w:val="31"/>
  </w:num>
  <w:num w:numId="4">
    <w:abstractNumId w:val="13"/>
  </w:num>
  <w:num w:numId="5">
    <w:abstractNumId w:val="45"/>
  </w:num>
  <w:num w:numId="6">
    <w:abstractNumId w:val="19"/>
  </w:num>
  <w:num w:numId="7">
    <w:abstractNumId w:val="30"/>
  </w:num>
  <w:num w:numId="8">
    <w:abstractNumId w:val="33"/>
  </w:num>
  <w:num w:numId="9">
    <w:abstractNumId w:val="1"/>
  </w:num>
  <w:num w:numId="10">
    <w:abstractNumId w:val="36"/>
  </w:num>
  <w:num w:numId="11">
    <w:abstractNumId w:val="3"/>
  </w:num>
  <w:num w:numId="12">
    <w:abstractNumId w:val="14"/>
  </w:num>
  <w:num w:numId="13">
    <w:abstractNumId w:val="32"/>
  </w:num>
  <w:num w:numId="14">
    <w:abstractNumId w:val="26"/>
  </w:num>
  <w:num w:numId="15">
    <w:abstractNumId w:val="4"/>
  </w:num>
  <w:num w:numId="16">
    <w:abstractNumId w:val="37"/>
  </w:num>
  <w:num w:numId="17">
    <w:abstractNumId w:val="46"/>
  </w:num>
  <w:num w:numId="18">
    <w:abstractNumId w:val="11"/>
  </w:num>
  <w:num w:numId="19">
    <w:abstractNumId w:val="22"/>
  </w:num>
  <w:num w:numId="20">
    <w:abstractNumId w:val="10"/>
  </w:num>
  <w:num w:numId="21">
    <w:abstractNumId w:val="16"/>
  </w:num>
  <w:num w:numId="22">
    <w:abstractNumId w:val="27"/>
  </w:num>
  <w:num w:numId="23">
    <w:abstractNumId w:val="42"/>
  </w:num>
  <w:num w:numId="24">
    <w:abstractNumId w:val="7"/>
  </w:num>
  <w:num w:numId="25">
    <w:abstractNumId w:val="18"/>
  </w:num>
  <w:num w:numId="26">
    <w:abstractNumId w:val="35"/>
  </w:num>
  <w:num w:numId="27">
    <w:abstractNumId w:val="41"/>
  </w:num>
  <w:num w:numId="28">
    <w:abstractNumId w:val="21"/>
  </w:num>
  <w:num w:numId="29">
    <w:abstractNumId w:val="17"/>
  </w:num>
  <w:num w:numId="30">
    <w:abstractNumId w:val="28"/>
  </w:num>
  <w:num w:numId="31">
    <w:abstractNumId w:val="24"/>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num>
  <w:num w:numId="34">
    <w:abstractNumId w:val="23"/>
  </w:num>
  <w:num w:numId="35">
    <w:abstractNumId w:val="44"/>
  </w:num>
  <w:num w:numId="36">
    <w:abstractNumId w:val="6"/>
  </w:num>
  <w:num w:numId="37">
    <w:abstractNumId w:val="15"/>
  </w:num>
  <w:num w:numId="38">
    <w:abstractNumId w:val="38"/>
  </w:num>
  <w:num w:numId="39">
    <w:abstractNumId w:val="39"/>
  </w:num>
  <w:num w:numId="40">
    <w:abstractNumId w:val="20"/>
  </w:num>
  <w:num w:numId="41">
    <w:abstractNumId w:val="29"/>
  </w:num>
  <w:num w:numId="42">
    <w:abstractNumId w:val="34"/>
  </w:num>
  <w:num w:numId="43">
    <w:abstractNumId w:val="9"/>
  </w:num>
  <w:num w:numId="44">
    <w:abstractNumId w:val="25"/>
  </w:num>
  <w:num w:numId="45">
    <w:abstractNumId w:val="2"/>
  </w:num>
  <w:num w:numId="46">
    <w:abstractNumId w:val="12"/>
  </w:num>
  <w:num w:numId="47">
    <w:abstractNumId w:val="8"/>
  </w:num>
  <w:num w:numId="48">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1F18"/>
    <w:rsid w:val="0000689D"/>
    <w:rsid w:val="000071D1"/>
    <w:rsid w:val="00013DB5"/>
    <w:rsid w:val="0002168F"/>
    <w:rsid w:val="00026800"/>
    <w:rsid w:val="000273E9"/>
    <w:rsid w:val="00027B1B"/>
    <w:rsid w:val="00040E13"/>
    <w:rsid w:val="00040F4A"/>
    <w:rsid w:val="00041111"/>
    <w:rsid w:val="00044260"/>
    <w:rsid w:val="00045A02"/>
    <w:rsid w:val="00047490"/>
    <w:rsid w:val="00051810"/>
    <w:rsid w:val="00051816"/>
    <w:rsid w:val="00051B38"/>
    <w:rsid w:val="00064766"/>
    <w:rsid w:val="00065509"/>
    <w:rsid w:val="000712F6"/>
    <w:rsid w:val="00072010"/>
    <w:rsid w:val="00075A8C"/>
    <w:rsid w:val="00076C74"/>
    <w:rsid w:val="000771B9"/>
    <w:rsid w:val="0007753E"/>
    <w:rsid w:val="00082263"/>
    <w:rsid w:val="00094108"/>
    <w:rsid w:val="00094E12"/>
    <w:rsid w:val="000A16FA"/>
    <w:rsid w:val="000A204D"/>
    <w:rsid w:val="000A30A8"/>
    <w:rsid w:val="000A4BD7"/>
    <w:rsid w:val="000A5AC6"/>
    <w:rsid w:val="000A6E17"/>
    <w:rsid w:val="000A77B0"/>
    <w:rsid w:val="000B0207"/>
    <w:rsid w:val="000B14F2"/>
    <w:rsid w:val="000B6783"/>
    <w:rsid w:val="000E158A"/>
    <w:rsid w:val="000E7FAD"/>
    <w:rsid w:val="000F2EDF"/>
    <w:rsid w:val="000F54C8"/>
    <w:rsid w:val="00100D0E"/>
    <w:rsid w:val="00102B2A"/>
    <w:rsid w:val="00103DFD"/>
    <w:rsid w:val="00104051"/>
    <w:rsid w:val="00105B40"/>
    <w:rsid w:val="00106836"/>
    <w:rsid w:val="00107476"/>
    <w:rsid w:val="00110D29"/>
    <w:rsid w:val="0011321F"/>
    <w:rsid w:val="00116841"/>
    <w:rsid w:val="001232E4"/>
    <w:rsid w:val="00123A3D"/>
    <w:rsid w:val="00124561"/>
    <w:rsid w:val="00126C43"/>
    <w:rsid w:val="001317DF"/>
    <w:rsid w:val="00132004"/>
    <w:rsid w:val="001324C6"/>
    <w:rsid w:val="001346BF"/>
    <w:rsid w:val="00135B7A"/>
    <w:rsid w:val="001372DB"/>
    <w:rsid w:val="0013764F"/>
    <w:rsid w:val="0014151A"/>
    <w:rsid w:val="001417E6"/>
    <w:rsid w:val="00142483"/>
    <w:rsid w:val="00147AEA"/>
    <w:rsid w:val="00150025"/>
    <w:rsid w:val="0015103C"/>
    <w:rsid w:val="00151318"/>
    <w:rsid w:val="00157E41"/>
    <w:rsid w:val="00160A9B"/>
    <w:rsid w:val="001626E8"/>
    <w:rsid w:val="00163C21"/>
    <w:rsid w:val="00167A15"/>
    <w:rsid w:val="001727C1"/>
    <w:rsid w:val="00176AF4"/>
    <w:rsid w:val="00177ABE"/>
    <w:rsid w:val="001804FB"/>
    <w:rsid w:val="00185386"/>
    <w:rsid w:val="001855E3"/>
    <w:rsid w:val="001872E6"/>
    <w:rsid w:val="00196C12"/>
    <w:rsid w:val="001A15F9"/>
    <w:rsid w:val="001A3F02"/>
    <w:rsid w:val="001A4F23"/>
    <w:rsid w:val="001A51F0"/>
    <w:rsid w:val="001A5EC6"/>
    <w:rsid w:val="001A6CC9"/>
    <w:rsid w:val="001B2712"/>
    <w:rsid w:val="001B3522"/>
    <w:rsid w:val="001B7A4E"/>
    <w:rsid w:val="001C066E"/>
    <w:rsid w:val="001C1DD5"/>
    <w:rsid w:val="001C1EE7"/>
    <w:rsid w:val="001C268C"/>
    <w:rsid w:val="001C27CC"/>
    <w:rsid w:val="001C3CA7"/>
    <w:rsid w:val="001C3EBE"/>
    <w:rsid w:val="001D391B"/>
    <w:rsid w:val="001D5105"/>
    <w:rsid w:val="001D56E7"/>
    <w:rsid w:val="001D657C"/>
    <w:rsid w:val="001D693B"/>
    <w:rsid w:val="001D75CC"/>
    <w:rsid w:val="001D79B7"/>
    <w:rsid w:val="001E27D7"/>
    <w:rsid w:val="001E595A"/>
    <w:rsid w:val="001F19FD"/>
    <w:rsid w:val="001F1D97"/>
    <w:rsid w:val="001F23DF"/>
    <w:rsid w:val="001F3995"/>
    <w:rsid w:val="001F4FFA"/>
    <w:rsid w:val="001F53D2"/>
    <w:rsid w:val="001F5BDA"/>
    <w:rsid w:val="001F69B8"/>
    <w:rsid w:val="00201308"/>
    <w:rsid w:val="00201AAB"/>
    <w:rsid w:val="00202C21"/>
    <w:rsid w:val="00203A62"/>
    <w:rsid w:val="00204DD3"/>
    <w:rsid w:val="0020541F"/>
    <w:rsid w:val="002064EF"/>
    <w:rsid w:val="00206A3D"/>
    <w:rsid w:val="00206AAE"/>
    <w:rsid w:val="00215202"/>
    <w:rsid w:val="002203E0"/>
    <w:rsid w:val="00227817"/>
    <w:rsid w:val="0023081C"/>
    <w:rsid w:val="00231951"/>
    <w:rsid w:val="00236267"/>
    <w:rsid w:val="0023630E"/>
    <w:rsid w:val="002369DA"/>
    <w:rsid w:val="00236AAD"/>
    <w:rsid w:val="002379B5"/>
    <w:rsid w:val="0024399D"/>
    <w:rsid w:val="00244F46"/>
    <w:rsid w:val="00251BD8"/>
    <w:rsid w:val="00257CB9"/>
    <w:rsid w:val="002605A1"/>
    <w:rsid w:val="00261399"/>
    <w:rsid w:val="00263DFC"/>
    <w:rsid w:val="00265663"/>
    <w:rsid w:val="002701E6"/>
    <w:rsid w:val="0027054A"/>
    <w:rsid w:val="00271C0C"/>
    <w:rsid w:val="00274D11"/>
    <w:rsid w:val="002751A7"/>
    <w:rsid w:val="002771FE"/>
    <w:rsid w:val="00283881"/>
    <w:rsid w:val="0028491D"/>
    <w:rsid w:val="00287A8C"/>
    <w:rsid w:val="00287B5A"/>
    <w:rsid w:val="00290F85"/>
    <w:rsid w:val="002928DF"/>
    <w:rsid w:val="002930EC"/>
    <w:rsid w:val="00294E11"/>
    <w:rsid w:val="002963AE"/>
    <w:rsid w:val="002A1AB0"/>
    <w:rsid w:val="002A3E2D"/>
    <w:rsid w:val="002A66BA"/>
    <w:rsid w:val="002A7697"/>
    <w:rsid w:val="002B1D7C"/>
    <w:rsid w:val="002B4569"/>
    <w:rsid w:val="002C06A1"/>
    <w:rsid w:val="002C1279"/>
    <w:rsid w:val="002C2A8D"/>
    <w:rsid w:val="002C645E"/>
    <w:rsid w:val="002C6753"/>
    <w:rsid w:val="002C72ED"/>
    <w:rsid w:val="002D3A9E"/>
    <w:rsid w:val="002D5D7E"/>
    <w:rsid w:val="002E0397"/>
    <w:rsid w:val="002E06C8"/>
    <w:rsid w:val="002E2E4E"/>
    <w:rsid w:val="002E368A"/>
    <w:rsid w:val="002E3C81"/>
    <w:rsid w:val="002E4498"/>
    <w:rsid w:val="002E48A7"/>
    <w:rsid w:val="002F0763"/>
    <w:rsid w:val="002F1EC0"/>
    <w:rsid w:val="002F31A8"/>
    <w:rsid w:val="002F3924"/>
    <w:rsid w:val="00302CC4"/>
    <w:rsid w:val="003057DB"/>
    <w:rsid w:val="00307FE7"/>
    <w:rsid w:val="003113D2"/>
    <w:rsid w:val="00314F48"/>
    <w:rsid w:val="00316980"/>
    <w:rsid w:val="00316A96"/>
    <w:rsid w:val="0031787C"/>
    <w:rsid w:val="00320135"/>
    <w:rsid w:val="003210B3"/>
    <w:rsid w:val="00323C10"/>
    <w:rsid w:val="003248A4"/>
    <w:rsid w:val="00326844"/>
    <w:rsid w:val="00330703"/>
    <w:rsid w:val="0033105E"/>
    <w:rsid w:val="00332993"/>
    <w:rsid w:val="00340E99"/>
    <w:rsid w:val="00342BA4"/>
    <w:rsid w:val="00342D07"/>
    <w:rsid w:val="00346C4C"/>
    <w:rsid w:val="00346E41"/>
    <w:rsid w:val="003506B8"/>
    <w:rsid w:val="003507B3"/>
    <w:rsid w:val="00354A4E"/>
    <w:rsid w:val="00354E0E"/>
    <w:rsid w:val="00355B97"/>
    <w:rsid w:val="00360896"/>
    <w:rsid w:val="00360BBB"/>
    <w:rsid w:val="00361201"/>
    <w:rsid w:val="00361AF0"/>
    <w:rsid w:val="003648A2"/>
    <w:rsid w:val="00364CCC"/>
    <w:rsid w:val="0036566F"/>
    <w:rsid w:val="00365885"/>
    <w:rsid w:val="00365B89"/>
    <w:rsid w:val="00366D0E"/>
    <w:rsid w:val="003712EB"/>
    <w:rsid w:val="003717C7"/>
    <w:rsid w:val="00373456"/>
    <w:rsid w:val="00376FC4"/>
    <w:rsid w:val="003810E2"/>
    <w:rsid w:val="00383848"/>
    <w:rsid w:val="00385207"/>
    <w:rsid w:val="00386C3A"/>
    <w:rsid w:val="00387C4A"/>
    <w:rsid w:val="00390A29"/>
    <w:rsid w:val="00390B2D"/>
    <w:rsid w:val="00391007"/>
    <w:rsid w:val="00391758"/>
    <w:rsid w:val="00391972"/>
    <w:rsid w:val="003924FB"/>
    <w:rsid w:val="00392DAB"/>
    <w:rsid w:val="003A007B"/>
    <w:rsid w:val="003A0349"/>
    <w:rsid w:val="003A0A70"/>
    <w:rsid w:val="003A2F76"/>
    <w:rsid w:val="003A4B8F"/>
    <w:rsid w:val="003A5DD1"/>
    <w:rsid w:val="003A691A"/>
    <w:rsid w:val="003B1968"/>
    <w:rsid w:val="003B2A57"/>
    <w:rsid w:val="003B3057"/>
    <w:rsid w:val="003C0795"/>
    <w:rsid w:val="003C0CED"/>
    <w:rsid w:val="003C14CE"/>
    <w:rsid w:val="003C21A1"/>
    <w:rsid w:val="003C4886"/>
    <w:rsid w:val="003C530B"/>
    <w:rsid w:val="003D3E78"/>
    <w:rsid w:val="003D702E"/>
    <w:rsid w:val="003D7C7F"/>
    <w:rsid w:val="003E092D"/>
    <w:rsid w:val="003E7D3C"/>
    <w:rsid w:val="003F2C06"/>
    <w:rsid w:val="003F51BF"/>
    <w:rsid w:val="003F612D"/>
    <w:rsid w:val="003F6A54"/>
    <w:rsid w:val="003F7043"/>
    <w:rsid w:val="0040594D"/>
    <w:rsid w:val="00407AD4"/>
    <w:rsid w:val="00407B3E"/>
    <w:rsid w:val="00411D9C"/>
    <w:rsid w:val="00413951"/>
    <w:rsid w:val="004154B7"/>
    <w:rsid w:val="00416242"/>
    <w:rsid w:val="0042567B"/>
    <w:rsid w:val="004302E3"/>
    <w:rsid w:val="004302E9"/>
    <w:rsid w:val="00434368"/>
    <w:rsid w:val="00434825"/>
    <w:rsid w:val="00434990"/>
    <w:rsid w:val="00434A3F"/>
    <w:rsid w:val="00436064"/>
    <w:rsid w:val="004417A7"/>
    <w:rsid w:val="00441874"/>
    <w:rsid w:val="00441D1E"/>
    <w:rsid w:val="0044654D"/>
    <w:rsid w:val="00450735"/>
    <w:rsid w:val="004516F8"/>
    <w:rsid w:val="00451BBD"/>
    <w:rsid w:val="00453CF0"/>
    <w:rsid w:val="00455158"/>
    <w:rsid w:val="00455277"/>
    <w:rsid w:val="004558AD"/>
    <w:rsid w:val="0045726C"/>
    <w:rsid w:val="00462755"/>
    <w:rsid w:val="00462CB7"/>
    <w:rsid w:val="00463291"/>
    <w:rsid w:val="00465813"/>
    <w:rsid w:val="004677EB"/>
    <w:rsid w:val="0047610D"/>
    <w:rsid w:val="00476284"/>
    <w:rsid w:val="0047778A"/>
    <w:rsid w:val="00477BB5"/>
    <w:rsid w:val="00480FC6"/>
    <w:rsid w:val="004834F8"/>
    <w:rsid w:val="00483E2D"/>
    <w:rsid w:val="004863C6"/>
    <w:rsid w:val="00486F93"/>
    <w:rsid w:val="0049091C"/>
    <w:rsid w:val="004939F0"/>
    <w:rsid w:val="00496470"/>
    <w:rsid w:val="00496C37"/>
    <w:rsid w:val="004976CC"/>
    <w:rsid w:val="004A0C8C"/>
    <w:rsid w:val="004A3C34"/>
    <w:rsid w:val="004A7B18"/>
    <w:rsid w:val="004B091D"/>
    <w:rsid w:val="004B1E79"/>
    <w:rsid w:val="004B2746"/>
    <w:rsid w:val="004B69EF"/>
    <w:rsid w:val="004B7E0F"/>
    <w:rsid w:val="004C37C5"/>
    <w:rsid w:val="004C604A"/>
    <w:rsid w:val="004C78BB"/>
    <w:rsid w:val="004D194E"/>
    <w:rsid w:val="004D21C9"/>
    <w:rsid w:val="004D3245"/>
    <w:rsid w:val="004D621C"/>
    <w:rsid w:val="004D6B87"/>
    <w:rsid w:val="004D7237"/>
    <w:rsid w:val="004E1D4C"/>
    <w:rsid w:val="004E29A9"/>
    <w:rsid w:val="004E3771"/>
    <w:rsid w:val="004E3F14"/>
    <w:rsid w:val="004E40CE"/>
    <w:rsid w:val="004E580C"/>
    <w:rsid w:val="004E5B73"/>
    <w:rsid w:val="004E62B1"/>
    <w:rsid w:val="004E7FB2"/>
    <w:rsid w:val="004F0165"/>
    <w:rsid w:val="004F1320"/>
    <w:rsid w:val="004F1D6F"/>
    <w:rsid w:val="004F34AE"/>
    <w:rsid w:val="004F3917"/>
    <w:rsid w:val="004F5FCE"/>
    <w:rsid w:val="004F7591"/>
    <w:rsid w:val="005027A4"/>
    <w:rsid w:val="00514EA6"/>
    <w:rsid w:val="00523A2A"/>
    <w:rsid w:val="00524D01"/>
    <w:rsid w:val="00525695"/>
    <w:rsid w:val="00531A6D"/>
    <w:rsid w:val="0054007F"/>
    <w:rsid w:val="0054047D"/>
    <w:rsid w:val="0054053A"/>
    <w:rsid w:val="005407DB"/>
    <w:rsid w:val="00541808"/>
    <w:rsid w:val="00543DCF"/>
    <w:rsid w:val="00543FF4"/>
    <w:rsid w:val="00544418"/>
    <w:rsid w:val="005459BB"/>
    <w:rsid w:val="0055030C"/>
    <w:rsid w:val="00551931"/>
    <w:rsid w:val="00552D02"/>
    <w:rsid w:val="00561D9D"/>
    <w:rsid w:val="00563D35"/>
    <w:rsid w:val="005655A6"/>
    <w:rsid w:val="00566D2A"/>
    <w:rsid w:val="0057192D"/>
    <w:rsid w:val="00572450"/>
    <w:rsid w:val="005773F6"/>
    <w:rsid w:val="00581C29"/>
    <w:rsid w:val="00582703"/>
    <w:rsid w:val="0058290A"/>
    <w:rsid w:val="00583B69"/>
    <w:rsid w:val="00585152"/>
    <w:rsid w:val="005918F7"/>
    <w:rsid w:val="00597B55"/>
    <w:rsid w:val="005A033A"/>
    <w:rsid w:val="005A1E38"/>
    <w:rsid w:val="005A5FA1"/>
    <w:rsid w:val="005B03EC"/>
    <w:rsid w:val="005B07B8"/>
    <w:rsid w:val="005B191C"/>
    <w:rsid w:val="005B610F"/>
    <w:rsid w:val="005B6E55"/>
    <w:rsid w:val="005B7771"/>
    <w:rsid w:val="005C33C7"/>
    <w:rsid w:val="005C34DF"/>
    <w:rsid w:val="005C465C"/>
    <w:rsid w:val="005C7CF0"/>
    <w:rsid w:val="005D0DDF"/>
    <w:rsid w:val="005D31AE"/>
    <w:rsid w:val="005E0AD5"/>
    <w:rsid w:val="005E0ADE"/>
    <w:rsid w:val="005E69D1"/>
    <w:rsid w:val="005E7243"/>
    <w:rsid w:val="005E7774"/>
    <w:rsid w:val="005F0539"/>
    <w:rsid w:val="00601F1A"/>
    <w:rsid w:val="0060347C"/>
    <w:rsid w:val="00603C64"/>
    <w:rsid w:val="006065B9"/>
    <w:rsid w:val="00606634"/>
    <w:rsid w:val="006105E5"/>
    <w:rsid w:val="00610DFB"/>
    <w:rsid w:val="0061311B"/>
    <w:rsid w:val="00613B81"/>
    <w:rsid w:val="00614A15"/>
    <w:rsid w:val="00614ABC"/>
    <w:rsid w:val="00617C0E"/>
    <w:rsid w:val="006206E1"/>
    <w:rsid w:val="006223BF"/>
    <w:rsid w:val="00622886"/>
    <w:rsid w:val="00623105"/>
    <w:rsid w:val="00623EE7"/>
    <w:rsid w:val="006316B5"/>
    <w:rsid w:val="006322DF"/>
    <w:rsid w:val="0063411D"/>
    <w:rsid w:val="00637DF7"/>
    <w:rsid w:val="0064011A"/>
    <w:rsid w:val="0064474F"/>
    <w:rsid w:val="00644EA1"/>
    <w:rsid w:val="006461D4"/>
    <w:rsid w:val="00647EBF"/>
    <w:rsid w:val="006521F7"/>
    <w:rsid w:val="00653F5D"/>
    <w:rsid w:val="00654A1D"/>
    <w:rsid w:val="006562A8"/>
    <w:rsid w:val="006570C6"/>
    <w:rsid w:val="00664763"/>
    <w:rsid w:val="00664ABF"/>
    <w:rsid w:val="00666272"/>
    <w:rsid w:val="0066681D"/>
    <w:rsid w:val="006679B3"/>
    <w:rsid w:val="0068062A"/>
    <w:rsid w:val="006806D2"/>
    <w:rsid w:val="00681BC2"/>
    <w:rsid w:val="00684E9A"/>
    <w:rsid w:val="006851AD"/>
    <w:rsid w:val="006855D0"/>
    <w:rsid w:val="006971FA"/>
    <w:rsid w:val="006A1D99"/>
    <w:rsid w:val="006B486C"/>
    <w:rsid w:val="006B5B71"/>
    <w:rsid w:val="006B6A68"/>
    <w:rsid w:val="006B7E68"/>
    <w:rsid w:val="006C00B3"/>
    <w:rsid w:val="006C448B"/>
    <w:rsid w:val="006C4FDD"/>
    <w:rsid w:val="006C51A7"/>
    <w:rsid w:val="006C528B"/>
    <w:rsid w:val="006C6445"/>
    <w:rsid w:val="006C6578"/>
    <w:rsid w:val="006C6F2C"/>
    <w:rsid w:val="006D1B41"/>
    <w:rsid w:val="006D349D"/>
    <w:rsid w:val="006D35F6"/>
    <w:rsid w:val="006D3D2C"/>
    <w:rsid w:val="006D432C"/>
    <w:rsid w:val="006D4FB7"/>
    <w:rsid w:val="006E334B"/>
    <w:rsid w:val="006F125A"/>
    <w:rsid w:val="006F2B95"/>
    <w:rsid w:val="006F66B2"/>
    <w:rsid w:val="00702423"/>
    <w:rsid w:val="00702996"/>
    <w:rsid w:val="00702BFD"/>
    <w:rsid w:val="0070512A"/>
    <w:rsid w:val="007157E4"/>
    <w:rsid w:val="0072106B"/>
    <w:rsid w:val="0072405E"/>
    <w:rsid w:val="007241AF"/>
    <w:rsid w:val="00725912"/>
    <w:rsid w:val="00726E14"/>
    <w:rsid w:val="00727EDB"/>
    <w:rsid w:val="00727F70"/>
    <w:rsid w:val="00734F65"/>
    <w:rsid w:val="00740EDF"/>
    <w:rsid w:val="007439A2"/>
    <w:rsid w:val="007504EA"/>
    <w:rsid w:val="007532D4"/>
    <w:rsid w:val="007541E5"/>
    <w:rsid w:val="00754C47"/>
    <w:rsid w:val="00754F1A"/>
    <w:rsid w:val="00755987"/>
    <w:rsid w:val="007565A5"/>
    <w:rsid w:val="00763C8E"/>
    <w:rsid w:val="00771A9A"/>
    <w:rsid w:val="007756CB"/>
    <w:rsid w:val="00780544"/>
    <w:rsid w:val="007829B4"/>
    <w:rsid w:val="00783896"/>
    <w:rsid w:val="007841D0"/>
    <w:rsid w:val="007902BD"/>
    <w:rsid w:val="00790966"/>
    <w:rsid w:val="0079260A"/>
    <w:rsid w:val="00794160"/>
    <w:rsid w:val="00797B1C"/>
    <w:rsid w:val="007A2363"/>
    <w:rsid w:val="007A422D"/>
    <w:rsid w:val="007A4BAC"/>
    <w:rsid w:val="007A5A11"/>
    <w:rsid w:val="007A5A47"/>
    <w:rsid w:val="007A6725"/>
    <w:rsid w:val="007A7A76"/>
    <w:rsid w:val="007B1E0A"/>
    <w:rsid w:val="007B3A78"/>
    <w:rsid w:val="007B505D"/>
    <w:rsid w:val="007B5AA7"/>
    <w:rsid w:val="007C145D"/>
    <w:rsid w:val="007C25FE"/>
    <w:rsid w:val="007C46F5"/>
    <w:rsid w:val="007C5BB8"/>
    <w:rsid w:val="007D206B"/>
    <w:rsid w:val="007D4152"/>
    <w:rsid w:val="007D4F53"/>
    <w:rsid w:val="007D55AD"/>
    <w:rsid w:val="007E36E8"/>
    <w:rsid w:val="007E6427"/>
    <w:rsid w:val="007F1D07"/>
    <w:rsid w:val="007F3330"/>
    <w:rsid w:val="007F6841"/>
    <w:rsid w:val="007F6CB2"/>
    <w:rsid w:val="008007EE"/>
    <w:rsid w:val="0080091A"/>
    <w:rsid w:val="00803390"/>
    <w:rsid w:val="00805875"/>
    <w:rsid w:val="00807133"/>
    <w:rsid w:val="0080765F"/>
    <w:rsid w:val="00810A9E"/>
    <w:rsid w:val="0081498F"/>
    <w:rsid w:val="00817403"/>
    <w:rsid w:val="00820DBF"/>
    <w:rsid w:val="0082222A"/>
    <w:rsid w:val="0082388A"/>
    <w:rsid w:val="00824698"/>
    <w:rsid w:val="008266BD"/>
    <w:rsid w:val="00830EB8"/>
    <w:rsid w:val="00832C83"/>
    <w:rsid w:val="00836499"/>
    <w:rsid w:val="00837C67"/>
    <w:rsid w:val="0084082A"/>
    <w:rsid w:val="00841214"/>
    <w:rsid w:val="00841F6B"/>
    <w:rsid w:val="00844BB6"/>
    <w:rsid w:val="00845576"/>
    <w:rsid w:val="008458FA"/>
    <w:rsid w:val="00846F82"/>
    <w:rsid w:val="00847DB7"/>
    <w:rsid w:val="0085194F"/>
    <w:rsid w:val="00853428"/>
    <w:rsid w:val="00853C63"/>
    <w:rsid w:val="008552A0"/>
    <w:rsid w:val="00861D3A"/>
    <w:rsid w:val="008705D5"/>
    <w:rsid w:val="008777DD"/>
    <w:rsid w:val="00877F7C"/>
    <w:rsid w:val="008802C8"/>
    <w:rsid w:val="00880459"/>
    <w:rsid w:val="00882793"/>
    <w:rsid w:val="0088344A"/>
    <w:rsid w:val="00887415"/>
    <w:rsid w:val="008960B8"/>
    <w:rsid w:val="0089651E"/>
    <w:rsid w:val="008A254B"/>
    <w:rsid w:val="008A6EA6"/>
    <w:rsid w:val="008A7703"/>
    <w:rsid w:val="008B5D54"/>
    <w:rsid w:val="008B6A7E"/>
    <w:rsid w:val="008C0677"/>
    <w:rsid w:val="008C0720"/>
    <w:rsid w:val="008C154D"/>
    <w:rsid w:val="008C36BB"/>
    <w:rsid w:val="008C46E9"/>
    <w:rsid w:val="008C6811"/>
    <w:rsid w:val="008D1AE4"/>
    <w:rsid w:val="008D2B70"/>
    <w:rsid w:val="008D4FD2"/>
    <w:rsid w:val="008D678D"/>
    <w:rsid w:val="008E1058"/>
    <w:rsid w:val="008E3A6C"/>
    <w:rsid w:val="008E47E6"/>
    <w:rsid w:val="008E49FD"/>
    <w:rsid w:val="008E7A31"/>
    <w:rsid w:val="008F0707"/>
    <w:rsid w:val="008F26E1"/>
    <w:rsid w:val="008F5CAF"/>
    <w:rsid w:val="008F6D26"/>
    <w:rsid w:val="008F6E48"/>
    <w:rsid w:val="0090078A"/>
    <w:rsid w:val="00901E43"/>
    <w:rsid w:val="00904FB6"/>
    <w:rsid w:val="0090515B"/>
    <w:rsid w:val="00905EE4"/>
    <w:rsid w:val="00906B16"/>
    <w:rsid w:val="00910D5A"/>
    <w:rsid w:val="0091320B"/>
    <w:rsid w:val="00913909"/>
    <w:rsid w:val="00913A3A"/>
    <w:rsid w:val="00915629"/>
    <w:rsid w:val="009163A4"/>
    <w:rsid w:val="0091651D"/>
    <w:rsid w:val="00925F13"/>
    <w:rsid w:val="00930D68"/>
    <w:rsid w:val="00932BF5"/>
    <w:rsid w:val="00935A93"/>
    <w:rsid w:val="009363D4"/>
    <w:rsid w:val="0093769B"/>
    <w:rsid w:val="00940376"/>
    <w:rsid w:val="00943FCF"/>
    <w:rsid w:val="009452BF"/>
    <w:rsid w:val="009459EE"/>
    <w:rsid w:val="00952BF9"/>
    <w:rsid w:val="009535EC"/>
    <w:rsid w:val="00956572"/>
    <w:rsid w:val="009577A5"/>
    <w:rsid w:val="00962A73"/>
    <w:rsid w:val="00963545"/>
    <w:rsid w:val="00963A1F"/>
    <w:rsid w:val="00964F8C"/>
    <w:rsid w:val="00965C2A"/>
    <w:rsid w:val="00975121"/>
    <w:rsid w:val="009758DC"/>
    <w:rsid w:val="00976EBB"/>
    <w:rsid w:val="00990A77"/>
    <w:rsid w:val="009948CC"/>
    <w:rsid w:val="009977B4"/>
    <w:rsid w:val="009A107B"/>
    <w:rsid w:val="009A379F"/>
    <w:rsid w:val="009A57A2"/>
    <w:rsid w:val="009A5BFB"/>
    <w:rsid w:val="009A6C91"/>
    <w:rsid w:val="009B26BF"/>
    <w:rsid w:val="009B2D11"/>
    <w:rsid w:val="009B46AF"/>
    <w:rsid w:val="009B4E9B"/>
    <w:rsid w:val="009B6C89"/>
    <w:rsid w:val="009B6DBA"/>
    <w:rsid w:val="009B765E"/>
    <w:rsid w:val="009C4626"/>
    <w:rsid w:val="009C49EF"/>
    <w:rsid w:val="009C654B"/>
    <w:rsid w:val="009C7ACF"/>
    <w:rsid w:val="009D2718"/>
    <w:rsid w:val="009D43FB"/>
    <w:rsid w:val="009D6CD7"/>
    <w:rsid w:val="009D6EBD"/>
    <w:rsid w:val="009D7F7F"/>
    <w:rsid w:val="009E2A28"/>
    <w:rsid w:val="009E313A"/>
    <w:rsid w:val="009E4B22"/>
    <w:rsid w:val="009E7B1B"/>
    <w:rsid w:val="00A007C5"/>
    <w:rsid w:val="00A10A8C"/>
    <w:rsid w:val="00A131F4"/>
    <w:rsid w:val="00A148A3"/>
    <w:rsid w:val="00A150EF"/>
    <w:rsid w:val="00A22372"/>
    <w:rsid w:val="00A22B44"/>
    <w:rsid w:val="00A22E60"/>
    <w:rsid w:val="00A30192"/>
    <w:rsid w:val="00A321C9"/>
    <w:rsid w:val="00A40E0B"/>
    <w:rsid w:val="00A414FE"/>
    <w:rsid w:val="00A43C9D"/>
    <w:rsid w:val="00A446D4"/>
    <w:rsid w:val="00A45AE6"/>
    <w:rsid w:val="00A50CA1"/>
    <w:rsid w:val="00A51051"/>
    <w:rsid w:val="00A518F1"/>
    <w:rsid w:val="00A520A5"/>
    <w:rsid w:val="00A54359"/>
    <w:rsid w:val="00A54AB1"/>
    <w:rsid w:val="00A561BB"/>
    <w:rsid w:val="00A578A7"/>
    <w:rsid w:val="00A6012F"/>
    <w:rsid w:val="00A609A6"/>
    <w:rsid w:val="00A62C4D"/>
    <w:rsid w:val="00A635F0"/>
    <w:rsid w:val="00A64299"/>
    <w:rsid w:val="00A65244"/>
    <w:rsid w:val="00A6592C"/>
    <w:rsid w:val="00A65BAD"/>
    <w:rsid w:val="00A664B4"/>
    <w:rsid w:val="00A6728E"/>
    <w:rsid w:val="00A70A6F"/>
    <w:rsid w:val="00A71627"/>
    <w:rsid w:val="00A73A59"/>
    <w:rsid w:val="00A75CA3"/>
    <w:rsid w:val="00A76AE0"/>
    <w:rsid w:val="00A81AAF"/>
    <w:rsid w:val="00A84859"/>
    <w:rsid w:val="00A85F25"/>
    <w:rsid w:val="00A866D5"/>
    <w:rsid w:val="00A90B82"/>
    <w:rsid w:val="00A931CD"/>
    <w:rsid w:val="00A94610"/>
    <w:rsid w:val="00A96F70"/>
    <w:rsid w:val="00AA03E9"/>
    <w:rsid w:val="00AA2343"/>
    <w:rsid w:val="00AA2F28"/>
    <w:rsid w:val="00AA54F3"/>
    <w:rsid w:val="00AB09FF"/>
    <w:rsid w:val="00AB12D6"/>
    <w:rsid w:val="00AB18A6"/>
    <w:rsid w:val="00AB2DFE"/>
    <w:rsid w:val="00AB3C31"/>
    <w:rsid w:val="00AB3CEB"/>
    <w:rsid w:val="00AB46DB"/>
    <w:rsid w:val="00AC4C7D"/>
    <w:rsid w:val="00AC5BD1"/>
    <w:rsid w:val="00AC62CC"/>
    <w:rsid w:val="00AC76C2"/>
    <w:rsid w:val="00AD362D"/>
    <w:rsid w:val="00AD4E9D"/>
    <w:rsid w:val="00AD5E41"/>
    <w:rsid w:val="00AD6A63"/>
    <w:rsid w:val="00AE0D27"/>
    <w:rsid w:val="00AE1D9F"/>
    <w:rsid w:val="00AE5246"/>
    <w:rsid w:val="00AF0689"/>
    <w:rsid w:val="00AF1245"/>
    <w:rsid w:val="00AF3796"/>
    <w:rsid w:val="00AF6426"/>
    <w:rsid w:val="00AF7E84"/>
    <w:rsid w:val="00B0217E"/>
    <w:rsid w:val="00B0320A"/>
    <w:rsid w:val="00B04C37"/>
    <w:rsid w:val="00B04CD7"/>
    <w:rsid w:val="00B10E0C"/>
    <w:rsid w:val="00B128A4"/>
    <w:rsid w:val="00B15E05"/>
    <w:rsid w:val="00B209BD"/>
    <w:rsid w:val="00B2287C"/>
    <w:rsid w:val="00B266F0"/>
    <w:rsid w:val="00B3235B"/>
    <w:rsid w:val="00B32586"/>
    <w:rsid w:val="00B362F9"/>
    <w:rsid w:val="00B405D8"/>
    <w:rsid w:val="00B40DFF"/>
    <w:rsid w:val="00B4268B"/>
    <w:rsid w:val="00B45002"/>
    <w:rsid w:val="00B45779"/>
    <w:rsid w:val="00B459A6"/>
    <w:rsid w:val="00B4706E"/>
    <w:rsid w:val="00B4734F"/>
    <w:rsid w:val="00B5095A"/>
    <w:rsid w:val="00B50EA9"/>
    <w:rsid w:val="00B53975"/>
    <w:rsid w:val="00B55735"/>
    <w:rsid w:val="00B56E8A"/>
    <w:rsid w:val="00B572CF"/>
    <w:rsid w:val="00B608AC"/>
    <w:rsid w:val="00B62148"/>
    <w:rsid w:val="00B655CA"/>
    <w:rsid w:val="00B65C2F"/>
    <w:rsid w:val="00B65C54"/>
    <w:rsid w:val="00B67D13"/>
    <w:rsid w:val="00B72FE1"/>
    <w:rsid w:val="00B753C2"/>
    <w:rsid w:val="00B81631"/>
    <w:rsid w:val="00B82B61"/>
    <w:rsid w:val="00B82D34"/>
    <w:rsid w:val="00B855BC"/>
    <w:rsid w:val="00B909F9"/>
    <w:rsid w:val="00B9184D"/>
    <w:rsid w:val="00B9186E"/>
    <w:rsid w:val="00B91B41"/>
    <w:rsid w:val="00B92BFB"/>
    <w:rsid w:val="00B9370C"/>
    <w:rsid w:val="00B95D90"/>
    <w:rsid w:val="00B97C3B"/>
    <w:rsid w:val="00BA0CB2"/>
    <w:rsid w:val="00BA1042"/>
    <w:rsid w:val="00BA2D35"/>
    <w:rsid w:val="00BA2DBE"/>
    <w:rsid w:val="00BA49F9"/>
    <w:rsid w:val="00BA4A65"/>
    <w:rsid w:val="00BA60FD"/>
    <w:rsid w:val="00BA6BB7"/>
    <w:rsid w:val="00BB0E8E"/>
    <w:rsid w:val="00BB3447"/>
    <w:rsid w:val="00BB375A"/>
    <w:rsid w:val="00BB465D"/>
    <w:rsid w:val="00BB5AE3"/>
    <w:rsid w:val="00BB7DB3"/>
    <w:rsid w:val="00BC17AA"/>
    <w:rsid w:val="00BC44F1"/>
    <w:rsid w:val="00BD094E"/>
    <w:rsid w:val="00BD24A8"/>
    <w:rsid w:val="00BD3303"/>
    <w:rsid w:val="00BD4653"/>
    <w:rsid w:val="00BD70C4"/>
    <w:rsid w:val="00BD7198"/>
    <w:rsid w:val="00BE035C"/>
    <w:rsid w:val="00BE14E2"/>
    <w:rsid w:val="00BE223E"/>
    <w:rsid w:val="00BE5BD0"/>
    <w:rsid w:val="00BE6013"/>
    <w:rsid w:val="00BE6F95"/>
    <w:rsid w:val="00BE7F98"/>
    <w:rsid w:val="00BF041E"/>
    <w:rsid w:val="00BF3E5B"/>
    <w:rsid w:val="00BF4CCB"/>
    <w:rsid w:val="00BF54B7"/>
    <w:rsid w:val="00BF6C67"/>
    <w:rsid w:val="00C000CD"/>
    <w:rsid w:val="00C00DE8"/>
    <w:rsid w:val="00C03179"/>
    <w:rsid w:val="00C0357E"/>
    <w:rsid w:val="00C04509"/>
    <w:rsid w:val="00C0561A"/>
    <w:rsid w:val="00C10248"/>
    <w:rsid w:val="00C10594"/>
    <w:rsid w:val="00C10AE3"/>
    <w:rsid w:val="00C1136E"/>
    <w:rsid w:val="00C11E84"/>
    <w:rsid w:val="00C1323F"/>
    <w:rsid w:val="00C13936"/>
    <w:rsid w:val="00C13959"/>
    <w:rsid w:val="00C14779"/>
    <w:rsid w:val="00C17718"/>
    <w:rsid w:val="00C17A31"/>
    <w:rsid w:val="00C24CDE"/>
    <w:rsid w:val="00C26766"/>
    <w:rsid w:val="00C314B6"/>
    <w:rsid w:val="00C32985"/>
    <w:rsid w:val="00C36D9E"/>
    <w:rsid w:val="00C409FC"/>
    <w:rsid w:val="00C432CE"/>
    <w:rsid w:val="00C50474"/>
    <w:rsid w:val="00C54298"/>
    <w:rsid w:val="00C564AD"/>
    <w:rsid w:val="00C56C35"/>
    <w:rsid w:val="00C63466"/>
    <w:rsid w:val="00C63A84"/>
    <w:rsid w:val="00C63AD7"/>
    <w:rsid w:val="00C65659"/>
    <w:rsid w:val="00C70072"/>
    <w:rsid w:val="00C72C51"/>
    <w:rsid w:val="00C74819"/>
    <w:rsid w:val="00C773A9"/>
    <w:rsid w:val="00C829E4"/>
    <w:rsid w:val="00C833F5"/>
    <w:rsid w:val="00C836A1"/>
    <w:rsid w:val="00C87025"/>
    <w:rsid w:val="00C90156"/>
    <w:rsid w:val="00C929D2"/>
    <w:rsid w:val="00C92BCB"/>
    <w:rsid w:val="00CA2658"/>
    <w:rsid w:val="00CA2BE2"/>
    <w:rsid w:val="00CA4658"/>
    <w:rsid w:val="00CA72CD"/>
    <w:rsid w:val="00CA736B"/>
    <w:rsid w:val="00CB0BD9"/>
    <w:rsid w:val="00CB14BD"/>
    <w:rsid w:val="00CB17F2"/>
    <w:rsid w:val="00CB18A3"/>
    <w:rsid w:val="00CB3F82"/>
    <w:rsid w:val="00CB4B3C"/>
    <w:rsid w:val="00CB747C"/>
    <w:rsid w:val="00CD11AD"/>
    <w:rsid w:val="00CD2300"/>
    <w:rsid w:val="00CD7A35"/>
    <w:rsid w:val="00CE4B47"/>
    <w:rsid w:val="00CE70D0"/>
    <w:rsid w:val="00CE71F8"/>
    <w:rsid w:val="00CE76C1"/>
    <w:rsid w:val="00CF24E4"/>
    <w:rsid w:val="00CF7455"/>
    <w:rsid w:val="00CF766A"/>
    <w:rsid w:val="00D00836"/>
    <w:rsid w:val="00D01949"/>
    <w:rsid w:val="00D0295E"/>
    <w:rsid w:val="00D02999"/>
    <w:rsid w:val="00D07EA8"/>
    <w:rsid w:val="00D12B9C"/>
    <w:rsid w:val="00D14962"/>
    <w:rsid w:val="00D150A8"/>
    <w:rsid w:val="00D16598"/>
    <w:rsid w:val="00D179EA"/>
    <w:rsid w:val="00D20211"/>
    <w:rsid w:val="00D2041B"/>
    <w:rsid w:val="00D21504"/>
    <w:rsid w:val="00D22285"/>
    <w:rsid w:val="00D22A94"/>
    <w:rsid w:val="00D234B1"/>
    <w:rsid w:val="00D30BDF"/>
    <w:rsid w:val="00D312D8"/>
    <w:rsid w:val="00D32500"/>
    <w:rsid w:val="00D408B1"/>
    <w:rsid w:val="00D40D1B"/>
    <w:rsid w:val="00D431BD"/>
    <w:rsid w:val="00D476FA"/>
    <w:rsid w:val="00D51816"/>
    <w:rsid w:val="00D5249F"/>
    <w:rsid w:val="00D5424F"/>
    <w:rsid w:val="00D54C0F"/>
    <w:rsid w:val="00D5583A"/>
    <w:rsid w:val="00D62EE3"/>
    <w:rsid w:val="00D6445F"/>
    <w:rsid w:val="00D6587B"/>
    <w:rsid w:val="00D66728"/>
    <w:rsid w:val="00D67B08"/>
    <w:rsid w:val="00D72EA8"/>
    <w:rsid w:val="00D80860"/>
    <w:rsid w:val="00D815D4"/>
    <w:rsid w:val="00D83A5F"/>
    <w:rsid w:val="00D84506"/>
    <w:rsid w:val="00D849F3"/>
    <w:rsid w:val="00D857BF"/>
    <w:rsid w:val="00D87606"/>
    <w:rsid w:val="00D91D4C"/>
    <w:rsid w:val="00D938F7"/>
    <w:rsid w:val="00D94B04"/>
    <w:rsid w:val="00D9512F"/>
    <w:rsid w:val="00DA1FD9"/>
    <w:rsid w:val="00DA2BC4"/>
    <w:rsid w:val="00DA54A6"/>
    <w:rsid w:val="00DA5A96"/>
    <w:rsid w:val="00DA6118"/>
    <w:rsid w:val="00DA6BBB"/>
    <w:rsid w:val="00DB2341"/>
    <w:rsid w:val="00DB40A8"/>
    <w:rsid w:val="00DB4709"/>
    <w:rsid w:val="00DC57CC"/>
    <w:rsid w:val="00DC7E2A"/>
    <w:rsid w:val="00DD046B"/>
    <w:rsid w:val="00DD160E"/>
    <w:rsid w:val="00DD30E1"/>
    <w:rsid w:val="00DD5C03"/>
    <w:rsid w:val="00DD7989"/>
    <w:rsid w:val="00DD7ABB"/>
    <w:rsid w:val="00DD7E27"/>
    <w:rsid w:val="00DE0E6C"/>
    <w:rsid w:val="00DE4582"/>
    <w:rsid w:val="00DE5708"/>
    <w:rsid w:val="00DF2BF4"/>
    <w:rsid w:val="00DF5F5A"/>
    <w:rsid w:val="00E00EAC"/>
    <w:rsid w:val="00E04DCB"/>
    <w:rsid w:val="00E073FF"/>
    <w:rsid w:val="00E11F63"/>
    <w:rsid w:val="00E22E3A"/>
    <w:rsid w:val="00E25AB9"/>
    <w:rsid w:val="00E26D57"/>
    <w:rsid w:val="00E2725E"/>
    <w:rsid w:val="00E278FC"/>
    <w:rsid w:val="00E3707E"/>
    <w:rsid w:val="00E44C4F"/>
    <w:rsid w:val="00E47940"/>
    <w:rsid w:val="00E52423"/>
    <w:rsid w:val="00E52761"/>
    <w:rsid w:val="00E53CD8"/>
    <w:rsid w:val="00E56E32"/>
    <w:rsid w:val="00E64C21"/>
    <w:rsid w:val="00E665AD"/>
    <w:rsid w:val="00E71A5F"/>
    <w:rsid w:val="00E73243"/>
    <w:rsid w:val="00E733C0"/>
    <w:rsid w:val="00E73437"/>
    <w:rsid w:val="00E73BE0"/>
    <w:rsid w:val="00E747E6"/>
    <w:rsid w:val="00E75B19"/>
    <w:rsid w:val="00E82C63"/>
    <w:rsid w:val="00E85215"/>
    <w:rsid w:val="00E857BB"/>
    <w:rsid w:val="00E95E60"/>
    <w:rsid w:val="00EA0849"/>
    <w:rsid w:val="00EA2AFC"/>
    <w:rsid w:val="00EA3339"/>
    <w:rsid w:val="00EA52EC"/>
    <w:rsid w:val="00EA538D"/>
    <w:rsid w:val="00EA55C0"/>
    <w:rsid w:val="00EA7430"/>
    <w:rsid w:val="00EB0B5C"/>
    <w:rsid w:val="00EB246C"/>
    <w:rsid w:val="00EB58A7"/>
    <w:rsid w:val="00EC073D"/>
    <w:rsid w:val="00EC1D86"/>
    <w:rsid w:val="00EC5E2E"/>
    <w:rsid w:val="00EC64FB"/>
    <w:rsid w:val="00ED0D0E"/>
    <w:rsid w:val="00ED4142"/>
    <w:rsid w:val="00ED614F"/>
    <w:rsid w:val="00ED72E9"/>
    <w:rsid w:val="00ED73C0"/>
    <w:rsid w:val="00EE15A7"/>
    <w:rsid w:val="00EE2130"/>
    <w:rsid w:val="00EE2348"/>
    <w:rsid w:val="00EE7CF9"/>
    <w:rsid w:val="00EF0F25"/>
    <w:rsid w:val="00EF1013"/>
    <w:rsid w:val="00EF1ECD"/>
    <w:rsid w:val="00EF274E"/>
    <w:rsid w:val="00EF4047"/>
    <w:rsid w:val="00EF674C"/>
    <w:rsid w:val="00EF7611"/>
    <w:rsid w:val="00F0210B"/>
    <w:rsid w:val="00F024E8"/>
    <w:rsid w:val="00F02CD0"/>
    <w:rsid w:val="00F04E5E"/>
    <w:rsid w:val="00F067F5"/>
    <w:rsid w:val="00F1279E"/>
    <w:rsid w:val="00F12AD6"/>
    <w:rsid w:val="00F13451"/>
    <w:rsid w:val="00F1603C"/>
    <w:rsid w:val="00F16DA0"/>
    <w:rsid w:val="00F1710D"/>
    <w:rsid w:val="00F20B48"/>
    <w:rsid w:val="00F219A6"/>
    <w:rsid w:val="00F226AD"/>
    <w:rsid w:val="00F2353B"/>
    <w:rsid w:val="00F23A4F"/>
    <w:rsid w:val="00F2476B"/>
    <w:rsid w:val="00F262CE"/>
    <w:rsid w:val="00F30919"/>
    <w:rsid w:val="00F32FA5"/>
    <w:rsid w:val="00F33B65"/>
    <w:rsid w:val="00F36E99"/>
    <w:rsid w:val="00F546BB"/>
    <w:rsid w:val="00F55293"/>
    <w:rsid w:val="00F557E4"/>
    <w:rsid w:val="00F6029C"/>
    <w:rsid w:val="00F61266"/>
    <w:rsid w:val="00F63FAF"/>
    <w:rsid w:val="00F643DD"/>
    <w:rsid w:val="00F70878"/>
    <w:rsid w:val="00F7214F"/>
    <w:rsid w:val="00F77C21"/>
    <w:rsid w:val="00F8030A"/>
    <w:rsid w:val="00F82AF2"/>
    <w:rsid w:val="00F84FB5"/>
    <w:rsid w:val="00F86B2F"/>
    <w:rsid w:val="00F86B72"/>
    <w:rsid w:val="00F90B8D"/>
    <w:rsid w:val="00F916B5"/>
    <w:rsid w:val="00F91C38"/>
    <w:rsid w:val="00F93CE5"/>
    <w:rsid w:val="00FA159B"/>
    <w:rsid w:val="00FA4342"/>
    <w:rsid w:val="00FA4DE0"/>
    <w:rsid w:val="00FA77F8"/>
    <w:rsid w:val="00FB25EB"/>
    <w:rsid w:val="00FB3333"/>
    <w:rsid w:val="00FB6BD6"/>
    <w:rsid w:val="00FC2F2A"/>
    <w:rsid w:val="00FC5B5A"/>
    <w:rsid w:val="00FD00E5"/>
    <w:rsid w:val="00FE1B08"/>
    <w:rsid w:val="00FE4142"/>
    <w:rsid w:val="00FE5AEA"/>
    <w:rsid w:val="00FE60FC"/>
    <w:rsid w:val="00FF6D29"/>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BA1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link w:val="ListParagraphChar"/>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customStyle="1" w:styleId="ListParagraphChar">
    <w:name w:val="List Paragraph Char"/>
    <w:basedOn w:val="DefaultParagraphFont"/>
    <w:link w:val="ListParagraph"/>
    <w:uiPriority w:val="34"/>
    <w:locked/>
    <w:rsid w:val="00441D1E"/>
  </w:style>
  <w:style w:type="paragraph" w:styleId="FootnoteText">
    <w:name w:val="footnote text"/>
    <w:basedOn w:val="Normal"/>
    <w:link w:val="FootnoteTextChar"/>
    <w:uiPriority w:val="99"/>
    <w:semiHidden/>
    <w:unhideWhenUsed/>
    <w:rsid w:val="005E0AD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E0ADE"/>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semiHidden/>
    <w:unhideWhenUsed/>
    <w:rsid w:val="005E0ADE"/>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93483">
      <w:bodyDiv w:val="1"/>
      <w:marLeft w:val="0"/>
      <w:marRight w:val="0"/>
      <w:marTop w:val="0"/>
      <w:marBottom w:val="0"/>
      <w:divBdr>
        <w:top w:val="none" w:sz="0" w:space="0" w:color="auto"/>
        <w:left w:val="none" w:sz="0" w:space="0" w:color="auto"/>
        <w:bottom w:val="none" w:sz="0" w:space="0" w:color="auto"/>
        <w:right w:val="none" w:sz="0" w:space="0" w:color="auto"/>
      </w:divBdr>
    </w:div>
    <w:div w:id="126974409">
      <w:bodyDiv w:val="1"/>
      <w:marLeft w:val="0"/>
      <w:marRight w:val="0"/>
      <w:marTop w:val="0"/>
      <w:marBottom w:val="0"/>
      <w:divBdr>
        <w:top w:val="none" w:sz="0" w:space="0" w:color="auto"/>
        <w:left w:val="none" w:sz="0" w:space="0" w:color="auto"/>
        <w:bottom w:val="none" w:sz="0" w:space="0" w:color="auto"/>
        <w:right w:val="none" w:sz="0" w:space="0" w:color="auto"/>
      </w:divBdr>
    </w:div>
    <w:div w:id="156500862">
      <w:bodyDiv w:val="1"/>
      <w:marLeft w:val="0"/>
      <w:marRight w:val="0"/>
      <w:marTop w:val="0"/>
      <w:marBottom w:val="0"/>
      <w:divBdr>
        <w:top w:val="none" w:sz="0" w:space="0" w:color="auto"/>
        <w:left w:val="none" w:sz="0" w:space="0" w:color="auto"/>
        <w:bottom w:val="none" w:sz="0" w:space="0" w:color="auto"/>
        <w:right w:val="none" w:sz="0" w:space="0" w:color="auto"/>
      </w:divBdr>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048375">
      <w:bodyDiv w:val="1"/>
      <w:marLeft w:val="0"/>
      <w:marRight w:val="0"/>
      <w:marTop w:val="0"/>
      <w:marBottom w:val="0"/>
      <w:divBdr>
        <w:top w:val="none" w:sz="0" w:space="0" w:color="auto"/>
        <w:left w:val="none" w:sz="0" w:space="0" w:color="auto"/>
        <w:bottom w:val="none" w:sz="0" w:space="0" w:color="auto"/>
        <w:right w:val="none" w:sz="0" w:space="0" w:color="auto"/>
      </w:divBdr>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649103">
      <w:bodyDiv w:val="1"/>
      <w:marLeft w:val="0"/>
      <w:marRight w:val="0"/>
      <w:marTop w:val="0"/>
      <w:marBottom w:val="0"/>
      <w:divBdr>
        <w:top w:val="none" w:sz="0" w:space="0" w:color="auto"/>
        <w:left w:val="none" w:sz="0" w:space="0" w:color="auto"/>
        <w:bottom w:val="none" w:sz="0" w:space="0" w:color="auto"/>
        <w:right w:val="none" w:sz="0" w:space="0" w:color="auto"/>
      </w:divBdr>
    </w:div>
    <w:div w:id="589973469">
      <w:bodyDiv w:val="1"/>
      <w:marLeft w:val="0"/>
      <w:marRight w:val="0"/>
      <w:marTop w:val="0"/>
      <w:marBottom w:val="0"/>
      <w:divBdr>
        <w:top w:val="none" w:sz="0" w:space="0" w:color="auto"/>
        <w:left w:val="none" w:sz="0" w:space="0" w:color="auto"/>
        <w:bottom w:val="none" w:sz="0" w:space="0" w:color="auto"/>
        <w:right w:val="none" w:sz="0" w:space="0" w:color="auto"/>
      </w:divBdr>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355184">
      <w:bodyDiv w:val="1"/>
      <w:marLeft w:val="0"/>
      <w:marRight w:val="0"/>
      <w:marTop w:val="0"/>
      <w:marBottom w:val="0"/>
      <w:divBdr>
        <w:top w:val="none" w:sz="0" w:space="0" w:color="auto"/>
        <w:left w:val="none" w:sz="0" w:space="0" w:color="auto"/>
        <w:bottom w:val="none" w:sz="0" w:space="0" w:color="auto"/>
        <w:right w:val="none" w:sz="0" w:space="0" w:color="auto"/>
      </w:divBdr>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877970">
      <w:bodyDiv w:val="1"/>
      <w:marLeft w:val="0"/>
      <w:marRight w:val="0"/>
      <w:marTop w:val="0"/>
      <w:marBottom w:val="0"/>
      <w:divBdr>
        <w:top w:val="none" w:sz="0" w:space="0" w:color="auto"/>
        <w:left w:val="none" w:sz="0" w:space="0" w:color="auto"/>
        <w:bottom w:val="none" w:sz="0" w:space="0" w:color="auto"/>
        <w:right w:val="none" w:sz="0" w:space="0" w:color="auto"/>
      </w:divBdr>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106147831">
      <w:bodyDiv w:val="1"/>
      <w:marLeft w:val="0"/>
      <w:marRight w:val="0"/>
      <w:marTop w:val="0"/>
      <w:marBottom w:val="0"/>
      <w:divBdr>
        <w:top w:val="none" w:sz="0" w:space="0" w:color="auto"/>
        <w:left w:val="none" w:sz="0" w:space="0" w:color="auto"/>
        <w:bottom w:val="none" w:sz="0" w:space="0" w:color="auto"/>
        <w:right w:val="none" w:sz="0" w:space="0" w:color="auto"/>
      </w:divBdr>
    </w:div>
    <w:div w:id="1129586876">
      <w:bodyDiv w:val="1"/>
      <w:marLeft w:val="0"/>
      <w:marRight w:val="0"/>
      <w:marTop w:val="0"/>
      <w:marBottom w:val="0"/>
      <w:divBdr>
        <w:top w:val="none" w:sz="0" w:space="0" w:color="auto"/>
        <w:left w:val="none" w:sz="0" w:space="0" w:color="auto"/>
        <w:bottom w:val="none" w:sz="0" w:space="0" w:color="auto"/>
        <w:right w:val="none" w:sz="0" w:space="0" w:color="auto"/>
      </w:divBdr>
    </w:div>
    <w:div w:id="1131361046">
      <w:bodyDiv w:val="1"/>
      <w:marLeft w:val="0"/>
      <w:marRight w:val="0"/>
      <w:marTop w:val="0"/>
      <w:marBottom w:val="0"/>
      <w:divBdr>
        <w:top w:val="none" w:sz="0" w:space="0" w:color="auto"/>
        <w:left w:val="none" w:sz="0" w:space="0" w:color="auto"/>
        <w:bottom w:val="none" w:sz="0" w:space="0" w:color="auto"/>
        <w:right w:val="none" w:sz="0" w:space="0" w:color="auto"/>
      </w:divBdr>
    </w:div>
    <w:div w:id="1156650023">
      <w:bodyDiv w:val="1"/>
      <w:marLeft w:val="0"/>
      <w:marRight w:val="0"/>
      <w:marTop w:val="0"/>
      <w:marBottom w:val="0"/>
      <w:divBdr>
        <w:top w:val="none" w:sz="0" w:space="0" w:color="auto"/>
        <w:left w:val="none" w:sz="0" w:space="0" w:color="auto"/>
        <w:bottom w:val="none" w:sz="0" w:space="0" w:color="auto"/>
        <w:right w:val="none" w:sz="0" w:space="0" w:color="auto"/>
      </w:divBdr>
    </w:div>
    <w:div w:id="1173884309">
      <w:bodyDiv w:val="1"/>
      <w:marLeft w:val="0"/>
      <w:marRight w:val="0"/>
      <w:marTop w:val="0"/>
      <w:marBottom w:val="0"/>
      <w:divBdr>
        <w:top w:val="none" w:sz="0" w:space="0" w:color="auto"/>
        <w:left w:val="none" w:sz="0" w:space="0" w:color="auto"/>
        <w:bottom w:val="none" w:sz="0" w:space="0" w:color="auto"/>
        <w:right w:val="none" w:sz="0" w:space="0" w:color="auto"/>
      </w:divBdr>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511741">
      <w:bodyDiv w:val="1"/>
      <w:marLeft w:val="0"/>
      <w:marRight w:val="0"/>
      <w:marTop w:val="0"/>
      <w:marBottom w:val="0"/>
      <w:divBdr>
        <w:top w:val="none" w:sz="0" w:space="0" w:color="auto"/>
        <w:left w:val="none" w:sz="0" w:space="0" w:color="auto"/>
        <w:bottom w:val="none" w:sz="0" w:space="0" w:color="auto"/>
        <w:right w:val="none" w:sz="0" w:space="0" w:color="auto"/>
      </w:divBdr>
    </w:div>
    <w:div w:id="1361739497">
      <w:bodyDiv w:val="1"/>
      <w:marLeft w:val="0"/>
      <w:marRight w:val="0"/>
      <w:marTop w:val="0"/>
      <w:marBottom w:val="0"/>
      <w:divBdr>
        <w:top w:val="none" w:sz="0" w:space="0" w:color="auto"/>
        <w:left w:val="none" w:sz="0" w:space="0" w:color="auto"/>
        <w:bottom w:val="none" w:sz="0" w:space="0" w:color="auto"/>
        <w:right w:val="none" w:sz="0" w:space="0" w:color="auto"/>
      </w:divBdr>
    </w:div>
    <w:div w:id="1422066586">
      <w:bodyDiv w:val="1"/>
      <w:marLeft w:val="0"/>
      <w:marRight w:val="0"/>
      <w:marTop w:val="0"/>
      <w:marBottom w:val="0"/>
      <w:divBdr>
        <w:top w:val="none" w:sz="0" w:space="0" w:color="auto"/>
        <w:left w:val="none" w:sz="0" w:space="0" w:color="auto"/>
        <w:bottom w:val="none" w:sz="0" w:space="0" w:color="auto"/>
        <w:right w:val="none" w:sz="0" w:space="0" w:color="auto"/>
      </w:divBdr>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222915">
      <w:bodyDiv w:val="1"/>
      <w:marLeft w:val="0"/>
      <w:marRight w:val="0"/>
      <w:marTop w:val="0"/>
      <w:marBottom w:val="0"/>
      <w:divBdr>
        <w:top w:val="none" w:sz="0" w:space="0" w:color="auto"/>
        <w:left w:val="none" w:sz="0" w:space="0" w:color="auto"/>
        <w:bottom w:val="none" w:sz="0" w:space="0" w:color="auto"/>
        <w:right w:val="none" w:sz="0" w:space="0" w:color="auto"/>
      </w:divBdr>
    </w:div>
    <w:div w:id="1696688361">
      <w:bodyDiv w:val="1"/>
      <w:marLeft w:val="0"/>
      <w:marRight w:val="0"/>
      <w:marTop w:val="0"/>
      <w:marBottom w:val="0"/>
      <w:divBdr>
        <w:top w:val="none" w:sz="0" w:space="0" w:color="auto"/>
        <w:left w:val="none" w:sz="0" w:space="0" w:color="auto"/>
        <w:bottom w:val="none" w:sz="0" w:space="0" w:color="auto"/>
        <w:right w:val="none" w:sz="0" w:space="0" w:color="auto"/>
      </w:divBdr>
    </w:div>
    <w:div w:id="1845128162">
      <w:bodyDiv w:val="1"/>
      <w:marLeft w:val="0"/>
      <w:marRight w:val="0"/>
      <w:marTop w:val="0"/>
      <w:marBottom w:val="0"/>
      <w:divBdr>
        <w:top w:val="none" w:sz="0" w:space="0" w:color="auto"/>
        <w:left w:val="none" w:sz="0" w:space="0" w:color="auto"/>
        <w:bottom w:val="none" w:sz="0" w:space="0" w:color="auto"/>
        <w:right w:val="none" w:sz="0" w:space="0" w:color="auto"/>
      </w:divBdr>
    </w:div>
    <w:div w:id="1914076929">
      <w:bodyDiv w:val="1"/>
      <w:marLeft w:val="0"/>
      <w:marRight w:val="0"/>
      <w:marTop w:val="0"/>
      <w:marBottom w:val="0"/>
      <w:divBdr>
        <w:top w:val="none" w:sz="0" w:space="0" w:color="auto"/>
        <w:left w:val="none" w:sz="0" w:space="0" w:color="auto"/>
        <w:bottom w:val="none" w:sz="0" w:space="0" w:color="auto"/>
        <w:right w:val="none" w:sz="0" w:space="0" w:color="auto"/>
      </w:divBdr>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763215">
      <w:bodyDiv w:val="1"/>
      <w:marLeft w:val="0"/>
      <w:marRight w:val="0"/>
      <w:marTop w:val="0"/>
      <w:marBottom w:val="0"/>
      <w:divBdr>
        <w:top w:val="none" w:sz="0" w:space="0" w:color="auto"/>
        <w:left w:val="none" w:sz="0" w:space="0" w:color="auto"/>
        <w:bottom w:val="none" w:sz="0" w:space="0" w:color="auto"/>
        <w:right w:val="none" w:sz="0" w:space="0" w:color="auto"/>
      </w:divBdr>
    </w:div>
    <w:div w:id="211427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Kowalski@cdc.gov"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bls.gov/oes/current/oes_nat.ht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cdc.gov/exposurereport/" TargetMode="External"/><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2" Type="http://schemas.openxmlformats.org/officeDocument/2006/relationships/hyperlink" Target="http://www.atsdr.cdc.gov/hac/PHAManual/PDFs/PHAGM_final1-27-05.pdf" TargetMode="External"/><Relationship Id="rId1" Type="http://schemas.openxmlformats.org/officeDocument/2006/relationships/hyperlink" Target="http://www.atsdr.cdc.gov/HAC/PHAManual/to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A5CA5-9AFB-44BF-9B84-39DD239B6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5082</Words>
  <Characters>28972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2021-12-17T02:38:00Z</dcterms:created>
  <dcterms:modified xsi:type="dcterms:W3CDTF">2021-12-17T20:03:00Z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2021-07-27T21:17:59Z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fff88f11-31ba-4eff-94d4-40719ac43419</vt:lpwstr>
  </property>
  <property fmtid="{D5CDD505-2E9C-101B-9397-08002B2CF9AE}" pid="8" name="MSIP_Label_7b94a7b8-f06c-4dfe-bdcc-9b548fd58c31_ContentBits">
    <vt:lpwstr>0</vt:lpwstr>
  </property>
</Properties>
</file>