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861" w:rsidP="009F7507" w:rsidRDefault="000526FB" w14:paraId="383A2D00" w14:textId="77777777">
      <w:pPr>
        <w:spacing w:after="0" w:line="240" w:lineRule="auto"/>
        <w:jc w:val="center"/>
        <w:rPr>
          <w:b/>
          <w:sz w:val="28"/>
          <w:szCs w:val="28"/>
        </w:rPr>
      </w:pPr>
      <w:r>
        <w:rPr>
          <w:b/>
          <w:sz w:val="28"/>
          <w:szCs w:val="28"/>
        </w:rPr>
        <w:t>Generic Information Collection (</w:t>
      </w:r>
      <w:proofErr w:type="spellStart"/>
      <w:r>
        <w:rPr>
          <w:b/>
          <w:sz w:val="28"/>
          <w:szCs w:val="28"/>
        </w:rPr>
        <w:t>GenIC</w:t>
      </w:r>
      <w:proofErr w:type="spellEnd"/>
      <w:r>
        <w:rPr>
          <w:b/>
          <w:sz w:val="28"/>
          <w:szCs w:val="28"/>
        </w:rPr>
        <w:t xml:space="preserve">) </w:t>
      </w:r>
      <w:r w:rsidRPr="002268E8" w:rsidR="00A73148">
        <w:rPr>
          <w:b/>
          <w:sz w:val="28"/>
          <w:szCs w:val="28"/>
        </w:rPr>
        <w:t>Submitt</w:t>
      </w:r>
      <w:r w:rsidR="00BB5A4C">
        <w:rPr>
          <w:b/>
          <w:sz w:val="28"/>
          <w:szCs w:val="28"/>
        </w:rPr>
        <w:t>al Form</w:t>
      </w:r>
      <w:r w:rsidRPr="002268E8" w:rsidR="00A73148">
        <w:rPr>
          <w:b/>
          <w:sz w:val="28"/>
          <w:szCs w:val="28"/>
        </w:rPr>
        <w:t xml:space="preserve"> for </w:t>
      </w:r>
    </w:p>
    <w:p w:rsidR="00990609" w:rsidRDefault="00A73148" w14:paraId="2ADD3790" w14:textId="77777777">
      <w:pPr>
        <w:spacing w:after="0" w:line="240" w:lineRule="auto"/>
        <w:jc w:val="center"/>
        <w:rPr>
          <w:b/>
          <w:sz w:val="28"/>
          <w:szCs w:val="28"/>
        </w:rPr>
      </w:pPr>
      <w:r w:rsidRPr="002268E8">
        <w:rPr>
          <w:b/>
          <w:sz w:val="28"/>
          <w:szCs w:val="28"/>
        </w:rPr>
        <w:t>OMB Rev</w:t>
      </w:r>
      <w:r w:rsidRPr="002268E8" w:rsidR="002268E8">
        <w:rPr>
          <w:b/>
          <w:sz w:val="28"/>
          <w:szCs w:val="28"/>
        </w:rPr>
        <w:t xml:space="preserve">iew of </w:t>
      </w:r>
      <w:r w:rsidR="00C8371F">
        <w:rPr>
          <w:b/>
          <w:sz w:val="28"/>
          <w:szCs w:val="28"/>
        </w:rPr>
        <w:t xml:space="preserve">ATSDR </w:t>
      </w:r>
      <w:r w:rsidR="002268E8">
        <w:rPr>
          <w:b/>
          <w:sz w:val="28"/>
          <w:szCs w:val="28"/>
        </w:rPr>
        <w:t>Exposure Investigation</w:t>
      </w:r>
      <w:r w:rsidR="00BB5A4C">
        <w:rPr>
          <w:b/>
          <w:sz w:val="28"/>
          <w:szCs w:val="28"/>
        </w:rPr>
        <w:t>s</w:t>
      </w:r>
      <w:r w:rsidR="002268E8">
        <w:rPr>
          <w:b/>
          <w:sz w:val="28"/>
          <w:szCs w:val="28"/>
        </w:rPr>
        <w:t xml:space="preserve"> (EI</w:t>
      </w:r>
      <w:r w:rsidR="00BB5A4C">
        <w:rPr>
          <w:b/>
          <w:sz w:val="28"/>
          <w:szCs w:val="28"/>
        </w:rPr>
        <w:t>s</w:t>
      </w:r>
      <w:r w:rsidR="002268E8">
        <w:rPr>
          <w:b/>
          <w:sz w:val="28"/>
          <w:szCs w:val="28"/>
        </w:rPr>
        <w:t>)</w:t>
      </w:r>
      <w:r w:rsidRPr="002268E8" w:rsidR="002268E8">
        <w:rPr>
          <w:b/>
          <w:sz w:val="28"/>
          <w:szCs w:val="28"/>
        </w:rPr>
        <w:t xml:space="preserve"> </w:t>
      </w:r>
      <w:r w:rsidR="00990609">
        <w:rPr>
          <w:b/>
          <w:sz w:val="28"/>
          <w:szCs w:val="28"/>
        </w:rPr>
        <w:t>(0923-004</w:t>
      </w:r>
      <w:r w:rsidR="00066D15">
        <w:rPr>
          <w:b/>
          <w:sz w:val="28"/>
          <w:szCs w:val="28"/>
        </w:rPr>
        <w:t>8</w:t>
      </w:r>
      <w:r w:rsidR="00990609">
        <w:rPr>
          <w:b/>
          <w:sz w:val="28"/>
          <w:szCs w:val="28"/>
        </w:rPr>
        <w:t>)</w:t>
      </w:r>
    </w:p>
    <w:p w:rsidRPr="002268E8" w:rsidR="00990609" w:rsidP="009F7507" w:rsidRDefault="00990609" w14:paraId="03A94BA2" w14:textId="77777777">
      <w:pPr>
        <w:spacing w:after="0" w:line="240" w:lineRule="auto"/>
        <w:jc w:val="center"/>
        <w:rPr>
          <w:b/>
          <w:sz w:val="28"/>
          <w:szCs w:val="28"/>
        </w:rPr>
      </w:pPr>
    </w:p>
    <w:p w:rsidR="00527D21" w:rsidP="00823567" w:rsidRDefault="002268E8" w14:paraId="362EF12D" w14:textId="7E35E3C5">
      <w:pPr>
        <w:spacing w:after="0" w:line="240" w:lineRule="auto"/>
        <w:rPr>
          <w:rFonts w:cs="Times New Roman"/>
          <w:sz w:val="28"/>
          <w:szCs w:val="28"/>
        </w:rPr>
      </w:pPr>
      <w:r w:rsidRPr="008C1299">
        <w:rPr>
          <w:b/>
          <w:sz w:val="24"/>
          <w:szCs w:val="24"/>
        </w:rPr>
        <w:t>PROJECT TITLE</w:t>
      </w:r>
      <w:r w:rsidR="00952433">
        <w:rPr>
          <w:b/>
          <w:sz w:val="24"/>
          <w:szCs w:val="24"/>
        </w:rPr>
        <w:t xml:space="preserve">:  </w:t>
      </w:r>
      <w:r w:rsidR="00527D21">
        <w:rPr>
          <w:rFonts w:cs="Times New Roman"/>
          <w:sz w:val="28"/>
          <w:szCs w:val="28"/>
        </w:rPr>
        <w:t xml:space="preserve">Jasper and Newton Counties </w:t>
      </w:r>
      <w:r w:rsidR="00571B3E">
        <w:rPr>
          <w:rFonts w:cs="Times New Roman"/>
          <w:sz w:val="28"/>
          <w:szCs w:val="28"/>
        </w:rPr>
        <w:t xml:space="preserve">(JNC) </w:t>
      </w:r>
      <w:r w:rsidR="00527D21">
        <w:rPr>
          <w:rFonts w:cs="Times New Roman"/>
          <w:sz w:val="28"/>
          <w:szCs w:val="28"/>
        </w:rPr>
        <w:t>Missouri Lead Exposure Investigation</w:t>
      </w:r>
    </w:p>
    <w:p w:rsidRPr="00571B3E" w:rsidR="00146801" w:rsidP="002F2AF7" w:rsidRDefault="005119AF" w14:paraId="4733EE93" w14:textId="1DA3E3B5">
      <w:pPr>
        <w:spacing w:after="0" w:line="240" w:lineRule="auto"/>
        <w:rPr>
          <w:rFonts w:cs="Times New Roman"/>
          <w:sz w:val="28"/>
          <w:szCs w:val="28"/>
        </w:rPr>
      </w:pPr>
      <w:r>
        <w:rPr>
          <w:b/>
          <w:sz w:val="24"/>
          <w:szCs w:val="24"/>
        </w:rPr>
        <w:t xml:space="preserve">SITE </w:t>
      </w:r>
      <w:r w:rsidR="00146801">
        <w:rPr>
          <w:b/>
          <w:sz w:val="24"/>
          <w:szCs w:val="24"/>
        </w:rPr>
        <w:t>LOCATION</w:t>
      </w:r>
      <w:r w:rsidRPr="00571B3E" w:rsidR="00952433">
        <w:rPr>
          <w:b/>
          <w:sz w:val="24"/>
          <w:szCs w:val="24"/>
        </w:rPr>
        <w:t xml:space="preserve">:  </w:t>
      </w:r>
      <w:r w:rsidRPr="00823567" w:rsidR="002F2AF7">
        <w:rPr>
          <w:b/>
          <w:sz w:val="24"/>
          <w:szCs w:val="24"/>
        </w:rPr>
        <w:t>Jasper and Newton County, Missouri</w:t>
      </w:r>
    </w:p>
    <w:p w:rsidRPr="00823567" w:rsidR="002C3309" w:rsidRDefault="002C3309" w14:paraId="2E545179" w14:textId="798C37DD">
      <w:pPr>
        <w:rPr>
          <w:b/>
          <w:sz w:val="24"/>
          <w:szCs w:val="24"/>
        </w:rPr>
      </w:pPr>
      <w:r w:rsidRPr="00571B3E">
        <w:rPr>
          <w:b/>
          <w:sz w:val="24"/>
          <w:szCs w:val="24"/>
        </w:rPr>
        <w:t>REQUESTED BURDEN HOURS</w:t>
      </w:r>
      <w:r w:rsidRPr="00571B3E" w:rsidR="00245FE8">
        <w:rPr>
          <w:b/>
          <w:sz w:val="24"/>
          <w:szCs w:val="24"/>
        </w:rPr>
        <w:t xml:space="preserve">:  </w:t>
      </w:r>
      <w:r w:rsidR="006A1554">
        <w:rPr>
          <w:b/>
          <w:sz w:val="24"/>
          <w:szCs w:val="24"/>
        </w:rPr>
        <w:t>4</w:t>
      </w:r>
      <w:r w:rsidR="00696A91">
        <w:rPr>
          <w:b/>
          <w:sz w:val="24"/>
          <w:szCs w:val="24"/>
        </w:rPr>
        <w:t>26</w:t>
      </w:r>
    </w:p>
    <w:p w:rsidR="00977D5F" w:rsidRDefault="00AD12BA" w14:paraId="73C66127" w14:textId="77777777">
      <w:pPr>
        <w:rPr>
          <w:b/>
          <w:sz w:val="24"/>
          <w:szCs w:val="24"/>
        </w:rPr>
      </w:pPr>
      <w:r>
        <w:rPr>
          <w:b/>
          <w:sz w:val="24"/>
          <w:szCs w:val="24"/>
        </w:rPr>
        <w:t xml:space="preserve">PROJECT </w:t>
      </w:r>
      <w:r w:rsidR="008C26C6">
        <w:rPr>
          <w:b/>
          <w:sz w:val="24"/>
          <w:szCs w:val="24"/>
        </w:rPr>
        <w:t>SUMMARY</w:t>
      </w:r>
    </w:p>
    <w:tbl>
      <w:tblPr>
        <w:tblStyle w:val="TableGrid"/>
        <w:tblW w:w="10296" w:type="dxa"/>
        <w:tblInd w:w="108" w:type="dxa"/>
        <w:tblLook w:val="04A0" w:firstRow="1" w:lastRow="0" w:firstColumn="1" w:lastColumn="0" w:noHBand="0" w:noVBand="1"/>
      </w:tblPr>
      <w:tblGrid>
        <w:gridCol w:w="3168"/>
        <w:gridCol w:w="7128"/>
      </w:tblGrid>
      <w:tr w:rsidR="00977D5F" w:rsidTr="00B50EEF" w14:paraId="74E421C1" w14:textId="77777777">
        <w:tc>
          <w:tcPr>
            <w:tcW w:w="3168" w:type="dxa"/>
            <w:vAlign w:val="center"/>
          </w:tcPr>
          <w:p w:rsidR="00977D5F" w:rsidP="005A3D6B" w:rsidRDefault="00977D5F" w14:paraId="1C89F8FA" w14:textId="77777777">
            <w:pPr>
              <w:rPr>
                <w:b/>
                <w:sz w:val="24"/>
                <w:szCs w:val="24"/>
              </w:rPr>
            </w:pPr>
            <w:r>
              <w:rPr>
                <w:b/>
                <w:sz w:val="24"/>
                <w:szCs w:val="24"/>
              </w:rPr>
              <w:t>Principal Investigator(s):</w:t>
            </w:r>
          </w:p>
        </w:tc>
        <w:tc>
          <w:tcPr>
            <w:tcW w:w="7128" w:type="dxa"/>
            <w:vAlign w:val="center"/>
          </w:tcPr>
          <w:p w:rsidRPr="00571B3E" w:rsidR="00977D5F" w:rsidP="005A3D6B" w:rsidRDefault="000164D8" w14:paraId="74214032" w14:textId="370B7A43">
            <w:pPr>
              <w:pStyle w:val="ListParagraph"/>
              <w:numPr>
                <w:ilvl w:val="0"/>
                <w:numId w:val="3"/>
              </w:numPr>
              <w:ind w:left="414"/>
              <w:rPr>
                <w:sz w:val="24"/>
                <w:szCs w:val="24"/>
              </w:rPr>
            </w:pPr>
            <w:r w:rsidRPr="00571B3E">
              <w:rPr>
                <w:sz w:val="24"/>
                <w:szCs w:val="24"/>
              </w:rPr>
              <w:t>Aaron Young</w:t>
            </w:r>
            <w:r w:rsidRPr="00571B3E" w:rsidR="00977D5F">
              <w:rPr>
                <w:sz w:val="24"/>
                <w:szCs w:val="24"/>
              </w:rPr>
              <w:t xml:space="preserve"> (ATSDR Headquarters)</w:t>
            </w:r>
          </w:p>
          <w:p w:rsidRPr="00571B3E" w:rsidR="00977D5F" w:rsidP="005A3D6B" w:rsidRDefault="000164D8" w14:paraId="3AA8B2E7" w14:textId="5833F6C8">
            <w:pPr>
              <w:pStyle w:val="ListParagraph"/>
              <w:numPr>
                <w:ilvl w:val="0"/>
                <w:numId w:val="3"/>
              </w:numPr>
              <w:ind w:left="414"/>
              <w:rPr>
                <w:sz w:val="24"/>
                <w:szCs w:val="24"/>
              </w:rPr>
            </w:pPr>
            <w:r w:rsidRPr="00823567">
              <w:rPr>
                <w:sz w:val="24"/>
                <w:szCs w:val="24"/>
              </w:rPr>
              <w:t>Erin Evans</w:t>
            </w:r>
            <w:r w:rsidRPr="00571B3E" w:rsidR="00977D5F">
              <w:rPr>
                <w:sz w:val="24"/>
                <w:szCs w:val="24"/>
              </w:rPr>
              <w:t xml:space="preserve"> (ATSDR Region </w:t>
            </w:r>
            <w:r w:rsidRPr="00571B3E">
              <w:rPr>
                <w:sz w:val="24"/>
                <w:szCs w:val="24"/>
              </w:rPr>
              <w:t>7</w:t>
            </w:r>
            <w:r w:rsidRPr="00571B3E" w:rsidR="00977D5F">
              <w:rPr>
                <w:sz w:val="24"/>
                <w:szCs w:val="24"/>
              </w:rPr>
              <w:t>)</w:t>
            </w:r>
          </w:p>
        </w:tc>
      </w:tr>
      <w:tr w:rsidR="00977D5F" w:rsidTr="00B50EEF" w14:paraId="7DF89FBB" w14:textId="77777777">
        <w:tc>
          <w:tcPr>
            <w:tcW w:w="3168" w:type="dxa"/>
            <w:vAlign w:val="center"/>
          </w:tcPr>
          <w:p w:rsidR="00977D5F" w:rsidP="005A3D6B" w:rsidRDefault="00977D5F" w14:paraId="6EEFE125" w14:textId="77777777">
            <w:pPr>
              <w:rPr>
                <w:b/>
                <w:sz w:val="24"/>
                <w:szCs w:val="24"/>
              </w:rPr>
            </w:pPr>
            <w:r>
              <w:rPr>
                <w:b/>
                <w:sz w:val="24"/>
                <w:szCs w:val="24"/>
              </w:rPr>
              <w:t>Technical Assistance:</w:t>
            </w:r>
          </w:p>
        </w:tc>
        <w:tc>
          <w:tcPr>
            <w:tcW w:w="7128" w:type="dxa"/>
            <w:vAlign w:val="center"/>
          </w:tcPr>
          <w:p w:rsidRPr="00571B3E" w:rsidR="000164D8" w:rsidP="005A3D6B" w:rsidRDefault="00571B3E" w14:paraId="175685BA" w14:textId="6B79945A">
            <w:pPr>
              <w:pStyle w:val="ListParagraph"/>
              <w:numPr>
                <w:ilvl w:val="0"/>
                <w:numId w:val="2"/>
              </w:numPr>
              <w:ind w:left="414"/>
              <w:rPr>
                <w:b/>
                <w:sz w:val="24"/>
                <w:szCs w:val="24"/>
              </w:rPr>
            </w:pPr>
            <w:r>
              <w:rPr>
                <w:sz w:val="24"/>
                <w:szCs w:val="24"/>
              </w:rPr>
              <w:t xml:space="preserve">U.S. </w:t>
            </w:r>
            <w:r w:rsidRPr="00823567" w:rsidR="000164D8">
              <w:rPr>
                <w:sz w:val="24"/>
                <w:szCs w:val="24"/>
              </w:rPr>
              <w:t xml:space="preserve">Environmental Protection Agency </w:t>
            </w:r>
            <w:r>
              <w:rPr>
                <w:sz w:val="24"/>
                <w:szCs w:val="24"/>
              </w:rPr>
              <w:t xml:space="preserve">(EPA) </w:t>
            </w:r>
            <w:r w:rsidRPr="00823567" w:rsidR="000164D8">
              <w:rPr>
                <w:sz w:val="24"/>
                <w:szCs w:val="24"/>
              </w:rPr>
              <w:t xml:space="preserve">Region 7 </w:t>
            </w:r>
          </w:p>
          <w:p w:rsidRPr="00571B3E" w:rsidR="000164D8" w:rsidP="005A3D6B" w:rsidRDefault="000164D8" w14:paraId="7EF16C2E" w14:textId="77777777">
            <w:pPr>
              <w:pStyle w:val="ListParagraph"/>
              <w:numPr>
                <w:ilvl w:val="0"/>
                <w:numId w:val="2"/>
              </w:numPr>
              <w:ind w:left="414"/>
              <w:rPr>
                <w:b/>
                <w:sz w:val="24"/>
                <w:szCs w:val="24"/>
              </w:rPr>
            </w:pPr>
            <w:r w:rsidRPr="00571B3E">
              <w:t>Missouri Department of Health and Senior Services (MDHSS)</w:t>
            </w:r>
          </w:p>
          <w:p w:rsidRPr="00571B3E" w:rsidR="000164D8" w:rsidP="005A3D6B" w:rsidRDefault="000164D8" w14:paraId="5B506305" w14:textId="77777777">
            <w:pPr>
              <w:pStyle w:val="ListParagraph"/>
              <w:numPr>
                <w:ilvl w:val="0"/>
                <w:numId w:val="2"/>
              </w:numPr>
              <w:ind w:left="414"/>
              <w:rPr>
                <w:b/>
                <w:sz w:val="24"/>
                <w:szCs w:val="24"/>
              </w:rPr>
            </w:pPr>
            <w:r w:rsidRPr="00571B3E">
              <w:t>Jasper County Health Department</w:t>
            </w:r>
          </w:p>
          <w:p w:rsidRPr="00571B3E" w:rsidR="000164D8" w:rsidP="005A3D6B" w:rsidRDefault="000164D8" w14:paraId="6F9E4938" w14:textId="77777777">
            <w:pPr>
              <w:pStyle w:val="ListParagraph"/>
              <w:numPr>
                <w:ilvl w:val="0"/>
                <w:numId w:val="2"/>
              </w:numPr>
              <w:ind w:left="414"/>
              <w:rPr>
                <w:b/>
                <w:sz w:val="24"/>
                <w:szCs w:val="24"/>
              </w:rPr>
            </w:pPr>
            <w:r w:rsidRPr="00571B3E">
              <w:t>Newton County Health Department</w:t>
            </w:r>
          </w:p>
          <w:p w:rsidRPr="00571B3E" w:rsidR="000164D8" w:rsidP="005A3D6B" w:rsidRDefault="000164D8" w14:paraId="46304859" w14:textId="77777777">
            <w:pPr>
              <w:pStyle w:val="ListParagraph"/>
              <w:numPr>
                <w:ilvl w:val="0"/>
                <w:numId w:val="2"/>
              </w:numPr>
              <w:ind w:left="414"/>
              <w:rPr>
                <w:b/>
                <w:sz w:val="24"/>
                <w:szCs w:val="24"/>
              </w:rPr>
            </w:pPr>
            <w:r w:rsidRPr="00571B3E">
              <w:t>Joplin City Health Department</w:t>
            </w:r>
          </w:p>
          <w:p w:rsidRPr="00571B3E" w:rsidR="00977D5F" w:rsidP="005A3D6B" w:rsidRDefault="000164D8" w14:paraId="039D4859" w14:textId="5818C47A">
            <w:pPr>
              <w:pStyle w:val="ListParagraph"/>
              <w:numPr>
                <w:ilvl w:val="0"/>
                <w:numId w:val="2"/>
              </w:numPr>
              <w:ind w:left="414"/>
              <w:rPr>
                <w:b/>
                <w:sz w:val="24"/>
                <w:szCs w:val="24"/>
              </w:rPr>
            </w:pPr>
            <w:r w:rsidRPr="00571B3E">
              <w:t xml:space="preserve">Mid-America Pediatric Environmental Health Specialty Unit (PEHSU). </w:t>
            </w:r>
          </w:p>
          <w:p w:rsidRPr="00571B3E" w:rsidR="00977D5F" w:rsidP="005A3D6B" w:rsidRDefault="009A4C91" w14:paraId="43ED3435" w14:textId="4C0432AC">
            <w:pPr>
              <w:pStyle w:val="ListParagraph"/>
              <w:numPr>
                <w:ilvl w:val="0"/>
                <w:numId w:val="2"/>
              </w:numPr>
              <w:ind w:left="414"/>
              <w:rPr>
                <w:b/>
                <w:sz w:val="24"/>
                <w:szCs w:val="24"/>
              </w:rPr>
            </w:pPr>
            <w:r w:rsidRPr="00571B3E">
              <w:rPr>
                <w:sz w:val="24"/>
                <w:szCs w:val="24"/>
              </w:rPr>
              <w:t>DLS/NCEH/</w:t>
            </w:r>
            <w:r w:rsidRPr="00571B3E" w:rsidR="00977D5F">
              <w:rPr>
                <w:sz w:val="24"/>
                <w:szCs w:val="24"/>
              </w:rPr>
              <w:t>ATSDR laboratory</w:t>
            </w:r>
            <w:r w:rsidRPr="00571B3E" w:rsidR="006F228B">
              <w:rPr>
                <w:sz w:val="24"/>
                <w:szCs w:val="24"/>
              </w:rPr>
              <w:t xml:space="preserve"> </w:t>
            </w:r>
          </w:p>
        </w:tc>
      </w:tr>
      <w:tr w:rsidR="00977D5F" w:rsidTr="00B50EEF" w14:paraId="61820D5F" w14:textId="77777777">
        <w:tc>
          <w:tcPr>
            <w:tcW w:w="3168" w:type="dxa"/>
            <w:vAlign w:val="center"/>
          </w:tcPr>
          <w:p w:rsidR="00977D5F" w:rsidP="005A3D6B" w:rsidRDefault="00977D5F" w14:paraId="4614B7E7" w14:textId="77777777">
            <w:pPr>
              <w:rPr>
                <w:b/>
                <w:sz w:val="24"/>
                <w:szCs w:val="24"/>
              </w:rPr>
            </w:pPr>
            <w:r w:rsidRPr="007F0688">
              <w:rPr>
                <w:b/>
                <w:sz w:val="24"/>
                <w:szCs w:val="24"/>
              </w:rPr>
              <w:t>Source of Request (state, petition, etc.):</w:t>
            </w:r>
          </w:p>
        </w:tc>
        <w:tc>
          <w:tcPr>
            <w:tcW w:w="7128" w:type="dxa"/>
            <w:vAlign w:val="center"/>
          </w:tcPr>
          <w:p w:rsidRPr="00571B3E" w:rsidR="00977D5F" w:rsidP="005A3D6B" w:rsidRDefault="00ED0791" w14:paraId="23DFF335" w14:textId="56E2F920">
            <w:pPr>
              <w:rPr>
                <w:sz w:val="24"/>
                <w:szCs w:val="24"/>
              </w:rPr>
            </w:pPr>
            <w:r w:rsidRPr="00823567">
              <w:rPr>
                <w:sz w:val="24"/>
                <w:szCs w:val="24"/>
              </w:rPr>
              <w:t>EPA request for assistance from ATSDR in blood lead sampling.</w:t>
            </w:r>
          </w:p>
        </w:tc>
      </w:tr>
      <w:tr w:rsidR="00977D5F" w:rsidTr="00B50EEF" w14:paraId="15DA994C" w14:textId="77777777">
        <w:tc>
          <w:tcPr>
            <w:tcW w:w="3168" w:type="dxa"/>
            <w:vAlign w:val="center"/>
          </w:tcPr>
          <w:p w:rsidR="00977D5F" w:rsidP="005A3D6B" w:rsidRDefault="00977D5F" w14:paraId="5547DC8A" w14:textId="77777777">
            <w:pPr>
              <w:rPr>
                <w:b/>
                <w:sz w:val="24"/>
                <w:szCs w:val="24"/>
              </w:rPr>
            </w:pPr>
            <w:r>
              <w:rPr>
                <w:b/>
                <w:sz w:val="24"/>
                <w:szCs w:val="24"/>
              </w:rPr>
              <w:t>Project Goals:</w:t>
            </w:r>
          </w:p>
        </w:tc>
        <w:tc>
          <w:tcPr>
            <w:tcW w:w="7128" w:type="dxa"/>
            <w:vAlign w:val="center"/>
          </w:tcPr>
          <w:p w:rsidR="00ED0791" w:rsidP="00823567" w:rsidRDefault="00ED0791" w14:paraId="6106C000" w14:textId="4F31380D">
            <w:r>
              <w:t xml:space="preserve">The EI will measure </w:t>
            </w:r>
            <w:r w:rsidR="00571B3E">
              <w:t>blood lead levels (BLLs) in</w:t>
            </w:r>
            <w:r>
              <w:t xml:space="preserve"> children (&lt;72 months) and pregnant women or women of childbearing age (15-44 years) near the </w:t>
            </w:r>
            <w:proofErr w:type="spellStart"/>
            <w:r>
              <w:t>Oronogo-Duenweg</w:t>
            </w:r>
            <w:proofErr w:type="spellEnd"/>
            <w:r>
              <w:t xml:space="preserve"> Mining Belt and Newton County Mine Tailings Superfund sites.</w:t>
            </w:r>
            <w:r w:rsidRPr="00FC10D1">
              <w:t xml:space="preserve"> </w:t>
            </w:r>
            <w:r w:rsidR="00571B3E">
              <w:t xml:space="preserve">EPA and MDHSS will sample lead contamination in and around households to allow a better evaluation of BLLs. </w:t>
            </w:r>
            <w:r>
              <w:t>ATSDR</w:t>
            </w:r>
            <w:r w:rsidRPr="00ED0791">
              <w:t xml:space="preserve"> will compare the results with levels of health concern (</w:t>
            </w:r>
            <w:proofErr w:type="gramStart"/>
            <w:r w:rsidR="00571B3E">
              <w:t xml:space="preserve">BLLs </w:t>
            </w:r>
            <w:r w:rsidRPr="00ED0791">
              <w:t xml:space="preserve"> ≥</w:t>
            </w:r>
            <w:proofErr w:type="gramEnd"/>
            <w:r w:rsidR="00571B3E">
              <w:t xml:space="preserve"> </w:t>
            </w:r>
            <w:r w:rsidR="009F0280">
              <w:t>3.5</w:t>
            </w:r>
            <w:r w:rsidRPr="00ED0791">
              <w:t xml:space="preserve"> µg/dL</w:t>
            </w:r>
            <w:r w:rsidR="00C32559">
              <w:t xml:space="preserve"> for children and BLLs </w:t>
            </w:r>
            <w:r w:rsidRPr="00ED0791" w:rsidR="00C32559">
              <w:t>≥</w:t>
            </w:r>
            <w:r w:rsidR="00C32559">
              <w:t xml:space="preserve"> 5</w:t>
            </w:r>
            <w:r w:rsidRPr="00ED0791" w:rsidR="00C32559">
              <w:t xml:space="preserve"> µg/dL</w:t>
            </w:r>
            <w:r w:rsidR="00C32559">
              <w:t xml:space="preserve"> for adults</w:t>
            </w:r>
            <w:r w:rsidRPr="00ED0791" w:rsidR="00C32559">
              <w:t>),</w:t>
            </w:r>
            <w:r w:rsidRPr="00ED0791">
              <w:t xml:space="preserve"> provide participants with their individual results and interpretation/ recommendations, and write a summary report (EI report).</w:t>
            </w:r>
          </w:p>
          <w:p w:rsidR="00437921" w:rsidP="00823567" w:rsidRDefault="00437921" w14:paraId="1A392809" w14:textId="1DC1A3BC"/>
          <w:p w:rsidR="00F02E50" w:rsidP="00DE3448" w:rsidRDefault="00F02E50" w14:paraId="2D26C623" w14:textId="7788ADFF">
            <w:r>
              <w:t>This EI will result in an increase</w:t>
            </w:r>
            <w:r w:rsidR="002D3C9D">
              <w:t xml:space="preserve">d </w:t>
            </w:r>
            <w:r>
              <w:t xml:space="preserve">education about </w:t>
            </w:r>
            <w:r w:rsidR="004E1521">
              <w:t xml:space="preserve">preventing lead </w:t>
            </w:r>
            <w:r>
              <w:t>exposure,</w:t>
            </w:r>
            <w:r w:rsidR="002D3C9D">
              <w:t xml:space="preserve"> improved access to</w:t>
            </w:r>
            <w:r>
              <w:t xml:space="preserve"> recommendations for remedial or removal actions, </w:t>
            </w:r>
            <w:r w:rsidR="004E1521">
              <w:t xml:space="preserve">and </w:t>
            </w:r>
            <w:r w:rsidR="00191795">
              <w:t xml:space="preserve">to </w:t>
            </w:r>
            <w:r w:rsidR="00B93B4D">
              <w:t>the knowledge needed to guide</w:t>
            </w:r>
            <w:r>
              <w:t xml:space="preserve"> future </w:t>
            </w:r>
            <w:r w:rsidR="00B93B4D">
              <w:t>remediation of lead in the area</w:t>
            </w:r>
            <w:r w:rsidR="000A425F">
              <w:t>.</w:t>
            </w:r>
            <w:r>
              <w:t xml:space="preserve"> </w:t>
            </w:r>
          </w:p>
          <w:p w:rsidRPr="00977D5F" w:rsidR="00977D5F" w:rsidP="005A3D6B" w:rsidRDefault="00977D5F" w14:paraId="40E46A9B" w14:textId="4696E92E">
            <w:pPr>
              <w:rPr>
                <w:sz w:val="24"/>
                <w:szCs w:val="24"/>
              </w:rPr>
            </w:pPr>
          </w:p>
        </w:tc>
      </w:tr>
      <w:tr w:rsidR="00977D5F" w:rsidTr="00B50EEF" w14:paraId="1C9702F0" w14:textId="77777777">
        <w:tc>
          <w:tcPr>
            <w:tcW w:w="3168" w:type="dxa"/>
            <w:vAlign w:val="center"/>
          </w:tcPr>
          <w:p w:rsidR="00977D5F" w:rsidP="005A3D6B" w:rsidRDefault="00977D5F" w14:paraId="7E37BC0B" w14:textId="77777777">
            <w:pPr>
              <w:rPr>
                <w:b/>
                <w:sz w:val="24"/>
                <w:szCs w:val="24"/>
              </w:rPr>
            </w:pPr>
            <w:r>
              <w:rPr>
                <w:b/>
                <w:sz w:val="24"/>
                <w:szCs w:val="24"/>
              </w:rPr>
              <w:t>Project Objectives:</w:t>
            </w:r>
          </w:p>
        </w:tc>
        <w:tc>
          <w:tcPr>
            <w:tcW w:w="7128" w:type="dxa"/>
            <w:vAlign w:val="center"/>
          </w:tcPr>
          <w:p w:rsidR="00ED0791" w:rsidP="00823567" w:rsidRDefault="00571B3E" w14:paraId="686BCD82" w14:textId="5A031CEA">
            <w:r>
              <w:t>T</w:t>
            </w:r>
            <w:r w:rsidR="00ED0791">
              <w:t>he EI has the following objectives:</w:t>
            </w:r>
          </w:p>
          <w:p w:rsidR="00ED0791" w:rsidP="00ED0791" w:rsidRDefault="00ED0791" w14:paraId="0AB7D423" w14:textId="77777777">
            <w:pPr>
              <w:pStyle w:val="ListParagraph"/>
              <w:numPr>
                <w:ilvl w:val="0"/>
                <w:numId w:val="11"/>
              </w:numPr>
              <w:spacing w:after="160" w:line="259" w:lineRule="auto"/>
            </w:pPr>
            <w:r>
              <w:t xml:space="preserve">Evaluate BLLs in Jasper and Newton County residents, who are children (&lt;72 months) and women who are pregnant or of childbearing age (15-44 years) that participate in the investigation. </w:t>
            </w:r>
          </w:p>
          <w:p w:rsidR="00ED0791" w:rsidP="00823567" w:rsidRDefault="00ED0791" w14:paraId="4952095F" w14:textId="77777777">
            <w:pPr>
              <w:pStyle w:val="ListParagraph"/>
              <w:numPr>
                <w:ilvl w:val="0"/>
                <w:numId w:val="11"/>
              </w:numPr>
              <w:spacing w:after="160" w:line="259" w:lineRule="auto"/>
            </w:pPr>
            <w:r>
              <w:t>Review environmental sampling data collected by state and federal partners. Samples will be taken from participating residents’ indoor and outdoor environments including soil, drinking water from private wells at the tap, public water collected at the tap, household dust, and interior and exterior painted surfaces.</w:t>
            </w:r>
          </w:p>
          <w:p w:rsidR="00ED0791" w:rsidP="00823567" w:rsidRDefault="00ED0791" w14:paraId="6B3E665D" w14:textId="77777777">
            <w:pPr>
              <w:pStyle w:val="ListParagraph"/>
              <w:numPr>
                <w:ilvl w:val="0"/>
                <w:numId w:val="11"/>
              </w:numPr>
              <w:spacing w:after="160" w:line="259" w:lineRule="auto"/>
            </w:pPr>
            <w:r>
              <w:t xml:space="preserve">Administer a survey questionnaire to document demographic, behavioral, occupational, and educational information of participants. Parents/guardians will complete the survey for the child participants. </w:t>
            </w:r>
          </w:p>
          <w:p w:rsidR="00ED0791" w:rsidP="00823567" w:rsidRDefault="00ED0791" w14:paraId="53E9EA5B" w14:textId="77777777">
            <w:pPr>
              <w:pStyle w:val="ListParagraph"/>
              <w:numPr>
                <w:ilvl w:val="0"/>
                <w:numId w:val="11"/>
              </w:numPr>
              <w:spacing w:after="160" w:line="259" w:lineRule="auto"/>
            </w:pPr>
            <w:r>
              <w:lastRenderedPageBreak/>
              <w:t xml:space="preserve">Evaluate lead levels in environmental samples and the association between environmental lead levels with BLLs.  </w:t>
            </w:r>
          </w:p>
          <w:p w:rsidR="00ED0791" w:rsidP="00823567" w:rsidRDefault="00ED0791" w14:paraId="4FD0868A" w14:textId="77777777">
            <w:pPr>
              <w:pStyle w:val="ListParagraph"/>
              <w:numPr>
                <w:ilvl w:val="0"/>
                <w:numId w:val="11"/>
              </w:numPr>
              <w:spacing w:after="160" w:line="259" w:lineRule="auto"/>
            </w:pPr>
            <w:r>
              <w:t>Recommend ways to lower environmental exposures to lead.</w:t>
            </w:r>
          </w:p>
          <w:p w:rsidRPr="006E580F" w:rsidR="00977D5F" w:rsidP="00AE1A21" w:rsidRDefault="00ED0791" w14:paraId="3B35DE1E" w14:textId="4072E4B8">
            <w:pPr>
              <w:pStyle w:val="ListParagraph"/>
              <w:numPr>
                <w:ilvl w:val="0"/>
                <w:numId w:val="11"/>
              </w:numPr>
              <w:spacing w:after="160" w:line="259" w:lineRule="auto"/>
              <w:rPr>
                <w:sz w:val="24"/>
                <w:szCs w:val="24"/>
              </w:rPr>
            </w:pPr>
            <w:r>
              <w:t xml:space="preserve">Provide an opportunity for all participants and parents/guardians of child participants to discuss their blood lead findings with an ATSDR medical officer. </w:t>
            </w:r>
          </w:p>
        </w:tc>
      </w:tr>
      <w:tr w:rsidR="00977D5F" w:rsidTr="00B50EEF" w14:paraId="669C68A5" w14:textId="77777777">
        <w:tc>
          <w:tcPr>
            <w:tcW w:w="3168" w:type="dxa"/>
            <w:vAlign w:val="center"/>
          </w:tcPr>
          <w:p w:rsidR="00977D5F" w:rsidP="005A3D6B" w:rsidRDefault="00977D5F" w14:paraId="68586316" w14:textId="77777777">
            <w:pPr>
              <w:rPr>
                <w:b/>
                <w:sz w:val="24"/>
                <w:szCs w:val="24"/>
              </w:rPr>
            </w:pPr>
            <w:r>
              <w:rPr>
                <w:b/>
                <w:sz w:val="24"/>
                <w:szCs w:val="24"/>
              </w:rPr>
              <w:lastRenderedPageBreak/>
              <w:t>Environmental Sampling to be Completed:</w:t>
            </w:r>
          </w:p>
        </w:tc>
        <w:tc>
          <w:tcPr>
            <w:tcW w:w="7128" w:type="dxa"/>
            <w:vAlign w:val="center"/>
          </w:tcPr>
          <w:p w:rsidR="00977D5F" w:rsidP="00D82B30" w:rsidRDefault="005451CC" w14:paraId="5721D935" w14:textId="76C159BB">
            <w:pPr>
              <w:spacing w:after="160" w:line="259" w:lineRule="auto"/>
            </w:pPr>
            <w:r>
              <w:t>The EI will include environmental sampling</w:t>
            </w:r>
            <w:r w:rsidR="00D82B30">
              <w:t>,</w:t>
            </w:r>
            <w:r w:rsidR="00A11192">
              <w:t xml:space="preserve"> conduct</w:t>
            </w:r>
            <w:r>
              <w:t xml:space="preserve">ed by </w:t>
            </w:r>
            <w:r w:rsidR="00571B3E">
              <w:t>the EPA and MDHSS</w:t>
            </w:r>
            <w:r w:rsidR="00D82B30">
              <w:t>,</w:t>
            </w:r>
            <w:r>
              <w:t xml:space="preserve"> to determine lead levels in the environment.</w:t>
            </w:r>
            <w:r w:rsidR="00462711">
              <w:t xml:space="preserve"> Samples will be taken from participating residents’ indoor and outdoor environments including soil, drinking water from private wells at the tap, public water collected at the tap, household dust, and interior and exterior painted surfaces.</w:t>
            </w:r>
          </w:p>
          <w:p w:rsidR="009F0280" w:rsidP="009F0280" w:rsidRDefault="009F0280" w14:paraId="75E6570D" w14:textId="6C0169B9">
            <w:pPr>
              <w:spacing w:after="160" w:line="256" w:lineRule="auto"/>
            </w:pPr>
            <w:r>
              <w:t>EPA is responsible for collecting, processing, and analyzing residential soils and drinking water from private residential wells. Samples will only be collected from participating households. The laboratory analysis will be performed by EPA Region 7’s Science and Technology Center or contracted laboratories.</w:t>
            </w:r>
          </w:p>
          <w:p w:rsidRPr="00D82B30" w:rsidR="009F0280" w:rsidP="009F0280" w:rsidRDefault="009F0280" w14:paraId="21DE4226" w14:textId="71B7754B">
            <w:pPr>
              <w:spacing w:after="160" w:line="256" w:lineRule="auto"/>
            </w:pPr>
            <w:r>
              <w:t>MDHSS is responsible for collecting and analyzing household dust, measuring lead in interior and exterior painted surfaces, and analyzing drinking water from public water supplies. Laboratory analysis for dust wipe and public water samples will be performed by the Missouri State Public Health Laboratory (SPHL).</w:t>
            </w:r>
          </w:p>
        </w:tc>
      </w:tr>
      <w:tr w:rsidR="00977D5F" w:rsidTr="00B50EEF" w14:paraId="58D2A5B3" w14:textId="77777777">
        <w:tc>
          <w:tcPr>
            <w:tcW w:w="3168" w:type="dxa"/>
            <w:vAlign w:val="center"/>
          </w:tcPr>
          <w:p w:rsidR="00977D5F" w:rsidP="005A3D6B" w:rsidRDefault="00977D5F" w14:paraId="19676EAA" w14:textId="77777777">
            <w:pPr>
              <w:rPr>
                <w:b/>
                <w:sz w:val="24"/>
                <w:szCs w:val="24"/>
              </w:rPr>
            </w:pPr>
            <w:r>
              <w:rPr>
                <w:b/>
                <w:sz w:val="24"/>
                <w:szCs w:val="24"/>
              </w:rPr>
              <w:t>Biological Sampling to be Completed:</w:t>
            </w:r>
          </w:p>
        </w:tc>
        <w:tc>
          <w:tcPr>
            <w:tcW w:w="7128" w:type="dxa"/>
            <w:vAlign w:val="center"/>
          </w:tcPr>
          <w:p w:rsidR="00DE3448" w:rsidP="00DA6A7C" w:rsidRDefault="00375CD5" w14:paraId="6697A52A" w14:textId="3EE49F03">
            <w:r>
              <w:t xml:space="preserve">This EI will </w:t>
            </w:r>
            <w:r w:rsidR="00F21610">
              <w:t>measure participants exposure to lead via venous blood draw</w:t>
            </w:r>
            <w:r w:rsidR="00FE7903">
              <w:t xml:space="preserve">. </w:t>
            </w:r>
            <w:r w:rsidR="00B51D2F">
              <w:t>T</w:t>
            </w:r>
            <w:r w:rsidR="00B51D2F">
              <w:rPr>
                <w:bCs/>
              </w:rPr>
              <w:t>he maximum number of EI participants is 300 (</w:t>
            </w:r>
            <w:r>
              <w:t xml:space="preserve">225 children </w:t>
            </w:r>
            <w:r w:rsidR="00B51D2F">
              <w:t>[</w:t>
            </w:r>
            <w:r w:rsidR="00B51D2F">
              <w:rPr>
                <w:rFonts w:cstheme="minorHAnsi"/>
              </w:rPr>
              <w:t>≤</w:t>
            </w:r>
            <w:r w:rsidRPr="00F33C54">
              <w:t xml:space="preserve"> 72 months</w:t>
            </w:r>
            <w:r w:rsidR="00B51D2F">
              <w:t>]</w:t>
            </w:r>
            <w:r>
              <w:t xml:space="preserve"> and 75 pregnant women or women of childbearing age </w:t>
            </w:r>
            <w:r w:rsidR="00B51D2F">
              <w:t>[</w:t>
            </w:r>
            <w:r>
              <w:t>15-44 years</w:t>
            </w:r>
            <w:r w:rsidR="00B51D2F">
              <w:t>]</w:t>
            </w:r>
            <w:r>
              <w:t xml:space="preserve"> to determine blood lead levels (BLLs) in the community.</w:t>
            </w:r>
            <w:r w:rsidR="00DE3448">
              <w:t xml:space="preserve"> </w:t>
            </w:r>
            <w:bookmarkStart w:name="_Hlk103760260" w:id="0"/>
            <w:r w:rsidR="00DE3448">
              <w:rPr>
                <w:bCs/>
              </w:rPr>
              <w:t>I</w:t>
            </w:r>
            <w:r w:rsidR="00D2280E">
              <w:rPr>
                <w:bCs/>
              </w:rPr>
              <w:t>f the goal of 300 is not met,</w:t>
            </w:r>
            <w:r w:rsidR="00DE3448">
              <w:rPr>
                <w:bCs/>
              </w:rPr>
              <w:t xml:space="preserve"> </w:t>
            </w:r>
            <w:r w:rsidR="00DE3448">
              <w:t xml:space="preserve">ATSDR will </w:t>
            </w:r>
            <w:r w:rsidR="00A07E1E">
              <w:t xml:space="preserve">fill the remaining number </w:t>
            </w:r>
            <w:r w:rsidR="00F666B3">
              <w:t>with</w:t>
            </w:r>
            <w:r w:rsidR="00DE3448">
              <w:t xml:space="preserve"> minor siblings of participants </w:t>
            </w:r>
            <w:r w:rsidRPr="249D09EB" w:rsidR="00DE3448">
              <w:t>≥</w:t>
            </w:r>
            <w:r w:rsidR="00DE3448">
              <w:t xml:space="preserve"> 72 months, if requested by a parent or guardian, as a public health service to the community. However, their results will not be included as part of the EI report</w:t>
            </w:r>
            <w:r w:rsidR="00527F40">
              <w:t>, and they will not be compensated.</w:t>
            </w:r>
          </w:p>
          <w:p w:rsidR="009F0280" w:rsidP="00DA6A7C" w:rsidRDefault="009F0280" w14:paraId="22DD7E7C" w14:textId="77777777"/>
          <w:bookmarkEnd w:id="0"/>
          <w:p w:rsidRPr="00EF656A" w:rsidR="009F0280" w:rsidP="00DA6A7C" w:rsidRDefault="009F0280" w14:paraId="380CA996" w14:textId="6C03A9FD">
            <w:r>
              <w:t>ATSDR is responsible for designing the study protocol, recruiting participants, collecting blood, and reporting the study results.</w:t>
            </w:r>
          </w:p>
        </w:tc>
      </w:tr>
      <w:tr w:rsidR="00977D5F" w:rsidTr="00B50EEF" w14:paraId="3AD36E98" w14:textId="77777777">
        <w:tc>
          <w:tcPr>
            <w:tcW w:w="3168" w:type="dxa"/>
            <w:vAlign w:val="center"/>
          </w:tcPr>
          <w:p w:rsidR="00977D5F" w:rsidP="005A3D6B" w:rsidRDefault="00977D5F" w14:paraId="242BA570" w14:textId="77777777">
            <w:pPr>
              <w:rPr>
                <w:b/>
                <w:sz w:val="24"/>
                <w:szCs w:val="24"/>
              </w:rPr>
            </w:pPr>
            <w:r>
              <w:rPr>
                <w:b/>
                <w:sz w:val="24"/>
                <w:szCs w:val="24"/>
              </w:rPr>
              <w:t>Data Collection and Analysis Procedures:</w:t>
            </w:r>
          </w:p>
        </w:tc>
        <w:tc>
          <w:tcPr>
            <w:tcW w:w="7128" w:type="dxa"/>
            <w:vAlign w:val="center"/>
          </w:tcPr>
          <w:p w:rsidRPr="00751490" w:rsidR="008E2BBB" w:rsidP="005A3D6B" w:rsidRDefault="00B65000" w14:paraId="5FBA43F4" w14:textId="132B5321">
            <w:pPr>
              <w:rPr>
                <w:sz w:val="24"/>
                <w:szCs w:val="24"/>
                <w:u w:val="single"/>
              </w:rPr>
            </w:pPr>
            <w:r>
              <w:rPr>
                <w:sz w:val="24"/>
                <w:szCs w:val="24"/>
                <w:u w:val="single"/>
              </w:rPr>
              <w:t>Recruitment of Participants:</w:t>
            </w:r>
          </w:p>
          <w:p w:rsidR="00DE3448" w:rsidP="00EC4DF0" w:rsidRDefault="001C2A2C" w14:paraId="655B6AD3" w14:textId="77777777">
            <w:r>
              <w:t xml:space="preserve">Participants for the EI will be recruited from the areas within the </w:t>
            </w:r>
            <w:proofErr w:type="spellStart"/>
            <w:r>
              <w:t>Oronogo-Duenweg</w:t>
            </w:r>
            <w:proofErr w:type="spellEnd"/>
            <w:r>
              <w:t xml:space="preserve"> Mining Belt and Newton County Mine Tailings Superfund sites’ boundaries. The EI will seek participants who reside in areas where soil lead contamination is highest or suspected to be present. ATSDR will use site investigations and historic site sampling data provided by EPA Region 7 to identify these areas.</w:t>
            </w:r>
            <w:r w:rsidR="00FE7903">
              <w:t xml:space="preserve"> </w:t>
            </w:r>
          </w:p>
          <w:p w:rsidR="00DE3448" w:rsidP="00EC4DF0" w:rsidRDefault="00DE3448" w14:paraId="3D6FD651" w14:textId="77777777"/>
          <w:p w:rsidR="001C2A2C" w:rsidP="005A3D6B" w:rsidRDefault="00995BC4" w14:paraId="0645441C" w14:textId="5D79BDB9">
            <w:r>
              <w:t>ATSDR will perform the following recruitment activities:</w:t>
            </w:r>
          </w:p>
          <w:p w:rsidR="00751490" w:rsidP="00C7636A" w:rsidRDefault="00751490" w14:paraId="4487ECCF" w14:textId="77777777">
            <w:pPr>
              <w:pStyle w:val="ListParagraph"/>
              <w:numPr>
                <w:ilvl w:val="0"/>
                <w:numId w:val="13"/>
              </w:numPr>
              <w:spacing w:after="160" w:line="259" w:lineRule="auto"/>
            </w:pPr>
            <w:r>
              <w:t xml:space="preserve">ATSDR will create a mailing list for the residents in Jasper and Newton Counties where lead contamination is known to be present or where environmental investigations are pending. Contact information will be provided for participants to make appointments for testing. </w:t>
            </w:r>
          </w:p>
          <w:p w:rsidR="00751490" w:rsidP="00C7636A" w:rsidRDefault="00751490" w14:paraId="2D9489F4" w14:textId="77777777">
            <w:pPr>
              <w:pStyle w:val="ListParagraph"/>
              <w:numPr>
                <w:ilvl w:val="0"/>
                <w:numId w:val="13"/>
              </w:numPr>
              <w:spacing w:after="160" w:line="259" w:lineRule="auto"/>
            </w:pPr>
            <w:r>
              <w:lastRenderedPageBreak/>
              <w:t xml:space="preserve">Fact sheets, fliers, and postcards providing information on testing will be prepared by ATSDR and provided to LPHAs, distributed to eligible participants, and printed in local news publications and online outlets. </w:t>
            </w:r>
          </w:p>
          <w:p w:rsidR="00751490" w:rsidP="00C7636A" w:rsidRDefault="00751490" w14:paraId="367D0FC9" w14:textId="77777777">
            <w:pPr>
              <w:pStyle w:val="ListParagraph"/>
              <w:numPr>
                <w:ilvl w:val="0"/>
                <w:numId w:val="13"/>
              </w:numPr>
              <w:spacing w:after="160" w:line="259" w:lineRule="auto"/>
            </w:pPr>
            <w:r>
              <w:t xml:space="preserve">Digital recruitment material will be developed, and targeted social media advertising will be purchased. Click and impression advertisements will be purchased through Facebook and Instagram. Advertisements will target women with children, women who are pregnant, women of childbearing age, men with children, and grandparents. </w:t>
            </w:r>
          </w:p>
          <w:p w:rsidR="00751490" w:rsidP="00C7636A" w:rsidRDefault="00751490" w14:paraId="76D36A0F" w14:textId="77777777">
            <w:pPr>
              <w:pStyle w:val="ListParagraph"/>
              <w:numPr>
                <w:ilvl w:val="0"/>
                <w:numId w:val="13"/>
              </w:numPr>
              <w:spacing w:after="160" w:line="259" w:lineRule="auto"/>
            </w:pPr>
            <w:r>
              <w:t>ATSDR will develop a webpage to display information about the EI, eligibility criteria, and enrollment information.</w:t>
            </w:r>
          </w:p>
          <w:p w:rsidR="00751490" w:rsidP="00C7636A" w:rsidRDefault="00751490" w14:paraId="2798ABB3" w14:textId="77777777">
            <w:pPr>
              <w:pStyle w:val="ListParagraph"/>
              <w:numPr>
                <w:ilvl w:val="0"/>
                <w:numId w:val="13"/>
              </w:numPr>
              <w:spacing w:after="160" w:line="259" w:lineRule="auto"/>
            </w:pPr>
            <w:r>
              <w:t>ATSDR will focus on daycares, preschools, and elementary schools in the area to request partnership to recruit from client families.</w:t>
            </w:r>
          </w:p>
          <w:p w:rsidR="00751490" w:rsidP="00C7636A" w:rsidRDefault="00751490" w14:paraId="26FFBB62" w14:textId="77777777">
            <w:pPr>
              <w:pStyle w:val="ListParagraph"/>
              <w:numPr>
                <w:ilvl w:val="0"/>
                <w:numId w:val="13"/>
              </w:numPr>
              <w:spacing w:after="160" w:line="259" w:lineRule="auto"/>
            </w:pPr>
            <w:r>
              <w:t xml:space="preserve">ATSDR will recruit through established or newly created in-person connections with the community. Recruitment will occur through local events or public information sessions aimed at community groups, religious organizations, or other influential community members including elected officials. </w:t>
            </w:r>
          </w:p>
          <w:p w:rsidR="00751490" w:rsidP="00C7636A" w:rsidRDefault="00751490" w14:paraId="3BC471C6" w14:textId="77777777">
            <w:pPr>
              <w:pStyle w:val="ListParagraph"/>
              <w:numPr>
                <w:ilvl w:val="0"/>
                <w:numId w:val="13"/>
              </w:numPr>
              <w:spacing w:after="160" w:line="259" w:lineRule="auto"/>
            </w:pPr>
            <w:r>
              <w:t xml:space="preserve">ATSDR will work with LPHAs and local media outlets to broadcast recruitment information via radio or local news channels. </w:t>
            </w:r>
          </w:p>
          <w:p w:rsidR="00751490" w:rsidP="00C7636A" w:rsidRDefault="00751490" w14:paraId="7A4D843B" w14:textId="77777777">
            <w:pPr>
              <w:pStyle w:val="ListParagraph"/>
              <w:numPr>
                <w:ilvl w:val="0"/>
                <w:numId w:val="13"/>
              </w:numPr>
              <w:spacing w:after="160" w:line="259" w:lineRule="auto"/>
            </w:pPr>
            <w:r>
              <w:t>ATSDR will work with MDHSS, LPHAs, and the PEHSU to provide recruitment information and material to area PCPs, pediatricians, clinicians, and other area healthcare providers.</w:t>
            </w:r>
          </w:p>
          <w:p w:rsidR="00751490" w:rsidP="00C7636A" w:rsidRDefault="00751490" w14:paraId="0AD6BA55" w14:textId="6733D143">
            <w:pPr>
              <w:pStyle w:val="ListParagraph"/>
              <w:numPr>
                <w:ilvl w:val="0"/>
                <w:numId w:val="13"/>
              </w:numPr>
              <w:spacing w:after="160" w:line="259" w:lineRule="auto"/>
            </w:pPr>
            <w:r>
              <w:t xml:space="preserve">A $20 token of appreciation in the form of a cash gift card will be provided to each eligible participant. The gift card will be </w:t>
            </w:r>
            <w:r w:rsidR="000B1411">
              <w:t xml:space="preserve">given </w:t>
            </w:r>
            <w:r w:rsidR="00F105CA">
              <w:t xml:space="preserve">to adult participants, or the parent or guardian </w:t>
            </w:r>
            <w:r w:rsidR="00ED710E">
              <w:t xml:space="preserve">(for child participants) </w:t>
            </w:r>
            <w:r w:rsidR="000B1411">
              <w:t xml:space="preserve">at the time of blood draw. </w:t>
            </w:r>
          </w:p>
          <w:p w:rsidRPr="00995BC4" w:rsidR="008E2BBB" w:rsidP="00995BC4" w:rsidRDefault="00751490" w14:paraId="7B59D796" w14:textId="58B759F2">
            <w:pPr>
              <w:pStyle w:val="ListParagraph"/>
              <w:numPr>
                <w:ilvl w:val="0"/>
                <w:numId w:val="13"/>
              </w:numPr>
              <w:spacing w:after="160" w:line="259" w:lineRule="auto"/>
            </w:pPr>
            <w:r>
              <w:t xml:space="preserve">Recruitment efforts will stop once the participation goal of 225 children &lt;72 months and 75 pregnant women or women of childbearing age (15-44 years) has been met. </w:t>
            </w:r>
          </w:p>
          <w:p w:rsidR="007C0749" w:rsidP="007C0749" w:rsidRDefault="006C2E1C" w14:paraId="09525F20" w14:textId="3421844D">
            <w:r w:rsidRPr="00BA4320">
              <w:rPr>
                <w:sz w:val="24"/>
                <w:szCs w:val="24"/>
                <w:u w:val="single"/>
              </w:rPr>
              <w:t>Collection:</w:t>
            </w:r>
            <w:r w:rsidR="007C0749">
              <w:t xml:space="preserve"> </w:t>
            </w:r>
          </w:p>
          <w:p w:rsidR="007C0749" w:rsidP="001F0E3A" w:rsidRDefault="00C7636A" w14:paraId="0C322FD4" w14:textId="15396535">
            <w:pPr>
              <w:pStyle w:val="ListParagraph"/>
              <w:numPr>
                <w:ilvl w:val="0"/>
                <w:numId w:val="17"/>
              </w:numPr>
              <w:spacing w:after="160" w:line="259" w:lineRule="auto"/>
            </w:pPr>
            <w:r>
              <w:t>There will be two blood collection events. There will be one event at a central location for each county, to reduce travel burden on participants</w:t>
            </w:r>
            <w:r w:rsidR="009F0280">
              <w:t xml:space="preserve"> (ATSDR)</w:t>
            </w:r>
            <w:r>
              <w:t xml:space="preserve">. </w:t>
            </w:r>
            <w:r w:rsidR="007C0749">
              <w:t xml:space="preserve"> </w:t>
            </w:r>
          </w:p>
          <w:p w:rsidR="0048523B" w:rsidP="009B31BB" w:rsidRDefault="007C0749" w14:paraId="2FA2D72C" w14:textId="6F7C6E70">
            <w:pPr>
              <w:pStyle w:val="ListParagraph"/>
              <w:numPr>
                <w:ilvl w:val="0"/>
                <w:numId w:val="17"/>
              </w:numPr>
              <w:spacing w:after="160" w:line="259" w:lineRule="auto"/>
            </w:pPr>
            <w:r>
              <w:t>Administer a questionnaire to document demographic, behavioral, occupational, and educational information of participants</w:t>
            </w:r>
            <w:r w:rsidR="009F0280">
              <w:t xml:space="preserve"> (ATSDR)</w:t>
            </w:r>
            <w:r>
              <w:t>. Parent/guardians will complete the survey for child participants.</w:t>
            </w:r>
          </w:p>
          <w:p w:rsidR="006413E0" w:rsidP="009B31BB" w:rsidRDefault="0048523B" w14:paraId="2F1D1EE3" w14:textId="3B855FC4">
            <w:pPr>
              <w:pStyle w:val="ListParagraph"/>
              <w:numPr>
                <w:ilvl w:val="0"/>
                <w:numId w:val="17"/>
              </w:numPr>
              <w:spacing w:after="160" w:line="259" w:lineRule="auto"/>
            </w:pPr>
            <w:r>
              <w:t>Environmental samples will be collected from participants’ households within 90 days of blood collection</w:t>
            </w:r>
            <w:r w:rsidR="009F0280">
              <w:t xml:space="preserve"> (EPA and MDHHS)</w:t>
            </w:r>
            <w:r>
              <w:t>.</w:t>
            </w:r>
          </w:p>
          <w:p w:rsidRPr="006413E0" w:rsidR="006413E0" w:rsidP="006413E0" w:rsidRDefault="006C2E1C" w14:paraId="28F92D12" w14:textId="77777777">
            <w:pPr>
              <w:spacing w:after="160" w:line="259" w:lineRule="auto"/>
            </w:pPr>
            <w:r w:rsidRPr="006413E0">
              <w:rPr>
                <w:sz w:val="24"/>
                <w:szCs w:val="24"/>
                <w:u w:val="single"/>
              </w:rPr>
              <w:t>Analysis:</w:t>
            </w:r>
          </w:p>
          <w:p w:rsidR="006413E0" w:rsidP="009B31BB" w:rsidRDefault="006413E0" w14:paraId="5C599C98" w14:textId="7A42D3FE">
            <w:pPr>
              <w:pStyle w:val="ListParagraph"/>
              <w:numPr>
                <w:ilvl w:val="0"/>
                <w:numId w:val="18"/>
              </w:numPr>
              <w:spacing w:after="160" w:line="259" w:lineRule="auto"/>
            </w:pPr>
            <w:r>
              <w:t>Review environmental sampling data collected by state and federal partners from participating residents’ indoor and outdoor environments.</w:t>
            </w:r>
          </w:p>
          <w:p w:rsidRPr="00977D5F" w:rsidR="006C2E1C" w:rsidP="00437921" w:rsidRDefault="006413E0" w14:paraId="75BEFBEB" w14:textId="192F79D3">
            <w:pPr>
              <w:pStyle w:val="ListParagraph"/>
              <w:numPr>
                <w:ilvl w:val="0"/>
                <w:numId w:val="18"/>
              </w:numPr>
              <w:spacing w:after="160" w:line="259" w:lineRule="auto"/>
            </w:pPr>
            <w:r>
              <w:lastRenderedPageBreak/>
              <w:t xml:space="preserve">Evaluate lead levels in environmental samples and the association between environmental lead levels and BLLs. </w:t>
            </w:r>
          </w:p>
        </w:tc>
      </w:tr>
      <w:tr w:rsidR="00977D5F" w:rsidTr="00B50EEF" w14:paraId="2137007E" w14:textId="77777777">
        <w:tc>
          <w:tcPr>
            <w:tcW w:w="3168" w:type="dxa"/>
            <w:vAlign w:val="center"/>
          </w:tcPr>
          <w:p w:rsidR="00977D5F" w:rsidP="005A3D6B" w:rsidRDefault="00977D5F" w14:paraId="5C469050" w14:textId="77777777">
            <w:pPr>
              <w:rPr>
                <w:b/>
                <w:sz w:val="24"/>
                <w:szCs w:val="24"/>
              </w:rPr>
            </w:pPr>
            <w:r>
              <w:rPr>
                <w:b/>
                <w:sz w:val="24"/>
                <w:szCs w:val="24"/>
              </w:rPr>
              <w:lastRenderedPageBreak/>
              <w:t>Information Collection Mode (in-person or remote):</w:t>
            </w:r>
          </w:p>
        </w:tc>
        <w:tc>
          <w:tcPr>
            <w:tcW w:w="7128" w:type="dxa"/>
            <w:vAlign w:val="center"/>
          </w:tcPr>
          <w:p w:rsidRPr="00977D5F" w:rsidR="00977D5F" w:rsidP="005A3D6B" w:rsidRDefault="00F2140A" w14:paraId="1A1B37C3" w14:textId="6B25D137">
            <w:pPr>
              <w:rPr>
                <w:sz w:val="24"/>
                <w:szCs w:val="24"/>
              </w:rPr>
            </w:pPr>
            <w:r>
              <w:rPr>
                <w:sz w:val="24"/>
                <w:szCs w:val="24"/>
              </w:rPr>
              <w:t>In-person</w:t>
            </w:r>
          </w:p>
        </w:tc>
      </w:tr>
      <w:tr w:rsidR="00977D5F" w:rsidTr="00B50EEF" w14:paraId="28E34C50" w14:textId="77777777">
        <w:tc>
          <w:tcPr>
            <w:tcW w:w="3168" w:type="dxa"/>
            <w:vAlign w:val="center"/>
          </w:tcPr>
          <w:p w:rsidR="00977D5F" w:rsidP="005A3D6B" w:rsidRDefault="00977D5F" w14:paraId="561AB4A5" w14:textId="77777777">
            <w:pPr>
              <w:rPr>
                <w:b/>
                <w:sz w:val="24"/>
                <w:szCs w:val="24"/>
              </w:rPr>
            </w:pPr>
            <w:r>
              <w:rPr>
                <w:b/>
                <w:sz w:val="24"/>
                <w:szCs w:val="24"/>
              </w:rPr>
              <w:t>Plans for Payment to Participant (if applicable):</w:t>
            </w:r>
          </w:p>
        </w:tc>
        <w:tc>
          <w:tcPr>
            <w:tcW w:w="7128" w:type="dxa"/>
            <w:vAlign w:val="center"/>
          </w:tcPr>
          <w:p w:rsidRPr="00977D5F" w:rsidR="00977D5F" w:rsidP="00D139E6" w:rsidRDefault="00BF0FA4" w14:paraId="5990F3BC" w14:textId="11BCC8EE">
            <w:pPr>
              <w:spacing w:after="160" w:line="259" w:lineRule="auto"/>
              <w:rPr>
                <w:sz w:val="24"/>
                <w:szCs w:val="24"/>
              </w:rPr>
            </w:pPr>
            <w:r w:rsidRPr="005974DF">
              <w:rPr>
                <w:sz w:val="24"/>
                <w:szCs w:val="24"/>
              </w:rPr>
              <w:t xml:space="preserve">A </w:t>
            </w:r>
            <w:r w:rsidRPr="00823567">
              <w:rPr>
                <w:sz w:val="24"/>
                <w:szCs w:val="24"/>
              </w:rPr>
              <w:t xml:space="preserve">$20 token of appreciation in the form of a gift card will be provided to each eligible participant. </w:t>
            </w:r>
            <w:r w:rsidR="00051C83">
              <w:rPr>
                <w:sz w:val="24"/>
                <w:szCs w:val="24"/>
              </w:rPr>
              <w:t>Eligible p</w:t>
            </w:r>
            <w:r w:rsidRPr="00823567">
              <w:rPr>
                <w:sz w:val="24"/>
                <w:szCs w:val="24"/>
              </w:rPr>
              <w:t xml:space="preserve">articipants will receive the gift card at the time of blood draw. </w:t>
            </w:r>
          </w:p>
        </w:tc>
      </w:tr>
      <w:tr w:rsidR="00774323" w:rsidTr="00B50EEF" w14:paraId="4A72A30E" w14:textId="77777777">
        <w:tc>
          <w:tcPr>
            <w:tcW w:w="3168" w:type="dxa"/>
            <w:vAlign w:val="center"/>
          </w:tcPr>
          <w:p w:rsidR="00774323" w:rsidP="00774323" w:rsidRDefault="00774323" w14:paraId="32F36ACF" w14:textId="77777777">
            <w:pPr>
              <w:rPr>
                <w:b/>
                <w:sz w:val="24"/>
                <w:szCs w:val="24"/>
              </w:rPr>
            </w:pPr>
            <w:r>
              <w:rPr>
                <w:b/>
                <w:sz w:val="24"/>
                <w:szCs w:val="24"/>
              </w:rPr>
              <w:t>Privacy Protections:</w:t>
            </w:r>
          </w:p>
        </w:tc>
        <w:tc>
          <w:tcPr>
            <w:tcW w:w="7128" w:type="dxa"/>
            <w:vAlign w:val="center"/>
          </w:tcPr>
          <w:p w:rsidRPr="00977D5F" w:rsidR="00774323" w:rsidP="00774323" w:rsidRDefault="00774323" w14:paraId="3F55678F" w14:textId="51028E8A">
            <w:pPr>
              <w:rPr>
                <w:sz w:val="24"/>
                <w:szCs w:val="24"/>
              </w:rPr>
            </w:pPr>
            <w:r w:rsidRPr="008737DB">
              <w:rPr>
                <w:rFonts w:cstheme="minorHAnsi"/>
                <w:sz w:val="24"/>
                <w:szCs w:val="24"/>
              </w:rPr>
              <w:t xml:space="preserve">Privacy will be </w:t>
            </w:r>
            <w:proofErr w:type="gramStart"/>
            <w:r w:rsidRPr="008737DB">
              <w:rPr>
                <w:rFonts w:cstheme="minorHAnsi"/>
                <w:sz w:val="24"/>
                <w:szCs w:val="24"/>
              </w:rPr>
              <w:t>protected to the fullest extent</w:t>
            </w:r>
            <w:proofErr w:type="gramEnd"/>
            <w:r w:rsidRPr="008737DB">
              <w:rPr>
                <w:rFonts w:cstheme="minorHAnsi"/>
                <w:sz w:val="24"/>
                <w:szCs w:val="24"/>
              </w:rPr>
              <w:t xml:space="preserve"> allowable by law.  The consent forms contain information about privacy protections.</w:t>
            </w:r>
          </w:p>
        </w:tc>
      </w:tr>
      <w:tr w:rsidR="00EE7287" w:rsidTr="00B50EEF" w14:paraId="05FCBEF8" w14:textId="77777777">
        <w:tc>
          <w:tcPr>
            <w:tcW w:w="3168" w:type="dxa"/>
            <w:vAlign w:val="center"/>
          </w:tcPr>
          <w:p w:rsidR="00EE7287" w:rsidP="00EE7287" w:rsidRDefault="00EE7287" w14:paraId="2AE61C37" w14:textId="77777777">
            <w:pPr>
              <w:rPr>
                <w:b/>
                <w:sz w:val="24"/>
                <w:szCs w:val="24"/>
              </w:rPr>
            </w:pPr>
            <w:r>
              <w:rPr>
                <w:b/>
                <w:sz w:val="24"/>
                <w:szCs w:val="24"/>
              </w:rPr>
              <w:t>Other Ethical Concerns/Issues:</w:t>
            </w:r>
          </w:p>
        </w:tc>
        <w:tc>
          <w:tcPr>
            <w:tcW w:w="7128" w:type="dxa"/>
          </w:tcPr>
          <w:p w:rsidRPr="00977D5F" w:rsidR="00EE7287" w:rsidP="00EE7287" w:rsidRDefault="00EE7287" w14:paraId="58D5326F" w14:textId="14022224">
            <w:pPr>
              <w:rPr>
                <w:sz w:val="24"/>
                <w:szCs w:val="24"/>
              </w:rPr>
            </w:pPr>
            <w:r w:rsidRPr="008737DB">
              <w:rPr>
                <w:rFonts w:cstheme="minorHAnsi"/>
                <w:sz w:val="24"/>
                <w:szCs w:val="24"/>
              </w:rPr>
              <w:t>Blood will be drawn from children and adults, which may cause some fear and discomfort for the participants.</w:t>
            </w:r>
          </w:p>
        </w:tc>
      </w:tr>
      <w:tr w:rsidR="00EE7287" w:rsidTr="00B50EEF" w14:paraId="666E3F5C" w14:textId="77777777">
        <w:tc>
          <w:tcPr>
            <w:tcW w:w="3168" w:type="dxa"/>
            <w:vAlign w:val="center"/>
          </w:tcPr>
          <w:p w:rsidR="00EE7287" w:rsidP="00EE7287" w:rsidRDefault="00EE7287" w14:paraId="4C36E01F" w14:textId="77777777">
            <w:pPr>
              <w:rPr>
                <w:b/>
                <w:sz w:val="24"/>
                <w:szCs w:val="24"/>
              </w:rPr>
            </w:pPr>
            <w:r>
              <w:rPr>
                <w:b/>
                <w:sz w:val="24"/>
                <w:szCs w:val="24"/>
              </w:rPr>
              <w:t>Projected Time Frame:</w:t>
            </w:r>
          </w:p>
        </w:tc>
        <w:tc>
          <w:tcPr>
            <w:tcW w:w="7128" w:type="dxa"/>
          </w:tcPr>
          <w:p w:rsidR="00B63E5D" w:rsidP="00B63E5D" w:rsidRDefault="00B63E5D" w14:paraId="04385CED" w14:textId="3041078B">
            <w:pPr>
              <w:pStyle w:val="ListParagraph"/>
              <w:numPr>
                <w:ilvl w:val="0"/>
                <w:numId w:val="9"/>
              </w:numPr>
              <w:rPr>
                <w:rFonts w:cstheme="minorHAnsi"/>
                <w:sz w:val="24"/>
                <w:szCs w:val="24"/>
              </w:rPr>
            </w:pPr>
            <w:r w:rsidRPr="008737DB">
              <w:rPr>
                <w:rFonts w:cstheme="minorHAnsi"/>
                <w:sz w:val="24"/>
                <w:szCs w:val="24"/>
              </w:rPr>
              <w:t>The</w:t>
            </w:r>
            <w:r w:rsidR="00BC6BC6">
              <w:rPr>
                <w:rFonts w:cstheme="minorHAnsi"/>
                <w:sz w:val="24"/>
                <w:szCs w:val="24"/>
              </w:rPr>
              <w:t xml:space="preserve"> blood collection of the</w:t>
            </w:r>
            <w:r w:rsidRPr="008737DB">
              <w:rPr>
                <w:rFonts w:cstheme="minorHAnsi"/>
                <w:sz w:val="24"/>
                <w:szCs w:val="24"/>
              </w:rPr>
              <w:t xml:space="preserve"> EI will be conducted over a period of </w:t>
            </w:r>
            <w:r w:rsidR="00DD6495">
              <w:rPr>
                <w:rFonts w:cstheme="minorHAnsi"/>
                <w:sz w:val="24"/>
                <w:szCs w:val="24"/>
              </w:rPr>
              <w:t>2 weeks</w:t>
            </w:r>
            <w:r w:rsidR="00DC249F">
              <w:rPr>
                <w:rFonts w:cstheme="minorHAnsi"/>
                <w:sz w:val="24"/>
                <w:szCs w:val="24"/>
              </w:rPr>
              <w:t xml:space="preserve"> in the summer </w:t>
            </w:r>
            <w:r w:rsidRPr="008737DB">
              <w:rPr>
                <w:rFonts w:cstheme="minorHAnsi"/>
                <w:sz w:val="24"/>
                <w:szCs w:val="24"/>
              </w:rPr>
              <w:t>of 20</w:t>
            </w:r>
            <w:r w:rsidR="00DC249F">
              <w:rPr>
                <w:rFonts w:cstheme="minorHAnsi"/>
                <w:sz w:val="24"/>
                <w:szCs w:val="24"/>
              </w:rPr>
              <w:t>22</w:t>
            </w:r>
            <w:r w:rsidRPr="008737DB">
              <w:rPr>
                <w:rFonts w:cstheme="minorHAnsi"/>
                <w:sz w:val="24"/>
                <w:szCs w:val="24"/>
              </w:rPr>
              <w:t>.</w:t>
            </w:r>
            <w:r w:rsidR="00BC6BC6">
              <w:rPr>
                <w:rFonts w:cstheme="minorHAnsi"/>
                <w:sz w:val="24"/>
                <w:szCs w:val="24"/>
              </w:rPr>
              <w:t xml:space="preserve"> The </w:t>
            </w:r>
            <w:r w:rsidR="007C6C22">
              <w:rPr>
                <w:rFonts w:cstheme="minorHAnsi"/>
                <w:sz w:val="24"/>
                <w:szCs w:val="24"/>
              </w:rPr>
              <w:t>environmental sampling will occur within 90 days of blood collection</w:t>
            </w:r>
            <w:r w:rsidR="0034663C">
              <w:rPr>
                <w:rFonts w:cstheme="minorHAnsi"/>
                <w:sz w:val="24"/>
                <w:szCs w:val="24"/>
              </w:rPr>
              <w:t>.</w:t>
            </w:r>
            <w:r w:rsidR="002509C0">
              <w:rPr>
                <w:rFonts w:cstheme="minorHAnsi"/>
                <w:sz w:val="24"/>
                <w:szCs w:val="24"/>
              </w:rPr>
              <w:t xml:space="preserve"> At minimum</w:t>
            </w:r>
            <w:r w:rsidR="005D105A">
              <w:rPr>
                <w:rFonts w:cstheme="minorHAnsi"/>
                <w:sz w:val="24"/>
                <w:szCs w:val="24"/>
              </w:rPr>
              <w:t>, t</w:t>
            </w:r>
            <w:r w:rsidR="007055E9">
              <w:rPr>
                <w:rFonts w:cstheme="minorHAnsi"/>
                <w:sz w:val="24"/>
                <w:szCs w:val="24"/>
              </w:rPr>
              <w:t xml:space="preserve">hree sampling events </w:t>
            </w:r>
            <w:r w:rsidR="00437921">
              <w:rPr>
                <w:rFonts w:cstheme="minorHAnsi"/>
                <w:sz w:val="24"/>
                <w:szCs w:val="24"/>
              </w:rPr>
              <w:t>will</w:t>
            </w:r>
            <w:r w:rsidR="007055E9">
              <w:rPr>
                <w:rFonts w:cstheme="minorHAnsi"/>
                <w:sz w:val="24"/>
                <w:szCs w:val="24"/>
              </w:rPr>
              <w:t xml:space="preserve"> occur on different days</w:t>
            </w:r>
            <w:r w:rsidR="00F46E19">
              <w:rPr>
                <w:rFonts w:cstheme="minorHAnsi"/>
                <w:sz w:val="24"/>
                <w:szCs w:val="24"/>
              </w:rPr>
              <w:t>:</w:t>
            </w:r>
            <w:r w:rsidRPr="008737DB">
              <w:rPr>
                <w:rFonts w:cstheme="minorHAnsi"/>
                <w:sz w:val="24"/>
                <w:szCs w:val="24"/>
              </w:rPr>
              <w:t xml:space="preserve"> </w:t>
            </w:r>
            <w:r w:rsidR="00757E63">
              <w:rPr>
                <w:rFonts w:cstheme="minorHAnsi"/>
                <w:sz w:val="24"/>
                <w:szCs w:val="24"/>
              </w:rPr>
              <w:t xml:space="preserve">30 minutes for </w:t>
            </w:r>
            <w:r w:rsidRPr="008737DB">
              <w:rPr>
                <w:rFonts w:cstheme="minorHAnsi"/>
                <w:sz w:val="24"/>
                <w:szCs w:val="24"/>
              </w:rPr>
              <w:t>the questionnaire</w:t>
            </w:r>
            <w:r w:rsidR="009F0280">
              <w:rPr>
                <w:rFonts w:cstheme="minorHAnsi"/>
                <w:sz w:val="24"/>
                <w:szCs w:val="24"/>
              </w:rPr>
              <w:t xml:space="preserve"> and </w:t>
            </w:r>
            <w:r w:rsidRPr="008737DB">
              <w:rPr>
                <w:rFonts w:cstheme="minorHAnsi"/>
                <w:sz w:val="24"/>
                <w:szCs w:val="24"/>
              </w:rPr>
              <w:t>blood draw</w:t>
            </w:r>
            <w:r w:rsidR="005D105A">
              <w:rPr>
                <w:rFonts w:cstheme="minorHAnsi"/>
                <w:sz w:val="24"/>
                <w:szCs w:val="24"/>
              </w:rPr>
              <w:t xml:space="preserve"> by ATSDR</w:t>
            </w:r>
            <w:r w:rsidR="00F46E19">
              <w:rPr>
                <w:rFonts w:cstheme="minorHAnsi"/>
                <w:sz w:val="24"/>
                <w:szCs w:val="24"/>
              </w:rPr>
              <w:t>; 3</w:t>
            </w:r>
            <w:r w:rsidR="0034663C">
              <w:rPr>
                <w:rFonts w:cstheme="minorHAnsi"/>
                <w:sz w:val="24"/>
                <w:szCs w:val="24"/>
              </w:rPr>
              <w:t>5</w:t>
            </w:r>
            <w:r w:rsidR="00F46E19">
              <w:rPr>
                <w:rFonts w:cstheme="minorHAnsi"/>
                <w:sz w:val="24"/>
                <w:szCs w:val="24"/>
              </w:rPr>
              <w:t xml:space="preserve"> minutes for indoor </w:t>
            </w:r>
            <w:r w:rsidR="00A829E7">
              <w:rPr>
                <w:rFonts w:cstheme="minorHAnsi"/>
                <w:sz w:val="24"/>
                <w:szCs w:val="24"/>
              </w:rPr>
              <w:t xml:space="preserve">paint, </w:t>
            </w:r>
            <w:r w:rsidR="00F46E19">
              <w:rPr>
                <w:rFonts w:cstheme="minorHAnsi"/>
                <w:sz w:val="24"/>
                <w:szCs w:val="24"/>
              </w:rPr>
              <w:t>dust</w:t>
            </w:r>
            <w:r w:rsidR="00A829E7">
              <w:rPr>
                <w:rFonts w:cstheme="minorHAnsi"/>
                <w:sz w:val="24"/>
                <w:szCs w:val="24"/>
              </w:rPr>
              <w:t>,</w:t>
            </w:r>
            <w:r w:rsidR="00F46E19">
              <w:rPr>
                <w:rFonts w:cstheme="minorHAnsi"/>
                <w:sz w:val="24"/>
                <w:szCs w:val="24"/>
              </w:rPr>
              <w:t xml:space="preserve"> and </w:t>
            </w:r>
            <w:r w:rsidR="002A753A">
              <w:rPr>
                <w:rFonts w:cstheme="minorHAnsi"/>
                <w:sz w:val="24"/>
                <w:szCs w:val="24"/>
              </w:rPr>
              <w:t xml:space="preserve">public </w:t>
            </w:r>
            <w:r w:rsidR="00F46E19">
              <w:rPr>
                <w:rFonts w:cstheme="minorHAnsi"/>
                <w:sz w:val="24"/>
                <w:szCs w:val="24"/>
              </w:rPr>
              <w:t>water sampling</w:t>
            </w:r>
            <w:r w:rsidR="005D105A">
              <w:rPr>
                <w:rFonts w:cstheme="minorHAnsi"/>
                <w:sz w:val="24"/>
                <w:szCs w:val="24"/>
              </w:rPr>
              <w:t xml:space="preserve"> by MDHHS</w:t>
            </w:r>
            <w:r w:rsidR="00F46E19">
              <w:rPr>
                <w:rFonts w:cstheme="minorHAnsi"/>
                <w:sz w:val="24"/>
                <w:szCs w:val="24"/>
              </w:rPr>
              <w:t xml:space="preserve">; </w:t>
            </w:r>
            <w:r w:rsidR="005D105A">
              <w:rPr>
                <w:rFonts w:cstheme="minorHAnsi"/>
                <w:sz w:val="24"/>
                <w:szCs w:val="24"/>
              </w:rPr>
              <w:t xml:space="preserve">and </w:t>
            </w:r>
            <w:r w:rsidR="0034663C">
              <w:rPr>
                <w:rFonts w:cstheme="minorHAnsi"/>
                <w:sz w:val="24"/>
                <w:szCs w:val="24"/>
              </w:rPr>
              <w:t>25</w:t>
            </w:r>
            <w:r w:rsidR="00F46E19">
              <w:rPr>
                <w:rFonts w:cstheme="minorHAnsi"/>
                <w:sz w:val="24"/>
                <w:szCs w:val="24"/>
              </w:rPr>
              <w:t xml:space="preserve"> min for outdoor dust and </w:t>
            </w:r>
            <w:r w:rsidR="002A753A">
              <w:rPr>
                <w:rFonts w:cstheme="minorHAnsi"/>
                <w:sz w:val="24"/>
                <w:szCs w:val="24"/>
              </w:rPr>
              <w:t xml:space="preserve">private </w:t>
            </w:r>
            <w:r w:rsidR="00F46E19">
              <w:rPr>
                <w:rFonts w:cstheme="minorHAnsi"/>
                <w:sz w:val="24"/>
                <w:szCs w:val="24"/>
              </w:rPr>
              <w:t xml:space="preserve">water </w:t>
            </w:r>
            <w:r w:rsidR="002A753A">
              <w:rPr>
                <w:rFonts w:cstheme="minorHAnsi"/>
                <w:sz w:val="24"/>
                <w:szCs w:val="24"/>
              </w:rPr>
              <w:t>sampling</w:t>
            </w:r>
            <w:r w:rsidR="005D105A">
              <w:rPr>
                <w:rFonts w:cstheme="minorHAnsi"/>
                <w:sz w:val="24"/>
                <w:szCs w:val="24"/>
              </w:rPr>
              <w:t xml:space="preserve"> by EPA</w:t>
            </w:r>
            <w:r w:rsidRPr="008737DB">
              <w:rPr>
                <w:rFonts w:cstheme="minorHAnsi"/>
                <w:sz w:val="24"/>
                <w:szCs w:val="24"/>
              </w:rPr>
              <w:t>.</w:t>
            </w:r>
          </w:p>
          <w:p w:rsidR="00FB694B" w:rsidP="00B63E5D" w:rsidRDefault="00FB694B" w14:paraId="1A0C81D8" w14:textId="41EDB490">
            <w:pPr>
              <w:pStyle w:val="ListParagraph"/>
              <w:numPr>
                <w:ilvl w:val="0"/>
                <w:numId w:val="9"/>
              </w:numPr>
              <w:rPr>
                <w:rFonts w:cstheme="minorHAnsi"/>
                <w:sz w:val="24"/>
                <w:szCs w:val="24"/>
              </w:rPr>
            </w:pPr>
            <w:r w:rsidRPr="00FB694B">
              <w:rPr>
                <w:rFonts w:cstheme="minorHAnsi"/>
                <w:sz w:val="24"/>
                <w:szCs w:val="24"/>
              </w:rPr>
              <w:t>The</w:t>
            </w:r>
            <w:r w:rsidR="00B648F7">
              <w:rPr>
                <w:rFonts w:cstheme="minorHAnsi"/>
                <w:sz w:val="24"/>
                <w:szCs w:val="24"/>
              </w:rPr>
              <w:t xml:space="preserve">re </w:t>
            </w:r>
            <w:r w:rsidR="00923CF4">
              <w:rPr>
                <w:rFonts w:cstheme="minorHAnsi"/>
                <w:sz w:val="24"/>
                <w:szCs w:val="24"/>
              </w:rPr>
              <w:t>is</w:t>
            </w:r>
            <w:r w:rsidR="00B648F7">
              <w:rPr>
                <w:rFonts w:cstheme="minorHAnsi"/>
                <w:sz w:val="24"/>
                <w:szCs w:val="24"/>
              </w:rPr>
              <w:t xml:space="preserve"> </w:t>
            </w:r>
            <w:r w:rsidR="003526E8">
              <w:rPr>
                <w:rFonts w:cstheme="minorHAnsi"/>
                <w:sz w:val="24"/>
                <w:szCs w:val="24"/>
              </w:rPr>
              <w:t xml:space="preserve">a maximum of </w:t>
            </w:r>
            <w:r w:rsidR="000F0F13">
              <w:rPr>
                <w:rFonts w:cstheme="minorHAnsi"/>
                <w:sz w:val="24"/>
                <w:szCs w:val="24"/>
              </w:rPr>
              <w:t>4</w:t>
            </w:r>
            <w:r w:rsidR="00006ABF">
              <w:rPr>
                <w:rFonts w:cstheme="minorHAnsi"/>
                <w:sz w:val="24"/>
                <w:szCs w:val="24"/>
              </w:rPr>
              <w:t>26</w:t>
            </w:r>
            <w:r w:rsidR="000F0F13">
              <w:rPr>
                <w:rFonts w:cstheme="minorHAnsi"/>
                <w:sz w:val="24"/>
                <w:szCs w:val="24"/>
              </w:rPr>
              <w:t xml:space="preserve"> </w:t>
            </w:r>
            <w:r w:rsidR="00B648F7">
              <w:rPr>
                <w:rFonts w:cstheme="minorHAnsi"/>
                <w:sz w:val="24"/>
                <w:szCs w:val="24"/>
              </w:rPr>
              <w:t xml:space="preserve">total </w:t>
            </w:r>
            <w:r w:rsidRPr="00FB694B">
              <w:rPr>
                <w:rFonts w:cstheme="minorHAnsi"/>
                <w:sz w:val="24"/>
                <w:szCs w:val="24"/>
              </w:rPr>
              <w:t xml:space="preserve">estimated burden hours </w:t>
            </w:r>
            <w:proofErr w:type="gramStart"/>
            <w:r w:rsidRPr="00FB694B">
              <w:rPr>
                <w:rFonts w:cstheme="minorHAnsi"/>
                <w:sz w:val="24"/>
                <w:szCs w:val="24"/>
              </w:rPr>
              <w:t>assuming that</w:t>
            </w:r>
            <w:proofErr w:type="gramEnd"/>
            <w:r w:rsidR="00DD5237">
              <w:rPr>
                <w:rFonts w:cstheme="minorHAnsi"/>
                <w:sz w:val="24"/>
                <w:szCs w:val="24"/>
              </w:rPr>
              <w:t xml:space="preserve"> all 300 participants</w:t>
            </w:r>
            <w:r w:rsidRPr="00FB694B">
              <w:rPr>
                <w:rFonts w:cstheme="minorHAnsi"/>
                <w:sz w:val="24"/>
                <w:szCs w:val="24"/>
              </w:rPr>
              <w:t xml:space="preserve"> will have a separate sampling event for indoor dust</w:t>
            </w:r>
            <w:r w:rsidR="00C1158D">
              <w:rPr>
                <w:rFonts w:cstheme="minorHAnsi"/>
                <w:sz w:val="24"/>
                <w:szCs w:val="24"/>
              </w:rPr>
              <w:t xml:space="preserve"> with public water</w:t>
            </w:r>
            <w:r w:rsidRPr="00FB694B">
              <w:rPr>
                <w:rFonts w:cstheme="minorHAnsi"/>
                <w:sz w:val="24"/>
                <w:szCs w:val="24"/>
              </w:rPr>
              <w:t xml:space="preserve"> and outdoor soil</w:t>
            </w:r>
            <w:r w:rsidR="00C1158D">
              <w:rPr>
                <w:rFonts w:cstheme="minorHAnsi"/>
                <w:sz w:val="24"/>
                <w:szCs w:val="24"/>
              </w:rPr>
              <w:t xml:space="preserve"> with private water</w:t>
            </w:r>
            <w:r w:rsidRPr="00FB694B">
              <w:rPr>
                <w:rFonts w:cstheme="minorHAnsi"/>
                <w:sz w:val="24"/>
                <w:szCs w:val="24"/>
              </w:rPr>
              <w:t>.</w:t>
            </w:r>
            <w:r w:rsidR="000F0F13">
              <w:rPr>
                <w:rFonts w:cstheme="minorHAnsi"/>
                <w:sz w:val="24"/>
                <w:szCs w:val="24"/>
              </w:rPr>
              <w:t xml:space="preserve"> </w:t>
            </w:r>
            <w:r w:rsidRPr="00FB694B">
              <w:rPr>
                <w:rFonts w:cstheme="minorHAnsi"/>
                <w:sz w:val="24"/>
                <w:szCs w:val="24"/>
              </w:rPr>
              <w:t xml:space="preserve">The total </w:t>
            </w:r>
            <w:r w:rsidR="009920F1">
              <w:rPr>
                <w:rFonts w:cstheme="minorHAnsi"/>
                <w:sz w:val="24"/>
                <w:szCs w:val="24"/>
              </w:rPr>
              <w:t xml:space="preserve">burden </w:t>
            </w:r>
            <w:r w:rsidRPr="00FB694B">
              <w:rPr>
                <w:rFonts w:cstheme="minorHAnsi"/>
                <w:sz w:val="24"/>
                <w:szCs w:val="24"/>
              </w:rPr>
              <w:t>will likely be less than 4</w:t>
            </w:r>
            <w:r w:rsidR="00006ABF">
              <w:rPr>
                <w:rFonts w:cstheme="minorHAnsi"/>
                <w:sz w:val="24"/>
                <w:szCs w:val="24"/>
              </w:rPr>
              <w:t>26</w:t>
            </w:r>
            <w:r w:rsidRPr="00FB694B">
              <w:rPr>
                <w:rFonts w:cstheme="minorHAnsi"/>
                <w:sz w:val="24"/>
                <w:szCs w:val="24"/>
              </w:rPr>
              <w:t xml:space="preserve"> due to some homes containing multiple participants that will not each require separate environmental samples.</w:t>
            </w:r>
          </w:p>
          <w:p w:rsidR="003632F0" w:rsidP="00B63E5D" w:rsidRDefault="003632F0" w14:paraId="5415CED7" w14:textId="2490F426">
            <w:pPr>
              <w:pStyle w:val="ListParagraph"/>
              <w:numPr>
                <w:ilvl w:val="0"/>
                <w:numId w:val="9"/>
              </w:numPr>
              <w:rPr>
                <w:rFonts w:cstheme="minorHAnsi"/>
                <w:sz w:val="24"/>
                <w:szCs w:val="24"/>
              </w:rPr>
            </w:pPr>
            <w:r>
              <w:rPr>
                <w:rFonts w:cstheme="minorHAnsi"/>
                <w:sz w:val="24"/>
                <w:szCs w:val="24"/>
              </w:rPr>
              <w:t xml:space="preserve">Blood samples will be </w:t>
            </w:r>
            <w:r w:rsidR="00A91F01">
              <w:rPr>
                <w:rFonts w:cstheme="minorHAnsi"/>
                <w:sz w:val="24"/>
                <w:szCs w:val="24"/>
              </w:rPr>
              <w:t xml:space="preserve">collected and </w:t>
            </w:r>
            <w:r>
              <w:rPr>
                <w:rFonts w:cstheme="minorHAnsi"/>
                <w:sz w:val="24"/>
                <w:szCs w:val="24"/>
              </w:rPr>
              <w:t>shipped</w:t>
            </w:r>
            <w:r w:rsidR="00C1158D">
              <w:rPr>
                <w:rFonts w:cstheme="minorHAnsi"/>
                <w:sz w:val="24"/>
                <w:szCs w:val="24"/>
              </w:rPr>
              <w:t xml:space="preserve"> by ATSDR</w:t>
            </w:r>
            <w:r w:rsidR="00A91F01">
              <w:rPr>
                <w:rFonts w:cstheme="minorHAnsi"/>
                <w:sz w:val="24"/>
                <w:szCs w:val="24"/>
              </w:rPr>
              <w:t xml:space="preserve"> to DLS</w:t>
            </w:r>
            <w:r>
              <w:rPr>
                <w:rFonts w:cstheme="minorHAnsi"/>
                <w:sz w:val="24"/>
                <w:szCs w:val="24"/>
              </w:rPr>
              <w:t xml:space="preserve"> for analysis after the conclusion of the 2-week EI. Analysis of sample</w:t>
            </w:r>
            <w:r w:rsidR="00A91F01">
              <w:rPr>
                <w:rFonts w:cstheme="minorHAnsi"/>
                <w:sz w:val="24"/>
                <w:szCs w:val="24"/>
              </w:rPr>
              <w:t xml:space="preserve">s </w:t>
            </w:r>
            <w:r>
              <w:rPr>
                <w:rFonts w:cstheme="minorHAnsi"/>
                <w:sz w:val="24"/>
                <w:szCs w:val="24"/>
              </w:rPr>
              <w:t>will take approximately 6 weeks.</w:t>
            </w:r>
          </w:p>
          <w:p w:rsidR="003632F0" w:rsidP="00B63E5D" w:rsidRDefault="003632F0" w14:paraId="47313AE6" w14:textId="75FCD4A8">
            <w:pPr>
              <w:pStyle w:val="ListParagraph"/>
              <w:numPr>
                <w:ilvl w:val="0"/>
                <w:numId w:val="9"/>
              </w:numPr>
              <w:rPr>
                <w:rFonts w:cstheme="minorHAnsi"/>
                <w:sz w:val="24"/>
                <w:szCs w:val="24"/>
              </w:rPr>
            </w:pPr>
            <w:r>
              <w:rPr>
                <w:rFonts w:cstheme="minorHAnsi"/>
                <w:sz w:val="24"/>
                <w:szCs w:val="24"/>
              </w:rPr>
              <w:t xml:space="preserve">Indoor </w:t>
            </w:r>
            <w:r w:rsidR="00A91F01">
              <w:rPr>
                <w:rFonts w:cstheme="minorHAnsi"/>
                <w:sz w:val="24"/>
                <w:szCs w:val="24"/>
              </w:rPr>
              <w:t>and outdoor lead paint, dust, and public water</w:t>
            </w:r>
            <w:r>
              <w:rPr>
                <w:rFonts w:cstheme="minorHAnsi"/>
                <w:sz w:val="24"/>
                <w:szCs w:val="24"/>
              </w:rPr>
              <w:t xml:space="preserve"> </w:t>
            </w:r>
            <w:r w:rsidR="00A91F01">
              <w:rPr>
                <w:rFonts w:cstheme="minorHAnsi"/>
                <w:sz w:val="24"/>
                <w:szCs w:val="24"/>
              </w:rPr>
              <w:t xml:space="preserve">samples </w:t>
            </w:r>
            <w:r>
              <w:rPr>
                <w:rFonts w:cstheme="minorHAnsi"/>
                <w:sz w:val="24"/>
                <w:szCs w:val="24"/>
              </w:rPr>
              <w:t xml:space="preserve">will be </w:t>
            </w:r>
            <w:r w:rsidR="00A91F01">
              <w:rPr>
                <w:rFonts w:cstheme="minorHAnsi"/>
                <w:sz w:val="24"/>
                <w:szCs w:val="24"/>
              </w:rPr>
              <w:t xml:space="preserve">collected and </w:t>
            </w:r>
            <w:r>
              <w:rPr>
                <w:rFonts w:cstheme="minorHAnsi"/>
                <w:sz w:val="24"/>
                <w:szCs w:val="24"/>
              </w:rPr>
              <w:t xml:space="preserve">analyzed in </w:t>
            </w:r>
            <w:r w:rsidR="00C1158D">
              <w:rPr>
                <w:rFonts w:cstheme="minorHAnsi"/>
                <w:sz w:val="24"/>
                <w:szCs w:val="24"/>
              </w:rPr>
              <w:t>batches</w:t>
            </w:r>
            <w:r>
              <w:rPr>
                <w:rFonts w:cstheme="minorHAnsi"/>
                <w:sz w:val="24"/>
                <w:szCs w:val="24"/>
              </w:rPr>
              <w:t xml:space="preserve"> </w:t>
            </w:r>
            <w:r w:rsidR="00A91F01">
              <w:rPr>
                <w:rFonts w:cstheme="minorHAnsi"/>
                <w:sz w:val="24"/>
                <w:szCs w:val="24"/>
              </w:rPr>
              <w:t>by MDHHS</w:t>
            </w:r>
            <w:r w:rsidR="00C1158D">
              <w:rPr>
                <w:rFonts w:cstheme="minorHAnsi"/>
                <w:sz w:val="24"/>
                <w:szCs w:val="24"/>
              </w:rPr>
              <w:t>. All samples will be analyzed within</w:t>
            </w:r>
            <w:r w:rsidR="00A91F01">
              <w:rPr>
                <w:rFonts w:cstheme="minorHAnsi"/>
                <w:sz w:val="24"/>
                <w:szCs w:val="24"/>
              </w:rPr>
              <w:t xml:space="preserve"> 4-6 weeks after collection.</w:t>
            </w:r>
          </w:p>
          <w:p w:rsidRPr="008737DB" w:rsidR="00A91F01" w:rsidP="00B63E5D" w:rsidRDefault="00A91F01" w14:paraId="7EDB2E55" w14:textId="4B7825DF">
            <w:pPr>
              <w:pStyle w:val="ListParagraph"/>
              <w:numPr>
                <w:ilvl w:val="0"/>
                <w:numId w:val="9"/>
              </w:numPr>
              <w:rPr>
                <w:rFonts w:cstheme="minorHAnsi"/>
                <w:sz w:val="24"/>
                <w:szCs w:val="24"/>
              </w:rPr>
            </w:pPr>
            <w:r>
              <w:rPr>
                <w:rFonts w:cstheme="minorHAnsi"/>
                <w:sz w:val="24"/>
                <w:szCs w:val="24"/>
              </w:rPr>
              <w:t xml:space="preserve">Exterior soil, and private water samples will be collected and analyzed by EPA. </w:t>
            </w:r>
            <w:r w:rsidR="00C1158D">
              <w:rPr>
                <w:rFonts w:cstheme="minorHAnsi"/>
                <w:sz w:val="24"/>
                <w:szCs w:val="24"/>
              </w:rPr>
              <w:t>All s</w:t>
            </w:r>
            <w:r>
              <w:rPr>
                <w:rFonts w:cstheme="minorHAnsi"/>
                <w:sz w:val="24"/>
                <w:szCs w:val="24"/>
              </w:rPr>
              <w:t>ample</w:t>
            </w:r>
            <w:r w:rsidR="00C1158D">
              <w:rPr>
                <w:rFonts w:cstheme="minorHAnsi"/>
                <w:sz w:val="24"/>
                <w:szCs w:val="24"/>
              </w:rPr>
              <w:t xml:space="preserve">s will be analyzed </w:t>
            </w:r>
            <w:r>
              <w:rPr>
                <w:rFonts w:cstheme="minorHAnsi"/>
                <w:sz w:val="24"/>
                <w:szCs w:val="24"/>
              </w:rPr>
              <w:t xml:space="preserve">within 4-6 weeks </w:t>
            </w:r>
            <w:r w:rsidR="00C1158D">
              <w:rPr>
                <w:rFonts w:cstheme="minorHAnsi"/>
                <w:sz w:val="24"/>
                <w:szCs w:val="24"/>
              </w:rPr>
              <w:t>after collection.</w:t>
            </w:r>
            <w:r>
              <w:rPr>
                <w:rFonts w:cstheme="minorHAnsi"/>
                <w:sz w:val="24"/>
                <w:szCs w:val="24"/>
              </w:rPr>
              <w:t xml:space="preserve"> </w:t>
            </w:r>
          </w:p>
          <w:p w:rsidR="000F173D" w:rsidP="00B63E5D" w:rsidRDefault="00B63E5D" w14:paraId="38BDE5ED" w14:textId="7D043D2B">
            <w:pPr>
              <w:pStyle w:val="ListParagraph"/>
              <w:numPr>
                <w:ilvl w:val="0"/>
                <w:numId w:val="9"/>
              </w:numPr>
              <w:rPr>
                <w:rFonts w:cstheme="minorHAnsi"/>
                <w:sz w:val="24"/>
                <w:szCs w:val="24"/>
              </w:rPr>
            </w:pPr>
            <w:r w:rsidRPr="008737DB">
              <w:rPr>
                <w:rFonts w:cstheme="minorHAnsi"/>
                <w:sz w:val="24"/>
                <w:szCs w:val="24"/>
              </w:rPr>
              <w:t xml:space="preserve">The participants will be provided results of the blood testing </w:t>
            </w:r>
            <w:r w:rsidR="005974DF">
              <w:rPr>
                <w:rFonts w:cstheme="minorHAnsi"/>
                <w:sz w:val="24"/>
                <w:szCs w:val="24"/>
              </w:rPr>
              <w:t xml:space="preserve">and environmental testing </w:t>
            </w:r>
            <w:r w:rsidRPr="008737DB">
              <w:rPr>
                <w:rFonts w:cstheme="minorHAnsi"/>
                <w:sz w:val="24"/>
                <w:szCs w:val="24"/>
              </w:rPr>
              <w:t xml:space="preserve">within 12 weeks of </w:t>
            </w:r>
            <w:r w:rsidR="005974DF">
              <w:rPr>
                <w:rFonts w:cstheme="minorHAnsi"/>
                <w:sz w:val="24"/>
                <w:szCs w:val="24"/>
              </w:rPr>
              <w:t>receipt of the environmental results from EPA and MDHSS</w:t>
            </w:r>
            <w:r w:rsidRPr="008737DB">
              <w:rPr>
                <w:rFonts w:cstheme="minorHAnsi"/>
                <w:sz w:val="24"/>
                <w:szCs w:val="24"/>
              </w:rPr>
              <w:t>.</w:t>
            </w:r>
          </w:p>
          <w:p w:rsidRPr="000F173D" w:rsidR="00EE7287" w:rsidP="00B63E5D" w:rsidRDefault="00B63E5D" w14:paraId="291003CB" w14:textId="23C0DBD3">
            <w:pPr>
              <w:pStyle w:val="ListParagraph"/>
              <w:numPr>
                <w:ilvl w:val="0"/>
                <w:numId w:val="9"/>
              </w:numPr>
              <w:rPr>
                <w:rFonts w:cstheme="minorHAnsi"/>
                <w:sz w:val="24"/>
                <w:szCs w:val="24"/>
              </w:rPr>
            </w:pPr>
            <w:r w:rsidRPr="000F173D">
              <w:rPr>
                <w:rFonts w:cstheme="minorHAnsi"/>
                <w:sz w:val="24"/>
                <w:szCs w:val="24"/>
              </w:rPr>
              <w:t>The EI report will be prepared, cleared, and released as soon as possible.</w:t>
            </w:r>
          </w:p>
        </w:tc>
      </w:tr>
      <w:tr w:rsidR="00EE7287" w:rsidTr="00B50EEF" w14:paraId="75AFE65B" w14:textId="77777777">
        <w:tc>
          <w:tcPr>
            <w:tcW w:w="3168" w:type="dxa"/>
            <w:vAlign w:val="center"/>
          </w:tcPr>
          <w:p w:rsidR="00EE7287" w:rsidP="00EE7287" w:rsidRDefault="00EE7287" w14:paraId="2E81AA9A" w14:textId="77777777">
            <w:pPr>
              <w:rPr>
                <w:b/>
                <w:sz w:val="24"/>
                <w:szCs w:val="24"/>
              </w:rPr>
            </w:pPr>
            <w:r>
              <w:rPr>
                <w:b/>
                <w:sz w:val="24"/>
                <w:szCs w:val="24"/>
              </w:rPr>
              <w:t>Plans for Publication and Dissemination of Results:</w:t>
            </w:r>
          </w:p>
        </w:tc>
        <w:tc>
          <w:tcPr>
            <w:tcW w:w="7128" w:type="dxa"/>
          </w:tcPr>
          <w:p w:rsidRPr="008737DB" w:rsidR="005444DF" w:rsidP="005444DF" w:rsidRDefault="005444DF" w14:paraId="3FDFA486" w14:textId="26AB9162">
            <w:pPr>
              <w:pStyle w:val="ListParagraph"/>
              <w:numPr>
                <w:ilvl w:val="0"/>
                <w:numId w:val="6"/>
              </w:numPr>
              <w:rPr>
                <w:rFonts w:cstheme="minorHAnsi"/>
                <w:sz w:val="24"/>
                <w:szCs w:val="24"/>
              </w:rPr>
            </w:pPr>
            <w:r w:rsidRPr="008737DB">
              <w:rPr>
                <w:rFonts w:cstheme="minorHAnsi"/>
                <w:sz w:val="24"/>
                <w:szCs w:val="24"/>
              </w:rPr>
              <w:t xml:space="preserve">Blood lead results will be provided to participants within 12 weeks of </w:t>
            </w:r>
            <w:r w:rsidR="005974DF">
              <w:rPr>
                <w:rFonts w:cstheme="minorHAnsi"/>
                <w:sz w:val="24"/>
                <w:szCs w:val="24"/>
              </w:rPr>
              <w:t>ATSDR’s receipt of environmental results from EPA and MDHSS</w:t>
            </w:r>
            <w:r w:rsidRPr="008737DB">
              <w:rPr>
                <w:rFonts w:cstheme="minorHAnsi"/>
                <w:sz w:val="24"/>
                <w:szCs w:val="24"/>
              </w:rPr>
              <w:t>.</w:t>
            </w:r>
          </w:p>
          <w:p w:rsidR="00B7226D" w:rsidP="005444DF" w:rsidRDefault="005444DF" w14:paraId="642D377C" w14:textId="63C060E6">
            <w:pPr>
              <w:pStyle w:val="ListParagraph"/>
              <w:numPr>
                <w:ilvl w:val="0"/>
                <w:numId w:val="6"/>
              </w:numPr>
              <w:rPr>
                <w:rFonts w:cstheme="minorHAnsi"/>
                <w:sz w:val="24"/>
                <w:szCs w:val="24"/>
              </w:rPr>
            </w:pPr>
            <w:r w:rsidRPr="008737DB">
              <w:rPr>
                <w:rFonts w:cstheme="minorHAnsi"/>
                <w:sz w:val="24"/>
                <w:szCs w:val="24"/>
              </w:rPr>
              <w:lastRenderedPageBreak/>
              <w:t>If concentrations of lead in blood are found at ≥</w:t>
            </w:r>
            <w:r w:rsidR="009F0280">
              <w:rPr>
                <w:rFonts w:cstheme="minorHAnsi"/>
                <w:sz w:val="24"/>
                <w:szCs w:val="24"/>
              </w:rPr>
              <w:t>3.5</w:t>
            </w:r>
            <w:r w:rsidRPr="008737DB">
              <w:rPr>
                <w:rFonts w:cstheme="minorHAnsi"/>
                <w:sz w:val="24"/>
                <w:szCs w:val="24"/>
              </w:rPr>
              <w:t xml:space="preserve"> µg/dL</w:t>
            </w:r>
            <w:r w:rsidR="005974DF">
              <w:rPr>
                <w:rFonts w:cstheme="minorHAnsi"/>
                <w:sz w:val="24"/>
                <w:szCs w:val="24"/>
              </w:rPr>
              <w:t xml:space="preserve"> in children or</w:t>
            </w:r>
            <w:r w:rsidRPr="008737DB" w:rsidR="005974DF">
              <w:rPr>
                <w:rFonts w:cstheme="minorHAnsi"/>
                <w:sz w:val="24"/>
                <w:szCs w:val="24"/>
              </w:rPr>
              <w:t xml:space="preserve"> ≥</w:t>
            </w:r>
            <w:r w:rsidR="005974DF">
              <w:rPr>
                <w:rFonts w:cstheme="minorHAnsi"/>
                <w:sz w:val="24"/>
                <w:szCs w:val="24"/>
              </w:rPr>
              <w:t>5</w:t>
            </w:r>
            <w:r w:rsidRPr="008737DB" w:rsidR="005974DF">
              <w:rPr>
                <w:rFonts w:cstheme="minorHAnsi"/>
                <w:sz w:val="24"/>
                <w:szCs w:val="24"/>
              </w:rPr>
              <w:t xml:space="preserve"> µg/dL</w:t>
            </w:r>
            <w:r w:rsidR="005974DF">
              <w:rPr>
                <w:rFonts w:cstheme="minorHAnsi"/>
                <w:sz w:val="24"/>
                <w:szCs w:val="24"/>
              </w:rPr>
              <w:t xml:space="preserve"> in adult participants</w:t>
            </w:r>
            <w:r w:rsidRPr="008737DB">
              <w:rPr>
                <w:rFonts w:cstheme="minorHAnsi"/>
                <w:sz w:val="24"/>
                <w:szCs w:val="24"/>
              </w:rPr>
              <w:t>, participants will be contacted sooner.</w:t>
            </w:r>
          </w:p>
          <w:p w:rsidRPr="00B7226D" w:rsidR="00EE7287" w:rsidP="005444DF" w:rsidRDefault="005444DF" w14:paraId="7C66253F" w14:textId="50936134">
            <w:pPr>
              <w:pStyle w:val="ListParagraph"/>
              <w:numPr>
                <w:ilvl w:val="0"/>
                <w:numId w:val="6"/>
              </w:numPr>
              <w:rPr>
                <w:rFonts w:cstheme="minorHAnsi"/>
                <w:sz w:val="24"/>
                <w:szCs w:val="24"/>
              </w:rPr>
            </w:pPr>
            <w:r w:rsidRPr="00B7226D">
              <w:rPr>
                <w:rFonts w:cstheme="minorHAnsi"/>
                <w:sz w:val="24"/>
                <w:szCs w:val="24"/>
              </w:rPr>
              <w:t>The EI report will be prepared, cleared</w:t>
            </w:r>
            <w:r w:rsidR="00437921">
              <w:rPr>
                <w:rFonts w:cstheme="minorHAnsi"/>
                <w:sz w:val="24"/>
                <w:szCs w:val="24"/>
              </w:rPr>
              <w:t>,</w:t>
            </w:r>
            <w:r w:rsidRPr="00B7226D">
              <w:rPr>
                <w:rFonts w:cstheme="minorHAnsi"/>
                <w:sz w:val="24"/>
                <w:szCs w:val="24"/>
              </w:rPr>
              <w:t xml:space="preserve"> and released as soon as possible.</w:t>
            </w:r>
          </w:p>
        </w:tc>
      </w:tr>
      <w:tr w:rsidR="008911D0" w:rsidTr="00B50EEF" w14:paraId="3434598E" w14:textId="77777777">
        <w:tc>
          <w:tcPr>
            <w:tcW w:w="3168" w:type="dxa"/>
            <w:vAlign w:val="center"/>
          </w:tcPr>
          <w:p w:rsidR="008911D0" w:rsidP="008911D0" w:rsidRDefault="008911D0" w14:paraId="782536A7" w14:textId="77777777">
            <w:pPr>
              <w:rPr>
                <w:b/>
                <w:sz w:val="24"/>
                <w:szCs w:val="24"/>
              </w:rPr>
            </w:pPr>
            <w:r>
              <w:rPr>
                <w:b/>
                <w:sz w:val="24"/>
                <w:szCs w:val="24"/>
              </w:rPr>
              <w:lastRenderedPageBreak/>
              <w:t>Burden Hours Requested:</w:t>
            </w:r>
          </w:p>
        </w:tc>
        <w:tc>
          <w:tcPr>
            <w:tcW w:w="7128" w:type="dxa"/>
          </w:tcPr>
          <w:p w:rsidRPr="00977D5F" w:rsidR="008911D0" w:rsidRDefault="00FF156C" w14:paraId="46AE9FC6" w14:textId="215D891C">
            <w:pPr>
              <w:rPr>
                <w:sz w:val="24"/>
                <w:szCs w:val="24"/>
              </w:rPr>
            </w:pPr>
            <w:r>
              <w:rPr>
                <w:rFonts w:cstheme="minorHAnsi"/>
                <w:sz w:val="24"/>
                <w:szCs w:val="24"/>
              </w:rPr>
              <w:t>4</w:t>
            </w:r>
            <w:r w:rsidR="00696A91">
              <w:rPr>
                <w:rFonts w:cstheme="minorHAnsi"/>
                <w:sz w:val="24"/>
                <w:szCs w:val="24"/>
              </w:rPr>
              <w:t>26</w:t>
            </w:r>
            <w:r>
              <w:rPr>
                <w:rFonts w:cstheme="minorHAnsi"/>
                <w:sz w:val="24"/>
                <w:szCs w:val="24"/>
              </w:rPr>
              <w:t xml:space="preserve"> </w:t>
            </w:r>
            <w:r w:rsidRPr="008737DB" w:rsidR="008911D0">
              <w:rPr>
                <w:rFonts w:cstheme="minorHAnsi"/>
                <w:sz w:val="24"/>
                <w:szCs w:val="24"/>
              </w:rPr>
              <w:t xml:space="preserve">hours </w:t>
            </w:r>
          </w:p>
        </w:tc>
      </w:tr>
    </w:tbl>
    <w:p w:rsidRPr="008C1299" w:rsidR="00977D5F" w:rsidRDefault="00977D5F" w14:paraId="575C6245" w14:textId="77777777">
      <w:pPr>
        <w:rPr>
          <w:b/>
          <w:sz w:val="24"/>
          <w:szCs w:val="24"/>
        </w:rPr>
      </w:pPr>
    </w:p>
    <w:p w:rsidR="00B24589" w:rsidP="00B24589" w:rsidRDefault="008C26C6" w14:paraId="671F9232" w14:textId="4E07EBC1">
      <w:r>
        <w:rPr>
          <w:b/>
          <w:sz w:val="24"/>
          <w:szCs w:val="24"/>
        </w:rPr>
        <w:t>ATTACHMENTS</w:t>
      </w:r>
    </w:p>
    <w:p w:rsidRPr="007B6497" w:rsidR="007B6497" w:rsidP="007B6497" w:rsidRDefault="007B6497" w14:paraId="127F593F" w14:textId="77777777">
      <w:pPr>
        <w:numPr>
          <w:ilvl w:val="0"/>
          <w:numId w:val="1"/>
        </w:numPr>
        <w:spacing w:after="0" w:line="240" w:lineRule="auto"/>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 xml:space="preserve">Supporting </w:t>
      </w:r>
      <w:proofErr w:type="gramStart"/>
      <w:r w:rsidRPr="007B6497">
        <w:rPr>
          <w:rFonts w:ascii="Times New Roman" w:hAnsi="Times New Roman" w:eastAsia="Times New Roman" w:cs="Times New Roman"/>
          <w:sz w:val="24"/>
          <w:szCs w:val="24"/>
        </w:rPr>
        <w:t>Statement</w:t>
      </w:r>
      <w:proofErr w:type="gramEnd"/>
      <w:r w:rsidRPr="007B6497">
        <w:rPr>
          <w:rFonts w:ascii="Times New Roman" w:hAnsi="Times New Roman" w:eastAsia="Times New Roman" w:cs="Times New Roman"/>
          <w:sz w:val="24"/>
          <w:szCs w:val="24"/>
        </w:rPr>
        <w:t xml:space="preserve"> A</w:t>
      </w:r>
    </w:p>
    <w:p w:rsidRPr="007B6497" w:rsidR="007B6497" w:rsidP="007B6497" w:rsidRDefault="007B6497" w14:paraId="3A8F9097" w14:textId="77777777">
      <w:pPr>
        <w:numPr>
          <w:ilvl w:val="0"/>
          <w:numId w:val="1"/>
        </w:numPr>
        <w:spacing w:after="0" w:line="240" w:lineRule="auto"/>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Supporting Statement B</w:t>
      </w:r>
    </w:p>
    <w:p w:rsidRPr="007B6497" w:rsidR="007B6497" w:rsidP="007B6497" w:rsidRDefault="007B6497" w14:paraId="30AACE5E" w14:textId="15C97240">
      <w:pPr>
        <w:numPr>
          <w:ilvl w:val="0"/>
          <w:numId w:val="1"/>
        </w:numPr>
        <w:spacing w:after="0" w:line="240" w:lineRule="auto"/>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 xml:space="preserve">JNC EI </w:t>
      </w:r>
      <w:r w:rsidR="005F7C5A">
        <w:rPr>
          <w:rFonts w:ascii="Times New Roman" w:hAnsi="Times New Roman" w:eastAsia="Times New Roman" w:cs="Times New Roman"/>
          <w:sz w:val="24"/>
          <w:szCs w:val="24"/>
        </w:rPr>
        <w:t>List of Attachments</w:t>
      </w:r>
    </w:p>
    <w:p w:rsidRPr="007B6497" w:rsidR="007B6497" w:rsidP="007B6497" w:rsidRDefault="007B6497" w14:paraId="23BBBA00" w14:textId="77777777">
      <w:pPr>
        <w:numPr>
          <w:ilvl w:val="0"/>
          <w:numId w:val="1"/>
        </w:numPr>
        <w:spacing w:after="0" w:line="240" w:lineRule="auto"/>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Example of Prior EI Final Report</w:t>
      </w:r>
    </w:p>
    <w:p w:rsidRPr="007B6497" w:rsidR="007B6497" w:rsidP="007B6497" w:rsidRDefault="007B6497" w14:paraId="73DB6145" w14:textId="77777777">
      <w:pPr>
        <w:numPr>
          <w:ilvl w:val="0"/>
          <w:numId w:val="1"/>
        </w:numPr>
        <w:spacing w:after="0" w:line="240" w:lineRule="auto"/>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ATSDR Cleared Factsheets for Reducing Exposure to Lead</w:t>
      </w:r>
    </w:p>
    <w:p w:rsidRPr="007B6497" w:rsidR="007B6497" w:rsidP="007B6497" w:rsidRDefault="007B6497" w14:paraId="422F9B03" w14:textId="5B8ABD8E">
      <w:pPr>
        <w:spacing w:after="0"/>
        <w:ind w:left="360" w:firstLine="72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 xml:space="preserve">5A. </w:t>
      </w:r>
      <w:r w:rsidR="0085608F">
        <w:rPr>
          <w:rFonts w:ascii="Times New Roman" w:hAnsi="Times New Roman" w:eastAsia="Times New Roman" w:cs="Times New Roman"/>
          <w:sz w:val="24"/>
          <w:szCs w:val="24"/>
        </w:rPr>
        <w:t>Keep Lead Out of the Body</w:t>
      </w:r>
      <w:r w:rsidRPr="007B6497">
        <w:rPr>
          <w:rFonts w:ascii="Times New Roman" w:hAnsi="Times New Roman" w:eastAsia="Times New Roman" w:cs="Times New Roman"/>
          <w:sz w:val="24"/>
          <w:szCs w:val="24"/>
        </w:rPr>
        <w:t xml:space="preserve"> by Eating Healthy Food</w:t>
      </w:r>
    </w:p>
    <w:p w:rsidRPr="007B6497" w:rsidR="007B6497" w:rsidP="007B6497" w:rsidRDefault="007B6497" w14:paraId="375AA12D" w14:textId="77777777">
      <w:pPr>
        <w:spacing w:after="0"/>
        <w:ind w:left="360" w:firstLine="72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5B. Protect Your Family from Lead in Your Home</w:t>
      </w:r>
    </w:p>
    <w:p w:rsidRPr="007B6497" w:rsidR="007B6497" w:rsidP="007B6497" w:rsidRDefault="007B6497" w14:paraId="2AE60215" w14:textId="77777777">
      <w:pPr>
        <w:spacing w:after="0"/>
        <w:ind w:left="360" w:firstLine="72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5C. Protect Your Family from Lead in Your Yard</w:t>
      </w:r>
    </w:p>
    <w:p w:rsidRPr="007B6497" w:rsidR="007B6497" w:rsidP="007B6497" w:rsidRDefault="007B6497" w14:paraId="54EAA516" w14:textId="77777777">
      <w:pPr>
        <w:spacing w:after="0"/>
        <w:ind w:left="360" w:firstLine="72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5D. Safe Gardening in Lead-Contaminated Soil</w:t>
      </w:r>
    </w:p>
    <w:p w:rsidRPr="007B6497" w:rsidR="007B6497" w:rsidP="007B6497" w:rsidRDefault="007B6497" w14:paraId="48CC2571" w14:textId="77777777">
      <w:pPr>
        <w:spacing w:after="0"/>
        <w:ind w:left="360" w:firstLine="72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5E. Pregnancy and Lead: Stay Healthy During Pregnancy</w:t>
      </w:r>
    </w:p>
    <w:p w:rsidRPr="007B6497" w:rsidR="007B6497" w:rsidP="007B6497" w:rsidRDefault="007B6497" w14:paraId="5AC541D5" w14:textId="77777777">
      <w:pPr>
        <w:numPr>
          <w:ilvl w:val="0"/>
          <w:numId w:val="1"/>
        </w:numPr>
        <w:spacing w:after="0" w:line="240" w:lineRule="auto"/>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Privacy Impact Assessment Form</w:t>
      </w:r>
    </w:p>
    <w:p w:rsidRPr="007B6497" w:rsidR="007B6497" w:rsidP="007B6497" w:rsidRDefault="007B6497" w14:paraId="5C7B63CA" w14:textId="77777777">
      <w:pPr>
        <w:numPr>
          <w:ilvl w:val="0"/>
          <w:numId w:val="1"/>
        </w:numPr>
        <w:spacing w:after="0" w:line="240" w:lineRule="auto"/>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JNC EI Protocol (and Pertinent Appendices)</w:t>
      </w:r>
    </w:p>
    <w:p w:rsidRPr="007B6497" w:rsidR="007B6497" w:rsidP="007B6497" w:rsidRDefault="007B6497" w14:paraId="04B02D4E" w14:textId="77777777">
      <w:pPr>
        <w:spacing w:after="0" w:line="240" w:lineRule="auto"/>
        <w:ind w:left="1440" w:hanging="360"/>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Appendix A: Background</w:t>
      </w:r>
    </w:p>
    <w:p w:rsidRPr="007B6497" w:rsidR="007B6497" w:rsidP="007B6497" w:rsidRDefault="007B6497" w14:paraId="75C6B28B" w14:textId="77777777">
      <w:pPr>
        <w:spacing w:after="0" w:line="240" w:lineRule="auto"/>
        <w:ind w:left="1440" w:hanging="360"/>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Appendix C: Fact Sheets and Recruitment Material</w:t>
      </w:r>
    </w:p>
    <w:p w:rsidRPr="007B6497" w:rsidR="007B6497" w:rsidP="007B6497" w:rsidRDefault="007B6497" w14:paraId="62BC7AF3" w14:textId="77777777">
      <w:pPr>
        <w:spacing w:after="0" w:line="240" w:lineRule="auto"/>
        <w:ind w:left="1440"/>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C1. Exposure Investigation Fact Sheet</w:t>
      </w:r>
    </w:p>
    <w:p w:rsidRPr="007B6497" w:rsidR="007B6497" w:rsidP="007B6497" w:rsidRDefault="007B6497" w14:paraId="73C5B13D" w14:textId="77777777">
      <w:pPr>
        <w:spacing w:after="0" w:line="240" w:lineRule="auto"/>
        <w:ind w:left="1440"/>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C2. Newton County Recruitment Flyer</w:t>
      </w:r>
    </w:p>
    <w:p w:rsidRPr="007B6497" w:rsidR="007B6497" w:rsidP="007B6497" w:rsidRDefault="007B6497" w14:paraId="022D5FC2" w14:textId="77777777">
      <w:pPr>
        <w:spacing w:after="0" w:line="240" w:lineRule="auto"/>
        <w:ind w:left="1440"/>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C3. Jasper County Recruitment Flyer</w:t>
      </w:r>
    </w:p>
    <w:p w:rsidRPr="007B6497" w:rsidR="007B6497" w:rsidP="007B6497" w:rsidRDefault="007B6497" w14:paraId="21BF4CDA" w14:textId="77777777">
      <w:pPr>
        <w:spacing w:after="0" w:line="240" w:lineRule="auto"/>
        <w:ind w:left="144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 xml:space="preserve">C4. Social Media Recruitment Content </w:t>
      </w:r>
    </w:p>
    <w:p w:rsidRPr="007B6497" w:rsidR="007B6497" w:rsidP="007B6497" w:rsidRDefault="007B6497" w14:paraId="42F40397" w14:textId="77777777">
      <w:pPr>
        <w:tabs>
          <w:tab w:val="right" w:leader="dot" w:pos="9350"/>
        </w:tabs>
        <w:spacing w:after="0" w:line="240" w:lineRule="auto"/>
        <w:ind w:left="240"/>
        <w:rPr>
          <w:rFonts w:ascii="Calibri" w:hAnsi="Calibri" w:eastAsia="Times New Roman" w:cs="Times New Roman"/>
          <w:noProof/>
        </w:rPr>
      </w:pPr>
      <w:r w:rsidRPr="007B6497">
        <w:rPr>
          <w:rFonts w:ascii="Times New Roman" w:hAnsi="Times New Roman" w:eastAsia="Calibri" w:cs="Times New Roman"/>
          <w:sz w:val="24"/>
        </w:rPr>
        <w:t xml:space="preserve">              Appendix D: ATSDR Privacy Act Statement, Consent, Permission and Assent Forms</w:t>
      </w:r>
    </w:p>
    <w:p w:rsidRPr="007B6497" w:rsidR="007B6497" w:rsidP="007B6497" w:rsidRDefault="007B6497" w14:paraId="263A91C5" w14:textId="77777777">
      <w:pPr>
        <w:spacing w:after="0" w:line="240" w:lineRule="auto"/>
        <w:ind w:left="720" w:firstLine="72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D1. ATSDR Privacy Act Statement</w:t>
      </w:r>
    </w:p>
    <w:p w:rsidRPr="007B6497" w:rsidR="007B6497" w:rsidP="007B6497" w:rsidRDefault="007B6497" w14:paraId="2FF70B35" w14:textId="77777777">
      <w:pPr>
        <w:spacing w:after="0" w:line="240" w:lineRule="auto"/>
        <w:ind w:left="720" w:firstLine="72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D2. ATSDR Adult Consent Form for Blood Testing</w:t>
      </w:r>
    </w:p>
    <w:p w:rsidRPr="007B6497" w:rsidR="007B6497" w:rsidP="007B6497" w:rsidRDefault="007B6497" w14:paraId="3375C586" w14:textId="77777777">
      <w:pPr>
        <w:spacing w:after="0" w:line="240" w:lineRule="auto"/>
        <w:ind w:left="720" w:firstLine="72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 xml:space="preserve">D3. ATSDR Parental Permission Form for Blood Testing (child </w:t>
      </w:r>
      <w:proofErr w:type="gramStart"/>
      <w:r w:rsidRPr="007B6497">
        <w:rPr>
          <w:rFonts w:ascii="Times New Roman" w:hAnsi="Times New Roman" w:eastAsia="Times New Roman" w:cs="Times New Roman"/>
          <w:sz w:val="24"/>
          <w:szCs w:val="24"/>
        </w:rPr>
        <w:t>under )</w:t>
      </w:r>
      <w:proofErr w:type="gramEnd"/>
    </w:p>
    <w:p w:rsidRPr="007B6497" w:rsidR="007B6497" w:rsidP="007B6497" w:rsidRDefault="007B6497" w14:paraId="48277447" w14:textId="77777777">
      <w:pPr>
        <w:spacing w:after="0" w:line="240" w:lineRule="auto"/>
        <w:ind w:left="810" w:hanging="81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ab/>
      </w:r>
      <w:bookmarkStart w:name="_Hlk105222759" w:id="1"/>
      <w:r w:rsidRPr="007B6497">
        <w:rPr>
          <w:rFonts w:ascii="Times New Roman" w:hAnsi="Times New Roman" w:eastAsia="Times New Roman" w:cs="Times New Roman"/>
          <w:sz w:val="24"/>
          <w:szCs w:val="24"/>
        </w:rPr>
        <w:tab/>
      </w:r>
      <w:bookmarkEnd w:id="1"/>
      <w:r w:rsidRPr="007B6497">
        <w:rPr>
          <w:rFonts w:ascii="Times New Roman" w:hAnsi="Times New Roman" w:eastAsia="Times New Roman" w:cs="Times New Roman"/>
          <w:sz w:val="24"/>
          <w:szCs w:val="24"/>
        </w:rPr>
        <w:t>D4. ATSDR Child Assent Form for Blood Testing (minor non-participant)</w:t>
      </w:r>
    </w:p>
    <w:p w:rsidRPr="007B6497" w:rsidR="007B6497" w:rsidP="007B6497" w:rsidRDefault="007B6497" w14:paraId="2CA4B663" w14:textId="77777777">
      <w:pPr>
        <w:spacing w:after="0" w:line="240" w:lineRule="auto"/>
        <w:ind w:left="1080" w:firstLine="360"/>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D5. EPA Consent Form</w:t>
      </w:r>
    </w:p>
    <w:p w:rsidRPr="007B6497" w:rsidR="007B6497" w:rsidP="007B6497" w:rsidRDefault="007B6497" w14:paraId="45F5D1B3" w14:textId="77777777">
      <w:pPr>
        <w:spacing w:after="0" w:line="240" w:lineRule="auto"/>
        <w:ind w:left="1080" w:firstLine="36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D6. MDHHS Consent Form</w:t>
      </w:r>
    </w:p>
    <w:p w:rsidRPr="007B6497" w:rsidR="007B6497" w:rsidP="007B6497" w:rsidRDefault="007B6497" w14:paraId="027AA2C9" w14:textId="77777777">
      <w:pPr>
        <w:spacing w:after="0" w:line="240" w:lineRule="auto"/>
        <w:ind w:left="720" w:firstLine="360"/>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 xml:space="preserve">Appendix E: ATSDR Data Collection Forms </w:t>
      </w:r>
    </w:p>
    <w:p w:rsidRPr="007B6497" w:rsidR="007B6497" w:rsidP="007B6497" w:rsidRDefault="007B6497" w14:paraId="35C3BBEE" w14:textId="77777777">
      <w:pPr>
        <w:spacing w:after="0" w:line="240" w:lineRule="auto"/>
        <w:ind w:left="1080" w:firstLine="360"/>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E1. ATSDR JNC EI Questionnaire</w:t>
      </w:r>
    </w:p>
    <w:p w:rsidRPr="007B6497" w:rsidR="007B6497" w:rsidP="007B6497" w:rsidRDefault="007B6497" w14:paraId="310D7B2C" w14:textId="77777777">
      <w:pPr>
        <w:spacing w:after="0" w:line="240" w:lineRule="auto"/>
        <w:ind w:left="1080" w:firstLine="360"/>
        <w:contextualSpacing/>
        <w:rPr>
          <w:rFonts w:ascii="Times New Roman" w:hAnsi="Times New Roman" w:eastAsia="Times New Roman" w:cs="Times New Roman"/>
          <w:sz w:val="24"/>
          <w:szCs w:val="24"/>
        </w:rPr>
      </w:pPr>
      <w:r w:rsidRPr="007B6497">
        <w:rPr>
          <w:rFonts w:ascii="Times New Roman" w:hAnsi="Times New Roman" w:eastAsia="Times New Roman" w:cs="Times New Roman"/>
          <w:sz w:val="24"/>
          <w:szCs w:val="24"/>
        </w:rPr>
        <w:t>E2. ATSDR Biological Testing Tracking Form</w:t>
      </w:r>
    </w:p>
    <w:p w:rsidRPr="007B6497" w:rsidR="007B6497" w:rsidP="007B6497" w:rsidRDefault="007B6497" w14:paraId="6D3B0C11" w14:textId="77777777">
      <w:pPr>
        <w:tabs>
          <w:tab w:val="left" w:pos="1080"/>
        </w:tabs>
        <w:spacing w:after="0" w:line="240" w:lineRule="auto"/>
        <w:ind w:left="1080"/>
        <w:rPr>
          <w:rFonts w:ascii="Times New Roman" w:hAnsi="Times New Roman" w:eastAsia="Times New Roman" w:cs="Times New Roman"/>
          <w:bCs/>
          <w:sz w:val="24"/>
          <w:szCs w:val="24"/>
        </w:rPr>
      </w:pPr>
      <w:r w:rsidRPr="007B6497">
        <w:rPr>
          <w:rFonts w:ascii="Times New Roman" w:hAnsi="Times New Roman" w:eastAsia="Times New Roman" w:cs="Times New Roman"/>
          <w:bCs/>
          <w:sz w:val="24"/>
          <w:szCs w:val="24"/>
        </w:rPr>
        <w:t>Appendix F: Environmental Sampling Protocols</w:t>
      </w:r>
    </w:p>
    <w:p w:rsidRPr="007B6497" w:rsidR="007B6497" w:rsidP="007B6497" w:rsidRDefault="007B6497" w14:paraId="0D4AD427" w14:textId="77777777">
      <w:pPr>
        <w:tabs>
          <w:tab w:val="left" w:pos="1080"/>
        </w:tabs>
        <w:spacing w:after="0" w:line="240" w:lineRule="auto"/>
        <w:ind w:left="1080"/>
        <w:rPr>
          <w:rFonts w:ascii="Times New Roman" w:hAnsi="Times New Roman" w:eastAsia="Times New Roman" w:cs="Times New Roman"/>
          <w:bCs/>
          <w:sz w:val="24"/>
          <w:szCs w:val="24"/>
        </w:rPr>
      </w:pPr>
      <w:r w:rsidRPr="007B6497">
        <w:rPr>
          <w:rFonts w:ascii="Times New Roman" w:hAnsi="Times New Roman" w:eastAsia="Times New Roman" w:cs="Times New Roman"/>
          <w:bCs/>
          <w:sz w:val="24"/>
          <w:szCs w:val="24"/>
        </w:rPr>
        <w:t>Appendix G: Health and Safety Plan</w:t>
      </w:r>
      <w:r w:rsidRPr="007B6497">
        <w:rPr>
          <w:rFonts w:ascii="Times New Roman" w:hAnsi="Times New Roman" w:eastAsia="Times New Roman" w:cs="Times New Roman"/>
          <w:bCs/>
          <w:sz w:val="24"/>
          <w:szCs w:val="24"/>
        </w:rPr>
        <w:tab/>
      </w:r>
    </w:p>
    <w:p w:rsidRPr="007B6497" w:rsidR="007B6497" w:rsidP="007B6497" w:rsidRDefault="007B6497" w14:paraId="0AB985E8" w14:textId="77777777">
      <w:pPr>
        <w:tabs>
          <w:tab w:val="left" w:pos="1080"/>
        </w:tabs>
        <w:spacing w:after="0" w:line="240" w:lineRule="auto"/>
        <w:ind w:left="1080"/>
        <w:rPr>
          <w:rFonts w:ascii="Times New Roman" w:hAnsi="Times New Roman" w:eastAsia="Times New Roman" w:cs="Times New Roman"/>
          <w:bCs/>
          <w:sz w:val="24"/>
          <w:szCs w:val="24"/>
        </w:rPr>
      </w:pPr>
      <w:r w:rsidRPr="007B6497">
        <w:rPr>
          <w:rFonts w:ascii="Times New Roman" w:hAnsi="Times New Roman" w:eastAsia="Times New Roman" w:cs="Times New Roman"/>
          <w:bCs/>
          <w:sz w:val="24"/>
          <w:szCs w:val="24"/>
        </w:rPr>
        <w:t>Appendix H: Sample Results Letter to Participants</w:t>
      </w:r>
    </w:p>
    <w:p w:rsidRPr="007B6497" w:rsidR="007B6497" w:rsidP="007B6497" w:rsidRDefault="007B6497" w14:paraId="0A52CF6E" w14:textId="77777777">
      <w:pPr>
        <w:tabs>
          <w:tab w:val="left" w:pos="1080"/>
        </w:tabs>
        <w:spacing w:after="0" w:line="240" w:lineRule="auto"/>
        <w:ind w:left="1080"/>
        <w:rPr>
          <w:rFonts w:ascii="Times New Roman" w:hAnsi="Times New Roman" w:eastAsia="Times New Roman" w:cs="Times New Roman"/>
          <w:noProof/>
          <w:webHidden/>
          <w:sz w:val="24"/>
          <w:szCs w:val="24"/>
        </w:rPr>
      </w:pPr>
      <w:r w:rsidRPr="007B6497">
        <w:rPr>
          <w:rFonts w:ascii="Times New Roman" w:hAnsi="Times New Roman" w:eastAsia="Times New Roman" w:cs="Times New Roman"/>
          <w:bCs/>
          <w:sz w:val="24"/>
          <w:szCs w:val="24"/>
        </w:rPr>
        <w:tab/>
      </w:r>
      <w:bookmarkStart w:name="_Hlk105410267" w:id="2"/>
      <w:r w:rsidRPr="007B6497">
        <w:rPr>
          <w:rFonts w:ascii="Times New Roman" w:hAnsi="Times New Roman" w:eastAsia="Times New Roman" w:cs="Times New Roman"/>
          <w:bCs/>
          <w:sz w:val="24"/>
          <w:szCs w:val="24"/>
        </w:rPr>
        <w:t xml:space="preserve">H1. </w:t>
      </w:r>
      <w:r w:rsidRPr="007B6497">
        <w:rPr>
          <w:rFonts w:ascii="Times New Roman" w:hAnsi="Times New Roman" w:eastAsia="Times New Roman" w:cs="Times New Roman"/>
          <w:sz w:val="24"/>
          <w:szCs w:val="24"/>
        </w:rPr>
        <w:t>ATSDR Results Letter</w:t>
      </w:r>
    </w:p>
    <w:p w:rsidRPr="007B6497" w:rsidR="007B6497" w:rsidP="007B6497" w:rsidRDefault="007B6497" w14:paraId="25EC60A4" w14:textId="77777777">
      <w:pPr>
        <w:tabs>
          <w:tab w:val="left" w:pos="1080"/>
        </w:tabs>
        <w:spacing w:after="0" w:line="240" w:lineRule="auto"/>
        <w:ind w:left="1080"/>
        <w:rPr>
          <w:rFonts w:ascii="Times New Roman" w:hAnsi="Times New Roman" w:eastAsia="Times New Roman" w:cs="Times New Roman"/>
          <w:bCs/>
          <w:sz w:val="24"/>
          <w:szCs w:val="24"/>
        </w:rPr>
      </w:pPr>
      <w:r w:rsidRPr="007B6497">
        <w:rPr>
          <w:rFonts w:ascii="Times New Roman" w:hAnsi="Times New Roman" w:eastAsia="Times New Roman" w:cs="Times New Roman"/>
          <w:noProof/>
          <w:webHidden/>
          <w:sz w:val="24"/>
          <w:szCs w:val="24"/>
        </w:rPr>
        <w:tab/>
        <w:t>H</w:t>
      </w:r>
      <w:r w:rsidRPr="007B6497">
        <w:rPr>
          <w:rFonts w:ascii="Times New Roman" w:hAnsi="Times New Roman" w:eastAsia="Times New Roman" w:cs="Times New Roman"/>
          <w:noProof/>
          <w:webHidden/>
          <w:sz w:val="24"/>
          <w:szCs w:val="24"/>
        </w:rPr>
        <w:fldChar w:fldCharType="begin"/>
      </w:r>
      <w:r w:rsidRPr="007B6497">
        <w:rPr>
          <w:rFonts w:ascii="Times New Roman" w:hAnsi="Times New Roman" w:eastAsia="Times New Roman" w:cs="Times New Roman"/>
          <w:noProof/>
          <w:webHidden/>
          <w:sz w:val="24"/>
          <w:szCs w:val="24"/>
        </w:rPr>
        <w:instrText xml:space="preserve"> PAGEREF _Toc97544766 \h </w:instrText>
      </w:r>
      <w:r w:rsidRPr="007B6497">
        <w:rPr>
          <w:rFonts w:ascii="Times New Roman" w:hAnsi="Times New Roman" w:eastAsia="Times New Roman" w:cs="Times New Roman"/>
          <w:noProof/>
          <w:webHidden/>
          <w:sz w:val="24"/>
          <w:szCs w:val="24"/>
        </w:rPr>
      </w:r>
      <w:r w:rsidRPr="007B6497">
        <w:rPr>
          <w:rFonts w:ascii="Times New Roman" w:hAnsi="Times New Roman" w:eastAsia="Times New Roman" w:cs="Times New Roman"/>
          <w:noProof/>
          <w:webHidden/>
          <w:sz w:val="24"/>
          <w:szCs w:val="24"/>
        </w:rPr>
        <w:fldChar w:fldCharType="separate"/>
      </w:r>
      <w:r w:rsidRPr="007B6497">
        <w:rPr>
          <w:rFonts w:ascii="Times New Roman" w:hAnsi="Times New Roman" w:eastAsia="Times New Roman" w:cs="Times New Roman"/>
          <w:noProof/>
          <w:webHidden/>
          <w:sz w:val="24"/>
          <w:szCs w:val="24"/>
        </w:rPr>
        <w:t>2</w:t>
      </w:r>
      <w:r w:rsidRPr="007B6497">
        <w:rPr>
          <w:rFonts w:ascii="Times New Roman" w:hAnsi="Times New Roman" w:eastAsia="Times New Roman" w:cs="Times New Roman"/>
          <w:noProof/>
          <w:webHidden/>
          <w:sz w:val="24"/>
          <w:szCs w:val="24"/>
        </w:rPr>
        <w:fldChar w:fldCharType="end"/>
      </w:r>
      <w:r w:rsidRPr="007B6497">
        <w:rPr>
          <w:rFonts w:ascii="Times New Roman" w:hAnsi="Times New Roman" w:eastAsia="Times New Roman" w:cs="Times New Roman"/>
          <w:noProof/>
          <w:webHidden/>
          <w:sz w:val="24"/>
          <w:szCs w:val="24"/>
        </w:rPr>
        <w:t xml:space="preserve">. </w:t>
      </w:r>
      <w:r w:rsidRPr="007B6497">
        <w:rPr>
          <w:rFonts w:ascii="Times New Roman" w:hAnsi="Times New Roman" w:eastAsia="Times New Roman" w:cs="Times New Roman"/>
          <w:sz w:val="24"/>
          <w:szCs w:val="24"/>
        </w:rPr>
        <w:t>EPA Sample Results Letter</w:t>
      </w:r>
    </w:p>
    <w:bookmarkEnd w:id="2"/>
    <w:p w:rsidRPr="007B6497" w:rsidR="007B6497" w:rsidP="007B6497" w:rsidRDefault="007B6497" w14:paraId="78443776" w14:textId="77777777">
      <w:pPr>
        <w:tabs>
          <w:tab w:val="left" w:pos="1080"/>
        </w:tabs>
        <w:spacing w:after="0" w:line="240" w:lineRule="auto"/>
        <w:ind w:left="1080"/>
        <w:rPr>
          <w:rFonts w:ascii="Times New Roman" w:hAnsi="Times New Roman" w:eastAsia="Times New Roman" w:cs="Times New Roman"/>
          <w:bCs/>
          <w:sz w:val="24"/>
          <w:szCs w:val="24"/>
        </w:rPr>
      </w:pPr>
      <w:r w:rsidRPr="007B6497">
        <w:rPr>
          <w:rFonts w:ascii="Times New Roman" w:hAnsi="Times New Roman" w:eastAsia="Times New Roman" w:cs="Times New Roman"/>
          <w:bCs/>
          <w:sz w:val="24"/>
          <w:szCs w:val="24"/>
        </w:rPr>
        <w:t xml:space="preserve">Appendix I: Data Collection Forms Used by Partnering Agencies </w:t>
      </w:r>
    </w:p>
    <w:p w:rsidRPr="007B6497" w:rsidR="007B6497" w:rsidP="007B6497" w:rsidRDefault="007B6497" w14:paraId="6C10996F" w14:textId="77777777">
      <w:pPr>
        <w:tabs>
          <w:tab w:val="left" w:pos="1080"/>
        </w:tabs>
        <w:spacing w:after="0" w:line="240" w:lineRule="auto"/>
        <w:ind w:left="1440"/>
        <w:rPr>
          <w:rFonts w:ascii="Times New Roman" w:hAnsi="Times New Roman" w:eastAsia="Times New Roman" w:cs="Times New Roman"/>
          <w:bCs/>
          <w:sz w:val="24"/>
          <w:szCs w:val="24"/>
        </w:rPr>
      </w:pPr>
      <w:r w:rsidRPr="007B6497">
        <w:rPr>
          <w:rFonts w:ascii="Times New Roman" w:hAnsi="Times New Roman" w:eastAsia="Times New Roman" w:cs="Times New Roman"/>
          <w:bCs/>
          <w:sz w:val="24"/>
          <w:szCs w:val="24"/>
        </w:rPr>
        <w:t>I1. Home Schematic (Form 100)</w:t>
      </w:r>
    </w:p>
    <w:p w:rsidRPr="007B6497" w:rsidR="007B6497" w:rsidP="007B6497" w:rsidRDefault="007B6497" w14:paraId="53DB22FF" w14:textId="77777777">
      <w:pPr>
        <w:widowControl w:val="0"/>
        <w:tabs>
          <w:tab w:val="left" w:pos="1440"/>
        </w:tabs>
        <w:autoSpaceDE w:val="0"/>
        <w:autoSpaceDN w:val="0"/>
        <w:adjustRightInd w:val="0"/>
        <w:spacing w:after="0" w:line="240" w:lineRule="auto"/>
        <w:rPr>
          <w:rFonts w:ascii="Times New Roman" w:hAnsi="Times New Roman" w:eastAsia="Times New Roman" w:cs="Times New Roman"/>
          <w:sz w:val="24"/>
          <w:szCs w:val="24"/>
        </w:rPr>
      </w:pPr>
      <w:r w:rsidRPr="007B6497">
        <w:rPr>
          <w:rFonts w:ascii="Times New Roman" w:hAnsi="Times New Roman" w:eastAsia="Times New Roman" w:cs="Times New Roman"/>
          <w:bCs/>
          <w:sz w:val="24"/>
          <w:szCs w:val="24"/>
        </w:rPr>
        <w:tab/>
        <w:t xml:space="preserve">I2. </w:t>
      </w:r>
      <w:r w:rsidRPr="007B6497">
        <w:rPr>
          <w:rFonts w:ascii="Times New Roman" w:hAnsi="Times New Roman" w:eastAsia="Times New Roman" w:cs="Times New Roman"/>
          <w:sz w:val="24"/>
          <w:szCs w:val="24"/>
        </w:rPr>
        <w:t>Interior Environmental Paint Assessment (Form 110)</w:t>
      </w:r>
    </w:p>
    <w:p w:rsidRPr="007B6497" w:rsidR="007B6497" w:rsidP="007B6497" w:rsidRDefault="007B6497" w14:paraId="18DA6B3A" w14:textId="77777777">
      <w:pPr>
        <w:widowControl w:val="0"/>
        <w:tabs>
          <w:tab w:val="left" w:pos="1440"/>
        </w:tabs>
        <w:autoSpaceDE w:val="0"/>
        <w:autoSpaceDN w:val="0"/>
        <w:adjustRightInd w:val="0"/>
        <w:spacing w:after="0" w:line="240" w:lineRule="auto"/>
        <w:rPr>
          <w:rFonts w:ascii="Times New Roman" w:hAnsi="Times New Roman" w:eastAsia="Times New Roman" w:cs="Times New Roman"/>
          <w:sz w:val="24"/>
          <w:szCs w:val="24"/>
        </w:rPr>
      </w:pPr>
      <w:r w:rsidRPr="007B6497">
        <w:rPr>
          <w:rFonts w:ascii="Times New Roman" w:hAnsi="Times New Roman" w:eastAsia="Times New Roman" w:cs="Times New Roman"/>
          <w:bCs/>
          <w:sz w:val="24"/>
          <w:szCs w:val="24"/>
        </w:rPr>
        <w:tab/>
        <w:t xml:space="preserve">I3. </w:t>
      </w:r>
      <w:r w:rsidRPr="007B6497">
        <w:rPr>
          <w:rFonts w:ascii="Times New Roman" w:hAnsi="Times New Roman" w:eastAsia="Times New Roman" w:cs="Times New Roman"/>
          <w:sz w:val="24"/>
          <w:szCs w:val="24"/>
        </w:rPr>
        <w:t>External Environmental Paint Assessment (Form 120)</w:t>
      </w:r>
    </w:p>
    <w:p w:rsidRPr="007B6497" w:rsidR="007B6497" w:rsidP="007B6497" w:rsidRDefault="007B6497" w14:paraId="0E505AB4" w14:textId="77777777">
      <w:pPr>
        <w:tabs>
          <w:tab w:val="left" w:pos="1080"/>
        </w:tabs>
        <w:spacing w:after="0" w:line="240" w:lineRule="auto"/>
        <w:ind w:left="1440"/>
        <w:rPr>
          <w:rFonts w:ascii="Times New Roman" w:hAnsi="Times New Roman" w:eastAsia="Times New Roman" w:cs="Times New Roman"/>
          <w:bCs/>
          <w:sz w:val="24"/>
          <w:szCs w:val="24"/>
        </w:rPr>
      </w:pPr>
      <w:r w:rsidRPr="007B6497">
        <w:rPr>
          <w:rFonts w:ascii="Times New Roman" w:hAnsi="Times New Roman" w:eastAsia="Times New Roman" w:cs="Times New Roman"/>
          <w:bCs/>
          <w:sz w:val="24"/>
          <w:szCs w:val="24"/>
        </w:rPr>
        <w:t xml:space="preserve">I4. </w:t>
      </w:r>
      <w:r w:rsidRPr="007B6497">
        <w:rPr>
          <w:rFonts w:ascii="Times New Roman" w:hAnsi="Times New Roman" w:eastAsia="Times New Roman" w:cs="Times New Roman"/>
          <w:sz w:val="24"/>
          <w:szCs w:val="24"/>
        </w:rPr>
        <w:t>Dust Wipe Collection (Form 200)</w:t>
      </w:r>
    </w:p>
    <w:p w:rsidRPr="007B6497" w:rsidR="007B6497" w:rsidP="007B6497" w:rsidRDefault="007B6497" w14:paraId="3BB45B92" w14:textId="77777777">
      <w:pPr>
        <w:tabs>
          <w:tab w:val="left" w:pos="1080"/>
        </w:tabs>
        <w:spacing w:after="0" w:line="240" w:lineRule="auto"/>
        <w:ind w:left="1440"/>
        <w:rPr>
          <w:rFonts w:ascii="Times New Roman" w:hAnsi="Times New Roman" w:eastAsia="Times New Roman" w:cs="Times New Roman"/>
          <w:bCs/>
          <w:sz w:val="24"/>
          <w:szCs w:val="24"/>
        </w:rPr>
      </w:pPr>
      <w:r w:rsidRPr="007B6497">
        <w:rPr>
          <w:rFonts w:ascii="Times New Roman" w:hAnsi="Times New Roman" w:eastAsia="Times New Roman" w:cs="Times New Roman"/>
          <w:bCs/>
          <w:sz w:val="24"/>
          <w:szCs w:val="24"/>
        </w:rPr>
        <w:lastRenderedPageBreak/>
        <w:t xml:space="preserve">I5. </w:t>
      </w:r>
      <w:r w:rsidRPr="007B6497">
        <w:rPr>
          <w:rFonts w:ascii="Times New Roman" w:hAnsi="Times New Roman" w:eastAsia="Times New Roman" w:cs="Times New Roman"/>
          <w:sz w:val="24"/>
          <w:szCs w:val="24"/>
        </w:rPr>
        <w:t>Soil Composite Sample Collection (Form 300)</w:t>
      </w:r>
    </w:p>
    <w:p w:rsidRPr="007B6497" w:rsidR="007B6497" w:rsidP="007B6497" w:rsidRDefault="007B6497" w14:paraId="1129C204" w14:textId="77777777">
      <w:pPr>
        <w:tabs>
          <w:tab w:val="left" w:pos="1080"/>
        </w:tabs>
        <w:spacing w:after="0" w:line="240" w:lineRule="auto"/>
        <w:ind w:left="1440"/>
        <w:rPr>
          <w:rFonts w:ascii="Times New Roman" w:hAnsi="Times New Roman" w:eastAsia="Times New Roman" w:cs="Times New Roman"/>
          <w:sz w:val="24"/>
          <w:szCs w:val="24"/>
        </w:rPr>
      </w:pPr>
      <w:r w:rsidRPr="007B6497">
        <w:rPr>
          <w:rFonts w:ascii="Times New Roman" w:hAnsi="Times New Roman" w:eastAsia="Times New Roman" w:cs="Times New Roman"/>
          <w:bCs/>
          <w:sz w:val="24"/>
          <w:szCs w:val="24"/>
        </w:rPr>
        <w:t xml:space="preserve">I6. </w:t>
      </w:r>
      <w:r w:rsidRPr="007B6497">
        <w:rPr>
          <w:rFonts w:ascii="Times New Roman" w:hAnsi="Times New Roman" w:eastAsia="Times New Roman" w:cs="Times New Roman"/>
          <w:sz w:val="24"/>
          <w:szCs w:val="24"/>
        </w:rPr>
        <w:t>Private Well Water Collection (Form 400)</w:t>
      </w:r>
    </w:p>
    <w:p w:rsidRPr="007B6497" w:rsidR="007B6497" w:rsidP="007B6497" w:rsidRDefault="007B6497" w14:paraId="0A04BBFE" w14:textId="77777777">
      <w:pPr>
        <w:tabs>
          <w:tab w:val="left" w:pos="1080"/>
        </w:tabs>
        <w:spacing w:after="0" w:line="240" w:lineRule="auto"/>
        <w:ind w:left="1440"/>
        <w:rPr>
          <w:rFonts w:ascii="Times New Roman" w:hAnsi="Times New Roman" w:eastAsia="Times New Roman" w:cs="Times New Roman"/>
          <w:sz w:val="24"/>
          <w:szCs w:val="24"/>
        </w:rPr>
      </w:pPr>
      <w:r w:rsidRPr="007B6497">
        <w:rPr>
          <w:rFonts w:ascii="Times New Roman" w:hAnsi="Times New Roman" w:eastAsia="Times New Roman" w:cs="Times New Roman"/>
          <w:bCs/>
          <w:sz w:val="24"/>
          <w:szCs w:val="24"/>
        </w:rPr>
        <w:t xml:space="preserve">I7. </w:t>
      </w:r>
      <w:r w:rsidRPr="007B6497">
        <w:rPr>
          <w:rFonts w:ascii="Times New Roman" w:hAnsi="Times New Roman" w:eastAsia="Times New Roman" w:cs="Times New Roman"/>
          <w:sz w:val="24"/>
          <w:szCs w:val="24"/>
        </w:rPr>
        <w:t>Public Water Kitchen Tap Collection (Form 500)</w:t>
      </w:r>
    </w:p>
    <w:p w:rsidRPr="00D139E6" w:rsidR="005D2153" w:rsidP="00D139E6" w:rsidRDefault="005D2153" w14:paraId="2E99C8AB" w14:textId="332F6A91">
      <w:pPr>
        <w:spacing w:after="0"/>
        <w:rPr>
          <w:bCs/>
          <w:sz w:val="24"/>
          <w:szCs w:val="24"/>
        </w:rPr>
      </w:pPr>
    </w:p>
    <w:sectPr w:rsidRPr="00D139E6" w:rsidR="005D2153" w:rsidSect="00D809E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35B9" w14:textId="77777777" w:rsidR="00F90EF3" w:rsidRDefault="00F90EF3" w:rsidP="00B31D7C">
      <w:pPr>
        <w:spacing w:after="0" w:line="240" w:lineRule="auto"/>
      </w:pPr>
      <w:r>
        <w:separator/>
      </w:r>
    </w:p>
  </w:endnote>
  <w:endnote w:type="continuationSeparator" w:id="0">
    <w:p w14:paraId="1EAEB068" w14:textId="77777777" w:rsidR="00F90EF3" w:rsidRDefault="00F90EF3" w:rsidP="00B3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623B" w14:textId="77777777" w:rsidR="00F90EF3" w:rsidRDefault="00F90EF3" w:rsidP="00B31D7C">
      <w:pPr>
        <w:spacing w:after="0" w:line="240" w:lineRule="auto"/>
      </w:pPr>
      <w:r>
        <w:separator/>
      </w:r>
    </w:p>
  </w:footnote>
  <w:footnote w:type="continuationSeparator" w:id="0">
    <w:p w14:paraId="17E315CF" w14:textId="77777777" w:rsidR="00F90EF3" w:rsidRDefault="00F90EF3" w:rsidP="00B31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1F"/>
    <w:multiLevelType w:val="hybridMultilevel"/>
    <w:tmpl w:val="496E9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3554"/>
    <w:multiLevelType w:val="hybridMultilevel"/>
    <w:tmpl w:val="1DF0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06C6"/>
    <w:multiLevelType w:val="hybridMultilevel"/>
    <w:tmpl w:val="1D84D3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F6273"/>
    <w:multiLevelType w:val="hybridMultilevel"/>
    <w:tmpl w:val="3E688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64DA5"/>
    <w:multiLevelType w:val="hybridMultilevel"/>
    <w:tmpl w:val="D77C4B7A"/>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A09FB"/>
    <w:multiLevelType w:val="hybridMultilevel"/>
    <w:tmpl w:val="2FD2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82861"/>
    <w:multiLevelType w:val="hybridMultilevel"/>
    <w:tmpl w:val="8C26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857A5"/>
    <w:multiLevelType w:val="hybridMultilevel"/>
    <w:tmpl w:val="36F24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F5E8E"/>
    <w:multiLevelType w:val="hybridMultilevel"/>
    <w:tmpl w:val="4920E602"/>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F5DA4"/>
    <w:multiLevelType w:val="hybridMultilevel"/>
    <w:tmpl w:val="0AA4B8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D0A2E"/>
    <w:multiLevelType w:val="hybridMultilevel"/>
    <w:tmpl w:val="876A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2D47E9"/>
    <w:multiLevelType w:val="hybridMultilevel"/>
    <w:tmpl w:val="F9F6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C436F"/>
    <w:multiLevelType w:val="hybridMultilevel"/>
    <w:tmpl w:val="7076DCA8"/>
    <w:lvl w:ilvl="0" w:tplc="0409000F">
      <w:start w:val="1"/>
      <w:numFmt w:val="decimal"/>
      <w:lvlText w:val="%1."/>
      <w:lvlJc w:val="left"/>
      <w:pPr>
        <w:ind w:left="72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22FED"/>
    <w:multiLevelType w:val="multilevel"/>
    <w:tmpl w:val="AF6C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95B21"/>
    <w:multiLevelType w:val="hybridMultilevel"/>
    <w:tmpl w:val="7D5A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2217A"/>
    <w:multiLevelType w:val="hybridMultilevel"/>
    <w:tmpl w:val="7CCE8066"/>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9156B4"/>
    <w:multiLevelType w:val="hybridMultilevel"/>
    <w:tmpl w:val="0AA4B8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47403"/>
    <w:multiLevelType w:val="hybridMultilevel"/>
    <w:tmpl w:val="C4601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63ECD"/>
    <w:multiLevelType w:val="hybridMultilevel"/>
    <w:tmpl w:val="496E9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A7ADF"/>
    <w:multiLevelType w:val="hybridMultilevel"/>
    <w:tmpl w:val="4558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5694C"/>
    <w:multiLevelType w:val="hybridMultilevel"/>
    <w:tmpl w:val="88C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1482D"/>
    <w:multiLevelType w:val="hybridMultilevel"/>
    <w:tmpl w:val="3F646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1"/>
  </w:num>
  <w:num w:numId="5">
    <w:abstractNumId w:val="20"/>
  </w:num>
  <w:num w:numId="6">
    <w:abstractNumId w:val="14"/>
  </w:num>
  <w:num w:numId="7">
    <w:abstractNumId w:val="5"/>
  </w:num>
  <w:num w:numId="8">
    <w:abstractNumId w:val="19"/>
  </w:num>
  <w:num w:numId="9">
    <w:abstractNumId w:val="1"/>
  </w:num>
  <w:num w:numId="10">
    <w:abstractNumId w:val="16"/>
  </w:num>
  <w:num w:numId="11">
    <w:abstractNumId w:val="9"/>
  </w:num>
  <w:num w:numId="12">
    <w:abstractNumId w:val="15"/>
  </w:num>
  <w:num w:numId="13">
    <w:abstractNumId w:val="8"/>
  </w:num>
  <w:num w:numId="14">
    <w:abstractNumId w:val="4"/>
  </w:num>
  <w:num w:numId="15">
    <w:abstractNumId w:val="21"/>
  </w:num>
  <w:num w:numId="16">
    <w:abstractNumId w:val="2"/>
  </w:num>
  <w:num w:numId="17">
    <w:abstractNumId w:val="0"/>
  </w:num>
  <w:num w:numId="18">
    <w:abstractNumId w:val="18"/>
  </w:num>
  <w:num w:numId="19">
    <w:abstractNumId w:val="10"/>
  </w:num>
  <w:num w:numId="20">
    <w:abstractNumId w:val="3"/>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48"/>
    <w:rsid w:val="00006ABF"/>
    <w:rsid w:val="000164D8"/>
    <w:rsid w:val="00017815"/>
    <w:rsid w:val="00041BCF"/>
    <w:rsid w:val="00044734"/>
    <w:rsid w:val="0004565A"/>
    <w:rsid w:val="000457B7"/>
    <w:rsid w:val="00051C83"/>
    <w:rsid w:val="000526FB"/>
    <w:rsid w:val="0006629F"/>
    <w:rsid w:val="00066D15"/>
    <w:rsid w:val="0007663C"/>
    <w:rsid w:val="00076675"/>
    <w:rsid w:val="00083EE4"/>
    <w:rsid w:val="00085879"/>
    <w:rsid w:val="000977D0"/>
    <w:rsid w:val="000A425F"/>
    <w:rsid w:val="000A5E37"/>
    <w:rsid w:val="000B1411"/>
    <w:rsid w:val="000B1568"/>
    <w:rsid w:val="000C5A42"/>
    <w:rsid w:val="000D16FB"/>
    <w:rsid w:val="000F0F13"/>
    <w:rsid w:val="000F13DD"/>
    <w:rsid w:val="000F173D"/>
    <w:rsid w:val="000F454D"/>
    <w:rsid w:val="00105B25"/>
    <w:rsid w:val="00114DF9"/>
    <w:rsid w:val="001277B4"/>
    <w:rsid w:val="00134B62"/>
    <w:rsid w:val="001427F0"/>
    <w:rsid w:val="00146801"/>
    <w:rsid w:val="001474CE"/>
    <w:rsid w:val="001564CF"/>
    <w:rsid w:val="00176ACD"/>
    <w:rsid w:val="0018528E"/>
    <w:rsid w:val="00191795"/>
    <w:rsid w:val="001A5953"/>
    <w:rsid w:val="001C2596"/>
    <w:rsid w:val="001C2A2C"/>
    <w:rsid w:val="001D2AA1"/>
    <w:rsid w:val="001D4DAE"/>
    <w:rsid w:val="001E3FCD"/>
    <w:rsid w:val="001E5273"/>
    <w:rsid w:val="001E7826"/>
    <w:rsid w:val="001E7A03"/>
    <w:rsid w:val="001F0E3A"/>
    <w:rsid w:val="001F2AE9"/>
    <w:rsid w:val="001F7B03"/>
    <w:rsid w:val="00215484"/>
    <w:rsid w:val="00215AA2"/>
    <w:rsid w:val="002268E8"/>
    <w:rsid w:val="00232E35"/>
    <w:rsid w:val="00245374"/>
    <w:rsid w:val="00245FE8"/>
    <w:rsid w:val="00247DC6"/>
    <w:rsid w:val="002509C0"/>
    <w:rsid w:val="00264864"/>
    <w:rsid w:val="00276B88"/>
    <w:rsid w:val="0028029F"/>
    <w:rsid w:val="00281057"/>
    <w:rsid w:val="002864B0"/>
    <w:rsid w:val="002A5D89"/>
    <w:rsid w:val="002A753A"/>
    <w:rsid w:val="002B1BC4"/>
    <w:rsid w:val="002C1792"/>
    <w:rsid w:val="002C3309"/>
    <w:rsid w:val="002D2DA8"/>
    <w:rsid w:val="002D3000"/>
    <w:rsid w:val="002D3C9D"/>
    <w:rsid w:val="002D7EB9"/>
    <w:rsid w:val="002F2AF7"/>
    <w:rsid w:val="002F6B5B"/>
    <w:rsid w:val="003067ED"/>
    <w:rsid w:val="00314173"/>
    <w:rsid w:val="003266CE"/>
    <w:rsid w:val="00326DC0"/>
    <w:rsid w:val="00327EC1"/>
    <w:rsid w:val="00342A85"/>
    <w:rsid w:val="0034663C"/>
    <w:rsid w:val="003526E8"/>
    <w:rsid w:val="00361131"/>
    <w:rsid w:val="003632F0"/>
    <w:rsid w:val="003711F5"/>
    <w:rsid w:val="00375CD5"/>
    <w:rsid w:val="00390AFC"/>
    <w:rsid w:val="003920B1"/>
    <w:rsid w:val="00394B13"/>
    <w:rsid w:val="003A2015"/>
    <w:rsid w:val="003B366F"/>
    <w:rsid w:val="003D408F"/>
    <w:rsid w:val="003E3E07"/>
    <w:rsid w:val="003F42B0"/>
    <w:rsid w:val="00420467"/>
    <w:rsid w:val="00430EF8"/>
    <w:rsid w:val="00437921"/>
    <w:rsid w:val="00446811"/>
    <w:rsid w:val="00447C39"/>
    <w:rsid w:val="00450BF4"/>
    <w:rsid w:val="00456DD7"/>
    <w:rsid w:val="004579F8"/>
    <w:rsid w:val="00462711"/>
    <w:rsid w:val="0046475C"/>
    <w:rsid w:val="00473F86"/>
    <w:rsid w:val="0048523B"/>
    <w:rsid w:val="0049011E"/>
    <w:rsid w:val="0049518C"/>
    <w:rsid w:val="004B252F"/>
    <w:rsid w:val="004B7230"/>
    <w:rsid w:val="004E1521"/>
    <w:rsid w:val="004E5EB9"/>
    <w:rsid w:val="005060F0"/>
    <w:rsid w:val="005119AF"/>
    <w:rsid w:val="005202A1"/>
    <w:rsid w:val="00522CE1"/>
    <w:rsid w:val="00527D21"/>
    <w:rsid w:val="00527F40"/>
    <w:rsid w:val="0053447F"/>
    <w:rsid w:val="005444DF"/>
    <w:rsid w:val="00544D0B"/>
    <w:rsid w:val="005451CC"/>
    <w:rsid w:val="00546ADF"/>
    <w:rsid w:val="0055572E"/>
    <w:rsid w:val="00561CC1"/>
    <w:rsid w:val="00564958"/>
    <w:rsid w:val="00571B3E"/>
    <w:rsid w:val="0058282D"/>
    <w:rsid w:val="00587CB5"/>
    <w:rsid w:val="00590E7F"/>
    <w:rsid w:val="00594706"/>
    <w:rsid w:val="005956AA"/>
    <w:rsid w:val="005974DF"/>
    <w:rsid w:val="005A3D6B"/>
    <w:rsid w:val="005B2CEF"/>
    <w:rsid w:val="005B348D"/>
    <w:rsid w:val="005D105A"/>
    <w:rsid w:val="005D2153"/>
    <w:rsid w:val="005D258E"/>
    <w:rsid w:val="005D4926"/>
    <w:rsid w:val="005D4E38"/>
    <w:rsid w:val="005D71E8"/>
    <w:rsid w:val="005E06E2"/>
    <w:rsid w:val="005E1D60"/>
    <w:rsid w:val="005E7BE8"/>
    <w:rsid w:val="005F093E"/>
    <w:rsid w:val="005F344C"/>
    <w:rsid w:val="005F5122"/>
    <w:rsid w:val="005F62B4"/>
    <w:rsid w:val="005F7C5A"/>
    <w:rsid w:val="00603775"/>
    <w:rsid w:val="0063667F"/>
    <w:rsid w:val="006413E0"/>
    <w:rsid w:val="006427A8"/>
    <w:rsid w:val="0065039D"/>
    <w:rsid w:val="00652BD7"/>
    <w:rsid w:val="0065370E"/>
    <w:rsid w:val="006565F3"/>
    <w:rsid w:val="00696A91"/>
    <w:rsid w:val="006A1554"/>
    <w:rsid w:val="006A1C2A"/>
    <w:rsid w:val="006B4CA3"/>
    <w:rsid w:val="006B5535"/>
    <w:rsid w:val="006C23C0"/>
    <w:rsid w:val="006C2D55"/>
    <w:rsid w:val="006C2E1C"/>
    <w:rsid w:val="006D168B"/>
    <w:rsid w:val="006E1176"/>
    <w:rsid w:val="006E18F0"/>
    <w:rsid w:val="006E580F"/>
    <w:rsid w:val="006F228B"/>
    <w:rsid w:val="006F6D2F"/>
    <w:rsid w:val="007055E9"/>
    <w:rsid w:val="0074611B"/>
    <w:rsid w:val="00751490"/>
    <w:rsid w:val="00752494"/>
    <w:rsid w:val="00757E63"/>
    <w:rsid w:val="0076133B"/>
    <w:rsid w:val="00761B07"/>
    <w:rsid w:val="0076482D"/>
    <w:rsid w:val="00771A77"/>
    <w:rsid w:val="00774323"/>
    <w:rsid w:val="00786DD8"/>
    <w:rsid w:val="00797694"/>
    <w:rsid w:val="007A07A6"/>
    <w:rsid w:val="007A0FA3"/>
    <w:rsid w:val="007A595C"/>
    <w:rsid w:val="007B07B7"/>
    <w:rsid w:val="007B53F4"/>
    <w:rsid w:val="007B6497"/>
    <w:rsid w:val="007C0749"/>
    <w:rsid w:val="007C6C22"/>
    <w:rsid w:val="007C7985"/>
    <w:rsid w:val="007D205C"/>
    <w:rsid w:val="007D6E25"/>
    <w:rsid w:val="007D7079"/>
    <w:rsid w:val="007E60F2"/>
    <w:rsid w:val="00804F11"/>
    <w:rsid w:val="00823567"/>
    <w:rsid w:val="00835250"/>
    <w:rsid w:val="008529CA"/>
    <w:rsid w:val="00854A8B"/>
    <w:rsid w:val="0085608F"/>
    <w:rsid w:val="00866376"/>
    <w:rsid w:val="00873263"/>
    <w:rsid w:val="00873F27"/>
    <w:rsid w:val="00881AA6"/>
    <w:rsid w:val="00881CDC"/>
    <w:rsid w:val="00885DD4"/>
    <w:rsid w:val="008911D0"/>
    <w:rsid w:val="00892742"/>
    <w:rsid w:val="00893823"/>
    <w:rsid w:val="008A0DEB"/>
    <w:rsid w:val="008A339F"/>
    <w:rsid w:val="008A5303"/>
    <w:rsid w:val="008A671C"/>
    <w:rsid w:val="008B4048"/>
    <w:rsid w:val="008B4862"/>
    <w:rsid w:val="008C1299"/>
    <w:rsid w:val="008C26C6"/>
    <w:rsid w:val="008C5597"/>
    <w:rsid w:val="008E286E"/>
    <w:rsid w:val="008E2BBB"/>
    <w:rsid w:val="008E7F49"/>
    <w:rsid w:val="008F3CC4"/>
    <w:rsid w:val="00923CF4"/>
    <w:rsid w:val="00933EF0"/>
    <w:rsid w:val="009402B9"/>
    <w:rsid w:val="00952433"/>
    <w:rsid w:val="00956EF2"/>
    <w:rsid w:val="009730FC"/>
    <w:rsid w:val="00975E88"/>
    <w:rsid w:val="00977D5F"/>
    <w:rsid w:val="00990609"/>
    <w:rsid w:val="009920F1"/>
    <w:rsid w:val="00992967"/>
    <w:rsid w:val="00992B68"/>
    <w:rsid w:val="00995BC4"/>
    <w:rsid w:val="00996E9F"/>
    <w:rsid w:val="009A4C91"/>
    <w:rsid w:val="009B31BB"/>
    <w:rsid w:val="009E2519"/>
    <w:rsid w:val="009E4287"/>
    <w:rsid w:val="009E491C"/>
    <w:rsid w:val="009F0280"/>
    <w:rsid w:val="009F43E7"/>
    <w:rsid w:val="009F7507"/>
    <w:rsid w:val="009F7B0F"/>
    <w:rsid w:val="00A02518"/>
    <w:rsid w:val="00A07E1E"/>
    <w:rsid w:val="00A11192"/>
    <w:rsid w:val="00A2674D"/>
    <w:rsid w:val="00A3626C"/>
    <w:rsid w:val="00A42E0B"/>
    <w:rsid w:val="00A56EAC"/>
    <w:rsid w:val="00A73148"/>
    <w:rsid w:val="00A829E7"/>
    <w:rsid w:val="00A91F01"/>
    <w:rsid w:val="00AA7DE7"/>
    <w:rsid w:val="00AC3F36"/>
    <w:rsid w:val="00AC47D1"/>
    <w:rsid w:val="00AC57A7"/>
    <w:rsid w:val="00AD12BA"/>
    <w:rsid w:val="00AD2FF0"/>
    <w:rsid w:val="00AE1A21"/>
    <w:rsid w:val="00AF7357"/>
    <w:rsid w:val="00B22001"/>
    <w:rsid w:val="00B24589"/>
    <w:rsid w:val="00B31D7C"/>
    <w:rsid w:val="00B3329B"/>
    <w:rsid w:val="00B348E2"/>
    <w:rsid w:val="00B44C05"/>
    <w:rsid w:val="00B50EEF"/>
    <w:rsid w:val="00B512C3"/>
    <w:rsid w:val="00B51D2F"/>
    <w:rsid w:val="00B53754"/>
    <w:rsid w:val="00B54277"/>
    <w:rsid w:val="00B63E5D"/>
    <w:rsid w:val="00B648F7"/>
    <w:rsid w:val="00B65000"/>
    <w:rsid w:val="00B65BC9"/>
    <w:rsid w:val="00B7226D"/>
    <w:rsid w:val="00B74AD7"/>
    <w:rsid w:val="00B76ACB"/>
    <w:rsid w:val="00B7744E"/>
    <w:rsid w:val="00B93B4D"/>
    <w:rsid w:val="00BA09ED"/>
    <w:rsid w:val="00BA4320"/>
    <w:rsid w:val="00BB5A4C"/>
    <w:rsid w:val="00BC2AE0"/>
    <w:rsid w:val="00BC57CF"/>
    <w:rsid w:val="00BC6BC6"/>
    <w:rsid w:val="00BE7846"/>
    <w:rsid w:val="00BF05F8"/>
    <w:rsid w:val="00BF0FA4"/>
    <w:rsid w:val="00BF1A54"/>
    <w:rsid w:val="00C1158D"/>
    <w:rsid w:val="00C2426C"/>
    <w:rsid w:val="00C32559"/>
    <w:rsid w:val="00C515A6"/>
    <w:rsid w:val="00C5547C"/>
    <w:rsid w:val="00C55B5E"/>
    <w:rsid w:val="00C6233A"/>
    <w:rsid w:val="00C642DE"/>
    <w:rsid w:val="00C7636A"/>
    <w:rsid w:val="00C8371F"/>
    <w:rsid w:val="00C943D9"/>
    <w:rsid w:val="00CB69F1"/>
    <w:rsid w:val="00CC2DA8"/>
    <w:rsid w:val="00CC6774"/>
    <w:rsid w:val="00CD01DD"/>
    <w:rsid w:val="00CD49A5"/>
    <w:rsid w:val="00D139E6"/>
    <w:rsid w:val="00D2280E"/>
    <w:rsid w:val="00D2629E"/>
    <w:rsid w:val="00D312D7"/>
    <w:rsid w:val="00D3577B"/>
    <w:rsid w:val="00D43C37"/>
    <w:rsid w:val="00D527CF"/>
    <w:rsid w:val="00D56F90"/>
    <w:rsid w:val="00D7489E"/>
    <w:rsid w:val="00D77666"/>
    <w:rsid w:val="00D80272"/>
    <w:rsid w:val="00D809E7"/>
    <w:rsid w:val="00D82B30"/>
    <w:rsid w:val="00DA3458"/>
    <w:rsid w:val="00DA6A7C"/>
    <w:rsid w:val="00DB33FE"/>
    <w:rsid w:val="00DB7A64"/>
    <w:rsid w:val="00DC249F"/>
    <w:rsid w:val="00DD14C8"/>
    <w:rsid w:val="00DD5237"/>
    <w:rsid w:val="00DD6495"/>
    <w:rsid w:val="00DD64AD"/>
    <w:rsid w:val="00DD72F0"/>
    <w:rsid w:val="00DE13BE"/>
    <w:rsid w:val="00DE3448"/>
    <w:rsid w:val="00DF3333"/>
    <w:rsid w:val="00DF3E1F"/>
    <w:rsid w:val="00E04405"/>
    <w:rsid w:val="00E05D47"/>
    <w:rsid w:val="00E17185"/>
    <w:rsid w:val="00E27222"/>
    <w:rsid w:val="00E34861"/>
    <w:rsid w:val="00E36E2D"/>
    <w:rsid w:val="00E43C28"/>
    <w:rsid w:val="00E46A8C"/>
    <w:rsid w:val="00E54140"/>
    <w:rsid w:val="00E60893"/>
    <w:rsid w:val="00E83F33"/>
    <w:rsid w:val="00EC13B9"/>
    <w:rsid w:val="00EC4DF0"/>
    <w:rsid w:val="00ED0791"/>
    <w:rsid w:val="00ED59B0"/>
    <w:rsid w:val="00ED710E"/>
    <w:rsid w:val="00ED7580"/>
    <w:rsid w:val="00EE0342"/>
    <w:rsid w:val="00EE0AD2"/>
    <w:rsid w:val="00EE61A5"/>
    <w:rsid w:val="00EE7287"/>
    <w:rsid w:val="00EF0D9F"/>
    <w:rsid w:val="00EF36C1"/>
    <w:rsid w:val="00EF656A"/>
    <w:rsid w:val="00EF6EF2"/>
    <w:rsid w:val="00F027EC"/>
    <w:rsid w:val="00F02E50"/>
    <w:rsid w:val="00F040A9"/>
    <w:rsid w:val="00F062A4"/>
    <w:rsid w:val="00F105CA"/>
    <w:rsid w:val="00F20D02"/>
    <w:rsid w:val="00F2140A"/>
    <w:rsid w:val="00F21610"/>
    <w:rsid w:val="00F32AA2"/>
    <w:rsid w:val="00F46E19"/>
    <w:rsid w:val="00F47384"/>
    <w:rsid w:val="00F60B52"/>
    <w:rsid w:val="00F64781"/>
    <w:rsid w:val="00F666B3"/>
    <w:rsid w:val="00F90AFC"/>
    <w:rsid w:val="00F90EF3"/>
    <w:rsid w:val="00F94491"/>
    <w:rsid w:val="00F95EF6"/>
    <w:rsid w:val="00FB57DA"/>
    <w:rsid w:val="00FB694B"/>
    <w:rsid w:val="00FC034D"/>
    <w:rsid w:val="00FE7903"/>
    <w:rsid w:val="00FF156C"/>
    <w:rsid w:val="00FF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B0C77"/>
  <w15:docId w15:val="{055075FA-5D95-410E-B231-243FA5DE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8E8"/>
    <w:pPr>
      <w:ind w:left="720"/>
      <w:contextualSpacing/>
    </w:pPr>
  </w:style>
  <w:style w:type="character" w:styleId="CommentReference">
    <w:name w:val="annotation reference"/>
    <w:basedOn w:val="DefaultParagraphFont"/>
    <w:uiPriority w:val="99"/>
    <w:semiHidden/>
    <w:unhideWhenUsed/>
    <w:rsid w:val="00146801"/>
    <w:rPr>
      <w:sz w:val="16"/>
      <w:szCs w:val="16"/>
    </w:rPr>
  </w:style>
  <w:style w:type="paragraph" w:styleId="CommentText">
    <w:name w:val="annotation text"/>
    <w:basedOn w:val="Normal"/>
    <w:link w:val="CommentTextChar"/>
    <w:uiPriority w:val="99"/>
    <w:unhideWhenUsed/>
    <w:rsid w:val="00146801"/>
    <w:pPr>
      <w:spacing w:line="240" w:lineRule="auto"/>
    </w:pPr>
    <w:rPr>
      <w:sz w:val="20"/>
      <w:szCs w:val="20"/>
    </w:rPr>
  </w:style>
  <w:style w:type="character" w:customStyle="1" w:styleId="CommentTextChar">
    <w:name w:val="Comment Text Char"/>
    <w:basedOn w:val="DefaultParagraphFont"/>
    <w:link w:val="CommentText"/>
    <w:uiPriority w:val="99"/>
    <w:rsid w:val="00146801"/>
    <w:rPr>
      <w:sz w:val="20"/>
      <w:szCs w:val="20"/>
    </w:rPr>
  </w:style>
  <w:style w:type="paragraph" w:styleId="CommentSubject">
    <w:name w:val="annotation subject"/>
    <w:basedOn w:val="CommentText"/>
    <w:next w:val="CommentText"/>
    <w:link w:val="CommentSubjectChar"/>
    <w:uiPriority w:val="99"/>
    <w:semiHidden/>
    <w:unhideWhenUsed/>
    <w:rsid w:val="00146801"/>
    <w:rPr>
      <w:b/>
      <w:bCs/>
    </w:rPr>
  </w:style>
  <w:style w:type="character" w:customStyle="1" w:styleId="CommentSubjectChar">
    <w:name w:val="Comment Subject Char"/>
    <w:basedOn w:val="CommentTextChar"/>
    <w:link w:val="CommentSubject"/>
    <w:uiPriority w:val="99"/>
    <w:semiHidden/>
    <w:rsid w:val="00146801"/>
    <w:rPr>
      <w:b/>
      <w:bCs/>
      <w:sz w:val="20"/>
      <w:szCs w:val="20"/>
    </w:rPr>
  </w:style>
  <w:style w:type="paragraph" w:styleId="BalloonText">
    <w:name w:val="Balloon Text"/>
    <w:basedOn w:val="Normal"/>
    <w:link w:val="BalloonTextChar"/>
    <w:uiPriority w:val="99"/>
    <w:semiHidden/>
    <w:unhideWhenUsed/>
    <w:rsid w:val="0014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01"/>
    <w:rPr>
      <w:rFonts w:ascii="Tahoma" w:hAnsi="Tahoma" w:cs="Tahoma"/>
      <w:sz w:val="16"/>
      <w:szCs w:val="16"/>
    </w:rPr>
  </w:style>
  <w:style w:type="paragraph" w:customStyle="1" w:styleId="Default">
    <w:name w:val="Default"/>
    <w:rsid w:val="008C26C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D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57DA"/>
    <w:rPr>
      <w:b/>
      <w:bCs/>
    </w:rPr>
  </w:style>
  <w:style w:type="character" w:styleId="FootnoteReference">
    <w:name w:val="footnote reference"/>
    <w:aliases w:val="fr"/>
    <w:basedOn w:val="DefaultParagraphFont"/>
    <w:uiPriority w:val="99"/>
    <w:rsid w:val="00FB57DA"/>
    <w:rPr>
      <w:rFonts w:cs="Times New Roman"/>
      <w:vertAlign w:val="superscript"/>
    </w:rPr>
  </w:style>
  <w:style w:type="paragraph" w:styleId="NormalWeb">
    <w:name w:val="Normal (Web)"/>
    <w:basedOn w:val="Normal"/>
    <w:uiPriority w:val="99"/>
    <w:unhideWhenUsed/>
    <w:rsid w:val="00FB57DA"/>
    <w:pPr>
      <w:spacing w:after="18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595C"/>
    <w:rPr>
      <w:color w:val="0000FF" w:themeColor="hyperlink"/>
      <w:u w:val="single"/>
    </w:rPr>
  </w:style>
  <w:style w:type="character" w:customStyle="1" w:styleId="sr-only">
    <w:name w:val="sr-only"/>
    <w:basedOn w:val="DefaultParagraphFont"/>
    <w:rsid w:val="00C6233A"/>
  </w:style>
  <w:style w:type="paragraph" w:styleId="Revision">
    <w:name w:val="Revision"/>
    <w:hidden/>
    <w:uiPriority w:val="99"/>
    <w:semiHidden/>
    <w:rsid w:val="007B6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09087">
      <w:bodyDiv w:val="1"/>
      <w:marLeft w:val="0"/>
      <w:marRight w:val="0"/>
      <w:marTop w:val="0"/>
      <w:marBottom w:val="0"/>
      <w:divBdr>
        <w:top w:val="none" w:sz="0" w:space="0" w:color="auto"/>
        <w:left w:val="none" w:sz="0" w:space="0" w:color="auto"/>
        <w:bottom w:val="none" w:sz="0" w:space="0" w:color="auto"/>
        <w:right w:val="none" w:sz="0" w:space="0" w:color="auto"/>
      </w:divBdr>
    </w:div>
    <w:div w:id="114473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(ATSDR/DHAC/EISAB)</dc:creator>
  <cp:keywords/>
  <dc:description/>
  <cp:lastModifiedBy>Evans, Erin</cp:lastModifiedBy>
  <cp:revision>2</cp:revision>
  <cp:lastPrinted>2013-08-05T19:18:00Z</cp:lastPrinted>
  <dcterms:created xsi:type="dcterms:W3CDTF">2022-06-20T13:19:00Z</dcterms:created>
  <dcterms:modified xsi:type="dcterms:W3CDTF">2022-06-20T13:19:00Z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2022-02-14T16:47:12Z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ad55d2f8-7e3e-4d9a-9925-237c8c8adfff</vt:lpwstr>
  </property>
  <property fmtid="{D5CDD505-2E9C-101B-9397-08002B2CF9AE}" pid="8" name="MSIP_Label_8af03ff0-41c5-4c41-b55e-fabb8fae94be_ContentBits">
    <vt:lpwstr>0</vt:lpwstr>
  </property>
</Properties>
</file>