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A4524" w:rsidR="00B1417D" w:rsidP="00B1417D" w:rsidRDefault="0090471F" w14:paraId="18C21322" w14:textId="77777777">
      <w:pPr>
        <w:pStyle w:val="Heading2"/>
        <w:jc w:val="center"/>
        <w:rPr>
          <w:color w:val="auto"/>
        </w:rPr>
      </w:pPr>
      <w:bookmarkStart w:name="_Toc97544765" w:id="0"/>
      <w:r w:rsidRPr="003A4524">
        <w:rPr>
          <w:color w:val="auto"/>
        </w:rPr>
        <w:t>Appendix H: Sample Results Letter</w:t>
      </w:r>
      <w:r w:rsidRPr="003A4524" w:rsidR="0021784C">
        <w:rPr>
          <w:color w:val="auto"/>
        </w:rPr>
        <w:t>s</w:t>
      </w:r>
      <w:r w:rsidRPr="003A4524">
        <w:rPr>
          <w:color w:val="auto"/>
        </w:rPr>
        <w:t xml:space="preserve"> to Participants</w:t>
      </w:r>
      <w:bookmarkEnd w:id="0"/>
    </w:p>
    <w:p w:rsidRPr="003A4524" w:rsidR="00800049" w:rsidP="003A4524" w:rsidRDefault="00800049" w14:paraId="7CE8711D" w14:textId="77777777">
      <w:pPr>
        <w:sectPr w:rsidRPr="003A4524" w:rsidR="00800049" w:rsidSect="00486AE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vAlign w:val="center"/>
          <w:titlePg/>
          <w:docGrid w:linePitch="360"/>
        </w:sectPr>
      </w:pPr>
    </w:p>
    <w:p w:rsidRPr="00486AE6" w:rsidR="0090471F" w:rsidP="0090471F" w:rsidRDefault="0021784C" w14:paraId="7C48643C" w14:textId="6B47063A">
      <w:pPr>
        <w:pStyle w:val="Heading3"/>
        <w:jc w:val="center"/>
        <w:rPr>
          <w:sz w:val="28"/>
          <w:szCs w:val="28"/>
        </w:rPr>
      </w:pPr>
      <w:bookmarkStart w:name="_Toc97544766" w:id="1"/>
      <w:r>
        <w:rPr>
          <w:sz w:val="28"/>
          <w:szCs w:val="28"/>
        </w:rPr>
        <w:t xml:space="preserve">Appendix H1. </w:t>
      </w:r>
      <w:r w:rsidRPr="00486AE6" w:rsidR="0090471F">
        <w:rPr>
          <w:sz w:val="28"/>
          <w:szCs w:val="28"/>
        </w:rPr>
        <w:t>ATSDR Results Letter</w:t>
      </w:r>
      <w:bookmarkEnd w:id="1"/>
    </w:p>
    <w:p w:rsidR="0090471F" w:rsidP="0090471F" w:rsidRDefault="0090471F" w14:paraId="003A57FF" w14:textId="77777777"/>
    <w:p w:rsidR="0090471F" w:rsidP="0090471F" w:rsidRDefault="0090471F" w14:paraId="594E9166" w14:textId="77777777">
      <w:pPr>
        <w:rPr>
          <w:i/>
          <w:iCs/>
        </w:rPr>
      </w:pPr>
      <w:r>
        <w:rPr>
          <w:i/>
          <w:iCs/>
        </w:rPr>
        <w:t xml:space="preserve">Note: The format and content of this example letter could change depending on the results of the EI. Final letters will go through CDC/ATSDR clearance. </w:t>
      </w:r>
    </w:p>
    <w:p w:rsidR="0090471F" w:rsidP="0090471F" w:rsidRDefault="0090471F" w14:paraId="362CE600" w14:textId="77777777">
      <w:pPr>
        <w:rPr>
          <w:i/>
          <w:iCs/>
        </w:rPr>
      </w:pPr>
    </w:p>
    <w:p w:rsidRPr="00877508" w:rsidR="0090471F" w:rsidP="0090471F" w:rsidRDefault="0090471F" w14:paraId="73805E18" w14:textId="77777777">
      <w:pPr>
        <w:jc w:val="center"/>
      </w:pPr>
      <w:r>
        <w:t>(Felsch-Kincaid Reading Level: Grade 8)</w:t>
      </w:r>
    </w:p>
    <w:p w:rsidR="0090471F" w:rsidP="0090471F" w:rsidRDefault="0090471F" w14:paraId="1EA6C598" w14:textId="77777777"/>
    <w:p w:rsidR="0090471F" w:rsidP="0090471F" w:rsidRDefault="0090471F" w14:paraId="7EF709E5" w14:textId="77777777">
      <w:pPr>
        <w:jc w:val="center"/>
        <w:rPr>
          <w:b/>
          <w:bCs/>
        </w:rPr>
      </w:pPr>
      <w:r>
        <w:rPr>
          <w:b/>
          <w:bCs/>
        </w:rPr>
        <w:t>(ATSDR Letterhead)</w:t>
      </w:r>
    </w:p>
    <w:p w:rsidR="0090471F" w:rsidP="0090471F" w:rsidRDefault="0090471F" w14:paraId="66438070" w14:textId="77777777">
      <w:r>
        <w:t>DATE</w:t>
      </w:r>
    </w:p>
    <w:p w:rsidR="0090471F" w:rsidP="0090471F" w:rsidRDefault="0090471F" w14:paraId="46A33868" w14:textId="77777777"/>
    <w:p w:rsidR="0090471F" w:rsidP="0090471F" w:rsidRDefault="0090471F" w14:paraId="7EB7C0F3" w14:textId="77777777">
      <w:pPr>
        <w:spacing w:after="0"/>
      </w:pPr>
      <w:r>
        <w:t>NAME</w:t>
      </w:r>
    </w:p>
    <w:p w:rsidR="0090471F" w:rsidP="0090471F" w:rsidRDefault="0090471F" w14:paraId="6A721BF1" w14:textId="77777777">
      <w:r>
        <w:t>ADDRESS</w:t>
      </w:r>
    </w:p>
    <w:p w:rsidR="0090471F" w:rsidP="0090471F" w:rsidRDefault="0090471F" w14:paraId="36A6DB85" w14:textId="77777777">
      <w:pPr>
        <w:spacing w:after="0"/>
      </w:pPr>
    </w:p>
    <w:p w:rsidR="0090471F" w:rsidP="0090471F" w:rsidRDefault="0090471F" w14:paraId="3A405788" w14:textId="77777777">
      <w:pPr>
        <w:spacing w:after="0"/>
      </w:pPr>
      <w:r>
        <w:t xml:space="preserve">GREETING, </w:t>
      </w:r>
    </w:p>
    <w:p w:rsidR="0090471F" w:rsidP="0090471F" w:rsidRDefault="0090471F" w14:paraId="516ACA8E" w14:textId="77777777">
      <w:pPr>
        <w:spacing w:after="0"/>
      </w:pPr>
    </w:p>
    <w:p w:rsidR="0090471F" w:rsidP="0090471F" w:rsidRDefault="0090471F" w14:paraId="08E994BD" w14:textId="77777777">
      <w:pPr>
        <w:spacing w:after="0"/>
      </w:pPr>
      <w:r>
        <w:t xml:space="preserve">Thank you for participating in (or allowing your child/ward, NAME, to take part in) the Agency for Toxic Substances and Disease Registry’s (ATSDR’s) Exposure Investigation in Jasper and Newton Counties in Missouri. The goal of the Exposure Investigation is to determine whether people living on or near the </w:t>
      </w:r>
      <w:proofErr w:type="spellStart"/>
      <w:r>
        <w:t>Oronogo-Duenweg</w:t>
      </w:r>
      <w:proofErr w:type="spellEnd"/>
      <w:r>
        <w:t xml:space="preserve"> Mining Belt and Newton County Mine Tailings Superfund sites are being exposed to lead . The best way to determine lead exposure is with a blood lead test. We tested blood to see if the blood lead level is above the CDC Blood Lead Reference Value (BLRV). The BLRV for children &lt; 16 years is 3.5 </w:t>
      </w:r>
      <w:r>
        <w:rPr>
          <w:rFonts w:cs="Times New Roman"/>
        </w:rPr>
        <w:t>µ</w:t>
      </w:r>
      <w:r>
        <w:t xml:space="preserve">g/dL), and the BLRV for adults &gt;16 years is 5 </w:t>
      </w:r>
      <w:r>
        <w:rPr>
          <w:rFonts w:cs="Times New Roman"/>
        </w:rPr>
        <w:t>µ</w:t>
      </w:r>
      <w:r>
        <w:t>g/dL.</w:t>
      </w:r>
    </w:p>
    <w:p w:rsidR="0090471F" w:rsidP="0090471F" w:rsidRDefault="0090471F" w14:paraId="03FBC066" w14:textId="77777777">
      <w:pPr>
        <w:spacing w:after="0"/>
      </w:pPr>
    </w:p>
    <w:p w:rsidR="0090471F" w:rsidP="0090471F" w:rsidRDefault="0090471F" w14:paraId="6C10C332" w14:textId="77777777">
      <w:pPr>
        <w:spacing w:after="0"/>
      </w:pPr>
      <w:r>
        <w:t>This letter contains your (your child’s/ward’s) blood lead and environmental testing results. ATSDR collected blood from you (your child/ward) for testing on [Month Day, Year]. The Environmental Protection Agency (EPA) Region 7 and the Missouri Department of Health and Senior Services tested your yard, water, and household on [Month Day, Year] and [Month Day, Year] respectively.</w:t>
      </w:r>
    </w:p>
    <w:p w:rsidR="0090471F" w:rsidP="0090471F" w:rsidRDefault="0090471F" w14:paraId="5A1D5391" w14:textId="77777777">
      <w:pPr>
        <w:spacing w:after="0"/>
      </w:pPr>
    </w:p>
    <w:p w:rsidR="0090471F" w:rsidP="0090471F" w:rsidRDefault="0090471F" w14:paraId="321BCC00" w14:textId="77777777">
      <w:pPr>
        <w:spacing w:after="0"/>
      </w:pPr>
      <w:r>
        <w:t xml:space="preserve">EPA has enclosed a letter describing your environmental sampling results and information regarding potential action(s) that may be needed to reduce your exposure to lead. </w:t>
      </w:r>
    </w:p>
    <w:p w:rsidR="0090471F" w:rsidP="0090471F" w:rsidRDefault="0090471F" w14:paraId="6F6DEC2C" w14:textId="77777777">
      <w:pPr>
        <w:spacing w:after="0"/>
      </w:pPr>
    </w:p>
    <w:p w:rsidR="0090471F" w:rsidP="0090471F" w:rsidRDefault="0090471F" w14:paraId="670A3B75" w14:textId="77777777">
      <w:pPr>
        <w:spacing w:after="0"/>
      </w:pPr>
      <w:r>
        <w:t xml:space="preserve">Your (Your child’s/ward’s) blood lead, soil, water, and household results are shown in the enclosed Table 1. </w:t>
      </w:r>
    </w:p>
    <w:p w:rsidR="0090471F" w:rsidP="0090471F" w:rsidRDefault="0090471F" w14:paraId="0E97F1DD" w14:textId="77777777">
      <w:pPr>
        <w:spacing w:after="0"/>
      </w:pPr>
    </w:p>
    <w:p w:rsidR="0090471F" w:rsidP="0090471F" w:rsidRDefault="0090471F" w14:paraId="76267683" w14:textId="77777777">
      <w:pPr>
        <w:spacing w:after="0"/>
        <w:rPr>
          <w:b/>
          <w:bCs/>
        </w:rPr>
      </w:pPr>
      <w:r>
        <w:rPr>
          <w:b/>
          <w:bCs/>
        </w:rPr>
        <w:t>Lead in Blood:</w:t>
      </w:r>
    </w:p>
    <w:p w:rsidR="0090471F" w:rsidP="0090471F" w:rsidRDefault="0090471F" w14:paraId="3C9D6784" w14:textId="77777777">
      <w:pPr>
        <w:spacing w:after="0"/>
        <w:rPr>
          <w:b/>
          <w:bCs/>
        </w:rPr>
      </w:pPr>
    </w:p>
    <w:p w:rsidRPr="007F50E0" w:rsidR="0090471F" w:rsidP="0090471F" w:rsidRDefault="0090471F" w14:paraId="7D990A64" w14:textId="77777777">
      <w:pPr>
        <w:pStyle w:val="ListParagraph"/>
        <w:numPr>
          <w:ilvl w:val="0"/>
          <w:numId w:val="1"/>
        </w:numPr>
        <w:spacing w:after="0"/>
        <w:rPr>
          <w:b/>
          <w:bCs/>
        </w:rPr>
      </w:pPr>
      <w:r>
        <w:rPr>
          <w:i/>
          <w:iCs/>
          <w:u w:val="single"/>
        </w:rPr>
        <w:lastRenderedPageBreak/>
        <w:t xml:space="preserve">If child’s BLL is </w:t>
      </w:r>
      <w:r w:rsidRPr="3B708C38">
        <w:rPr>
          <w:i/>
          <w:iCs/>
          <w:u w:val="single"/>
        </w:rPr>
        <w:t>&lt;</w:t>
      </w:r>
      <w:r>
        <w:rPr>
          <w:i/>
          <w:iCs/>
          <w:u w:val="single"/>
        </w:rPr>
        <w:t xml:space="preserve"> 3.5 </w:t>
      </w:r>
      <w:r>
        <w:rPr>
          <w:rFonts w:cs="Times New Roman"/>
          <w:i/>
          <w:iCs/>
          <w:u w:val="single"/>
        </w:rPr>
        <w:t>µ</w:t>
      </w:r>
      <w:r>
        <w:rPr>
          <w:i/>
          <w:iCs/>
          <w:u w:val="single"/>
        </w:rPr>
        <w:t>g/dL:</w:t>
      </w:r>
    </w:p>
    <w:p w:rsidR="0090471F" w:rsidP="0090471F" w:rsidRDefault="0090471F" w14:paraId="73309D8E" w14:textId="77777777">
      <w:pPr>
        <w:spacing w:after="0"/>
        <w:rPr>
          <w:b/>
          <w:bCs/>
        </w:rPr>
      </w:pPr>
    </w:p>
    <w:p w:rsidR="0090471F" w:rsidP="0090471F" w:rsidRDefault="0090471F" w14:paraId="2B193AE9" w14:textId="77777777">
      <w:pPr>
        <w:spacing w:after="0"/>
      </w:pPr>
      <w:r>
        <w:t xml:space="preserve">Your child’s/ward’s blood lead level was </w:t>
      </w:r>
      <w:r w:rsidRPr="002E64C8">
        <w:rPr>
          <w:b/>
          <w:bCs/>
        </w:rPr>
        <w:t>below</w:t>
      </w:r>
      <w:r>
        <w:rPr>
          <w:b/>
          <w:bCs/>
          <w:i/>
          <w:iCs/>
        </w:rPr>
        <w:t xml:space="preserve"> </w:t>
      </w:r>
      <w:r>
        <w:t xml:space="preserve">the reference level for blood lead. Although research to date indicates that there is no safe level of blood lead, the results indicate that your child’s/ward’s blood lead level is like most other children’s blood lead levels in the United States. Therefore, no additional healthcare action regarding lead in blood is recommended based on these results. </w:t>
      </w:r>
    </w:p>
    <w:p w:rsidR="0090471F" w:rsidP="0090471F" w:rsidRDefault="0090471F" w14:paraId="01F5CCE6" w14:textId="77777777">
      <w:pPr>
        <w:spacing w:after="0"/>
      </w:pPr>
    </w:p>
    <w:p w:rsidRPr="008F59BE" w:rsidR="0090471F" w:rsidP="0090471F" w:rsidRDefault="0090471F" w14:paraId="4DC23546" w14:textId="77777777">
      <w:pPr>
        <w:pStyle w:val="ListParagraph"/>
        <w:numPr>
          <w:ilvl w:val="0"/>
          <w:numId w:val="1"/>
        </w:numPr>
        <w:spacing w:after="0"/>
      </w:pPr>
      <w:r>
        <w:rPr>
          <w:i/>
          <w:iCs/>
          <w:u w:val="single"/>
        </w:rPr>
        <w:t>I</w:t>
      </w:r>
      <w:r w:rsidRPr="00C42A2A">
        <w:rPr>
          <w:i/>
          <w:iCs/>
          <w:u w:val="single"/>
        </w:rPr>
        <w:t>f child BLL is</w:t>
      </w:r>
      <w:r w:rsidRPr="3B708C38">
        <w:rPr>
          <w:rFonts w:cs="Times New Roman"/>
          <w:i/>
          <w:iCs/>
          <w:u w:val="single"/>
        </w:rPr>
        <w:t xml:space="preserve"> ≥</w:t>
      </w:r>
      <w:r>
        <w:rPr>
          <w:rFonts w:cs="Times New Roman"/>
          <w:i/>
          <w:iCs/>
          <w:u w:val="single"/>
        </w:rPr>
        <w:t xml:space="preserve"> </w:t>
      </w:r>
      <w:r w:rsidRPr="00C42A2A">
        <w:rPr>
          <w:i/>
          <w:iCs/>
          <w:u w:val="single"/>
        </w:rPr>
        <w:t xml:space="preserve">3.5 </w:t>
      </w:r>
      <w:r w:rsidRPr="00C42A2A">
        <w:rPr>
          <w:rFonts w:cs="Times New Roman"/>
          <w:i/>
          <w:iCs/>
          <w:u w:val="single"/>
        </w:rPr>
        <w:t>µ</w:t>
      </w:r>
      <w:r w:rsidRPr="00C42A2A">
        <w:rPr>
          <w:i/>
          <w:iCs/>
          <w:u w:val="single"/>
        </w:rPr>
        <w:t>g/dL:</w:t>
      </w:r>
    </w:p>
    <w:p w:rsidR="0090471F" w:rsidP="0090471F" w:rsidRDefault="0090471F" w14:paraId="2E828E3B" w14:textId="77777777">
      <w:pPr>
        <w:spacing w:after="0"/>
      </w:pPr>
    </w:p>
    <w:p w:rsidR="0090471F" w:rsidP="0090471F" w:rsidRDefault="0090471F" w14:paraId="61974912" w14:textId="77777777">
      <w:pPr>
        <w:spacing w:after="0"/>
      </w:pPr>
      <w:r>
        <w:t xml:space="preserve">Your child’s/ward’s blood lead level was </w:t>
      </w:r>
      <w:r w:rsidRPr="002E64C8">
        <w:rPr>
          <w:b/>
          <w:bCs/>
        </w:rPr>
        <w:t>equal to or above</w:t>
      </w:r>
      <w:r>
        <w:t xml:space="preserve"> the reference level for blood lead. As a result, we will contact you to help identify ways to reduce your child’s/ward’s exposure to lead. You can also speak with your local health department, as well as your primary care provider for recommendations and resources to address childhood lead exposure.  </w:t>
      </w:r>
    </w:p>
    <w:p w:rsidR="0090471F" w:rsidP="0090471F" w:rsidRDefault="0090471F" w14:paraId="03DB1700" w14:textId="77777777">
      <w:pPr>
        <w:spacing w:after="0"/>
        <w:rPr>
          <w:b/>
          <w:bCs/>
        </w:rPr>
      </w:pPr>
    </w:p>
    <w:p w:rsidRPr="008F59BE" w:rsidR="0090471F" w:rsidP="0090471F" w:rsidRDefault="0090471F" w14:paraId="070E1E37" w14:textId="77777777">
      <w:pPr>
        <w:pStyle w:val="ListParagraph"/>
        <w:numPr>
          <w:ilvl w:val="0"/>
          <w:numId w:val="1"/>
        </w:numPr>
        <w:spacing w:after="0"/>
        <w:rPr>
          <w:b/>
          <w:bCs/>
        </w:rPr>
      </w:pPr>
      <w:r>
        <w:rPr>
          <w:i/>
          <w:iCs/>
          <w:u w:val="single"/>
        </w:rPr>
        <w:t xml:space="preserve">If pregnant woman or woman of childbearing age BLL is </w:t>
      </w:r>
      <w:r w:rsidRPr="3B708C38">
        <w:rPr>
          <w:i/>
          <w:iCs/>
          <w:u w:val="single"/>
        </w:rPr>
        <w:t>&lt;</w:t>
      </w:r>
      <w:r>
        <w:rPr>
          <w:i/>
          <w:iCs/>
          <w:u w:val="single"/>
        </w:rPr>
        <w:t xml:space="preserve"> 5 </w:t>
      </w:r>
      <w:r>
        <w:rPr>
          <w:rFonts w:cs="Times New Roman"/>
          <w:i/>
          <w:iCs/>
          <w:u w:val="single"/>
        </w:rPr>
        <w:t>µ</w:t>
      </w:r>
      <w:r>
        <w:rPr>
          <w:i/>
          <w:iCs/>
          <w:u w:val="single"/>
        </w:rPr>
        <w:t>g/dL:</w:t>
      </w:r>
    </w:p>
    <w:p w:rsidR="0090471F" w:rsidP="0090471F" w:rsidRDefault="0090471F" w14:paraId="43A9D4D5" w14:textId="77777777">
      <w:pPr>
        <w:spacing w:after="0"/>
        <w:rPr>
          <w:b/>
          <w:bCs/>
        </w:rPr>
      </w:pPr>
    </w:p>
    <w:p w:rsidR="0090471F" w:rsidP="0090471F" w:rsidRDefault="0090471F" w14:paraId="6556D9B3" w14:textId="77777777">
      <w:pPr>
        <w:spacing w:after="0"/>
      </w:pPr>
      <w:r>
        <w:t xml:space="preserve">Your blood lead level was </w:t>
      </w:r>
      <w:r w:rsidRPr="002E64C8">
        <w:rPr>
          <w:b/>
          <w:bCs/>
        </w:rPr>
        <w:t>below</w:t>
      </w:r>
      <w:r>
        <w:t xml:space="preserve"> the reference level for blood lead in pregnant women or women of childbearing age. Although research to date indicates that there is no safe level of blood lead, the results indicate that your blood lead level is like most other women in the United States. Therefore, no additional healthcare action regarding lead in blood is recommended based on these results.</w:t>
      </w:r>
    </w:p>
    <w:p w:rsidR="0090471F" w:rsidP="0090471F" w:rsidRDefault="0090471F" w14:paraId="4FEA9E90" w14:textId="77777777">
      <w:pPr>
        <w:spacing w:after="0"/>
        <w:rPr>
          <w:b/>
          <w:bCs/>
        </w:rPr>
      </w:pPr>
    </w:p>
    <w:p w:rsidRPr="008F59BE" w:rsidR="0090471F" w:rsidP="0090471F" w:rsidRDefault="0090471F" w14:paraId="76D1E1C9" w14:textId="77777777">
      <w:pPr>
        <w:pStyle w:val="ListParagraph"/>
        <w:numPr>
          <w:ilvl w:val="0"/>
          <w:numId w:val="1"/>
        </w:numPr>
        <w:spacing w:after="0"/>
        <w:rPr>
          <w:b/>
          <w:bCs/>
        </w:rPr>
      </w:pPr>
      <w:r>
        <w:rPr>
          <w:i/>
          <w:iCs/>
          <w:u w:val="single"/>
        </w:rPr>
        <w:t xml:space="preserve">If pregnant woman or woman of childbearing age BLL is </w:t>
      </w:r>
      <w:r>
        <w:rPr>
          <w:rFonts w:cs="Times New Roman"/>
          <w:i/>
          <w:iCs/>
          <w:u w:val="single"/>
        </w:rPr>
        <w:t>≥</w:t>
      </w:r>
      <w:r>
        <w:rPr>
          <w:i/>
          <w:iCs/>
          <w:u w:val="single"/>
        </w:rPr>
        <w:t xml:space="preserve"> 5 </w:t>
      </w:r>
      <w:r>
        <w:rPr>
          <w:rFonts w:cs="Times New Roman"/>
          <w:i/>
          <w:iCs/>
          <w:u w:val="single"/>
        </w:rPr>
        <w:t>µ</w:t>
      </w:r>
      <w:r>
        <w:rPr>
          <w:i/>
          <w:iCs/>
          <w:u w:val="single"/>
        </w:rPr>
        <w:t>g/dL:</w:t>
      </w:r>
    </w:p>
    <w:p w:rsidR="0090471F" w:rsidP="0090471F" w:rsidRDefault="0090471F" w14:paraId="6CCFD64D" w14:textId="77777777">
      <w:pPr>
        <w:spacing w:after="0"/>
        <w:rPr>
          <w:b/>
          <w:bCs/>
        </w:rPr>
      </w:pPr>
    </w:p>
    <w:p w:rsidR="0090471F" w:rsidP="0090471F" w:rsidRDefault="0090471F" w14:paraId="7C5D3298" w14:textId="77777777">
      <w:pPr>
        <w:spacing w:after="0"/>
      </w:pPr>
      <w:r>
        <w:t xml:space="preserve">Your blood lead level was </w:t>
      </w:r>
      <w:r w:rsidRPr="002E64C8">
        <w:rPr>
          <w:b/>
          <w:bCs/>
        </w:rPr>
        <w:t>above</w:t>
      </w:r>
      <w:r w:rsidRPr="00EA0C67">
        <w:t xml:space="preserve"> </w:t>
      </w:r>
      <w:r>
        <w:t>the reference level for blood lead in pregnant women or women of childbearing age.</w:t>
      </w:r>
      <w:r w:rsidRPr="000D182A">
        <w:t xml:space="preserve"> </w:t>
      </w:r>
      <w:r>
        <w:t>As a result, we will contact you to help identify ways to reduce your</w:t>
      </w:r>
      <w:r w:rsidRPr="000D182A">
        <w:t xml:space="preserve"> </w:t>
      </w:r>
      <w:r>
        <w:t xml:space="preserve">exposure to lead. You can also speak with your primary care provider or obstetrician-gynecologist for recommendations and resources to address your lead exposure. </w:t>
      </w:r>
    </w:p>
    <w:p w:rsidR="0090471F" w:rsidP="0090471F" w:rsidRDefault="0090471F" w14:paraId="1E6ADD58" w14:textId="77777777">
      <w:pPr>
        <w:spacing w:after="0"/>
        <w:rPr>
          <w:rFonts w:eastAsia="Calibri"/>
          <w:szCs w:val="24"/>
        </w:rPr>
      </w:pPr>
    </w:p>
    <w:p w:rsidR="0090471F" w:rsidP="0090471F" w:rsidRDefault="0090471F" w14:paraId="04BA30A5" w14:textId="77777777">
      <w:pPr>
        <w:spacing w:after="0"/>
        <w:rPr>
          <w:b/>
          <w:bCs/>
        </w:rPr>
      </w:pPr>
      <w:r w:rsidRPr="50FBE9F5">
        <w:rPr>
          <w:b/>
          <w:bCs/>
        </w:rPr>
        <w:t>Lead in Yard Soil:</w:t>
      </w:r>
    </w:p>
    <w:p w:rsidR="0090471F" w:rsidP="0090471F" w:rsidRDefault="0090471F" w14:paraId="75E8DBD7" w14:textId="77777777">
      <w:pPr>
        <w:spacing w:after="0"/>
      </w:pPr>
    </w:p>
    <w:p w:rsidRPr="000D182A" w:rsidR="0090471F" w:rsidP="0090471F" w:rsidRDefault="0090471F" w14:paraId="0146C643" w14:textId="77777777">
      <w:pPr>
        <w:pStyle w:val="ListParagraph"/>
        <w:numPr>
          <w:ilvl w:val="0"/>
          <w:numId w:val="1"/>
        </w:numPr>
        <w:spacing w:after="0"/>
        <w:rPr>
          <w:u w:val="single"/>
        </w:rPr>
      </w:pPr>
      <w:r>
        <w:rPr>
          <w:i/>
          <w:iCs/>
          <w:u w:val="single"/>
        </w:rPr>
        <w:t>If soil lead level is below EPA’s soil action level</w:t>
      </w:r>
    </w:p>
    <w:p w:rsidR="0090471F" w:rsidP="0090471F" w:rsidRDefault="0090471F" w14:paraId="1330B542" w14:textId="77777777">
      <w:pPr>
        <w:spacing w:after="0"/>
      </w:pPr>
    </w:p>
    <w:p w:rsidR="0090471F" w:rsidP="0090471F" w:rsidRDefault="0090471F" w14:paraId="4EA6724E" w14:textId="77777777">
      <w:pPr>
        <w:spacing w:after="0"/>
      </w:pPr>
      <w:r>
        <w:t xml:space="preserve">Your soil lead level was </w:t>
      </w:r>
      <w:r w:rsidRPr="002E64C8">
        <w:rPr>
          <w:b/>
          <w:bCs/>
        </w:rPr>
        <w:t>below</w:t>
      </w:r>
      <w:r>
        <w:t xml:space="preserve"> EPA’s soil Removal Management Level for lead. Therefore, no additional remedial action will be taken by EPA based on these results. Additional information from EPA is enclosed in a separate letter. </w:t>
      </w:r>
    </w:p>
    <w:p w:rsidRPr="00C42A2A" w:rsidR="0090471F" w:rsidP="0090471F" w:rsidRDefault="0090471F" w14:paraId="627BEAB2" w14:textId="77777777">
      <w:pPr>
        <w:spacing w:after="0"/>
      </w:pPr>
      <w:r>
        <w:t xml:space="preserve"> </w:t>
      </w:r>
    </w:p>
    <w:p w:rsidRPr="00C42A2A" w:rsidR="0090471F" w:rsidP="0090471F" w:rsidRDefault="0090471F" w14:paraId="46E7946B" w14:textId="77777777">
      <w:pPr>
        <w:pStyle w:val="ListParagraph"/>
        <w:numPr>
          <w:ilvl w:val="0"/>
          <w:numId w:val="1"/>
        </w:numPr>
        <w:spacing w:after="0"/>
      </w:pPr>
      <w:r>
        <w:rPr>
          <w:i/>
          <w:iCs/>
          <w:u w:val="single"/>
        </w:rPr>
        <w:t xml:space="preserve">If soil lead level is </w:t>
      </w:r>
      <w:r>
        <w:rPr>
          <w:rFonts w:cs="Times New Roman"/>
          <w:i/>
          <w:iCs/>
          <w:u w:val="single"/>
        </w:rPr>
        <w:t>above EPA’s soil action level</w:t>
      </w:r>
    </w:p>
    <w:p w:rsidR="0090471F" w:rsidP="0090471F" w:rsidRDefault="0090471F" w14:paraId="3D3599F9" w14:textId="77777777">
      <w:pPr>
        <w:spacing w:after="0"/>
      </w:pPr>
    </w:p>
    <w:p w:rsidR="0090471F" w:rsidP="0090471F" w:rsidRDefault="0090471F" w14:paraId="4C60BBC6" w14:textId="77777777">
      <w:pPr>
        <w:spacing w:after="0"/>
      </w:pPr>
      <w:r>
        <w:t xml:space="preserve">Your soil lead level was equal to or </w:t>
      </w:r>
      <w:r w:rsidRPr="002E64C8">
        <w:rPr>
          <w:b/>
          <w:bCs/>
        </w:rPr>
        <w:t>above</w:t>
      </w:r>
      <w:r>
        <w:rPr>
          <w:b/>
          <w:bCs/>
          <w:i/>
          <w:iCs/>
        </w:rPr>
        <w:t xml:space="preserve"> </w:t>
      </w:r>
      <w:r>
        <w:t xml:space="preserve">EPA’s soil Removal Management Level for lead. As a result, EPA will contact you to discuss removing the contaminated soil and replacing it will clean </w:t>
      </w:r>
      <w:r>
        <w:lastRenderedPageBreak/>
        <w:t xml:space="preserve">soil. You can also reach out the EPA at </w:t>
      </w:r>
      <w:r w:rsidRPr="00C42A2A">
        <w:t>(913) 551-7186</w:t>
      </w:r>
      <w:r>
        <w:t xml:space="preserve">. Additional information from EPA is enclosed in a separate letter. </w:t>
      </w:r>
    </w:p>
    <w:p w:rsidR="0090471F" w:rsidP="0090471F" w:rsidRDefault="0090471F" w14:paraId="36107E5C" w14:textId="77777777">
      <w:pPr>
        <w:spacing w:after="0"/>
      </w:pPr>
    </w:p>
    <w:p w:rsidR="0090471F" w:rsidP="0090471F" w:rsidRDefault="0090471F" w14:paraId="31CC6AB0" w14:textId="77777777">
      <w:pPr>
        <w:spacing w:after="0"/>
        <w:rPr>
          <w:b/>
          <w:bCs/>
        </w:rPr>
      </w:pPr>
      <w:r w:rsidRPr="3B708C38">
        <w:rPr>
          <w:b/>
          <w:bCs/>
        </w:rPr>
        <w:t>Lead in Dust:</w:t>
      </w:r>
    </w:p>
    <w:p w:rsidR="0090471F" w:rsidP="0090471F" w:rsidRDefault="0090471F" w14:paraId="0A259E8F" w14:textId="77777777">
      <w:pPr>
        <w:spacing w:after="0"/>
        <w:rPr>
          <w:rFonts w:eastAsia="Calibri"/>
          <w:szCs w:val="24"/>
        </w:rPr>
      </w:pPr>
    </w:p>
    <w:p w:rsidRPr="002C7FE7" w:rsidR="0090471F" w:rsidP="0090471F" w:rsidRDefault="0090471F" w14:paraId="60408566" w14:textId="77777777">
      <w:pPr>
        <w:pStyle w:val="ListParagraph"/>
        <w:numPr>
          <w:ilvl w:val="0"/>
          <w:numId w:val="1"/>
        </w:numPr>
        <w:spacing w:after="0"/>
      </w:pPr>
      <w:r>
        <w:rPr>
          <w:i/>
          <w:iCs/>
          <w:u w:val="single"/>
        </w:rPr>
        <w:t>If dust levels are &lt; 10 micrograms per square foot (</w:t>
      </w:r>
      <w:r>
        <w:rPr>
          <w:rFonts w:cs="Times New Roman"/>
          <w:i/>
          <w:iCs/>
          <w:u w:val="single"/>
        </w:rPr>
        <w:t>µ</w:t>
      </w:r>
      <w:r>
        <w:rPr>
          <w:i/>
          <w:iCs/>
          <w:u w:val="single"/>
        </w:rPr>
        <w:t>g/ft</w:t>
      </w:r>
      <w:r w:rsidRPr="002C7FE7">
        <w:rPr>
          <w:i/>
          <w:iCs/>
          <w:u w:val="single"/>
          <w:vertAlign w:val="superscript"/>
        </w:rPr>
        <w:t>2</w:t>
      </w:r>
      <w:r>
        <w:rPr>
          <w:i/>
          <w:iCs/>
          <w:u w:val="single"/>
        </w:rPr>
        <w:t xml:space="preserve">) (interior floors), &lt; 40 </w:t>
      </w:r>
      <w:r>
        <w:rPr>
          <w:rFonts w:cs="Times New Roman"/>
          <w:i/>
          <w:iCs/>
          <w:u w:val="single"/>
        </w:rPr>
        <w:t>µ</w:t>
      </w:r>
      <w:r>
        <w:rPr>
          <w:i/>
          <w:iCs/>
          <w:u w:val="single"/>
        </w:rPr>
        <w:t>g/ft</w:t>
      </w:r>
      <w:r w:rsidRPr="002C7FE7">
        <w:rPr>
          <w:i/>
          <w:iCs/>
          <w:u w:val="single"/>
          <w:vertAlign w:val="superscript"/>
        </w:rPr>
        <w:t>2</w:t>
      </w:r>
      <w:r>
        <w:rPr>
          <w:i/>
          <w:iCs/>
          <w:u w:val="single"/>
        </w:rPr>
        <w:t xml:space="preserve"> (porch floors), &lt; 100 </w:t>
      </w:r>
      <w:r>
        <w:rPr>
          <w:rFonts w:cs="Times New Roman"/>
          <w:i/>
          <w:iCs/>
          <w:u w:val="single"/>
        </w:rPr>
        <w:t>µ</w:t>
      </w:r>
      <w:r>
        <w:rPr>
          <w:i/>
          <w:iCs/>
          <w:u w:val="single"/>
        </w:rPr>
        <w:t>g/ft</w:t>
      </w:r>
      <w:r w:rsidRPr="002C7FE7">
        <w:rPr>
          <w:i/>
          <w:iCs/>
          <w:u w:val="single"/>
          <w:vertAlign w:val="superscript"/>
        </w:rPr>
        <w:t>2</w:t>
      </w:r>
      <w:r>
        <w:rPr>
          <w:i/>
          <w:iCs/>
          <w:u w:val="single"/>
        </w:rPr>
        <w:t xml:space="preserve"> (interior windowsills), and/or &lt; 100 </w:t>
      </w:r>
      <w:r>
        <w:rPr>
          <w:rFonts w:cs="Times New Roman"/>
          <w:i/>
          <w:iCs/>
          <w:u w:val="single"/>
        </w:rPr>
        <w:t>µ</w:t>
      </w:r>
      <w:r>
        <w:rPr>
          <w:i/>
          <w:iCs/>
          <w:u w:val="single"/>
        </w:rPr>
        <w:t>g/ft</w:t>
      </w:r>
      <w:r w:rsidRPr="002C7FE7">
        <w:rPr>
          <w:i/>
          <w:iCs/>
          <w:u w:val="single"/>
          <w:vertAlign w:val="superscript"/>
        </w:rPr>
        <w:t>2</w:t>
      </w:r>
      <w:r>
        <w:rPr>
          <w:i/>
          <w:iCs/>
          <w:u w:val="single"/>
        </w:rPr>
        <w:t xml:space="preserve"> (window troughs)</w:t>
      </w:r>
    </w:p>
    <w:p w:rsidR="0090471F" w:rsidP="0090471F" w:rsidRDefault="0090471F" w14:paraId="264A95C3" w14:textId="77777777">
      <w:pPr>
        <w:spacing w:after="0"/>
      </w:pPr>
    </w:p>
    <w:p w:rsidR="0090471F" w:rsidP="0090471F" w:rsidRDefault="0090471F" w14:paraId="16602F69" w14:textId="77777777">
      <w:pPr>
        <w:spacing w:after="0"/>
      </w:pPr>
      <w:r>
        <w:t xml:space="preserve">Lead dust levels in your household are </w:t>
      </w:r>
      <w:r w:rsidRPr="002E64C8">
        <w:rPr>
          <w:b/>
          <w:bCs/>
        </w:rPr>
        <w:t>below</w:t>
      </w:r>
      <w:r>
        <w:rPr>
          <w:b/>
          <w:bCs/>
          <w:i/>
          <w:iCs/>
        </w:rPr>
        <w:t xml:space="preserve"> </w:t>
      </w:r>
      <w:r>
        <w:t xml:space="preserve">levels of concern and are not considered to be lead-bearing. Therefore, no additional actions are needed based on these results. </w:t>
      </w:r>
    </w:p>
    <w:p w:rsidRPr="002C7FE7" w:rsidR="0090471F" w:rsidP="0090471F" w:rsidRDefault="0090471F" w14:paraId="03079342" w14:textId="77777777">
      <w:pPr>
        <w:spacing w:after="0"/>
      </w:pPr>
    </w:p>
    <w:p w:rsidRPr="00C4414F" w:rsidR="0090471F" w:rsidP="0090471F" w:rsidRDefault="0090471F" w14:paraId="54A902B9" w14:textId="77777777">
      <w:pPr>
        <w:pStyle w:val="ListParagraph"/>
        <w:numPr>
          <w:ilvl w:val="0"/>
          <w:numId w:val="1"/>
        </w:numPr>
        <w:spacing w:after="0"/>
      </w:pPr>
      <w:r>
        <w:rPr>
          <w:i/>
          <w:iCs/>
          <w:u w:val="single"/>
        </w:rPr>
        <w:t xml:space="preserve">If dust levels are </w:t>
      </w:r>
      <w:r>
        <w:rPr>
          <w:rFonts w:cs="Times New Roman"/>
          <w:i/>
          <w:iCs/>
          <w:u w:val="single"/>
        </w:rPr>
        <w:t>≥</w:t>
      </w:r>
      <w:r>
        <w:rPr>
          <w:i/>
          <w:iCs/>
          <w:u w:val="single"/>
        </w:rPr>
        <w:t xml:space="preserve"> 10 micrograms per square foot (</w:t>
      </w:r>
      <w:r>
        <w:rPr>
          <w:rFonts w:cs="Times New Roman"/>
          <w:i/>
          <w:iCs/>
          <w:u w:val="single"/>
        </w:rPr>
        <w:t>µ</w:t>
      </w:r>
      <w:r>
        <w:rPr>
          <w:i/>
          <w:iCs/>
          <w:u w:val="single"/>
        </w:rPr>
        <w:t>g/ft</w:t>
      </w:r>
      <w:r w:rsidRPr="002C7FE7">
        <w:rPr>
          <w:i/>
          <w:iCs/>
          <w:u w:val="single"/>
          <w:vertAlign w:val="superscript"/>
        </w:rPr>
        <w:t>2</w:t>
      </w:r>
      <w:r>
        <w:rPr>
          <w:i/>
          <w:iCs/>
          <w:u w:val="single"/>
        </w:rPr>
        <w:t xml:space="preserve">) (interior floors), </w:t>
      </w:r>
      <w:r>
        <w:rPr>
          <w:rFonts w:cs="Times New Roman"/>
          <w:i/>
          <w:iCs/>
          <w:u w:val="single"/>
        </w:rPr>
        <w:t>≥</w:t>
      </w:r>
      <w:r>
        <w:rPr>
          <w:i/>
          <w:iCs/>
          <w:u w:val="single"/>
        </w:rPr>
        <w:t xml:space="preserve"> 40 </w:t>
      </w:r>
      <w:r>
        <w:rPr>
          <w:rFonts w:cs="Times New Roman"/>
          <w:i/>
          <w:iCs/>
          <w:u w:val="single"/>
        </w:rPr>
        <w:t>µ</w:t>
      </w:r>
      <w:r>
        <w:rPr>
          <w:i/>
          <w:iCs/>
          <w:u w:val="single"/>
        </w:rPr>
        <w:t>g/ft</w:t>
      </w:r>
      <w:r w:rsidRPr="002C7FE7">
        <w:rPr>
          <w:i/>
          <w:iCs/>
          <w:u w:val="single"/>
          <w:vertAlign w:val="superscript"/>
        </w:rPr>
        <w:t>2</w:t>
      </w:r>
      <w:r>
        <w:rPr>
          <w:i/>
          <w:iCs/>
          <w:u w:val="single"/>
        </w:rPr>
        <w:t xml:space="preserve"> (porch floors), </w:t>
      </w:r>
      <w:r>
        <w:rPr>
          <w:rFonts w:cs="Times New Roman"/>
          <w:i/>
          <w:iCs/>
          <w:u w:val="single"/>
        </w:rPr>
        <w:t>≥</w:t>
      </w:r>
      <w:r>
        <w:rPr>
          <w:i/>
          <w:iCs/>
          <w:u w:val="single"/>
        </w:rPr>
        <w:t xml:space="preserve"> 100 </w:t>
      </w:r>
      <w:r>
        <w:rPr>
          <w:rFonts w:cs="Times New Roman"/>
          <w:i/>
          <w:iCs/>
          <w:u w:val="single"/>
        </w:rPr>
        <w:t>µ</w:t>
      </w:r>
      <w:r>
        <w:rPr>
          <w:i/>
          <w:iCs/>
          <w:u w:val="single"/>
        </w:rPr>
        <w:t>g/ft</w:t>
      </w:r>
      <w:r w:rsidRPr="002C7FE7">
        <w:rPr>
          <w:i/>
          <w:iCs/>
          <w:u w:val="single"/>
          <w:vertAlign w:val="superscript"/>
        </w:rPr>
        <w:t>2</w:t>
      </w:r>
      <w:r>
        <w:rPr>
          <w:i/>
          <w:iCs/>
          <w:u w:val="single"/>
        </w:rPr>
        <w:t xml:space="preserve"> (interior windowsills), and/or </w:t>
      </w:r>
      <w:r>
        <w:rPr>
          <w:rFonts w:cs="Times New Roman"/>
          <w:i/>
          <w:iCs/>
          <w:u w:val="single"/>
        </w:rPr>
        <w:t xml:space="preserve">≥ </w:t>
      </w:r>
      <w:r>
        <w:rPr>
          <w:i/>
          <w:iCs/>
          <w:u w:val="single"/>
        </w:rPr>
        <w:t xml:space="preserve">100 </w:t>
      </w:r>
      <w:r>
        <w:rPr>
          <w:rFonts w:cs="Times New Roman"/>
          <w:i/>
          <w:iCs/>
          <w:u w:val="single"/>
        </w:rPr>
        <w:t>µ</w:t>
      </w:r>
      <w:r>
        <w:rPr>
          <w:i/>
          <w:iCs/>
          <w:u w:val="single"/>
        </w:rPr>
        <w:t>g/ft</w:t>
      </w:r>
      <w:r w:rsidRPr="002C7FE7">
        <w:rPr>
          <w:i/>
          <w:iCs/>
          <w:u w:val="single"/>
          <w:vertAlign w:val="superscript"/>
        </w:rPr>
        <w:t>2</w:t>
      </w:r>
      <w:r>
        <w:rPr>
          <w:i/>
          <w:iCs/>
          <w:u w:val="single"/>
        </w:rPr>
        <w:t xml:space="preserve"> (window troughs)</w:t>
      </w:r>
    </w:p>
    <w:p w:rsidR="0090471F" w:rsidP="0090471F" w:rsidRDefault="0090471F" w14:paraId="72DA5271" w14:textId="77777777">
      <w:pPr>
        <w:spacing w:after="0"/>
      </w:pPr>
    </w:p>
    <w:p w:rsidR="0090471F" w:rsidP="0090471F" w:rsidRDefault="0090471F" w14:paraId="3C99A4B9" w14:textId="77777777">
      <w:pPr>
        <w:spacing w:after="0"/>
      </w:pPr>
      <w:r>
        <w:t xml:space="preserve">Lead dust levels in your household are </w:t>
      </w:r>
      <w:r w:rsidRPr="002E64C8">
        <w:rPr>
          <w:b/>
          <w:bCs/>
        </w:rPr>
        <w:t>above</w:t>
      </w:r>
      <w:r>
        <w:rPr>
          <w:b/>
          <w:bCs/>
          <w:i/>
          <w:iCs/>
        </w:rPr>
        <w:t xml:space="preserve"> </w:t>
      </w:r>
      <w:r>
        <w:t xml:space="preserve">levels that are considered to be a lead-bearing substance and may pose an exposure concern. As a result, we will reach out to you to help identify ways to reduce your (your child’s/ward’s) exposure to lead. </w:t>
      </w:r>
    </w:p>
    <w:p w:rsidR="0090471F" w:rsidP="0090471F" w:rsidRDefault="0090471F" w14:paraId="6D5127CB" w14:textId="77777777">
      <w:pPr>
        <w:spacing w:after="0"/>
        <w:rPr>
          <w:rFonts w:eastAsia="Calibri"/>
          <w:szCs w:val="24"/>
        </w:rPr>
      </w:pPr>
    </w:p>
    <w:p w:rsidR="0090471F" w:rsidP="0090471F" w:rsidRDefault="0090471F" w14:paraId="5D7087BD" w14:textId="77777777">
      <w:pPr>
        <w:spacing w:after="0"/>
        <w:rPr>
          <w:rFonts w:eastAsia="Calibri"/>
          <w:b/>
          <w:bCs/>
        </w:rPr>
      </w:pPr>
      <w:r w:rsidRPr="000D182A">
        <w:rPr>
          <w:rFonts w:eastAsia="Calibri"/>
          <w:b/>
          <w:bCs/>
        </w:rPr>
        <w:t>Lead in Paint:</w:t>
      </w:r>
    </w:p>
    <w:p w:rsidRPr="000D182A" w:rsidR="0090471F" w:rsidP="0090471F" w:rsidRDefault="0090471F" w14:paraId="41143434" w14:textId="77777777">
      <w:pPr>
        <w:spacing w:after="0"/>
        <w:rPr>
          <w:rFonts w:eastAsia="Calibri"/>
          <w:b/>
          <w:bCs/>
        </w:rPr>
      </w:pPr>
    </w:p>
    <w:p w:rsidRPr="00F91C60" w:rsidR="0090471F" w:rsidP="0090471F" w:rsidRDefault="0090471F" w14:paraId="3F2380DD" w14:textId="77777777">
      <w:pPr>
        <w:pStyle w:val="ListParagraph"/>
        <w:numPr>
          <w:ilvl w:val="0"/>
          <w:numId w:val="1"/>
        </w:numPr>
        <w:spacing w:after="0"/>
        <w:rPr>
          <w:rFonts w:eastAsia="Calibri"/>
          <w:szCs w:val="24"/>
        </w:rPr>
      </w:pPr>
      <w:r>
        <w:rPr>
          <w:i/>
          <w:iCs/>
          <w:u w:val="single"/>
        </w:rPr>
        <w:t>I</w:t>
      </w:r>
      <w:r w:rsidRPr="00F91C60">
        <w:rPr>
          <w:i/>
          <w:iCs/>
          <w:u w:val="single"/>
        </w:rPr>
        <w:t>f lead level is &lt; 1 mg/cm</w:t>
      </w:r>
      <w:r w:rsidRPr="00F91C60">
        <w:rPr>
          <w:i/>
          <w:iCs/>
          <w:u w:val="single"/>
          <w:vertAlign w:val="superscript"/>
        </w:rPr>
        <w:t>2</w:t>
      </w:r>
      <w:r w:rsidRPr="00F91C60">
        <w:rPr>
          <w:i/>
          <w:iCs/>
          <w:u w:val="single"/>
        </w:rPr>
        <w:t xml:space="preserve"> </w:t>
      </w:r>
    </w:p>
    <w:p w:rsidR="0090471F" w:rsidP="0090471F" w:rsidRDefault="0090471F" w14:paraId="50136D2F" w14:textId="77777777">
      <w:pPr>
        <w:spacing w:after="0"/>
        <w:rPr>
          <w:rFonts w:eastAsia="Calibri"/>
          <w:szCs w:val="24"/>
        </w:rPr>
      </w:pPr>
    </w:p>
    <w:p w:rsidR="0090471F" w:rsidP="0090471F" w:rsidRDefault="0090471F" w14:paraId="1450882E" w14:textId="77777777">
      <w:pPr>
        <w:spacing w:after="0"/>
        <w:rPr>
          <w:rFonts w:eastAsia="Calibri"/>
          <w:szCs w:val="24"/>
        </w:rPr>
      </w:pPr>
      <w:r>
        <w:rPr>
          <w:rFonts w:eastAsia="Calibri"/>
          <w:szCs w:val="24"/>
        </w:rPr>
        <w:t xml:space="preserve">Painted surfaces in your household are </w:t>
      </w:r>
      <w:r w:rsidRPr="002E64C8">
        <w:rPr>
          <w:rFonts w:eastAsia="Calibri"/>
          <w:b/>
          <w:bCs/>
          <w:szCs w:val="24"/>
        </w:rPr>
        <w:t>below</w:t>
      </w:r>
      <w:r>
        <w:rPr>
          <w:rFonts w:eastAsia="Calibri"/>
          <w:szCs w:val="24"/>
        </w:rPr>
        <w:t xml:space="preserve"> levels of concern and are not considered to be lead-bearing. Therefore, no additional actions are needed based on these results. </w:t>
      </w:r>
    </w:p>
    <w:p w:rsidR="0090471F" w:rsidP="0090471F" w:rsidRDefault="0090471F" w14:paraId="708519F6" w14:textId="77777777">
      <w:pPr>
        <w:spacing w:after="0"/>
        <w:rPr>
          <w:rFonts w:eastAsia="Calibri"/>
          <w:szCs w:val="24"/>
        </w:rPr>
      </w:pPr>
    </w:p>
    <w:p w:rsidRPr="00F91C60" w:rsidR="0090471F" w:rsidP="0090471F" w:rsidRDefault="0090471F" w14:paraId="3D41D69F" w14:textId="77777777">
      <w:pPr>
        <w:pStyle w:val="ListParagraph"/>
        <w:numPr>
          <w:ilvl w:val="0"/>
          <w:numId w:val="1"/>
        </w:numPr>
        <w:spacing w:after="0"/>
        <w:rPr>
          <w:rFonts w:eastAsia="Calibri"/>
          <w:szCs w:val="24"/>
        </w:rPr>
      </w:pPr>
      <w:r>
        <w:rPr>
          <w:i/>
          <w:iCs/>
          <w:u w:val="single"/>
        </w:rPr>
        <w:t>I</w:t>
      </w:r>
      <w:r w:rsidRPr="00F91C60">
        <w:rPr>
          <w:i/>
          <w:iCs/>
          <w:u w:val="single"/>
        </w:rPr>
        <w:t xml:space="preserve">f lead level is </w:t>
      </w:r>
      <w:r>
        <w:rPr>
          <w:rFonts w:cs="Times New Roman"/>
          <w:i/>
          <w:iCs/>
          <w:u w:val="single"/>
        </w:rPr>
        <w:t>≥</w:t>
      </w:r>
      <w:r w:rsidRPr="00F91C60">
        <w:rPr>
          <w:i/>
          <w:iCs/>
          <w:u w:val="single"/>
        </w:rPr>
        <w:t xml:space="preserve"> 1 mg/cm</w:t>
      </w:r>
      <w:r w:rsidRPr="00F91C60">
        <w:rPr>
          <w:i/>
          <w:iCs/>
          <w:u w:val="single"/>
          <w:vertAlign w:val="superscript"/>
        </w:rPr>
        <w:t>2</w:t>
      </w:r>
      <w:r w:rsidRPr="00F91C60">
        <w:rPr>
          <w:i/>
          <w:iCs/>
          <w:u w:val="single"/>
        </w:rPr>
        <w:t xml:space="preserve"> </w:t>
      </w:r>
    </w:p>
    <w:p w:rsidR="0090471F" w:rsidP="0090471F" w:rsidRDefault="0090471F" w14:paraId="21D36D1A" w14:textId="77777777">
      <w:pPr>
        <w:spacing w:after="0"/>
        <w:rPr>
          <w:rFonts w:eastAsia="Calibri"/>
          <w:szCs w:val="24"/>
        </w:rPr>
      </w:pPr>
    </w:p>
    <w:p w:rsidR="0090471F" w:rsidP="0090471F" w:rsidRDefault="0090471F" w14:paraId="470D4208" w14:textId="77777777">
      <w:pPr>
        <w:spacing w:after="0"/>
        <w:rPr>
          <w:rFonts w:eastAsia="Calibri"/>
          <w:szCs w:val="24"/>
        </w:rPr>
      </w:pPr>
      <w:r>
        <w:rPr>
          <w:rFonts w:eastAsia="Calibri"/>
          <w:szCs w:val="24"/>
        </w:rPr>
        <w:t xml:space="preserve">Painted surfaces in your household are </w:t>
      </w:r>
      <w:r w:rsidRPr="002E64C8">
        <w:rPr>
          <w:rFonts w:eastAsia="Calibri"/>
          <w:b/>
          <w:bCs/>
          <w:szCs w:val="24"/>
        </w:rPr>
        <w:t>above</w:t>
      </w:r>
      <w:r>
        <w:rPr>
          <w:rFonts w:eastAsia="Calibri"/>
          <w:szCs w:val="24"/>
        </w:rPr>
        <w:t xml:space="preserve"> levels considered to be lead-bearing and may pose an exposure concern. As a result, we will reach out to you to help identify ways to reduce your (your child’s/ward’s) exposure to lead. </w:t>
      </w:r>
    </w:p>
    <w:p w:rsidRPr="00F91C60" w:rsidR="0090471F" w:rsidP="0090471F" w:rsidRDefault="0090471F" w14:paraId="62AB0099" w14:textId="77777777">
      <w:pPr>
        <w:spacing w:after="0"/>
        <w:rPr>
          <w:rFonts w:eastAsia="Calibri"/>
          <w:szCs w:val="24"/>
        </w:rPr>
      </w:pPr>
    </w:p>
    <w:p w:rsidR="0090471F" w:rsidP="0090471F" w:rsidRDefault="0090471F" w14:paraId="5542E9AA" w14:textId="77777777">
      <w:pPr>
        <w:spacing w:after="0"/>
        <w:rPr>
          <w:rFonts w:eastAsia="Calibri"/>
          <w:b/>
          <w:bCs/>
        </w:rPr>
      </w:pPr>
      <w:r w:rsidRPr="00F91C60">
        <w:rPr>
          <w:rFonts w:eastAsia="Calibri"/>
          <w:b/>
          <w:bCs/>
        </w:rPr>
        <w:t>Lead in Water:</w:t>
      </w:r>
    </w:p>
    <w:p w:rsidRPr="00F91C60" w:rsidR="0090471F" w:rsidP="0090471F" w:rsidRDefault="0090471F" w14:paraId="030AF0CF" w14:textId="77777777">
      <w:pPr>
        <w:spacing w:after="0"/>
        <w:rPr>
          <w:rFonts w:eastAsia="Calibri"/>
          <w:b/>
          <w:bCs/>
        </w:rPr>
      </w:pPr>
    </w:p>
    <w:p w:rsidRPr="00F91C60" w:rsidR="0090471F" w:rsidP="0090471F" w:rsidRDefault="0090471F" w14:paraId="55C4E4B4" w14:textId="77777777">
      <w:pPr>
        <w:pStyle w:val="ListParagraph"/>
        <w:numPr>
          <w:ilvl w:val="0"/>
          <w:numId w:val="1"/>
        </w:numPr>
        <w:spacing w:after="0"/>
        <w:rPr>
          <w:rFonts w:eastAsia="Calibri"/>
          <w:szCs w:val="24"/>
        </w:rPr>
      </w:pPr>
      <w:r>
        <w:rPr>
          <w:i/>
          <w:iCs/>
          <w:u w:val="single"/>
        </w:rPr>
        <w:t>I</w:t>
      </w:r>
      <w:r w:rsidRPr="00F91C60">
        <w:rPr>
          <w:i/>
          <w:iCs/>
          <w:u w:val="single"/>
        </w:rPr>
        <w:t xml:space="preserve">f </w:t>
      </w:r>
      <w:r>
        <w:rPr>
          <w:i/>
          <w:iCs/>
          <w:u w:val="single"/>
        </w:rPr>
        <w:t xml:space="preserve">water </w:t>
      </w:r>
      <w:r w:rsidRPr="00F91C60">
        <w:rPr>
          <w:i/>
          <w:iCs/>
          <w:u w:val="single"/>
        </w:rPr>
        <w:t xml:space="preserve">lead level is </w:t>
      </w:r>
      <w:r>
        <w:rPr>
          <w:i/>
          <w:iCs/>
          <w:u w:val="single"/>
        </w:rPr>
        <w:t>&lt;</w:t>
      </w:r>
      <w:r w:rsidRPr="00F91C60">
        <w:rPr>
          <w:i/>
          <w:iCs/>
          <w:u w:val="single"/>
        </w:rPr>
        <w:t xml:space="preserve"> 1</w:t>
      </w:r>
      <w:r>
        <w:rPr>
          <w:i/>
          <w:iCs/>
          <w:u w:val="single"/>
        </w:rPr>
        <w:t xml:space="preserve">5 </w:t>
      </w:r>
      <w:r>
        <w:rPr>
          <w:rFonts w:cs="Times New Roman"/>
          <w:i/>
          <w:iCs/>
          <w:u w:val="single"/>
        </w:rPr>
        <w:t>µ</w:t>
      </w:r>
      <w:r>
        <w:rPr>
          <w:i/>
          <w:iCs/>
          <w:u w:val="single"/>
        </w:rPr>
        <w:t>g/L</w:t>
      </w:r>
      <w:r w:rsidRPr="00F91C60">
        <w:rPr>
          <w:i/>
          <w:iCs/>
          <w:u w:val="single"/>
        </w:rPr>
        <w:t xml:space="preserve"> </w:t>
      </w:r>
    </w:p>
    <w:p w:rsidR="0090471F" w:rsidP="0090471F" w:rsidRDefault="0090471F" w14:paraId="7D86AD5F" w14:textId="77777777">
      <w:pPr>
        <w:spacing w:after="0"/>
        <w:rPr>
          <w:rFonts w:eastAsia="Calibri"/>
          <w:szCs w:val="24"/>
        </w:rPr>
      </w:pPr>
    </w:p>
    <w:p w:rsidR="0090471F" w:rsidP="0090471F" w:rsidRDefault="0090471F" w14:paraId="32B62081" w14:textId="77777777">
      <w:pPr>
        <w:spacing w:after="0"/>
        <w:rPr>
          <w:rFonts w:eastAsia="Calibri"/>
          <w:szCs w:val="24"/>
        </w:rPr>
      </w:pPr>
      <w:r>
        <w:rPr>
          <w:rFonts w:eastAsia="Calibri"/>
          <w:szCs w:val="24"/>
        </w:rPr>
        <w:t xml:space="preserve">The water your household is </w:t>
      </w:r>
      <w:r w:rsidRPr="002E64C8">
        <w:rPr>
          <w:rFonts w:eastAsia="Calibri"/>
          <w:b/>
          <w:bCs/>
          <w:szCs w:val="24"/>
        </w:rPr>
        <w:t>below</w:t>
      </w:r>
      <w:r>
        <w:rPr>
          <w:rFonts w:eastAsia="Calibri"/>
          <w:szCs w:val="24"/>
        </w:rPr>
        <w:t xml:space="preserve"> EPA’s Lead Action Level. Therefore, no additional actions are needed based on these results. </w:t>
      </w:r>
    </w:p>
    <w:p w:rsidR="0090471F" w:rsidP="0090471F" w:rsidRDefault="0090471F" w14:paraId="1009CC9C" w14:textId="77777777">
      <w:pPr>
        <w:spacing w:after="0"/>
        <w:rPr>
          <w:rFonts w:eastAsia="Calibri"/>
          <w:szCs w:val="24"/>
        </w:rPr>
      </w:pPr>
    </w:p>
    <w:p w:rsidRPr="00F91C60" w:rsidR="0090471F" w:rsidP="0090471F" w:rsidRDefault="0090471F" w14:paraId="62FB24AF" w14:textId="77777777">
      <w:pPr>
        <w:pStyle w:val="ListParagraph"/>
        <w:numPr>
          <w:ilvl w:val="0"/>
          <w:numId w:val="1"/>
        </w:numPr>
        <w:spacing w:after="0"/>
        <w:rPr>
          <w:rFonts w:eastAsia="Calibri"/>
          <w:szCs w:val="24"/>
        </w:rPr>
      </w:pPr>
      <w:r>
        <w:rPr>
          <w:i/>
          <w:iCs/>
          <w:u w:val="single"/>
        </w:rPr>
        <w:t>I</w:t>
      </w:r>
      <w:r w:rsidRPr="00F91C60">
        <w:rPr>
          <w:i/>
          <w:iCs/>
          <w:u w:val="single"/>
        </w:rPr>
        <w:t xml:space="preserve">f </w:t>
      </w:r>
      <w:r>
        <w:rPr>
          <w:i/>
          <w:iCs/>
          <w:u w:val="single"/>
        </w:rPr>
        <w:t xml:space="preserve">water </w:t>
      </w:r>
      <w:r w:rsidRPr="00F91C60">
        <w:rPr>
          <w:i/>
          <w:iCs/>
          <w:u w:val="single"/>
        </w:rPr>
        <w:t xml:space="preserve">lead level is </w:t>
      </w:r>
      <w:r>
        <w:rPr>
          <w:rFonts w:cs="Times New Roman"/>
          <w:i/>
          <w:iCs/>
          <w:u w:val="single"/>
        </w:rPr>
        <w:t>≥</w:t>
      </w:r>
      <w:r w:rsidRPr="00F91C60">
        <w:rPr>
          <w:i/>
          <w:iCs/>
          <w:u w:val="single"/>
        </w:rPr>
        <w:t xml:space="preserve"> 1</w:t>
      </w:r>
      <w:r>
        <w:rPr>
          <w:i/>
          <w:iCs/>
          <w:u w:val="single"/>
        </w:rPr>
        <w:t xml:space="preserve">5 </w:t>
      </w:r>
      <w:r>
        <w:rPr>
          <w:rFonts w:cs="Times New Roman"/>
          <w:i/>
          <w:iCs/>
          <w:u w:val="single"/>
        </w:rPr>
        <w:t>µ</w:t>
      </w:r>
      <w:r>
        <w:rPr>
          <w:i/>
          <w:iCs/>
          <w:u w:val="single"/>
        </w:rPr>
        <w:t>g/L</w:t>
      </w:r>
    </w:p>
    <w:p w:rsidR="0090471F" w:rsidP="0090471F" w:rsidRDefault="0090471F" w14:paraId="57BB2743" w14:textId="77777777">
      <w:pPr>
        <w:spacing w:after="0"/>
        <w:rPr>
          <w:rFonts w:eastAsia="Calibri"/>
          <w:b/>
          <w:bCs/>
          <w:i/>
          <w:iCs/>
          <w:szCs w:val="24"/>
        </w:rPr>
      </w:pPr>
    </w:p>
    <w:p w:rsidRPr="00F91C60" w:rsidR="0090471F" w:rsidP="0090471F" w:rsidRDefault="0090471F" w14:paraId="41DE1F70" w14:textId="77777777">
      <w:pPr>
        <w:spacing w:after="0"/>
        <w:rPr>
          <w:rFonts w:eastAsia="Calibri"/>
          <w:b/>
          <w:bCs/>
          <w:i/>
          <w:iCs/>
          <w:szCs w:val="24"/>
        </w:rPr>
      </w:pPr>
      <w:r>
        <w:rPr>
          <w:rFonts w:eastAsia="Calibri"/>
          <w:b/>
          <w:bCs/>
          <w:i/>
          <w:iCs/>
          <w:szCs w:val="24"/>
        </w:rPr>
        <w:t>Public Water Supply</w:t>
      </w:r>
    </w:p>
    <w:p w:rsidR="0090471F" w:rsidP="0090471F" w:rsidRDefault="0090471F" w14:paraId="0168ED53" w14:textId="77777777">
      <w:pPr>
        <w:spacing w:after="0"/>
        <w:rPr>
          <w:rFonts w:eastAsia="Calibri"/>
          <w:szCs w:val="24"/>
        </w:rPr>
      </w:pPr>
      <w:r>
        <w:rPr>
          <w:rFonts w:eastAsia="Calibri"/>
          <w:szCs w:val="24"/>
        </w:rPr>
        <w:lastRenderedPageBreak/>
        <w:t xml:space="preserve">The water your household is </w:t>
      </w:r>
      <w:r w:rsidRPr="002E64C8">
        <w:rPr>
          <w:rFonts w:eastAsia="Calibri"/>
          <w:b/>
          <w:bCs/>
          <w:szCs w:val="24"/>
        </w:rPr>
        <w:t>above</w:t>
      </w:r>
      <w:r>
        <w:rPr>
          <w:rFonts w:eastAsia="Calibri"/>
          <w:szCs w:val="24"/>
        </w:rPr>
        <w:t xml:space="preserve"> EPA’s Lead Action Level. As a result, we will reach out to you to help identify ways to reduce your (your child’s/ward’s) exposure to lead. </w:t>
      </w:r>
    </w:p>
    <w:p w:rsidR="0090471F" w:rsidP="0090471F" w:rsidRDefault="0090471F" w14:paraId="31653044" w14:textId="77777777">
      <w:pPr>
        <w:spacing w:after="0"/>
        <w:rPr>
          <w:rFonts w:eastAsia="Calibri"/>
          <w:szCs w:val="24"/>
        </w:rPr>
      </w:pPr>
    </w:p>
    <w:p w:rsidRPr="00F91C60" w:rsidR="0090471F" w:rsidP="0090471F" w:rsidRDefault="0090471F" w14:paraId="11F97381" w14:textId="77777777">
      <w:pPr>
        <w:spacing w:after="0"/>
        <w:rPr>
          <w:rFonts w:eastAsia="Calibri"/>
          <w:b/>
          <w:bCs/>
          <w:i/>
          <w:iCs/>
          <w:szCs w:val="24"/>
        </w:rPr>
      </w:pPr>
      <w:r>
        <w:rPr>
          <w:rFonts w:eastAsia="Calibri"/>
          <w:b/>
          <w:bCs/>
          <w:i/>
          <w:iCs/>
          <w:szCs w:val="24"/>
        </w:rPr>
        <w:t>Private Well</w:t>
      </w:r>
    </w:p>
    <w:p w:rsidR="0090471F" w:rsidP="0090471F" w:rsidRDefault="0090471F" w14:paraId="29D0CFD4" w14:textId="77777777">
      <w:pPr>
        <w:spacing w:after="0"/>
      </w:pPr>
      <w:r>
        <w:rPr>
          <w:rFonts w:eastAsia="Calibri"/>
          <w:szCs w:val="24"/>
        </w:rPr>
        <w:t xml:space="preserve">The water your household is </w:t>
      </w:r>
      <w:r w:rsidRPr="002E64C8">
        <w:rPr>
          <w:rFonts w:eastAsia="Calibri"/>
          <w:b/>
          <w:bCs/>
          <w:szCs w:val="24"/>
        </w:rPr>
        <w:t>above</w:t>
      </w:r>
      <w:r>
        <w:rPr>
          <w:rFonts w:eastAsia="Calibri"/>
          <w:szCs w:val="24"/>
        </w:rPr>
        <w:t xml:space="preserve"> EPA’s Lead Action Level.</w:t>
      </w:r>
      <w:r>
        <w:t xml:space="preserve"> EPA will contact you to discuss provided you with a clean water source. You can also reach out the EPA at </w:t>
      </w:r>
      <w:r w:rsidRPr="00C42A2A">
        <w:t>(913) 551-7186</w:t>
      </w:r>
      <w:r>
        <w:t>. Additional information from EPA is enclosed in a separate letter.</w:t>
      </w:r>
    </w:p>
    <w:p w:rsidR="0090471F" w:rsidP="0090471F" w:rsidRDefault="0090471F" w14:paraId="4AC1BD70" w14:textId="77777777">
      <w:pPr>
        <w:spacing w:after="0"/>
        <w:rPr>
          <w:rFonts w:eastAsia="Calibri"/>
          <w:szCs w:val="24"/>
        </w:rPr>
      </w:pPr>
    </w:p>
    <w:p w:rsidR="0090471F" w:rsidP="0090471F" w:rsidRDefault="0090471F" w14:paraId="058D437A" w14:textId="77777777">
      <w:pPr>
        <w:spacing w:after="0"/>
      </w:pPr>
      <w:r>
        <w:t xml:space="preserve">If you have questions concerning the Exposure Investigation or your (your child’s/ward’s test results, please contact me at 833-678-2724 or by email at </w:t>
      </w:r>
      <w:hyperlink w:history="1" r:id="rId13">
        <w:r w:rsidRPr="0043352B">
          <w:rPr>
            <w:rStyle w:val="Hyperlink"/>
          </w:rPr>
          <w:t>MOLead@cdc.gov</w:t>
        </w:r>
      </w:hyperlink>
      <w:r>
        <w:t xml:space="preserve">. </w:t>
      </w:r>
    </w:p>
    <w:p w:rsidR="0090471F" w:rsidP="0090471F" w:rsidRDefault="0090471F" w14:paraId="17624995" w14:textId="77777777">
      <w:pPr>
        <w:spacing w:after="0"/>
      </w:pPr>
    </w:p>
    <w:p w:rsidR="0090471F" w:rsidP="0090471F" w:rsidRDefault="0090471F" w14:paraId="30AD9DB1" w14:textId="77777777">
      <w:pPr>
        <w:spacing w:after="0"/>
      </w:pPr>
      <w:r>
        <w:t>Sincerely,</w:t>
      </w:r>
    </w:p>
    <w:p w:rsidR="0090471F" w:rsidP="0090471F" w:rsidRDefault="0090471F" w14:paraId="0F874A7F" w14:textId="77777777">
      <w:pPr>
        <w:spacing w:after="0"/>
      </w:pPr>
    </w:p>
    <w:p w:rsidR="0090471F" w:rsidP="0090471F" w:rsidRDefault="0090471F" w14:paraId="5441B0A5" w14:textId="77777777">
      <w:pPr>
        <w:spacing w:after="0"/>
      </w:pPr>
    </w:p>
    <w:p w:rsidR="0090471F" w:rsidP="0090471F" w:rsidRDefault="0090471F" w14:paraId="772280DB" w14:textId="77777777">
      <w:pPr>
        <w:spacing w:after="0"/>
      </w:pPr>
    </w:p>
    <w:p w:rsidR="0090471F" w:rsidP="0090471F" w:rsidRDefault="0090471F" w14:paraId="01B64660" w14:textId="77777777">
      <w:pPr>
        <w:spacing w:after="0"/>
      </w:pPr>
      <w:r>
        <w:t>Erin Evans, MPH, REHS/RS</w:t>
      </w:r>
    </w:p>
    <w:p w:rsidR="0090471F" w:rsidP="0090471F" w:rsidRDefault="0090471F" w14:paraId="48B68B3E" w14:textId="77777777">
      <w:pPr>
        <w:spacing w:after="0"/>
      </w:pPr>
      <w:r>
        <w:t>Commander, U.S. Public Health Service</w:t>
      </w:r>
    </w:p>
    <w:p w:rsidR="0090471F" w:rsidP="0090471F" w:rsidRDefault="0090471F" w14:paraId="1E08B679" w14:textId="77777777">
      <w:pPr>
        <w:spacing w:after="0"/>
      </w:pPr>
      <w:r>
        <w:t>Regional Director – ATSDR Region 7</w:t>
      </w:r>
    </w:p>
    <w:p w:rsidR="0090471F" w:rsidP="0090471F" w:rsidRDefault="0090471F" w14:paraId="4F4D0E7B" w14:textId="77777777">
      <w:pPr>
        <w:spacing w:after="0"/>
      </w:pPr>
      <w:r>
        <w:t>ATSDR Office of Community Health and Hazard Assessment</w:t>
      </w:r>
    </w:p>
    <w:p w:rsidRPr="00C4414F" w:rsidR="0090471F" w:rsidP="0090471F" w:rsidRDefault="0090471F" w14:paraId="5A316C4F" w14:textId="77777777">
      <w:pPr>
        <w:spacing w:after="0"/>
      </w:pPr>
    </w:p>
    <w:p w:rsidR="0090471F" w:rsidP="0090471F" w:rsidRDefault="0090471F" w14:paraId="3514F48E" w14:textId="77777777">
      <w:pPr>
        <w:spacing w:after="0"/>
      </w:pPr>
    </w:p>
    <w:p w:rsidR="00C83704" w:rsidRDefault="00DA25B1" w14:paraId="372C54AC" w14:textId="6475079B"/>
    <w:p w:rsidR="001423EA" w:rsidRDefault="001423EA" w14:paraId="78B1ACA2" w14:textId="5338AF32"/>
    <w:p w:rsidR="001423EA" w:rsidRDefault="001423EA" w14:paraId="40A6042E" w14:textId="3BFB2B95"/>
    <w:p w:rsidR="001423EA" w:rsidRDefault="001423EA" w14:paraId="2DC3C8EC" w14:textId="4AFFDEC0"/>
    <w:p w:rsidR="001423EA" w:rsidRDefault="001423EA" w14:paraId="55113D7F" w14:textId="1171117F"/>
    <w:p w:rsidR="001423EA" w:rsidRDefault="001423EA" w14:paraId="39B8FF3E" w14:textId="0924B9A7"/>
    <w:p w:rsidR="001423EA" w:rsidRDefault="001423EA" w14:paraId="60F3041F" w14:textId="65F20BE6"/>
    <w:p w:rsidR="001423EA" w:rsidRDefault="001423EA" w14:paraId="11BF7350" w14:textId="78B78818"/>
    <w:p w:rsidR="001423EA" w:rsidRDefault="001423EA" w14:paraId="33ECFE3A" w14:textId="25E1B424"/>
    <w:p w:rsidR="001423EA" w:rsidRDefault="001423EA" w14:paraId="5EC87DFA" w14:textId="4C95C2CD"/>
    <w:p w:rsidR="001423EA" w:rsidRDefault="001423EA" w14:paraId="285F0A4A" w14:textId="611A8E39"/>
    <w:p w:rsidR="001423EA" w:rsidRDefault="001423EA" w14:paraId="52CF1CA3" w14:textId="6E8A83AF"/>
    <w:p w:rsidR="001423EA" w:rsidRDefault="001423EA" w14:paraId="52EAD50C" w14:textId="15FC0C99"/>
    <w:p w:rsidR="001423EA" w:rsidRDefault="001423EA" w14:paraId="017BF7E4" w14:textId="0BE1A30C"/>
    <w:p w:rsidR="001423EA" w:rsidRDefault="001423EA" w14:paraId="40237020" w14:textId="2A915730"/>
    <w:p w:rsidR="001423EA" w:rsidP="001423EA" w:rsidRDefault="001423EA" w14:paraId="3A247266" w14:textId="21C15349">
      <w:pPr>
        <w:pStyle w:val="Heading3"/>
        <w:jc w:val="center"/>
        <w:rPr>
          <w:sz w:val="28"/>
          <w:szCs w:val="28"/>
        </w:rPr>
      </w:pPr>
      <w:bookmarkStart w:name="_Toc97544767" w:id="2"/>
      <w:r>
        <w:rPr>
          <w:sz w:val="28"/>
          <w:szCs w:val="28"/>
        </w:rPr>
        <w:lastRenderedPageBreak/>
        <w:t xml:space="preserve">Appendix H2. </w:t>
      </w:r>
      <w:r w:rsidRPr="249D09EB">
        <w:rPr>
          <w:sz w:val="28"/>
          <w:szCs w:val="28"/>
        </w:rPr>
        <w:t>EPA Sample Results Letter</w:t>
      </w:r>
      <w:bookmarkEnd w:id="2"/>
    </w:p>
    <w:p w:rsidR="001423EA" w:rsidP="001423EA" w:rsidRDefault="001423EA" w14:paraId="2345919E" w14:textId="77777777">
      <w:pPr>
        <w:spacing w:after="0"/>
        <w:jc w:val="cen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26"/>
        <w:gridCol w:w="6050"/>
        <w:gridCol w:w="1584"/>
      </w:tblGrid>
      <w:tr w:rsidR="001423EA" w:rsidTr="00362229" w14:paraId="5208081D" w14:textId="77777777">
        <w:trPr>
          <w:trHeight w:val="810"/>
        </w:trPr>
        <w:tc>
          <w:tcPr>
            <w:tcW w:w="1761" w:type="dxa"/>
            <w:vMerge w:val="restart"/>
          </w:tcPr>
          <w:p w:rsidR="001423EA" w:rsidP="00362229" w:rsidRDefault="001423EA" w14:paraId="3EF016B7" w14:textId="4D581C08">
            <w:pPr>
              <w:tabs>
                <w:tab w:val="right" w:pos="9360"/>
              </w:tabs>
            </w:pPr>
            <w:bookmarkStart w:name="_Hlk31268805" w:id="3"/>
            <w:bookmarkEnd w:id="3"/>
            <w:r>
              <w:rPr>
                <w:noProof/>
              </w:rPr>
              <mc:AlternateContent>
                <mc:Choice Requires="wps">
                  <w:drawing>
                    <wp:anchor distT="0" distB="0" distL="114300" distR="114300" simplePos="0" relativeHeight="251659264" behindDoc="0" locked="0" layoutInCell="1" allowOverlap="1" wp14:editId="56094F6F" wp14:anchorId="075B5645">
                      <wp:simplePos x="0" y="0"/>
                      <wp:positionH relativeFrom="column">
                        <wp:posOffset>4427220</wp:posOffset>
                      </wp:positionH>
                      <wp:positionV relativeFrom="paragraph">
                        <wp:posOffset>537845</wp:posOffset>
                      </wp:positionV>
                      <wp:extent cx="1047750" cy="438150"/>
                      <wp:effectExtent l="0" t="0" r="19050" b="19050"/>
                      <wp:wrapNone/>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3815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Pr="00470872" w:rsidR="001423EA" w:rsidP="001423EA" w:rsidRDefault="001423EA" w14:paraId="05314F57" w14:textId="77777777">
                                  <w:pPr>
                                    <w:pStyle w:val="Header"/>
                                    <w:tabs>
                                      <w:tab w:val="left" w:pos="1683"/>
                                      <w:tab w:val="left" w:pos="1800"/>
                                      <w:tab w:val="left" w:pos="7389"/>
                                    </w:tabs>
                                    <w:rPr>
                                      <w:rFonts w:ascii="Arial" w:hAnsi="Arial" w:cs="Arial"/>
                                      <w:b/>
                                      <w:szCs w:val="24"/>
                                    </w:rPr>
                                  </w:pPr>
                                </w:p>
                                <w:p w:rsidR="001423EA" w:rsidP="001423EA" w:rsidRDefault="001423EA" w14:paraId="4FBD7B05"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75B5645">
                      <v:stroke joinstyle="miter"/>
                      <v:path gradientshapeok="t" o:connecttype="rect"/>
                    </v:shapetype>
                    <v:shape id="Text Box 2" style="position:absolute;margin-left:348.6pt;margin-top:42.35pt;width:82.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">
                      <v:textbox>
                        <w:txbxContent>
                          <w:p w:rsidRPr="00470872" w:rsidR="001423EA" w:rsidP="001423EA" w:rsidRDefault="001423EA" w14:paraId="05314F57" w14:textId="77777777">
                            <w:pPr>
                              <w:pStyle w:val="Header"/>
                              <w:tabs>
                                <w:tab w:val="left" w:pos="1683"/>
                                <w:tab w:val="left" w:pos="1800"/>
                                <w:tab w:val="left" w:pos="7389"/>
                              </w:tabs>
                              <w:rPr>
                                <w:rFonts w:ascii="Arial" w:hAnsi="Arial" w:cs="Arial"/>
                                <w:b/>
                                <w:szCs w:val="24"/>
                              </w:rPr>
                            </w:pPr>
                          </w:p>
                          <w:p w:rsidR="001423EA" w:rsidP="001423EA" w:rsidRDefault="001423EA" w14:paraId="4FBD7B05" w14:textId="77777777"/>
                        </w:txbxContent>
                      </v:textbox>
                    </v:shape>
                  </w:pict>
                </mc:Fallback>
              </mc:AlternateContent>
            </w:r>
            <w:r>
              <w:rPr>
                <w:noProof/>
              </w:rPr>
              <w:drawing>
                <wp:anchor distT="0" distB="0" distL="114300" distR="114300" simplePos="0" relativeHeight="251660288" behindDoc="0" locked="0" layoutInCell="1" allowOverlap="1" wp14:editId="73743D14" wp14:anchorId="06B91398">
                  <wp:simplePos x="0" y="0"/>
                  <wp:positionH relativeFrom="column">
                    <wp:posOffset>-157480</wp:posOffset>
                  </wp:positionH>
                  <wp:positionV relativeFrom="paragraph">
                    <wp:posOffset>80010</wp:posOffset>
                  </wp:positionV>
                  <wp:extent cx="777240" cy="76200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7240" cy="762000"/>
                          </a:xfrm>
                          <a:prstGeom prst="rect">
                            <a:avLst/>
                          </a:prstGeom>
                          <a:noFill/>
                        </pic:spPr>
                      </pic:pic>
                    </a:graphicData>
                  </a:graphic>
                  <wp14:sizeRelH relativeFrom="page">
                    <wp14:pctWidth>0</wp14:pctWidth>
                  </wp14:sizeRelH>
                  <wp14:sizeRelV relativeFrom="page">
                    <wp14:pctHeight>0</wp14:pctHeight>
                  </wp14:sizeRelV>
                </wp:anchor>
              </w:drawing>
            </w:r>
          </w:p>
        </w:tc>
        <w:tc>
          <w:tcPr>
            <w:tcW w:w="6780" w:type="dxa"/>
            <w:vMerge w:val="restart"/>
          </w:tcPr>
          <w:p w:rsidRPr="00470872" w:rsidR="001423EA" w:rsidP="00362229" w:rsidRDefault="001423EA" w14:paraId="1BA44CCA" w14:textId="77777777">
            <w:pPr>
              <w:pStyle w:val="Header"/>
              <w:tabs>
                <w:tab w:val="left" w:pos="1683"/>
                <w:tab w:val="left" w:pos="1800"/>
                <w:tab w:val="left" w:pos="7389"/>
              </w:tabs>
              <w:rPr>
                <w:rFonts w:ascii="Arial" w:hAnsi="Arial" w:cs="Arial"/>
                <w:b/>
                <w:szCs w:val="24"/>
              </w:rPr>
            </w:pPr>
          </w:p>
          <w:p w:rsidRPr="005D4B4E" w:rsidR="001423EA" w:rsidP="00362229" w:rsidRDefault="001423EA" w14:paraId="0922A0DA" w14:textId="77777777">
            <w:pPr>
              <w:tabs>
                <w:tab w:val="right" w:pos="9360"/>
              </w:tabs>
              <w:jc w:val="center"/>
            </w:pPr>
          </w:p>
        </w:tc>
        <w:tc>
          <w:tcPr>
            <w:tcW w:w="1755" w:type="dxa"/>
          </w:tcPr>
          <w:p w:rsidRPr="005D4B4E" w:rsidR="001423EA" w:rsidP="00362229" w:rsidRDefault="001423EA" w14:paraId="108178E8" w14:textId="77777777">
            <w:pPr>
              <w:tabs>
                <w:tab w:val="right" w:pos="9360"/>
              </w:tabs>
            </w:pPr>
          </w:p>
        </w:tc>
      </w:tr>
      <w:tr w:rsidR="001423EA" w:rsidTr="00362229" w14:paraId="3C6A6A72" w14:textId="77777777">
        <w:trPr>
          <w:trHeight w:val="693"/>
        </w:trPr>
        <w:tc>
          <w:tcPr>
            <w:tcW w:w="1761" w:type="dxa"/>
            <w:vMerge/>
          </w:tcPr>
          <w:p w:rsidR="001423EA" w:rsidP="00362229" w:rsidRDefault="001423EA" w14:paraId="192C2458" w14:textId="77777777">
            <w:pPr>
              <w:tabs>
                <w:tab w:val="right" w:pos="9360"/>
              </w:tabs>
            </w:pPr>
          </w:p>
        </w:tc>
        <w:tc>
          <w:tcPr>
            <w:tcW w:w="6780" w:type="dxa"/>
            <w:vMerge/>
          </w:tcPr>
          <w:p w:rsidRPr="005D4B4E" w:rsidR="001423EA" w:rsidP="00362229" w:rsidRDefault="001423EA" w14:paraId="4D7AF559" w14:textId="77777777">
            <w:pPr>
              <w:pStyle w:val="Header"/>
              <w:tabs>
                <w:tab w:val="left" w:pos="1683"/>
                <w:tab w:val="left" w:pos="1800"/>
                <w:tab w:val="left" w:pos="7389"/>
              </w:tabs>
              <w:jc w:val="center"/>
              <w:rPr>
                <w:rFonts w:ascii="Arial" w:hAnsi="Arial" w:cs="Arial"/>
                <w:b/>
                <w:sz w:val="20"/>
              </w:rPr>
            </w:pPr>
          </w:p>
        </w:tc>
        <w:tc>
          <w:tcPr>
            <w:tcW w:w="1755" w:type="dxa"/>
          </w:tcPr>
          <w:p w:rsidRPr="005D4B4E" w:rsidR="001423EA" w:rsidP="00362229" w:rsidRDefault="001423EA" w14:paraId="012325B6" w14:textId="77777777"/>
        </w:tc>
      </w:tr>
    </w:tbl>
    <w:p w:rsidRPr="00B41D86" w:rsidR="001423EA" w:rsidP="001423EA" w:rsidRDefault="001423EA" w14:paraId="59825B26" w14:textId="77777777">
      <w:pPr>
        <w:autoSpaceDE w:val="0"/>
        <w:autoSpaceDN w:val="0"/>
        <w:adjustRightInd w:val="0"/>
        <w:spacing w:after="0"/>
        <w:rPr>
          <w:szCs w:val="24"/>
        </w:rPr>
      </w:pPr>
      <w:r>
        <w:rPr>
          <w:szCs w:val="24"/>
        </w:rPr>
        <w:t>NAME</w:t>
      </w:r>
    </w:p>
    <w:p w:rsidRPr="00B41D86" w:rsidR="001423EA" w:rsidP="001423EA" w:rsidRDefault="001423EA" w14:paraId="78EFADE6" w14:textId="77777777">
      <w:pPr>
        <w:autoSpaceDE w:val="0"/>
        <w:autoSpaceDN w:val="0"/>
        <w:adjustRightInd w:val="0"/>
        <w:spacing w:after="0"/>
        <w:rPr>
          <w:szCs w:val="24"/>
        </w:rPr>
      </w:pPr>
      <w:r>
        <w:rPr>
          <w:szCs w:val="24"/>
        </w:rPr>
        <w:t>ADDRESS</w:t>
      </w:r>
    </w:p>
    <w:p w:rsidRPr="00B41D86" w:rsidR="001423EA" w:rsidP="001423EA" w:rsidRDefault="001423EA" w14:paraId="1DEF3C61" w14:textId="77777777">
      <w:pPr>
        <w:autoSpaceDE w:val="0"/>
        <w:autoSpaceDN w:val="0"/>
        <w:adjustRightInd w:val="0"/>
        <w:spacing w:after="0"/>
        <w:rPr>
          <w:szCs w:val="24"/>
        </w:rPr>
      </w:pPr>
      <w:r>
        <w:rPr>
          <w:szCs w:val="24"/>
        </w:rPr>
        <w:t>Neosho, Missouri 64850</w:t>
      </w:r>
    </w:p>
    <w:p w:rsidRPr="00B41D86" w:rsidR="001423EA" w:rsidP="001423EA" w:rsidRDefault="001423EA" w14:paraId="7DEC1766" w14:textId="77777777">
      <w:pPr>
        <w:autoSpaceDE w:val="0"/>
        <w:autoSpaceDN w:val="0"/>
        <w:adjustRightInd w:val="0"/>
        <w:spacing w:after="0"/>
        <w:rPr>
          <w:szCs w:val="24"/>
        </w:rPr>
      </w:pPr>
    </w:p>
    <w:p w:rsidRPr="00B41D86" w:rsidR="001423EA" w:rsidP="001423EA" w:rsidRDefault="001423EA" w14:paraId="654A8CCD" w14:textId="77777777">
      <w:pPr>
        <w:autoSpaceDE w:val="0"/>
        <w:autoSpaceDN w:val="0"/>
        <w:adjustRightInd w:val="0"/>
        <w:spacing w:after="0"/>
        <w:rPr>
          <w:szCs w:val="24"/>
        </w:rPr>
      </w:pPr>
      <w:r w:rsidRPr="00B41D86">
        <w:rPr>
          <w:szCs w:val="24"/>
        </w:rPr>
        <w:t>Re:</w:t>
      </w:r>
      <w:r w:rsidRPr="00B41D86">
        <w:rPr>
          <w:szCs w:val="24"/>
        </w:rPr>
        <w:tab/>
        <w:t>Cleanup of Mine Waste in the Newton County Mine Tailings Superfund Site, Newton County, Missouri</w:t>
      </w:r>
    </w:p>
    <w:p w:rsidRPr="00B41D86" w:rsidR="001423EA" w:rsidP="001423EA" w:rsidRDefault="001423EA" w14:paraId="78089246" w14:textId="77777777">
      <w:pPr>
        <w:autoSpaceDE w:val="0"/>
        <w:autoSpaceDN w:val="0"/>
        <w:adjustRightInd w:val="0"/>
        <w:spacing w:after="0"/>
        <w:ind w:firstLine="720"/>
        <w:rPr>
          <w:szCs w:val="24"/>
        </w:rPr>
      </w:pPr>
    </w:p>
    <w:p w:rsidRPr="00B41D86" w:rsidR="001423EA" w:rsidP="001423EA" w:rsidRDefault="001423EA" w14:paraId="7BE086A8" w14:textId="77777777">
      <w:pPr>
        <w:autoSpaceDE w:val="0"/>
        <w:autoSpaceDN w:val="0"/>
        <w:adjustRightInd w:val="0"/>
        <w:spacing w:after="0"/>
        <w:rPr>
          <w:szCs w:val="24"/>
        </w:rPr>
      </w:pPr>
      <w:r w:rsidRPr="00B41D86">
        <w:rPr>
          <w:szCs w:val="24"/>
        </w:rPr>
        <w:t xml:space="preserve">Dear </w:t>
      </w:r>
      <w:r>
        <w:rPr>
          <w:szCs w:val="24"/>
        </w:rPr>
        <w:t>Mr./Ms. NAME</w:t>
      </w:r>
      <w:r w:rsidRPr="00B41D86">
        <w:rPr>
          <w:szCs w:val="24"/>
        </w:rPr>
        <w:t>:</w:t>
      </w:r>
    </w:p>
    <w:p w:rsidRPr="00B41D86" w:rsidR="001423EA" w:rsidP="001423EA" w:rsidRDefault="001423EA" w14:paraId="6F9AC55A" w14:textId="77777777">
      <w:pPr>
        <w:autoSpaceDE w:val="0"/>
        <w:autoSpaceDN w:val="0"/>
        <w:adjustRightInd w:val="0"/>
        <w:spacing w:after="0"/>
        <w:rPr>
          <w:szCs w:val="24"/>
        </w:rPr>
      </w:pPr>
    </w:p>
    <w:p w:rsidRPr="00B41D86" w:rsidR="001423EA" w:rsidP="001423EA" w:rsidRDefault="001423EA" w14:paraId="1F92044F" w14:textId="77777777">
      <w:pPr>
        <w:autoSpaceDE w:val="0"/>
        <w:autoSpaceDN w:val="0"/>
        <w:adjustRightInd w:val="0"/>
        <w:spacing w:after="0"/>
        <w:rPr>
          <w:color w:val="000000"/>
          <w:szCs w:val="24"/>
        </w:rPr>
      </w:pPr>
      <w:bookmarkStart w:name="_Hlk80103739" w:id="4"/>
      <w:r w:rsidRPr="00B41D86">
        <w:rPr>
          <w:color w:val="000000"/>
          <w:szCs w:val="24"/>
        </w:rPr>
        <w:t xml:space="preserve">The U.S. Environmental Protection Agency has sampled </w:t>
      </w:r>
      <w:r>
        <w:rPr>
          <w:color w:val="000000"/>
          <w:szCs w:val="24"/>
        </w:rPr>
        <w:t xml:space="preserve">your </w:t>
      </w:r>
      <w:r w:rsidRPr="00B41D86">
        <w:rPr>
          <w:color w:val="000000"/>
          <w:szCs w:val="24"/>
        </w:rPr>
        <w:t xml:space="preserve">property at </w:t>
      </w:r>
      <w:r>
        <w:rPr>
          <w:color w:val="000000"/>
          <w:szCs w:val="24"/>
        </w:rPr>
        <w:t>ADDRESS</w:t>
      </w:r>
      <w:r w:rsidRPr="00B41D86">
        <w:rPr>
          <w:color w:val="000000"/>
          <w:szCs w:val="24"/>
        </w:rPr>
        <w:t>, for lead</w:t>
      </w:r>
      <w:r>
        <w:rPr>
          <w:color w:val="000000"/>
          <w:szCs w:val="24"/>
        </w:rPr>
        <w:t>, zinc, and cadmium</w:t>
      </w:r>
      <w:r w:rsidRPr="00B41D86">
        <w:rPr>
          <w:color w:val="000000"/>
          <w:szCs w:val="24"/>
        </w:rPr>
        <w:t xml:space="preserve"> as part of the Newton County Mine Tailings Superfund site. </w:t>
      </w:r>
    </w:p>
    <w:bookmarkEnd w:id="4"/>
    <w:p w:rsidRPr="00B41D86" w:rsidR="001423EA" w:rsidP="001423EA" w:rsidRDefault="001423EA" w14:paraId="3FBC12DB" w14:textId="77777777">
      <w:pPr>
        <w:autoSpaceDE w:val="0"/>
        <w:autoSpaceDN w:val="0"/>
        <w:adjustRightInd w:val="0"/>
        <w:spacing w:after="0"/>
        <w:jc w:val="both"/>
        <w:rPr>
          <w:color w:val="000000"/>
          <w:szCs w:val="24"/>
        </w:rPr>
      </w:pPr>
    </w:p>
    <w:p w:rsidRPr="00B41D86" w:rsidR="001423EA" w:rsidP="001423EA" w:rsidRDefault="001423EA" w14:paraId="2D2C3254" w14:textId="77777777">
      <w:pPr>
        <w:autoSpaceDE w:val="0"/>
        <w:autoSpaceDN w:val="0"/>
        <w:adjustRightInd w:val="0"/>
        <w:spacing w:after="0"/>
        <w:rPr>
          <w:color w:val="000000"/>
          <w:szCs w:val="24"/>
        </w:rPr>
      </w:pPr>
      <w:r w:rsidRPr="00B41D86">
        <w:rPr>
          <w:color w:val="000000"/>
        </w:rPr>
        <w:t xml:space="preserve">The EPA has included the results from the surface soil samples at your property, Parcel </w:t>
      </w:r>
      <w:r w:rsidRPr="005B2B92">
        <w:rPr>
          <w:color w:val="000000" w:themeColor="text1"/>
        </w:rPr>
        <w:t>##</w:t>
      </w:r>
      <w:r w:rsidRPr="00B41D86">
        <w:rPr>
          <w:noProof/>
          <w:szCs w:val="24"/>
        </w:rPr>
        <w:t xml:space="preserve">.  </w:t>
      </w:r>
      <w:bookmarkStart w:name="_Hlk80103729" w:id="5"/>
      <w:r w:rsidRPr="005B2B92">
        <w:rPr>
          <w:color w:val="000000" w:themeColor="text1"/>
        </w:rPr>
        <w:t xml:space="preserve">Please see the attached </w:t>
      </w:r>
      <w:r>
        <w:rPr>
          <w:color w:val="000000"/>
          <w:szCs w:val="24"/>
        </w:rPr>
        <w:t>Global Positioning System (</w:t>
      </w:r>
      <w:r w:rsidRPr="00B41D86">
        <w:rPr>
          <w:color w:val="000000"/>
        </w:rPr>
        <w:t>GPS</w:t>
      </w:r>
      <w:r>
        <w:rPr>
          <w:color w:val="000000"/>
          <w:szCs w:val="24"/>
        </w:rPr>
        <w:t>)</w:t>
      </w:r>
      <w:r w:rsidRPr="00B41D86">
        <w:rPr>
          <w:color w:val="000000"/>
        </w:rPr>
        <w:t xml:space="preserve"> Field Sheet and Data Table</w:t>
      </w:r>
      <w:r w:rsidRPr="005B2B92">
        <w:rPr>
          <w:color w:val="000000" w:themeColor="text1"/>
        </w:rPr>
        <w:t xml:space="preserve"> for sample locations, sample results, and the EPA Action Levels for metals in soil. </w:t>
      </w:r>
      <w:r w:rsidRPr="00B41D86">
        <w:rPr>
          <w:color w:val="000000"/>
        </w:rPr>
        <w:t>Based on the sampling results, your property does not exceed the EPA action levels for lead, zinc or cadmium and will not qualify for a cleanup in the future as part of the remedial action</w:t>
      </w:r>
      <w:r w:rsidRPr="005B2B92">
        <w:rPr>
          <w:color w:val="000000" w:themeColor="text1"/>
        </w:rPr>
        <w:t xml:space="preserve"> at the Newton County Mine Tailings Superfund site</w:t>
      </w:r>
      <w:r w:rsidRPr="00B41D86">
        <w:rPr>
          <w:color w:val="000000"/>
        </w:rPr>
        <w:t xml:space="preserve">. </w:t>
      </w:r>
      <w:bookmarkEnd w:id="5"/>
    </w:p>
    <w:p w:rsidRPr="00B41D86" w:rsidR="001423EA" w:rsidP="001423EA" w:rsidRDefault="001423EA" w14:paraId="13938108" w14:textId="77777777">
      <w:pPr>
        <w:autoSpaceDE w:val="0"/>
        <w:autoSpaceDN w:val="0"/>
        <w:adjustRightInd w:val="0"/>
        <w:spacing w:after="0"/>
        <w:jc w:val="both"/>
        <w:rPr>
          <w:color w:val="000000"/>
          <w:szCs w:val="24"/>
        </w:rPr>
      </w:pPr>
    </w:p>
    <w:p w:rsidRPr="00B41D86" w:rsidR="001423EA" w:rsidP="001423EA" w:rsidRDefault="001423EA" w14:paraId="1CC9D272" w14:textId="77777777">
      <w:pPr>
        <w:autoSpaceDE w:val="0"/>
        <w:autoSpaceDN w:val="0"/>
        <w:adjustRightInd w:val="0"/>
        <w:spacing w:after="0"/>
        <w:rPr>
          <w:color w:val="000000"/>
          <w:szCs w:val="24"/>
        </w:rPr>
      </w:pPr>
      <w:r w:rsidRPr="00B41D86">
        <w:rPr>
          <w:color w:val="000000"/>
          <w:szCs w:val="24"/>
        </w:rPr>
        <w:t xml:space="preserve">Please retain this letter for your permanent records. </w:t>
      </w:r>
      <w:proofErr w:type="gramStart"/>
      <w:r w:rsidRPr="00B41D86">
        <w:rPr>
          <w:color w:val="000000"/>
          <w:szCs w:val="24"/>
        </w:rPr>
        <w:t>In the event that</w:t>
      </w:r>
      <w:proofErr w:type="gramEnd"/>
      <w:r w:rsidRPr="00B41D86">
        <w:rPr>
          <w:color w:val="000000"/>
          <w:szCs w:val="24"/>
        </w:rPr>
        <w:t xml:space="preserve"> </w:t>
      </w:r>
      <w:r>
        <w:rPr>
          <w:color w:val="000000"/>
          <w:szCs w:val="24"/>
        </w:rPr>
        <w:t>your</w:t>
      </w:r>
      <w:r w:rsidRPr="00B41D86">
        <w:rPr>
          <w:color w:val="000000"/>
          <w:szCs w:val="24"/>
        </w:rPr>
        <w:t xml:space="preserve"> property </w:t>
      </w:r>
      <w:r>
        <w:rPr>
          <w:color w:val="000000"/>
          <w:szCs w:val="24"/>
        </w:rPr>
        <w:t>is offered for sale or lease</w:t>
      </w:r>
      <w:r w:rsidRPr="00B41D86">
        <w:rPr>
          <w:color w:val="000000"/>
          <w:szCs w:val="24"/>
        </w:rPr>
        <w:t xml:space="preserve">, this information is considered a record under Section 1018 of the Residential Lead-Based Paint Hazard Reduction Act of 1992, 42 U.S.C. 4851 et seq., and must be disclosed. This letter contains information you can show the next owner/tenant to verify that lead testing was performed. </w:t>
      </w:r>
    </w:p>
    <w:p w:rsidRPr="00B41D86" w:rsidR="001423EA" w:rsidP="001423EA" w:rsidRDefault="001423EA" w14:paraId="059B1E48" w14:textId="77777777">
      <w:pPr>
        <w:autoSpaceDE w:val="0"/>
        <w:autoSpaceDN w:val="0"/>
        <w:adjustRightInd w:val="0"/>
        <w:spacing w:after="0"/>
        <w:rPr>
          <w:color w:val="000000"/>
          <w:szCs w:val="24"/>
        </w:rPr>
      </w:pPr>
    </w:p>
    <w:p w:rsidRPr="00B41D86" w:rsidR="001423EA" w:rsidP="001423EA" w:rsidRDefault="001423EA" w14:paraId="2AE572D8" w14:textId="77777777">
      <w:pPr>
        <w:autoSpaceDE w:val="0"/>
        <w:autoSpaceDN w:val="0"/>
        <w:adjustRightInd w:val="0"/>
        <w:spacing w:after="0"/>
        <w:rPr>
          <w:color w:val="000000"/>
          <w:szCs w:val="24"/>
        </w:rPr>
      </w:pPr>
      <w:r w:rsidRPr="00B41D86">
        <w:rPr>
          <w:color w:val="000000"/>
          <w:szCs w:val="24"/>
        </w:rPr>
        <w:t>If you have any questions concerning this letter or the enclosures, please contact me at (</w:t>
      </w:r>
      <w:r>
        <w:rPr>
          <w:color w:val="000000"/>
          <w:szCs w:val="24"/>
        </w:rPr>
        <w:t>913) 551-7939.</w:t>
      </w:r>
    </w:p>
    <w:p w:rsidRPr="00B41D86" w:rsidR="001423EA" w:rsidP="001423EA" w:rsidRDefault="001423EA" w14:paraId="3F739545" w14:textId="77777777">
      <w:pPr>
        <w:autoSpaceDE w:val="0"/>
        <w:autoSpaceDN w:val="0"/>
        <w:adjustRightInd w:val="0"/>
        <w:spacing w:after="0"/>
        <w:rPr>
          <w:color w:val="000000"/>
          <w:szCs w:val="24"/>
        </w:rPr>
      </w:pPr>
    </w:p>
    <w:p w:rsidRPr="00B41D86" w:rsidR="001423EA" w:rsidP="001423EA" w:rsidRDefault="001423EA" w14:paraId="503258E0" w14:textId="77777777">
      <w:pPr>
        <w:autoSpaceDE w:val="0"/>
        <w:autoSpaceDN w:val="0"/>
        <w:adjustRightInd w:val="0"/>
        <w:spacing w:after="0"/>
        <w:ind w:left="3600" w:firstLine="720"/>
        <w:rPr>
          <w:color w:val="000000"/>
          <w:szCs w:val="24"/>
        </w:rPr>
      </w:pPr>
      <w:r w:rsidRPr="00B41D86">
        <w:rPr>
          <w:color w:val="000000"/>
          <w:szCs w:val="24"/>
        </w:rPr>
        <w:t>Sincerely,</w:t>
      </w:r>
    </w:p>
    <w:p w:rsidRPr="00B41D86" w:rsidR="001423EA" w:rsidP="001423EA" w:rsidRDefault="001423EA" w14:paraId="368856ED" w14:textId="77777777">
      <w:pPr>
        <w:autoSpaceDE w:val="0"/>
        <w:autoSpaceDN w:val="0"/>
        <w:adjustRightInd w:val="0"/>
        <w:spacing w:after="0"/>
        <w:ind w:left="3600" w:firstLine="720"/>
        <w:rPr>
          <w:color w:val="000000"/>
          <w:szCs w:val="24"/>
        </w:rPr>
      </w:pPr>
    </w:p>
    <w:p w:rsidRPr="00B41D86" w:rsidR="001423EA" w:rsidP="001423EA" w:rsidRDefault="001423EA" w14:paraId="277B9BDD" w14:textId="77777777">
      <w:pPr>
        <w:autoSpaceDE w:val="0"/>
        <w:autoSpaceDN w:val="0"/>
        <w:adjustRightInd w:val="0"/>
        <w:spacing w:after="0"/>
        <w:ind w:left="3600" w:firstLine="720"/>
        <w:rPr>
          <w:color w:val="000000"/>
          <w:szCs w:val="24"/>
        </w:rPr>
      </w:pPr>
      <w:r>
        <w:rPr>
          <w:color w:val="000000"/>
          <w:szCs w:val="24"/>
        </w:rPr>
        <w:t xml:space="preserve">Elizabeth </w:t>
      </w:r>
      <w:proofErr w:type="spellStart"/>
      <w:r>
        <w:rPr>
          <w:color w:val="000000"/>
          <w:szCs w:val="24"/>
        </w:rPr>
        <w:t>Hagenmaier</w:t>
      </w:r>
      <w:proofErr w:type="spellEnd"/>
    </w:p>
    <w:p w:rsidRPr="00B41D86" w:rsidR="001423EA" w:rsidP="001423EA" w:rsidRDefault="001423EA" w14:paraId="4C1737FD" w14:textId="77777777">
      <w:pPr>
        <w:autoSpaceDE w:val="0"/>
        <w:autoSpaceDN w:val="0"/>
        <w:adjustRightInd w:val="0"/>
        <w:spacing w:after="0"/>
        <w:ind w:left="3600" w:firstLine="720"/>
        <w:rPr>
          <w:color w:val="000000"/>
          <w:szCs w:val="24"/>
        </w:rPr>
      </w:pPr>
      <w:r w:rsidRPr="00B41D86">
        <w:rPr>
          <w:color w:val="000000"/>
          <w:szCs w:val="24"/>
        </w:rPr>
        <w:t>Remedial Project Manager</w:t>
      </w:r>
    </w:p>
    <w:p w:rsidRPr="00B41D86" w:rsidR="001423EA" w:rsidP="001423EA" w:rsidRDefault="001423EA" w14:paraId="31CBC26C" w14:textId="77777777">
      <w:pPr>
        <w:autoSpaceDE w:val="0"/>
        <w:autoSpaceDN w:val="0"/>
        <w:adjustRightInd w:val="0"/>
        <w:spacing w:after="0"/>
        <w:ind w:left="3600" w:firstLine="720"/>
        <w:rPr>
          <w:color w:val="000000"/>
          <w:szCs w:val="24"/>
        </w:rPr>
      </w:pPr>
      <w:r>
        <w:rPr>
          <w:color w:val="000000"/>
          <w:szCs w:val="24"/>
        </w:rPr>
        <w:t>Mining and Smelter Remediation Section</w:t>
      </w:r>
    </w:p>
    <w:p w:rsidRPr="00B41D86" w:rsidR="001423EA" w:rsidP="001423EA" w:rsidRDefault="001423EA" w14:paraId="70EE7715" w14:textId="77777777">
      <w:pPr>
        <w:autoSpaceDE w:val="0"/>
        <w:autoSpaceDN w:val="0"/>
        <w:adjustRightInd w:val="0"/>
        <w:spacing w:after="0"/>
        <w:ind w:left="3600" w:firstLine="720"/>
        <w:rPr>
          <w:color w:val="000000"/>
          <w:szCs w:val="24"/>
        </w:rPr>
      </w:pPr>
      <w:r w:rsidRPr="00B41D86">
        <w:rPr>
          <w:color w:val="000000"/>
          <w:szCs w:val="24"/>
        </w:rPr>
        <w:t>Superfund and Emergency Management Division</w:t>
      </w:r>
    </w:p>
    <w:p w:rsidR="001423EA" w:rsidRDefault="001423EA" w14:paraId="24CAA4EE" w14:textId="77777777"/>
    <w:sectPr w:rsidR="001423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A6FF7" w14:textId="77777777" w:rsidR="0090471F" w:rsidRDefault="0090471F" w:rsidP="0090471F">
      <w:pPr>
        <w:spacing w:after="0" w:line="240" w:lineRule="auto"/>
      </w:pPr>
      <w:r>
        <w:separator/>
      </w:r>
    </w:p>
  </w:endnote>
  <w:endnote w:type="continuationSeparator" w:id="0">
    <w:p w14:paraId="65AB363A" w14:textId="77777777" w:rsidR="0090471F" w:rsidRDefault="0090471F" w:rsidP="00904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CE42" w14:textId="77777777" w:rsidR="0090471F" w:rsidRDefault="00904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604E9" w14:textId="77777777" w:rsidR="0090471F" w:rsidRDefault="009047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A8AC" w14:textId="77777777" w:rsidR="00472739" w:rsidRDefault="0090471F">
    <w:pPr>
      <w:pStyle w:val="Footer"/>
      <w:jc w:val="center"/>
    </w:pPr>
    <w:r>
      <w:t>H-</w:t>
    </w:r>
    <w:sdt>
      <w:sdtPr>
        <w:rPr>
          <w:color w:val="2B579A"/>
          <w:shd w:val="clear" w:color="auto" w:fill="E6E6E6"/>
        </w:rPr>
        <w:id w:val="-1063790746"/>
        <w:docPartObj>
          <w:docPartGallery w:val="Page Numbers (Bottom of Page)"/>
          <w:docPartUnique/>
        </w:docPartObj>
      </w:sdtPr>
      <w:sdtEndPr>
        <w:rPr>
          <w:noProof/>
          <w:color w:val="auto"/>
          <w:shd w:val="clear" w:color="auto" w:fill="auto"/>
        </w:rPr>
      </w:sdtEndPr>
      <w:sdtContent>
        <w:r w:rsidRPr="00545CE1">
          <w:fldChar w:fldCharType="begin"/>
        </w:r>
        <w:r>
          <w:instrText xml:space="preserve"> PAGE   \* MERGEFORMAT </w:instrText>
        </w:r>
        <w:r w:rsidRPr="00545CE1">
          <w:fldChar w:fldCharType="separate"/>
        </w:r>
        <w:r>
          <w:rPr>
            <w:noProof/>
          </w:rPr>
          <w:t>2</w:t>
        </w:r>
        <w:r w:rsidRPr="00545CE1">
          <w:fldChar w:fldCharType="end"/>
        </w:r>
      </w:sdtContent>
    </w:sdt>
  </w:p>
  <w:p w14:paraId="7DDD7884" w14:textId="77777777" w:rsidR="00472739" w:rsidRDefault="00DA2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A2A5A" w14:textId="77777777" w:rsidR="0090471F" w:rsidRDefault="0090471F" w:rsidP="0090471F">
      <w:pPr>
        <w:spacing w:after="0" w:line="240" w:lineRule="auto"/>
      </w:pPr>
      <w:r>
        <w:separator/>
      </w:r>
    </w:p>
  </w:footnote>
  <w:footnote w:type="continuationSeparator" w:id="0">
    <w:p w14:paraId="67A7BEAF" w14:textId="77777777" w:rsidR="0090471F" w:rsidRDefault="0090471F" w:rsidP="00904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6CDF7" w14:textId="77777777" w:rsidR="00472739" w:rsidRDefault="00DA25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52FFF" w14:textId="77777777" w:rsidR="00472739" w:rsidRDefault="00DA25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3FC0" w14:textId="77777777" w:rsidR="00545CE1" w:rsidRDefault="0090471F" w:rsidP="008011DC">
    <w:pPr>
      <w:pBdr>
        <w:bottom w:val="single" w:sz="4" w:space="1" w:color="auto"/>
      </w:pBdr>
      <w:tabs>
        <w:tab w:val="right" w:pos="9360"/>
      </w:tabs>
      <w:spacing w:after="0" w:line="252" w:lineRule="auto"/>
      <w:rPr>
        <w:rFonts w:ascii="Verdana" w:eastAsia="Times New Roman" w:hAnsi="Verdana" w:cs="Times New Roman"/>
        <w:i/>
        <w:sz w:val="20"/>
        <w:szCs w:val="24"/>
      </w:rPr>
    </w:pPr>
    <w:proofErr w:type="spellStart"/>
    <w:r>
      <w:rPr>
        <w:rFonts w:ascii="Verdana" w:eastAsia="Times New Roman" w:hAnsi="Verdana" w:cs="Times New Roman"/>
        <w:i/>
        <w:sz w:val="20"/>
        <w:szCs w:val="24"/>
      </w:rPr>
      <w:t>Oronogo-Duenweg</w:t>
    </w:r>
    <w:proofErr w:type="spellEnd"/>
    <w:r>
      <w:rPr>
        <w:rFonts w:ascii="Verdana" w:eastAsia="Times New Roman" w:hAnsi="Verdana" w:cs="Times New Roman"/>
        <w:i/>
        <w:sz w:val="20"/>
        <w:szCs w:val="24"/>
      </w:rPr>
      <w:t xml:space="preserve"> Mining Belt</w:t>
    </w:r>
    <w:r>
      <w:rPr>
        <w:rFonts w:ascii="Verdana" w:eastAsia="Times New Roman" w:hAnsi="Verdana" w:cs="Times New Roman"/>
        <w:i/>
        <w:sz w:val="20"/>
        <w:szCs w:val="24"/>
      </w:rPr>
      <w:tab/>
      <w:t>Exposure Investigation</w:t>
    </w:r>
  </w:p>
  <w:p w14:paraId="286C9253" w14:textId="77777777" w:rsidR="00472739" w:rsidRPr="00956879" w:rsidRDefault="0090471F" w:rsidP="008011DC">
    <w:pPr>
      <w:pBdr>
        <w:bottom w:val="single" w:sz="4" w:space="1" w:color="auto"/>
      </w:pBdr>
      <w:tabs>
        <w:tab w:val="right" w:pos="9360"/>
      </w:tabs>
      <w:spacing w:after="0" w:line="252" w:lineRule="auto"/>
      <w:rPr>
        <w:rFonts w:ascii="Verdana" w:eastAsia="Times New Roman" w:hAnsi="Verdana" w:cs="Times New Roman"/>
        <w:i/>
        <w:sz w:val="20"/>
        <w:szCs w:val="24"/>
      </w:rPr>
    </w:pPr>
    <w:r>
      <w:rPr>
        <w:rFonts w:ascii="Verdana" w:eastAsia="Times New Roman" w:hAnsi="Verdana" w:cs="Times New Roman"/>
        <w:i/>
        <w:sz w:val="20"/>
        <w:szCs w:val="24"/>
      </w:rPr>
      <w:t>Newton County Mine Tailings</w:t>
    </w:r>
    <w:r w:rsidRPr="00956879">
      <w:rPr>
        <w:rFonts w:ascii="Verdana" w:eastAsia="Times New Roman" w:hAnsi="Verdana" w:cs="Times New Roman"/>
        <w:i/>
        <w:sz w:val="20"/>
        <w:szCs w:val="24"/>
      </w:rPr>
      <w:tab/>
      <w:t xml:space="preserve"> </w:t>
    </w:r>
  </w:p>
  <w:p w14:paraId="68365171" w14:textId="77777777" w:rsidR="00472739" w:rsidRDefault="00DA25B1" w:rsidP="008011DC">
    <w:pPr>
      <w:pStyle w:val="Header"/>
    </w:pPr>
  </w:p>
  <w:p w14:paraId="06DF4D59" w14:textId="77777777" w:rsidR="00472739" w:rsidRDefault="00DA2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B5AF1"/>
    <w:multiLevelType w:val="hybridMultilevel"/>
    <w:tmpl w:val="BEE4CF9E"/>
    <w:lvl w:ilvl="0" w:tplc="04090001">
      <w:start w:val="1"/>
      <w:numFmt w:val="bullet"/>
      <w:lvlText w:val=""/>
      <w:lvlJc w:val="left"/>
      <w:pPr>
        <w:ind w:left="897" w:hanging="360"/>
      </w:pPr>
      <w:rPr>
        <w:rFonts w:ascii="Symbol" w:hAnsi="Symbol" w:hint="default"/>
      </w:rPr>
    </w:lvl>
    <w:lvl w:ilvl="1" w:tplc="04090003" w:tentative="1">
      <w:start w:val="1"/>
      <w:numFmt w:val="bullet"/>
      <w:lvlText w:val="o"/>
      <w:lvlJc w:val="left"/>
      <w:pPr>
        <w:ind w:left="1617" w:hanging="360"/>
      </w:pPr>
      <w:rPr>
        <w:rFonts w:ascii="Courier New" w:hAnsi="Courier New" w:cs="Courier New" w:hint="default"/>
      </w:rPr>
    </w:lvl>
    <w:lvl w:ilvl="2" w:tplc="04090005" w:tentative="1">
      <w:start w:val="1"/>
      <w:numFmt w:val="bullet"/>
      <w:lvlText w:val=""/>
      <w:lvlJc w:val="left"/>
      <w:pPr>
        <w:ind w:left="2337" w:hanging="360"/>
      </w:pPr>
      <w:rPr>
        <w:rFonts w:ascii="Wingdings" w:hAnsi="Wingdings" w:hint="default"/>
      </w:rPr>
    </w:lvl>
    <w:lvl w:ilvl="3" w:tplc="04090001" w:tentative="1">
      <w:start w:val="1"/>
      <w:numFmt w:val="bullet"/>
      <w:lvlText w:val=""/>
      <w:lvlJc w:val="left"/>
      <w:pPr>
        <w:ind w:left="3057" w:hanging="360"/>
      </w:pPr>
      <w:rPr>
        <w:rFonts w:ascii="Symbol" w:hAnsi="Symbol" w:hint="default"/>
      </w:rPr>
    </w:lvl>
    <w:lvl w:ilvl="4" w:tplc="04090003" w:tentative="1">
      <w:start w:val="1"/>
      <w:numFmt w:val="bullet"/>
      <w:lvlText w:val="o"/>
      <w:lvlJc w:val="left"/>
      <w:pPr>
        <w:ind w:left="3777" w:hanging="360"/>
      </w:pPr>
      <w:rPr>
        <w:rFonts w:ascii="Courier New" w:hAnsi="Courier New" w:cs="Courier New" w:hint="default"/>
      </w:rPr>
    </w:lvl>
    <w:lvl w:ilvl="5" w:tplc="04090005" w:tentative="1">
      <w:start w:val="1"/>
      <w:numFmt w:val="bullet"/>
      <w:lvlText w:val=""/>
      <w:lvlJc w:val="left"/>
      <w:pPr>
        <w:ind w:left="4497" w:hanging="360"/>
      </w:pPr>
      <w:rPr>
        <w:rFonts w:ascii="Wingdings" w:hAnsi="Wingdings" w:hint="default"/>
      </w:rPr>
    </w:lvl>
    <w:lvl w:ilvl="6" w:tplc="04090001" w:tentative="1">
      <w:start w:val="1"/>
      <w:numFmt w:val="bullet"/>
      <w:lvlText w:val=""/>
      <w:lvlJc w:val="left"/>
      <w:pPr>
        <w:ind w:left="5217" w:hanging="360"/>
      </w:pPr>
      <w:rPr>
        <w:rFonts w:ascii="Symbol" w:hAnsi="Symbol" w:hint="default"/>
      </w:rPr>
    </w:lvl>
    <w:lvl w:ilvl="7" w:tplc="04090003" w:tentative="1">
      <w:start w:val="1"/>
      <w:numFmt w:val="bullet"/>
      <w:lvlText w:val="o"/>
      <w:lvlJc w:val="left"/>
      <w:pPr>
        <w:ind w:left="5937" w:hanging="360"/>
      </w:pPr>
      <w:rPr>
        <w:rFonts w:ascii="Courier New" w:hAnsi="Courier New" w:cs="Courier New" w:hint="default"/>
      </w:rPr>
    </w:lvl>
    <w:lvl w:ilvl="8" w:tplc="04090005" w:tentative="1">
      <w:start w:val="1"/>
      <w:numFmt w:val="bullet"/>
      <w:lvlText w:val=""/>
      <w:lvlJc w:val="left"/>
      <w:pPr>
        <w:ind w:left="665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71F"/>
    <w:rsid w:val="001423EA"/>
    <w:rsid w:val="0021784C"/>
    <w:rsid w:val="00261FD0"/>
    <w:rsid w:val="003A4524"/>
    <w:rsid w:val="0047305F"/>
    <w:rsid w:val="00800049"/>
    <w:rsid w:val="00822DCF"/>
    <w:rsid w:val="0090471F"/>
    <w:rsid w:val="00AF3A6E"/>
    <w:rsid w:val="00B1417D"/>
    <w:rsid w:val="00DA25B1"/>
    <w:rsid w:val="00DA2C79"/>
    <w:rsid w:val="00E31A8C"/>
    <w:rsid w:val="00FD1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8D0970F"/>
  <w15:chartTrackingRefBased/>
  <w15:docId w15:val="{4E345DE2-CA02-40FE-BA2C-8D4578683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71F"/>
    <w:rPr>
      <w:rFonts w:ascii="Times New Roman" w:hAnsi="Times New Roman"/>
      <w:sz w:val="24"/>
    </w:rPr>
  </w:style>
  <w:style w:type="paragraph" w:styleId="Heading2">
    <w:name w:val="heading 2"/>
    <w:basedOn w:val="Normal"/>
    <w:next w:val="Normal"/>
    <w:link w:val="Heading2Char"/>
    <w:uiPriority w:val="9"/>
    <w:unhideWhenUsed/>
    <w:qFormat/>
    <w:rsid w:val="0090471F"/>
    <w:pPr>
      <w:keepNext/>
      <w:keepLines/>
      <w:spacing w:before="40" w:after="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0471F"/>
    <w:pPr>
      <w:keepNext/>
      <w:keepLines/>
      <w:spacing w:before="40" w:after="0"/>
      <w:outlineLvl w:val="2"/>
    </w:pPr>
    <w:rPr>
      <w:rFonts w:eastAsiaTheme="majorEastAsia" w:cstheme="majorBidi"/>
      <w:b/>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471F"/>
    <w:rPr>
      <w:rFonts w:ascii="Times New Roman" w:eastAsiaTheme="majorEastAsia" w:hAnsi="Times New Roman" w:cstheme="majorBidi"/>
      <w:color w:val="2F5496" w:themeColor="accent1" w:themeShade="BF"/>
      <w:sz w:val="26"/>
      <w:szCs w:val="26"/>
    </w:rPr>
  </w:style>
  <w:style w:type="character" w:customStyle="1" w:styleId="Heading3Char">
    <w:name w:val="Heading 3 Char"/>
    <w:basedOn w:val="DefaultParagraphFont"/>
    <w:link w:val="Heading3"/>
    <w:uiPriority w:val="9"/>
    <w:rsid w:val="0090471F"/>
    <w:rPr>
      <w:rFonts w:ascii="Times New Roman" w:eastAsiaTheme="majorEastAsia" w:hAnsi="Times New Roman" w:cstheme="majorBidi"/>
      <w:b/>
      <w:sz w:val="24"/>
      <w:szCs w:val="24"/>
    </w:rPr>
  </w:style>
  <w:style w:type="paragraph" w:styleId="Header">
    <w:name w:val="header"/>
    <w:basedOn w:val="Normal"/>
    <w:link w:val="HeaderChar"/>
    <w:unhideWhenUsed/>
    <w:rsid w:val="0090471F"/>
    <w:pPr>
      <w:tabs>
        <w:tab w:val="center" w:pos="4680"/>
        <w:tab w:val="right" w:pos="9360"/>
      </w:tabs>
      <w:spacing w:after="0" w:line="240" w:lineRule="auto"/>
    </w:pPr>
  </w:style>
  <w:style w:type="character" w:customStyle="1" w:styleId="HeaderChar">
    <w:name w:val="Header Char"/>
    <w:basedOn w:val="DefaultParagraphFont"/>
    <w:link w:val="Header"/>
    <w:rsid w:val="0090471F"/>
    <w:rPr>
      <w:rFonts w:ascii="Times New Roman" w:hAnsi="Times New Roman"/>
      <w:sz w:val="24"/>
    </w:rPr>
  </w:style>
  <w:style w:type="paragraph" w:styleId="Footer">
    <w:name w:val="footer"/>
    <w:basedOn w:val="Normal"/>
    <w:link w:val="FooterChar"/>
    <w:uiPriority w:val="99"/>
    <w:unhideWhenUsed/>
    <w:rsid w:val="00904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71F"/>
    <w:rPr>
      <w:rFonts w:ascii="Times New Roman" w:hAnsi="Times New Roman"/>
      <w:sz w:val="24"/>
    </w:rPr>
  </w:style>
  <w:style w:type="paragraph" w:styleId="ListParagraph">
    <w:name w:val="List Paragraph"/>
    <w:basedOn w:val="Normal"/>
    <w:uiPriority w:val="34"/>
    <w:qFormat/>
    <w:rsid w:val="0090471F"/>
    <w:pPr>
      <w:ind w:left="720"/>
      <w:contextualSpacing/>
    </w:pPr>
  </w:style>
  <w:style w:type="character" w:styleId="Hyperlink">
    <w:name w:val="Hyperlink"/>
    <w:basedOn w:val="DefaultParagraphFont"/>
    <w:uiPriority w:val="99"/>
    <w:unhideWhenUsed/>
    <w:rsid w:val="0090471F"/>
    <w:rPr>
      <w:color w:val="0563C1" w:themeColor="hyperlink"/>
      <w:u w:val="single"/>
    </w:rPr>
  </w:style>
  <w:style w:type="character" w:styleId="CommentReference">
    <w:name w:val="annotation reference"/>
    <w:basedOn w:val="DefaultParagraphFont"/>
    <w:uiPriority w:val="99"/>
    <w:semiHidden/>
    <w:unhideWhenUsed/>
    <w:rsid w:val="0021784C"/>
    <w:rPr>
      <w:sz w:val="16"/>
      <w:szCs w:val="16"/>
    </w:rPr>
  </w:style>
  <w:style w:type="paragraph" w:styleId="CommentText">
    <w:name w:val="annotation text"/>
    <w:basedOn w:val="Normal"/>
    <w:link w:val="CommentTextChar"/>
    <w:uiPriority w:val="99"/>
    <w:semiHidden/>
    <w:unhideWhenUsed/>
    <w:rsid w:val="0021784C"/>
    <w:pPr>
      <w:spacing w:line="240" w:lineRule="auto"/>
    </w:pPr>
    <w:rPr>
      <w:sz w:val="20"/>
      <w:szCs w:val="20"/>
    </w:rPr>
  </w:style>
  <w:style w:type="character" w:customStyle="1" w:styleId="CommentTextChar">
    <w:name w:val="Comment Text Char"/>
    <w:basedOn w:val="DefaultParagraphFont"/>
    <w:link w:val="CommentText"/>
    <w:uiPriority w:val="99"/>
    <w:semiHidden/>
    <w:rsid w:val="0021784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1784C"/>
    <w:rPr>
      <w:b/>
      <w:bCs/>
    </w:rPr>
  </w:style>
  <w:style w:type="character" w:customStyle="1" w:styleId="CommentSubjectChar">
    <w:name w:val="Comment Subject Char"/>
    <w:basedOn w:val="CommentTextChar"/>
    <w:link w:val="CommentSubject"/>
    <w:uiPriority w:val="99"/>
    <w:semiHidden/>
    <w:rsid w:val="0021784C"/>
    <w:rPr>
      <w:rFonts w:ascii="Times New Roman" w:hAnsi="Times New Roman"/>
      <w:b/>
      <w:bCs/>
      <w:sz w:val="20"/>
      <w:szCs w:val="20"/>
    </w:rPr>
  </w:style>
  <w:style w:type="table" w:styleId="TableGrid">
    <w:name w:val="Table Grid"/>
    <w:basedOn w:val="TableNormal"/>
    <w:uiPriority w:val="39"/>
    <w:rsid w:val="00142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MOLead@cdc.gov"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1187</Words>
  <Characters>6768</Characters>
  <Application>Microsoft Office Word</Application>
  <DocSecurity>0</DocSecurity>
  <Lines>56</Lines>
  <Paragraphs>15</Paragraphs>
  <ScaleCrop>false</ScaleCrop>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Aaron (ATSDR/OAD/OCHHA)</dc:creator>
  <cp:keywords/>
  <dc:description/>
  <cp:lastModifiedBy>Young, Aaron (ATSDR/OAD/OCHHA)</cp:lastModifiedBy>
  <cp:revision>9</cp:revision>
  <dcterms:created xsi:type="dcterms:W3CDTF">2022-06-06T16:16:00Z</dcterms:created>
  <dcterms:modified xsi:type="dcterms:W3CDTF">2022-06-06T16:22:00Z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2022-05-26T20:08:21Z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abf4464b-2a2c-4e66-b5a2-226d9fd0a83b</vt:lpwstr>
  </property>
  <property fmtid="{D5CDD505-2E9C-101B-9397-08002B2CF9AE}" pid="8" name="MSIP_Label_8af03ff0-41c5-4c41-b55e-fabb8fae94be_ContentBits">
    <vt:lpwstr>0</vt:lpwstr>
  </property>
</Properties>
</file>