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0DE" w:rsidP="00560248" w:rsidRDefault="002B5808" w14:paraId="214E6E26" w14:textId="77777777">
      <w:pPr>
        <w:pStyle w:val="BodyText"/>
        <w:jc w:val="center"/>
      </w:pPr>
      <w:r w:rsidRPr="000A20DE">
        <w:t xml:space="preserve">Supporting Statement </w:t>
      </w:r>
      <w:proofErr w:type="gramStart"/>
      <w:r w:rsidRPr="000A20DE">
        <w:t>Part</w:t>
      </w:r>
      <w:proofErr w:type="gramEnd"/>
      <w:r w:rsidRPr="000A20DE">
        <w:t xml:space="preserve"> A</w:t>
      </w:r>
    </w:p>
    <w:p w:rsidRPr="000A20DE" w:rsidR="00D24433" w:rsidP="00560248" w:rsidRDefault="002B5808" w14:paraId="214E6E27" w14:textId="77777777">
      <w:pPr>
        <w:pStyle w:val="BodyText"/>
        <w:jc w:val="center"/>
      </w:pPr>
      <w:r w:rsidRPr="000A20DE">
        <w:t>Medicaid Drug Use Review (DUR) Program</w:t>
      </w:r>
    </w:p>
    <w:p w:rsidRPr="000A20DE" w:rsidR="00D24433" w:rsidP="00560248" w:rsidRDefault="002B5808" w14:paraId="214E6E28" w14:textId="77777777">
      <w:pPr>
        <w:pStyle w:val="BodyText"/>
        <w:jc w:val="center"/>
      </w:pPr>
      <w:r w:rsidRPr="000A20DE">
        <w:t>CMS-R-153, OMB 0938-0659</w:t>
      </w:r>
    </w:p>
    <w:p w:rsidRPr="000A20DE" w:rsidR="00D24433" w:rsidP="00560248" w:rsidRDefault="00D24433" w14:paraId="214E6E29" w14:textId="77777777">
      <w:pPr>
        <w:pStyle w:val="BodyText"/>
        <w:jc w:val="center"/>
      </w:pPr>
    </w:p>
    <w:p w:rsidRPr="00F90562" w:rsidR="00D24433" w:rsidP="00560248" w:rsidRDefault="002B5808" w14:paraId="214E6E2A" w14:textId="77777777">
      <w:pPr>
        <w:pStyle w:val="Heading1"/>
        <w:ind w:left="0"/>
      </w:pPr>
      <w:bookmarkStart w:name="Background" w:id="0"/>
      <w:bookmarkEnd w:id="0"/>
      <w:r w:rsidRPr="00F90562">
        <w:t>Background</w:t>
      </w:r>
    </w:p>
    <w:p w:rsidRPr="000A20DE" w:rsidR="00D24433" w:rsidP="00560248" w:rsidRDefault="00D24433" w14:paraId="214E6E2B" w14:textId="77777777">
      <w:pPr>
        <w:pStyle w:val="BodyText"/>
      </w:pPr>
    </w:p>
    <w:p w:rsidRPr="000A20DE" w:rsidR="00D24433" w:rsidP="00560248" w:rsidRDefault="002B5808" w14:paraId="214E6E2C" w14:textId="606F37E3">
      <w:pPr>
        <w:pStyle w:val="BodyText"/>
        <w:spacing w:line="249" w:lineRule="auto"/>
      </w:pPr>
      <w:r w:rsidRPr="000A20DE">
        <w:t>Section 4401 of the Omnibus Budget Reconciliation Act of 1990 and section 1927(g) of the Social Security Act requires States to provide for a Medicaid Drug Use Review (DUR) program for covered outpatient drugs under fee-for-service</w:t>
      </w:r>
      <w:r w:rsidR="00C9478C">
        <w:t xml:space="preserve"> (FFS) and managed care </w:t>
      </w:r>
      <w:r w:rsidR="00646631">
        <w:t>organization</w:t>
      </w:r>
      <w:r w:rsidRPr="003A4A24" w:rsidR="00646631">
        <w:t>s</w:t>
      </w:r>
      <w:r w:rsidRPr="003A4A24" w:rsidR="00C9478C">
        <w:t xml:space="preserve"> (MCO</w:t>
      </w:r>
      <w:r w:rsidRPr="003A4A24" w:rsidR="00646631">
        <w:t>s</w:t>
      </w:r>
      <w:r w:rsidRPr="003A4A24" w:rsidR="00C9478C">
        <w:t>)</w:t>
      </w:r>
      <w:r w:rsidRPr="003A4A24">
        <w:t>. T</w:t>
      </w:r>
      <w:r w:rsidRPr="000A20DE">
        <w:t xml:space="preserve">he DUR program is required to assure that prescriptions are appropriate, medically necessary, and are not likely to result in adverse medical </w:t>
      </w:r>
      <w:r w:rsidR="00BF2150">
        <w:t>events</w:t>
      </w:r>
      <w:r w:rsidRPr="000A20DE">
        <w:t>. Each State DUR program must consist of prospective drug use review (</w:t>
      </w:r>
      <w:proofErr w:type="spellStart"/>
      <w:r w:rsidRPr="000A20DE">
        <w:t>ProDUR</w:t>
      </w:r>
      <w:proofErr w:type="spellEnd"/>
      <w:r w:rsidRPr="000A20DE">
        <w:t>), retrospective drug use review (</w:t>
      </w:r>
      <w:proofErr w:type="spellStart"/>
      <w:r w:rsidRPr="000A20DE">
        <w:t>RetroDUR</w:t>
      </w:r>
      <w:proofErr w:type="spellEnd"/>
      <w:r w:rsidRPr="000A20DE">
        <w:t xml:space="preserve">), data assessment of drug use against predetermined standards, and ongoing educational outreach activities. In addition, States are required to submit an annual DUR program report that includes a description of the nature and scope of State DUR activities as outlined in the statute and </w:t>
      </w:r>
      <w:r w:rsidRPr="000A20DE" w:rsidR="00B72734">
        <w:t>regulations.</w:t>
      </w:r>
    </w:p>
    <w:p w:rsidRPr="0022446D" w:rsidR="006E4A82" w:rsidP="006E4A82" w:rsidRDefault="006E4A82" w14:paraId="14485BC5" w14:textId="77777777">
      <w:pPr>
        <w:rPr>
          <w:sz w:val="24"/>
          <w:szCs w:val="24"/>
        </w:rPr>
      </w:pPr>
    </w:p>
    <w:p w:rsidRPr="0022446D" w:rsidR="00D429AD" w:rsidP="00560248" w:rsidRDefault="009F09FF" w14:paraId="776438D3" w14:textId="190FD1AA">
      <w:pPr>
        <w:pStyle w:val="BodyText"/>
        <w:spacing w:line="249" w:lineRule="auto"/>
      </w:pPr>
      <w:r w:rsidRPr="0022446D">
        <w:t>In this 202</w:t>
      </w:r>
      <w:r w:rsidRPr="0022446D" w:rsidR="009230BF">
        <w:t>1</w:t>
      </w:r>
      <w:r w:rsidRPr="0022446D">
        <w:t xml:space="preserve"> collection</w:t>
      </w:r>
      <w:r w:rsidRPr="0022446D" w:rsidR="00163B59">
        <w:t xml:space="preserve"> of information request</w:t>
      </w:r>
      <w:r w:rsidRPr="0022446D">
        <w:t>, we revised certain FFS</w:t>
      </w:r>
      <w:r w:rsidRPr="0022446D" w:rsidR="009230BF">
        <w:t>,</w:t>
      </w:r>
      <w:r w:rsidRPr="0022446D">
        <w:t xml:space="preserve"> MCO</w:t>
      </w:r>
      <w:r w:rsidRPr="0022446D" w:rsidR="009230BF">
        <w:t>, and Abbreviated MCO</w:t>
      </w:r>
      <w:r w:rsidRPr="0022446D">
        <w:t xml:space="preserve"> survey questions without making any changes to the survey burden.</w:t>
      </w:r>
      <w:r w:rsidRPr="0022446D" w:rsidR="006428AD">
        <w:t xml:space="preserve">  While </w:t>
      </w:r>
      <w:r w:rsidRPr="0022446D" w:rsidR="009230BF">
        <w:t xml:space="preserve">a few </w:t>
      </w:r>
      <w:r w:rsidRPr="0022446D" w:rsidR="006428AD">
        <w:t>questions were added to the survey</w:t>
      </w:r>
      <w:r w:rsidRPr="0022446D" w:rsidR="009230BF">
        <w:t>s to address GAO recommendations</w:t>
      </w:r>
      <w:r w:rsidRPr="0022446D" w:rsidR="006428AD">
        <w:t xml:space="preserve">, aspects of the survey were simplified </w:t>
      </w:r>
      <w:r w:rsidRPr="0022446D" w:rsidR="009230BF">
        <w:t>with grammar updates and formatting edits</w:t>
      </w:r>
      <w:r w:rsidRPr="0022446D" w:rsidR="006428AD">
        <w:t xml:space="preserve">, resulting in a net burden change of </w:t>
      </w:r>
      <w:r w:rsidRPr="0022446D" w:rsidR="00B37FED">
        <w:t>zero</w:t>
      </w:r>
      <w:r w:rsidRPr="0022446D" w:rsidR="006428AD">
        <w:t>.</w:t>
      </w:r>
    </w:p>
    <w:p w:rsidRPr="0022446D" w:rsidR="00B73012" w:rsidP="00560248" w:rsidRDefault="00B73012" w14:paraId="370AA281" w14:textId="77777777">
      <w:pPr>
        <w:pStyle w:val="Heading1"/>
        <w:tabs>
          <w:tab w:val="left" w:pos="944"/>
        </w:tabs>
        <w:ind w:left="0"/>
        <w:rPr>
          <w:b w:val="0"/>
        </w:rPr>
      </w:pPr>
      <w:bookmarkStart w:name="A.__Justification" w:id="1"/>
      <w:bookmarkEnd w:id="1"/>
    </w:p>
    <w:p w:rsidRPr="00F90562" w:rsidR="00D24433" w:rsidP="00560248" w:rsidRDefault="002B5808" w14:paraId="214E6E32" w14:textId="59E4BBEF">
      <w:pPr>
        <w:pStyle w:val="Heading1"/>
        <w:tabs>
          <w:tab w:val="left" w:pos="944"/>
        </w:tabs>
        <w:ind w:left="0"/>
      </w:pPr>
      <w:r w:rsidRPr="00F90562">
        <w:t>A.</w:t>
      </w:r>
      <w:r w:rsidRPr="00F90562">
        <w:tab/>
        <w:t>Justification</w:t>
      </w:r>
    </w:p>
    <w:p w:rsidRPr="000A20DE" w:rsidR="00D24433" w:rsidP="00560248" w:rsidRDefault="00D24433" w14:paraId="214E6E33" w14:textId="77777777">
      <w:pPr>
        <w:pStyle w:val="BodyText"/>
      </w:pPr>
    </w:p>
    <w:p w:rsidRPr="000A20DE" w:rsidR="00D24433" w:rsidP="0041327E" w:rsidRDefault="002B5808" w14:paraId="214E6E34" w14:textId="77777777">
      <w:pPr>
        <w:pStyle w:val="ListParagraph"/>
        <w:numPr>
          <w:ilvl w:val="0"/>
          <w:numId w:val="3"/>
        </w:numPr>
        <w:tabs>
          <w:tab w:val="left" w:pos="1440"/>
        </w:tabs>
        <w:ind w:left="360"/>
        <w:rPr>
          <w:sz w:val="24"/>
          <w:szCs w:val="24"/>
        </w:rPr>
      </w:pPr>
      <w:bookmarkStart w:name="1.__Need_and_Legal_Basis" w:id="2"/>
      <w:bookmarkEnd w:id="2"/>
      <w:r w:rsidRPr="000A20DE">
        <w:rPr>
          <w:sz w:val="24"/>
          <w:szCs w:val="24"/>
          <w:u w:val="single"/>
        </w:rPr>
        <w:t>Need and Legal</w:t>
      </w:r>
      <w:r w:rsidRPr="000A20DE">
        <w:rPr>
          <w:spacing w:val="-7"/>
          <w:sz w:val="24"/>
          <w:szCs w:val="24"/>
          <w:u w:val="single"/>
        </w:rPr>
        <w:t xml:space="preserve"> </w:t>
      </w:r>
      <w:r w:rsidRPr="000A20DE">
        <w:rPr>
          <w:sz w:val="24"/>
          <w:szCs w:val="24"/>
          <w:u w:val="single"/>
        </w:rPr>
        <w:t>Basis</w:t>
      </w:r>
    </w:p>
    <w:p w:rsidRPr="000A20DE" w:rsidR="00D24433" w:rsidP="00560248" w:rsidRDefault="00D24433" w14:paraId="214E6E35" w14:textId="77777777">
      <w:pPr>
        <w:pStyle w:val="BodyText"/>
      </w:pPr>
    </w:p>
    <w:p w:rsidRPr="000A20DE" w:rsidR="00D24433" w:rsidP="00560248" w:rsidRDefault="002B5808" w14:paraId="214E6E36" w14:textId="77777777">
      <w:pPr>
        <w:pStyle w:val="BodyText"/>
        <w:spacing w:line="249" w:lineRule="auto"/>
      </w:pPr>
      <w:r w:rsidRPr="000A20DE">
        <w:t xml:space="preserve">The authority for requiring States and MCOs to collect data for the DUR program is section 1927(g) of the Social Security Act (the Act), and implementing regulations at </w:t>
      </w:r>
      <w:r w:rsidRPr="00163500">
        <w:t>42 CFR 456.700 and 438.3(s).</w:t>
      </w:r>
    </w:p>
    <w:p w:rsidRPr="000A20DE" w:rsidR="00D24433" w:rsidP="00560248" w:rsidRDefault="00D24433" w14:paraId="214E6E37" w14:textId="77777777">
      <w:pPr>
        <w:pStyle w:val="BodyText"/>
      </w:pPr>
    </w:p>
    <w:p w:rsidRPr="000A20DE" w:rsidR="00D24433" w:rsidP="00560248" w:rsidRDefault="002B5808" w14:paraId="214E6E38" w14:textId="77777777">
      <w:pPr>
        <w:pStyle w:val="BodyText"/>
        <w:spacing w:line="249" w:lineRule="auto"/>
      </w:pPr>
      <w:r w:rsidRPr="000A20DE">
        <w:t>The information collection requirement is necessary to establish patient profiles in pharmacies, identify problems in prescribing and/or dispensing, determine each program’s ability to meet minimum standards required for Federal financial participation, and ensure quality pharmaceutical care for Medicaid patients.</w:t>
      </w:r>
    </w:p>
    <w:p w:rsidRPr="000A20DE" w:rsidR="00D24433" w:rsidP="00560248" w:rsidRDefault="00D24433" w14:paraId="214E6E39" w14:textId="77777777">
      <w:pPr>
        <w:pStyle w:val="BodyText"/>
      </w:pPr>
    </w:p>
    <w:p w:rsidRPr="000A20DE" w:rsidR="00D24433" w:rsidP="00560248" w:rsidRDefault="002B5808" w14:paraId="214E6E3A" w14:textId="77777777">
      <w:pPr>
        <w:pStyle w:val="BodyText"/>
        <w:spacing w:line="247" w:lineRule="auto"/>
      </w:pPr>
      <w:r w:rsidRPr="000A20DE">
        <w:t>State Medicaid agencies that have prescription drug programs are required to perform prospective and retrospective DUR in order to identify aberrations in prescribing, dispensing and/or patient behavior.</w:t>
      </w:r>
    </w:p>
    <w:p w:rsidRPr="000A20DE" w:rsidR="00D24433" w:rsidP="00560248" w:rsidRDefault="00D24433" w14:paraId="214E6E3B" w14:textId="77777777">
      <w:pPr>
        <w:pStyle w:val="BodyText"/>
      </w:pPr>
    </w:p>
    <w:p w:rsidRPr="0041327E" w:rsidR="00D24433" w:rsidP="00454A5E" w:rsidRDefault="002B5808" w14:paraId="214E6E3C" w14:textId="77777777">
      <w:pPr>
        <w:pStyle w:val="ListParagraph"/>
        <w:numPr>
          <w:ilvl w:val="0"/>
          <w:numId w:val="3"/>
        </w:numPr>
        <w:ind w:left="360"/>
        <w:rPr>
          <w:sz w:val="24"/>
          <w:szCs w:val="24"/>
        </w:rPr>
      </w:pPr>
      <w:bookmarkStart w:name="2.__Information_Users" w:id="3"/>
      <w:bookmarkEnd w:id="3"/>
      <w:r w:rsidRPr="0041327E">
        <w:rPr>
          <w:sz w:val="24"/>
          <w:szCs w:val="24"/>
          <w:u w:val="single"/>
        </w:rPr>
        <w:t>Information</w:t>
      </w:r>
      <w:r w:rsidRPr="0041327E">
        <w:rPr>
          <w:spacing w:val="-8"/>
          <w:sz w:val="24"/>
          <w:szCs w:val="24"/>
          <w:u w:val="single"/>
        </w:rPr>
        <w:t xml:space="preserve"> </w:t>
      </w:r>
      <w:r w:rsidRPr="0041327E">
        <w:rPr>
          <w:sz w:val="24"/>
          <w:szCs w:val="24"/>
          <w:u w:val="single"/>
        </w:rPr>
        <w:t>Users</w:t>
      </w:r>
    </w:p>
    <w:p w:rsidRPr="000A20DE" w:rsidR="00D24433" w:rsidP="00560248" w:rsidRDefault="00D24433" w14:paraId="214E6E3D" w14:textId="77777777">
      <w:pPr>
        <w:pStyle w:val="BodyText"/>
      </w:pPr>
    </w:p>
    <w:p w:rsidRPr="000A20DE" w:rsidR="00D24433" w:rsidP="00560248" w:rsidRDefault="002B5808" w14:paraId="214E6E3E" w14:textId="77777777">
      <w:pPr>
        <w:pStyle w:val="BodyText"/>
        <w:spacing w:line="247" w:lineRule="auto"/>
      </w:pPr>
      <w:r w:rsidRPr="000A20DE">
        <w:t>States must provide for a review of drug therapy before each prescription is filled or delivered to a Medicaid patient.  This review includes screening for potential drug therapy problems due to</w:t>
      </w:r>
      <w:r w:rsidRPr="000A20DE" w:rsidR="000A20DE">
        <w:t xml:space="preserve"> </w:t>
      </w:r>
      <w:r w:rsidRPr="000A20DE">
        <w:t xml:space="preserve">therapeutic duplication, drug-disease contraindications, drug-drug interactions, incorrect drug </w:t>
      </w:r>
      <w:r w:rsidRPr="000A20DE">
        <w:lastRenderedPageBreak/>
        <w:t>dosage or duration of drug treatment, drug-allergy interactions, and clinical abuse/misuse. Pharmacists must make a reasonable effort to obtain, record, and maintain Medicaid patient profiles. These profiles must reflect at least the patient’s name, address, telephone number, date of birth/age, gender, history, e.g., allergies, drug reactions, list of medications, and pharmacist’s comments relevant to the individual’s drug</w:t>
      </w:r>
      <w:r w:rsidRPr="000A20DE">
        <w:rPr>
          <w:spacing w:val="-6"/>
        </w:rPr>
        <w:t xml:space="preserve"> </w:t>
      </w:r>
      <w:r w:rsidRPr="000A20DE">
        <w:t>therapy.</w:t>
      </w:r>
    </w:p>
    <w:p w:rsidRPr="000A20DE" w:rsidR="00D24433" w:rsidP="00560248" w:rsidRDefault="00D24433" w14:paraId="214E6E3F" w14:textId="77777777">
      <w:pPr>
        <w:pStyle w:val="BodyText"/>
      </w:pPr>
    </w:p>
    <w:p w:rsidRPr="000A20DE" w:rsidR="00D24433" w:rsidP="00560248" w:rsidRDefault="002B5808" w14:paraId="214E6E40" w14:textId="77777777">
      <w:pPr>
        <w:pStyle w:val="BodyText"/>
        <w:spacing w:line="249" w:lineRule="auto"/>
      </w:pPr>
      <w:r w:rsidRPr="000A20DE">
        <w:t xml:space="preserve">The State must conduct </w:t>
      </w:r>
      <w:proofErr w:type="spellStart"/>
      <w:r w:rsidRPr="000A20DE">
        <w:t>RetroDUR</w:t>
      </w:r>
      <w:proofErr w:type="spellEnd"/>
      <w:r w:rsidRPr="000A20DE">
        <w:t xml:space="preserve"> which provides for the ongoing periodic examination of claims data and other records in order to identify patterns of fraud, abuse, inappropriate or medically unnecessary care. Patterns or trends of drug therapy problems are identified and reviewed to determine the need for intervention activity with pharmacists and/or physicians. States may conduct interventions via telephone, correspondence, or face-to-face contact.</w:t>
      </w:r>
    </w:p>
    <w:p w:rsidRPr="000A20DE" w:rsidR="00D24433" w:rsidP="00560248" w:rsidRDefault="00D24433" w14:paraId="214E6E41" w14:textId="77777777">
      <w:pPr>
        <w:pStyle w:val="BodyText"/>
      </w:pPr>
    </w:p>
    <w:p w:rsidRPr="000A20DE" w:rsidR="00D24433" w:rsidP="00BB0A4C" w:rsidRDefault="00070222" w14:paraId="214E6E42" w14:textId="1C5A4008">
      <w:pPr>
        <w:pStyle w:val="BodyText"/>
        <w:spacing w:line="249" w:lineRule="auto"/>
      </w:pPr>
      <w:r w:rsidRPr="00070222">
        <w:t>Th</w:t>
      </w:r>
      <w:r>
        <w:t xml:space="preserve">e states and MCOs are </w:t>
      </w:r>
      <w:r w:rsidR="001D6D10">
        <w:t xml:space="preserve">provided </w:t>
      </w:r>
      <w:r w:rsidRPr="003A4A24" w:rsidR="001D6D10">
        <w:t>the reporting instrument (a survey) by</w:t>
      </w:r>
      <w:r w:rsidR="001D6D10">
        <w:t xml:space="preserve"> CMS, and by</w:t>
      </w:r>
      <w:r>
        <w:t xml:space="preserve"> </w:t>
      </w:r>
      <w:r w:rsidR="001D6D10">
        <w:t xml:space="preserve">responding to the survey, </w:t>
      </w:r>
      <w:r>
        <w:t>the states generate a</w:t>
      </w:r>
      <w:r w:rsidRPr="000A20DE" w:rsidR="002B5808">
        <w:t>nnual reports</w:t>
      </w:r>
      <w:r>
        <w:t xml:space="preserve"> which</w:t>
      </w:r>
      <w:r w:rsidRPr="000A20DE" w:rsidR="002B5808">
        <w:t xml:space="preserve"> are submitted to CMS for the purposes of monitoring compliance and evaluating the progress of </w:t>
      </w:r>
      <w:r w:rsidR="001D6D10">
        <w:t>s</w:t>
      </w:r>
      <w:r w:rsidRPr="000A20DE" w:rsidR="002B5808">
        <w:t xml:space="preserve">tates’ DUR programs. </w:t>
      </w:r>
      <w:r w:rsidR="00BB0A4C">
        <w:t xml:space="preserve">The survey and </w:t>
      </w:r>
      <w:r w:rsidRPr="00BB0A4C" w:rsidR="00BB0A4C">
        <w:t>the annual recordkeeping and reporting requirements under the pertinent regulations</w:t>
      </w:r>
      <w:r w:rsidR="00BB0A4C">
        <w:t xml:space="preserve">, are completed by pharmacists employed by, or contracted with the various state Medicaid programs and their MCOs. </w:t>
      </w:r>
      <w:r w:rsidRPr="000A20DE" w:rsidR="002B5808">
        <w:t xml:space="preserve">The </w:t>
      </w:r>
      <w:r w:rsidR="001D6D10">
        <w:t xml:space="preserve">annual reports </w:t>
      </w:r>
      <w:r w:rsidRPr="000A20DE" w:rsidR="002B5808">
        <w:t xml:space="preserve">submitted by </w:t>
      </w:r>
      <w:r w:rsidR="001D6D10">
        <w:t>s</w:t>
      </w:r>
      <w:r w:rsidRPr="000A20DE" w:rsidR="002B5808">
        <w:t xml:space="preserve">tates </w:t>
      </w:r>
      <w:r w:rsidR="001D6D10">
        <w:t>are</w:t>
      </w:r>
      <w:r w:rsidRPr="000A20DE" w:rsidR="002B5808">
        <w:t xml:space="preserve"> reviewed and results are compiled by CMS in a format intended to provide information, comparisons and trends related to </w:t>
      </w:r>
      <w:r w:rsidR="001D6D10">
        <w:t>s</w:t>
      </w:r>
      <w:r w:rsidRPr="000A20DE" w:rsidR="002B5808">
        <w:t xml:space="preserve">tates’ experiences with DUR. The </w:t>
      </w:r>
      <w:r w:rsidR="001D6D10">
        <w:t>s</w:t>
      </w:r>
      <w:r w:rsidRPr="000A20DE" w:rsidR="002B5808">
        <w:t xml:space="preserve">tates benefit from the information and may enhance their programs each year based on </w:t>
      </w:r>
      <w:r w:rsidR="001D6D10">
        <w:t>s</w:t>
      </w:r>
      <w:r w:rsidRPr="000A20DE" w:rsidR="002B5808">
        <w:t>tate reported innovative practices that are compiled by CMS from the annual reports.</w:t>
      </w:r>
      <w:r w:rsidRPr="00BB0A4C" w:rsidR="00BB0A4C">
        <w:t xml:space="preserve"> </w:t>
      </w:r>
      <w:r w:rsidR="00EC5448">
        <w:t xml:space="preserve">A </w:t>
      </w:r>
      <w:r w:rsidR="001D6D10">
        <w:t>comparison/</w:t>
      </w:r>
      <w:r w:rsidR="00EC5448">
        <w:t>summary of the</w:t>
      </w:r>
      <w:r w:rsidR="00BB0A4C">
        <w:t xml:space="preserve"> </w:t>
      </w:r>
      <w:r w:rsidR="00EC5448">
        <w:t xml:space="preserve">data from the </w:t>
      </w:r>
      <w:r w:rsidR="001D6D10">
        <w:t xml:space="preserve">annual </w:t>
      </w:r>
      <w:r w:rsidR="00BB0A4C">
        <w:t>report</w:t>
      </w:r>
      <w:r w:rsidR="001D6D10">
        <w:t>s</w:t>
      </w:r>
      <w:r w:rsidR="00BB0A4C">
        <w:t xml:space="preserve"> </w:t>
      </w:r>
      <w:r w:rsidR="00EC5448">
        <w:t>is published on Medic</w:t>
      </w:r>
      <w:r w:rsidR="00BB0A4C">
        <w:t>a</w:t>
      </w:r>
      <w:r w:rsidR="00EC5448">
        <w:t>i</w:t>
      </w:r>
      <w:r w:rsidR="00BB0A4C">
        <w:t>d.gov annually</w:t>
      </w:r>
      <w:r w:rsidR="00EC5448">
        <w:t>, and</w:t>
      </w:r>
      <w:r w:rsidR="00BB0A4C">
        <w:t xml:space="preserve"> serves as a resource for stakeholders, including but not limited to states, manufacturers, researchers, congress, CMS, the Office of Inspector General (OIG), non-governmental payers and clinicians on the topic of DUR in state Medicaid programs.</w:t>
      </w:r>
    </w:p>
    <w:p w:rsidR="0041327E" w:rsidP="0041327E" w:rsidRDefault="0041327E" w14:paraId="57496C12" w14:textId="77777777">
      <w:pPr>
        <w:pStyle w:val="ListParagraph"/>
        <w:tabs>
          <w:tab w:val="left" w:pos="1440"/>
        </w:tabs>
        <w:ind w:left="0" w:firstLine="0"/>
        <w:rPr>
          <w:sz w:val="24"/>
          <w:szCs w:val="24"/>
          <w:u w:val="single"/>
        </w:rPr>
      </w:pPr>
      <w:bookmarkStart w:name="3.__Use_of_Information_Technology" w:id="4"/>
      <w:bookmarkEnd w:id="4"/>
    </w:p>
    <w:p w:rsidRPr="000A20DE" w:rsidR="00D24433" w:rsidP="00454A5E" w:rsidRDefault="002B5808" w14:paraId="214E6E44" w14:textId="1C35CEC0">
      <w:pPr>
        <w:pStyle w:val="ListParagraph"/>
        <w:numPr>
          <w:ilvl w:val="0"/>
          <w:numId w:val="3"/>
        </w:numPr>
        <w:tabs>
          <w:tab w:val="left" w:pos="1440"/>
        </w:tabs>
        <w:ind w:left="360"/>
        <w:rPr>
          <w:sz w:val="24"/>
          <w:szCs w:val="24"/>
        </w:rPr>
      </w:pPr>
      <w:r w:rsidRPr="000A20DE">
        <w:rPr>
          <w:sz w:val="24"/>
          <w:szCs w:val="24"/>
          <w:u w:val="single"/>
        </w:rPr>
        <w:t>Use of Information</w:t>
      </w:r>
      <w:r w:rsidRPr="000A20DE">
        <w:rPr>
          <w:spacing w:val="-6"/>
          <w:sz w:val="24"/>
          <w:szCs w:val="24"/>
          <w:u w:val="single"/>
        </w:rPr>
        <w:t xml:space="preserve"> </w:t>
      </w:r>
      <w:r w:rsidRPr="000A20DE">
        <w:rPr>
          <w:sz w:val="24"/>
          <w:szCs w:val="24"/>
          <w:u w:val="single"/>
        </w:rPr>
        <w:t>Technology</w:t>
      </w:r>
    </w:p>
    <w:p w:rsidRPr="000A20DE" w:rsidR="00D24433" w:rsidP="00560248" w:rsidRDefault="00D24433" w14:paraId="214E6E45" w14:textId="77777777">
      <w:pPr>
        <w:pStyle w:val="BodyText"/>
      </w:pPr>
    </w:p>
    <w:p w:rsidRPr="00064097" w:rsidR="0046252D" w:rsidP="00560248" w:rsidRDefault="000418B9" w14:paraId="62DC088C" w14:textId="41B2AE3F">
      <w:pPr>
        <w:pStyle w:val="BodyText"/>
        <w:spacing w:line="249" w:lineRule="auto"/>
      </w:pPr>
      <w:r w:rsidRPr="003A4A24">
        <w:t>States are required to submit their annual FFS</w:t>
      </w:r>
      <w:r w:rsidR="009230BF">
        <w:t>,</w:t>
      </w:r>
      <w:r w:rsidR="009E30C7">
        <w:t xml:space="preserve"> </w:t>
      </w:r>
      <w:r w:rsidRPr="003A4A24">
        <w:t>MCO</w:t>
      </w:r>
      <w:r w:rsidR="009230BF">
        <w:t>, and Abbreviated MCO</w:t>
      </w:r>
      <w:r w:rsidR="009E30C7">
        <w:t xml:space="preserve"> </w:t>
      </w:r>
      <w:r w:rsidRPr="003A4A24" w:rsidR="00673C7F">
        <w:t>responses via</w:t>
      </w:r>
      <w:r w:rsidRPr="003A4A24">
        <w:t xml:space="preserve"> the CMR-R-153 </w:t>
      </w:r>
      <w:r w:rsidRPr="003A4A24" w:rsidR="001D6D10">
        <w:t xml:space="preserve">reporting instrument (a </w:t>
      </w:r>
      <w:r w:rsidRPr="003A4A24" w:rsidR="002B5808">
        <w:t>survey</w:t>
      </w:r>
      <w:r w:rsidRPr="003A4A24" w:rsidR="001D6D10">
        <w:t>)</w:t>
      </w:r>
      <w:r w:rsidRPr="000A20DE" w:rsidR="002B5808">
        <w:t xml:space="preserve"> using a CMS-hosted online information technology system called Medicaid Drug Program (MDP). </w:t>
      </w:r>
      <w:r w:rsidR="001D6D10">
        <w:t>To generate their annual reports, s</w:t>
      </w:r>
      <w:r w:rsidRPr="000A20DE" w:rsidR="002B5808">
        <w:t xml:space="preserve">tates submit </w:t>
      </w:r>
      <w:r w:rsidR="001D6D10">
        <w:t xml:space="preserve">their </w:t>
      </w:r>
      <w:r w:rsidRPr="000A20DE" w:rsidR="002B5808">
        <w:t xml:space="preserve">FFS and MCO responses to the CMS hosted online MDP system. </w:t>
      </w:r>
    </w:p>
    <w:p w:rsidR="0041327E" w:rsidP="0041327E" w:rsidRDefault="0041327E" w14:paraId="128D46A3" w14:textId="77777777">
      <w:pPr>
        <w:pStyle w:val="ListParagraph"/>
        <w:tabs>
          <w:tab w:val="left" w:pos="1440"/>
        </w:tabs>
        <w:ind w:left="0" w:firstLine="0"/>
        <w:rPr>
          <w:sz w:val="24"/>
          <w:szCs w:val="24"/>
          <w:u w:val="single"/>
        </w:rPr>
      </w:pPr>
      <w:bookmarkStart w:name="4.__Duplication/Similar_Information" w:id="5"/>
      <w:bookmarkEnd w:id="5"/>
    </w:p>
    <w:p w:rsidRPr="000A20DE" w:rsidR="00D24433" w:rsidP="00454A5E" w:rsidRDefault="002B5808" w14:paraId="214E6E48" w14:textId="0EDB6A64">
      <w:pPr>
        <w:pStyle w:val="ListParagraph"/>
        <w:numPr>
          <w:ilvl w:val="0"/>
          <w:numId w:val="3"/>
        </w:numPr>
        <w:tabs>
          <w:tab w:val="left" w:pos="1440"/>
        </w:tabs>
        <w:ind w:left="360"/>
        <w:rPr>
          <w:sz w:val="24"/>
          <w:szCs w:val="24"/>
        </w:rPr>
      </w:pPr>
      <w:r w:rsidRPr="000A20DE">
        <w:rPr>
          <w:sz w:val="24"/>
          <w:szCs w:val="24"/>
          <w:u w:val="single"/>
        </w:rPr>
        <w:t>Duplication/Similar Information</w:t>
      </w:r>
    </w:p>
    <w:p w:rsidRPr="000A20DE" w:rsidR="00D24433" w:rsidP="00560248" w:rsidRDefault="00D24433" w14:paraId="214E6E49" w14:textId="77777777">
      <w:pPr>
        <w:pStyle w:val="BodyText"/>
      </w:pPr>
    </w:p>
    <w:p w:rsidRPr="000A20DE" w:rsidR="00D24433" w:rsidP="00CF4B82" w:rsidRDefault="002B5808" w14:paraId="214E6E4A" w14:textId="77777777">
      <w:pPr>
        <w:pStyle w:val="BodyText"/>
        <w:spacing w:line="247" w:lineRule="auto"/>
      </w:pPr>
      <w:r w:rsidRPr="000A20DE">
        <w:t>CMS</w:t>
      </w:r>
      <w:r w:rsidRPr="000A20DE">
        <w:rPr>
          <w:spacing w:val="-6"/>
        </w:rPr>
        <w:t xml:space="preserve"> </w:t>
      </w:r>
      <w:r w:rsidRPr="000A20DE">
        <w:t>is</w:t>
      </w:r>
      <w:r w:rsidRPr="000A20DE">
        <w:rPr>
          <w:spacing w:val="-6"/>
        </w:rPr>
        <w:t xml:space="preserve"> </w:t>
      </w:r>
      <w:r w:rsidRPr="000A20DE">
        <w:t>the</w:t>
      </w:r>
      <w:r w:rsidRPr="000A20DE">
        <w:rPr>
          <w:spacing w:val="-7"/>
        </w:rPr>
        <w:t xml:space="preserve"> </w:t>
      </w:r>
      <w:r w:rsidRPr="000A20DE">
        <w:t>only</w:t>
      </w:r>
      <w:r w:rsidRPr="000A20DE">
        <w:rPr>
          <w:spacing w:val="-13"/>
        </w:rPr>
        <w:t xml:space="preserve"> </w:t>
      </w:r>
      <w:r w:rsidRPr="000A20DE">
        <w:t>Department</w:t>
      </w:r>
      <w:r w:rsidRPr="000A20DE">
        <w:rPr>
          <w:spacing w:val="-6"/>
        </w:rPr>
        <w:t xml:space="preserve"> </w:t>
      </w:r>
      <w:r w:rsidRPr="000A20DE">
        <w:t>of</w:t>
      </w:r>
      <w:r w:rsidRPr="000A20DE">
        <w:rPr>
          <w:spacing w:val="-7"/>
        </w:rPr>
        <w:t xml:space="preserve"> </w:t>
      </w:r>
      <w:r w:rsidRPr="000A20DE">
        <w:t>Health</w:t>
      </w:r>
      <w:r w:rsidRPr="000A20DE">
        <w:rPr>
          <w:spacing w:val="-6"/>
        </w:rPr>
        <w:t xml:space="preserve"> </w:t>
      </w:r>
      <w:r w:rsidRPr="000A20DE">
        <w:t>and</w:t>
      </w:r>
      <w:r w:rsidRPr="000A20DE">
        <w:rPr>
          <w:spacing w:val="-6"/>
        </w:rPr>
        <w:t xml:space="preserve"> </w:t>
      </w:r>
      <w:r w:rsidRPr="000A20DE">
        <w:t>Human</w:t>
      </w:r>
      <w:r w:rsidRPr="000A20DE">
        <w:rPr>
          <w:spacing w:val="-6"/>
        </w:rPr>
        <w:t xml:space="preserve"> </w:t>
      </w:r>
      <w:r w:rsidRPr="000A20DE">
        <w:t>Services</w:t>
      </w:r>
      <w:r w:rsidRPr="000A20DE">
        <w:rPr>
          <w:spacing w:val="-6"/>
        </w:rPr>
        <w:t xml:space="preserve"> </w:t>
      </w:r>
      <w:r w:rsidRPr="000A20DE">
        <w:t>(HHS)</w:t>
      </w:r>
      <w:r w:rsidRPr="000A20DE">
        <w:rPr>
          <w:spacing w:val="-7"/>
        </w:rPr>
        <w:t xml:space="preserve"> </w:t>
      </w:r>
      <w:r w:rsidRPr="000A20DE">
        <w:t>component</w:t>
      </w:r>
      <w:r w:rsidRPr="000A20DE">
        <w:rPr>
          <w:spacing w:val="-6"/>
        </w:rPr>
        <w:t xml:space="preserve"> </w:t>
      </w:r>
      <w:r w:rsidRPr="000A20DE">
        <w:t>collecting</w:t>
      </w:r>
      <w:r w:rsidRPr="000A20DE">
        <w:rPr>
          <w:spacing w:val="-8"/>
        </w:rPr>
        <w:t xml:space="preserve"> </w:t>
      </w:r>
      <w:r w:rsidRPr="000A20DE">
        <w:t>Medicaid DUR data. Therefore, there is no existing initiative which duplicates this data collection that could yield findings in place of DUR</w:t>
      </w:r>
      <w:r w:rsidRPr="000A20DE">
        <w:rPr>
          <w:spacing w:val="-2"/>
        </w:rPr>
        <w:t xml:space="preserve"> </w:t>
      </w:r>
      <w:r w:rsidRPr="000A20DE">
        <w:t>data.</w:t>
      </w:r>
    </w:p>
    <w:p w:rsidR="0041327E" w:rsidP="0041327E" w:rsidRDefault="0041327E" w14:paraId="3AC85646" w14:textId="77777777">
      <w:pPr>
        <w:pStyle w:val="ListParagraph"/>
        <w:tabs>
          <w:tab w:val="left" w:pos="1440"/>
        </w:tabs>
        <w:ind w:left="0" w:firstLine="0"/>
        <w:rPr>
          <w:sz w:val="24"/>
          <w:szCs w:val="24"/>
          <w:u w:val="single"/>
        </w:rPr>
      </w:pPr>
      <w:bookmarkStart w:name="5.__Small_Business" w:id="6"/>
      <w:bookmarkEnd w:id="6"/>
    </w:p>
    <w:p w:rsidRPr="000A20DE" w:rsidR="00D24433" w:rsidP="00454A5E" w:rsidRDefault="002B5808" w14:paraId="214E6E4C" w14:textId="7CE6BC07">
      <w:pPr>
        <w:pStyle w:val="ListParagraph"/>
        <w:numPr>
          <w:ilvl w:val="0"/>
          <w:numId w:val="3"/>
        </w:numPr>
        <w:tabs>
          <w:tab w:val="left" w:pos="1440"/>
        </w:tabs>
        <w:ind w:left="360"/>
        <w:rPr>
          <w:sz w:val="24"/>
          <w:szCs w:val="24"/>
        </w:rPr>
      </w:pPr>
      <w:r w:rsidRPr="000A20DE">
        <w:rPr>
          <w:sz w:val="24"/>
          <w:szCs w:val="24"/>
          <w:u w:val="single"/>
        </w:rPr>
        <w:t>Small</w:t>
      </w:r>
      <w:r w:rsidRPr="000A20DE">
        <w:rPr>
          <w:spacing w:val="-1"/>
          <w:sz w:val="24"/>
          <w:szCs w:val="24"/>
          <w:u w:val="single"/>
        </w:rPr>
        <w:t xml:space="preserve"> </w:t>
      </w:r>
      <w:r w:rsidRPr="000A20DE">
        <w:rPr>
          <w:sz w:val="24"/>
          <w:szCs w:val="24"/>
          <w:u w:val="single"/>
        </w:rPr>
        <w:t>Business</w:t>
      </w:r>
    </w:p>
    <w:p w:rsidRPr="000A20DE" w:rsidR="00D24433" w:rsidP="00560248" w:rsidRDefault="00D24433" w14:paraId="214E6E4D" w14:textId="77777777">
      <w:pPr>
        <w:pStyle w:val="BodyText"/>
      </w:pPr>
    </w:p>
    <w:p w:rsidRPr="000A20DE" w:rsidR="00D24433" w:rsidP="00560248" w:rsidRDefault="002B5808" w14:paraId="214E6E4E" w14:textId="77777777">
      <w:pPr>
        <w:pStyle w:val="BodyText"/>
        <w:spacing w:line="247" w:lineRule="auto"/>
      </w:pPr>
      <w:r w:rsidRPr="000A20DE">
        <w:t xml:space="preserve">These information collection requirements do not </w:t>
      </w:r>
      <w:proofErr w:type="gramStart"/>
      <w:r w:rsidRPr="000A20DE">
        <w:t>affect</w:t>
      </w:r>
      <w:proofErr w:type="gramEnd"/>
      <w:r w:rsidRPr="000A20DE">
        <w:t xml:space="preserve"> small businesses. When processing prescriptions, pharmacies have an automated system that utilizes the prospective data edits to complete</w:t>
      </w:r>
      <w:r w:rsidRPr="000A20DE" w:rsidR="000A20DE">
        <w:t xml:space="preserve"> </w:t>
      </w:r>
      <w:r w:rsidRPr="000A20DE">
        <w:t xml:space="preserve">the proper filling of the prescription. The pharmacy itself does not </w:t>
      </w:r>
      <w:proofErr w:type="gramStart"/>
      <w:r w:rsidRPr="000A20DE">
        <w:t>collect</w:t>
      </w:r>
      <w:proofErr w:type="gramEnd"/>
      <w:r w:rsidRPr="000A20DE">
        <w:t xml:space="preserve"> the data. The data is submitted to the state as the claim is being processed electronically.</w:t>
      </w:r>
    </w:p>
    <w:p w:rsidRPr="000A20DE" w:rsidR="00D24433" w:rsidP="00560248" w:rsidRDefault="00D24433" w14:paraId="214E6E4F" w14:textId="77777777">
      <w:pPr>
        <w:pStyle w:val="BodyText"/>
      </w:pPr>
    </w:p>
    <w:p w:rsidRPr="000A20DE" w:rsidR="00D24433" w:rsidP="00454A5E" w:rsidRDefault="002B5808" w14:paraId="214E6E50" w14:textId="77777777">
      <w:pPr>
        <w:pStyle w:val="ListParagraph"/>
        <w:numPr>
          <w:ilvl w:val="0"/>
          <w:numId w:val="3"/>
        </w:numPr>
        <w:tabs>
          <w:tab w:val="left" w:pos="1440"/>
        </w:tabs>
        <w:ind w:left="360"/>
        <w:rPr>
          <w:sz w:val="24"/>
          <w:szCs w:val="24"/>
        </w:rPr>
      </w:pPr>
      <w:bookmarkStart w:name="6.__Less_Frequent_Collection" w:id="7"/>
      <w:bookmarkEnd w:id="7"/>
      <w:r w:rsidRPr="000A20DE">
        <w:rPr>
          <w:sz w:val="24"/>
          <w:szCs w:val="24"/>
          <w:u w:val="single"/>
        </w:rPr>
        <w:t>Less Frequent</w:t>
      </w:r>
      <w:r w:rsidRPr="000A20DE">
        <w:rPr>
          <w:spacing w:val="-8"/>
          <w:sz w:val="24"/>
          <w:szCs w:val="24"/>
          <w:u w:val="single"/>
        </w:rPr>
        <w:t xml:space="preserve"> </w:t>
      </w:r>
      <w:r w:rsidRPr="000A20DE">
        <w:rPr>
          <w:sz w:val="24"/>
          <w:szCs w:val="24"/>
          <w:u w:val="single"/>
        </w:rPr>
        <w:t>Collection</w:t>
      </w:r>
    </w:p>
    <w:p w:rsidRPr="000A20DE" w:rsidR="00D24433" w:rsidP="00560248" w:rsidRDefault="00D24433" w14:paraId="214E6E51" w14:textId="77777777">
      <w:pPr>
        <w:pStyle w:val="BodyText"/>
      </w:pPr>
    </w:p>
    <w:p w:rsidRPr="00072D91" w:rsidR="00D24433" w:rsidP="00072D91" w:rsidRDefault="002B5808" w14:paraId="214E6E52" w14:textId="3F2E41EC">
      <w:pPr>
        <w:pStyle w:val="NoSpacing"/>
        <w:rPr>
          <w:sz w:val="24"/>
          <w:szCs w:val="24"/>
        </w:rPr>
      </w:pPr>
      <w:proofErr w:type="spellStart"/>
      <w:r w:rsidRPr="00163500">
        <w:rPr>
          <w:sz w:val="24"/>
          <w:szCs w:val="24"/>
        </w:rPr>
        <w:t>RetroDUR</w:t>
      </w:r>
      <w:proofErr w:type="spellEnd"/>
      <w:r w:rsidRPr="00163500">
        <w:rPr>
          <w:sz w:val="24"/>
          <w:szCs w:val="24"/>
        </w:rPr>
        <w:t xml:space="preserve"> activity is required by regulation at least quarterly according to 42 CFR 456.709(a) and State and MCO reports are required to be submitted annually according to 42 CFR 456.712(b) and 438.3(s)(5) by June 30</w:t>
      </w:r>
      <w:r w:rsidRPr="00163500" w:rsidR="00072D91">
        <w:rPr>
          <w:sz w:val="24"/>
          <w:szCs w:val="24"/>
          <w:vertAlign w:val="superscript"/>
        </w:rPr>
        <w:t>th</w:t>
      </w:r>
      <w:r w:rsidRPr="00163500">
        <w:rPr>
          <w:position w:val="9"/>
          <w:sz w:val="24"/>
          <w:szCs w:val="24"/>
        </w:rPr>
        <w:t xml:space="preserve"> </w:t>
      </w:r>
      <w:r w:rsidRPr="00163500">
        <w:rPr>
          <w:sz w:val="24"/>
          <w:szCs w:val="24"/>
        </w:rPr>
        <w:t>of each calendar year for the previous Federal Fiscal</w:t>
      </w:r>
      <w:r w:rsidRPr="00072D91">
        <w:rPr>
          <w:sz w:val="24"/>
          <w:szCs w:val="24"/>
        </w:rPr>
        <w:t xml:space="preserve"> Year, as determined by the Secretary.  Less frequent data collection is not applicable.</w:t>
      </w:r>
    </w:p>
    <w:p w:rsidRPr="000A20DE" w:rsidR="00F90562" w:rsidP="00560248" w:rsidRDefault="00F90562" w14:paraId="214E6E53" w14:textId="77777777">
      <w:pPr>
        <w:pStyle w:val="BodyText"/>
        <w:spacing w:line="244" w:lineRule="auto"/>
      </w:pPr>
    </w:p>
    <w:p w:rsidRPr="000A20DE" w:rsidR="00D24433" w:rsidP="00454A5E" w:rsidRDefault="002B5808" w14:paraId="214E6E54" w14:textId="77777777">
      <w:pPr>
        <w:pStyle w:val="ListParagraph"/>
        <w:numPr>
          <w:ilvl w:val="0"/>
          <w:numId w:val="3"/>
        </w:numPr>
        <w:tabs>
          <w:tab w:val="left" w:pos="1440"/>
        </w:tabs>
        <w:ind w:left="360"/>
        <w:rPr>
          <w:sz w:val="24"/>
          <w:szCs w:val="24"/>
        </w:rPr>
      </w:pPr>
      <w:bookmarkStart w:name="7.__Special_Circumstances" w:id="8"/>
      <w:bookmarkEnd w:id="8"/>
      <w:r w:rsidRPr="000A20DE">
        <w:rPr>
          <w:sz w:val="24"/>
          <w:szCs w:val="24"/>
          <w:u w:val="single"/>
        </w:rPr>
        <w:t>Special</w:t>
      </w:r>
      <w:r w:rsidRPr="000A20DE">
        <w:rPr>
          <w:spacing w:val="-10"/>
          <w:sz w:val="24"/>
          <w:szCs w:val="24"/>
          <w:u w:val="single"/>
        </w:rPr>
        <w:t xml:space="preserve"> </w:t>
      </w:r>
      <w:r w:rsidRPr="000A20DE">
        <w:rPr>
          <w:sz w:val="24"/>
          <w:szCs w:val="24"/>
          <w:u w:val="single"/>
        </w:rPr>
        <w:t>Circumstances</w:t>
      </w:r>
    </w:p>
    <w:p w:rsidRPr="000A20DE" w:rsidR="00D24433" w:rsidP="00560248" w:rsidRDefault="00D24433" w14:paraId="214E6E55" w14:textId="77777777">
      <w:pPr>
        <w:pStyle w:val="BodyText"/>
      </w:pPr>
    </w:p>
    <w:p w:rsidRPr="000A20DE" w:rsidR="00D24433" w:rsidP="00560248" w:rsidRDefault="002B5808" w14:paraId="214E6E56" w14:textId="77777777">
      <w:pPr>
        <w:pStyle w:val="BodyText"/>
        <w:spacing w:line="247" w:lineRule="auto"/>
      </w:pPr>
      <w:r w:rsidRPr="000A20DE">
        <w:t>There are no special circumstances that would require an information collection to be conducted in a manner that requires respondents to:</w:t>
      </w:r>
    </w:p>
    <w:p w:rsidRPr="000A20DE" w:rsidR="00D24433" w:rsidP="00560248" w:rsidRDefault="00D24433" w14:paraId="214E6E57" w14:textId="77777777">
      <w:pPr>
        <w:pStyle w:val="BodyText"/>
      </w:pPr>
    </w:p>
    <w:p w:rsidRPr="000A20DE" w:rsidR="00D24433" w:rsidP="00560248" w:rsidRDefault="002B5808" w14:paraId="214E6E58" w14:textId="77777777">
      <w:pPr>
        <w:pStyle w:val="ListParagraph"/>
        <w:numPr>
          <w:ilvl w:val="0"/>
          <w:numId w:val="1"/>
        </w:numPr>
        <w:tabs>
          <w:tab w:val="left" w:pos="555"/>
          <w:tab w:val="left" w:pos="556"/>
        </w:tabs>
        <w:ind w:left="0" w:firstLine="0"/>
        <w:rPr>
          <w:sz w:val="24"/>
          <w:szCs w:val="24"/>
        </w:rPr>
      </w:pPr>
      <w:r w:rsidRPr="000A20DE">
        <w:rPr>
          <w:sz w:val="24"/>
          <w:szCs w:val="24"/>
        </w:rPr>
        <w:t>Report information to the agency more often than</w:t>
      </w:r>
      <w:r w:rsidRPr="000A20DE">
        <w:rPr>
          <w:spacing w:val="-15"/>
          <w:sz w:val="24"/>
          <w:szCs w:val="24"/>
        </w:rPr>
        <w:t xml:space="preserve"> </w:t>
      </w:r>
      <w:r w:rsidRPr="000A20DE">
        <w:rPr>
          <w:sz w:val="24"/>
          <w:szCs w:val="24"/>
        </w:rPr>
        <w:t>quarterly;</w:t>
      </w:r>
    </w:p>
    <w:p w:rsidRPr="00F90C8D" w:rsidR="00D24433" w:rsidP="00F90C8D" w:rsidRDefault="002B5808" w14:paraId="214E6E59" w14:textId="6BDE4570">
      <w:pPr>
        <w:pStyle w:val="ListParagraph"/>
        <w:numPr>
          <w:ilvl w:val="0"/>
          <w:numId w:val="1"/>
        </w:numPr>
        <w:tabs>
          <w:tab w:val="left" w:pos="555"/>
          <w:tab w:val="left" w:pos="556"/>
        </w:tabs>
        <w:ind w:hanging="556"/>
        <w:rPr>
          <w:sz w:val="24"/>
          <w:szCs w:val="24"/>
        </w:rPr>
      </w:pPr>
      <w:r w:rsidRPr="000A20DE">
        <w:rPr>
          <w:sz w:val="24"/>
          <w:szCs w:val="24"/>
        </w:rPr>
        <w:t xml:space="preserve">Prepare a written response to a collection of information in fewer than 30 days after receipt </w:t>
      </w:r>
      <w:r w:rsidRPr="00F90C8D">
        <w:rPr>
          <w:sz w:val="24"/>
          <w:szCs w:val="24"/>
        </w:rPr>
        <w:t>of</w:t>
      </w:r>
      <w:r w:rsidRPr="00F90C8D">
        <w:rPr>
          <w:spacing w:val="-23"/>
          <w:sz w:val="24"/>
          <w:szCs w:val="24"/>
        </w:rPr>
        <w:t xml:space="preserve"> </w:t>
      </w:r>
      <w:r w:rsidRPr="00F90C8D">
        <w:rPr>
          <w:sz w:val="24"/>
          <w:szCs w:val="24"/>
        </w:rPr>
        <w:t>it;</w:t>
      </w:r>
    </w:p>
    <w:p w:rsidRPr="000A20DE" w:rsidR="00D24433" w:rsidP="00560248" w:rsidRDefault="002B5808" w14:paraId="214E6E5A" w14:textId="77777777">
      <w:pPr>
        <w:pStyle w:val="ListParagraph"/>
        <w:numPr>
          <w:ilvl w:val="0"/>
          <w:numId w:val="1"/>
        </w:numPr>
        <w:tabs>
          <w:tab w:val="left" w:pos="555"/>
          <w:tab w:val="left" w:pos="556"/>
        </w:tabs>
        <w:ind w:left="0" w:firstLine="0"/>
        <w:rPr>
          <w:sz w:val="24"/>
          <w:szCs w:val="24"/>
        </w:rPr>
      </w:pPr>
      <w:r w:rsidRPr="000A20DE">
        <w:rPr>
          <w:sz w:val="24"/>
          <w:szCs w:val="24"/>
        </w:rPr>
        <w:t>Submit more than an original and two copies of any</w:t>
      </w:r>
      <w:r w:rsidRPr="000A20DE">
        <w:rPr>
          <w:spacing w:val="-12"/>
          <w:sz w:val="24"/>
          <w:szCs w:val="24"/>
        </w:rPr>
        <w:t xml:space="preserve"> </w:t>
      </w:r>
      <w:r w:rsidRPr="000A20DE">
        <w:rPr>
          <w:sz w:val="24"/>
          <w:szCs w:val="24"/>
        </w:rPr>
        <w:t>document;</w:t>
      </w:r>
    </w:p>
    <w:p w:rsidRPr="006977F0" w:rsidR="00D24433" w:rsidP="006977F0" w:rsidRDefault="002B5808" w14:paraId="214E6E5B" w14:textId="5FD77AC8">
      <w:pPr>
        <w:pStyle w:val="ListParagraph"/>
        <w:numPr>
          <w:ilvl w:val="0"/>
          <w:numId w:val="1"/>
        </w:numPr>
        <w:tabs>
          <w:tab w:val="left" w:pos="555"/>
          <w:tab w:val="left" w:pos="556"/>
        </w:tabs>
        <w:spacing w:line="250" w:lineRule="auto"/>
        <w:ind w:left="562" w:hanging="562"/>
        <w:rPr>
          <w:sz w:val="24"/>
          <w:szCs w:val="24"/>
        </w:rPr>
      </w:pPr>
      <w:r w:rsidRPr="006977F0">
        <w:rPr>
          <w:sz w:val="24"/>
          <w:szCs w:val="24"/>
        </w:rPr>
        <w:t>Retain records, other than health, medical, government contract, grant-in-aid, or tax records</w:t>
      </w:r>
      <w:r w:rsidRPr="006977F0">
        <w:rPr>
          <w:spacing w:val="-21"/>
          <w:sz w:val="24"/>
          <w:szCs w:val="24"/>
        </w:rPr>
        <w:t xml:space="preserve"> </w:t>
      </w:r>
      <w:r w:rsidRPr="006977F0">
        <w:rPr>
          <w:sz w:val="24"/>
          <w:szCs w:val="24"/>
        </w:rPr>
        <w:t>for more than three</w:t>
      </w:r>
      <w:r w:rsidRPr="006977F0">
        <w:rPr>
          <w:spacing w:val="-7"/>
          <w:sz w:val="24"/>
          <w:szCs w:val="24"/>
        </w:rPr>
        <w:t xml:space="preserve"> </w:t>
      </w:r>
      <w:r w:rsidRPr="006977F0">
        <w:rPr>
          <w:sz w:val="24"/>
          <w:szCs w:val="24"/>
        </w:rPr>
        <w:t>years;</w:t>
      </w:r>
    </w:p>
    <w:p w:rsidRPr="006977F0" w:rsidR="00D24433" w:rsidP="006977F0" w:rsidRDefault="002B5808" w14:paraId="214E6E5C" w14:textId="0B971F4B">
      <w:pPr>
        <w:pStyle w:val="ListParagraph"/>
        <w:numPr>
          <w:ilvl w:val="0"/>
          <w:numId w:val="1"/>
        </w:numPr>
        <w:tabs>
          <w:tab w:val="left" w:pos="555"/>
          <w:tab w:val="left" w:pos="556"/>
        </w:tabs>
        <w:spacing w:line="250" w:lineRule="auto"/>
        <w:ind w:left="562" w:hanging="562"/>
        <w:rPr>
          <w:sz w:val="24"/>
          <w:szCs w:val="24"/>
        </w:rPr>
      </w:pPr>
      <w:r w:rsidRPr="006977F0">
        <w:rPr>
          <w:sz w:val="24"/>
          <w:szCs w:val="24"/>
        </w:rPr>
        <w:t>Collect data in connection with a statistical survey that is not designed to produce valid</w:t>
      </w:r>
      <w:r w:rsidRPr="006977F0">
        <w:rPr>
          <w:spacing w:val="-20"/>
          <w:sz w:val="24"/>
          <w:szCs w:val="24"/>
        </w:rPr>
        <w:t xml:space="preserve"> </w:t>
      </w:r>
      <w:r w:rsidRPr="006977F0" w:rsidR="00F90C8D">
        <w:rPr>
          <w:sz w:val="24"/>
          <w:szCs w:val="24"/>
        </w:rPr>
        <w:t>and</w:t>
      </w:r>
      <w:r w:rsidRPr="006977F0" w:rsidR="006977F0">
        <w:rPr>
          <w:sz w:val="24"/>
          <w:szCs w:val="24"/>
        </w:rPr>
        <w:t xml:space="preserve"> </w:t>
      </w:r>
      <w:r w:rsidRPr="006977F0">
        <w:rPr>
          <w:sz w:val="24"/>
          <w:szCs w:val="24"/>
        </w:rPr>
        <w:t>reliable results that can be generalized to the universe of</w:t>
      </w:r>
      <w:r w:rsidRPr="006977F0">
        <w:rPr>
          <w:spacing w:val="-15"/>
          <w:sz w:val="24"/>
          <w:szCs w:val="24"/>
        </w:rPr>
        <w:t xml:space="preserve"> </w:t>
      </w:r>
      <w:r w:rsidRPr="006977F0">
        <w:rPr>
          <w:sz w:val="24"/>
          <w:szCs w:val="24"/>
        </w:rPr>
        <w:t>study,</w:t>
      </w:r>
    </w:p>
    <w:p w:rsidRPr="000A20DE" w:rsidR="00D24433" w:rsidP="00A351FE" w:rsidRDefault="002B5808" w14:paraId="214E6E5D" w14:textId="77777777">
      <w:pPr>
        <w:pStyle w:val="ListParagraph"/>
        <w:numPr>
          <w:ilvl w:val="0"/>
          <w:numId w:val="1"/>
        </w:numPr>
        <w:tabs>
          <w:tab w:val="left" w:pos="555"/>
          <w:tab w:val="left" w:pos="556"/>
        </w:tabs>
        <w:ind w:left="562" w:hanging="562"/>
        <w:rPr>
          <w:sz w:val="24"/>
          <w:szCs w:val="24"/>
        </w:rPr>
      </w:pPr>
      <w:r w:rsidRPr="000A20DE">
        <w:rPr>
          <w:sz w:val="24"/>
          <w:szCs w:val="24"/>
        </w:rPr>
        <w:t>Use a statistical data classification that has not been reviewed and approved by</w:t>
      </w:r>
      <w:r w:rsidRPr="000A20DE">
        <w:rPr>
          <w:spacing w:val="-19"/>
          <w:sz w:val="24"/>
          <w:szCs w:val="24"/>
        </w:rPr>
        <w:t xml:space="preserve"> </w:t>
      </w:r>
      <w:r w:rsidRPr="000A20DE">
        <w:rPr>
          <w:sz w:val="24"/>
          <w:szCs w:val="24"/>
        </w:rPr>
        <w:t>OMB;</w:t>
      </w:r>
    </w:p>
    <w:p w:rsidRPr="00A351FE" w:rsidR="00D24433" w:rsidP="006D1A58" w:rsidRDefault="002B5808" w14:paraId="214E6E5E" w14:textId="1E3EB49D">
      <w:pPr>
        <w:pStyle w:val="ListParagraph"/>
        <w:numPr>
          <w:ilvl w:val="0"/>
          <w:numId w:val="1"/>
        </w:numPr>
        <w:tabs>
          <w:tab w:val="left" w:pos="555"/>
          <w:tab w:val="left" w:pos="556"/>
        </w:tabs>
        <w:spacing w:line="249" w:lineRule="auto"/>
        <w:ind w:left="555" w:firstLine="0"/>
        <w:rPr>
          <w:sz w:val="24"/>
          <w:szCs w:val="24"/>
        </w:rPr>
      </w:pPr>
      <w:r w:rsidRPr="00A351FE">
        <w:rPr>
          <w:sz w:val="24"/>
          <w:szCs w:val="24"/>
        </w:rPr>
        <w:t>Include a pledge of confidentiality that is not supported by authority established in statute or regulation that is not supported by disclosure and data security policies that are consistent with</w:t>
      </w:r>
      <w:r w:rsidRPr="00A351FE">
        <w:rPr>
          <w:spacing w:val="-23"/>
          <w:sz w:val="24"/>
          <w:szCs w:val="24"/>
        </w:rPr>
        <w:t xml:space="preserve"> </w:t>
      </w:r>
      <w:r w:rsidRPr="00A351FE">
        <w:rPr>
          <w:sz w:val="24"/>
          <w:szCs w:val="24"/>
        </w:rPr>
        <w:t>the pledge, or which unnecessarily impedes sharing of data with other agencies for compatible confidential use;</w:t>
      </w:r>
      <w:r w:rsidRPr="00A351FE">
        <w:rPr>
          <w:spacing w:val="-6"/>
          <w:sz w:val="24"/>
          <w:szCs w:val="24"/>
        </w:rPr>
        <w:t xml:space="preserve"> </w:t>
      </w:r>
      <w:r w:rsidRPr="00A351FE">
        <w:rPr>
          <w:sz w:val="24"/>
          <w:szCs w:val="24"/>
        </w:rPr>
        <w:t>or</w:t>
      </w:r>
    </w:p>
    <w:p w:rsidRPr="00A351FE" w:rsidR="00D24433" w:rsidP="002D21C3" w:rsidRDefault="002B5808" w14:paraId="214E6E5F" w14:textId="7FA335FA">
      <w:pPr>
        <w:pStyle w:val="ListParagraph"/>
        <w:numPr>
          <w:ilvl w:val="0"/>
          <w:numId w:val="1"/>
        </w:numPr>
        <w:tabs>
          <w:tab w:val="left" w:pos="555"/>
          <w:tab w:val="left" w:pos="556"/>
        </w:tabs>
        <w:spacing w:line="249" w:lineRule="auto"/>
        <w:ind w:left="555" w:firstLine="0"/>
        <w:rPr>
          <w:sz w:val="24"/>
          <w:szCs w:val="24"/>
        </w:rPr>
      </w:pPr>
      <w:r w:rsidRPr="00A351FE">
        <w:rPr>
          <w:sz w:val="24"/>
          <w:szCs w:val="24"/>
        </w:rPr>
        <w:t>Submit proprietary trade secrets, or other confidential information unless the agency can demonstrate that it has instituted procedures to protect the information's confidentiality to</w:t>
      </w:r>
      <w:r w:rsidRPr="00A351FE">
        <w:rPr>
          <w:spacing w:val="-23"/>
          <w:sz w:val="24"/>
          <w:szCs w:val="24"/>
        </w:rPr>
        <w:t xml:space="preserve"> </w:t>
      </w:r>
      <w:r w:rsidRPr="00A351FE">
        <w:rPr>
          <w:sz w:val="24"/>
          <w:szCs w:val="24"/>
        </w:rPr>
        <w:t>the extent permitted by</w:t>
      </w:r>
      <w:r w:rsidRPr="00A351FE">
        <w:rPr>
          <w:spacing w:val="-9"/>
          <w:sz w:val="24"/>
          <w:szCs w:val="24"/>
        </w:rPr>
        <w:t xml:space="preserve"> </w:t>
      </w:r>
      <w:r w:rsidRPr="00A351FE">
        <w:rPr>
          <w:sz w:val="24"/>
          <w:szCs w:val="24"/>
        </w:rPr>
        <w:t>law.</w:t>
      </w:r>
    </w:p>
    <w:p w:rsidRPr="000A20DE" w:rsidR="00D24433" w:rsidP="00560248" w:rsidRDefault="00D24433" w14:paraId="214E6E60" w14:textId="77777777">
      <w:pPr>
        <w:pStyle w:val="BodyText"/>
      </w:pPr>
    </w:p>
    <w:p w:rsidRPr="000A20DE" w:rsidR="00D24433" w:rsidP="00454A5E" w:rsidRDefault="002B5808" w14:paraId="214E6E61" w14:textId="77777777">
      <w:pPr>
        <w:pStyle w:val="ListParagraph"/>
        <w:numPr>
          <w:ilvl w:val="0"/>
          <w:numId w:val="3"/>
        </w:numPr>
        <w:tabs>
          <w:tab w:val="left" w:pos="1440"/>
        </w:tabs>
        <w:ind w:left="360"/>
        <w:rPr>
          <w:sz w:val="24"/>
          <w:szCs w:val="24"/>
        </w:rPr>
      </w:pPr>
      <w:r w:rsidRPr="000A20DE">
        <w:rPr>
          <w:sz w:val="24"/>
          <w:szCs w:val="24"/>
          <w:u w:val="single"/>
        </w:rPr>
        <w:t>Federal Register Notice/Outside</w:t>
      </w:r>
      <w:r w:rsidRPr="000A20DE">
        <w:rPr>
          <w:spacing w:val="-11"/>
          <w:sz w:val="24"/>
          <w:szCs w:val="24"/>
          <w:u w:val="single"/>
        </w:rPr>
        <w:t xml:space="preserve"> </w:t>
      </w:r>
      <w:r w:rsidRPr="000A20DE">
        <w:rPr>
          <w:sz w:val="24"/>
          <w:szCs w:val="24"/>
          <w:u w:val="single"/>
        </w:rPr>
        <w:t>Consultation</w:t>
      </w:r>
    </w:p>
    <w:p w:rsidRPr="00457710" w:rsidR="00D24433" w:rsidP="00560248" w:rsidRDefault="00D24433" w14:paraId="214E6E62" w14:textId="77777777">
      <w:pPr>
        <w:pStyle w:val="BodyText"/>
      </w:pPr>
    </w:p>
    <w:p w:rsidRPr="0023084B" w:rsidR="00191D2E" w:rsidP="00560248" w:rsidRDefault="00457710" w14:paraId="78DE33A1" w14:textId="6FA5EFA5">
      <w:pPr>
        <w:pStyle w:val="BodyText"/>
      </w:pPr>
      <w:r w:rsidRPr="0023084B">
        <w:t xml:space="preserve">The 60-day notice published in the Federal Register on </w:t>
      </w:r>
      <w:r w:rsidRPr="0023084B" w:rsidR="004905ED">
        <w:t>September 24, 2021</w:t>
      </w:r>
      <w:r w:rsidRPr="0023084B">
        <w:t xml:space="preserve"> (8</w:t>
      </w:r>
      <w:r w:rsidRPr="0023084B" w:rsidR="004905ED">
        <w:t>6</w:t>
      </w:r>
      <w:r w:rsidRPr="0023084B">
        <w:t xml:space="preserve"> FR 41047).</w:t>
      </w:r>
      <w:r w:rsidRPr="0023084B" w:rsidR="00B1044A">
        <w:t xml:space="preserve"> </w:t>
      </w:r>
      <w:r w:rsidRPr="0023084B" w:rsidR="00A20167">
        <w:t>C</w:t>
      </w:r>
      <w:r w:rsidRPr="0023084B" w:rsidR="00B1044A">
        <w:t xml:space="preserve">omments </w:t>
      </w:r>
      <w:r w:rsidRPr="0023084B" w:rsidR="00722F58">
        <w:t xml:space="preserve">were received and </w:t>
      </w:r>
      <w:r w:rsidRPr="0023084B" w:rsidR="00A20167">
        <w:t xml:space="preserve">are </w:t>
      </w:r>
      <w:r w:rsidRPr="0023084B" w:rsidR="00722F58">
        <w:t xml:space="preserve">attached to this package along with our response. </w:t>
      </w:r>
      <w:r w:rsidRPr="0023084B" w:rsidR="00191D2E">
        <w:t xml:space="preserve">The comments referenced an oversight on the FFS DUR survey. We agree with the comment and </w:t>
      </w:r>
      <w:r w:rsidRPr="0023084B" w:rsidR="00DA4614">
        <w:t xml:space="preserve">updated our </w:t>
      </w:r>
      <w:r w:rsidRPr="0023084B" w:rsidR="00191D2E">
        <w:t xml:space="preserve">Crosswalk-FFS annual Report 2021 Final document and </w:t>
      </w:r>
      <w:r w:rsidRPr="0023084B" w:rsidR="00DA4614">
        <w:t xml:space="preserve">our </w:t>
      </w:r>
      <w:r w:rsidRPr="0023084B" w:rsidR="00191D2E">
        <w:t>FFS DUR Survey</w:t>
      </w:r>
      <w:r w:rsidRPr="0023084B" w:rsidR="00DA4614">
        <w:t>.</w:t>
      </w:r>
      <w:r w:rsidRPr="0023084B" w:rsidR="0023084B">
        <w:t xml:space="preserve"> The change has no impact on our burden estimates.</w:t>
      </w:r>
    </w:p>
    <w:p w:rsidRPr="0023084B" w:rsidR="00653F68" w:rsidP="00560248" w:rsidRDefault="00653F68" w14:paraId="51C221F6" w14:textId="1F9DB063">
      <w:pPr>
        <w:pStyle w:val="BodyText"/>
      </w:pPr>
    </w:p>
    <w:p w:rsidRPr="00457710" w:rsidR="00653F68" w:rsidP="00653F68" w:rsidRDefault="00653F68" w14:paraId="53E6359F" w14:textId="2DA2610C">
      <w:pPr>
        <w:pStyle w:val="BodyText"/>
      </w:pPr>
      <w:r w:rsidRPr="00636C18">
        <w:t xml:space="preserve">The </w:t>
      </w:r>
      <w:r w:rsidRPr="00636C18">
        <w:t>3</w:t>
      </w:r>
      <w:r w:rsidRPr="00636C18">
        <w:t xml:space="preserve">0-day notice published in the Federal Register on </w:t>
      </w:r>
      <w:r w:rsidRPr="00636C18" w:rsidR="00F320F8">
        <w:t>December 10, 2021</w:t>
      </w:r>
      <w:r w:rsidRPr="00636C18">
        <w:t xml:space="preserve"> (86 FR </w:t>
      </w:r>
      <w:r w:rsidRPr="00636C18" w:rsidR="00F320F8">
        <w:t>70502</w:t>
      </w:r>
      <w:r w:rsidRPr="00636C18">
        <w:t xml:space="preserve">). Comments are due on/by </w:t>
      </w:r>
      <w:r w:rsidRPr="00636C18" w:rsidR="00F320F8">
        <w:t>January 10, 2022</w:t>
      </w:r>
      <w:r w:rsidRPr="00636C18">
        <w:t>.</w:t>
      </w:r>
    </w:p>
    <w:p w:rsidRPr="00457710" w:rsidR="00653F68" w:rsidP="00560248" w:rsidRDefault="00653F68" w14:paraId="04862E73" w14:textId="77777777">
      <w:pPr>
        <w:pStyle w:val="BodyText"/>
      </w:pPr>
    </w:p>
    <w:p w:rsidRPr="000A20DE" w:rsidR="00D24433" w:rsidP="00454A5E" w:rsidRDefault="002B5808" w14:paraId="214E6E69" w14:textId="77777777">
      <w:pPr>
        <w:pStyle w:val="ListParagraph"/>
        <w:numPr>
          <w:ilvl w:val="0"/>
          <w:numId w:val="3"/>
        </w:numPr>
        <w:tabs>
          <w:tab w:val="left" w:pos="1440"/>
        </w:tabs>
        <w:ind w:left="360"/>
        <w:rPr>
          <w:sz w:val="24"/>
          <w:szCs w:val="24"/>
        </w:rPr>
      </w:pPr>
      <w:bookmarkStart w:name="Outside_Consultation" w:id="9"/>
      <w:bookmarkEnd w:id="9"/>
      <w:r w:rsidRPr="000A20DE">
        <w:rPr>
          <w:sz w:val="24"/>
          <w:szCs w:val="24"/>
          <w:u w:val="single"/>
        </w:rPr>
        <w:t>Payments/Gift to</w:t>
      </w:r>
      <w:r w:rsidRPr="000A20DE">
        <w:rPr>
          <w:spacing w:val="-8"/>
          <w:sz w:val="24"/>
          <w:szCs w:val="24"/>
          <w:u w:val="single"/>
        </w:rPr>
        <w:t xml:space="preserve"> </w:t>
      </w:r>
      <w:r w:rsidRPr="000A20DE">
        <w:rPr>
          <w:sz w:val="24"/>
          <w:szCs w:val="24"/>
          <w:u w:val="single"/>
        </w:rPr>
        <w:t>Respondents</w:t>
      </w:r>
    </w:p>
    <w:p w:rsidRPr="000A20DE" w:rsidR="00D24433" w:rsidP="00560248" w:rsidRDefault="00D24433" w14:paraId="214E6E6A" w14:textId="77777777">
      <w:pPr>
        <w:pStyle w:val="BodyText"/>
      </w:pPr>
    </w:p>
    <w:p w:rsidRPr="000A20DE" w:rsidR="00D24433" w:rsidP="00560248" w:rsidRDefault="002B5808" w14:paraId="214E6E6B" w14:textId="77777777">
      <w:pPr>
        <w:pStyle w:val="BodyText"/>
      </w:pPr>
      <w:r w:rsidRPr="000A20DE">
        <w:t>There are no payments/gifts to respondents.</w:t>
      </w:r>
    </w:p>
    <w:p w:rsidRPr="000A20DE" w:rsidR="000A20DE" w:rsidP="00560248" w:rsidRDefault="000A20DE" w14:paraId="214E6E6C" w14:textId="77777777">
      <w:pPr>
        <w:pStyle w:val="BodyText"/>
      </w:pPr>
    </w:p>
    <w:p w:rsidRPr="000A20DE" w:rsidR="00D24433" w:rsidP="00454A5E" w:rsidRDefault="002B5808" w14:paraId="214E6E6D" w14:textId="77777777">
      <w:pPr>
        <w:pStyle w:val="ListParagraph"/>
        <w:numPr>
          <w:ilvl w:val="0"/>
          <w:numId w:val="3"/>
        </w:numPr>
        <w:tabs>
          <w:tab w:val="left" w:pos="1440"/>
        </w:tabs>
        <w:ind w:left="360"/>
        <w:rPr>
          <w:sz w:val="24"/>
          <w:szCs w:val="24"/>
        </w:rPr>
      </w:pPr>
      <w:bookmarkStart w:name="10.__Confidentiality" w:id="10"/>
      <w:bookmarkEnd w:id="10"/>
      <w:r w:rsidRPr="000A20DE">
        <w:rPr>
          <w:sz w:val="24"/>
          <w:szCs w:val="24"/>
          <w:u w:val="single"/>
        </w:rPr>
        <w:t>Confidentiality</w:t>
      </w:r>
    </w:p>
    <w:p w:rsidRPr="000A20DE" w:rsidR="00D24433" w:rsidP="00560248" w:rsidRDefault="00D24433" w14:paraId="214E6E6E" w14:textId="77777777">
      <w:pPr>
        <w:pStyle w:val="BodyText"/>
      </w:pPr>
    </w:p>
    <w:p w:rsidRPr="00163500" w:rsidR="00D24433" w:rsidP="00560248" w:rsidRDefault="002B5808" w14:paraId="214E6E6F" w14:textId="77777777">
      <w:pPr>
        <w:pStyle w:val="BodyText"/>
        <w:spacing w:line="249" w:lineRule="auto"/>
      </w:pPr>
      <w:r w:rsidRPr="00163500">
        <w:t>States are required under 42 CFR 431.300(a) to safeguard recipient protected information. Accordingly, each State maintains a State Plan providing safeguards that restrict the use or disclosure of information concerning applicants and recipients to purposes directly connected with the administration of the plan per Section 1902(a)(7) of the Social Security Act.</w:t>
      </w:r>
    </w:p>
    <w:p w:rsidRPr="00163500" w:rsidR="00D24433" w:rsidP="00560248" w:rsidRDefault="00D24433" w14:paraId="214E6E70" w14:textId="77777777">
      <w:pPr>
        <w:pStyle w:val="BodyText"/>
      </w:pPr>
    </w:p>
    <w:p w:rsidRPr="00163500" w:rsidR="00D24433" w:rsidP="00454A5E" w:rsidRDefault="002B5808" w14:paraId="214E6E71" w14:textId="77777777">
      <w:pPr>
        <w:pStyle w:val="ListParagraph"/>
        <w:numPr>
          <w:ilvl w:val="0"/>
          <w:numId w:val="3"/>
        </w:numPr>
        <w:ind w:left="360"/>
        <w:rPr>
          <w:sz w:val="24"/>
          <w:szCs w:val="24"/>
        </w:rPr>
      </w:pPr>
      <w:r w:rsidRPr="00163500">
        <w:rPr>
          <w:sz w:val="24"/>
          <w:szCs w:val="24"/>
          <w:u w:val="single"/>
        </w:rPr>
        <w:t>Sensitive</w:t>
      </w:r>
      <w:r w:rsidRPr="00163500">
        <w:rPr>
          <w:spacing w:val="-5"/>
          <w:sz w:val="24"/>
          <w:szCs w:val="24"/>
          <w:u w:val="single"/>
        </w:rPr>
        <w:t xml:space="preserve"> </w:t>
      </w:r>
      <w:r w:rsidRPr="00163500">
        <w:rPr>
          <w:sz w:val="24"/>
          <w:szCs w:val="24"/>
          <w:u w:val="single"/>
        </w:rPr>
        <w:t>Questions</w:t>
      </w:r>
    </w:p>
    <w:p w:rsidRPr="00163500" w:rsidR="00D24433" w:rsidP="00560248" w:rsidRDefault="00D24433" w14:paraId="214E6E72" w14:textId="77777777">
      <w:pPr>
        <w:pStyle w:val="BodyText"/>
      </w:pPr>
    </w:p>
    <w:p w:rsidR="00D24433" w:rsidP="00560248" w:rsidRDefault="00643A4B" w14:paraId="214E6E74" w14:textId="313F2610">
      <w:pPr>
        <w:pStyle w:val="BodyText"/>
      </w:pPr>
      <w:r w:rsidRPr="00643A4B">
        <w:t>There are no sensitive questions associated with this collection. Specifically, the collection does not solicit questions of a sensitive nature, such as sexual behavior and attitudes, religious beliefs, and other matters that are commonly considered private.</w:t>
      </w:r>
    </w:p>
    <w:p w:rsidRPr="00163500" w:rsidR="009B7CC3" w:rsidP="00560248" w:rsidRDefault="009B7CC3" w14:paraId="5EA408B4" w14:textId="77777777">
      <w:pPr>
        <w:pStyle w:val="BodyText"/>
      </w:pPr>
    </w:p>
    <w:p w:rsidRPr="00163500" w:rsidR="00D24433" w:rsidP="00454A5E" w:rsidRDefault="00733A48" w14:paraId="214E6E75" w14:textId="757B29C5">
      <w:pPr>
        <w:pStyle w:val="ListParagraph"/>
        <w:numPr>
          <w:ilvl w:val="0"/>
          <w:numId w:val="3"/>
        </w:numPr>
        <w:tabs>
          <w:tab w:val="left" w:pos="1440"/>
        </w:tabs>
        <w:ind w:left="360"/>
        <w:rPr>
          <w:sz w:val="24"/>
          <w:szCs w:val="24"/>
        </w:rPr>
      </w:pPr>
      <w:bookmarkStart w:name="12.__Burden_of_Estimate_(Hours_and_Wages" w:id="11"/>
      <w:bookmarkEnd w:id="11"/>
      <w:r>
        <w:rPr>
          <w:sz w:val="24"/>
          <w:szCs w:val="24"/>
          <w:u w:val="single"/>
        </w:rPr>
        <w:t xml:space="preserve">Collection of Information Requirements and Associated </w:t>
      </w:r>
      <w:r w:rsidRPr="00163500" w:rsidR="002B5808">
        <w:rPr>
          <w:sz w:val="24"/>
          <w:szCs w:val="24"/>
          <w:u w:val="single"/>
        </w:rPr>
        <w:t>Burden Estimate</w:t>
      </w:r>
      <w:r>
        <w:rPr>
          <w:sz w:val="24"/>
          <w:szCs w:val="24"/>
          <w:u w:val="single"/>
        </w:rPr>
        <w:t>s</w:t>
      </w:r>
    </w:p>
    <w:p w:rsidRPr="00163500" w:rsidR="00DD4B5B" w:rsidP="00064097" w:rsidRDefault="00DD4B5B" w14:paraId="374DE708" w14:textId="77777777">
      <w:pPr>
        <w:pStyle w:val="ListParagraph"/>
        <w:tabs>
          <w:tab w:val="left" w:pos="1283"/>
          <w:tab w:val="left" w:pos="1284"/>
        </w:tabs>
        <w:ind w:left="0" w:firstLine="0"/>
        <w:rPr>
          <w:sz w:val="24"/>
          <w:szCs w:val="24"/>
        </w:rPr>
      </w:pPr>
    </w:p>
    <w:p w:rsidRPr="000A20DE" w:rsidR="00EC5813" w:rsidP="00064097" w:rsidRDefault="007D5DC6" w14:paraId="214E6E76" w14:textId="797B4D63">
      <w:pPr>
        <w:pStyle w:val="ListParagraph"/>
        <w:tabs>
          <w:tab w:val="left" w:pos="1283"/>
          <w:tab w:val="left" w:pos="1284"/>
        </w:tabs>
        <w:ind w:left="0" w:firstLine="0"/>
        <w:rPr>
          <w:sz w:val="24"/>
          <w:szCs w:val="24"/>
        </w:rPr>
      </w:pPr>
      <w:r w:rsidRPr="00163500">
        <w:rPr>
          <w:sz w:val="24"/>
          <w:szCs w:val="24"/>
        </w:rPr>
        <w:t>In accordance with section 1927(g) of the Social Security Act (the Act), and regulations at 42 CFR 456.700, 456.709, 456.711, 456.712, and 438.3(s), states and MCOs are required to collect</w:t>
      </w:r>
      <w:r w:rsidRPr="007D5DC6">
        <w:rPr>
          <w:sz w:val="24"/>
          <w:szCs w:val="24"/>
        </w:rPr>
        <w:t xml:space="preserve"> data for the</w:t>
      </w:r>
      <w:r>
        <w:rPr>
          <w:sz w:val="24"/>
          <w:szCs w:val="24"/>
        </w:rPr>
        <w:t>ir</w:t>
      </w:r>
      <w:r w:rsidRPr="007D5DC6">
        <w:rPr>
          <w:sz w:val="24"/>
          <w:szCs w:val="24"/>
        </w:rPr>
        <w:t xml:space="preserve"> DUR</w:t>
      </w:r>
      <w:r>
        <w:rPr>
          <w:sz w:val="24"/>
          <w:szCs w:val="24"/>
        </w:rPr>
        <w:t xml:space="preserve"> programs</w:t>
      </w:r>
      <w:r w:rsidRPr="007D5DC6">
        <w:rPr>
          <w:sz w:val="24"/>
          <w:szCs w:val="24"/>
        </w:rPr>
        <w:t>.</w:t>
      </w:r>
      <w:r>
        <w:rPr>
          <w:sz w:val="24"/>
          <w:szCs w:val="24"/>
        </w:rPr>
        <w:t xml:space="preserve"> </w:t>
      </w:r>
      <w:r w:rsidRPr="007D5DC6">
        <w:rPr>
          <w:sz w:val="24"/>
          <w:szCs w:val="24"/>
        </w:rPr>
        <w:t xml:space="preserve">State Medicaid agencies that have prescription drug programs are required to perform prospective and retrospective DUR in order to identify aberrations in </w:t>
      </w:r>
      <w:r w:rsidRPr="00A77176">
        <w:rPr>
          <w:sz w:val="24"/>
          <w:szCs w:val="24"/>
        </w:rPr>
        <w:t xml:space="preserve">prescribing, dispensing and/or patient behavior. </w:t>
      </w:r>
      <w:r w:rsidRPr="00A77176" w:rsidR="00646E82">
        <w:rPr>
          <w:sz w:val="24"/>
          <w:szCs w:val="24"/>
        </w:rPr>
        <w:t xml:space="preserve">We expect pharmacists employed by, or contracted with the individual states to facilitate the states’ responses. </w:t>
      </w:r>
      <w:r w:rsidRPr="006977F0" w:rsidR="00C74BC0">
        <w:rPr>
          <w:sz w:val="24"/>
          <w:szCs w:val="24"/>
        </w:rPr>
        <w:t>The</w:t>
      </w:r>
      <w:r w:rsidRPr="006977F0">
        <w:rPr>
          <w:sz w:val="24"/>
          <w:szCs w:val="24"/>
        </w:rPr>
        <w:t xml:space="preserve"> </w:t>
      </w:r>
      <w:r w:rsidRPr="006977F0" w:rsidR="00C74BC0">
        <w:rPr>
          <w:sz w:val="24"/>
          <w:szCs w:val="24"/>
        </w:rPr>
        <w:t>sub-</w:t>
      </w:r>
      <w:r w:rsidRPr="006977F0" w:rsidR="00EC5813">
        <w:rPr>
          <w:sz w:val="24"/>
          <w:szCs w:val="24"/>
        </w:rPr>
        <w:t>section</w:t>
      </w:r>
      <w:r w:rsidRPr="006977F0" w:rsidR="00C74BC0">
        <w:rPr>
          <w:sz w:val="24"/>
          <w:szCs w:val="24"/>
        </w:rPr>
        <w:t>s</w:t>
      </w:r>
      <w:r w:rsidRPr="006977F0" w:rsidR="00EC5813">
        <w:rPr>
          <w:sz w:val="24"/>
          <w:szCs w:val="24"/>
        </w:rPr>
        <w:t xml:space="preserve"> </w:t>
      </w:r>
      <w:r w:rsidRPr="006977F0">
        <w:rPr>
          <w:sz w:val="24"/>
          <w:szCs w:val="24"/>
        </w:rPr>
        <w:t xml:space="preserve">below </w:t>
      </w:r>
      <w:r w:rsidRPr="006977F0" w:rsidR="00EC5813">
        <w:rPr>
          <w:sz w:val="24"/>
          <w:szCs w:val="24"/>
        </w:rPr>
        <w:t>est</w:t>
      </w:r>
      <w:r w:rsidRPr="006977F0" w:rsidR="00C74BC0">
        <w:rPr>
          <w:sz w:val="24"/>
          <w:szCs w:val="24"/>
        </w:rPr>
        <w:t>imate</w:t>
      </w:r>
      <w:r w:rsidRPr="006977F0" w:rsidR="00EC5813">
        <w:rPr>
          <w:sz w:val="24"/>
          <w:szCs w:val="24"/>
        </w:rPr>
        <w:t xml:space="preserve"> the </w:t>
      </w:r>
      <w:r w:rsidRPr="006977F0" w:rsidR="00C74BC0">
        <w:rPr>
          <w:sz w:val="24"/>
          <w:szCs w:val="24"/>
        </w:rPr>
        <w:t>associated burden</w:t>
      </w:r>
      <w:r w:rsidRPr="006977F0">
        <w:rPr>
          <w:sz w:val="24"/>
          <w:szCs w:val="24"/>
        </w:rPr>
        <w:t xml:space="preserve"> of complying with the statutes and regulations</w:t>
      </w:r>
      <w:r w:rsidRPr="006977F0" w:rsidR="001D0A7B">
        <w:rPr>
          <w:sz w:val="24"/>
          <w:szCs w:val="24"/>
        </w:rPr>
        <w:t xml:space="preserve"> for both FFS</w:t>
      </w:r>
      <w:r w:rsidRPr="006977F0" w:rsidR="00646E82">
        <w:rPr>
          <w:sz w:val="24"/>
          <w:szCs w:val="24"/>
        </w:rPr>
        <w:t xml:space="preserve"> programs</w:t>
      </w:r>
      <w:r w:rsidRPr="006977F0" w:rsidR="001D0A7B">
        <w:rPr>
          <w:sz w:val="24"/>
          <w:szCs w:val="24"/>
        </w:rPr>
        <w:t xml:space="preserve"> and MCOs</w:t>
      </w:r>
      <w:r w:rsidRPr="006977F0">
        <w:rPr>
          <w:sz w:val="24"/>
          <w:szCs w:val="24"/>
        </w:rPr>
        <w:t>.</w:t>
      </w:r>
      <w:r w:rsidRPr="00A77176" w:rsidR="000B0A58">
        <w:rPr>
          <w:sz w:val="24"/>
          <w:szCs w:val="24"/>
        </w:rPr>
        <w:t xml:space="preserve"> </w:t>
      </w:r>
    </w:p>
    <w:p w:rsidRPr="000A20DE" w:rsidR="00D24433" w:rsidP="00560248" w:rsidRDefault="00D24433" w14:paraId="214E6E77" w14:textId="77777777">
      <w:pPr>
        <w:pStyle w:val="BodyText"/>
      </w:pPr>
    </w:p>
    <w:p w:rsidRPr="000A20DE" w:rsidR="00D24433" w:rsidP="00F42307" w:rsidRDefault="00F42307" w14:paraId="214E6E79" w14:textId="2C952F04">
      <w:pPr>
        <w:tabs>
          <w:tab w:val="left" w:pos="592"/>
        </w:tabs>
      </w:pPr>
      <w:bookmarkStart w:name="12.1_Wages" w:id="12"/>
      <w:bookmarkEnd w:id="12"/>
      <w:r>
        <w:rPr>
          <w:i/>
          <w:sz w:val="24"/>
          <w:szCs w:val="24"/>
        </w:rPr>
        <w:t>12.1</w:t>
      </w:r>
      <w:r w:rsidR="003E7CBB">
        <w:rPr>
          <w:i/>
          <w:sz w:val="24"/>
          <w:szCs w:val="24"/>
        </w:rPr>
        <w:t>-</w:t>
      </w:r>
      <w:r w:rsidRPr="00F42307" w:rsidR="002B5808">
        <w:rPr>
          <w:i/>
          <w:sz w:val="24"/>
          <w:szCs w:val="24"/>
        </w:rPr>
        <w:t>Wage</w:t>
      </w:r>
      <w:r w:rsidRPr="00F42307" w:rsidR="00DB0014">
        <w:rPr>
          <w:i/>
          <w:sz w:val="24"/>
          <w:szCs w:val="24"/>
        </w:rPr>
        <w:t xml:space="preserve"> Estimate</w:t>
      </w:r>
      <w:r w:rsidRPr="00F42307" w:rsidR="002B5808">
        <w:rPr>
          <w:i/>
          <w:sz w:val="24"/>
          <w:szCs w:val="24"/>
        </w:rPr>
        <w:t>s</w:t>
      </w:r>
    </w:p>
    <w:p w:rsidR="00F42307" w:rsidP="00560248" w:rsidRDefault="00F42307" w14:paraId="3458EADE" w14:textId="77777777">
      <w:pPr>
        <w:pStyle w:val="BodyText"/>
        <w:spacing w:line="249" w:lineRule="auto"/>
      </w:pPr>
    </w:p>
    <w:p w:rsidRPr="00962FEB" w:rsidR="00D24433" w:rsidP="00560248" w:rsidRDefault="002B5808" w14:paraId="214E6E7A" w14:textId="59B6E2BF">
      <w:pPr>
        <w:pStyle w:val="BodyText"/>
        <w:spacing w:line="249" w:lineRule="auto"/>
      </w:pPr>
      <w:r w:rsidRPr="00962FEB">
        <w:t>To derive average costs, we used data from the U.S. Bure</w:t>
      </w:r>
      <w:r w:rsidRPr="00962FEB" w:rsidR="00772B63">
        <w:t xml:space="preserve">au of Labor Statistics’ May </w:t>
      </w:r>
      <w:r w:rsidRPr="00962FEB" w:rsidR="005D0A10">
        <w:t>20</w:t>
      </w:r>
      <w:r w:rsidR="005D0A10">
        <w:t xml:space="preserve">20 </w:t>
      </w:r>
      <w:r w:rsidRPr="00962FEB">
        <w:t xml:space="preserve">National Occupational Employment and Wage Estimates for all salary estimates </w:t>
      </w:r>
      <w:hyperlink r:id="rId13">
        <w:r w:rsidRPr="00962FEB">
          <w:t>(</w:t>
        </w:r>
      </w:hyperlink>
      <w:hyperlink r:id="rId14">
        <w:r w:rsidRPr="00962FEB">
          <w:rPr>
            <w:color w:val="0000FF"/>
            <w:u w:val="single" w:color="0000FF"/>
          </w:rPr>
          <w:t>http://www.bls.gov/oes/current/oes_nat.htm</w:t>
        </w:r>
      </w:hyperlink>
      <w:hyperlink r:id="rId15">
        <w:r w:rsidRPr="00962FEB">
          <w:t>)</w:t>
        </w:r>
      </w:hyperlink>
      <w:r w:rsidRPr="00962FEB">
        <w:t xml:space="preserve">. In this regard, the following table presents </w:t>
      </w:r>
      <w:r w:rsidR="00D96892">
        <w:t>BLS’</w:t>
      </w:r>
      <w:r w:rsidRPr="00962FEB">
        <w:t xml:space="preserve"> mean hourly wage, </w:t>
      </w:r>
      <w:r w:rsidR="00D96892">
        <w:t xml:space="preserve">our estimated </w:t>
      </w:r>
      <w:r w:rsidRPr="00962FEB">
        <w:t xml:space="preserve">cost of fringe benefits </w:t>
      </w:r>
      <w:r w:rsidR="00D96892">
        <w:t xml:space="preserve">and overhead </w:t>
      </w:r>
      <w:r w:rsidRPr="00962FEB">
        <w:t xml:space="preserve">(calculated at 100 percent of salary), and </w:t>
      </w:r>
      <w:r w:rsidR="00D96892">
        <w:t xml:space="preserve">our </w:t>
      </w:r>
      <w:r w:rsidRPr="00962FEB">
        <w:t>adjusted hourly wage.</w:t>
      </w:r>
    </w:p>
    <w:p w:rsidRPr="00962FEB" w:rsidR="00865E43" w:rsidP="00560248" w:rsidRDefault="00865E43" w14:paraId="214E6E7B" w14:textId="77777777">
      <w:pPr>
        <w:pStyle w:val="BodyText"/>
        <w:spacing w:line="249" w:lineRule="auto"/>
      </w:pPr>
    </w:p>
    <w:tbl>
      <w:tblPr>
        <w:tblW w:w="0" w:type="auto"/>
        <w:tblInd w:w="1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10"/>
        <w:gridCol w:w="1810"/>
        <w:gridCol w:w="1733"/>
        <w:gridCol w:w="1738"/>
        <w:gridCol w:w="1766"/>
      </w:tblGrid>
      <w:tr w:rsidRPr="00962FEB" w:rsidR="00D24433" w:rsidTr="00D96892" w14:paraId="214E6E81" w14:textId="77777777">
        <w:trPr>
          <w:trHeight w:val="1152" w:hRule="exact"/>
        </w:trPr>
        <w:tc>
          <w:tcPr>
            <w:tcW w:w="1810" w:type="dxa"/>
          </w:tcPr>
          <w:p w:rsidRPr="00962FEB" w:rsidR="00D24433" w:rsidP="00560248" w:rsidRDefault="002B5808" w14:paraId="214E6E7C" w14:textId="77777777">
            <w:pPr>
              <w:pStyle w:val="TableParagraph"/>
              <w:spacing w:line="223" w:lineRule="exact"/>
              <w:ind w:left="0"/>
              <w:rPr>
                <w:sz w:val="20"/>
                <w:szCs w:val="20"/>
              </w:rPr>
            </w:pPr>
            <w:r w:rsidRPr="00962FEB">
              <w:rPr>
                <w:sz w:val="20"/>
                <w:szCs w:val="20"/>
              </w:rPr>
              <w:t>Occupation Title</w:t>
            </w:r>
          </w:p>
        </w:tc>
        <w:tc>
          <w:tcPr>
            <w:tcW w:w="1810" w:type="dxa"/>
          </w:tcPr>
          <w:p w:rsidRPr="00962FEB" w:rsidR="00D24433" w:rsidP="00560248" w:rsidRDefault="002B5808" w14:paraId="214E6E7D" w14:textId="77777777">
            <w:pPr>
              <w:pStyle w:val="TableParagraph"/>
              <w:spacing w:line="223" w:lineRule="exact"/>
              <w:ind w:left="0"/>
              <w:rPr>
                <w:sz w:val="20"/>
                <w:szCs w:val="20"/>
              </w:rPr>
            </w:pPr>
            <w:r w:rsidRPr="00962FEB">
              <w:rPr>
                <w:sz w:val="20"/>
                <w:szCs w:val="20"/>
              </w:rPr>
              <w:t>Occupation Code</w:t>
            </w:r>
          </w:p>
        </w:tc>
        <w:tc>
          <w:tcPr>
            <w:tcW w:w="1733" w:type="dxa"/>
          </w:tcPr>
          <w:p w:rsidRPr="00962FEB" w:rsidR="00D24433" w:rsidP="00560248" w:rsidRDefault="002B5808" w14:paraId="214E6E7E" w14:textId="77777777">
            <w:pPr>
              <w:pStyle w:val="TableParagraph"/>
              <w:spacing w:line="261" w:lineRule="auto"/>
              <w:ind w:left="0"/>
              <w:rPr>
                <w:sz w:val="20"/>
                <w:szCs w:val="20"/>
              </w:rPr>
            </w:pPr>
            <w:r w:rsidRPr="00962FEB">
              <w:rPr>
                <w:sz w:val="20"/>
                <w:szCs w:val="20"/>
              </w:rPr>
              <w:t>Mean Hourly Wage ($/</w:t>
            </w:r>
            <w:proofErr w:type="spellStart"/>
            <w:r w:rsidRPr="00962FEB">
              <w:rPr>
                <w:sz w:val="20"/>
                <w:szCs w:val="20"/>
              </w:rPr>
              <w:t>hr</w:t>
            </w:r>
            <w:proofErr w:type="spellEnd"/>
            <w:r w:rsidRPr="00962FEB">
              <w:rPr>
                <w:sz w:val="20"/>
                <w:szCs w:val="20"/>
              </w:rPr>
              <w:t>)</w:t>
            </w:r>
          </w:p>
        </w:tc>
        <w:tc>
          <w:tcPr>
            <w:tcW w:w="1738" w:type="dxa"/>
          </w:tcPr>
          <w:p w:rsidRPr="00962FEB" w:rsidR="00D24433" w:rsidP="00560248" w:rsidRDefault="002B5808" w14:paraId="214E6E7F" w14:textId="3617B807">
            <w:pPr>
              <w:pStyle w:val="TableParagraph"/>
              <w:spacing w:line="261" w:lineRule="auto"/>
              <w:ind w:left="0"/>
              <w:rPr>
                <w:sz w:val="20"/>
                <w:szCs w:val="20"/>
              </w:rPr>
            </w:pPr>
            <w:r w:rsidRPr="00962FEB">
              <w:rPr>
                <w:sz w:val="20"/>
                <w:szCs w:val="20"/>
              </w:rPr>
              <w:t>Fringe Benefit</w:t>
            </w:r>
            <w:r w:rsidR="00DB0014">
              <w:rPr>
                <w:sz w:val="20"/>
                <w:szCs w:val="20"/>
              </w:rPr>
              <w:t>s and Overhead</w:t>
            </w:r>
            <w:r w:rsidRPr="00962FEB">
              <w:rPr>
                <w:sz w:val="20"/>
                <w:szCs w:val="20"/>
              </w:rPr>
              <w:t xml:space="preserve"> ($/</w:t>
            </w:r>
            <w:proofErr w:type="spellStart"/>
            <w:r w:rsidRPr="00962FEB">
              <w:rPr>
                <w:sz w:val="20"/>
                <w:szCs w:val="20"/>
              </w:rPr>
              <w:t>hr</w:t>
            </w:r>
            <w:proofErr w:type="spellEnd"/>
            <w:r w:rsidRPr="00962FEB">
              <w:rPr>
                <w:sz w:val="20"/>
                <w:szCs w:val="20"/>
              </w:rPr>
              <w:t>)</w:t>
            </w:r>
          </w:p>
        </w:tc>
        <w:tc>
          <w:tcPr>
            <w:tcW w:w="1766" w:type="dxa"/>
          </w:tcPr>
          <w:p w:rsidRPr="00962FEB" w:rsidR="00D24433" w:rsidP="00560248" w:rsidRDefault="002B5808" w14:paraId="214E6E80" w14:textId="77777777">
            <w:pPr>
              <w:pStyle w:val="TableParagraph"/>
              <w:spacing w:line="261" w:lineRule="auto"/>
              <w:ind w:left="0"/>
              <w:rPr>
                <w:sz w:val="20"/>
                <w:szCs w:val="20"/>
              </w:rPr>
            </w:pPr>
            <w:r w:rsidRPr="00962FEB">
              <w:rPr>
                <w:sz w:val="20"/>
                <w:szCs w:val="20"/>
              </w:rPr>
              <w:t>Adjusted Hourly Wage ($/</w:t>
            </w:r>
            <w:proofErr w:type="spellStart"/>
            <w:r w:rsidRPr="00962FEB">
              <w:rPr>
                <w:sz w:val="20"/>
                <w:szCs w:val="20"/>
              </w:rPr>
              <w:t>hr</w:t>
            </w:r>
            <w:proofErr w:type="spellEnd"/>
            <w:r w:rsidRPr="00962FEB">
              <w:rPr>
                <w:sz w:val="20"/>
                <w:szCs w:val="20"/>
              </w:rPr>
              <w:t>)</w:t>
            </w:r>
          </w:p>
        </w:tc>
      </w:tr>
      <w:tr w:rsidRPr="00865E43" w:rsidR="00D24433" w14:paraId="214E6E87" w14:textId="77777777">
        <w:trPr>
          <w:trHeight w:val="259" w:hRule="exact"/>
        </w:trPr>
        <w:tc>
          <w:tcPr>
            <w:tcW w:w="1810" w:type="dxa"/>
          </w:tcPr>
          <w:p w:rsidRPr="00962FEB" w:rsidR="00D24433" w:rsidP="00560248" w:rsidRDefault="002B5808" w14:paraId="214E6E82" w14:textId="77777777">
            <w:pPr>
              <w:pStyle w:val="TableParagraph"/>
              <w:spacing w:line="223" w:lineRule="exact"/>
              <w:ind w:left="0"/>
              <w:rPr>
                <w:sz w:val="20"/>
                <w:szCs w:val="20"/>
              </w:rPr>
            </w:pPr>
            <w:r w:rsidRPr="00962FEB">
              <w:rPr>
                <w:sz w:val="20"/>
                <w:szCs w:val="20"/>
              </w:rPr>
              <w:t>Pharmacist</w:t>
            </w:r>
          </w:p>
        </w:tc>
        <w:tc>
          <w:tcPr>
            <w:tcW w:w="1810" w:type="dxa"/>
          </w:tcPr>
          <w:p w:rsidRPr="00962FEB" w:rsidR="00D24433" w:rsidP="00560248" w:rsidRDefault="002B5808" w14:paraId="214E6E83" w14:textId="77777777">
            <w:pPr>
              <w:pStyle w:val="TableParagraph"/>
              <w:spacing w:line="223" w:lineRule="exact"/>
              <w:ind w:left="0"/>
              <w:rPr>
                <w:sz w:val="20"/>
                <w:szCs w:val="20"/>
              </w:rPr>
            </w:pPr>
            <w:r w:rsidRPr="00962FEB">
              <w:rPr>
                <w:sz w:val="20"/>
                <w:szCs w:val="20"/>
              </w:rPr>
              <w:t>29-1051</w:t>
            </w:r>
          </w:p>
        </w:tc>
        <w:tc>
          <w:tcPr>
            <w:tcW w:w="1733" w:type="dxa"/>
          </w:tcPr>
          <w:p w:rsidRPr="00962FEB" w:rsidR="00D24433" w:rsidP="00673C7F" w:rsidRDefault="00673C7F" w14:paraId="214E6E84" w14:textId="3BE084D5">
            <w:pPr>
              <w:pStyle w:val="TableParagraph"/>
              <w:spacing w:line="223" w:lineRule="exact"/>
              <w:ind w:left="0"/>
              <w:rPr>
                <w:sz w:val="20"/>
                <w:szCs w:val="20"/>
              </w:rPr>
            </w:pPr>
            <w:r>
              <w:rPr>
                <w:sz w:val="20"/>
                <w:szCs w:val="20"/>
              </w:rPr>
              <w:t>60.</w:t>
            </w:r>
            <w:r w:rsidR="009230BF">
              <w:rPr>
                <w:sz w:val="20"/>
                <w:szCs w:val="20"/>
              </w:rPr>
              <w:t xml:space="preserve">32 </w:t>
            </w:r>
          </w:p>
        </w:tc>
        <w:tc>
          <w:tcPr>
            <w:tcW w:w="1738" w:type="dxa"/>
          </w:tcPr>
          <w:p w:rsidRPr="00962FEB" w:rsidR="00D24433" w:rsidP="00673C7F" w:rsidRDefault="00673C7F" w14:paraId="214E6E85" w14:textId="5EC5BCDC">
            <w:pPr>
              <w:pStyle w:val="TableParagraph"/>
              <w:spacing w:line="223" w:lineRule="exact"/>
              <w:ind w:left="0"/>
              <w:rPr>
                <w:sz w:val="20"/>
                <w:szCs w:val="20"/>
              </w:rPr>
            </w:pPr>
            <w:r>
              <w:rPr>
                <w:sz w:val="20"/>
                <w:szCs w:val="20"/>
              </w:rPr>
              <w:t>60.</w:t>
            </w:r>
            <w:r w:rsidR="009230BF">
              <w:rPr>
                <w:sz w:val="20"/>
                <w:szCs w:val="20"/>
              </w:rPr>
              <w:t>32</w:t>
            </w:r>
          </w:p>
        </w:tc>
        <w:tc>
          <w:tcPr>
            <w:tcW w:w="1766" w:type="dxa"/>
          </w:tcPr>
          <w:p w:rsidRPr="00865E43" w:rsidR="00D24433" w:rsidP="00673C7F" w:rsidRDefault="00673C7F" w14:paraId="214E6E86" w14:textId="758D5DB6">
            <w:pPr>
              <w:pStyle w:val="TableParagraph"/>
              <w:spacing w:line="223" w:lineRule="exact"/>
              <w:ind w:left="0"/>
              <w:rPr>
                <w:sz w:val="20"/>
                <w:szCs w:val="20"/>
              </w:rPr>
            </w:pPr>
            <w:r>
              <w:rPr>
                <w:sz w:val="20"/>
                <w:szCs w:val="20"/>
              </w:rPr>
              <w:t>120.</w:t>
            </w:r>
            <w:r w:rsidR="005D0A10">
              <w:rPr>
                <w:sz w:val="20"/>
                <w:szCs w:val="20"/>
              </w:rPr>
              <w:t xml:space="preserve">64 </w:t>
            </w:r>
          </w:p>
        </w:tc>
      </w:tr>
    </w:tbl>
    <w:p w:rsidRPr="000A20DE" w:rsidR="00D24433" w:rsidP="00560248" w:rsidRDefault="00D24433" w14:paraId="214E6E88" w14:textId="77777777">
      <w:pPr>
        <w:pStyle w:val="BodyText"/>
      </w:pPr>
    </w:p>
    <w:p w:rsidRPr="000A20DE" w:rsidR="00D24433" w:rsidP="00560248" w:rsidRDefault="002B5808" w14:paraId="214E6E89" w14:textId="7309B173">
      <w:pPr>
        <w:pStyle w:val="BodyText"/>
        <w:spacing w:line="249" w:lineRule="auto"/>
      </w:pPr>
      <w:r w:rsidRPr="000A20DE">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0A20DE" w:rsidR="00D24433" w:rsidP="00560248" w:rsidRDefault="00D24433" w14:paraId="214E6E8A" w14:textId="77777777">
      <w:pPr>
        <w:pStyle w:val="BodyText"/>
      </w:pPr>
    </w:p>
    <w:p w:rsidRPr="00962FEB" w:rsidR="00D24433" w:rsidP="00F42307" w:rsidRDefault="00F42307" w14:paraId="214E6E8B" w14:textId="205E0566">
      <w:pPr>
        <w:pStyle w:val="ListParagraph"/>
        <w:tabs>
          <w:tab w:val="left" w:pos="590"/>
        </w:tabs>
        <w:ind w:left="0" w:firstLine="0"/>
        <w:rPr>
          <w:i/>
          <w:sz w:val="24"/>
          <w:szCs w:val="24"/>
        </w:rPr>
      </w:pPr>
      <w:r>
        <w:rPr>
          <w:i/>
          <w:sz w:val="24"/>
          <w:szCs w:val="24"/>
        </w:rPr>
        <w:t>12.2</w:t>
      </w:r>
      <w:r w:rsidR="003E7CBB">
        <w:rPr>
          <w:i/>
          <w:sz w:val="24"/>
          <w:szCs w:val="24"/>
        </w:rPr>
        <w:t>-</w:t>
      </w:r>
      <w:r w:rsidRPr="00962FEB" w:rsidR="002B5808">
        <w:rPr>
          <w:i/>
          <w:sz w:val="24"/>
          <w:szCs w:val="24"/>
        </w:rPr>
        <w:t>PRA-Related Requirements and Associated Burden</w:t>
      </w:r>
      <w:r w:rsidRPr="00962FEB" w:rsidR="002B5808">
        <w:rPr>
          <w:i/>
          <w:spacing w:val="-15"/>
          <w:sz w:val="24"/>
          <w:szCs w:val="24"/>
        </w:rPr>
        <w:t xml:space="preserve"> </w:t>
      </w:r>
      <w:r w:rsidRPr="00962FEB" w:rsidR="002B5808">
        <w:rPr>
          <w:i/>
          <w:sz w:val="24"/>
          <w:szCs w:val="24"/>
        </w:rPr>
        <w:t>Estimates</w:t>
      </w:r>
    </w:p>
    <w:p w:rsidRPr="00962FEB" w:rsidR="00D24433" w:rsidP="00560248" w:rsidRDefault="00D24433" w14:paraId="214E6E8C" w14:textId="77777777">
      <w:pPr>
        <w:pStyle w:val="BodyText"/>
        <w:rPr>
          <w:i/>
        </w:rPr>
      </w:pPr>
    </w:p>
    <w:p w:rsidRPr="00962FEB" w:rsidR="00D24433" w:rsidP="00560248" w:rsidRDefault="002B5808" w14:paraId="214E6E8D" w14:textId="77777777">
      <w:pPr>
        <w:pStyle w:val="BodyText"/>
      </w:pPr>
      <w:bookmarkStart w:name="Claims_Data_and_Other_Record_Reports_Pre" w:id="13"/>
      <w:bookmarkEnd w:id="13"/>
      <w:r w:rsidRPr="00962FEB">
        <w:rPr>
          <w:u w:val="single"/>
        </w:rPr>
        <w:t xml:space="preserve">Claims Data and Other Record Reports Preparation </w:t>
      </w:r>
      <w:r w:rsidRPr="00163500">
        <w:rPr>
          <w:u w:val="single"/>
        </w:rPr>
        <w:t>(42 CFR 456.709)</w:t>
      </w:r>
    </w:p>
    <w:p w:rsidRPr="00962FEB" w:rsidR="00D24433" w:rsidP="00560248" w:rsidRDefault="00D24433" w14:paraId="214E6E8E" w14:textId="77777777">
      <w:pPr>
        <w:pStyle w:val="BodyText"/>
      </w:pPr>
    </w:p>
    <w:p w:rsidRPr="00962FEB" w:rsidR="00D24433" w:rsidP="00560248" w:rsidRDefault="002B5808" w14:paraId="214E6E8F" w14:textId="77777777">
      <w:pPr>
        <w:pStyle w:val="BodyText"/>
        <w:spacing w:line="249" w:lineRule="auto"/>
      </w:pPr>
      <w:r w:rsidRPr="00962FEB">
        <w:t>As previously stated above, the pharmacist’s profiling and documentation is primarily an automated function due to the implementation of electronic processing systems. The pharmacist does not produce exception reports.   The details of the prescriptions presented to be filled are what create the data that the State gathers and the State or its vendor produces exception reports and drug claims expenditures reporting from this data.</w:t>
      </w:r>
    </w:p>
    <w:p w:rsidRPr="00962FEB" w:rsidR="00D24433" w:rsidP="00560248" w:rsidRDefault="00D24433" w14:paraId="214E6E90" w14:textId="77777777">
      <w:pPr>
        <w:pStyle w:val="BodyText"/>
      </w:pPr>
    </w:p>
    <w:p w:rsidR="00D24433" w:rsidP="00560248" w:rsidRDefault="002B5808" w14:paraId="214E6E91" w14:textId="7C963A0D">
      <w:pPr>
        <w:pStyle w:val="BodyText"/>
        <w:spacing w:line="249" w:lineRule="auto"/>
      </w:pPr>
      <w:r w:rsidRPr="00962FEB">
        <w:t>States are required to collect prescription drug utilization data from claims and assess the data against predetermined standards in order to identify potential problems in prescribing and/or dispensing. Data collection involves sorting prescription drug claims data through the use of exception reports. These reports generate specific information on claims using predetermined criteria for exceptions, such as</w:t>
      </w:r>
      <w:r w:rsidRPr="00962FEB" w:rsidR="000A20DE">
        <w:t xml:space="preserve"> </w:t>
      </w:r>
      <w:r w:rsidRPr="00962FEB">
        <w:t>prior authorization and types of drug therapy problems. States generally have their pharmacy point-of-sales vendor produce the exception reports.</w:t>
      </w:r>
    </w:p>
    <w:p w:rsidR="0008035F" w:rsidP="00560248" w:rsidRDefault="0008035F" w14:paraId="2A3DF32B" w14:textId="0211FBC8">
      <w:pPr>
        <w:pStyle w:val="BodyText"/>
        <w:spacing w:line="249" w:lineRule="auto"/>
      </w:pPr>
    </w:p>
    <w:p w:rsidRPr="00962FEB" w:rsidR="009605B9" w:rsidDel="00E40556" w:rsidP="00560248" w:rsidRDefault="002B5808" w14:paraId="214E6E93" w14:textId="29D5256C">
      <w:pPr>
        <w:pStyle w:val="BodyText"/>
        <w:spacing w:line="247" w:lineRule="auto"/>
      </w:pPr>
      <w:r w:rsidRPr="00962FEB" w:rsidDel="00E40556">
        <w:rPr>
          <w:u w:val="single"/>
        </w:rPr>
        <w:t>Hours:</w:t>
      </w:r>
      <w:r w:rsidRPr="00962FEB" w:rsidDel="00E40556">
        <w:t xml:space="preserve"> </w:t>
      </w:r>
      <w:r w:rsidRPr="00962FEB" w:rsidDel="00E40556" w:rsidR="00951EAD">
        <w:tab/>
        <w:t>1,020 hours annually</w:t>
      </w:r>
    </w:p>
    <w:p w:rsidRPr="00962FEB" w:rsidR="00951EAD" w:rsidDel="00E40556" w:rsidP="009605B9" w:rsidRDefault="002B5808" w14:paraId="214E6E94" w14:textId="43E81927">
      <w:pPr>
        <w:pStyle w:val="BodyText"/>
        <w:spacing w:line="247" w:lineRule="auto"/>
        <w:ind w:left="720" w:firstLine="720"/>
      </w:pPr>
      <w:r w:rsidRPr="00962FEB" w:rsidDel="00E40556">
        <w:t xml:space="preserve">5 </w:t>
      </w:r>
      <w:r w:rsidRPr="00962FEB" w:rsidDel="00E40556" w:rsidR="00951EAD">
        <w:t xml:space="preserve">hours per State </w:t>
      </w:r>
      <w:r w:rsidR="00384797">
        <w:t>x 4 responses per year</w:t>
      </w:r>
      <w:r w:rsidR="007626CE">
        <w:t xml:space="preserve"> </w:t>
      </w:r>
      <w:r w:rsidRPr="00962FEB" w:rsidDel="00E40556" w:rsidR="007626CE">
        <w:t>x 51 states</w:t>
      </w:r>
      <w:r w:rsidR="00384797">
        <w:t>.</w:t>
      </w:r>
    </w:p>
    <w:p w:rsidRPr="00962FEB" w:rsidR="009605B9" w:rsidDel="00E40556" w:rsidP="00560248" w:rsidRDefault="002B5808" w14:paraId="214E6E95" w14:textId="5A898D33">
      <w:pPr>
        <w:pStyle w:val="BodyText"/>
        <w:spacing w:line="247" w:lineRule="auto"/>
      </w:pPr>
      <w:r w:rsidRPr="00962FEB" w:rsidDel="00E40556">
        <w:rPr>
          <w:u w:val="single"/>
        </w:rPr>
        <w:t>Cost:</w:t>
      </w:r>
      <w:r w:rsidRPr="00962FEB" w:rsidDel="00E40556">
        <w:t xml:space="preserve"> </w:t>
      </w:r>
      <w:r w:rsidRPr="00962FEB" w:rsidDel="00E40556" w:rsidR="00951EAD">
        <w:tab/>
      </w:r>
      <w:r w:rsidRPr="00962FEB" w:rsidDel="00E40556" w:rsidR="00B30A40">
        <w:t>$</w:t>
      </w:r>
      <w:r w:rsidDel="00E40556" w:rsidR="0008035F">
        <w:t>123,</w:t>
      </w:r>
      <w:r w:rsidR="005D0A10">
        <w:t>053</w:t>
      </w:r>
      <w:r w:rsidR="00C5617F">
        <w:t xml:space="preserve"> </w:t>
      </w:r>
      <w:r w:rsidR="00B61A63">
        <w:t>annually</w:t>
      </w:r>
    </w:p>
    <w:p w:rsidRPr="00962FEB" w:rsidR="00D24433" w:rsidDel="00E40556" w:rsidP="009605B9" w:rsidRDefault="002B5808" w14:paraId="214E6E96" w14:textId="7821EE24">
      <w:pPr>
        <w:pStyle w:val="BodyText"/>
        <w:spacing w:line="247" w:lineRule="auto"/>
        <w:ind w:left="720" w:firstLine="720"/>
      </w:pPr>
      <w:r w:rsidRPr="00962FEB" w:rsidDel="00E40556">
        <w:t>1</w:t>
      </w:r>
      <w:r w:rsidRPr="00962FEB" w:rsidDel="00E40556" w:rsidR="00951EAD">
        <w:t>,</w:t>
      </w:r>
      <w:r w:rsidRPr="00962FEB" w:rsidDel="00E40556">
        <w:t>020 hours x $</w:t>
      </w:r>
      <w:r w:rsidDel="00E40556" w:rsidR="005400E6">
        <w:t>120.6</w:t>
      </w:r>
      <w:r w:rsidR="005D0A10">
        <w:t>4</w:t>
      </w:r>
      <w:r w:rsidRPr="00962FEB" w:rsidDel="00E40556">
        <w:t>/</w:t>
      </w:r>
      <w:proofErr w:type="spellStart"/>
      <w:r w:rsidRPr="00962FEB" w:rsidDel="00E40556">
        <w:t>hr</w:t>
      </w:r>
      <w:proofErr w:type="spellEnd"/>
      <w:r w:rsidRPr="00962FEB" w:rsidDel="00E40556">
        <w:t xml:space="preserve"> (point</w:t>
      </w:r>
      <w:r w:rsidRPr="00962FEB" w:rsidDel="00E40556" w:rsidR="00951EAD">
        <w:t xml:space="preserve"> of service vendor pharmacist)</w:t>
      </w:r>
      <w:r w:rsidR="00BA3C68">
        <w:t>.</w:t>
      </w:r>
    </w:p>
    <w:p w:rsidRPr="00962FEB" w:rsidR="00E65F59" w:rsidP="00560248" w:rsidRDefault="00E65F59" w14:paraId="2504518A" w14:textId="77777777">
      <w:pPr>
        <w:pStyle w:val="BodyText"/>
      </w:pPr>
    </w:p>
    <w:p w:rsidRPr="00962FEB" w:rsidR="00D24433" w:rsidP="00560248" w:rsidRDefault="002B5808" w14:paraId="214E6E98" w14:textId="77777777">
      <w:pPr>
        <w:pStyle w:val="BodyText"/>
      </w:pPr>
      <w:bookmarkStart w:name="Review_Claims_Data_and_Other_Record_Repo" w:id="14"/>
      <w:bookmarkEnd w:id="14"/>
      <w:r w:rsidRPr="00962FEB">
        <w:rPr>
          <w:u w:val="single"/>
        </w:rPr>
        <w:t xml:space="preserve">Review Claims Data and Other Record Reports &amp; Interventions </w:t>
      </w:r>
      <w:r w:rsidRPr="00163500">
        <w:rPr>
          <w:u w:val="single"/>
        </w:rPr>
        <w:t>(42 CFR 456.711)</w:t>
      </w:r>
    </w:p>
    <w:p w:rsidRPr="00962FEB" w:rsidR="00D24433" w:rsidP="00560248" w:rsidRDefault="00D24433" w14:paraId="214E6E99" w14:textId="77777777">
      <w:pPr>
        <w:pStyle w:val="BodyText"/>
      </w:pPr>
    </w:p>
    <w:p w:rsidRPr="00962FEB" w:rsidR="00D24433" w:rsidP="00560248" w:rsidRDefault="002B5808" w14:paraId="214E6E9A" w14:textId="77777777">
      <w:pPr>
        <w:pStyle w:val="BodyText"/>
        <w:spacing w:line="249" w:lineRule="auto"/>
      </w:pPr>
      <w:r w:rsidRPr="00962FEB">
        <w:t>The DUR Board conducts reviews of the exception reports at their quarterly meetings. As part of the review process, the DUR Board or a specially selected committee determines if intervention is warranted. If intervention is necessary, a pharmacist contractor executes the interventions by form of telephone contact, correspondence, or face-to- face interviews. Interventions are conducted to educate the physician or pharmacist on appropriate prescribing or dispensing practices.</w:t>
      </w:r>
    </w:p>
    <w:p w:rsidRPr="00962FEB" w:rsidR="00D24433" w:rsidP="00560248" w:rsidRDefault="00D24433" w14:paraId="214E6E9B" w14:textId="77777777">
      <w:pPr>
        <w:pStyle w:val="BodyText"/>
      </w:pPr>
    </w:p>
    <w:p w:rsidRPr="00962FEB" w:rsidR="00D24433" w:rsidP="00560248" w:rsidRDefault="002B5808" w14:paraId="214E6E9C" w14:textId="77777777">
      <w:pPr>
        <w:rPr>
          <w:i/>
          <w:sz w:val="24"/>
          <w:szCs w:val="24"/>
        </w:rPr>
      </w:pPr>
      <w:bookmarkStart w:name="Review" w:id="15"/>
      <w:bookmarkEnd w:id="15"/>
      <w:r w:rsidRPr="00962FEB">
        <w:rPr>
          <w:i/>
          <w:sz w:val="24"/>
          <w:szCs w:val="24"/>
        </w:rPr>
        <w:t>Review</w:t>
      </w:r>
    </w:p>
    <w:p w:rsidRPr="00962FEB" w:rsidR="00D24433" w:rsidP="00560248" w:rsidRDefault="00D24433" w14:paraId="214E6E9D" w14:textId="77777777">
      <w:pPr>
        <w:pStyle w:val="BodyText"/>
      </w:pPr>
    </w:p>
    <w:p w:rsidR="009605B9" w:rsidP="00560248" w:rsidRDefault="002B5808" w14:paraId="214E6E9E" w14:textId="7E27AD02">
      <w:pPr>
        <w:pStyle w:val="BodyText"/>
      </w:pPr>
      <w:r w:rsidRPr="00386977">
        <w:rPr>
          <w:u w:val="single"/>
        </w:rPr>
        <w:t>Hours:</w:t>
      </w:r>
      <w:r w:rsidRPr="00386977" w:rsidR="00C56FB7">
        <w:tab/>
      </w:r>
      <w:r w:rsidRPr="00386977" w:rsidR="00B61A63">
        <w:t>12,240 hours annually</w:t>
      </w:r>
    </w:p>
    <w:p w:rsidRPr="00386977" w:rsidR="00CD6E30" w:rsidP="00CC1FB0" w:rsidRDefault="00766D6F" w14:paraId="53251824" w14:textId="6A3F03DD">
      <w:pPr>
        <w:pStyle w:val="BodyText"/>
        <w:ind w:left="720" w:firstLine="720"/>
      </w:pPr>
      <w:r w:rsidRPr="00766D6F">
        <w:t>60</w:t>
      </w:r>
      <w:r w:rsidRPr="00766D6F" w:rsidDel="00E40556" w:rsidR="00CC1FB0">
        <w:t xml:space="preserve"> hours </w:t>
      </w:r>
      <w:r w:rsidRPr="00766D6F" w:rsidR="00CC1FB0">
        <w:t xml:space="preserve">x 4 responses per year </w:t>
      </w:r>
      <w:r w:rsidRPr="00766D6F" w:rsidDel="00E40556" w:rsidR="00CC1FB0">
        <w:t xml:space="preserve">x 51 </w:t>
      </w:r>
      <w:r w:rsidRPr="00766D6F" w:rsidR="00CC1FB0">
        <w:t>Medicaid programs.</w:t>
      </w:r>
    </w:p>
    <w:p w:rsidRPr="00386977" w:rsidR="009605B9" w:rsidP="00560248" w:rsidRDefault="002B5808" w14:paraId="214E6EA0" w14:textId="4A2C9F3E">
      <w:pPr>
        <w:pStyle w:val="BodyText"/>
      </w:pPr>
      <w:r w:rsidRPr="00386977">
        <w:rPr>
          <w:u w:val="single"/>
        </w:rPr>
        <w:t>Cost:</w:t>
      </w:r>
      <w:r w:rsidRPr="00386977">
        <w:t xml:space="preserve"> </w:t>
      </w:r>
      <w:r w:rsidRPr="00386977" w:rsidR="00C56FB7">
        <w:tab/>
      </w:r>
      <w:r w:rsidRPr="00386977" w:rsidR="000B43CA">
        <w:t>$612,000</w:t>
      </w:r>
      <w:r w:rsidRPr="00386977" w:rsidR="00B61A63">
        <w:t xml:space="preserve"> annually</w:t>
      </w:r>
    </w:p>
    <w:p w:rsidRPr="00962FEB" w:rsidR="00D24433" w:rsidP="009605B9" w:rsidRDefault="002B5808" w14:paraId="214E6EA1" w14:textId="77777777">
      <w:pPr>
        <w:pStyle w:val="BodyText"/>
        <w:ind w:left="720" w:firstLine="720"/>
      </w:pPr>
      <w:r w:rsidRPr="00386977">
        <w:t>12,240 hour</w:t>
      </w:r>
      <w:r w:rsidRPr="00386977" w:rsidR="009605B9">
        <w:t>s x $50/</w:t>
      </w:r>
      <w:proofErr w:type="spellStart"/>
      <w:r w:rsidRPr="00386977" w:rsidR="009605B9">
        <w:t>hr</w:t>
      </w:r>
      <w:proofErr w:type="spellEnd"/>
      <w:r w:rsidRPr="00386977" w:rsidR="009605B9">
        <w:t xml:space="preserve"> (DUR Board members)</w:t>
      </w:r>
      <w:r w:rsidRPr="00386977">
        <w:t>.</w:t>
      </w:r>
    </w:p>
    <w:p w:rsidRPr="00962FEB" w:rsidR="00D24433" w:rsidP="00560248" w:rsidRDefault="00D24433" w14:paraId="214E6EA2" w14:textId="77777777">
      <w:pPr>
        <w:pStyle w:val="BodyText"/>
      </w:pPr>
    </w:p>
    <w:p w:rsidRPr="00962FEB" w:rsidR="00D24433" w:rsidP="00560248" w:rsidRDefault="002B5808" w14:paraId="214E6EA3" w14:textId="77777777">
      <w:pPr>
        <w:pStyle w:val="BodyText"/>
        <w:spacing w:line="249" w:lineRule="auto"/>
      </w:pPr>
      <w:r w:rsidRPr="00962FEB">
        <w:t>DUR board members typically receive a nominal honorarium as represented above. Being a member of the DUR board is looked favorably upon by their employers and the medical community, as they provide their medical expertise for public service.</w:t>
      </w:r>
    </w:p>
    <w:p w:rsidRPr="00962FEB" w:rsidR="00D24433" w:rsidP="00560248" w:rsidRDefault="00D24433" w14:paraId="214E6EA4" w14:textId="77777777">
      <w:pPr>
        <w:pStyle w:val="BodyText"/>
      </w:pPr>
    </w:p>
    <w:p w:rsidRPr="00962FEB" w:rsidR="00D24433" w:rsidP="00560248" w:rsidRDefault="002B5808" w14:paraId="214E6EA5" w14:textId="77777777">
      <w:pPr>
        <w:rPr>
          <w:i/>
          <w:sz w:val="24"/>
          <w:szCs w:val="24"/>
        </w:rPr>
      </w:pPr>
      <w:bookmarkStart w:name="Intervention" w:id="16"/>
      <w:bookmarkEnd w:id="16"/>
      <w:r w:rsidRPr="00962FEB">
        <w:rPr>
          <w:i/>
          <w:sz w:val="24"/>
          <w:szCs w:val="24"/>
        </w:rPr>
        <w:t>Intervention</w:t>
      </w:r>
    </w:p>
    <w:p w:rsidRPr="00962FEB" w:rsidR="00D24433" w:rsidP="00560248" w:rsidRDefault="00D24433" w14:paraId="214E6EA6" w14:textId="77777777">
      <w:pPr>
        <w:pStyle w:val="BodyText"/>
      </w:pPr>
    </w:p>
    <w:p w:rsidR="00461004" w:rsidP="00560248" w:rsidRDefault="002B5808" w14:paraId="214E6EA7" w14:textId="0EFE6254">
      <w:pPr>
        <w:pStyle w:val="BodyText"/>
        <w:spacing w:line="249" w:lineRule="auto"/>
      </w:pPr>
      <w:r w:rsidRPr="00962FEB">
        <w:rPr>
          <w:u w:val="single"/>
        </w:rPr>
        <w:t>Hours:</w:t>
      </w:r>
      <w:r w:rsidRPr="00962FEB">
        <w:t xml:space="preserve"> </w:t>
      </w:r>
      <w:r w:rsidR="003A4A24">
        <w:tab/>
      </w:r>
      <w:r w:rsidRPr="00962FEB" w:rsidR="00461004">
        <w:t xml:space="preserve">24,480 hours annually </w:t>
      </w:r>
    </w:p>
    <w:p w:rsidRPr="00962FEB" w:rsidR="006A480C" w:rsidP="006A480C" w:rsidRDefault="006A480C" w14:paraId="500EE0B2" w14:textId="49EAA541">
      <w:pPr>
        <w:pStyle w:val="BodyText"/>
        <w:spacing w:line="249" w:lineRule="auto"/>
        <w:ind w:left="720" w:firstLine="720"/>
      </w:pPr>
      <w:r>
        <w:t>120</w:t>
      </w:r>
      <w:r w:rsidRPr="00766D6F" w:rsidDel="00E40556">
        <w:t xml:space="preserve"> hours </w:t>
      </w:r>
      <w:r w:rsidRPr="00766D6F">
        <w:t xml:space="preserve">x 4 responses per year </w:t>
      </w:r>
      <w:r w:rsidRPr="00766D6F" w:rsidDel="00E40556">
        <w:t xml:space="preserve">x 51 </w:t>
      </w:r>
      <w:r w:rsidRPr="00766D6F">
        <w:t>Medicaid programs.</w:t>
      </w:r>
    </w:p>
    <w:p w:rsidRPr="00962FEB" w:rsidR="00461004" w:rsidP="00560248" w:rsidRDefault="002B5808" w14:paraId="214E6EA9" w14:textId="25FBF730">
      <w:pPr>
        <w:pStyle w:val="BodyText"/>
        <w:spacing w:line="249" w:lineRule="auto"/>
      </w:pPr>
      <w:r w:rsidRPr="00962FEB">
        <w:rPr>
          <w:u w:val="single"/>
        </w:rPr>
        <w:t>Cost:</w:t>
      </w:r>
      <w:r w:rsidRPr="00962FEB">
        <w:t xml:space="preserve"> </w:t>
      </w:r>
      <w:r w:rsidRPr="00962FEB" w:rsidR="00461004">
        <w:tab/>
      </w:r>
      <w:r w:rsidRPr="00962FEB" w:rsidR="00262F18">
        <w:t>$</w:t>
      </w:r>
      <w:r w:rsidR="005400E6">
        <w:t>2,</w:t>
      </w:r>
      <w:r w:rsidR="005D0A10">
        <w:t>953</w:t>
      </w:r>
      <w:r w:rsidR="005400E6">
        <w:t>,</w:t>
      </w:r>
      <w:r w:rsidR="005D0A10">
        <w:t>267</w:t>
      </w:r>
      <w:r w:rsidR="00E041FC">
        <w:t xml:space="preserve"> </w:t>
      </w:r>
      <w:r w:rsidR="00B61A63">
        <w:t>annually</w:t>
      </w:r>
    </w:p>
    <w:p w:rsidRPr="00962FEB" w:rsidR="00D24433" w:rsidP="00461004" w:rsidRDefault="002B5808" w14:paraId="214E6EAA" w14:textId="01920675">
      <w:pPr>
        <w:pStyle w:val="BodyText"/>
        <w:spacing w:line="249" w:lineRule="auto"/>
        <w:ind w:left="720" w:firstLine="720"/>
      </w:pPr>
      <w:r w:rsidRPr="00962FEB">
        <w:t>24,480 hours x $</w:t>
      </w:r>
      <w:r w:rsidR="005400E6">
        <w:t>120.</w:t>
      </w:r>
      <w:r w:rsidR="005D0A10">
        <w:t>64</w:t>
      </w:r>
      <w:r w:rsidR="00F249DA">
        <w:t>/</w:t>
      </w:r>
      <w:proofErr w:type="spellStart"/>
      <w:r w:rsidR="00F249DA">
        <w:t>hr</w:t>
      </w:r>
      <w:proofErr w:type="spellEnd"/>
      <w:r w:rsidRPr="00962FEB" w:rsidR="00461004">
        <w:t xml:space="preserve"> (pharmacist contractor)</w:t>
      </w:r>
      <w:r w:rsidR="000D0370">
        <w:t>.</w:t>
      </w:r>
    </w:p>
    <w:p w:rsidRPr="00962FEB" w:rsidR="00D24433" w:rsidP="00560248" w:rsidRDefault="00D24433" w14:paraId="214E6EAB" w14:textId="77777777">
      <w:pPr>
        <w:pStyle w:val="BodyText"/>
      </w:pPr>
    </w:p>
    <w:p w:rsidRPr="00962FEB" w:rsidR="00D24433" w:rsidP="00560248" w:rsidRDefault="002B5808" w14:paraId="214E6EAC" w14:textId="77777777">
      <w:pPr>
        <w:pStyle w:val="BodyText"/>
      </w:pPr>
      <w:bookmarkStart w:name="Annual_Report_(42_CFR_456.712_and_438.3)" w:id="17"/>
      <w:bookmarkEnd w:id="17"/>
      <w:r w:rsidRPr="00163500">
        <w:rPr>
          <w:u w:val="single"/>
        </w:rPr>
        <w:t>Annual Report (42 CFR 456.712 and 438.3)</w:t>
      </w:r>
    </w:p>
    <w:p w:rsidRPr="00962FEB" w:rsidR="00D24433" w:rsidP="00560248" w:rsidRDefault="00D24433" w14:paraId="214E6EAD" w14:textId="77777777">
      <w:pPr>
        <w:pStyle w:val="BodyText"/>
      </w:pPr>
    </w:p>
    <w:p w:rsidRPr="00962FEB" w:rsidR="00D24433" w:rsidP="00560248" w:rsidRDefault="002B5808" w14:paraId="214E6EAE" w14:textId="0D697069">
      <w:pPr>
        <w:pStyle w:val="BodyText"/>
        <w:spacing w:line="247" w:lineRule="auto"/>
      </w:pPr>
      <w:r w:rsidRPr="00962FEB">
        <w:t xml:space="preserve">These sections of the regulation state that the DUR Board and the Medicaid agency are required to report </w:t>
      </w:r>
      <w:r w:rsidR="007A45AF">
        <w:t xml:space="preserve">annually </w:t>
      </w:r>
      <w:r w:rsidRPr="00962FEB">
        <w:t xml:space="preserve">to the Medicaid agency and the Secretary, respectively.  </w:t>
      </w:r>
      <w:r w:rsidRPr="007A45AF" w:rsidR="007A45AF">
        <w:t xml:space="preserve"> While the content of the </w:t>
      </w:r>
      <w:r w:rsidR="005D0A10">
        <w:t>surveys</w:t>
      </w:r>
      <w:r w:rsidRPr="007A45AF" w:rsidR="007A45AF">
        <w:t xml:space="preserve"> differs marginally, we estimate that the burden for individual states’ combined reports will be identical.</w:t>
      </w:r>
    </w:p>
    <w:p w:rsidRPr="00962FEB" w:rsidR="00D24433" w:rsidP="00560248" w:rsidRDefault="00D24433" w14:paraId="214E6EAF" w14:textId="77777777">
      <w:pPr>
        <w:pStyle w:val="BodyText"/>
      </w:pPr>
    </w:p>
    <w:p w:rsidRPr="00962FEB" w:rsidR="00461004" w:rsidP="00560248" w:rsidRDefault="002B5808" w14:paraId="214E6EB0" w14:textId="319E9FEC">
      <w:pPr>
        <w:pStyle w:val="BodyText"/>
        <w:spacing w:line="249" w:lineRule="auto"/>
      </w:pPr>
      <w:r w:rsidRPr="00962FEB">
        <w:rPr>
          <w:u w:val="single"/>
        </w:rPr>
        <w:t>Hours:</w:t>
      </w:r>
      <w:r w:rsidRPr="00962FEB">
        <w:t xml:space="preserve"> </w:t>
      </w:r>
      <w:r w:rsidRPr="00962FEB" w:rsidR="00461004">
        <w:tab/>
        <w:t xml:space="preserve">3,264 hours </w:t>
      </w:r>
    </w:p>
    <w:p w:rsidRPr="00962FEB" w:rsidR="00D24433" w:rsidP="00461004" w:rsidRDefault="002B5808" w14:paraId="214E6EB1" w14:textId="210A2CF6">
      <w:pPr>
        <w:pStyle w:val="BodyText"/>
        <w:spacing w:line="250" w:lineRule="auto"/>
        <w:ind w:left="1440"/>
      </w:pPr>
      <w:r w:rsidRPr="008E4846">
        <w:t xml:space="preserve">It is estimated that the yearly reporting burden </w:t>
      </w:r>
      <w:r w:rsidRPr="008E4846" w:rsidR="002467FB">
        <w:t xml:space="preserve">for </w:t>
      </w:r>
      <w:r w:rsidR="005D0A10">
        <w:t>the</w:t>
      </w:r>
      <w:r w:rsidRPr="008E4846" w:rsidR="002467FB">
        <w:t xml:space="preserve"> surveys </w:t>
      </w:r>
      <w:r w:rsidRPr="008E4846">
        <w:t>is</w:t>
      </w:r>
      <w:r w:rsidRPr="00962FEB">
        <w:t xml:space="preserve"> 64 hours per State, making the total burden for 51 Medicaid programs.</w:t>
      </w:r>
    </w:p>
    <w:p w:rsidRPr="00962FEB" w:rsidR="00461004" w:rsidP="00560248" w:rsidRDefault="002B5808" w14:paraId="214E6EB2" w14:textId="5A0E7824">
      <w:pPr>
        <w:pStyle w:val="BodyText"/>
      </w:pPr>
      <w:r w:rsidRPr="00962FEB">
        <w:rPr>
          <w:u w:val="single"/>
        </w:rPr>
        <w:t>Cost:</w:t>
      </w:r>
      <w:r w:rsidRPr="00962FEB">
        <w:t xml:space="preserve"> </w:t>
      </w:r>
      <w:r w:rsidRPr="00962FEB" w:rsidR="00461004">
        <w:tab/>
      </w:r>
      <w:r w:rsidRPr="00962FEB" w:rsidR="00262F18">
        <w:t>$</w:t>
      </w:r>
      <w:r w:rsidR="005400E6">
        <w:t>393,</w:t>
      </w:r>
      <w:r w:rsidR="005D0A10">
        <w:t>769</w:t>
      </w:r>
    </w:p>
    <w:p w:rsidRPr="00962FEB" w:rsidR="00D24433" w:rsidP="00461004" w:rsidRDefault="002B5808" w14:paraId="214E6EB3" w14:textId="4B46D64F">
      <w:pPr>
        <w:pStyle w:val="BodyText"/>
        <w:ind w:left="720" w:firstLine="720"/>
      </w:pPr>
      <w:r w:rsidRPr="00962FEB">
        <w:t>3,264 hours x $</w:t>
      </w:r>
      <w:r w:rsidR="005400E6">
        <w:t>120.</w:t>
      </w:r>
      <w:r w:rsidR="005D0A10">
        <w:t>64</w:t>
      </w:r>
      <w:r w:rsidR="00A44C2C">
        <w:t>/</w:t>
      </w:r>
      <w:proofErr w:type="spellStart"/>
      <w:r w:rsidR="00A44C2C">
        <w:t>hr</w:t>
      </w:r>
      <w:proofErr w:type="spellEnd"/>
      <w:r w:rsidRPr="00962FEB">
        <w:t xml:space="preserve"> (pharma</w:t>
      </w:r>
      <w:r w:rsidRPr="00962FEB" w:rsidR="00461004">
        <w:t>cist contractor rate per hour)</w:t>
      </w:r>
    </w:p>
    <w:p w:rsidR="00EB68FC" w:rsidP="00560248" w:rsidRDefault="00EB68FC" w14:paraId="67F2B1D6" w14:textId="77777777">
      <w:pPr>
        <w:pStyle w:val="BodyText"/>
        <w:sectPr w:rsidR="00EB68FC" w:rsidSect="003A310B">
          <w:footerReference w:type="default" r:id="rId16"/>
          <w:pgSz w:w="12240" w:h="15840"/>
          <w:pgMar w:top="1440" w:right="1440" w:bottom="1440" w:left="1440" w:header="0" w:footer="1070" w:gutter="0"/>
          <w:cols w:space="720"/>
          <w:docGrid w:linePitch="299"/>
        </w:sectPr>
      </w:pPr>
    </w:p>
    <w:p w:rsidRPr="00962FEB" w:rsidR="00D24433" w:rsidP="00560248" w:rsidRDefault="00D24433" w14:paraId="214E6EB5" w14:textId="77777777">
      <w:pPr>
        <w:pStyle w:val="BodyText"/>
      </w:pPr>
    </w:p>
    <w:p w:rsidRPr="00F42307" w:rsidR="00D24433" w:rsidP="00F42307" w:rsidRDefault="00F42307" w14:paraId="214E6EB6" w14:textId="7C951AE1">
      <w:pPr>
        <w:tabs>
          <w:tab w:val="left" w:pos="566"/>
        </w:tabs>
        <w:ind w:left="109"/>
        <w:rPr>
          <w:i/>
          <w:sz w:val="24"/>
          <w:szCs w:val="24"/>
        </w:rPr>
      </w:pPr>
      <w:r>
        <w:rPr>
          <w:i/>
          <w:sz w:val="24"/>
          <w:szCs w:val="24"/>
        </w:rPr>
        <w:t>12.3-</w:t>
      </w:r>
      <w:r w:rsidRPr="00F42307" w:rsidR="002B5808">
        <w:rPr>
          <w:i/>
          <w:sz w:val="24"/>
          <w:szCs w:val="24"/>
        </w:rPr>
        <w:t>Burden</w:t>
      </w:r>
      <w:r w:rsidRPr="00F42307" w:rsidR="002B5808">
        <w:rPr>
          <w:i/>
          <w:spacing w:val="-3"/>
          <w:sz w:val="24"/>
          <w:szCs w:val="24"/>
        </w:rPr>
        <w:t xml:space="preserve"> </w:t>
      </w:r>
      <w:r w:rsidRPr="00F42307" w:rsidR="002B5808">
        <w:rPr>
          <w:i/>
          <w:sz w:val="24"/>
          <w:szCs w:val="24"/>
        </w:rPr>
        <w:t>Summary</w:t>
      </w:r>
    </w:p>
    <w:p w:rsidRPr="00F90562" w:rsidR="00D24433" w:rsidP="00560248" w:rsidRDefault="00D24433" w14:paraId="214E6EB7" w14:textId="77777777">
      <w:pPr>
        <w:pStyle w:val="BodyText"/>
        <w:rPr>
          <w:i/>
        </w:rPr>
      </w:pPr>
    </w:p>
    <w:p w:rsidRPr="000A20DE" w:rsidR="00D24433" w:rsidP="00846D08" w:rsidRDefault="002B5808" w14:paraId="214E6EB8" w14:textId="77777777">
      <w:pPr>
        <w:jc w:val="center"/>
        <w:rPr>
          <w:sz w:val="24"/>
          <w:szCs w:val="24"/>
        </w:rPr>
      </w:pPr>
      <w:r w:rsidRPr="000A20DE">
        <w:rPr>
          <w:sz w:val="24"/>
          <w:szCs w:val="24"/>
        </w:rPr>
        <w:t>Annual Recordkeeping and Reporting Requirements</w:t>
      </w:r>
    </w:p>
    <w:tbl>
      <w:tblPr>
        <w:tblW w:w="10833" w:type="dxa"/>
        <w:tblInd w:w="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90"/>
        <w:gridCol w:w="1214"/>
        <w:gridCol w:w="1260"/>
        <w:gridCol w:w="1258"/>
        <w:gridCol w:w="1152"/>
        <w:gridCol w:w="1426"/>
        <w:gridCol w:w="710"/>
        <w:gridCol w:w="1104"/>
        <w:gridCol w:w="1519"/>
      </w:tblGrid>
      <w:tr w:rsidRPr="00F90562" w:rsidR="00F24316" w:rsidTr="00B334D3" w14:paraId="6AB864BC" w14:textId="77777777">
        <w:trPr>
          <w:trHeight w:val="1296" w:hRule="exact"/>
        </w:trPr>
        <w:tc>
          <w:tcPr>
            <w:tcW w:w="1190" w:type="dxa"/>
            <w:tcBorders>
              <w:top w:val="single" w:color="auto" w:sz="4" w:space="0"/>
              <w:left w:val="single" w:color="auto" w:sz="4" w:space="0"/>
              <w:bottom w:val="single" w:color="auto" w:sz="4" w:space="0"/>
              <w:right w:val="single" w:color="auto" w:sz="4" w:space="0"/>
            </w:tcBorders>
          </w:tcPr>
          <w:p w:rsidRPr="000B43CA" w:rsidR="00F24316" w:rsidP="00560248" w:rsidRDefault="00F24316" w14:paraId="4E96B2BF" w14:textId="76A91901">
            <w:pPr>
              <w:pStyle w:val="TableParagraph"/>
              <w:spacing w:line="261" w:lineRule="auto"/>
              <w:ind w:left="0"/>
              <w:rPr>
                <w:sz w:val="20"/>
                <w:szCs w:val="20"/>
              </w:rPr>
            </w:pPr>
            <w:r>
              <w:rPr>
                <w:sz w:val="20"/>
                <w:szCs w:val="20"/>
              </w:rPr>
              <w:t>Regulation U</w:t>
            </w:r>
            <w:r w:rsidRPr="000B43CA">
              <w:rPr>
                <w:sz w:val="20"/>
                <w:szCs w:val="20"/>
              </w:rPr>
              <w:t xml:space="preserve">nder Title 42 </w:t>
            </w:r>
            <w:r>
              <w:rPr>
                <w:sz w:val="20"/>
                <w:szCs w:val="20"/>
              </w:rPr>
              <w:t>of the CFR</w:t>
            </w:r>
          </w:p>
        </w:tc>
        <w:tc>
          <w:tcPr>
            <w:tcW w:w="1214" w:type="dxa"/>
            <w:tcBorders>
              <w:top w:val="single" w:color="auto" w:sz="4" w:space="0"/>
              <w:left w:val="single" w:color="auto" w:sz="4" w:space="0"/>
              <w:bottom w:val="single" w:color="auto" w:sz="4" w:space="0"/>
              <w:right w:val="single" w:color="auto" w:sz="4" w:space="0"/>
            </w:tcBorders>
          </w:tcPr>
          <w:p w:rsidRPr="000B43CA" w:rsidR="00F24316" w:rsidP="00560248" w:rsidRDefault="00F24316" w14:paraId="065428ED" w14:textId="6FE71106">
            <w:pPr>
              <w:pStyle w:val="TableParagraph"/>
              <w:spacing w:line="240" w:lineRule="auto"/>
              <w:ind w:left="0"/>
              <w:rPr>
                <w:sz w:val="20"/>
                <w:szCs w:val="20"/>
              </w:rPr>
            </w:pPr>
            <w:r w:rsidRPr="000B43CA">
              <w:rPr>
                <w:sz w:val="20"/>
                <w:szCs w:val="20"/>
              </w:rPr>
              <w:t>Respondents</w:t>
            </w:r>
          </w:p>
        </w:tc>
        <w:tc>
          <w:tcPr>
            <w:tcW w:w="1260" w:type="dxa"/>
            <w:tcBorders>
              <w:top w:val="single" w:color="auto" w:sz="4" w:space="0"/>
              <w:left w:val="single" w:color="auto" w:sz="4" w:space="0"/>
              <w:bottom w:val="single" w:color="auto" w:sz="4" w:space="0"/>
              <w:right w:val="single" w:color="auto" w:sz="4" w:space="0"/>
            </w:tcBorders>
          </w:tcPr>
          <w:p w:rsidRPr="000B43CA" w:rsidR="00F24316" w:rsidP="00560248" w:rsidRDefault="00F24316" w14:paraId="65B2AFE9" w14:textId="5A024340">
            <w:pPr>
              <w:pStyle w:val="TableParagraph"/>
              <w:spacing w:line="261" w:lineRule="auto"/>
              <w:ind w:left="0"/>
              <w:rPr>
                <w:sz w:val="20"/>
                <w:szCs w:val="20"/>
              </w:rPr>
            </w:pPr>
            <w:r>
              <w:rPr>
                <w:sz w:val="20"/>
                <w:szCs w:val="20"/>
              </w:rPr>
              <w:t xml:space="preserve">Responses </w:t>
            </w:r>
            <w:r w:rsidRPr="000B43CA">
              <w:rPr>
                <w:sz w:val="20"/>
                <w:szCs w:val="20"/>
              </w:rPr>
              <w:t>(per respondent)</w:t>
            </w:r>
          </w:p>
        </w:tc>
        <w:tc>
          <w:tcPr>
            <w:tcW w:w="1258" w:type="dxa"/>
            <w:tcBorders>
              <w:top w:val="single" w:color="auto" w:sz="4" w:space="0"/>
              <w:left w:val="single" w:color="auto" w:sz="4" w:space="0"/>
              <w:bottom w:val="single" w:color="auto" w:sz="4" w:space="0"/>
              <w:right w:val="single" w:color="auto" w:sz="4" w:space="0"/>
            </w:tcBorders>
          </w:tcPr>
          <w:p w:rsidRPr="000B43CA" w:rsidR="00F24316" w:rsidP="00560248" w:rsidRDefault="00F24316" w14:paraId="1313771B" w14:textId="7B52BC74">
            <w:pPr>
              <w:pStyle w:val="TableParagraph"/>
              <w:spacing w:line="261" w:lineRule="auto"/>
              <w:ind w:left="0"/>
              <w:rPr>
                <w:sz w:val="20"/>
                <w:szCs w:val="20"/>
              </w:rPr>
            </w:pPr>
            <w:r w:rsidRPr="000B43CA">
              <w:rPr>
                <w:sz w:val="20"/>
                <w:szCs w:val="20"/>
              </w:rPr>
              <w:t>Total Responses</w:t>
            </w:r>
          </w:p>
        </w:tc>
        <w:tc>
          <w:tcPr>
            <w:tcW w:w="1152" w:type="dxa"/>
            <w:tcBorders>
              <w:top w:val="single" w:color="auto" w:sz="4" w:space="0"/>
              <w:left w:val="single" w:color="auto" w:sz="4" w:space="0"/>
              <w:bottom w:val="single" w:color="auto" w:sz="4" w:space="0"/>
              <w:right w:val="single" w:color="auto" w:sz="4" w:space="0"/>
            </w:tcBorders>
          </w:tcPr>
          <w:p w:rsidRPr="000B43CA" w:rsidR="00F24316" w:rsidP="00560248" w:rsidRDefault="00F24316" w14:paraId="6CCD0B24" w14:textId="6EC1DDE1">
            <w:pPr>
              <w:pStyle w:val="TableParagraph"/>
              <w:spacing w:line="261" w:lineRule="auto"/>
              <w:ind w:left="0"/>
              <w:rPr>
                <w:sz w:val="20"/>
                <w:szCs w:val="20"/>
              </w:rPr>
            </w:pPr>
            <w:r w:rsidRPr="000B43CA">
              <w:rPr>
                <w:sz w:val="20"/>
                <w:szCs w:val="20"/>
              </w:rPr>
              <w:t>Time per Response</w:t>
            </w:r>
            <w:r>
              <w:rPr>
                <w:sz w:val="20"/>
                <w:szCs w:val="20"/>
              </w:rPr>
              <w:t xml:space="preserve"> (</w:t>
            </w:r>
            <w:proofErr w:type="spellStart"/>
            <w:r w:rsidR="00014661">
              <w:rPr>
                <w:sz w:val="20"/>
                <w:szCs w:val="20"/>
              </w:rPr>
              <w:t>h</w:t>
            </w:r>
            <w:r>
              <w:rPr>
                <w:sz w:val="20"/>
                <w:szCs w:val="20"/>
              </w:rPr>
              <w:t>r</w:t>
            </w:r>
            <w:proofErr w:type="spellEnd"/>
            <w:r>
              <w:rPr>
                <w:sz w:val="20"/>
                <w:szCs w:val="20"/>
              </w:rPr>
              <w:t>)</w:t>
            </w:r>
          </w:p>
        </w:tc>
        <w:tc>
          <w:tcPr>
            <w:tcW w:w="1426" w:type="dxa"/>
            <w:tcBorders>
              <w:top w:val="single" w:color="auto" w:sz="4" w:space="0"/>
              <w:left w:val="single" w:color="auto" w:sz="4" w:space="0"/>
              <w:bottom w:val="single" w:color="auto" w:sz="4" w:space="0"/>
              <w:right w:val="single" w:color="auto" w:sz="4" w:space="0"/>
            </w:tcBorders>
          </w:tcPr>
          <w:p w:rsidRPr="000B43CA" w:rsidR="00F24316" w:rsidP="003C00EE" w:rsidRDefault="00F24316" w14:paraId="11315719" w14:textId="6791582A">
            <w:pPr>
              <w:pStyle w:val="TableParagraph"/>
              <w:tabs>
                <w:tab w:val="left" w:pos="842"/>
              </w:tabs>
              <w:spacing w:line="261" w:lineRule="auto"/>
              <w:ind w:left="0"/>
              <w:rPr>
                <w:sz w:val="20"/>
                <w:szCs w:val="20"/>
              </w:rPr>
            </w:pPr>
            <w:r w:rsidRPr="000B43CA">
              <w:rPr>
                <w:sz w:val="20"/>
                <w:szCs w:val="20"/>
              </w:rPr>
              <w:t>Total</w:t>
            </w:r>
            <w:r w:rsidRPr="000B43CA">
              <w:rPr>
                <w:spacing w:val="-1"/>
                <w:sz w:val="20"/>
                <w:szCs w:val="20"/>
              </w:rPr>
              <w:t xml:space="preserve"> </w:t>
            </w:r>
            <w:r>
              <w:rPr>
                <w:spacing w:val="-1"/>
                <w:sz w:val="20"/>
                <w:szCs w:val="20"/>
              </w:rPr>
              <w:t xml:space="preserve">Time </w:t>
            </w:r>
            <w:r w:rsidRPr="000B43CA">
              <w:rPr>
                <w:sz w:val="20"/>
                <w:szCs w:val="20"/>
              </w:rPr>
              <w:t>(</w:t>
            </w:r>
            <w:proofErr w:type="spellStart"/>
            <w:r w:rsidRPr="000B43CA">
              <w:rPr>
                <w:sz w:val="20"/>
                <w:szCs w:val="20"/>
              </w:rPr>
              <w:t>hr</w:t>
            </w:r>
            <w:proofErr w:type="spellEnd"/>
            <w:r w:rsidRPr="000B43CA">
              <w:rPr>
                <w:sz w:val="20"/>
                <w:szCs w:val="20"/>
              </w:rPr>
              <w:t>)</w:t>
            </w:r>
          </w:p>
        </w:tc>
        <w:tc>
          <w:tcPr>
            <w:tcW w:w="710" w:type="dxa"/>
            <w:tcBorders>
              <w:top w:val="single" w:color="auto" w:sz="4" w:space="0"/>
              <w:left w:val="single" w:color="auto" w:sz="4" w:space="0"/>
              <w:bottom w:val="single" w:color="auto" w:sz="4" w:space="0"/>
              <w:right w:val="single" w:color="auto" w:sz="4" w:space="0"/>
            </w:tcBorders>
          </w:tcPr>
          <w:p w:rsidRPr="000B43CA" w:rsidR="00F24316" w:rsidP="00560248" w:rsidRDefault="00F24316" w14:paraId="2CE706AA" w14:textId="56520EB8">
            <w:pPr>
              <w:pStyle w:val="TableParagraph"/>
              <w:spacing w:line="261" w:lineRule="auto"/>
              <w:ind w:left="0"/>
              <w:rPr>
                <w:sz w:val="20"/>
                <w:szCs w:val="20"/>
              </w:rPr>
            </w:pPr>
            <w:r>
              <w:rPr>
                <w:sz w:val="20"/>
                <w:szCs w:val="20"/>
              </w:rPr>
              <w:t xml:space="preserve">Labor </w:t>
            </w:r>
            <w:r w:rsidRPr="000B43CA">
              <w:rPr>
                <w:sz w:val="20"/>
                <w:szCs w:val="20"/>
              </w:rPr>
              <w:t>Rate ($/</w:t>
            </w:r>
            <w:proofErr w:type="spellStart"/>
            <w:r w:rsidRPr="000B43CA">
              <w:rPr>
                <w:sz w:val="20"/>
                <w:szCs w:val="20"/>
              </w:rPr>
              <w:t>hr</w:t>
            </w:r>
            <w:proofErr w:type="spellEnd"/>
            <w:r w:rsidRPr="000B43CA">
              <w:rPr>
                <w:sz w:val="20"/>
                <w:szCs w:val="20"/>
              </w:rPr>
              <w:t>)</w:t>
            </w:r>
          </w:p>
        </w:tc>
        <w:tc>
          <w:tcPr>
            <w:tcW w:w="1104" w:type="dxa"/>
            <w:tcBorders>
              <w:top w:val="single" w:color="auto" w:sz="4" w:space="0"/>
              <w:left w:val="single" w:color="auto" w:sz="4" w:space="0"/>
              <w:bottom w:val="single" w:color="auto" w:sz="4" w:space="0"/>
              <w:right w:val="single" w:color="auto" w:sz="4" w:space="0"/>
            </w:tcBorders>
          </w:tcPr>
          <w:p w:rsidRPr="000B43CA" w:rsidR="00F24316" w:rsidP="00560248" w:rsidRDefault="00F24316" w14:paraId="35F78485" w14:textId="310E4448">
            <w:pPr>
              <w:pStyle w:val="TableParagraph"/>
              <w:spacing w:line="261" w:lineRule="auto"/>
              <w:ind w:left="0"/>
              <w:rPr>
                <w:sz w:val="20"/>
                <w:szCs w:val="20"/>
              </w:rPr>
            </w:pPr>
            <w:r w:rsidRPr="000B43CA">
              <w:rPr>
                <w:sz w:val="20"/>
                <w:szCs w:val="20"/>
              </w:rPr>
              <w:t xml:space="preserve">Capital/ </w:t>
            </w:r>
            <w:r w:rsidRPr="000B43CA">
              <w:rPr>
                <w:w w:val="95"/>
                <w:sz w:val="20"/>
                <w:szCs w:val="20"/>
              </w:rPr>
              <w:t>Maintenance</w:t>
            </w:r>
            <w:r>
              <w:rPr>
                <w:w w:val="95"/>
                <w:sz w:val="20"/>
                <w:szCs w:val="20"/>
              </w:rPr>
              <w:t xml:space="preserve"> </w:t>
            </w:r>
            <w:r w:rsidRPr="00F90562">
              <w:rPr>
                <w:sz w:val="20"/>
                <w:szCs w:val="20"/>
              </w:rPr>
              <w:t>Costs ($)</w:t>
            </w:r>
          </w:p>
        </w:tc>
        <w:tc>
          <w:tcPr>
            <w:tcW w:w="1519" w:type="dxa"/>
            <w:tcBorders>
              <w:top w:val="single" w:color="auto" w:sz="4" w:space="0"/>
              <w:left w:val="single" w:color="auto" w:sz="4" w:space="0"/>
              <w:bottom w:val="single" w:color="auto" w:sz="4" w:space="0"/>
              <w:right w:val="single" w:color="auto" w:sz="4" w:space="0"/>
            </w:tcBorders>
          </w:tcPr>
          <w:p w:rsidRPr="000B43CA" w:rsidR="00F24316" w:rsidP="00560248" w:rsidRDefault="00F24316" w14:paraId="73A3B735" w14:textId="39A8F86C">
            <w:pPr>
              <w:pStyle w:val="TableParagraph"/>
              <w:spacing w:line="261" w:lineRule="auto"/>
              <w:ind w:left="0"/>
              <w:rPr>
                <w:sz w:val="20"/>
                <w:szCs w:val="20"/>
              </w:rPr>
            </w:pPr>
            <w:r w:rsidRPr="000B43CA">
              <w:rPr>
                <w:sz w:val="20"/>
                <w:szCs w:val="20"/>
              </w:rPr>
              <w:t>Total</w:t>
            </w:r>
            <w:r>
              <w:rPr>
                <w:sz w:val="20"/>
                <w:szCs w:val="20"/>
              </w:rPr>
              <w:t xml:space="preserve"> </w:t>
            </w:r>
            <w:r w:rsidRPr="000B43CA">
              <w:rPr>
                <w:sz w:val="20"/>
                <w:szCs w:val="20"/>
              </w:rPr>
              <w:t>Cost ($)</w:t>
            </w:r>
          </w:p>
        </w:tc>
      </w:tr>
      <w:tr w:rsidRPr="000B43CA" w:rsidR="00D24433" w:rsidTr="00F24316" w14:paraId="214E6EE0" w14:textId="77777777">
        <w:trPr>
          <w:trHeight w:val="478" w:hRule="exact"/>
        </w:trPr>
        <w:tc>
          <w:tcPr>
            <w:tcW w:w="1190" w:type="dxa"/>
            <w:tcBorders>
              <w:top w:val="single" w:color="auto" w:sz="4" w:space="0"/>
            </w:tcBorders>
          </w:tcPr>
          <w:p w:rsidRPr="000B43CA" w:rsidR="00D24433" w:rsidP="00560248" w:rsidRDefault="002B5808" w14:paraId="214E6ED7" w14:textId="778EF5F2">
            <w:pPr>
              <w:pStyle w:val="TableParagraph"/>
              <w:ind w:left="0"/>
              <w:rPr>
                <w:sz w:val="20"/>
                <w:szCs w:val="20"/>
              </w:rPr>
            </w:pPr>
            <w:r w:rsidRPr="000B43CA">
              <w:rPr>
                <w:sz w:val="20"/>
                <w:szCs w:val="20"/>
              </w:rPr>
              <w:t>456.709</w:t>
            </w:r>
          </w:p>
        </w:tc>
        <w:tc>
          <w:tcPr>
            <w:tcW w:w="1214" w:type="dxa"/>
            <w:tcBorders>
              <w:top w:val="single" w:color="auto" w:sz="4" w:space="0"/>
            </w:tcBorders>
          </w:tcPr>
          <w:p w:rsidRPr="000B43CA" w:rsidR="00D24433" w:rsidP="00560248" w:rsidRDefault="002B5808" w14:paraId="214E6ED8" w14:textId="77777777">
            <w:pPr>
              <w:pStyle w:val="TableParagraph"/>
              <w:ind w:left="0"/>
              <w:rPr>
                <w:sz w:val="20"/>
                <w:szCs w:val="20"/>
              </w:rPr>
            </w:pPr>
            <w:r w:rsidRPr="000B43CA">
              <w:rPr>
                <w:sz w:val="20"/>
                <w:szCs w:val="20"/>
              </w:rPr>
              <w:t>51</w:t>
            </w:r>
          </w:p>
        </w:tc>
        <w:tc>
          <w:tcPr>
            <w:tcW w:w="1260" w:type="dxa"/>
            <w:tcBorders>
              <w:top w:val="single" w:color="auto" w:sz="4" w:space="0"/>
            </w:tcBorders>
          </w:tcPr>
          <w:p w:rsidRPr="000B43CA" w:rsidR="00D24433" w:rsidP="00560248" w:rsidRDefault="002B5808" w14:paraId="214E6ED9" w14:textId="77777777">
            <w:pPr>
              <w:pStyle w:val="TableParagraph"/>
              <w:ind w:left="0"/>
              <w:rPr>
                <w:sz w:val="20"/>
                <w:szCs w:val="20"/>
              </w:rPr>
            </w:pPr>
            <w:r w:rsidRPr="000B43CA">
              <w:rPr>
                <w:sz w:val="20"/>
                <w:szCs w:val="20"/>
              </w:rPr>
              <w:t>4</w:t>
            </w:r>
          </w:p>
        </w:tc>
        <w:tc>
          <w:tcPr>
            <w:tcW w:w="1258" w:type="dxa"/>
            <w:tcBorders>
              <w:top w:val="single" w:color="auto" w:sz="4" w:space="0"/>
            </w:tcBorders>
          </w:tcPr>
          <w:p w:rsidRPr="000B43CA" w:rsidR="00D24433" w:rsidP="00560248" w:rsidRDefault="002B5808" w14:paraId="214E6EDA" w14:textId="77777777">
            <w:pPr>
              <w:pStyle w:val="TableParagraph"/>
              <w:ind w:left="0"/>
              <w:rPr>
                <w:sz w:val="20"/>
                <w:szCs w:val="20"/>
              </w:rPr>
            </w:pPr>
            <w:r w:rsidRPr="000B43CA">
              <w:rPr>
                <w:sz w:val="20"/>
                <w:szCs w:val="20"/>
              </w:rPr>
              <w:t>204</w:t>
            </w:r>
          </w:p>
        </w:tc>
        <w:tc>
          <w:tcPr>
            <w:tcW w:w="1152" w:type="dxa"/>
            <w:tcBorders>
              <w:top w:val="single" w:color="auto" w:sz="4" w:space="0"/>
            </w:tcBorders>
          </w:tcPr>
          <w:p w:rsidRPr="000B43CA" w:rsidR="00D24433" w:rsidP="00560248" w:rsidRDefault="002B5808" w14:paraId="214E6EDB" w14:textId="7E0A7BBC">
            <w:pPr>
              <w:pStyle w:val="TableParagraph"/>
              <w:ind w:left="0"/>
              <w:rPr>
                <w:sz w:val="20"/>
                <w:szCs w:val="20"/>
              </w:rPr>
            </w:pPr>
            <w:r w:rsidRPr="000B43CA">
              <w:rPr>
                <w:sz w:val="20"/>
                <w:szCs w:val="20"/>
              </w:rPr>
              <w:t>5</w:t>
            </w:r>
          </w:p>
        </w:tc>
        <w:tc>
          <w:tcPr>
            <w:tcW w:w="1426" w:type="dxa"/>
            <w:tcBorders>
              <w:top w:val="single" w:color="auto" w:sz="4" w:space="0"/>
            </w:tcBorders>
          </w:tcPr>
          <w:p w:rsidRPr="000B43CA" w:rsidR="00D24433" w:rsidP="00560248" w:rsidRDefault="002B5808" w14:paraId="214E6EDC" w14:textId="77777777">
            <w:pPr>
              <w:pStyle w:val="TableParagraph"/>
              <w:ind w:left="0"/>
              <w:rPr>
                <w:sz w:val="20"/>
                <w:szCs w:val="20"/>
              </w:rPr>
            </w:pPr>
            <w:r w:rsidRPr="000B43CA">
              <w:rPr>
                <w:sz w:val="20"/>
                <w:szCs w:val="20"/>
              </w:rPr>
              <w:t>1,020</w:t>
            </w:r>
          </w:p>
        </w:tc>
        <w:tc>
          <w:tcPr>
            <w:tcW w:w="710" w:type="dxa"/>
            <w:tcBorders>
              <w:top w:val="single" w:color="auto" w:sz="4" w:space="0"/>
            </w:tcBorders>
          </w:tcPr>
          <w:p w:rsidRPr="000B43CA" w:rsidR="00D24433" w:rsidP="003C00EE" w:rsidRDefault="005400E6" w14:paraId="214E6EDD" w14:textId="5589EA44">
            <w:pPr>
              <w:pStyle w:val="TableParagraph"/>
              <w:ind w:left="0"/>
              <w:rPr>
                <w:sz w:val="20"/>
                <w:szCs w:val="20"/>
              </w:rPr>
            </w:pPr>
            <w:r>
              <w:rPr>
                <w:sz w:val="20"/>
                <w:szCs w:val="20"/>
              </w:rPr>
              <w:t>120.</w:t>
            </w:r>
            <w:r w:rsidR="005D0A10">
              <w:rPr>
                <w:sz w:val="20"/>
                <w:szCs w:val="20"/>
              </w:rPr>
              <w:t>64</w:t>
            </w:r>
          </w:p>
        </w:tc>
        <w:tc>
          <w:tcPr>
            <w:tcW w:w="1104" w:type="dxa"/>
            <w:tcBorders>
              <w:top w:val="single" w:color="auto" w:sz="4" w:space="0"/>
            </w:tcBorders>
          </w:tcPr>
          <w:p w:rsidRPr="000B43CA" w:rsidR="00D24433" w:rsidP="00560248" w:rsidRDefault="002B5808" w14:paraId="214E6EDE" w14:textId="77777777">
            <w:pPr>
              <w:pStyle w:val="TableParagraph"/>
              <w:ind w:left="0"/>
              <w:rPr>
                <w:sz w:val="20"/>
                <w:szCs w:val="20"/>
              </w:rPr>
            </w:pPr>
            <w:r w:rsidRPr="000B43CA">
              <w:rPr>
                <w:sz w:val="20"/>
                <w:szCs w:val="20"/>
              </w:rPr>
              <w:t>0</w:t>
            </w:r>
          </w:p>
        </w:tc>
        <w:tc>
          <w:tcPr>
            <w:tcW w:w="1519" w:type="dxa"/>
            <w:tcBorders>
              <w:top w:val="single" w:color="auto" w:sz="4" w:space="0"/>
            </w:tcBorders>
          </w:tcPr>
          <w:p w:rsidRPr="000B43CA" w:rsidR="00D24433" w:rsidP="00812479" w:rsidRDefault="005D0A10" w14:paraId="214E6EDF" w14:textId="6FF5976E">
            <w:pPr>
              <w:pStyle w:val="TableParagraph"/>
              <w:ind w:left="0"/>
              <w:rPr>
                <w:sz w:val="20"/>
                <w:szCs w:val="20"/>
              </w:rPr>
            </w:pPr>
            <w:r w:rsidDel="00E40556">
              <w:t>123,</w:t>
            </w:r>
            <w:r>
              <w:t>053</w:t>
            </w:r>
          </w:p>
        </w:tc>
      </w:tr>
      <w:tr w:rsidRPr="00306199" w:rsidR="00D24433" w:rsidTr="00835BDD" w14:paraId="214E6EEA" w14:textId="77777777">
        <w:trPr>
          <w:trHeight w:val="720" w:hRule="exact"/>
        </w:trPr>
        <w:tc>
          <w:tcPr>
            <w:tcW w:w="1190" w:type="dxa"/>
            <w:vMerge w:val="restart"/>
          </w:tcPr>
          <w:p w:rsidRPr="00306199" w:rsidR="00D24433" w:rsidP="00560248" w:rsidRDefault="002B5808" w14:paraId="214E6EE1" w14:textId="77777777">
            <w:pPr>
              <w:pStyle w:val="TableParagraph"/>
              <w:ind w:left="0"/>
              <w:rPr>
                <w:sz w:val="20"/>
                <w:szCs w:val="20"/>
              </w:rPr>
            </w:pPr>
            <w:r w:rsidRPr="00306199">
              <w:rPr>
                <w:sz w:val="20"/>
                <w:szCs w:val="20"/>
              </w:rPr>
              <w:t>456.711</w:t>
            </w:r>
          </w:p>
        </w:tc>
        <w:tc>
          <w:tcPr>
            <w:tcW w:w="1214" w:type="dxa"/>
            <w:vMerge w:val="restart"/>
          </w:tcPr>
          <w:p w:rsidRPr="00306199" w:rsidR="00D24433" w:rsidP="00560248" w:rsidRDefault="002B5808" w14:paraId="214E6EE2" w14:textId="77777777">
            <w:pPr>
              <w:pStyle w:val="TableParagraph"/>
              <w:ind w:left="0"/>
              <w:rPr>
                <w:sz w:val="20"/>
                <w:szCs w:val="20"/>
              </w:rPr>
            </w:pPr>
            <w:r w:rsidRPr="00306199">
              <w:rPr>
                <w:sz w:val="20"/>
                <w:szCs w:val="20"/>
              </w:rPr>
              <w:t>51</w:t>
            </w:r>
          </w:p>
        </w:tc>
        <w:tc>
          <w:tcPr>
            <w:tcW w:w="1260" w:type="dxa"/>
          </w:tcPr>
          <w:p w:rsidRPr="00306199" w:rsidR="00D24433" w:rsidP="00560248" w:rsidRDefault="002B5808" w14:paraId="214E6EE3" w14:textId="77777777">
            <w:pPr>
              <w:pStyle w:val="TableParagraph"/>
              <w:ind w:left="0"/>
              <w:rPr>
                <w:sz w:val="20"/>
                <w:szCs w:val="20"/>
              </w:rPr>
            </w:pPr>
            <w:r w:rsidRPr="00306199">
              <w:rPr>
                <w:sz w:val="20"/>
                <w:szCs w:val="20"/>
              </w:rPr>
              <w:t>4</w:t>
            </w:r>
          </w:p>
        </w:tc>
        <w:tc>
          <w:tcPr>
            <w:tcW w:w="1258" w:type="dxa"/>
          </w:tcPr>
          <w:p w:rsidRPr="00306199" w:rsidR="00D24433" w:rsidP="00560248" w:rsidRDefault="002B5808" w14:paraId="214E6EE4" w14:textId="77777777">
            <w:pPr>
              <w:pStyle w:val="TableParagraph"/>
              <w:ind w:left="0"/>
              <w:rPr>
                <w:sz w:val="20"/>
                <w:szCs w:val="20"/>
              </w:rPr>
            </w:pPr>
            <w:r w:rsidRPr="00306199">
              <w:rPr>
                <w:sz w:val="20"/>
                <w:szCs w:val="20"/>
              </w:rPr>
              <w:t>204</w:t>
            </w:r>
          </w:p>
        </w:tc>
        <w:tc>
          <w:tcPr>
            <w:tcW w:w="1152" w:type="dxa"/>
          </w:tcPr>
          <w:p w:rsidRPr="00306199" w:rsidR="00D24433" w:rsidP="00560248" w:rsidRDefault="002B5808" w14:paraId="214E6EE5" w14:textId="0017B8B2">
            <w:pPr>
              <w:pStyle w:val="TableParagraph"/>
              <w:ind w:left="0"/>
              <w:rPr>
                <w:sz w:val="20"/>
                <w:szCs w:val="20"/>
              </w:rPr>
            </w:pPr>
            <w:r w:rsidRPr="00306199">
              <w:rPr>
                <w:sz w:val="20"/>
                <w:szCs w:val="20"/>
              </w:rPr>
              <w:t>60 (review)</w:t>
            </w:r>
          </w:p>
        </w:tc>
        <w:tc>
          <w:tcPr>
            <w:tcW w:w="1426" w:type="dxa"/>
          </w:tcPr>
          <w:p w:rsidRPr="00306199" w:rsidR="00D24433" w:rsidP="00560248" w:rsidRDefault="002B5808" w14:paraId="214E6EE6" w14:textId="77777777">
            <w:pPr>
              <w:pStyle w:val="TableParagraph"/>
              <w:ind w:left="0"/>
              <w:rPr>
                <w:sz w:val="20"/>
                <w:szCs w:val="20"/>
              </w:rPr>
            </w:pPr>
            <w:r w:rsidRPr="00306199">
              <w:rPr>
                <w:sz w:val="20"/>
                <w:szCs w:val="20"/>
              </w:rPr>
              <w:t>12,240</w:t>
            </w:r>
          </w:p>
        </w:tc>
        <w:tc>
          <w:tcPr>
            <w:tcW w:w="710" w:type="dxa"/>
          </w:tcPr>
          <w:p w:rsidRPr="00306199" w:rsidR="00D24433" w:rsidP="00560248" w:rsidRDefault="002B5808" w14:paraId="214E6EE7" w14:textId="77777777">
            <w:pPr>
              <w:pStyle w:val="TableParagraph"/>
              <w:ind w:left="0"/>
              <w:rPr>
                <w:sz w:val="20"/>
                <w:szCs w:val="20"/>
              </w:rPr>
            </w:pPr>
            <w:r w:rsidRPr="00306199">
              <w:rPr>
                <w:sz w:val="20"/>
                <w:szCs w:val="20"/>
              </w:rPr>
              <w:t>50.00</w:t>
            </w:r>
          </w:p>
        </w:tc>
        <w:tc>
          <w:tcPr>
            <w:tcW w:w="1104" w:type="dxa"/>
          </w:tcPr>
          <w:p w:rsidRPr="00306199" w:rsidR="00D24433" w:rsidP="00560248" w:rsidRDefault="002B5808" w14:paraId="214E6EE8" w14:textId="77777777">
            <w:pPr>
              <w:pStyle w:val="TableParagraph"/>
              <w:ind w:left="0"/>
              <w:rPr>
                <w:sz w:val="20"/>
                <w:szCs w:val="20"/>
              </w:rPr>
            </w:pPr>
            <w:r w:rsidRPr="00306199">
              <w:rPr>
                <w:sz w:val="20"/>
                <w:szCs w:val="20"/>
              </w:rPr>
              <w:t>0</w:t>
            </w:r>
          </w:p>
        </w:tc>
        <w:tc>
          <w:tcPr>
            <w:tcW w:w="1519" w:type="dxa"/>
          </w:tcPr>
          <w:p w:rsidRPr="00306199" w:rsidR="00D24433" w:rsidP="00560248" w:rsidRDefault="002B5808" w14:paraId="214E6EE9" w14:textId="77777777">
            <w:pPr>
              <w:pStyle w:val="TableParagraph"/>
              <w:ind w:left="0"/>
              <w:rPr>
                <w:sz w:val="20"/>
                <w:szCs w:val="20"/>
              </w:rPr>
            </w:pPr>
            <w:r w:rsidRPr="003A4A24">
              <w:rPr>
                <w:sz w:val="20"/>
                <w:szCs w:val="20"/>
              </w:rPr>
              <w:t>612,000</w:t>
            </w:r>
          </w:p>
        </w:tc>
      </w:tr>
      <w:tr w:rsidRPr="00306199" w:rsidR="00D24433" w:rsidTr="00835BDD" w14:paraId="214E6EF4" w14:textId="77777777">
        <w:trPr>
          <w:trHeight w:val="720" w:hRule="exact"/>
        </w:trPr>
        <w:tc>
          <w:tcPr>
            <w:tcW w:w="1190" w:type="dxa"/>
            <w:vMerge/>
          </w:tcPr>
          <w:p w:rsidRPr="00306199" w:rsidR="00D24433" w:rsidP="00560248" w:rsidRDefault="00D24433" w14:paraId="214E6EEB" w14:textId="77777777">
            <w:pPr>
              <w:rPr>
                <w:sz w:val="20"/>
                <w:szCs w:val="20"/>
              </w:rPr>
            </w:pPr>
          </w:p>
        </w:tc>
        <w:tc>
          <w:tcPr>
            <w:tcW w:w="1214" w:type="dxa"/>
            <w:vMerge/>
          </w:tcPr>
          <w:p w:rsidRPr="00306199" w:rsidR="00D24433" w:rsidP="00560248" w:rsidRDefault="00D24433" w14:paraId="214E6EEC" w14:textId="77777777">
            <w:pPr>
              <w:rPr>
                <w:sz w:val="20"/>
                <w:szCs w:val="20"/>
              </w:rPr>
            </w:pPr>
          </w:p>
        </w:tc>
        <w:tc>
          <w:tcPr>
            <w:tcW w:w="1260" w:type="dxa"/>
          </w:tcPr>
          <w:p w:rsidRPr="00306199" w:rsidR="00D24433" w:rsidP="00560248" w:rsidRDefault="002B5808" w14:paraId="214E6EED" w14:textId="77777777">
            <w:pPr>
              <w:pStyle w:val="TableParagraph"/>
              <w:ind w:left="0"/>
              <w:rPr>
                <w:sz w:val="20"/>
                <w:szCs w:val="20"/>
              </w:rPr>
            </w:pPr>
            <w:r w:rsidRPr="00306199">
              <w:rPr>
                <w:sz w:val="20"/>
                <w:szCs w:val="20"/>
              </w:rPr>
              <w:t>4</w:t>
            </w:r>
          </w:p>
        </w:tc>
        <w:tc>
          <w:tcPr>
            <w:tcW w:w="1258" w:type="dxa"/>
          </w:tcPr>
          <w:p w:rsidRPr="00306199" w:rsidR="00D24433" w:rsidP="00560248" w:rsidRDefault="002B5808" w14:paraId="214E6EEE" w14:textId="77777777">
            <w:pPr>
              <w:pStyle w:val="TableParagraph"/>
              <w:ind w:left="0"/>
              <w:rPr>
                <w:sz w:val="20"/>
                <w:szCs w:val="20"/>
              </w:rPr>
            </w:pPr>
            <w:r w:rsidRPr="00306199">
              <w:rPr>
                <w:sz w:val="20"/>
                <w:szCs w:val="20"/>
              </w:rPr>
              <w:t>204</w:t>
            </w:r>
          </w:p>
        </w:tc>
        <w:tc>
          <w:tcPr>
            <w:tcW w:w="1152" w:type="dxa"/>
          </w:tcPr>
          <w:p w:rsidRPr="00306199" w:rsidR="00D24433" w:rsidP="00560248" w:rsidRDefault="002B5808" w14:paraId="214E6EEF" w14:textId="7C2051E3">
            <w:pPr>
              <w:pStyle w:val="TableParagraph"/>
              <w:ind w:left="0"/>
              <w:rPr>
                <w:sz w:val="20"/>
                <w:szCs w:val="20"/>
              </w:rPr>
            </w:pPr>
            <w:r w:rsidRPr="00306199">
              <w:rPr>
                <w:sz w:val="20"/>
                <w:szCs w:val="20"/>
              </w:rPr>
              <w:t>120 (intervention)</w:t>
            </w:r>
          </w:p>
        </w:tc>
        <w:tc>
          <w:tcPr>
            <w:tcW w:w="1426" w:type="dxa"/>
          </w:tcPr>
          <w:p w:rsidRPr="00306199" w:rsidR="00D24433" w:rsidP="00560248" w:rsidRDefault="002B5808" w14:paraId="214E6EF0" w14:textId="77777777">
            <w:pPr>
              <w:pStyle w:val="TableParagraph"/>
              <w:ind w:left="0"/>
              <w:rPr>
                <w:sz w:val="20"/>
                <w:szCs w:val="20"/>
              </w:rPr>
            </w:pPr>
            <w:r w:rsidRPr="00306199">
              <w:rPr>
                <w:sz w:val="20"/>
                <w:szCs w:val="20"/>
              </w:rPr>
              <w:t>24,480</w:t>
            </w:r>
          </w:p>
        </w:tc>
        <w:tc>
          <w:tcPr>
            <w:tcW w:w="710" w:type="dxa"/>
          </w:tcPr>
          <w:p w:rsidRPr="00306199" w:rsidR="00D24433" w:rsidP="003C00EE" w:rsidRDefault="009751A2" w14:paraId="214E6EF1" w14:textId="3BBF59F0">
            <w:pPr>
              <w:pStyle w:val="TableParagraph"/>
              <w:ind w:left="0"/>
              <w:rPr>
                <w:sz w:val="20"/>
                <w:szCs w:val="20"/>
              </w:rPr>
            </w:pPr>
            <w:r>
              <w:rPr>
                <w:sz w:val="20"/>
                <w:szCs w:val="20"/>
              </w:rPr>
              <w:t>120.</w:t>
            </w:r>
            <w:r w:rsidR="005D0A10">
              <w:rPr>
                <w:sz w:val="20"/>
                <w:szCs w:val="20"/>
              </w:rPr>
              <w:t>64</w:t>
            </w:r>
          </w:p>
        </w:tc>
        <w:tc>
          <w:tcPr>
            <w:tcW w:w="1104" w:type="dxa"/>
          </w:tcPr>
          <w:p w:rsidRPr="00306199" w:rsidR="00D24433" w:rsidP="00560248" w:rsidRDefault="00F3674A" w14:paraId="214E6EF2" w14:textId="3776ECEC">
            <w:pPr>
              <w:rPr>
                <w:sz w:val="20"/>
                <w:szCs w:val="20"/>
              </w:rPr>
            </w:pPr>
            <w:r w:rsidRPr="00F3674A">
              <w:rPr>
                <w:sz w:val="20"/>
                <w:szCs w:val="20"/>
              </w:rPr>
              <w:t>0</w:t>
            </w:r>
          </w:p>
        </w:tc>
        <w:tc>
          <w:tcPr>
            <w:tcW w:w="1519" w:type="dxa"/>
          </w:tcPr>
          <w:p w:rsidRPr="00306199" w:rsidR="002B5808" w:rsidP="009751A2" w:rsidRDefault="005D0A10" w14:paraId="214E6EF3" w14:textId="4CED4CCE">
            <w:pPr>
              <w:pStyle w:val="TableParagraph"/>
              <w:ind w:left="0"/>
              <w:rPr>
                <w:sz w:val="20"/>
                <w:szCs w:val="20"/>
              </w:rPr>
            </w:pPr>
            <w:r>
              <w:t>2,953,267</w:t>
            </w:r>
          </w:p>
        </w:tc>
      </w:tr>
      <w:tr w:rsidRPr="00306199" w:rsidR="00D24433" w:rsidTr="00835BDD" w14:paraId="214E6EFF" w14:textId="77777777">
        <w:trPr>
          <w:trHeight w:val="456" w:hRule="exact"/>
        </w:trPr>
        <w:tc>
          <w:tcPr>
            <w:tcW w:w="1190" w:type="dxa"/>
          </w:tcPr>
          <w:p w:rsidRPr="00306199" w:rsidR="00D24433" w:rsidP="00560248" w:rsidRDefault="002B5808" w14:paraId="214E6EF5" w14:textId="77777777">
            <w:pPr>
              <w:pStyle w:val="TableParagraph"/>
              <w:ind w:left="0"/>
              <w:rPr>
                <w:sz w:val="20"/>
                <w:szCs w:val="20"/>
              </w:rPr>
            </w:pPr>
            <w:r w:rsidRPr="00306199">
              <w:rPr>
                <w:sz w:val="20"/>
                <w:szCs w:val="20"/>
              </w:rPr>
              <w:t>456.712 &amp;</w:t>
            </w:r>
          </w:p>
          <w:p w:rsidRPr="00306199" w:rsidR="00D24433" w:rsidP="00560248" w:rsidRDefault="002B5808" w14:paraId="214E6EF6" w14:textId="77777777">
            <w:pPr>
              <w:pStyle w:val="TableParagraph"/>
              <w:spacing w:line="240" w:lineRule="auto"/>
              <w:ind w:left="0"/>
              <w:rPr>
                <w:sz w:val="20"/>
                <w:szCs w:val="20"/>
              </w:rPr>
            </w:pPr>
            <w:r w:rsidRPr="00306199">
              <w:rPr>
                <w:sz w:val="20"/>
                <w:szCs w:val="20"/>
              </w:rPr>
              <w:t>438.3</w:t>
            </w:r>
          </w:p>
        </w:tc>
        <w:tc>
          <w:tcPr>
            <w:tcW w:w="1214" w:type="dxa"/>
          </w:tcPr>
          <w:p w:rsidRPr="00306199" w:rsidR="00D24433" w:rsidP="00560248" w:rsidRDefault="002B5808" w14:paraId="214E6EF7" w14:textId="77777777">
            <w:pPr>
              <w:pStyle w:val="TableParagraph"/>
              <w:ind w:left="0"/>
              <w:rPr>
                <w:sz w:val="20"/>
                <w:szCs w:val="20"/>
              </w:rPr>
            </w:pPr>
            <w:r w:rsidRPr="00306199">
              <w:rPr>
                <w:sz w:val="20"/>
                <w:szCs w:val="20"/>
              </w:rPr>
              <w:t>51</w:t>
            </w:r>
          </w:p>
        </w:tc>
        <w:tc>
          <w:tcPr>
            <w:tcW w:w="1260" w:type="dxa"/>
          </w:tcPr>
          <w:p w:rsidRPr="00306199" w:rsidR="00D24433" w:rsidP="00560248" w:rsidRDefault="002B5808" w14:paraId="214E6EF8" w14:textId="77777777">
            <w:pPr>
              <w:pStyle w:val="TableParagraph"/>
              <w:ind w:left="0"/>
              <w:rPr>
                <w:sz w:val="20"/>
                <w:szCs w:val="20"/>
              </w:rPr>
            </w:pPr>
            <w:r w:rsidRPr="00306199">
              <w:rPr>
                <w:sz w:val="20"/>
                <w:szCs w:val="20"/>
              </w:rPr>
              <w:t>1</w:t>
            </w:r>
          </w:p>
        </w:tc>
        <w:tc>
          <w:tcPr>
            <w:tcW w:w="1258" w:type="dxa"/>
          </w:tcPr>
          <w:p w:rsidRPr="00306199" w:rsidR="00D24433" w:rsidP="00560248" w:rsidRDefault="002B5808" w14:paraId="214E6EF9" w14:textId="77777777">
            <w:pPr>
              <w:pStyle w:val="TableParagraph"/>
              <w:ind w:left="0"/>
              <w:rPr>
                <w:sz w:val="20"/>
                <w:szCs w:val="20"/>
              </w:rPr>
            </w:pPr>
            <w:r w:rsidRPr="00306199">
              <w:rPr>
                <w:sz w:val="20"/>
                <w:szCs w:val="20"/>
              </w:rPr>
              <w:t>51</w:t>
            </w:r>
          </w:p>
        </w:tc>
        <w:tc>
          <w:tcPr>
            <w:tcW w:w="1152" w:type="dxa"/>
          </w:tcPr>
          <w:p w:rsidRPr="00306199" w:rsidR="00D24433" w:rsidP="00560248" w:rsidRDefault="002B5808" w14:paraId="214E6EFA" w14:textId="0E937E7C">
            <w:pPr>
              <w:pStyle w:val="TableParagraph"/>
              <w:ind w:left="0"/>
              <w:rPr>
                <w:sz w:val="20"/>
                <w:szCs w:val="20"/>
              </w:rPr>
            </w:pPr>
            <w:r w:rsidRPr="00306199">
              <w:rPr>
                <w:sz w:val="20"/>
                <w:szCs w:val="20"/>
              </w:rPr>
              <w:t>64</w:t>
            </w:r>
          </w:p>
        </w:tc>
        <w:tc>
          <w:tcPr>
            <w:tcW w:w="1426" w:type="dxa"/>
          </w:tcPr>
          <w:p w:rsidRPr="00306199" w:rsidR="00D24433" w:rsidP="00560248" w:rsidRDefault="002B5808" w14:paraId="214E6EFB" w14:textId="77777777">
            <w:pPr>
              <w:pStyle w:val="TableParagraph"/>
              <w:ind w:left="0"/>
              <w:rPr>
                <w:sz w:val="20"/>
                <w:szCs w:val="20"/>
              </w:rPr>
            </w:pPr>
            <w:r w:rsidRPr="00306199">
              <w:rPr>
                <w:sz w:val="20"/>
                <w:szCs w:val="20"/>
              </w:rPr>
              <w:t>3,264</w:t>
            </w:r>
          </w:p>
        </w:tc>
        <w:tc>
          <w:tcPr>
            <w:tcW w:w="710" w:type="dxa"/>
          </w:tcPr>
          <w:p w:rsidRPr="00306199" w:rsidR="00D24433" w:rsidP="003C00EE" w:rsidRDefault="009751A2" w14:paraId="214E6EFC" w14:textId="46A856EC">
            <w:pPr>
              <w:pStyle w:val="TableParagraph"/>
              <w:ind w:left="0"/>
              <w:rPr>
                <w:sz w:val="20"/>
                <w:szCs w:val="20"/>
              </w:rPr>
            </w:pPr>
            <w:r>
              <w:rPr>
                <w:sz w:val="20"/>
                <w:szCs w:val="20"/>
              </w:rPr>
              <w:t>120.</w:t>
            </w:r>
            <w:r w:rsidR="00835BDD">
              <w:rPr>
                <w:sz w:val="20"/>
                <w:szCs w:val="20"/>
              </w:rPr>
              <w:t>64</w:t>
            </w:r>
          </w:p>
        </w:tc>
        <w:tc>
          <w:tcPr>
            <w:tcW w:w="1104" w:type="dxa"/>
          </w:tcPr>
          <w:p w:rsidRPr="00306199" w:rsidR="00D24433" w:rsidP="00560248" w:rsidRDefault="00F3674A" w14:paraId="214E6EFD" w14:textId="04FA0E61">
            <w:pPr>
              <w:rPr>
                <w:sz w:val="20"/>
                <w:szCs w:val="20"/>
              </w:rPr>
            </w:pPr>
            <w:r w:rsidRPr="00F3674A">
              <w:rPr>
                <w:sz w:val="20"/>
                <w:szCs w:val="20"/>
              </w:rPr>
              <w:t>0</w:t>
            </w:r>
          </w:p>
        </w:tc>
        <w:tc>
          <w:tcPr>
            <w:tcW w:w="1519" w:type="dxa"/>
          </w:tcPr>
          <w:p w:rsidRPr="00306199" w:rsidR="00D24433" w:rsidP="00812479" w:rsidRDefault="00835BDD" w14:paraId="214E6EFE" w14:textId="10D62A6E">
            <w:pPr>
              <w:pStyle w:val="TableParagraph"/>
              <w:ind w:left="0"/>
              <w:rPr>
                <w:sz w:val="20"/>
                <w:szCs w:val="20"/>
              </w:rPr>
            </w:pPr>
            <w:r>
              <w:t>393,769</w:t>
            </w:r>
          </w:p>
        </w:tc>
      </w:tr>
      <w:tr w:rsidRPr="00F90562" w:rsidR="00D24433" w:rsidTr="00835BDD" w14:paraId="214E6F09" w14:textId="77777777">
        <w:trPr>
          <w:trHeight w:val="793" w:hRule="exact"/>
        </w:trPr>
        <w:tc>
          <w:tcPr>
            <w:tcW w:w="1190" w:type="dxa"/>
            <w:shd w:val="clear" w:color="auto" w:fill="E7E6E6"/>
          </w:tcPr>
          <w:p w:rsidRPr="00306199" w:rsidR="00D24433" w:rsidP="00560248" w:rsidRDefault="002B5808" w14:paraId="214E6F00" w14:textId="77777777">
            <w:pPr>
              <w:pStyle w:val="TableParagraph"/>
              <w:spacing w:line="240" w:lineRule="auto"/>
              <w:ind w:left="0"/>
              <w:rPr>
                <w:sz w:val="20"/>
                <w:szCs w:val="20"/>
              </w:rPr>
            </w:pPr>
            <w:r w:rsidRPr="00306199">
              <w:rPr>
                <w:sz w:val="20"/>
                <w:szCs w:val="20"/>
              </w:rPr>
              <w:t>TOTAL</w:t>
            </w:r>
          </w:p>
        </w:tc>
        <w:tc>
          <w:tcPr>
            <w:tcW w:w="1214" w:type="dxa"/>
            <w:shd w:val="clear" w:color="auto" w:fill="E7E6E6"/>
          </w:tcPr>
          <w:p w:rsidRPr="00306199" w:rsidR="00D24433" w:rsidP="00560248" w:rsidRDefault="002B5808" w14:paraId="214E6F01" w14:textId="77777777">
            <w:pPr>
              <w:pStyle w:val="TableParagraph"/>
              <w:spacing w:line="240" w:lineRule="auto"/>
              <w:ind w:left="0"/>
              <w:rPr>
                <w:sz w:val="20"/>
                <w:szCs w:val="20"/>
              </w:rPr>
            </w:pPr>
            <w:r w:rsidRPr="00306199">
              <w:rPr>
                <w:sz w:val="20"/>
                <w:szCs w:val="20"/>
              </w:rPr>
              <w:t>51</w:t>
            </w:r>
          </w:p>
        </w:tc>
        <w:tc>
          <w:tcPr>
            <w:tcW w:w="1260" w:type="dxa"/>
            <w:shd w:val="clear" w:color="auto" w:fill="E7E6E6"/>
          </w:tcPr>
          <w:p w:rsidRPr="00306199" w:rsidR="00D24433" w:rsidP="00560248" w:rsidRDefault="009E2730" w14:paraId="214E6F02" w14:textId="0D2880F5">
            <w:pPr>
              <w:pStyle w:val="TableParagraph"/>
              <w:spacing w:line="240" w:lineRule="auto"/>
              <w:ind w:left="0"/>
              <w:rPr>
                <w:sz w:val="20"/>
                <w:szCs w:val="20"/>
              </w:rPr>
            </w:pPr>
            <w:r>
              <w:rPr>
                <w:sz w:val="20"/>
                <w:szCs w:val="20"/>
              </w:rPr>
              <w:t>Varies</w:t>
            </w:r>
          </w:p>
        </w:tc>
        <w:tc>
          <w:tcPr>
            <w:tcW w:w="1258" w:type="dxa"/>
            <w:shd w:val="clear" w:color="auto" w:fill="E7E6E6"/>
          </w:tcPr>
          <w:p w:rsidRPr="00306199" w:rsidR="00D24433" w:rsidP="00560248" w:rsidRDefault="002B5808" w14:paraId="214E6F03" w14:textId="77777777">
            <w:pPr>
              <w:pStyle w:val="TableParagraph"/>
              <w:spacing w:line="240" w:lineRule="auto"/>
              <w:ind w:left="0"/>
              <w:rPr>
                <w:sz w:val="20"/>
                <w:szCs w:val="20"/>
              </w:rPr>
            </w:pPr>
            <w:r w:rsidRPr="00306199">
              <w:rPr>
                <w:sz w:val="20"/>
                <w:szCs w:val="20"/>
              </w:rPr>
              <w:t>663</w:t>
            </w:r>
          </w:p>
        </w:tc>
        <w:tc>
          <w:tcPr>
            <w:tcW w:w="1152" w:type="dxa"/>
            <w:shd w:val="clear" w:color="auto" w:fill="E7E6E6"/>
          </w:tcPr>
          <w:p w:rsidRPr="00306199" w:rsidR="00D24433" w:rsidP="00560248" w:rsidRDefault="00CA78D4" w14:paraId="214E6F04" w14:textId="5A8DA735">
            <w:pPr>
              <w:pStyle w:val="TableParagraph"/>
              <w:spacing w:line="240" w:lineRule="auto"/>
              <w:ind w:left="0"/>
              <w:rPr>
                <w:sz w:val="20"/>
                <w:szCs w:val="20"/>
              </w:rPr>
            </w:pPr>
            <w:r>
              <w:rPr>
                <w:sz w:val="20"/>
                <w:szCs w:val="20"/>
              </w:rPr>
              <w:t>Varies</w:t>
            </w:r>
          </w:p>
        </w:tc>
        <w:tc>
          <w:tcPr>
            <w:tcW w:w="1426" w:type="dxa"/>
            <w:shd w:val="clear" w:color="auto" w:fill="E7E6E6"/>
          </w:tcPr>
          <w:p w:rsidRPr="00306199" w:rsidR="00D24433" w:rsidP="00560248" w:rsidRDefault="002B5808" w14:paraId="214E6F05" w14:textId="77777777">
            <w:pPr>
              <w:pStyle w:val="TableParagraph"/>
              <w:spacing w:line="240" w:lineRule="auto"/>
              <w:ind w:left="0"/>
              <w:rPr>
                <w:sz w:val="20"/>
                <w:szCs w:val="20"/>
              </w:rPr>
            </w:pPr>
            <w:r w:rsidRPr="00306199">
              <w:rPr>
                <w:sz w:val="20"/>
                <w:szCs w:val="20"/>
              </w:rPr>
              <w:t>41,004</w:t>
            </w:r>
          </w:p>
        </w:tc>
        <w:tc>
          <w:tcPr>
            <w:tcW w:w="710" w:type="dxa"/>
            <w:shd w:val="clear" w:color="auto" w:fill="E7E6E6"/>
          </w:tcPr>
          <w:p w:rsidRPr="00306199" w:rsidR="00D24433" w:rsidP="00560248" w:rsidRDefault="000B43CA" w14:paraId="214E6F06" w14:textId="77777777">
            <w:pPr>
              <w:pStyle w:val="TableParagraph"/>
              <w:spacing w:line="240" w:lineRule="auto"/>
              <w:ind w:left="0"/>
              <w:rPr>
                <w:sz w:val="20"/>
                <w:szCs w:val="20"/>
              </w:rPr>
            </w:pPr>
            <w:r w:rsidRPr="00306199">
              <w:rPr>
                <w:sz w:val="20"/>
                <w:szCs w:val="20"/>
              </w:rPr>
              <w:t>V</w:t>
            </w:r>
            <w:r w:rsidRPr="00306199" w:rsidR="002B5808">
              <w:rPr>
                <w:sz w:val="20"/>
                <w:szCs w:val="20"/>
              </w:rPr>
              <w:t>aries</w:t>
            </w:r>
          </w:p>
        </w:tc>
        <w:tc>
          <w:tcPr>
            <w:tcW w:w="1104" w:type="dxa"/>
            <w:shd w:val="clear" w:color="auto" w:fill="E7E6E6"/>
          </w:tcPr>
          <w:p w:rsidRPr="00F3674A" w:rsidR="00D24433" w:rsidP="00560248" w:rsidRDefault="002B5808" w14:paraId="214E6F07" w14:textId="77777777">
            <w:pPr>
              <w:pStyle w:val="TableParagraph"/>
              <w:spacing w:line="240" w:lineRule="auto"/>
              <w:ind w:left="0"/>
              <w:rPr>
                <w:sz w:val="20"/>
                <w:szCs w:val="20"/>
              </w:rPr>
            </w:pPr>
            <w:r w:rsidRPr="00F3674A">
              <w:rPr>
                <w:sz w:val="20"/>
                <w:szCs w:val="20"/>
              </w:rPr>
              <w:t>0</w:t>
            </w:r>
          </w:p>
        </w:tc>
        <w:tc>
          <w:tcPr>
            <w:tcW w:w="1519" w:type="dxa"/>
            <w:shd w:val="clear" w:color="auto" w:fill="E7E6E6"/>
          </w:tcPr>
          <w:p w:rsidRPr="00F3674A" w:rsidR="00D24433" w:rsidP="001C4D99" w:rsidRDefault="009751A2" w14:paraId="214E6F08" w14:textId="5BF33C5C">
            <w:pPr>
              <w:pStyle w:val="TableParagraph"/>
              <w:spacing w:line="240" w:lineRule="auto"/>
              <w:ind w:left="0"/>
              <w:rPr>
                <w:sz w:val="20"/>
                <w:szCs w:val="20"/>
              </w:rPr>
            </w:pPr>
            <w:r>
              <w:rPr>
                <w:sz w:val="20"/>
                <w:szCs w:val="20"/>
              </w:rPr>
              <w:t>4,</w:t>
            </w:r>
            <w:r w:rsidR="00835BDD">
              <w:rPr>
                <w:sz w:val="20"/>
                <w:szCs w:val="20"/>
              </w:rPr>
              <w:t>082,089</w:t>
            </w:r>
          </w:p>
        </w:tc>
      </w:tr>
    </w:tbl>
    <w:p w:rsidRPr="000A20DE" w:rsidR="00D24433" w:rsidP="00560248" w:rsidRDefault="00D24433" w14:paraId="214E6F0A" w14:textId="77777777">
      <w:pPr>
        <w:pStyle w:val="BodyText"/>
      </w:pPr>
    </w:p>
    <w:p w:rsidR="00E31413" w:rsidP="00560248" w:rsidRDefault="00E31413" w14:paraId="214E6F0B" w14:textId="77777777">
      <w:pPr>
        <w:pStyle w:val="BodyText"/>
        <w:spacing w:line="249" w:lineRule="auto"/>
        <w:sectPr w:rsidR="00E31413" w:rsidSect="00E31413">
          <w:type w:val="continuous"/>
          <w:pgSz w:w="12240" w:h="15840"/>
          <w:pgMar w:top="720" w:right="720" w:bottom="720" w:left="720" w:header="0" w:footer="1070" w:gutter="0"/>
          <w:cols w:space="720"/>
          <w:docGrid w:linePitch="299"/>
        </w:sectPr>
      </w:pPr>
    </w:p>
    <w:p w:rsidRPr="000A20DE" w:rsidR="00D24433" w:rsidP="00560248" w:rsidRDefault="002B5808" w14:paraId="214E6F0C" w14:textId="77777777">
      <w:pPr>
        <w:pStyle w:val="BodyText"/>
        <w:spacing w:line="249" w:lineRule="auto"/>
      </w:pPr>
      <w:r w:rsidRPr="000A20DE">
        <w:t xml:space="preserve">When processing prescriptions, pharmacies have an automated system that utilizes the prospective data edits to complete the proper filling of the prescription.  The pharmacy itself does not </w:t>
      </w:r>
      <w:proofErr w:type="gramStart"/>
      <w:r w:rsidRPr="000A20DE">
        <w:t>collect</w:t>
      </w:r>
      <w:proofErr w:type="gramEnd"/>
      <w:r w:rsidRPr="000A20DE">
        <w:t xml:space="preserve"> the data.</w:t>
      </w:r>
      <w:r w:rsidR="00F90562">
        <w:t xml:space="preserve"> </w:t>
      </w:r>
      <w:r w:rsidRPr="000A20DE">
        <w:t>The data is submitted to the state as the claim is being processed electronically.</w:t>
      </w:r>
    </w:p>
    <w:p w:rsidR="00D24433" w:rsidP="00560248" w:rsidRDefault="00D24433" w14:paraId="214E6F0D" w14:textId="5C143A9D">
      <w:pPr>
        <w:pStyle w:val="BodyText"/>
      </w:pPr>
    </w:p>
    <w:p w:rsidRPr="00C00162" w:rsidR="00C00162" w:rsidP="00C00162" w:rsidRDefault="00F42307" w14:paraId="588B8860" w14:textId="7A47A281">
      <w:pPr>
        <w:pStyle w:val="BodyText"/>
        <w:rPr>
          <w:i/>
        </w:rPr>
      </w:pPr>
      <w:r>
        <w:rPr>
          <w:i/>
        </w:rPr>
        <w:t>12.4-</w:t>
      </w:r>
      <w:r w:rsidRPr="00C00162" w:rsidR="00C00162">
        <w:rPr>
          <w:i/>
        </w:rPr>
        <w:t>Information Collection Instruments and Instruction/Guidance Documents</w:t>
      </w:r>
    </w:p>
    <w:p w:rsidRPr="00C00162" w:rsidR="00C00162" w:rsidP="00C00162" w:rsidRDefault="00C00162" w14:paraId="7BFBB6D8" w14:textId="77777777">
      <w:pPr>
        <w:pStyle w:val="BodyText"/>
      </w:pPr>
    </w:p>
    <w:p w:rsidRPr="00C00162" w:rsidR="00C00162" w:rsidP="00C00162" w:rsidRDefault="00C00162" w14:paraId="02A272DC" w14:textId="1D5F78DB">
      <w:pPr>
        <w:pStyle w:val="BodyText"/>
      </w:pPr>
      <w:r w:rsidRPr="00C00162">
        <w:t xml:space="preserve">States are required to submit their annual </w:t>
      </w:r>
      <w:r w:rsidR="00835BDD">
        <w:t>survey</w:t>
      </w:r>
      <w:r w:rsidRPr="00C00162">
        <w:t xml:space="preserve"> responses via the CMR-R-153</w:t>
      </w:r>
      <w:r w:rsidR="00325A30">
        <w:t xml:space="preserve"> reporting instrument </w:t>
      </w:r>
      <w:r w:rsidRPr="00C00162">
        <w:t xml:space="preserve">using a CMS-hosted online information technology system called Medicaid Drug Program (MDP). </w:t>
      </w:r>
      <w:r w:rsidR="00241C29">
        <w:t xml:space="preserve">The DUR State Agency Contact form ensures system access to eligible state representatives. </w:t>
      </w:r>
      <w:r w:rsidRPr="00C00162">
        <w:t>To generate their annual reports, s</w:t>
      </w:r>
      <w:r w:rsidR="00241C29">
        <w:t>tates subm</w:t>
      </w:r>
      <w:r w:rsidRPr="00C00162" w:rsidR="00241C29">
        <w:t>it</w:t>
      </w:r>
      <w:r w:rsidR="00241C29">
        <w:t xml:space="preserve"> t</w:t>
      </w:r>
      <w:r w:rsidRPr="00C00162">
        <w:t xml:space="preserve">heir </w:t>
      </w:r>
      <w:r w:rsidR="00241C29">
        <w:t xml:space="preserve">responses to the FFS, </w:t>
      </w:r>
      <w:r w:rsidRPr="00C00162">
        <w:t>MCO</w:t>
      </w:r>
      <w:r w:rsidR="00241C29">
        <w:t xml:space="preserve"> (or MCO Abbreviated)</w:t>
      </w:r>
      <w:r w:rsidRPr="00C00162">
        <w:t xml:space="preserve"> </w:t>
      </w:r>
      <w:r w:rsidR="00241C29">
        <w:t xml:space="preserve">Reports </w:t>
      </w:r>
      <w:r w:rsidRPr="00C00162">
        <w:t xml:space="preserve">to the CMS hosted online MDP system. </w:t>
      </w:r>
    </w:p>
    <w:p w:rsidRPr="00C00162" w:rsidR="00C00162" w:rsidP="00C00162" w:rsidRDefault="00C00162" w14:paraId="2D1D1519" w14:textId="77777777">
      <w:pPr>
        <w:pStyle w:val="BodyText"/>
      </w:pPr>
    </w:p>
    <w:p w:rsidRPr="002111B9" w:rsidR="00C00162" w:rsidP="00C00162" w:rsidRDefault="00C00162" w14:paraId="4FBF3C3F" w14:textId="6CB5D653">
      <w:pPr>
        <w:pStyle w:val="BodyText"/>
        <w:numPr>
          <w:ilvl w:val="0"/>
          <w:numId w:val="4"/>
        </w:numPr>
      </w:pPr>
      <w:r w:rsidRPr="002111B9">
        <w:t>FFS Annual Report (Revised)</w:t>
      </w:r>
    </w:p>
    <w:p w:rsidRPr="002111B9" w:rsidR="00C00162" w:rsidP="00C00162" w:rsidRDefault="00C00162" w14:paraId="76771766" w14:textId="3F0A7FFC">
      <w:pPr>
        <w:pStyle w:val="BodyText"/>
        <w:numPr>
          <w:ilvl w:val="0"/>
          <w:numId w:val="4"/>
        </w:numPr>
      </w:pPr>
      <w:r w:rsidRPr="002111B9">
        <w:t>MCO Annual Report (Revised)</w:t>
      </w:r>
    </w:p>
    <w:p w:rsidRPr="002111B9" w:rsidR="00C00162" w:rsidP="00325A30" w:rsidRDefault="00325A30" w14:paraId="51C98E14" w14:textId="155AA671">
      <w:pPr>
        <w:pStyle w:val="BodyText"/>
        <w:numPr>
          <w:ilvl w:val="0"/>
          <w:numId w:val="4"/>
        </w:numPr>
      </w:pPr>
      <w:r w:rsidRPr="002111B9">
        <w:t>Abbreviated MCO Report (</w:t>
      </w:r>
      <w:r w:rsidRPr="002111B9" w:rsidR="00835BDD">
        <w:t>Revised</w:t>
      </w:r>
      <w:r w:rsidRPr="002111B9">
        <w:t>)</w:t>
      </w:r>
    </w:p>
    <w:p w:rsidRPr="002111B9" w:rsidR="002111B9" w:rsidP="00325A30" w:rsidRDefault="002111B9" w14:paraId="51AFF35F" w14:textId="180BA746">
      <w:pPr>
        <w:pStyle w:val="BodyText"/>
        <w:numPr>
          <w:ilvl w:val="0"/>
          <w:numId w:val="4"/>
        </w:numPr>
      </w:pPr>
      <w:r w:rsidRPr="002111B9">
        <w:t>DUR State Agency Contact form (No Changes)</w:t>
      </w:r>
    </w:p>
    <w:p w:rsidRPr="000A20DE" w:rsidR="009E30C7" w:rsidP="00560248" w:rsidRDefault="009E30C7" w14:paraId="20A97C40" w14:textId="77777777">
      <w:pPr>
        <w:pStyle w:val="BodyText"/>
      </w:pPr>
    </w:p>
    <w:p w:rsidRPr="000A20DE" w:rsidR="00D24433" w:rsidP="00526D63" w:rsidRDefault="002B5808" w14:paraId="214E6F0E" w14:textId="77777777">
      <w:pPr>
        <w:pStyle w:val="ListParagraph"/>
        <w:numPr>
          <w:ilvl w:val="0"/>
          <w:numId w:val="3"/>
        </w:numPr>
        <w:tabs>
          <w:tab w:val="left" w:pos="1283"/>
          <w:tab w:val="left" w:pos="1284"/>
        </w:tabs>
        <w:ind w:left="360"/>
        <w:rPr>
          <w:sz w:val="24"/>
          <w:szCs w:val="24"/>
        </w:rPr>
      </w:pPr>
      <w:r w:rsidRPr="000A20DE">
        <w:rPr>
          <w:sz w:val="24"/>
          <w:szCs w:val="24"/>
          <w:u w:val="single"/>
        </w:rPr>
        <w:t>Capital</w:t>
      </w:r>
      <w:r w:rsidRPr="000A20DE">
        <w:rPr>
          <w:spacing w:val="-3"/>
          <w:sz w:val="24"/>
          <w:szCs w:val="24"/>
          <w:u w:val="single"/>
        </w:rPr>
        <w:t xml:space="preserve"> </w:t>
      </w:r>
      <w:r w:rsidRPr="000A20DE">
        <w:rPr>
          <w:sz w:val="24"/>
          <w:szCs w:val="24"/>
          <w:u w:val="single"/>
        </w:rPr>
        <w:t>Costs</w:t>
      </w:r>
    </w:p>
    <w:p w:rsidRPr="000A20DE" w:rsidR="00D24433" w:rsidP="00560248" w:rsidRDefault="00D24433" w14:paraId="214E6F0F" w14:textId="77777777">
      <w:pPr>
        <w:pStyle w:val="BodyText"/>
      </w:pPr>
    </w:p>
    <w:p w:rsidRPr="000A20DE" w:rsidR="00D24433" w:rsidP="00560248" w:rsidRDefault="002B5808" w14:paraId="214E6F10" w14:textId="77777777">
      <w:pPr>
        <w:pStyle w:val="BodyText"/>
      </w:pPr>
      <w:r w:rsidRPr="000A20DE">
        <w:t>There are no capital costs.</w:t>
      </w:r>
    </w:p>
    <w:p w:rsidRPr="000A20DE" w:rsidR="00D24433" w:rsidP="00560248" w:rsidRDefault="00D24433" w14:paraId="214E6F11" w14:textId="77777777">
      <w:pPr>
        <w:pStyle w:val="BodyText"/>
      </w:pPr>
    </w:p>
    <w:p w:rsidRPr="000A20DE" w:rsidR="00D24433" w:rsidP="00526D63" w:rsidRDefault="002B5808" w14:paraId="214E6F12" w14:textId="77777777">
      <w:pPr>
        <w:pStyle w:val="ListParagraph"/>
        <w:numPr>
          <w:ilvl w:val="0"/>
          <w:numId w:val="3"/>
        </w:numPr>
        <w:tabs>
          <w:tab w:val="left" w:pos="1283"/>
          <w:tab w:val="left" w:pos="1284"/>
        </w:tabs>
        <w:ind w:left="360"/>
        <w:rPr>
          <w:sz w:val="24"/>
          <w:szCs w:val="24"/>
        </w:rPr>
      </w:pPr>
      <w:r w:rsidRPr="000A20DE">
        <w:rPr>
          <w:sz w:val="24"/>
          <w:szCs w:val="24"/>
          <w:u w:val="single"/>
        </w:rPr>
        <w:t>Cost to Federal</w:t>
      </w:r>
      <w:r w:rsidRPr="000A20DE">
        <w:rPr>
          <w:spacing w:val="-7"/>
          <w:sz w:val="24"/>
          <w:szCs w:val="24"/>
          <w:u w:val="single"/>
        </w:rPr>
        <w:t xml:space="preserve"> </w:t>
      </w:r>
      <w:r w:rsidRPr="000A20DE">
        <w:rPr>
          <w:sz w:val="24"/>
          <w:szCs w:val="24"/>
          <w:u w:val="single"/>
        </w:rPr>
        <w:t>Government</w:t>
      </w:r>
    </w:p>
    <w:p w:rsidRPr="000A20DE" w:rsidR="00D24433" w:rsidP="00560248" w:rsidRDefault="00D24433" w14:paraId="214E6F13" w14:textId="77777777">
      <w:pPr>
        <w:pStyle w:val="BodyText"/>
      </w:pPr>
    </w:p>
    <w:p w:rsidRPr="000A20DE" w:rsidR="00D24433" w:rsidP="00560248" w:rsidRDefault="002B5808" w14:paraId="214E6F14" w14:textId="2111486E">
      <w:pPr>
        <w:pStyle w:val="BodyText"/>
      </w:pPr>
      <w:r w:rsidRPr="000A20DE">
        <w:t xml:space="preserve">The federal government pays 50% of the states’ costs, which is </w:t>
      </w:r>
      <w:r w:rsidR="00C03EBC">
        <w:t>$</w:t>
      </w:r>
      <w:r w:rsidR="009A27F7">
        <w:t>2,041,</w:t>
      </w:r>
      <w:r w:rsidR="00835BDD">
        <w:t>045</w:t>
      </w:r>
      <w:r w:rsidRPr="00310AEB">
        <w:t>.</w:t>
      </w:r>
    </w:p>
    <w:p w:rsidRPr="000A20DE" w:rsidR="00D24433" w:rsidP="00560248" w:rsidRDefault="00D24433" w14:paraId="214E6F15" w14:textId="77777777">
      <w:pPr>
        <w:pStyle w:val="BodyText"/>
      </w:pPr>
    </w:p>
    <w:p w:rsidRPr="000A20DE" w:rsidR="00D24433" w:rsidP="00526D63" w:rsidRDefault="002B5808" w14:paraId="214E6F16" w14:textId="77777777">
      <w:pPr>
        <w:pStyle w:val="ListParagraph"/>
        <w:numPr>
          <w:ilvl w:val="0"/>
          <w:numId w:val="3"/>
        </w:numPr>
        <w:tabs>
          <w:tab w:val="left" w:pos="1280"/>
          <w:tab w:val="left" w:pos="1281"/>
        </w:tabs>
        <w:ind w:left="360"/>
        <w:rPr>
          <w:sz w:val="24"/>
          <w:szCs w:val="24"/>
        </w:rPr>
      </w:pPr>
      <w:bookmarkStart w:name="15.__Changes_in_Burden" w:id="18"/>
      <w:bookmarkEnd w:id="18"/>
      <w:r w:rsidRPr="000A20DE">
        <w:rPr>
          <w:sz w:val="24"/>
          <w:szCs w:val="24"/>
          <w:u w:val="single"/>
        </w:rPr>
        <w:t>Changes in</w:t>
      </w:r>
      <w:r w:rsidRPr="000A20DE">
        <w:rPr>
          <w:spacing w:val="-5"/>
          <w:sz w:val="24"/>
          <w:szCs w:val="24"/>
          <w:u w:val="single"/>
        </w:rPr>
        <w:t xml:space="preserve"> </w:t>
      </w:r>
      <w:r w:rsidRPr="000A20DE">
        <w:rPr>
          <w:sz w:val="24"/>
          <w:szCs w:val="24"/>
          <w:u w:val="single"/>
        </w:rPr>
        <w:t>Burden</w:t>
      </w:r>
    </w:p>
    <w:p w:rsidR="00D24433" w:rsidP="00560248" w:rsidRDefault="00D24433" w14:paraId="214E6F17" w14:textId="2E182332">
      <w:pPr>
        <w:pStyle w:val="BodyText"/>
      </w:pPr>
      <w:bookmarkStart w:name="_GoBack" w:id="19"/>
      <w:bookmarkEnd w:id="19"/>
    </w:p>
    <w:p w:rsidRPr="0022446D" w:rsidR="00554D45" w:rsidP="00554D45" w:rsidRDefault="00554D45" w14:paraId="7626241F" w14:textId="77777777">
      <w:pPr>
        <w:pStyle w:val="BodyText"/>
        <w:spacing w:line="249" w:lineRule="auto"/>
      </w:pPr>
      <w:r w:rsidRPr="00554D45">
        <w:t>In this 2021 collection of information request, we revised certain FFS, MCO, and Abbreviated MCO survey questions without making any changes to the survey burden.  While a few questions were added to the surveys to address GAO recommendations, aspects of the survey were simplified with grammar updates and formatting edits, resulting in a net burden change of zero.</w:t>
      </w:r>
    </w:p>
    <w:p w:rsidRPr="00617426" w:rsidR="00D24433" w:rsidP="00560248" w:rsidRDefault="00D24433" w14:paraId="214E6F1F" w14:textId="77777777">
      <w:pPr>
        <w:pStyle w:val="BodyText"/>
      </w:pPr>
    </w:p>
    <w:p w:rsidRPr="000A20DE" w:rsidR="00D24433" w:rsidP="00526D63" w:rsidRDefault="002B5808" w14:paraId="214E6F20" w14:textId="77777777">
      <w:pPr>
        <w:pStyle w:val="ListParagraph"/>
        <w:numPr>
          <w:ilvl w:val="0"/>
          <w:numId w:val="3"/>
        </w:numPr>
        <w:tabs>
          <w:tab w:val="left" w:pos="1440"/>
        </w:tabs>
        <w:ind w:left="360"/>
        <w:rPr>
          <w:sz w:val="24"/>
          <w:szCs w:val="24"/>
        </w:rPr>
      </w:pPr>
      <w:bookmarkStart w:name="16.__Publication_and_Tabulation_Dates" w:id="20"/>
      <w:bookmarkEnd w:id="20"/>
      <w:r w:rsidRPr="000A20DE">
        <w:rPr>
          <w:sz w:val="24"/>
          <w:szCs w:val="24"/>
          <w:u w:val="single"/>
        </w:rPr>
        <w:t>Publication and Tabulation</w:t>
      </w:r>
      <w:r w:rsidRPr="000A20DE">
        <w:rPr>
          <w:spacing w:val="-10"/>
          <w:sz w:val="24"/>
          <w:szCs w:val="24"/>
          <w:u w:val="single"/>
        </w:rPr>
        <w:t xml:space="preserve"> </w:t>
      </w:r>
      <w:r w:rsidRPr="000A20DE">
        <w:rPr>
          <w:sz w:val="24"/>
          <w:szCs w:val="24"/>
          <w:u w:val="single"/>
        </w:rPr>
        <w:t>Dates</w:t>
      </w:r>
    </w:p>
    <w:p w:rsidRPr="000A20DE" w:rsidR="00D24433" w:rsidP="00560248" w:rsidRDefault="00D24433" w14:paraId="214E6F21" w14:textId="77777777">
      <w:pPr>
        <w:pStyle w:val="BodyText"/>
      </w:pPr>
    </w:p>
    <w:p w:rsidRPr="000A20DE" w:rsidR="00D24433" w:rsidP="00560248" w:rsidRDefault="002B5808" w14:paraId="214E6F22" w14:textId="775B1FB0">
      <w:pPr>
        <w:pStyle w:val="BodyText"/>
      </w:pPr>
      <w:r w:rsidRPr="000A20DE">
        <w:t xml:space="preserve">CMS plans to post the </w:t>
      </w:r>
      <w:r w:rsidR="0031324C">
        <w:t>comparison/summary</w:t>
      </w:r>
      <w:r w:rsidRPr="000A20DE">
        <w:t xml:space="preserve"> on Medicaid.gov within six months from the submission due date.</w:t>
      </w:r>
    </w:p>
    <w:p w:rsidRPr="000A20DE" w:rsidR="00D24433" w:rsidP="00560248" w:rsidRDefault="00D24433" w14:paraId="214E6F23" w14:textId="77777777">
      <w:pPr>
        <w:pStyle w:val="BodyText"/>
      </w:pPr>
    </w:p>
    <w:p w:rsidRPr="000A20DE" w:rsidR="00D24433" w:rsidP="00526D63" w:rsidRDefault="002B5808" w14:paraId="214E6F24" w14:textId="7D7F9595">
      <w:pPr>
        <w:pStyle w:val="ListParagraph"/>
        <w:numPr>
          <w:ilvl w:val="0"/>
          <w:numId w:val="3"/>
        </w:numPr>
        <w:tabs>
          <w:tab w:val="left" w:pos="1440"/>
        </w:tabs>
        <w:ind w:left="360"/>
        <w:rPr>
          <w:sz w:val="24"/>
          <w:szCs w:val="24"/>
        </w:rPr>
      </w:pPr>
      <w:r w:rsidRPr="000A20DE">
        <w:rPr>
          <w:sz w:val="24"/>
          <w:szCs w:val="24"/>
          <w:u w:val="single"/>
        </w:rPr>
        <w:t>Expiration</w:t>
      </w:r>
      <w:r w:rsidRPr="000A20DE">
        <w:rPr>
          <w:spacing w:val="-5"/>
          <w:sz w:val="24"/>
          <w:szCs w:val="24"/>
          <w:u w:val="single"/>
        </w:rPr>
        <w:t xml:space="preserve"> </w:t>
      </w:r>
      <w:r w:rsidRPr="000A20DE">
        <w:rPr>
          <w:sz w:val="24"/>
          <w:szCs w:val="24"/>
          <w:u w:val="single"/>
        </w:rPr>
        <w:t>Date</w:t>
      </w:r>
    </w:p>
    <w:p w:rsidRPr="000A20DE" w:rsidR="00D24433" w:rsidP="00560248" w:rsidRDefault="00D24433" w14:paraId="214E6F25" w14:textId="77777777">
      <w:pPr>
        <w:pStyle w:val="BodyText"/>
      </w:pPr>
    </w:p>
    <w:p w:rsidRPr="000A20DE" w:rsidR="00D24433" w:rsidP="00560248" w:rsidRDefault="002B5808" w14:paraId="214E6F26" w14:textId="77777777">
      <w:pPr>
        <w:pStyle w:val="BodyText"/>
      </w:pPr>
      <w:r w:rsidRPr="000A20DE">
        <w:t>CMS is willing to display the expiration date for OMB approval.</w:t>
      </w:r>
    </w:p>
    <w:p w:rsidRPr="000A20DE" w:rsidR="000A20DE" w:rsidP="00560248" w:rsidRDefault="000A20DE" w14:paraId="214E6F27" w14:textId="77777777">
      <w:pPr>
        <w:pStyle w:val="BodyText"/>
      </w:pPr>
    </w:p>
    <w:p w:rsidRPr="0041327E" w:rsidR="00D24433" w:rsidP="00526D63" w:rsidRDefault="002B5808" w14:paraId="214E6F28" w14:textId="229A7209">
      <w:pPr>
        <w:pStyle w:val="ListParagraph"/>
        <w:numPr>
          <w:ilvl w:val="0"/>
          <w:numId w:val="3"/>
        </w:numPr>
        <w:ind w:left="360"/>
        <w:rPr>
          <w:sz w:val="24"/>
          <w:szCs w:val="24"/>
        </w:rPr>
      </w:pPr>
      <w:r w:rsidRPr="0041327E">
        <w:rPr>
          <w:sz w:val="24"/>
          <w:szCs w:val="24"/>
          <w:u w:val="single"/>
        </w:rPr>
        <w:t>Certification</w:t>
      </w:r>
      <w:r w:rsidRPr="0041327E">
        <w:rPr>
          <w:spacing w:val="-8"/>
          <w:sz w:val="24"/>
          <w:szCs w:val="24"/>
          <w:u w:val="single"/>
        </w:rPr>
        <w:t xml:space="preserve"> </w:t>
      </w:r>
      <w:r w:rsidRPr="0041327E">
        <w:rPr>
          <w:sz w:val="24"/>
          <w:szCs w:val="24"/>
          <w:u w:val="single"/>
        </w:rPr>
        <w:t>Statement</w:t>
      </w:r>
    </w:p>
    <w:p w:rsidRPr="000A20DE" w:rsidR="00D24433" w:rsidP="00560248" w:rsidRDefault="00D24433" w14:paraId="214E6F29" w14:textId="77777777">
      <w:pPr>
        <w:pStyle w:val="BodyText"/>
      </w:pPr>
    </w:p>
    <w:p w:rsidRPr="000A20DE" w:rsidR="00D24433" w:rsidP="00560248" w:rsidRDefault="002B5808" w14:paraId="214E6F2A" w14:textId="77777777">
      <w:pPr>
        <w:pStyle w:val="BodyText"/>
      </w:pPr>
      <w:r w:rsidRPr="000A20DE">
        <w:t>This submission does not contain exceptions to the certification statement.</w:t>
      </w:r>
    </w:p>
    <w:p w:rsidRPr="000A20DE" w:rsidR="00D24433" w:rsidP="00560248" w:rsidRDefault="00D24433" w14:paraId="214E6F2B" w14:textId="77777777">
      <w:pPr>
        <w:pStyle w:val="BodyText"/>
      </w:pPr>
    </w:p>
    <w:p w:rsidRPr="00F90562" w:rsidR="00D24433" w:rsidP="00560248" w:rsidRDefault="002B5808" w14:paraId="214E6F2C" w14:textId="77777777">
      <w:pPr>
        <w:pStyle w:val="Heading1"/>
        <w:tabs>
          <w:tab w:val="left" w:pos="963"/>
        </w:tabs>
        <w:ind w:left="0"/>
      </w:pPr>
      <w:bookmarkStart w:name="B.__Collection_of_Information_Employing_" w:id="21"/>
      <w:bookmarkEnd w:id="21"/>
      <w:r w:rsidRPr="00F90562">
        <w:t>B.</w:t>
      </w:r>
      <w:r w:rsidRPr="00F90562">
        <w:tab/>
        <w:t>Collection of Information Employing Statistical</w:t>
      </w:r>
      <w:r w:rsidRPr="00F90562">
        <w:rPr>
          <w:spacing w:val="-20"/>
        </w:rPr>
        <w:t xml:space="preserve"> </w:t>
      </w:r>
      <w:r w:rsidRPr="00F90562">
        <w:t>Methods</w:t>
      </w:r>
    </w:p>
    <w:p w:rsidRPr="000A20DE" w:rsidR="00D24433" w:rsidP="00560248" w:rsidRDefault="00D24433" w14:paraId="214E6F2D" w14:textId="77777777">
      <w:pPr>
        <w:pStyle w:val="BodyText"/>
      </w:pPr>
    </w:p>
    <w:p w:rsidR="00D24433" w:rsidP="00560248" w:rsidRDefault="002B5808" w14:paraId="214E6F2E" w14:textId="4FCF5705">
      <w:pPr>
        <w:pStyle w:val="BodyText"/>
      </w:pPr>
      <w:r w:rsidRPr="000A20DE">
        <w:t>The use of statistical methods does not apply to this collection of information.</w:t>
      </w:r>
    </w:p>
    <w:p w:rsidRPr="000A20DE" w:rsidR="00F90562" w:rsidRDefault="00F90562" w14:paraId="214E6F2F" w14:textId="77777777">
      <w:pPr>
        <w:pStyle w:val="BodyText"/>
        <w:ind w:left="109"/>
      </w:pPr>
    </w:p>
    <w:sectPr w:rsidRPr="000A20DE" w:rsidR="00F90562" w:rsidSect="00E31413">
      <w:type w:val="continuous"/>
      <w:pgSz w:w="12240" w:h="15840"/>
      <w:pgMar w:top="1440" w:right="1440" w:bottom="144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8BA12" w14:textId="77777777" w:rsidR="001A3E43" w:rsidRDefault="001A3E43">
      <w:r>
        <w:separator/>
      </w:r>
    </w:p>
  </w:endnote>
  <w:endnote w:type="continuationSeparator" w:id="0">
    <w:p w14:paraId="0C1D7F1A" w14:textId="77777777" w:rsidR="001A3E43" w:rsidRDefault="001A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E6F34" w14:textId="77777777" w:rsidR="00D24433" w:rsidRDefault="00F4571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14E6F35" wp14:editId="214E6F36">
              <wp:simplePos x="0" y="0"/>
              <wp:positionH relativeFrom="page">
                <wp:posOffset>3825875</wp:posOffset>
              </wp:positionH>
              <wp:positionV relativeFrom="page">
                <wp:posOffset>9239250</wp:posOffset>
              </wp:positionV>
              <wp:extent cx="1219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E6F37" w14:textId="5EC7E71E" w:rsidR="00D24433" w:rsidRDefault="002B5808">
                          <w:pPr>
                            <w:spacing w:line="245" w:lineRule="exact"/>
                            <w:ind w:left="40"/>
                            <w:rPr>
                              <w:rFonts w:ascii="Calibri"/>
                            </w:rPr>
                          </w:pPr>
                          <w:r>
                            <w:fldChar w:fldCharType="begin"/>
                          </w:r>
                          <w:r>
                            <w:rPr>
                              <w:rFonts w:ascii="Calibri"/>
                            </w:rPr>
                            <w:instrText xml:space="preserve"> PAGE </w:instrText>
                          </w:r>
                          <w:r>
                            <w:fldChar w:fldCharType="separate"/>
                          </w:r>
                          <w:r w:rsidR="005742E0">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E6F35" id="_x0000_t202" coordsize="21600,21600" o:spt="202" path="m,l,21600r21600,l21600,xe">
              <v:stroke joinstyle="miter"/>
              <v:path gradientshapeok="t" o:connecttype="rect"/>
            </v:shapetype>
            <v:shape id="Text Box 1" o:spid="_x0000_s1026" type="#_x0000_t202" style="position:absolute;margin-left:301.25pt;margin-top:727.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" filled="f" stroked="f">
              <v:textbox inset="0,0,0,0">
                <w:txbxContent>
                  <w:p w14:paraId="214E6F37" w14:textId="5EC7E71E" w:rsidR="00D24433" w:rsidRDefault="002B5808">
                    <w:pPr>
                      <w:spacing w:line="245" w:lineRule="exact"/>
                      <w:ind w:left="40"/>
                      <w:rPr>
                        <w:rFonts w:ascii="Calibri"/>
                      </w:rPr>
                    </w:pPr>
                    <w:r>
                      <w:fldChar w:fldCharType="begin"/>
                    </w:r>
                    <w:r>
                      <w:rPr>
                        <w:rFonts w:ascii="Calibri"/>
                      </w:rPr>
                      <w:instrText xml:space="preserve"> PAGE </w:instrText>
                    </w:r>
                    <w:r>
                      <w:fldChar w:fldCharType="separate"/>
                    </w:r>
                    <w:r w:rsidR="005742E0">
                      <w:rPr>
                        <w:rFonts w:ascii="Calibri"/>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3663D" w14:textId="77777777" w:rsidR="001A3E43" w:rsidRDefault="001A3E43">
      <w:r>
        <w:separator/>
      </w:r>
    </w:p>
  </w:footnote>
  <w:footnote w:type="continuationSeparator" w:id="0">
    <w:p w14:paraId="465FD7B0" w14:textId="77777777" w:rsidR="001A3E43" w:rsidRDefault="001A3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793"/>
    <w:multiLevelType w:val="hybridMultilevel"/>
    <w:tmpl w:val="F0AEE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C4493"/>
    <w:multiLevelType w:val="hybridMultilevel"/>
    <w:tmpl w:val="00285AE6"/>
    <w:lvl w:ilvl="0" w:tplc="B97A2024">
      <w:numFmt w:val="bullet"/>
      <w:lvlText w:val="•"/>
      <w:lvlJc w:val="left"/>
      <w:pPr>
        <w:ind w:left="556" w:hanging="432"/>
      </w:pPr>
      <w:rPr>
        <w:rFonts w:ascii="Arial" w:eastAsia="Arial" w:hAnsi="Arial" w:cs="Arial" w:hint="default"/>
        <w:w w:val="99"/>
        <w:sz w:val="24"/>
        <w:szCs w:val="24"/>
      </w:rPr>
    </w:lvl>
    <w:lvl w:ilvl="1" w:tplc="7AA46732">
      <w:numFmt w:val="bullet"/>
      <w:lvlText w:val="•"/>
      <w:lvlJc w:val="left"/>
      <w:pPr>
        <w:ind w:left="1514" w:hanging="432"/>
      </w:pPr>
      <w:rPr>
        <w:rFonts w:hint="default"/>
      </w:rPr>
    </w:lvl>
    <w:lvl w:ilvl="2" w:tplc="6E36862A">
      <w:numFmt w:val="bullet"/>
      <w:lvlText w:val="•"/>
      <w:lvlJc w:val="left"/>
      <w:pPr>
        <w:ind w:left="2468" w:hanging="432"/>
      </w:pPr>
      <w:rPr>
        <w:rFonts w:hint="default"/>
      </w:rPr>
    </w:lvl>
    <w:lvl w:ilvl="3" w:tplc="80B41E2C">
      <w:numFmt w:val="bullet"/>
      <w:lvlText w:val="•"/>
      <w:lvlJc w:val="left"/>
      <w:pPr>
        <w:ind w:left="3422" w:hanging="432"/>
      </w:pPr>
      <w:rPr>
        <w:rFonts w:hint="default"/>
      </w:rPr>
    </w:lvl>
    <w:lvl w:ilvl="4" w:tplc="FBCA366C">
      <w:numFmt w:val="bullet"/>
      <w:lvlText w:val="•"/>
      <w:lvlJc w:val="left"/>
      <w:pPr>
        <w:ind w:left="4376" w:hanging="432"/>
      </w:pPr>
      <w:rPr>
        <w:rFonts w:hint="default"/>
      </w:rPr>
    </w:lvl>
    <w:lvl w:ilvl="5" w:tplc="48C05F30">
      <w:numFmt w:val="bullet"/>
      <w:lvlText w:val="•"/>
      <w:lvlJc w:val="left"/>
      <w:pPr>
        <w:ind w:left="5330" w:hanging="432"/>
      </w:pPr>
      <w:rPr>
        <w:rFonts w:hint="default"/>
      </w:rPr>
    </w:lvl>
    <w:lvl w:ilvl="6" w:tplc="3BD4A1B6">
      <w:numFmt w:val="bullet"/>
      <w:lvlText w:val="•"/>
      <w:lvlJc w:val="left"/>
      <w:pPr>
        <w:ind w:left="6284" w:hanging="432"/>
      </w:pPr>
      <w:rPr>
        <w:rFonts w:hint="default"/>
      </w:rPr>
    </w:lvl>
    <w:lvl w:ilvl="7" w:tplc="63285F30">
      <w:numFmt w:val="bullet"/>
      <w:lvlText w:val="•"/>
      <w:lvlJc w:val="left"/>
      <w:pPr>
        <w:ind w:left="7238" w:hanging="432"/>
      </w:pPr>
      <w:rPr>
        <w:rFonts w:hint="default"/>
      </w:rPr>
    </w:lvl>
    <w:lvl w:ilvl="8" w:tplc="20BE961C">
      <w:numFmt w:val="bullet"/>
      <w:lvlText w:val="•"/>
      <w:lvlJc w:val="left"/>
      <w:pPr>
        <w:ind w:left="8192" w:hanging="432"/>
      </w:pPr>
      <w:rPr>
        <w:rFonts w:hint="default"/>
      </w:rPr>
    </w:lvl>
  </w:abstractNum>
  <w:abstractNum w:abstractNumId="2" w15:restartNumberingAfterBreak="0">
    <w:nsid w:val="2EFE7A4F"/>
    <w:multiLevelType w:val="multilevel"/>
    <w:tmpl w:val="59C41928"/>
    <w:lvl w:ilvl="0">
      <w:start w:val="1"/>
      <w:numFmt w:val="decimal"/>
      <w:lvlText w:val="%1."/>
      <w:lvlJc w:val="left"/>
      <w:pPr>
        <w:ind w:left="1621" w:hanging="1512"/>
      </w:pPr>
      <w:rPr>
        <w:rFonts w:ascii="Times New Roman" w:eastAsia="Times New Roman" w:hAnsi="Times New Roman" w:cs="Times New Roman" w:hint="default"/>
        <w:spacing w:val="-3"/>
        <w:w w:val="99"/>
        <w:sz w:val="24"/>
        <w:szCs w:val="24"/>
      </w:rPr>
    </w:lvl>
    <w:lvl w:ilvl="1">
      <w:start w:val="1"/>
      <w:numFmt w:val="decimal"/>
      <w:lvlText w:val="%1.%2"/>
      <w:lvlJc w:val="left"/>
      <w:pPr>
        <w:ind w:left="592" w:hanging="483"/>
      </w:pPr>
      <w:rPr>
        <w:rFonts w:hint="default"/>
        <w:i/>
        <w:w w:val="100"/>
      </w:rPr>
    </w:lvl>
    <w:lvl w:ilvl="2">
      <w:numFmt w:val="bullet"/>
      <w:lvlText w:val="•"/>
      <w:lvlJc w:val="left"/>
      <w:pPr>
        <w:ind w:left="2566" w:hanging="483"/>
      </w:pPr>
      <w:rPr>
        <w:rFonts w:hint="default"/>
      </w:rPr>
    </w:lvl>
    <w:lvl w:ilvl="3">
      <w:numFmt w:val="bullet"/>
      <w:lvlText w:val="•"/>
      <w:lvlJc w:val="left"/>
      <w:pPr>
        <w:ind w:left="3513" w:hanging="483"/>
      </w:pPr>
      <w:rPr>
        <w:rFonts w:hint="default"/>
      </w:rPr>
    </w:lvl>
    <w:lvl w:ilvl="4">
      <w:numFmt w:val="bullet"/>
      <w:lvlText w:val="•"/>
      <w:lvlJc w:val="left"/>
      <w:pPr>
        <w:ind w:left="4460" w:hanging="483"/>
      </w:pPr>
      <w:rPr>
        <w:rFonts w:hint="default"/>
      </w:rPr>
    </w:lvl>
    <w:lvl w:ilvl="5">
      <w:numFmt w:val="bullet"/>
      <w:lvlText w:val="•"/>
      <w:lvlJc w:val="left"/>
      <w:pPr>
        <w:ind w:left="5406" w:hanging="483"/>
      </w:pPr>
      <w:rPr>
        <w:rFonts w:hint="default"/>
      </w:rPr>
    </w:lvl>
    <w:lvl w:ilvl="6">
      <w:numFmt w:val="bullet"/>
      <w:lvlText w:val="•"/>
      <w:lvlJc w:val="left"/>
      <w:pPr>
        <w:ind w:left="6353" w:hanging="483"/>
      </w:pPr>
      <w:rPr>
        <w:rFonts w:hint="default"/>
      </w:rPr>
    </w:lvl>
    <w:lvl w:ilvl="7">
      <w:numFmt w:val="bullet"/>
      <w:lvlText w:val="•"/>
      <w:lvlJc w:val="left"/>
      <w:pPr>
        <w:ind w:left="7300" w:hanging="483"/>
      </w:pPr>
      <w:rPr>
        <w:rFonts w:hint="default"/>
      </w:rPr>
    </w:lvl>
    <w:lvl w:ilvl="8">
      <w:numFmt w:val="bullet"/>
      <w:lvlText w:val="•"/>
      <w:lvlJc w:val="left"/>
      <w:pPr>
        <w:ind w:left="8246" w:hanging="483"/>
      </w:pPr>
      <w:rPr>
        <w:rFonts w:hint="default"/>
      </w:rPr>
    </w:lvl>
  </w:abstractNum>
  <w:abstractNum w:abstractNumId="3" w15:restartNumberingAfterBreak="0">
    <w:nsid w:val="4ED1622E"/>
    <w:multiLevelType w:val="hybridMultilevel"/>
    <w:tmpl w:val="B0B00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9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433"/>
    <w:rsid w:val="0000087D"/>
    <w:rsid w:val="00014661"/>
    <w:rsid w:val="000418B9"/>
    <w:rsid w:val="00064097"/>
    <w:rsid w:val="00070222"/>
    <w:rsid w:val="00072D91"/>
    <w:rsid w:val="0008035F"/>
    <w:rsid w:val="000812AC"/>
    <w:rsid w:val="000A20DE"/>
    <w:rsid w:val="000B0A58"/>
    <w:rsid w:val="000B43CA"/>
    <w:rsid w:val="000B5467"/>
    <w:rsid w:val="000C4728"/>
    <w:rsid w:val="000C669B"/>
    <w:rsid w:val="000D0370"/>
    <w:rsid w:val="001060FC"/>
    <w:rsid w:val="00111869"/>
    <w:rsid w:val="001247A3"/>
    <w:rsid w:val="00163500"/>
    <w:rsid w:val="00163B59"/>
    <w:rsid w:val="00170D04"/>
    <w:rsid w:val="00183783"/>
    <w:rsid w:val="00187BD1"/>
    <w:rsid w:val="00190D89"/>
    <w:rsid w:val="00191D2E"/>
    <w:rsid w:val="001A3E43"/>
    <w:rsid w:val="001C4D99"/>
    <w:rsid w:val="001D0A7B"/>
    <w:rsid w:val="001D6D10"/>
    <w:rsid w:val="001E3D35"/>
    <w:rsid w:val="001F159F"/>
    <w:rsid w:val="0020045F"/>
    <w:rsid w:val="002063F7"/>
    <w:rsid w:val="002111B9"/>
    <w:rsid w:val="00217E3B"/>
    <w:rsid w:val="002217C2"/>
    <w:rsid w:val="0022446D"/>
    <w:rsid w:val="0023084B"/>
    <w:rsid w:val="00241C29"/>
    <w:rsid w:val="002467FB"/>
    <w:rsid w:val="0025419E"/>
    <w:rsid w:val="002550D9"/>
    <w:rsid w:val="00262F18"/>
    <w:rsid w:val="00270E46"/>
    <w:rsid w:val="00282049"/>
    <w:rsid w:val="002B5808"/>
    <w:rsid w:val="002F224A"/>
    <w:rsid w:val="00306199"/>
    <w:rsid w:val="00310AEB"/>
    <w:rsid w:val="0031324C"/>
    <w:rsid w:val="003151EF"/>
    <w:rsid w:val="00325A30"/>
    <w:rsid w:val="00366FFB"/>
    <w:rsid w:val="00384797"/>
    <w:rsid w:val="00386977"/>
    <w:rsid w:val="003876CD"/>
    <w:rsid w:val="003A310B"/>
    <w:rsid w:val="003A4A24"/>
    <w:rsid w:val="003C00EE"/>
    <w:rsid w:val="003D4D8E"/>
    <w:rsid w:val="003E23C8"/>
    <w:rsid w:val="003E7CBB"/>
    <w:rsid w:val="0040755C"/>
    <w:rsid w:val="0041327E"/>
    <w:rsid w:val="0042753F"/>
    <w:rsid w:val="0045102E"/>
    <w:rsid w:val="00454A5E"/>
    <w:rsid w:val="00457710"/>
    <w:rsid w:val="00461004"/>
    <w:rsid w:val="00461D1C"/>
    <w:rsid w:val="0046252D"/>
    <w:rsid w:val="004826E8"/>
    <w:rsid w:val="004905ED"/>
    <w:rsid w:val="004B4AA4"/>
    <w:rsid w:val="004C68CB"/>
    <w:rsid w:val="004D4239"/>
    <w:rsid w:val="004E4294"/>
    <w:rsid w:val="004F558D"/>
    <w:rsid w:val="004F66EE"/>
    <w:rsid w:val="0052043B"/>
    <w:rsid w:val="005237F3"/>
    <w:rsid w:val="00523C49"/>
    <w:rsid w:val="00526D63"/>
    <w:rsid w:val="00535F81"/>
    <w:rsid w:val="005400E6"/>
    <w:rsid w:val="0054721F"/>
    <w:rsid w:val="00547704"/>
    <w:rsid w:val="005500A2"/>
    <w:rsid w:val="00554D45"/>
    <w:rsid w:val="00560248"/>
    <w:rsid w:val="00565326"/>
    <w:rsid w:val="005742E0"/>
    <w:rsid w:val="00580CC2"/>
    <w:rsid w:val="005D0A10"/>
    <w:rsid w:val="005D2126"/>
    <w:rsid w:val="00617426"/>
    <w:rsid w:val="00636C18"/>
    <w:rsid w:val="00637EAD"/>
    <w:rsid w:val="006428AD"/>
    <w:rsid w:val="00643A4B"/>
    <w:rsid w:val="00646631"/>
    <w:rsid w:val="00646E82"/>
    <w:rsid w:val="00653F68"/>
    <w:rsid w:val="006737FE"/>
    <w:rsid w:val="00673C7F"/>
    <w:rsid w:val="006977F0"/>
    <w:rsid w:val="006A480C"/>
    <w:rsid w:val="006A7040"/>
    <w:rsid w:val="006B42FC"/>
    <w:rsid w:val="006C64D3"/>
    <w:rsid w:val="006D77AC"/>
    <w:rsid w:val="006E0E32"/>
    <w:rsid w:val="006E4A82"/>
    <w:rsid w:val="006E564E"/>
    <w:rsid w:val="006F72CF"/>
    <w:rsid w:val="00704245"/>
    <w:rsid w:val="0070626A"/>
    <w:rsid w:val="00722F58"/>
    <w:rsid w:val="00733A48"/>
    <w:rsid w:val="00734E34"/>
    <w:rsid w:val="007626CE"/>
    <w:rsid w:val="00766D6F"/>
    <w:rsid w:val="00772B63"/>
    <w:rsid w:val="0078715E"/>
    <w:rsid w:val="0079270E"/>
    <w:rsid w:val="007A45AF"/>
    <w:rsid w:val="007A7F78"/>
    <w:rsid w:val="007B3A52"/>
    <w:rsid w:val="007D1FDE"/>
    <w:rsid w:val="007D4CAB"/>
    <w:rsid w:val="007D5DC6"/>
    <w:rsid w:val="00812479"/>
    <w:rsid w:val="00831C37"/>
    <w:rsid w:val="00835BDD"/>
    <w:rsid w:val="00846D08"/>
    <w:rsid w:val="00851C39"/>
    <w:rsid w:val="00865E43"/>
    <w:rsid w:val="00872BA1"/>
    <w:rsid w:val="0089463E"/>
    <w:rsid w:val="008A02D5"/>
    <w:rsid w:val="008A34CF"/>
    <w:rsid w:val="008A5F11"/>
    <w:rsid w:val="008B10BD"/>
    <w:rsid w:val="008B3D10"/>
    <w:rsid w:val="008B6D27"/>
    <w:rsid w:val="008C007E"/>
    <w:rsid w:val="008E2670"/>
    <w:rsid w:val="008E4846"/>
    <w:rsid w:val="008F0CE5"/>
    <w:rsid w:val="00913E21"/>
    <w:rsid w:val="009230BF"/>
    <w:rsid w:val="00951EAD"/>
    <w:rsid w:val="00955B1E"/>
    <w:rsid w:val="00955C53"/>
    <w:rsid w:val="009605B9"/>
    <w:rsid w:val="00962FEB"/>
    <w:rsid w:val="009751A2"/>
    <w:rsid w:val="00990FEB"/>
    <w:rsid w:val="009945DA"/>
    <w:rsid w:val="009A0735"/>
    <w:rsid w:val="009A27F7"/>
    <w:rsid w:val="009A2D79"/>
    <w:rsid w:val="009A3578"/>
    <w:rsid w:val="009B7CC3"/>
    <w:rsid w:val="009E2730"/>
    <w:rsid w:val="009E30C7"/>
    <w:rsid w:val="009F09FF"/>
    <w:rsid w:val="009F3A90"/>
    <w:rsid w:val="009F5A83"/>
    <w:rsid w:val="009F7F27"/>
    <w:rsid w:val="00A20167"/>
    <w:rsid w:val="00A32F2C"/>
    <w:rsid w:val="00A351FE"/>
    <w:rsid w:val="00A44C2C"/>
    <w:rsid w:val="00A538C2"/>
    <w:rsid w:val="00A573AD"/>
    <w:rsid w:val="00A64AD6"/>
    <w:rsid w:val="00A77176"/>
    <w:rsid w:val="00AA368B"/>
    <w:rsid w:val="00AC397D"/>
    <w:rsid w:val="00AD47B3"/>
    <w:rsid w:val="00AE432F"/>
    <w:rsid w:val="00B07038"/>
    <w:rsid w:val="00B1044A"/>
    <w:rsid w:val="00B30A40"/>
    <w:rsid w:val="00B334D3"/>
    <w:rsid w:val="00B37FED"/>
    <w:rsid w:val="00B51195"/>
    <w:rsid w:val="00B61A63"/>
    <w:rsid w:val="00B635C4"/>
    <w:rsid w:val="00B72734"/>
    <w:rsid w:val="00B73012"/>
    <w:rsid w:val="00B77C8F"/>
    <w:rsid w:val="00BA3C68"/>
    <w:rsid w:val="00BA597A"/>
    <w:rsid w:val="00BA5EDA"/>
    <w:rsid w:val="00BB0A4C"/>
    <w:rsid w:val="00BB1040"/>
    <w:rsid w:val="00BB2327"/>
    <w:rsid w:val="00BD2DA0"/>
    <w:rsid w:val="00BF2150"/>
    <w:rsid w:val="00C00162"/>
    <w:rsid w:val="00C03EBC"/>
    <w:rsid w:val="00C21909"/>
    <w:rsid w:val="00C271E0"/>
    <w:rsid w:val="00C435CC"/>
    <w:rsid w:val="00C5617F"/>
    <w:rsid w:val="00C56FB7"/>
    <w:rsid w:val="00C74BC0"/>
    <w:rsid w:val="00C80C1D"/>
    <w:rsid w:val="00C82DBD"/>
    <w:rsid w:val="00C83794"/>
    <w:rsid w:val="00C9478C"/>
    <w:rsid w:val="00CA1F58"/>
    <w:rsid w:val="00CA78D4"/>
    <w:rsid w:val="00CB657D"/>
    <w:rsid w:val="00CC1FB0"/>
    <w:rsid w:val="00CD6E30"/>
    <w:rsid w:val="00CE28CA"/>
    <w:rsid w:val="00CE4F2E"/>
    <w:rsid w:val="00CF4B82"/>
    <w:rsid w:val="00D033D7"/>
    <w:rsid w:val="00D24433"/>
    <w:rsid w:val="00D3389E"/>
    <w:rsid w:val="00D429AD"/>
    <w:rsid w:val="00D60036"/>
    <w:rsid w:val="00D64377"/>
    <w:rsid w:val="00D96892"/>
    <w:rsid w:val="00DA2FB2"/>
    <w:rsid w:val="00DA4614"/>
    <w:rsid w:val="00DB0014"/>
    <w:rsid w:val="00DD3F0A"/>
    <w:rsid w:val="00DD4B5B"/>
    <w:rsid w:val="00DF575F"/>
    <w:rsid w:val="00E041FC"/>
    <w:rsid w:val="00E207A1"/>
    <w:rsid w:val="00E25682"/>
    <w:rsid w:val="00E31413"/>
    <w:rsid w:val="00E31A25"/>
    <w:rsid w:val="00E40556"/>
    <w:rsid w:val="00E650F6"/>
    <w:rsid w:val="00E65F59"/>
    <w:rsid w:val="00E723CD"/>
    <w:rsid w:val="00E93975"/>
    <w:rsid w:val="00E93D7F"/>
    <w:rsid w:val="00EA30C5"/>
    <w:rsid w:val="00EB68FC"/>
    <w:rsid w:val="00EC5448"/>
    <w:rsid w:val="00EC5813"/>
    <w:rsid w:val="00ED3391"/>
    <w:rsid w:val="00ED7FFA"/>
    <w:rsid w:val="00EF3FF1"/>
    <w:rsid w:val="00F10A6B"/>
    <w:rsid w:val="00F216FB"/>
    <w:rsid w:val="00F24316"/>
    <w:rsid w:val="00F249DA"/>
    <w:rsid w:val="00F27A26"/>
    <w:rsid w:val="00F320F8"/>
    <w:rsid w:val="00F362E1"/>
    <w:rsid w:val="00F3674A"/>
    <w:rsid w:val="00F42307"/>
    <w:rsid w:val="00F45717"/>
    <w:rsid w:val="00F53025"/>
    <w:rsid w:val="00F572A4"/>
    <w:rsid w:val="00F5781B"/>
    <w:rsid w:val="00F720D4"/>
    <w:rsid w:val="00F872C3"/>
    <w:rsid w:val="00F90562"/>
    <w:rsid w:val="00F90C8D"/>
    <w:rsid w:val="00FA545E"/>
    <w:rsid w:val="00FB7632"/>
    <w:rsid w:val="00FB77F2"/>
    <w:rsid w:val="00FC1CE9"/>
    <w:rsid w:val="00FE5221"/>
    <w:rsid w:val="00FE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4E6E26"/>
  <w15:docId w15:val="{F73D4B67-1681-4D3C-B0CB-0CD40F97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6" w:hanging="432"/>
    </w:pPr>
  </w:style>
  <w:style w:type="paragraph" w:customStyle="1" w:styleId="TableParagraph">
    <w:name w:val="Table Paragraph"/>
    <w:basedOn w:val="Normal"/>
    <w:uiPriority w:val="1"/>
    <w:qFormat/>
    <w:pPr>
      <w:spacing w:line="202" w:lineRule="exact"/>
      <w:ind w:left="103"/>
    </w:pPr>
  </w:style>
  <w:style w:type="paragraph" w:styleId="BalloonText">
    <w:name w:val="Balloon Text"/>
    <w:basedOn w:val="Normal"/>
    <w:link w:val="BalloonTextChar"/>
    <w:uiPriority w:val="99"/>
    <w:semiHidden/>
    <w:unhideWhenUsed/>
    <w:rsid w:val="00070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22"/>
    <w:rPr>
      <w:rFonts w:ascii="Segoe UI" w:eastAsia="Times New Roman" w:hAnsi="Segoe UI" w:cs="Segoe UI"/>
      <w:sz w:val="18"/>
      <w:szCs w:val="18"/>
    </w:rPr>
  </w:style>
  <w:style w:type="character" w:styleId="Hyperlink">
    <w:name w:val="Hyperlink"/>
    <w:basedOn w:val="DefaultParagraphFont"/>
    <w:uiPriority w:val="99"/>
    <w:unhideWhenUsed/>
    <w:rsid w:val="009A3578"/>
    <w:rPr>
      <w:color w:val="0000FF" w:themeColor="hyperlink"/>
      <w:u w:val="single"/>
    </w:rPr>
  </w:style>
  <w:style w:type="paragraph" w:styleId="NoSpacing">
    <w:name w:val="No Spacing"/>
    <w:uiPriority w:val="1"/>
    <w:qFormat/>
    <w:rsid w:val="00072D9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12479"/>
    <w:rPr>
      <w:sz w:val="16"/>
      <w:szCs w:val="16"/>
    </w:rPr>
  </w:style>
  <w:style w:type="paragraph" w:styleId="CommentText">
    <w:name w:val="annotation text"/>
    <w:basedOn w:val="Normal"/>
    <w:link w:val="CommentTextChar"/>
    <w:uiPriority w:val="99"/>
    <w:semiHidden/>
    <w:unhideWhenUsed/>
    <w:rsid w:val="00812479"/>
    <w:rPr>
      <w:sz w:val="20"/>
      <w:szCs w:val="20"/>
    </w:rPr>
  </w:style>
  <w:style w:type="character" w:customStyle="1" w:styleId="CommentTextChar">
    <w:name w:val="Comment Text Char"/>
    <w:basedOn w:val="DefaultParagraphFont"/>
    <w:link w:val="CommentText"/>
    <w:uiPriority w:val="99"/>
    <w:semiHidden/>
    <w:rsid w:val="0081247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479"/>
    <w:rPr>
      <w:b/>
      <w:bCs/>
    </w:rPr>
  </w:style>
  <w:style w:type="character" w:customStyle="1" w:styleId="CommentSubjectChar">
    <w:name w:val="Comment Subject Char"/>
    <w:basedOn w:val="CommentTextChar"/>
    <w:link w:val="CommentSubject"/>
    <w:uiPriority w:val="99"/>
    <w:semiHidden/>
    <w:rsid w:val="00812479"/>
    <w:rPr>
      <w:rFonts w:ascii="Times New Roman" w:eastAsia="Times New Roman" w:hAnsi="Times New Roman" w:cs="Times New Roman"/>
      <w:b/>
      <w:bCs/>
      <w:sz w:val="20"/>
      <w:szCs w:val="20"/>
    </w:rPr>
  </w:style>
  <w:style w:type="paragraph" w:styleId="Revision">
    <w:name w:val="Revision"/>
    <w:hidden/>
    <w:uiPriority w:val="99"/>
    <w:semiHidden/>
    <w:rsid w:val="006B42F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908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bls.gov/oes/current/oes_nat.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144ea41b-304c-4c03-99c4-debb02094f92">CMCS-1569101508-2313</_dlc_DocId>
    <_dlc_DocIdUrl xmlns="144ea41b-304c-4c03-99c4-debb02094f92">
      <Url>https://share.cms.gov/center/CMCS/DEHPG/DP/_layouts/15/DocIdRedir.aspx?ID=CMCS-1569101508-2313</Url>
      <Description>CMCS-1569101508-2313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9CCCF076F4D74194563B939E265CA3" ma:contentTypeVersion="21" ma:contentTypeDescription="Create a new document." ma:contentTypeScope="" ma:versionID="c2cea0484b5ee624b966820c8d294939">
  <xsd:schema xmlns:xsd="http://www.w3.org/2001/XMLSchema" xmlns:xs="http://www.w3.org/2001/XMLSchema" xmlns:p="http://schemas.microsoft.com/office/2006/metadata/properties" xmlns:ns2="199dd2b8-ca26-45b8-b8a1-0680002ee565" xmlns:ns3="144ea41b-304c-4c03-99c4-debb02094f92" targetNamespace="http://schemas.microsoft.com/office/2006/metadata/properties" ma:root="true" ma:fieldsID="6b9e40882793bab760f790205980d5ac" ns2:_="" ns3:_="">
    <xsd:import namespace="199dd2b8-ca26-45b8-b8a1-0680002ee565"/>
    <xsd:import namespace="144ea41b-304c-4c03-99c4-debb02094f92"/>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A2824-7C78-4EB6-BA04-8E75ABAA1868}">
  <ds:schemaRefs>
    <ds:schemaRef ds:uri="http://schemas.microsoft.com/sharepoint/v3/contenttype/forms"/>
  </ds:schemaRefs>
</ds:datastoreItem>
</file>

<file path=customXml/itemProps2.xml><?xml version="1.0" encoding="utf-8"?>
<ds:datastoreItem xmlns:ds="http://schemas.openxmlformats.org/officeDocument/2006/customXml" ds:itemID="{0BF3FA84-E36C-45BC-99B7-0C70936487CD}">
  <ds:schemaRefs>
    <ds:schemaRef ds:uri="Microsoft.SharePoint.Taxonomy.ContentTypeSync"/>
  </ds:schemaRefs>
</ds:datastoreItem>
</file>

<file path=customXml/itemProps3.xml><?xml version="1.0" encoding="utf-8"?>
<ds:datastoreItem xmlns:ds="http://schemas.openxmlformats.org/officeDocument/2006/customXml" ds:itemID="{5C5C2746-726A-4751-9251-9644299495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4ea41b-304c-4c03-99c4-debb02094f92"/>
    <ds:schemaRef ds:uri="199dd2b8-ca26-45b8-b8a1-0680002ee565"/>
    <ds:schemaRef ds:uri="http://www.w3.org/XML/1998/namespace"/>
    <ds:schemaRef ds:uri="http://purl.org/dc/dcmitype/"/>
  </ds:schemaRefs>
</ds:datastoreItem>
</file>

<file path=customXml/itemProps4.xml><?xml version="1.0" encoding="utf-8"?>
<ds:datastoreItem xmlns:ds="http://schemas.openxmlformats.org/officeDocument/2006/customXml" ds:itemID="{0854AFC0-C840-466D-8AF5-82202FEBC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dd2b8-ca26-45b8-b8a1-0680002ee565"/>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0E73F3-0AE2-431E-9B8E-3B0592CE830C}">
  <ds:schemaRefs>
    <ds:schemaRef ds:uri="http://schemas.microsoft.com/sharepoint/events"/>
  </ds:schemaRefs>
</ds:datastoreItem>
</file>

<file path=customXml/itemProps6.xml><?xml version="1.0" encoding="utf-8"?>
<ds:datastoreItem xmlns:ds="http://schemas.openxmlformats.org/officeDocument/2006/customXml" ds:itemID="{AA77E08E-AD6F-4048-BB6C-F1127EED8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Pages>
  <Words>2476</Words>
  <Characters>13426</Characters>
  <Application>Microsoft Office Word</Application>
  <DocSecurity>0</DocSecurity>
  <Lines>231</Lines>
  <Paragraphs>75</Paragraphs>
  <ScaleCrop>false</ScaleCrop>
  <HeadingPairs>
    <vt:vector size="2" baseType="variant">
      <vt:variant>
        <vt:lpstr>Title</vt:lpstr>
      </vt:variant>
      <vt:variant>
        <vt:i4>1</vt:i4>
      </vt:variant>
    </vt:vector>
  </HeadingPairs>
  <TitlesOfParts>
    <vt:vector size="1" baseType="lpstr">
      <vt:lpstr>DUR_PRA_CMS_R_153</vt:lpstr>
    </vt:vector>
  </TitlesOfParts>
  <Company>CMS</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DUR_PRA_CMS_R_153</dc:title>
  <dc:creator>cms</dc:creator>
  <cp:lastModifiedBy>Mitch Bryman</cp:lastModifiedBy>
  <cp:revision>46</cp:revision>
  <dcterms:created xsi:type="dcterms:W3CDTF">2021-09-24T15:52:00Z</dcterms:created>
  <dcterms:modified xsi:type="dcterms:W3CDTF">2021-12-21T15:03:00Z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Acrobat PDFMaker 15 for Word</vt:lpwstr>
  </property>
  <property fmtid="{D5CDD505-2E9C-101B-9397-08002B2CF9AE}" pid="4" name="LastSaved">
    <vt:filetime>2018-09-11T00:00:00Z</vt:filetime>
  </property>
  <property fmtid="{D5CDD505-2E9C-101B-9397-08002B2CF9AE}" pid="5" name="_NewReviewCycle">
    <vt:lpwstr/>
  </property>
  <property fmtid="{D5CDD505-2E9C-101B-9397-08002B2CF9AE}" pid="6" name="ContentTypeId">
    <vt:lpwstr>0x010100329CCCF076F4D74194563B939E265CA3</vt:lpwstr>
  </property>
  <property fmtid="{D5CDD505-2E9C-101B-9397-08002B2CF9AE}" pid="7" name="_dlc_DocIdItemGuid">
    <vt:lpwstr>b2424cbc-3659-4982-bbfd-f7abbb4b5fa9</vt:lpwstr>
  </property>
</Properties>
</file>