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06D" w:rsidRDefault="004333DE" w14:paraId="17BF0C0C" w14:textId="77777777">
      <w:pPr>
        <w:spacing w:after="5" w:line="249" w:lineRule="auto"/>
        <w:ind w:left="2002" w:hanging="2016"/>
      </w:pPr>
      <w:r>
        <w:rPr>
          <w:b/>
        </w:rPr>
        <w:t xml:space="preserve">  Supporting Statement for the Information Collection Requirements Contained in the State Flexibility to Stabilize the Market Cycle I and Cycle II Grant Program </w:t>
      </w:r>
    </w:p>
    <w:p w:rsidR="00C4106D" w:rsidRDefault="004333DE" w14:paraId="173DEF3F" w14:textId="74B8E29A">
      <w:pPr>
        <w:spacing w:after="0"/>
        <w:ind w:left="10" w:right="4" w:hanging="10"/>
        <w:jc w:val="center"/>
      </w:pPr>
      <w:r>
        <w:rPr>
          <w:b/>
        </w:rPr>
        <w:t>CM</w:t>
      </w:r>
      <w:r w:rsidR="00391F14">
        <w:rPr>
          <w:b/>
        </w:rPr>
        <w:t>S-10657/</w:t>
      </w:r>
    </w:p>
    <w:p w:rsidR="00C4106D" w:rsidRDefault="004333DE" w14:paraId="3E0FF0EB" w14:textId="149F142D">
      <w:pPr>
        <w:spacing w:after="0"/>
        <w:ind w:left="10" w:right="4" w:hanging="10"/>
        <w:jc w:val="center"/>
      </w:pPr>
      <w:r>
        <w:rPr>
          <w:b/>
        </w:rPr>
        <w:t xml:space="preserve">OMB </w:t>
      </w:r>
      <w:r w:rsidR="00391F14">
        <w:rPr>
          <w:b/>
        </w:rPr>
        <w:t>c</w:t>
      </w:r>
      <w:r>
        <w:rPr>
          <w:b/>
        </w:rPr>
        <w:t>ontrol N</w:t>
      </w:r>
      <w:r w:rsidR="00391F14">
        <w:rPr>
          <w:b/>
        </w:rPr>
        <w:t>umber:</w:t>
      </w:r>
      <w:r>
        <w:rPr>
          <w:b/>
        </w:rPr>
        <w:t xml:space="preserve"> 0938-1366 </w:t>
      </w:r>
    </w:p>
    <w:p w:rsidR="00C4106D" w:rsidRDefault="004333DE" w14:paraId="049A4795" w14:textId="77777777">
      <w:pPr>
        <w:spacing w:after="0"/>
        <w:ind w:left="1"/>
      </w:pPr>
      <w:r>
        <w:rPr>
          <w:b/>
        </w:rPr>
        <w:t xml:space="preserve"> </w:t>
      </w:r>
    </w:p>
    <w:p w:rsidR="00C4106D" w:rsidRDefault="004333DE" w14:paraId="2DB8DB4C" w14:textId="77777777">
      <w:pPr>
        <w:tabs>
          <w:tab w:val="center" w:pos="1285"/>
        </w:tabs>
        <w:spacing w:after="5" w:line="249" w:lineRule="auto"/>
        <w:ind w:left="-14"/>
      </w:pPr>
      <w:r>
        <w:rPr>
          <w:b/>
        </w:rPr>
        <w:t xml:space="preserve">A. </w:t>
      </w:r>
      <w:r>
        <w:rPr>
          <w:b/>
        </w:rPr>
        <w:tab/>
        <w:t xml:space="preserve">Justification </w:t>
      </w:r>
    </w:p>
    <w:p w:rsidR="00C4106D" w:rsidRDefault="004333DE" w14:paraId="27C1C6FB" w14:textId="77777777">
      <w:pPr>
        <w:spacing w:after="0"/>
      </w:pPr>
      <w:r>
        <w:t xml:space="preserve"> </w:t>
      </w:r>
    </w:p>
    <w:p w:rsidR="00C4106D" w:rsidRDefault="004333DE" w14:paraId="4FFB52E4" w14:textId="77777777">
      <w:pPr>
        <w:pStyle w:val="Heading1"/>
        <w:ind w:left="-4"/>
      </w:pPr>
      <w:r>
        <w:rPr>
          <w:u w:val="none"/>
        </w:rPr>
        <w:t>1.</w:t>
      </w:r>
      <w:r>
        <w:rPr>
          <w:rFonts w:ascii="Arial" w:hAnsi="Arial" w:eastAsia="Arial" w:cs="Arial"/>
          <w:u w:val="none"/>
        </w:rPr>
        <w:t xml:space="preserve"> </w:t>
      </w:r>
      <w:r>
        <w:t>Circumstances Making the Collection of Information Necessary</w:t>
      </w:r>
      <w:r>
        <w:rPr>
          <w:u w:val="none"/>
        </w:rPr>
        <w:t xml:space="preserve"> </w:t>
      </w:r>
    </w:p>
    <w:p w:rsidR="00C4106D" w:rsidRDefault="004333DE" w14:paraId="77A7C825" w14:textId="77777777">
      <w:pPr>
        <w:spacing w:after="0"/>
        <w:ind w:left="721"/>
      </w:pPr>
      <w:r>
        <w:t xml:space="preserve"> </w:t>
      </w:r>
      <w:r>
        <w:tab/>
        <w:t xml:space="preserve"> </w:t>
      </w:r>
    </w:p>
    <w:p w:rsidR="00C4106D" w:rsidRDefault="004333DE" w14:paraId="7AB6330B" w14:textId="77777777">
      <w:pPr>
        <w:spacing w:after="5" w:line="249" w:lineRule="auto"/>
        <w:ind w:left="-4" w:hanging="10"/>
      </w:pPr>
      <w:r>
        <w:rPr>
          <w:u w:val="single" w:color="000000"/>
        </w:rPr>
        <w:t>Grants to Support States in Providing Added Flexibility to Strengthen the Private Health Insurance</w:t>
      </w:r>
      <w:r>
        <w:t xml:space="preserve"> </w:t>
      </w:r>
    </w:p>
    <w:p w:rsidR="00C4106D" w:rsidRDefault="004333DE" w14:paraId="3AD113B9" w14:textId="77777777">
      <w:pPr>
        <w:spacing w:after="5" w:line="249" w:lineRule="auto"/>
        <w:ind w:left="-4" w:hanging="10"/>
      </w:pPr>
      <w:r>
        <w:rPr>
          <w:u w:val="single" w:color="000000"/>
        </w:rPr>
        <w:t>Market through Implementation of Market Reforms under Part A of Title XXVII of the Public Health</w:t>
      </w:r>
      <w:r>
        <w:t xml:space="preserve"> </w:t>
      </w:r>
      <w:r>
        <w:rPr>
          <w:u w:val="single" w:color="000000"/>
        </w:rPr>
        <w:t>Service Act</w:t>
      </w:r>
      <w:r>
        <w:t xml:space="preserve"> </w:t>
      </w:r>
    </w:p>
    <w:p w:rsidR="00C4106D" w:rsidRDefault="004333DE" w14:paraId="01EE7B40" w14:textId="77777777">
      <w:pPr>
        <w:spacing w:after="0"/>
        <w:ind w:left="369"/>
      </w:pPr>
      <w:r>
        <w:t xml:space="preserve"> </w:t>
      </w:r>
    </w:p>
    <w:p w:rsidR="00C4106D" w:rsidRDefault="004333DE" w14:paraId="34FAEDF7" w14:textId="77777777">
      <w:pPr>
        <w:spacing w:after="4" w:line="234" w:lineRule="auto"/>
        <w:ind w:left="-5" w:hanging="9"/>
      </w:pPr>
      <w:r>
        <w:t xml:space="preserve">On March 23, 2010, President Obama signed into law the Patient Protection and Affordable Care Act and on March 30, 2010, the Health Care and Education Reconciliation Act of 2010 was also signed into law (collectively referred to as “PPACA”).  </w:t>
      </w:r>
    </w:p>
    <w:p w:rsidR="00C4106D" w:rsidRDefault="004333DE" w14:paraId="1987DA8D" w14:textId="77777777">
      <w:pPr>
        <w:spacing w:after="0"/>
        <w:ind w:left="369"/>
      </w:pPr>
      <w:r>
        <w:t xml:space="preserve"> </w:t>
      </w:r>
    </w:p>
    <w:p w:rsidR="00C4106D" w:rsidRDefault="004333DE" w14:paraId="0BD81816" w14:textId="77777777">
      <w:pPr>
        <w:spacing w:after="3" w:line="248" w:lineRule="auto"/>
        <w:ind w:left="-5" w:right="116" w:hanging="9"/>
        <w:jc w:val="both"/>
      </w:pPr>
      <w:r>
        <w:t xml:space="preserve">The PPACA includes a number of provisions that reform the health insurance market and provide </w:t>
      </w:r>
    </w:p>
    <w:p w:rsidR="00C4106D" w:rsidRDefault="004333DE" w14:paraId="7C20B4B1" w14:textId="77777777">
      <w:pPr>
        <w:spacing w:after="3" w:line="248" w:lineRule="auto"/>
        <w:ind w:left="-5" w:right="116" w:hanging="9"/>
        <w:jc w:val="both"/>
      </w:pPr>
      <w:r>
        <w:t xml:space="preserve">Federal consumer protections through amendments to Title XXVII of the Public Health Service Act (PHS </w:t>
      </w:r>
    </w:p>
    <w:p w:rsidR="00C4106D" w:rsidRDefault="004333DE" w14:paraId="0DC0ED0E" w14:textId="77777777">
      <w:pPr>
        <w:spacing w:after="3" w:line="248" w:lineRule="auto"/>
        <w:ind w:left="-5" w:right="116" w:hanging="9"/>
        <w:jc w:val="both"/>
      </w:pPr>
      <w:r>
        <w:t xml:space="preserve">Act) and corresponding amendments to the Employee Retirement Income Security Act and the Internal Revenue Code. The PPACA also includes significant grant funding for States to work with the Federal government to implement the market reforms.  </w:t>
      </w:r>
    </w:p>
    <w:p w:rsidR="00C4106D" w:rsidRDefault="004333DE" w14:paraId="3D52E437" w14:textId="77777777">
      <w:pPr>
        <w:spacing w:after="0"/>
        <w:ind w:left="369"/>
      </w:pPr>
      <w:r>
        <w:t xml:space="preserve"> </w:t>
      </w:r>
    </w:p>
    <w:p w:rsidR="00C4106D" w:rsidRDefault="004333DE" w14:paraId="3009D950" w14:textId="77777777">
      <w:pPr>
        <w:spacing w:after="3" w:line="248" w:lineRule="auto"/>
        <w:ind w:left="-5" w:right="191" w:hanging="9"/>
        <w:jc w:val="both"/>
      </w:pPr>
      <w:r>
        <w:t xml:space="preserve">Section 1003 of the PPACA adds a new section 2794 to the PHS Act entitled, “Ensuring That Consumers Get Value for Their Dollars.” Specifically, section 2794(a) requires the Secretary of the Department of Health and Human Services (the Secretary) (HHS), in conjunction with the States, to establish a process for the annual review of health insurance premiums to protect consumers from unreasonable rate increases. Section 2794(c) directs the Secretary to carry out a program to award grants to States.   </w:t>
      </w:r>
    </w:p>
    <w:p w:rsidR="00C4106D" w:rsidRDefault="004333DE" w14:paraId="04E2A8E9" w14:textId="77777777">
      <w:pPr>
        <w:spacing w:after="0"/>
        <w:ind w:left="369"/>
      </w:pPr>
      <w:r>
        <w:t xml:space="preserve"> </w:t>
      </w:r>
    </w:p>
    <w:p w:rsidR="00C4106D" w:rsidRDefault="004333DE" w14:paraId="067693C4" w14:textId="77777777">
      <w:pPr>
        <w:spacing w:after="3" w:line="248" w:lineRule="auto"/>
        <w:ind w:left="-5" w:right="116" w:hanging="9"/>
        <w:jc w:val="both"/>
      </w:pPr>
      <w:r>
        <w:t xml:space="preserve">Congress appropriated $250 million to be awarded in Federal fiscal years (FFYs) 2010 through  </w:t>
      </w:r>
    </w:p>
    <w:p w:rsidR="00C4106D" w:rsidRDefault="004333DE" w14:paraId="0E0F849F" w14:textId="77777777">
      <w:pPr>
        <w:spacing w:after="3" w:line="248" w:lineRule="auto"/>
        <w:ind w:left="-5" w:right="116" w:hanging="9"/>
        <w:jc w:val="both"/>
      </w:pPr>
      <w:r>
        <w:t xml:space="preserve">2014 for the Rate Review Grant Program. Through 2010-2014, there were four cycles of Rate  </w:t>
      </w:r>
    </w:p>
    <w:p w:rsidR="00C4106D" w:rsidRDefault="004333DE" w14:paraId="045F8701" w14:textId="77777777">
      <w:pPr>
        <w:spacing w:after="3" w:line="248" w:lineRule="auto"/>
        <w:ind w:left="-5" w:right="116" w:hanging="9"/>
        <w:jc w:val="both"/>
      </w:pPr>
      <w:r>
        <w:t xml:space="preserve">Review Grants awarded. Section 2794(c)(2)(B) specifies that if there are any appropriated Rate Review </w:t>
      </w:r>
    </w:p>
    <w:p w:rsidR="00C4106D" w:rsidRDefault="004333DE" w14:paraId="5FCAF087" w14:textId="77777777">
      <w:pPr>
        <w:spacing w:after="3" w:line="248" w:lineRule="auto"/>
        <w:ind w:left="-5" w:right="231" w:hanging="9"/>
        <w:jc w:val="both"/>
      </w:pPr>
      <w:r>
        <w:t xml:space="preserve">Grant funds that are not fully obligated by the end of FY14, such amounts shall remain available to the Secretary for grants to States for planning and implementing the insurance market reforms and consumer protections under Part A of title XXVII of the PHS Act.  </w:t>
      </w:r>
    </w:p>
    <w:p w:rsidR="00C4106D" w:rsidRDefault="004333DE" w14:paraId="077A499B" w14:textId="77777777">
      <w:pPr>
        <w:spacing w:after="0"/>
        <w:ind w:left="368"/>
      </w:pPr>
      <w:r>
        <w:t xml:space="preserve"> </w:t>
      </w:r>
    </w:p>
    <w:p w:rsidR="00C4106D" w:rsidRDefault="004333DE" w14:paraId="79667B9F" w14:textId="77777777">
      <w:pPr>
        <w:spacing w:after="3" w:line="248" w:lineRule="auto"/>
        <w:ind w:left="-5" w:right="116" w:hanging="9"/>
        <w:jc w:val="both"/>
      </w:pPr>
      <w:r>
        <w:t xml:space="preserve">The provisions in Part A of title XXVII of the PHS Act include market-wide reforms in the group and individual private health insurance markets intended to protect consumers, increase transparency, and regulate health insurance industry practices.   </w:t>
      </w:r>
    </w:p>
    <w:p w:rsidR="00C4106D" w:rsidRDefault="004333DE" w14:paraId="6BA18B6E" w14:textId="77777777">
      <w:pPr>
        <w:spacing w:after="0"/>
        <w:ind w:left="1"/>
      </w:pPr>
      <w:r>
        <w:rPr>
          <w:sz w:val="24"/>
        </w:rPr>
        <w:t xml:space="preserve"> </w:t>
      </w:r>
    </w:p>
    <w:p w:rsidR="00C4106D" w:rsidRDefault="004333DE" w14:paraId="2F6EE0CA" w14:textId="77777777">
      <w:pPr>
        <w:spacing w:after="3" w:line="248" w:lineRule="auto"/>
        <w:ind w:left="-5" w:right="116" w:hanging="9"/>
        <w:jc w:val="both"/>
      </w:pPr>
      <w:r>
        <w:lastRenderedPageBreak/>
        <w:t xml:space="preserve">On February 5, 2018, the Department of Health and Human Services (HHS) released the Notice of </w:t>
      </w:r>
    </w:p>
    <w:p w:rsidR="00C4106D" w:rsidRDefault="004333DE" w14:paraId="4BB27987" w14:textId="77777777">
      <w:pPr>
        <w:spacing w:after="4" w:line="234" w:lineRule="auto"/>
        <w:ind w:left="-5" w:hanging="9"/>
      </w:pPr>
      <w:r>
        <w:t xml:space="preserve">Funding Opportunity (NOFO) for the State Flexibility to Stabilize the Market Grant Program Cycle I. In Cycle I, HHS awarded $8.6 million to 30 states and the District of Columbia to provide a funding source to enhance the role of States in planning and implementing several of the Federal market reforms and consumer protections </w:t>
      </w:r>
    </w:p>
    <w:p w:rsidR="00C4106D" w:rsidRDefault="004333DE" w14:paraId="18ED0936" w14:textId="77777777">
      <w:pPr>
        <w:spacing w:after="0"/>
      </w:pPr>
      <w:r>
        <w:t xml:space="preserve"> </w:t>
      </w:r>
    </w:p>
    <w:p w:rsidR="00C4106D" w:rsidRDefault="004333DE" w14:paraId="588715F0" w14:textId="77777777">
      <w:pPr>
        <w:spacing w:after="4" w:line="234" w:lineRule="auto"/>
        <w:ind w:left="-5" w:hanging="9"/>
      </w:pPr>
      <w:r>
        <w:t>One of the goals of the State Flexibility to Stabilize the Market Cycle II Grant Program</w:t>
      </w:r>
      <w:r>
        <w:rPr>
          <w:b/>
        </w:rPr>
        <w:t xml:space="preserve"> </w:t>
      </w:r>
      <w:r>
        <w:t xml:space="preserve">(hereafter referred to as “State Flexibility Cycle II Grants” or “State Flexibility Cycle II Grant Program”) is to enhance the States’ ability to effectively regulate their respective health insurance markets through innovative measures that support the pre-selected market reforms and consumer protections under Part A of Title XXVII of the PHS Act. The State Flexibility Cycle II Grant Program will provide a funding source to enhance the role of States in planning and implementing several of the Federal market reforms and consumer protections, which are listed below. State Flexibility Cycle II Grants will provide States with the opportunity to ensure their laws, regulations, and procedures are in line with Federal requirements. The project period and funding awarded to each recipient will be 24 months. </w:t>
      </w:r>
    </w:p>
    <w:p w:rsidR="00C4106D" w:rsidRDefault="004333DE" w14:paraId="5161704D" w14:textId="77777777">
      <w:pPr>
        <w:spacing w:after="0"/>
        <w:ind w:left="1"/>
      </w:pPr>
      <w:r>
        <w:t xml:space="preserve"> </w:t>
      </w:r>
    </w:p>
    <w:p w:rsidR="00C4106D" w:rsidRDefault="004333DE" w14:paraId="221E2B31" w14:textId="77777777">
      <w:pPr>
        <w:spacing w:after="3" w:line="248" w:lineRule="auto"/>
        <w:ind w:left="-5" w:right="116" w:hanging="9"/>
        <w:jc w:val="both"/>
      </w:pPr>
      <w:r>
        <w:t xml:space="preserve">Funding under the State Flexibility Cycle II Grant Program is available to States for activities related to planning and implementing the following provisions of Part A of title XXVII of the PHS Act:   </w:t>
      </w:r>
    </w:p>
    <w:p w:rsidR="00C4106D" w:rsidRDefault="004333DE" w14:paraId="7A6BBBE2" w14:textId="77777777">
      <w:pPr>
        <w:spacing w:after="0"/>
        <w:ind w:left="369"/>
      </w:pPr>
      <w:r>
        <w:t xml:space="preserve"> </w:t>
      </w:r>
    </w:p>
    <w:p w:rsidR="00C4106D" w:rsidRDefault="004333DE" w14:paraId="1213B914" w14:textId="77777777">
      <w:pPr>
        <w:numPr>
          <w:ilvl w:val="0"/>
          <w:numId w:val="1"/>
        </w:numPr>
        <w:spacing w:after="3" w:line="248" w:lineRule="auto"/>
        <w:ind w:left="1152" w:right="116" w:hanging="592"/>
        <w:jc w:val="both"/>
      </w:pPr>
      <w:r>
        <w:t xml:space="preserve">Section 2702 – Guaranteed Availability of Coverage </w:t>
      </w:r>
    </w:p>
    <w:p w:rsidR="00C4106D" w:rsidRDefault="004333DE" w14:paraId="19AFDE01" w14:textId="77777777">
      <w:pPr>
        <w:numPr>
          <w:ilvl w:val="0"/>
          <w:numId w:val="1"/>
        </w:numPr>
        <w:spacing w:after="3" w:line="248" w:lineRule="auto"/>
        <w:ind w:left="1152" w:right="116" w:hanging="592"/>
        <w:jc w:val="both"/>
      </w:pPr>
      <w:r>
        <w:t xml:space="preserve">Section 2703 – Guaranteed Renewability of Coverage </w:t>
      </w:r>
    </w:p>
    <w:p w:rsidR="00C4106D" w:rsidRDefault="004333DE" w14:paraId="0AE48683" w14:textId="77777777">
      <w:pPr>
        <w:numPr>
          <w:ilvl w:val="0"/>
          <w:numId w:val="1"/>
        </w:numPr>
        <w:spacing w:after="3" w:line="248" w:lineRule="auto"/>
        <w:ind w:left="1152" w:right="116" w:hanging="592"/>
        <w:jc w:val="both"/>
      </w:pPr>
      <w:r>
        <w:t xml:space="preserve">Section 2707 –Non-discrimination under Comprehensive Health Insurance Coverage (Essential Health Benefits Package)  </w:t>
      </w:r>
    </w:p>
    <w:p w:rsidR="00C4106D" w:rsidRDefault="004333DE" w14:paraId="7C090144" w14:textId="77777777">
      <w:pPr>
        <w:spacing w:after="0"/>
      </w:pPr>
      <w:r>
        <w:t xml:space="preserve"> </w:t>
      </w:r>
    </w:p>
    <w:p w:rsidR="00C4106D" w:rsidRDefault="004333DE" w14:paraId="008277F5" w14:textId="77777777">
      <w:pPr>
        <w:spacing w:after="3" w:line="248" w:lineRule="auto"/>
        <w:ind w:left="-5" w:right="208" w:hanging="9"/>
        <w:jc w:val="both"/>
      </w:pPr>
      <w:r>
        <w:t xml:space="preserve">These pre-selected market reforms were chosen due to their relative complexity and the anticipated benefits that these reforms will have on consumers and the premiums they pay. These also represent areas that can help States assess the needs of consumers and support the development of innovative measures to ensure access to affordable health coverage in their respective individual and small group markets. </w:t>
      </w:r>
    </w:p>
    <w:p w:rsidR="00C4106D" w:rsidRDefault="004333DE" w14:paraId="284094FF" w14:textId="77777777">
      <w:pPr>
        <w:spacing w:after="0"/>
      </w:pPr>
      <w:r>
        <w:t xml:space="preserve"> </w:t>
      </w:r>
    </w:p>
    <w:p w:rsidR="00C4106D" w:rsidRDefault="004333DE" w14:paraId="50A0CDCF" w14:textId="77777777">
      <w:pPr>
        <w:spacing w:after="4" w:line="234" w:lineRule="auto"/>
        <w:ind w:left="-5" w:hanging="9"/>
      </w:pPr>
      <w:r>
        <w:t xml:space="preserve">All fifty States and the District of Columbia are eligible to apply for planning and/or implementing one or more of the three pre-selected market reforms and consumer protections in Part A of title XXVII of the PHS Act. Only one application per State is permitted, except in a State in which there is more than one regulating entity, each with a primary responsibility over the regulation of a portion of the private health insurance market. States must ensure that they are only seeking funding to plan and implement activities that they are not currently receiving Federal grant funding to plan and implement.  </w:t>
      </w:r>
    </w:p>
    <w:p w:rsidR="00C4106D" w:rsidRDefault="004333DE" w14:paraId="44045501" w14:textId="77777777">
      <w:pPr>
        <w:spacing w:after="0"/>
      </w:pPr>
      <w:r>
        <w:t xml:space="preserve"> </w:t>
      </w:r>
    </w:p>
    <w:p w:rsidR="00C4106D" w:rsidRDefault="004333DE" w14:paraId="753DDE94" w14:textId="77777777">
      <w:pPr>
        <w:spacing w:after="3" w:line="248" w:lineRule="auto"/>
        <w:ind w:left="-5" w:right="116" w:hanging="9"/>
        <w:jc w:val="both"/>
      </w:pPr>
      <w:r>
        <w:t xml:space="preserve">Applicants may use grant funds for a variety of planning and implementation objectives related to the pre-selected provisions under Part A of Title XXVII of the PHS Act, including, but not limited to performing market scans of their respective individual and small group markets to ensure access to affordable health care coverage, as well as developing actuarial and economic analyses in an effort to stabilize their </w:t>
      </w:r>
      <w:r>
        <w:lastRenderedPageBreak/>
        <w:t xml:space="preserve">markets. States may also perform activities related to enhancing their policy filing review processes to ensure health insurance issuers do not include discriminatory benefit designs that discourage people with potentially high-cost medical conditions from enrolling in those plans and hiring or contracting with a clinician to review formularies.     </w:t>
      </w:r>
    </w:p>
    <w:p w:rsidR="00C4106D" w:rsidRDefault="004333DE" w14:paraId="6190BE16" w14:textId="77777777">
      <w:pPr>
        <w:spacing w:after="0"/>
        <w:ind w:left="1"/>
      </w:pPr>
      <w:r>
        <w:t xml:space="preserve"> </w:t>
      </w:r>
    </w:p>
    <w:p w:rsidR="00C4106D" w:rsidRDefault="004333DE" w14:paraId="08D9489B" w14:textId="77777777">
      <w:pPr>
        <w:spacing w:after="3" w:line="248" w:lineRule="auto"/>
        <w:ind w:left="-5" w:right="46" w:hanging="9"/>
        <w:jc w:val="both"/>
      </w:pPr>
      <w:r>
        <w:t>All applicants must submit a mandatory Letter of Intent by December 11, 2020. CMS uses this information to determine the amount of funding available to each recipient. CMS will provide applicants with information on their funding allocation prior to December 15, 2020.</w:t>
      </w:r>
      <w:r>
        <w:rPr>
          <w:b/>
        </w:rPr>
        <w:t xml:space="preserve">   </w:t>
      </w:r>
    </w:p>
    <w:p w:rsidR="00C4106D" w:rsidRDefault="004333DE" w14:paraId="12C32A65" w14:textId="77777777">
      <w:pPr>
        <w:spacing w:after="0"/>
        <w:ind w:left="1"/>
      </w:pPr>
      <w:r>
        <w:rPr>
          <w:b/>
        </w:rPr>
        <w:t xml:space="preserve"> </w:t>
      </w:r>
    </w:p>
    <w:p w:rsidR="00C4106D" w:rsidRDefault="004333DE" w14:paraId="643E0E20" w14:textId="77777777">
      <w:pPr>
        <w:spacing w:after="4" w:line="234" w:lineRule="auto"/>
        <w:ind w:left="-5" w:hanging="9"/>
      </w:pPr>
      <w:r>
        <w:t>Baseline funding for State Flexibility Cycle II Grants consists of a minimum of approximately $660,000 for the length of the award.</w:t>
      </w:r>
      <w:r>
        <w:rPr>
          <w:rFonts w:ascii="Times New Roman" w:hAnsi="Times New Roman" w:eastAsia="Times New Roman" w:cs="Times New Roman"/>
          <w:sz w:val="21"/>
        </w:rPr>
        <w:t xml:space="preserve"> </w:t>
      </w:r>
      <w:r>
        <w:t xml:space="preserve">Provided sufficient funds are available after providing each State with baseline funding for a two-year project period, States may also receive supplemental awards called “Workload” funds.  Workload funds are determined based on the population and number of health insurance issuers in the State. Following submission of the mandatory Letters of Intent, CMS will inform States of funding allocations, including whether baseline award amounts have increased and if there are sufficient funds available for the “Workload.” The baseline funding formula will be consistent, regardless of the activities for which a State applies for funds.   </w:t>
      </w:r>
    </w:p>
    <w:p w:rsidR="00C4106D" w:rsidRDefault="004333DE" w14:paraId="3BB0CCA0" w14:textId="77777777">
      <w:pPr>
        <w:spacing w:after="0"/>
        <w:ind w:left="1"/>
      </w:pPr>
      <w:r>
        <w:t xml:space="preserve"> </w:t>
      </w:r>
    </w:p>
    <w:p w:rsidR="00C4106D" w:rsidRDefault="004333DE" w14:paraId="08A6D84A" w14:textId="77777777">
      <w:pPr>
        <w:spacing w:after="3" w:line="248" w:lineRule="auto"/>
        <w:ind w:left="-5" w:right="116" w:hanging="9"/>
        <w:jc w:val="both"/>
      </w:pPr>
      <w:r>
        <w:t xml:space="preserve">States that apply for funds are required to complete the grant application. The application for the State Flexibility Cycle II Grants is due on February 3, 2021. Grant awards were issued on September 15, 2021.  </w:t>
      </w:r>
    </w:p>
    <w:p w:rsidR="00C4106D" w:rsidRDefault="004333DE" w14:paraId="03C45146" w14:textId="77777777">
      <w:pPr>
        <w:spacing w:after="0"/>
        <w:ind w:left="1"/>
      </w:pPr>
      <w:r>
        <w:t xml:space="preserve"> </w:t>
      </w:r>
    </w:p>
    <w:p w:rsidR="00C4106D" w:rsidRDefault="004333DE" w14:paraId="1D6E9B5C" w14:textId="77777777">
      <w:pPr>
        <w:spacing w:after="3" w:line="248" w:lineRule="auto"/>
        <w:ind w:left="-5" w:right="55" w:hanging="9"/>
        <w:jc w:val="both"/>
      </w:pPr>
      <w:r>
        <w:t xml:space="preserve">States that are awarded funds under this funding opportunity are required to provide the CMS with four quarterly progress reports (per fiscal year), one annual report, and one final report, detailing the State’s progression towards planning and/or implementing the pre-selected market reforms under Part A of Title XXVII of the PHS Act.  </w:t>
      </w:r>
    </w:p>
    <w:p w:rsidR="00C4106D" w:rsidRDefault="004333DE" w14:paraId="374AE35A" w14:textId="77777777">
      <w:pPr>
        <w:spacing w:after="0"/>
        <w:ind w:left="1"/>
      </w:pPr>
      <w:r>
        <w:t xml:space="preserve"> </w:t>
      </w:r>
    </w:p>
    <w:p w:rsidR="00C4106D" w:rsidRDefault="004333DE" w14:paraId="4F00BFBF" w14:textId="77777777">
      <w:pPr>
        <w:pStyle w:val="Heading1"/>
        <w:ind w:left="-4"/>
      </w:pPr>
      <w:r>
        <w:rPr>
          <w:u w:val="none"/>
        </w:rPr>
        <w:t>2.</w:t>
      </w:r>
      <w:r>
        <w:rPr>
          <w:rFonts w:ascii="Arial" w:hAnsi="Arial" w:eastAsia="Arial" w:cs="Arial"/>
          <w:u w:val="none"/>
        </w:rPr>
        <w:t xml:space="preserve"> </w:t>
      </w:r>
      <w:r>
        <w:t>Purpose and Use of Information Collection</w:t>
      </w:r>
      <w:r>
        <w:rPr>
          <w:u w:val="none"/>
        </w:rPr>
        <w:t xml:space="preserve"> </w:t>
      </w:r>
    </w:p>
    <w:p w:rsidR="00C4106D" w:rsidRDefault="004333DE" w14:paraId="6AC8EA3C" w14:textId="77777777">
      <w:pPr>
        <w:spacing w:after="0"/>
        <w:ind w:left="369"/>
      </w:pPr>
      <w:r>
        <w:t xml:space="preserve"> </w:t>
      </w:r>
    </w:p>
    <w:p w:rsidR="00C4106D" w:rsidRDefault="004333DE" w14:paraId="38CEF68F" w14:textId="77777777">
      <w:pPr>
        <w:spacing w:after="4" w:line="234" w:lineRule="auto"/>
        <w:ind w:left="-5" w:hanging="9"/>
      </w:pPr>
      <w:r>
        <w:t xml:space="preserve">The data collection (quarterly, annual, and final reports) are a source of information on the State’s progress with meeting CMS expectations for the State Flexibility Cycle I and II Grant Programs. The reports describe significant advancements towards the State’s goal of planning and/or implementing the pre-selected PPACA market reform activities at the beginning from the time of approval through the completion of the grant period. The data collection is imperative to CMS being able to assess the State’s progress, barriers, and updates on measurable objectives. Without the data collection, CMS will be unable to efficiently monitor the State’s progress. It will also inhibit CMS’ ability to support and share opportunities of best practices with other States. </w:t>
      </w:r>
    </w:p>
    <w:p w:rsidR="00C4106D" w:rsidRDefault="004333DE" w14:paraId="76D5A20A" w14:textId="77777777">
      <w:pPr>
        <w:spacing w:after="0"/>
        <w:ind w:left="720"/>
      </w:pPr>
      <w:r>
        <w:t xml:space="preserve"> </w:t>
      </w:r>
    </w:p>
    <w:p w:rsidR="00C4106D" w:rsidRDefault="004333DE" w14:paraId="7CB64E84" w14:textId="77777777">
      <w:pPr>
        <w:pStyle w:val="Heading1"/>
        <w:ind w:left="-4"/>
      </w:pPr>
      <w:r>
        <w:rPr>
          <w:u w:val="none"/>
        </w:rPr>
        <w:t>3.</w:t>
      </w:r>
      <w:r>
        <w:rPr>
          <w:rFonts w:ascii="Arial" w:hAnsi="Arial" w:eastAsia="Arial" w:cs="Arial"/>
          <w:u w:val="none"/>
        </w:rPr>
        <w:t xml:space="preserve"> </w:t>
      </w:r>
      <w:r>
        <w:t>Use of Improved Information Technology and Burden Reduction</w:t>
      </w:r>
      <w:r>
        <w:rPr>
          <w:b w:val="0"/>
          <w:u w:val="none"/>
        </w:rPr>
        <w:t xml:space="preserve"> </w:t>
      </w:r>
    </w:p>
    <w:p w:rsidR="00C4106D" w:rsidRDefault="004333DE" w14:paraId="78EF2BF0" w14:textId="77777777">
      <w:pPr>
        <w:spacing w:after="0"/>
        <w:ind w:left="1"/>
      </w:pPr>
      <w:r>
        <w:t xml:space="preserve"> </w:t>
      </w:r>
    </w:p>
    <w:p w:rsidR="00C4106D" w:rsidRDefault="004333DE" w14:paraId="0A759E7C" w14:textId="77777777">
      <w:pPr>
        <w:spacing w:after="3" w:line="248" w:lineRule="auto"/>
        <w:ind w:left="-5" w:right="214" w:hanging="9"/>
        <w:jc w:val="both"/>
      </w:pPr>
      <w:r>
        <w:t xml:space="preserve">All reports (quarterly, annual, and final) will be submitted electronically by States via the Health Insurance Oversight System (HIOS)—a web-based reporting and data collection system that is already </w:t>
      </w:r>
      <w:r>
        <w:lastRenderedPageBreak/>
        <w:t xml:space="preserve">being used by States in both the Health Insurance Enforcement and Consumer Protections Grant and the State Flexibility Grant Programs. The burden estimates provided in this statement include the time and effort that will be dedicated to uploading information in HIOS. </w:t>
      </w:r>
    </w:p>
    <w:p w:rsidR="00C4106D" w:rsidRDefault="004333DE" w14:paraId="5D4DBE1B" w14:textId="77777777">
      <w:pPr>
        <w:spacing w:after="0"/>
        <w:ind w:left="369"/>
      </w:pPr>
      <w:r>
        <w:t xml:space="preserve"> </w:t>
      </w:r>
    </w:p>
    <w:p w:rsidR="00C4106D" w:rsidRDefault="004333DE" w14:paraId="0A830175" w14:textId="77777777">
      <w:pPr>
        <w:pStyle w:val="Heading1"/>
        <w:ind w:left="-4"/>
      </w:pPr>
      <w:r>
        <w:rPr>
          <w:u w:val="none"/>
        </w:rPr>
        <w:t>4.</w:t>
      </w:r>
      <w:r>
        <w:rPr>
          <w:rFonts w:ascii="Arial" w:hAnsi="Arial" w:eastAsia="Arial" w:cs="Arial"/>
          <w:u w:val="none"/>
        </w:rPr>
        <w:t xml:space="preserve"> </w:t>
      </w:r>
      <w:r>
        <w:t>Efforts to Identify Duplication and Use of Similar Information</w:t>
      </w:r>
      <w:r>
        <w:rPr>
          <w:u w:val="none"/>
        </w:rPr>
        <w:t xml:space="preserve"> </w:t>
      </w:r>
    </w:p>
    <w:p w:rsidR="00C4106D" w:rsidRDefault="004333DE" w14:paraId="5EDB8B57" w14:textId="77777777">
      <w:pPr>
        <w:spacing w:after="0"/>
        <w:ind w:left="721"/>
      </w:pPr>
      <w:r>
        <w:rPr>
          <w:b/>
        </w:rPr>
        <w:t xml:space="preserve"> </w:t>
      </w:r>
    </w:p>
    <w:p w:rsidR="00C4106D" w:rsidRDefault="004333DE" w14:paraId="277D7E65" w14:textId="77777777">
      <w:pPr>
        <w:spacing w:after="3" w:line="248" w:lineRule="auto"/>
        <w:ind w:left="-5" w:right="116" w:hanging="9"/>
        <w:jc w:val="both"/>
      </w:pPr>
      <w:r>
        <w:t xml:space="preserve">The information collected for the State Flexibility Grant Program is not duplicative of any information already collected.  </w:t>
      </w:r>
    </w:p>
    <w:p w:rsidR="00C4106D" w:rsidRDefault="004333DE" w14:paraId="1466B0DA" w14:textId="77777777">
      <w:pPr>
        <w:spacing w:after="0"/>
        <w:ind w:left="1"/>
      </w:pPr>
      <w:r>
        <w:t xml:space="preserve">   </w:t>
      </w:r>
    </w:p>
    <w:p w:rsidR="00C4106D" w:rsidRDefault="004333DE" w14:paraId="429B4B99" w14:textId="77777777">
      <w:pPr>
        <w:pStyle w:val="Heading1"/>
        <w:ind w:left="-4"/>
      </w:pPr>
      <w:r>
        <w:rPr>
          <w:u w:val="none"/>
        </w:rPr>
        <w:t>5.</w:t>
      </w:r>
      <w:r>
        <w:rPr>
          <w:rFonts w:ascii="Arial" w:hAnsi="Arial" w:eastAsia="Arial" w:cs="Arial"/>
          <w:u w:val="none"/>
        </w:rPr>
        <w:t xml:space="preserve"> </w:t>
      </w:r>
      <w:r>
        <w:t>Impact on Small Businesses or Other Small Entities</w:t>
      </w:r>
      <w:r>
        <w:rPr>
          <w:b w:val="0"/>
          <w:u w:val="none"/>
        </w:rPr>
        <w:t xml:space="preserve"> </w:t>
      </w:r>
    </w:p>
    <w:p w:rsidR="00C4106D" w:rsidRDefault="004333DE" w14:paraId="5AB01375" w14:textId="77777777">
      <w:pPr>
        <w:spacing w:after="0"/>
        <w:ind w:left="721"/>
      </w:pPr>
      <w:r>
        <w:t xml:space="preserve"> </w:t>
      </w:r>
    </w:p>
    <w:p w:rsidR="00C4106D" w:rsidRDefault="004333DE" w14:paraId="2FE75868" w14:textId="77777777">
      <w:pPr>
        <w:spacing w:after="3" w:line="248" w:lineRule="auto"/>
        <w:ind w:left="-5" w:right="116" w:hanging="9"/>
        <w:jc w:val="both"/>
      </w:pPr>
      <w:r>
        <w:t>Small businesses and other small entities are not affected by this information collection requirement (ICR).</w:t>
      </w:r>
      <w:r>
        <w:rPr>
          <w:i/>
        </w:rPr>
        <w:t xml:space="preserve"> </w:t>
      </w:r>
    </w:p>
    <w:p w:rsidR="00C4106D" w:rsidRDefault="004333DE" w14:paraId="59374CA5" w14:textId="77777777">
      <w:pPr>
        <w:spacing w:after="0"/>
        <w:ind w:left="369"/>
      </w:pPr>
      <w:r>
        <w:t xml:space="preserve"> </w:t>
      </w:r>
    </w:p>
    <w:p w:rsidR="00C4106D" w:rsidRDefault="004333DE" w14:paraId="39843EFE" w14:textId="77777777">
      <w:pPr>
        <w:pStyle w:val="Heading1"/>
        <w:spacing w:after="249"/>
        <w:ind w:left="-4"/>
      </w:pPr>
      <w:r>
        <w:rPr>
          <w:u w:val="none"/>
        </w:rPr>
        <w:t>6.</w:t>
      </w:r>
      <w:r>
        <w:rPr>
          <w:rFonts w:ascii="Arial" w:hAnsi="Arial" w:eastAsia="Arial" w:cs="Arial"/>
          <w:u w:val="none"/>
        </w:rPr>
        <w:t xml:space="preserve"> </w:t>
      </w:r>
      <w:r>
        <w:t>Consequences of Collecting the Information Less Frequent Collection</w:t>
      </w:r>
      <w:r>
        <w:rPr>
          <w:u w:val="none"/>
        </w:rPr>
        <w:t xml:space="preserve"> </w:t>
      </w:r>
    </w:p>
    <w:p w:rsidR="00C4106D" w:rsidRDefault="004333DE" w14:paraId="21716314" w14:textId="77777777">
      <w:pPr>
        <w:spacing w:after="261" w:line="248" w:lineRule="auto"/>
        <w:ind w:left="-5" w:right="116" w:hanging="9"/>
        <w:jc w:val="both"/>
      </w:pPr>
      <w:r>
        <w:t xml:space="preserve">As these grants are multi-year awards, collection at a frequency less than the quarterly, such as annual reporting only, will put the Federal grant program at risk due to a lack of sufficient oversight. </w:t>
      </w:r>
    </w:p>
    <w:p w:rsidR="00C4106D" w:rsidRDefault="004333DE" w14:paraId="15F2B0B6" w14:textId="77777777">
      <w:pPr>
        <w:spacing w:after="0"/>
        <w:ind w:left="-4" w:hanging="10"/>
      </w:pPr>
      <w:r>
        <w:rPr>
          <w:b/>
        </w:rPr>
        <w:t>7.</w:t>
      </w:r>
      <w:r>
        <w:rPr>
          <w:rFonts w:ascii="Arial" w:hAnsi="Arial" w:eastAsia="Arial" w:cs="Arial"/>
          <w:b/>
        </w:rPr>
        <w:t xml:space="preserve"> </w:t>
      </w:r>
      <w:r>
        <w:rPr>
          <w:b/>
          <w:u w:val="single" w:color="000000"/>
        </w:rPr>
        <w:t>Special Circumstances Relating to the Guidelines of 5 CFR 1320.5</w:t>
      </w:r>
      <w:r>
        <w:rPr>
          <w:b/>
        </w:rPr>
        <w:t xml:space="preserve"> </w:t>
      </w:r>
    </w:p>
    <w:p w:rsidR="00C4106D" w:rsidRDefault="004333DE" w14:paraId="1A7203AC" w14:textId="77777777">
      <w:pPr>
        <w:spacing w:after="0"/>
        <w:ind w:left="1"/>
      </w:pPr>
      <w:r>
        <w:rPr>
          <w:b/>
        </w:rPr>
        <w:t xml:space="preserve"> </w:t>
      </w:r>
    </w:p>
    <w:p w:rsidR="00C4106D" w:rsidRDefault="004333DE" w14:paraId="230390E3" w14:textId="77777777">
      <w:pPr>
        <w:spacing w:after="3" w:line="248" w:lineRule="auto"/>
        <w:ind w:left="-5" w:right="116" w:hanging="9"/>
        <w:jc w:val="both"/>
      </w:pPr>
      <w:r>
        <w:t>No special circumstance.</w:t>
      </w:r>
      <w:r>
        <w:rPr>
          <w:b/>
        </w:rPr>
        <w:t xml:space="preserve"> </w:t>
      </w:r>
    </w:p>
    <w:p w:rsidR="00C4106D" w:rsidRDefault="004333DE" w14:paraId="5ADA1F2B" w14:textId="77777777">
      <w:pPr>
        <w:spacing w:after="0"/>
        <w:ind w:left="369"/>
      </w:pPr>
      <w:r>
        <w:t xml:space="preserve"> </w:t>
      </w:r>
    </w:p>
    <w:p w:rsidR="00C4106D" w:rsidRDefault="004333DE" w14:paraId="7CEA9221" w14:textId="77777777">
      <w:pPr>
        <w:pStyle w:val="Heading1"/>
        <w:ind w:left="-4"/>
      </w:pPr>
      <w:r>
        <w:rPr>
          <w:u w:val="none"/>
        </w:rPr>
        <w:t>8.</w:t>
      </w:r>
      <w:r>
        <w:rPr>
          <w:rFonts w:ascii="Arial" w:hAnsi="Arial" w:eastAsia="Arial" w:cs="Arial"/>
          <w:u w:val="none"/>
        </w:rPr>
        <w:t xml:space="preserve"> </w:t>
      </w:r>
      <w:r>
        <w:t>Comments in Response to the Federal Register Notice/Outside Consultation</w:t>
      </w:r>
      <w:r>
        <w:rPr>
          <w:u w:val="none"/>
        </w:rPr>
        <w:t xml:space="preserve"> </w:t>
      </w:r>
    </w:p>
    <w:p w:rsidR="00C4106D" w:rsidRDefault="004333DE" w14:paraId="4DF4F034" w14:textId="77777777">
      <w:pPr>
        <w:spacing w:after="0"/>
        <w:ind w:left="1"/>
      </w:pPr>
      <w:r>
        <w:rPr>
          <w:b/>
        </w:rPr>
        <w:t xml:space="preserve"> </w:t>
      </w:r>
    </w:p>
    <w:p w:rsidR="00C4106D" w:rsidRDefault="004333DE" w14:paraId="48AFCA3D" w14:textId="24F75A82">
      <w:pPr>
        <w:spacing w:after="3" w:line="248" w:lineRule="auto"/>
        <w:ind w:left="-5" w:right="116" w:hanging="9"/>
        <w:jc w:val="both"/>
      </w:pPr>
      <w:r>
        <w:t>A Notice was published in the Federal Register on 3/26/2021</w:t>
      </w:r>
      <w:r w:rsidR="004F20B3">
        <w:t xml:space="preserve"> (86 FR 70502)</w:t>
      </w:r>
      <w:r>
        <w:t xml:space="preserve">. No comments were received. No outside consultation was sought.  </w:t>
      </w:r>
    </w:p>
    <w:p w:rsidR="00C4106D" w:rsidRDefault="004333DE" w14:paraId="1AEE6DB7" w14:textId="77777777">
      <w:pPr>
        <w:spacing w:after="0"/>
        <w:ind w:left="1"/>
      </w:pPr>
      <w:r>
        <w:t xml:space="preserve"> </w:t>
      </w:r>
    </w:p>
    <w:p w:rsidR="00C4106D" w:rsidRDefault="004333DE" w14:paraId="47F3BA01" w14:textId="77777777">
      <w:pPr>
        <w:spacing w:after="0"/>
        <w:ind w:left="-4" w:hanging="10"/>
      </w:pPr>
      <w:r>
        <w:rPr>
          <w:b/>
        </w:rPr>
        <w:t>9.</w:t>
      </w:r>
      <w:r>
        <w:rPr>
          <w:rFonts w:ascii="Arial" w:hAnsi="Arial" w:eastAsia="Arial" w:cs="Arial"/>
          <w:b/>
        </w:rPr>
        <w:t xml:space="preserve"> </w:t>
      </w:r>
      <w:r>
        <w:rPr>
          <w:b/>
          <w:u w:val="single" w:color="000000"/>
        </w:rPr>
        <w:t>Explanation of any Payment/Gift to Respondents</w:t>
      </w:r>
      <w:r>
        <w:rPr>
          <w:b/>
        </w:rPr>
        <w:t xml:space="preserve"> </w:t>
      </w:r>
    </w:p>
    <w:p w:rsidR="00C4106D" w:rsidRDefault="004333DE" w14:paraId="6C339EDD" w14:textId="77777777">
      <w:pPr>
        <w:spacing w:after="0"/>
        <w:ind w:left="1"/>
      </w:pPr>
      <w:r>
        <w:t xml:space="preserve"> </w:t>
      </w:r>
    </w:p>
    <w:p w:rsidR="00C4106D" w:rsidRDefault="004333DE" w14:paraId="136270B6" w14:textId="77777777">
      <w:pPr>
        <w:spacing w:after="3" w:line="248" w:lineRule="auto"/>
        <w:ind w:left="-5" w:right="116" w:hanging="9"/>
        <w:jc w:val="both"/>
      </w:pPr>
      <w:r>
        <w:t xml:space="preserve">There will be no payments or gifts to respondents. </w:t>
      </w:r>
    </w:p>
    <w:p w:rsidR="00C4106D" w:rsidRDefault="004333DE" w14:paraId="428AA34D" w14:textId="77777777">
      <w:pPr>
        <w:spacing w:after="0"/>
        <w:ind w:left="1441"/>
      </w:pPr>
      <w:r>
        <w:t xml:space="preserve"> </w:t>
      </w:r>
    </w:p>
    <w:p w:rsidR="00C4106D" w:rsidRDefault="004333DE" w14:paraId="5BA788C1" w14:textId="77777777">
      <w:pPr>
        <w:pStyle w:val="Heading1"/>
        <w:ind w:left="-4"/>
      </w:pPr>
      <w:r>
        <w:rPr>
          <w:u w:val="none"/>
        </w:rPr>
        <w:t>10.</w:t>
      </w:r>
      <w:r>
        <w:rPr>
          <w:rFonts w:ascii="Arial" w:hAnsi="Arial" w:eastAsia="Arial" w:cs="Arial"/>
          <w:u w:val="none"/>
        </w:rPr>
        <w:t xml:space="preserve"> </w:t>
      </w:r>
      <w:r>
        <w:t>Assurance of Confidentiality Provided to Respondents</w:t>
      </w:r>
      <w:r>
        <w:rPr>
          <w:u w:val="none"/>
        </w:rPr>
        <w:t xml:space="preserve"> </w:t>
      </w:r>
    </w:p>
    <w:p w:rsidR="00C4106D" w:rsidRDefault="004333DE" w14:paraId="45362E67" w14:textId="77777777">
      <w:pPr>
        <w:spacing w:after="0"/>
        <w:ind w:left="721"/>
      </w:pPr>
      <w:r>
        <w:rPr>
          <w:b/>
        </w:rPr>
        <w:t xml:space="preserve"> </w:t>
      </w:r>
    </w:p>
    <w:p w:rsidR="00C4106D" w:rsidRDefault="004333DE" w14:paraId="4A9EFA89" w14:textId="77777777">
      <w:pPr>
        <w:spacing w:after="3" w:line="248" w:lineRule="auto"/>
        <w:ind w:left="-5" w:right="116" w:hanging="9"/>
        <w:jc w:val="both"/>
      </w:pPr>
      <w:r>
        <w:t xml:space="preserve">No personal health information will be collected. All information will be kept private to the extent allowed by applicable laws/regulations.   </w:t>
      </w:r>
    </w:p>
    <w:p w:rsidR="00C4106D" w:rsidRDefault="004333DE" w14:paraId="4FFE40CC" w14:textId="77777777">
      <w:pPr>
        <w:spacing w:after="0"/>
        <w:ind w:left="721"/>
      </w:pPr>
      <w:r>
        <w:t xml:space="preserve"> </w:t>
      </w:r>
    </w:p>
    <w:p w:rsidR="00C4106D" w:rsidRDefault="004333DE" w14:paraId="6808A295" w14:textId="77777777">
      <w:pPr>
        <w:spacing w:after="0"/>
        <w:ind w:left="-4" w:hanging="10"/>
      </w:pPr>
      <w:r>
        <w:rPr>
          <w:b/>
        </w:rPr>
        <w:t>11.</w:t>
      </w:r>
      <w:r>
        <w:rPr>
          <w:rFonts w:ascii="Arial" w:hAnsi="Arial" w:eastAsia="Arial" w:cs="Arial"/>
          <w:b/>
        </w:rPr>
        <w:t xml:space="preserve"> </w:t>
      </w:r>
      <w:r>
        <w:rPr>
          <w:b/>
          <w:u w:val="single" w:color="000000"/>
        </w:rPr>
        <w:t>Justification for Sensitive Questions</w:t>
      </w:r>
      <w:r>
        <w:rPr>
          <w:b/>
        </w:rPr>
        <w:t xml:space="preserve"> </w:t>
      </w:r>
    </w:p>
    <w:p w:rsidR="00C4106D" w:rsidRDefault="004333DE" w14:paraId="2E520B1E" w14:textId="77777777">
      <w:pPr>
        <w:spacing w:after="0"/>
        <w:ind w:left="1"/>
      </w:pPr>
      <w:r>
        <w:rPr>
          <w:b/>
        </w:rPr>
        <w:t xml:space="preserve"> </w:t>
      </w:r>
    </w:p>
    <w:p w:rsidR="00C4106D" w:rsidRDefault="004333DE" w14:paraId="1C814156" w14:textId="77777777">
      <w:pPr>
        <w:spacing w:after="3" w:line="248" w:lineRule="auto"/>
        <w:ind w:left="-5" w:right="116" w:hanging="9"/>
        <w:jc w:val="both"/>
      </w:pPr>
      <w:r>
        <w:lastRenderedPageBreak/>
        <w:t xml:space="preserve">No sensitive information will be collected. </w:t>
      </w:r>
      <w:r>
        <w:rPr>
          <w:b/>
        </w:rPr>
        <w:t xml:space="preserve"> </w:t>
      </w:r>
    </w:p>
    <w:p w:rsidR="00C4106D" w:rsidRDefault="004333DE" w14:paraId="25B44601" w14:textId="77777777">
      <w:pPr>
        <w:spacing w:after="0"/>
        <w:ind w:left="369"/>
      </w:pPr>
      <w:r>
        <w:t xml:space="preserve"> </w:t>
      </w:r>
    </w:p>
    <w:p w:rsidR="00C4106D" w:rsidRDefault="004333DE" w14:paraId="0FEE4BF7" w14:textId="77777777">
      <w:pPr>
        <w:pStyle w:val="Heading1"/>
        <w:ind w:left="-4"/>
      </w:pPr>
      <w:r>
        <w:rPr>
          <w:u w:val="none"/>
        </w:rPr>
        <w:t>12.</w:t>
      </w:r>
      <w:r>
        <w:rPr>
          <w:rFonts w:ascii="Arial" w:hAnsi="Arial" w:eastAsia="Arial" w:cs="Arial"/>
          <w:u w:val="none"/>
        </w:rPr>
        <w:t xml:space="preserve"> </w:t>
      </w:r>
      <w:r>
        <w:t xml:space="preserve">Estimates of Annualized Burden Hours </w:t>
      </w:r>
      <w:r>
        <w:rPr>
          <w:u w:val="none"/>
        </w:rPr>
        <w:t>(Total Hours &amp; Wages</w:t>
      </w:r>
      <w:r>
        <w:rPr>
          <w:b w:val="0"/>
          <w:u w:val="none"/>
        </w:rPr>
        <w:t xml:space="preserve">) </w:t>
      </w:r>
    </w:p>
    <w:p w:rsidR="00C4106D" w:rsidRDefault="004333DE" w14:paraId="43E4EDAA" w14:textId="77777777">
      <w:pPr>
        <w:spacing w:after="6"/>
        <w:ind w:left="1"/>
      </w:pPr>
      <w:r>
        <w:t xml:space="preserve"> </w:t>
      </w:r>
    </w:p>
    <w:p w:rsidRPr="00391F14" w:rsidR="00C4106D" w:rsidRDefault="004333DE" w14:paraId="407E6FAB" w14:textId="77BD9D8C">
      <w:pPr>
        <w:spacing w:after="2" w:line="260" w:lineRule="auto"/>
        <w:ind w:left="-4" w:hanging="10"/>
        <w:jc w:val="both"/>
      </w:pPr>
      <w:r w:rsidRPr="00010D82">
        <w:rPr>
          <w:b/>
          <w:u w:val="single" w:color="000000"/>
        </w:rPr>
        <w:t>T</w:t>
      </w:r>
      <w:r w:rsidRPr="00010D82">
        <w:rPr>
          <w:b/>
          <w:sz w:val="18"/>
          <w:u w:val="single" w:color="000000"/>
        </w:rPr>
        <w:t>O DERIVE AVERAGE COSTS</w:t>
      </w:r>
      <w:r w:rsidRPr="00010D82">
        <w:rPr>
          <w:b/>
          <w:u w:val="single" w:color="000000"/>
        </w:rPr>
        <w:t>,</w:t>
      </w:r>
      <w:r w:rsidRPr="00010D82">
        <w:rPr>
          <w:b/>
          <w:sz w:val="18"/>
          <w:u w:val="single" w:color="000000"/>
        </w:rPr>
        <w:t xml:space="preserve"> WE USED DATA FROM THE </w:t>
      </w:r>
      <w:r w:rsidRPr="00010D82">
        <w:rPr>
          <w:b/>
          <w:u w:val="single" w:color="000000"/>
        </w:rPr>
        <w:t>U.S.</w:t>
      </w:r>
      <w:r w:rsidRPr="00010D82">
        <w:rPr>
          <w:b/>
          <w:sz w:val="18"/>
          <w:u w:val="single" w:color="000000"/>
        </w:rPr>
        <w:t xml:space="preserve"> </w:t>
      </w:r>
      <w:r w:rsidRPr="00010D82">
        <w:rPr>
          <w:b/>
          <w:u w:val="single" w:color="000000"/>
        </w:rPr>
        <w:t>B</w:t>
      </w:r>
      <w:r w:rsidRPr="00010D82">
        <w:rPr>
          <w:b/>
          <w:sz w:val="18"/>
          <w:u w:val="single" w:color="000000"/>
        </w:rPr>
        <w:t xml:space="preserve">UREAU OF </w:t>
      </w:r>
      <w:r w:rsidRPr="00010D82">
        <w:rPr>
          <w:b/>
          <w:u w:val="single" w:color="000000"/>
        </w:rPr>
        <w:t>L</w:t>
      </w:r>
      <w:r w:rsidRPr="00010D82">
        <w:rPr>
          <w:b/>
          <w:sz w:val="18"/>
          <w:u w:val="single" w:color="000000"/>
        </w:rPr>
        <w:t xml:space="preserve">ABOR </w:t>
      </w:r>
      <w:r w:rsidRPr="00010D82">
        <w:rPr>
          <w:b/>
          <w:u w:val="single" w:color="000000"/>
        </w:rPr>
        <w:t>S</w:t>
      </w:r>
      <w:r w:rsidRPr="00010D82">
        <w:rPr>
          <w:b/>
          <w:sz w:val="18"/>
          <w:u w:val="single" w:color="000000"/>
        </w:rPr>
        <w:t>TATISTICS</w:t>
      </w:r>
      <w:r w:rsidRPr="00010D82">
        <w:rPr>
          <w:b/>
          <w:u w:val="single" w:color="000000"/>
        </w:rPr>
        <w:t>’</w:t>
      </w:r>
      <w:r w:rsidRPr="00010D82">
        <w:rPr>
          <w:b/>
          <w:sz w:val="18"/>
          <w:u w:val="single" w:color="000000"/>
        </w:rPr>
        <w:t xml:space="preserve"> </w:t>
      </w:r>
      <w:r w:rsidRPr="00010D82">
        <w:rPr>
          <w:b/>
          <w:u w:val="single" w:color="000000"/>
        </w:rPr>
        <w:t>M</w:t>
      </w:r>
      <w:r w:rsidRPr="00010D82">
        <w:rPr>
          <w:b/>
          <w:sz w:val="18"/>
          <w:u w:val="single" w:color="000000"/>
        </w:rPr>
        <w:t>AY</w:t>
      </w:r>
      <w:r w:rsidR="00DC305F">
        <w:rPr>
          <w:b/>
          <w:sz w:val="18"/>
          <w:u w:val="single" w:color="000000"/>
        </w:rPr>
        <w:t xml:space="preserve"> </w:t>
      </w:r>
      <w:r w:rsidR="00DC305F">
        <w:rPr>
          <w:b/>
          <w:u w:val="single" w:color="000000"/>
        </w:rPr>
        <w:t>2020</w:t>
      </w:r>
      <w:r w:rsidRPr="00010D82">
        <w:rPr>
          <w:b/>
          <w:sz w:val="18"/>
          <w:u w:val="single" w:color="000000"/>
        </w:rPr>
        <w:t xml:space="preserve"> </w:t>
      </w:r>
      <w:r w:rsidRPr="00010D82">
        <w:rPr>
          <w:b/>
          <w:u w:val="single" w:color="000000"/>
        </w:rPr>
        <w:t>N</w:t>
      </w:r>
      <w:r w:rsidRPr="00010D82">
        <w:rPr>
          <w:b/>
          <w:sz w:val="18"/>
          <w:u w:val="single" w:color="000000"/>
        </w:rPr>
        <w:t>ATIONAL</w:t>
      </w:r>
      <w:r w:rsidRPr="00010D82">
        <w:rPr>
          <w:b/>
          <w:sz w:val="18"/>
        </w:rPr>
        <w:t xml:space="preserve"> </w:t>
      </w:r>
    </w:p>
    <w:p w:rsidRPr="00391F14" w:rsidR="00C4106D" w:rsidRDefault="004333DE" w14:paraId="4D8ED5F3" w14:textId="77777777">
      <w:pPr>
        <w:spacing w:after="2" w:line="260" w:lineRule="auto"/>
        <w:ind w:left="-4" w:hanging="10"/>
        <w:jc w:val="both"/>
      </w:pPr>
      <w:r w:rsidRPr="00010D82">
        <w:t>O</w:t>
      </w:r>
      <w:r w:rsidRPr="00010D82">
        <w:rPr>
          <w:sz w:val="18"/>
        </w:rPr>
        <w:t xml:space="preserve">CCUPATIONAL </w:t>
      </w:r>
      <w:r w:rsidRPr="00010D82">
        <w:t>E</w:t>
      </w:r>
      <w:r w:rsidRPr="00010D82">
        <w:rPr>
          <w:sz w:val="18"/>
        </w:rPr>
        <w:t xml:space="preserve">MPLOYMENT AND </w:t>
      </w:r>
      <w:r w:rsidRPr="00010D82">
        <w:t>W</w:t>
      </w:r>
      <w:r w:rsidRPr="00010D82">
        <w:rPr>
          <w:sz w:val="18"/>
        </w:rPr>
        <w:t xml:space="preserve">AGE </w:t>
      </w:r>
      <w:r w:rsidRPr="00010D82">
        <w:t>E</w:t>
      </w:r>
      <w:r w:rsidRPr="00010D82">
        <w:rPr>
          <w:sz w:val="18"/>
        </w:rPr>
        <w:t>STIMATES FOR ALL SALARY ESTIMATES</w:t>
      </w:r>
      <w:r w:rsidRPr="00010D82">
        <w:rPr>
          <w:b/>
          <w:sz w:val="18"/>
        </w:rPr>
        <w:t xml:space="preserve"> </w:t>
      </w:r>
    </w:p>
    <w:p w:rsidRPr="00391F14" w:rsidR="00C4106D" w:rsidRDefault="00237031" w14:paraId="7BB2BB84" w14:textId="77777777">
      <w:pPr>
        <w:spacing w:after="2" w:line="260" w:lineRule="auto"/>
        <w:ind w:left="-4" w:hanging="10"/>
        <w:jc w:val="both"/>
      </w:pPr>
      <w:hyperlink r:id="rId7">
        <w:r w:rsidRPr="00010D82" w:rsidR="004333DE">
          <w:rPr>
            <w:b/>
            <w:u w:val="single" w:color="0000FF"/>
          </w:rPr>
          <w:t>(</w:t>
        </w:r>
      </w:hyperlink>
      <w:hyperlink r:id="rId8">
        <w:r w:rsidRPr="00010D82" w:rsidR="004333DE">
          <w:rPr>
            <w:b/>
            <w:color w:val="0000FF"/>
            <w:sz w:val="18"/>
            <w:u w:val="single" w:color="0000FF"/>
          </w:rPr>
          <w:t>HTTP</w:t>
        </w:r>
      </w:hyperlink>
      <w:hyperlink r:id="rId9">
        <w:r w:rsidRPr="00010D82" w:rsidR="004333DE">
          <w:rPr>
            <w:b/>
            <w:color w:val="0000FF"/>
            <w:u w:val="single" w:color="0000FF"/>
          </w:rPr>
          <w:t>://</w:t>
        </w:r>
      </w:hyperlink>
      <w:hyperlink r:id="rId10">
        <w:r w:rsidRPr="00010D82" w:rsidR="004333DE">
          <w:rPr>
            <w:b/>
            <w:color w:val="0000FF"/>
            <w:sz w:val="18"/>
            <w:u w:val="single" w:color="0000FF"/>
          </w:rPr>
          <w:t>WWW</w:t>
        </w:r>
      </w:hyperlink>
      <w:hyperlink r:id="rId11">
        <w:r w:rsidRPr="00010D82" w:rsidR="004333DE">
          <w:rPr>
            <w:b/>
            <w:color w:val="0000FF"/>
            <w:u w:val="single" w:color="0000FF"/>
          </w:rPr>
          <w:t>.</w:t>
        </w:r>
      </w:hyperlink>
      <w:hyperlink r:id="rId12">
        <w:r w:rsidRPr="00010D82" w:rsidR="004333DE">
          <w:rPr>
            <w:b/>
            <w:color w:val="0000FF"/>
            <w:sz w:val="18"/>
            <w:u w:val="single" w:color="0000FF"/>
          </w:rPr>
          <w:t>BLS</w:t>
        </w:r>
      </w:hyperlink>
      <w:hyperlink r:id="rId13">
        <w:r w:rsidRPr="00010D82" w:rsidR="004333DE">
          <w:rPr>
            <w:b/>
            <w:color w:val="0000FF"/>
            <w:u w:val="single" w:color="0000FF"/>
          </w:rPr>
          <w:t>.</w:t>
        </w:r>
      </w:hyperlink>
      <w:hyperlink r:id="rId14">
        <w:r w:rsidRPr="00010D82" w:rsidR="004333DE">
          <w:rPr>
            <w:b/>
            <w:color w:val="0000FF"/>
            <w:sz w:val="18"/>
            <w:u w:val="single" w:color="0000FF"/>
          </w:rPr>
          <w:t>GOV</w:t>
        </w:r>
      </w:hyperlink>
      <w:hyperlink r:id="rId15">
        <w:r w:rsidRPr="00010D82" w:rsidR="004333DE">
          <w:rPr>
            <w:b/>
            <w:color w:val="0000FF"/>
            <w:u w:val="single" w:color="0000FF"/>
          </w:rPr>
          <w:t>/</w:t>
        </w:r>
      </w:hyperlink>
      <w:hyperlink r:id="rId16">
        <w:r w:rsidRPr="00010D82" w:rsidR="004333DE">
          <w:rPr>
            <w:b/>
            <w:color w:val="0000FF"/>
            <w:sz w:val="18"/>
            <w:u w:val="single" w:color="0000FF"/>
          </w:rPr>
          <w:t>OES</w:t>
        </w:r>
      </w:hyperlink>
      <w:hyperlink r:id="rId17">
        <w:r w:rsidRPr="00010D82" w:rsidR="004333DE">
          <w:rPr>
            <w:b/>
            <w:color w:val="0000FF"/>
            <w:u w:val="single" w:color="0000FF"/>
          </w:rPr>
          <w:t>/</w:t>
        </w:r>
      </w:hyperlink>
      <w:hyperlink r:id="rId18">
        <w:r w:rsidRPr="00010D82" w:rsidR="004333DE">
          <w:rPr>
            <w:b/>
            <w:color w:val="0000FF"/>
            <w:sz w:val="18"/>
            <w:u w:val="single" w:color="0000FF"/>
          </w:rPr>
          <w:t>CURRENT</w:t>
        </w:r>
      </w:hyperlink>
      <w:hyperlink r:id="rId19">
        <w:r w:rsidRPr="00010D82" w:rsidR="004333DE">
          <w:rPr>
            <w:b/>
            <w:color w:val="0000FF"/>
            <w:u w:val="single" w:color="0000FF"/>
          </w:rPr>
          <w:t>/</w:t>
        </w:r>
      </w:hyperlink>
      <w:hyperlink r:id="rId20">
        <w:r w:rsidRPr="00010D82" w:rsidR="004333DE">
          <w:rPr>
            <w:b/>
            <w:color w:val="0000FF"/>
            <w:sz w:val="18"/>
            <w:u w:val="single" w:color="0000FF"/>
          </w:rPr>
          <w:t>OES</w:t>
        </w:r>
      </w:hyperlink>
      <w:hyperlink r:id="rId21">
        <w:r w:rsidRPr="00010D82" w:rsidR="004333DE">
          <w:rPr>
            <w:b/>
            <w:color w:val="0000FF"/>
            <w:u w:val="single" w:color="0000FF"/>
          </w:rPr>
          <w:t>_</w:t>
        </w:r>
      </w:hyperlink>
      <w:hyperlink r:id="rId22">
        <w:r w:rsidRPr="00010D82" w:rsidR="004333DE">
          <w:rPr>
            <w:b/>
            <w:color w:val="0000FF"/>
            <w:sz w:val="18"/>
            <w:u w:val="single" w:color="0000FF"/>
          </w:rPr>
          <w:t>NAT</w:t>
        </w:r>
      </w:hyperlink>
      <w:hyperlink r:id="rId23">
        <w:r w:rsidRPr="00010D82" w:rsidR="004333DE">
          <w:rPr>
            <w:b/>
            <w:color w:val="0000FF"/>
            <w:u w:val="single" w:color="0000FF"/>
          </w:rPr>
          <w:t>.</w:t>
        </w:r>
      </w:hyperlink>
      <w:hyperlink r:id="rId24">
        <w:r w:rsidRPr="00010D82" w:rsidR="004333DE">
          <w:rPr>
            <w:b/>
            <w:color w:val="0000FF"/>
            <w:sz w:val="18"/>
            <w:u w:val="single" w:color="0000FF"/>
          </w:rPr>
          <w:t>HTM</w:t>
        </w:r>
      </w:hyperlink>
      <w:hyperlink r:id="rId25">
        <w:r w:rsidRPr="00010D82" w:rsidR="004333DE">
          <w:rPr>
            <w:b/>
            <w:u w:val="single" w:color="000000"/>
          </w:rPr>
          <w:t>).</w:t>
        </w:r>
      </w:hyperlink>
      <w:r w:rsidRPr="00010D82" w:rsidR="004333DE">
        <w:rPr>
          <w:b/>
          <w:sz w:val="18"/>
          <w:u w:val="single" w:color="000000"/>
        </w:rPr>
        <w:t xml:space="preserve"> </w:t>
      </w:r>
      <w:r w:rsidRPr="00010D82" w:rsidR="004333DE">
        <w:rPr>
          <w:b/>
          <w:u w:val="single" w:color="000000"/>
        </w:rPr>
        <w:t>I</w:t>
      </w:r>
      <w:r w:rsidRPr="00010D82" w:rsidR="004333DE">
        <w:rPr>
          <w:b/>
          <w:sz w:val="18"/>
          <w:u w:val="single" w:color="000000"/>
        </w:rPr>
        <w:t>N THIS REGARD</w:t>
      </w:r>
      <w:r w:rsidRPr="00010D82" w:rsidR="004333DE">
        <w:rPr>
          <w:b/>
          <w:u w:val="single" w:color="000000"/>
        </w:rPr>
        <w:t>,</w:t>
      </w:r>
      <w:r w:rsidRPr="00010D82" w:rsidR="004333DE">
        <w:rPr>
          <w:b/>
          <w:sz w:val="18"/>
          <w:u w:val="single" w:color="000000"/>
        </w:rPr>
        <w:t xml:space="preserve"> THE FOLLOWING TABLE PRESENTS THE MEAN</w:t>
      </w:r>
      <w:r w:rsidRPr="00010D82" w:rsidR="004333DE">
        <w:rPr>
          <w:b/>
          <w:sz w:val="18"/>
        </w:rPr>
        <w:t xml:space="preserve"> </w:t>
      </w:r>
      <w:r w:rsidRPr="00010D82" w:rsidR="004333DE">
        <w:rPr>
          <w:b/>
          <w:sz w:val="18"/>
          <w:u w:val="single" w:color="000000"/>
        </w:rPr>
        <w:t>HOURLY WAGE</w:t>
      </w:r>
      <w:r w:rsidRPr="00010D82" w:rsidR="004333DE">
        <w:rPr>
          <w:b/>
          <w:u w:val="single" w:color="000000"/>
        </w:rPr>
        <w:t>,</w:t>
      </w:r>
      <w:r w:rsidRPr="00010D82" w:rsidR="004333DE">
        <w:rPr>
          <w:b/>
          <w:sz w:val="18"/>
          <w:u w:val="single" w:color="000000"/>
        </w:rPr>
        <w:t xml:space="preserve"> THE COST OF FRINGE BENEFITS </w:t>
      </w:r>
      <w:r w:rsidRPr="00010D82" w:rsidR="004333DE">
        <w:rPr>
          <w:b/>
          <w:u w:val="single" w:color="000000"/>
        </w:rPr>
        <w:t>(</w:t>
      </w:r>
      <w:r w:rsidRPr="00010D82" w:rsidR="004333DE">
        <w:rPr>
          <w:b/>
          <w:sz w:val="18"/>
          <w:u w:val="single" w:color="000000"/>
        </w:rPr>
        <w:t xml:space="preserve">CALCULATED AT </w:t>
      </w:r>
      <w:r w:rsidRPr="00010D82" w:rsidR="004333DE">
        <w:rPr>
          <w:b/>
          <w:u w:val="single" w:color="000000"/>
        </w:rPr>
        <w:t>100</w:t>
      </w:r>
      <w:r w:rsidRPr="00010D82" w:rsidR="004333DE">
        <w:rPr>
          <w:b/>
          <w:sz w:val="18"/>
          <w:u w:val="single" w:color="000000"/>
        </w:rPr>
        <w:t xml:space="preserve"> PERCENT OF SALARY</w:t>
      </w:r>
      <w:r w:rsidRPr="00010D82" w:rsidR="004333DE">
        <w:rPr>
          <w:b/>
          <w:u w:val="single" w:color="000000"/>
        </w:rPr>
        <w:t>),</w:t>
      </w:r>
      <w:r w:rsidRPr="00010D82" w:rsidR="004333DE">
        <w:rPr>
          <w:b/>
          <w:sz w:val="18"/>
          <w:u w:val="single" w:color="000000"/>
        </w:rPr>
        <w:t xml:space="preserve"> AND THE ADJUSTED HOURLY</w:t>
      </w:r>
      <w:r w:rsidRPr="00010D82" w:rsidR="004333DE">
        <w:rPr>
          <w:b/>
          <w:sz w:val="18"/>
        </w:rPr>
        <w:t xml:space="preserve"> </w:t>
      </w:r>
      <w:r w:rsidRPr="00010D82" w:rsidR="004333DE">
        <w:rPr>
          <w:b/>
          <w:sz w:val="18"/>
          <w:u w:val="single" w:color="000000"/>
        </w:rPr>
        <w:t>WAGE</w:t>
      </w:r>
      <w:r w:rsidRPr="00010D82" w:rsidR="004333DE">
        <w:rPr>
          <w:b/>
          <w:u w:val="single" w:color="000000"/>
        </w:rPr>
        <w:t>.</w:t>
      </w:r>
      <w:r w:rsidRPr="00391F14" w:rsidR="004333DE">
        <w:t xml:space="preserve"> </w:t>
      </w:r>
    </w:p>
    <w:p w:rsidRPr="00043EA0" w:rsidR="00C4106D" w:rsidRDefault="004333DE" w14:paraId="12D0BAE8" w14:textId="77777777">
      <w:pPr>
        <w:spacing w:after="0"/>
        <w:ind w:left="1"/>
      </w:pPr>
      <w:r w:rsidRPr="00043EA0">
        <w:t xml:space="preserve"> </w:t>
      </w:r>
    </w:p>
    <w:p w:rsidR="00C4106D" w:rsidRDefault="004333DE" w14:paraId="6C9F04CF" w14:textId="77777777">
      <w:pPr>
        <w:spacing w:after="5" w:line="249" w:lineRule="auto"/>
        <w:ind w:left="-4" w:hanging="10"/>
      </w:pPr>
      <w:r>
        <w:rPr>
          <w:u w:val="single" w:color="000000"/>
        </w:rPr>
        <w:t>State Flexibility Cycle I and II Grants Activities</w:t>
      </w:r>
      <w:r>
        <w:t xml:space="preserve"> </w:t>
      </w:r>
    </w:p>
    <w:p w:rsidR="00C4106D" w:rsidRDefault="004333DE" w14:paraId="2B8871AF" w14:textId="77777777">
      <w:pPr>
        <w:spacing w:after="0"/>
        <w:ind w:left="1"/>
      </w:pPr>
      <w:r>
        <w:t xml:space="preserve"> </w:t>
      </w:r>
    </w:p>
    <w:p w:rsidR="00C4106D" w:rsidRDefault="004333DE" w14:paraId="2C7E2369" w14:textId="77777777">
      <w:pPr>
        <w:spacing w:after="3" w:line="248" w:lineRule="auto"/>
        <w:ind w:left="-5" w:right="116" w:hanging="9"/>
        <w:jc w:val="both"/>
      </w:pPr>
      <w:r>
        <w:t xml:space="preserve">The State Flexibility Cycle I and II Grants provide States with the opportunity to apply for funding to ensure their laws, regulations, and procedures are in line with Federal requirements, and enhance the States’ ability to effectively regulate their respective health insurance markets through innovative measures that support the pre-selected market reforms and consumer protections under Part A of Title XXVII of the PHS Act.  </w:t>
      </w:r>
    </w:p>
    <w:p w:rsidR="00C4106D" w:rsidRDefault="004333DE" w14:paraId="7E214F01" w14:textId="77777777">
      <w:pPr>
        <w:spacing w:after="0"/>
        <w:ind w:left="1"/>
      </w:pPr>
      <w:r>
        <w:rPr>
          <w:rFonts w:ascii="Times New Roman" w:hAnsi="Times New Roman" w:eastAsia="Times New Roman" w:cs="Times New Roman"/>
          <w:sz w:val="21"/>
        </w:rPr>
        <w:t xml:space="preserve"> </w:t>
      </w:r>
    </w:p>
    <w:p w:rsidR="00C4106D" w:rsidRDefault="004333DE" w14:paraId="5EE0CDBA" w14:textId="77777777">
      <w:pPr>
        <w:spacing w:after="3" w:line="248" w:lineRule="auto"/>
        <w:ind w:left="-5" w:right="116" w:hanging="9"/>
        <w:jc w:val="both"/>
      </w:pPr>
      <w:r>
        <w:t xml:space="preserve">Once applicants are awarded grant funds, they are required to provide CMS with quarterly reports due </w:t>
      </w:r>
    </w:p>
    <w:p w:rsidR="00C4106D" w:rsidRDefault="004333DE" w14:paraId="714135DA" w14:textId="77777777">
      <w:pPr>
        <w:spacing w:after="4" w:line="234" w:lineRule="auto"/>
        <w:ind w:left="-5" w:hanging="9"/>
      </w:pPr>
      <w:r>
        <w:t xml:space="preserve">30 days after the quarter has ended for the entire duration of the grant. The quarterly reports allow States to update CMS with the progression towards planning and/or implementing the pre-selected PPACA market reforms. Grantees will identify significant events towards the goal in the grant progress reports, in addition to any barriers experienced and plans for rectifying any setbacks. States will also provide an updated budget, work plan and timeline with updated progress towards each objective outlined in the State’s application.   </w:t>
      </w:r>
    </w:p>
    <w:p w:rsidR="00C4106D" w:rsidRDefault="004333DE" w14:paraId="6DBBF1DD" w14:textId="77777777">
      <w:pPr>
        <w:spacing w:after="0"/>
        <w:ind w:left="1"/>
      </w:pPr>
      <w:r>
        <w:t xml:space="preserve"> </w:t>
      </w:r>
    </w:p>
    <w:p w:rsidR="00C4106D" w:rsidRDefault="004333DE" w14:paraId="5E3AAD49" w14:textId="77777777">
      <w:pPr>
        <w:spacing w:after="4" w:line="234" w:lineRule="auto"/>
        <w:ind w:left="-5" w:hanging="9"/>
      </w:pPr>
      <w:r>
        <w:t xml:space="preserve">In addition, each grantee must provide CMS with an annual report. This report provides a yearly summary of the progress made towards planning and/or implementing one or more of the three preselected PPACA market reforms. Finally, CMS requires a final report at the end of the grant period. This report provides a cumulative summary of the progress made towards toward planning and/or implementing the pre-selected PPACA market reforms.  </w:t>
      </w:r>
    </w:p>
    <w:p w:rsidR="00C4106D" w:rsidRDefault="004333DE" w14:paraId="0C16A90E" w14:textId="77777777">
      <w:pPr>
        <w:spacing w:after="5"/>
        <w:ind w:left="28"/>
        <w:jc w:val="center"/>
      </w:pPr>
      <w:r>
        <w:rPr>
          <w:b/>
        </w:rPr>
        <w:t xml:space="preserve"> </w:t>
      </w:r>
    </w:p>
    <w:p w:rsidR="00C4106D" w:rsidRDefault="004333DE" w14:paraId="5C604843" w14:textId="77777777">
      <w:pPr>
        <w:spacing w:after="0"/>
        <w:ind w:left="10" w:right="18" w:hanging="10"/>
        <w:jc w:val="center"/>
      </w:pPr>
      <w:r>
        <w:rPr>
          <w:b/>
          <w:u w:val="single" w:color="000000"/>
        </w:rPr>
        <w:t>T</w:t>
      </w:r>
      <w:r>
        <w:rPr>
          <w:b/>
          <w:sz w:val="18"/>
          <w:u w:val="single" w:color="000000"/>
        </w:rPr>
        <w:t xml:space="preserve">HE </w:t>
      </w:r>
      <w:r>
        <w:rPr>
          <w:b/>
          <w:u w:val="single" w:color="000000"/>
        </w:rPr>
        <w:t>S</w:t>
      </w:r>
      <w:r>
        <w:rPr>
          <w:b/>
          <w:sz w:val="18"/>
          <w:u w:val="single" w:color="000000"/>
        </w:rPr>
        <w:t xml:space="preserve">TATE </w:t>
      </w:r>
      <w:r>
        <w:rPr>
          <w:b/>
          <w:u w:val="single" w:color="000000"/>
        </w:rPr>
        <w:t>F</w:t>
      </w:r>
      <w:r>
        <w:rPr>
          <w:b/>
          <w:sz w:val="18"/>
          <w:u w:val="single" w:color="000000"/>
        </w:rPr>
        <w:t xml:space="preserve">LEXIBILITY </w:t>
      </w:r>
      <w:r>
        <w:rPr>
          <w:b/>
          <w:u w:val="single" w:color="000000"/>
        </w:rPr>
        <w:t>C</w:t>
      </w:r>
      <w:r>
        <w:rPr>
          <w:b/>
          <w:sz w:val="18"/>
          <w:u w:val="single" w:color="000000"/>
        </w:rPr>
        <w:t xml:space="preserve">YCLE </w:t>
      </w:r>
      <w:r>
        <w:rPr>
          <w:b/>
          <w:u w:val="single" w:color="000000"/>
        </w:rPr>
        <w:t>I</w:t>
      </w:r>
      <w:r>
        <w:rPr>
          <w:b/>
          <w:sz w:val="18"/>
          <w:u w:val="single" w:color="000000"/>
        </w:rPr>
        <w:t xml:space="preserve"> </w:t>
      </w:r>
      <w:r>
        <w:rPr>
          <w:b/>
          <w:u w:val="single" w:color="000000"/>
        </w:rPr>
        <w:t>G</w:t>
      </w:r>
      <w:r>
        <w:rPr>
          <w:b/>
          <w:sz w:val="18"/>
          <w:u w:val="single" w:color="000000"/>
        </w:rPr>
        <w:t xml:space="preserve">RANT </w:t>
      </w:r>
      <w:r>
        <w:rPr>
          <w:b/>
          <w:u w:val="single" w:color="000000"/>
        </w:rPr>
        <w:t>P</w:t>
      </w:r>
      <w:r>
        <w:rPr>
          <w:b/>
          <w:sz w:val="18"/>
          <w:u w:val="single" w:color="000000"/>
        </w:rPr>
        <w:t>ROCESS</w:t>
      </w:r>
      <w:r>
        <w:rPr>
          <w:b/>
        </w:rPr>
        <w:t xml:space="preserve"> </w:t>
      </w:r>
    </w:p>
    <w:p w:rsidR="00C4106D" w:rsidRDefault="004333DE" w14:paraId="74C12BCC" w14:textId="77777777">
      <w:pPr>
        <w:spacing w:after="0"/>
        <w:ind w:left="1"/>
      </w:pPr>
      <w:r>
        <w:rPr>
          <w:b/>
        </w:rPr>
        <w:t xml:space="preserve"> </w:t>
      </w:r>
    </w:p>
    <w:p w:rsidR="00C4106D" w:rsidRDefault="004333DE" w14:paraId="31BA1BCF" w14:textId="77777777">
      <w:pPr>
        <w:spacing w:after="5" w:line="249" w:lineRule="auto"/>
        <w:ind w:left="-4" w:hanging="10"/>
      </w:pPr>
      <w:r>
        <w:rPr>
          <w:b/>
        </w:rPr>
        <w:t xml:space="preserve">12A. Estimated Annualized Burden Hours </w:t>
      </w:r>
    </w:p>
    <w:p w:rsidR="00C4106D" w:rsidRDefault="004333DE" w14:paraId="4BC9A0DA" w14:textId="77777777">
      <w:pPr>
        <w:spacing w:after="0"/>
        <w:ind w:left="1"/>
      </w:pPr>
      <w:r>
        <w:rPr>
          <w:b/>
          <w:sz w:val="24"/>
        </w:rPr>
        <w:t xml:space="preserve"> </w:t>
      </w:r>
    </w:p>
    <w:tbl>
      <w:tblPr>
        <w:tblStyle w:val="TableGrid"/>
        <w:tblW w:w="9200" w:type="dxa"/>
        <w:tblInd w:w="89" w:type="dxa"/>
        <w:tblCellMar>
          <w:top w:w="40" w:type="dxa"/>
          <w:left w:w="104" w:type="dxa"/>
          <w:right w:w="37" w:type="dxa"/>
        </w:tblCellMar>
        <w:tblLook w:val="04A0" w:firstRow="1" w:lastRow="0" w:firstColumn="1" w:lastColumn="0" w:noHBand="0" w:noVBand="1"/>
      </w:tblPr>
      <w:tblGrid>
        <w:gridCol w:w="1728"/>
        <w:gridCol w:w="1840"/>
        <w:gridCol w:w="1504"/>
        <w:gridCol w:w="1344"/>
        <w:gridCol w:w="1392"/>
        <w:gridCol w:w="1392"/>
      </w:tblGrid>
      <w:tr w:rsidR="00C4106D" w:rsidTr="004333DE" w14:paraId="30EAAA47" w14:textId="77777777">
        <w:trPr>
          <w:trHeight w:val="1088"/>
        </w:trPr>
        <w:tc>
          <w:tcPr>
            <w:tcW w:w="1728" w:type="dxa"/>
            <w:tcBorders>
              <w:top w:val="single" w:color="000000" w:sz="6" w:space="0"/>
              <w:left w:val="single" w:color="000000" w:sz="6" w:space="0"/>
              <w:bottom w:val="single" w:color="000000" w:sz="6" w:space="0"/>
              <w:right w:val="single" w:color="000000" w:sz="6" w:space="0"/>
            </w:tcBorders>
          </w:tcPr>
          <w:p w:rsidR="00C4106D" w:rsidRDefault="004333DE" w14:paraId="112C9E12" w14:textId="77777777">
            <w:pPr>
              <w:spacing w:after="249"/>
              <w:ind w:right="57"/>
              <w:jc w:val="center"/>
            </w:pPr>
            <w:r>
              <w:rPr>
                <w:b/>
              </w:rPr>
              <w:t xml:space="preserve">Forms </w:t>
            </w:r>
          </w:p>
          <w:p w:rsidR="00C4106D" w:rsidRDefault="004333DE" w14:paraId="77B8C7F7" w14:textId="77777777">
            <w:pPr>
              <w:ind w:right="45"/>
              <w:jc w:val="center"/>
            </w:pPr>
            <w:r>
              <w:rPr>
                <w:b/>
              </w:rPr>
              <w:t xml:space="preserve">(If necessary) </w:t>
            </w:r>
          </w:p>
        </w:tc>
        <w:tc>
          <w:tcPr>
            <w:tcW w:w="1840"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06DC4E1D" w14:textId="77777777">
            <w:pPr>
              <w:ind w:left="224" w:firstLine="240"/>
            </w:pPr>
            <w:r>
              <w:rPr>
                <w:b/>
              </w:rPr>
              <w:t xml:space="preserve">Type of Respondent </w:t>
            </w:r>
          </w:p>
        </w:tc>
        <w:tc>
          <w:tcPr>
            <w:tcW w:w="1504" w:type="dxa"/>
            <w:tcBorders>
              <w:top w:val="single" w:color="000000" w:sz="6" w:space="0"/>
              <w:left w:val="single" w:color="000000" w:sz="6" w:space="0"/>
              <w:bottom w:val="single" w:color="000000" w:sz="6" w:space="0"/>
              <w:right w:val="single" w:color="000000" w:sz="6" w:space="0"/>
            </w:tcBorders>
            <w:vAlign w:val="center"/>
          </w:tcPr>
          <w:p w:rsidR="00C4106D" w:rsidP="004333DE" w:rsidRDefault="004333DE" w14:paraId="4CAD59EB" w14:textId="0BEF9087">
            <w:pPr>
              <w:ind w:left="32" w:firstLine="112"/>
            </w:pPr>
            <w:r>
              <w:rPr>
                <w:b/>
              </w:rPr>
              <w:t xml:space="preserve">Number of Respondents </w:t>
            </w:r>
          </w:p>
        </w:tc>
        <w:tc>
          <w:tcPr>
            <w:tcW w:w="1344" w:type="dxa"/>
            <w:tcBorders>
              <w:top w:val="single" w:color="000000" w:sz="6" w:space="0"/>
              <w:left w:val="single" w:color="000000" w:sz="6" w:space="0"/>
              <w:bottom w:val="single" w:color="000000" w:sz="6" w:space="0"/>
              <w:right w:val="single" w:color="000000" w:sz="6" w:space="0"/>
            </w:tcBorders>
          </w:tcPr>
          <w:p w:rsidR="00C4106D" w:rsidRDefault="004333DE" w14:paraId="315F6CBB" w14:textId="77777777">
            <w:pPr>
              <w:ind w:left="80"/>
            </w:pPr>
            <w:r>
              <w:rPr>
                <w:b/>
              </w:rPr>
              <w:t xml:space="preserve">Number of </w:t>
            </w:r>
          </w:p>
          <w:p w:rsidR="00C4106D" w:rsidRDefault="004333DE" w14:paraId="34DB0C0A" w14:textId="77777777">
            <w:pPr>
              <w:spacing w:line="239" w:lineRule="auto"/>
              <w:jc w:val="center"/>
            </w:pPr>
            <w:r>
              <w:rPr>
                <w:b/>
              </w:rPr>
              <w:t xml:space="preserve">Responses per </w:t>
            </w:r>
          </w:p>
          <w:p w:rsidR="00C4106D" w:rsidRDefault="004333DE" w14:paraId="5269A7C2" w14:textId="77777777">
            <w:pPr>
              <w:ind w:left="16"/>
            </w:pPr>
            <w:r>
              <w:rPr>
                <w:b/>
              </w:rPr>
              <w:t xml:space="preserve">Respondent </w:t>
            </w:r>
          </w:p>
        </w:tc>
        <w:tc>
          <w:tcPr>
            <w:tcW w:w="1392" w:type="dxa"/>
            <w:tcBorders>
              <w:top w:val="single" w:color="000000" w:sz="6" w:space="0"/>
              <w:left w:val="single" w:color="000000" w:sz="6" w:space="0"/>
              <w:bottom w:val="single" w:color="000000" w:sz="6" w:space="0"/>
              <w:right w:val="single" w:color="000000" w:sz="6" w:space="0"/>
            </w:tcBorders>
          </w:tcPr>
          <w:p w:rsidR="00C4106D" w:rsidRDefault="004333DE" w14:paraId="3A55AC4C" w14:textId="77777777">
            <w:pPr>
              <w:ind w:right="58"/>
              <w:jc w:val="center"/>
            </w:pPr>
            <w:r>
              <w:rPr>
                <w:b/>
              </w:rPr>
              <w:t xml:space="preserve">Estimated </w:t>
            </w:r>
          </w:p>
          <w:p w:rsidR="00C4106D" w:rsidRDefault="004333DE" w14:paraId="03BFABE4" w14:textId="77777777">
            <w:pPr>
              <w:ind w:left="144" w:firstLine="112"/>
            </w:pPr>
            <w:r>
              <w:rPr>
                <w:b/>
              </w:rPr>
              <w:t xml:space="preserve">Burden hours per Response </w:t>
            </w:r>
          </w:p>
        </w:tc>
        <w:tc>
          <w:tcPr>
            <w:tcW w:w="1392" w:type="dxa"/>
            <w:tcBorders>
              <w:top w:val="single" w:color="000000" w:sz="6" w:space="0"/>
              <w:left w:val="single" w:color="000000" w:sz="6" w:space="0"/>
              <w:bottom w:val="single" w:color="000000" w:sz="6" w:space="0"/>
              <w:right w:val="single" w:color="000000" w:sz="6" w:space="0"/>
            </w:tcBorders>
          </w:tcPr>
          <w:p w:rsidR="00C4106D" w:rsidRDefault="004333DE" w14:paraId="6B31F9DB" w14:textId="77777777">
            <w:pPr>
              <w:ind w:right="60"/>
              <w:jc w:val="center"/>
            </w:pPr>
            <w:r>
              <w:rPr>
                <w:b/>
              </w:rPr>
              <w:t xml:space="preserve">Total </w:t>
            </w:r>
          </w:p>
          <w:p w:rsidR="00C4106D" w:rsidRDefault="004333DE" w14:paraId="774B30F4" w14:textId="77777777">
            <w:pPr>
              <w:ind w:right="58"/>
              <w:jc w:val="center"/>
            </w:pPr>
            <w:r>
              <w:rPr>
                <w:b/>
              </w:rPr>
              <w:t xml:space="preserve">Estimated </w:t>
            </w:r>
          </w:p>
          <w:p w:rsidR="00C4106D" w:rsidRDefault="004333DE" w14:paraId="1AA1FE26" w14:textId="77777777">
            <w:pPr>
              <w:ind w:right="74"/>
              <w:jc w:val="center"/>
            </w:pPr>
            <w:r>
              <w:rPr>
                <w:b/>
              </w:rPr>
              <w:t xml:space="preserve">Burden </w:t>
            </w:r>
          </w:p>
          <w:p w:rsidR="00C4106D" w:rsidRDefault="004333DE" w14:paraId="539FB4DF" w14:textId="77777777">
            <w:pPr>
              <w:ind w:right="73"/>
              <w:jc w:val="center"/>
            </w:pPr>
            <w:r>
              <w:rPr>
                <w:b/>
              </w:rPr>
              <w:t xml:space="preserve">Hours </w:t>
            </w:r>
          </w:p>
        </w:tc>
      </w:tr>
      <w:tr w:rsidR="00C4106D" w:rsidTr="004333DE" w14:paraId="070F3D73" w14:textId="77777777">
        <w:trPr>
          <w:trHeight w:val="640"/>
        </w:trPr>
        <w:tc>
          <w:tcPr>
            <w:tcW w:w="1728" w:type="dxa"/>
            <w:tcBorders>
              <w:top w:val="single" w:color="000000" w:sz="6" w:space="0"/>
              <w:left w:val="single" w:color="000000" w:sz="6" w:space="0"/>
              <w:bottom w:val="single" w:color="000000" w:sz="6" w:space="0"/>
              <w:right w:val="single" w:color="000000" w:sz="6" w:space="0"/>
            </w:tcBorders>
          </w:tcPr>
          <w:p w:rsidR="00C4106D" w:rsidRDefault="004333DE" w14:paraId="35932269" w14:textId="77777777">
            <w:pPr>
              <w:ind w:left="16" w:right="37"/>
            </w:pPr>
            <w:r>
              <w:lastRenderedPageBreak/>
              <w:t xml:space="preserve">Quarterly Report </w:t>
            </w:r>
          </w:p>
        </w:tc>
        <w:tc>
          <w:tcPr>
            <w:tcW w:w="1840" w:type="dxa"/>
            <w:tcBorders>
              <w:top w:val="single" w:color="000000" w:sz="6" w:space="0"/>
              <w:left w:val="single" w:color="000000" w:sz="6" w:space="0"/>
              <w:bottom w:val="single" w:color="000000" w:sz="6" w:space="0"/>
              <w:right w:val="single" w:color="000000" w:sz="6" w:space="0"/>
            </w:tcBorders>
          </w:tcPr>
          <w:p w:rsidR="00C4106D" w:rsidRDefault="004333DE" w14:paraId="689BEDF5" w14:textId="77777777">
            <w:r>
              <w:t xml:space="preserve">State </w:t>
            </w:r>
          </w:p>
          <w:p w:rsidR="00C4106D" w:rsidRDefault="004333DE" w14:paraId="4104CBB6" w14:textId="77777777">
            <w:r>
              <w:t xml:space="preserve">Government </w:t>
            </w:r>
          </w:p>
        </w:tc>
        <w:tc>
          <w:tcPr>
            <w:tcW w:w="1504"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7007DAAF" w14:textId="77777777">
            <w:pPr>
              <w:ind w:right="65"/>
              <w:jc w:val="right"/>
            </w:pPr>
            <w:r>
              <w:t xml:space="preserve">5 </w:t>
            </w:r>
          </w:p>
        </w:tc>
        <w:tc>
          <w:tcPr>
            <w:tcW w:w="1344"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785D560B" w14:textId="77777777">
            <w:pPr>
              <w:ind w:right="65"/>
              <w:jc w:val="right"/>
            </w:pPr>
            <w:r>
              <w:t xml:space="preserve">4 </w:t>
            </w:r>
          </w:p>
        </w:tc>
        <w:tc>
          <w:tcPr>
            <w:tcW w:w="139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2FBAE88C" w14:textId="77777777">
            <w:pPr>
              <w:ind w:right="49"/>
              <w:jc w:val="right"/>
            </w:pPr>
            <w:r>
              <w:t xml:space="preserve">12 </w:t>
            </w:r>
          </w:p>
        </w:tc>
        <w:tc>
          <w:tcPr>
            <w:tcW w:w="139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307802C6" w14:textId="77777777">
            <w:pPr>
              <w:ind w:right="65"/>
              <w:jc w:val="right"/>
            </w:pPr>
            <w:r>
              <w:t xml:space="preserve">240 </w:t>
            </w:r>
          </w:p>
        </w:tc>
      </w:tr>
      <w:tr w:rsidR="00C4106D" w:rsidTr="004333DE" w14:paraId="6079C979" w14:textId="77777777">
        <w:trPr>
          <w:trHeight w:val="640"/>
        </w:trPr>
        <w:tc>
          <w:tcPr>
            <w:tcW w:w="1728"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6EB51E3F" w14:textId="77777777">
            <w:pPr>
              <w:ind w:left="16"/>
            </w:pPr>
            <w:r>
              <w:t xml:space="preserve">Annual Report </w:t>
            </w:r>
          </w:p>
        </w:tc>
        <w:tc>
          <w:tcPr>
            <w:tcW w:w="1840" w:type="dxa"/>
            <w:tcBorders>
              <w:top w:val="single" w:color="000000" w:sz="6" w:space="0"/>
              <w:left w:val="single" w:color="000000" w:sz="6" w:space="0"/>
              <w:bottom w:val="single" w:color="000000" w:sz="6" w:space="0"/>
              <w:right w:val="single" w:color="000000" w:sz="6" w:space="0"/>
            </w:tcBorders>
          </w:tcPr>
          <w:p w:rsidR="00C4106D" w:rsidRDefault="004333DE" w14:paraId="35563CF1" w14:textId="77777777">
            <w:r>
              <w:t xml:space="preserve">State </w:t>
            </w:r>
          </w:p>
          <w:p w:rsidR="00C4106D" w:rsidRDefault="004333DE" w14:paraId="486CAC50" w14:textId="77777777">
            <w:r>
              <w:t xml:space="preserve">Government </w:t>
            </w:r>
          </w:p>
        </w:tc>
        <w:tc>
          <w:tcPr>
            <w:tcW w:w="1504"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0C1B4CD6" w14:textId="77777777">
            <w:pPr>
              <w:ind w:right="65"/>
              <w:jc w:val="right"/>
            </w:pPr>
            <w:r>
              <w:t xml:space="preserve">5 </w:t>
            </w:r>
          </w:p>
        </w:tc>
        <w:tc>
          <w:tcPr>
            <w:tcW w:w="1344"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0E5F6412" w14:textId="77777777">
            <w:pPr>
              <w:ind w:right="65"/>
              <w:jc w:val="right"/>
            </w:pPr>
            <w:r>
              <w:t xml:space="preserve">1 </w:t>
            </w:r>
          </w:p>
        </w:tc>
        <w:tc>
          <w:tcPr>
            <w:tcW w:w="139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7C8EAE19" w14:textId="77777777">
            <w:pPr>
              <w:ind w:right="49"/>
              <w:jc w:val="right"/>
            </w:pPr>
            <w:r>
              <w:t xml:space="preserve">20 </w:t>
            </w:r>
          </w:p>
        </w:tc>
        <w:tc>
          <w:tcPr>
            <w:tcW w:w="139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08B9F1B1" w14:textId="77777777">
            <w:pPr>
              <w:ind w:right="65"/>
              <w:jc w:val="right"/>
            </w:pPr>
            <w:r>
              <w:t xml:space="preserve">100 </w:t>
            </w:r>
          </w:p>
        </w:tc>
      </w:tr>
      <w:tr w:rsidR="00C4106D" w:rsidTr="004333DE" w14:paraId="7EEA103D" w14:textId="77777777">
        <w:trPr>
          <w:trHeight w:val="944"/>
        </w:trPr>
        <w:tc>
          <w:tcPr>
            <w:tcW w:w="1728"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3B330D4F" w14:textId="77777777">
            <w:pPr>
              <w:ind w:left="16"/>
            </w:pPr>
            <w:r>
              <w:t xml:space="preserve">Final Report </w:t>
            </w:r>
          </w:p>
        </w:tc>
        <w:tc>
          <w:tcPr>
            <w:tcW w:w="1840"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30926E2F" w14:textId="77777777">
            <w:r>
              <w:t xml:space="preserve">State </w:t>
            </w:r>
          </w:p>
          <w:p w:rsidR="00C4106D" w:rsidRDefault="004333DE" w14:paraId="7C99DCC8" w14:textId="77777777">
            <w:r>
              <w:t xml:space="preserve">Government </w:t>
            </w:r>
          </w:p>
        </w:tc>
        <w:tc>
          <w:tcPr>
            <w:tcW w:w="1504"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35B7F173" w14:textId="77777777">
            <w:pPr>
              <w:ind w:right="65"/>
              <w:jc w:val="right"/>
            </w:pPr>
            <w:r>
              <w:t xml:space="preserve">5 </w:t>
            </w:r>
          </w:p>
        </w:tc>
        <w:tc>
          <w:tcPr>
            <w:tcW w:w="1344"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6CB687F1" w14:textId="77777777">
            <w:pPr>
              <w:ind w:right="65"/>
              <w:jc w:val="right"/>
            </w:pPr>
            <w:r>
              <w:t xml:space="preserve">1 </w:t>
            </w:r>
          </w:p>
        </w:tc>
        <w:tc>
          <w:tcPr>
            <w:tcW w:w="139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318A071D" w14:textId="77777777">
            <w:pPr>
              <w:ind w:right="49"/>
              <w:jc w:val="right"/>
            </w:pPr>
            <w:r>
              <w:t xml:space="preserve">20 </w:t>
            </w:r>
          </w:p>
        </w:tc>
        <w:tc>
          <w:tcPr>
            <w:tcW w:w="139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173FA001" w14:textId="77777777">
            <w:pPr>
              <w:ind w:right="65"/>
              <w:jc w:val="right"/>
            </w:pPr>
            <w:r>
              <w:t xml:space="preserve">100 </w:t>
            </w:r>
          </w:p>
        </w:tc>
      </w:tr>
      <w:tr w:rsidR="00C4106D" w:rsidTr="004333DE" w14:paraId="37CF6094" w14:textId="77777777">
        <w:trPr>
          <w:trHeight w:val="3592"/>
        </w:trPr>
        <w:tc>
          <w:tcPr>
            <w:tcW w:w="1728" w:type="dxa"/>
            <w:tcBorders>
              <w:top w:val="nil"/>
              <w:left w:val="single" w:color="000000" w:sz="6" w:space="0"/>
              <w:bottom w:val="single" w:color="000000" w:sz="6" w:space="0"/>
              <w:right w:val="single" w:color="000000" w:sz="6" w:space="0"/>
            </w:tcBorders>
            <w:vAlign w:val="center"/>
          </w:tcPr>
          <w:p w:rsidR="00C4106D" w:rsidRDefault="004333DE" w14:paraId="747DF81B" w14:textId="77777777">
            <w:pPr>
              <w:ind w:left="16"/>
            </w:pPr>
            <w:r>
              <w:rPr>
                <w:b/>
              </w:rPr>
              <w:t xml:space="preserve">Total </w:t>
            </w:r>
          </w:p>
        </w:tc>
        <w:tc>
          <w:tcPr>
            <w:tcW w:w="1840" w:type="dxa"/>
            <w:tcBorders>
              <w:top w:val="nil"/>
              <w:left w:val="single" w:color="000000" w:sz="6" w:space="0"/>
              <w:bottom w:val="single" w:color="000000" w:sz="6" w:space="0"/>
              <w:right w:val="single" w:color="000000" w:sz="6" w:space="0"/>
            </w:tcBorders>
            <w:vAlign w:val="center"/>
          </w:tcPr>
          <w:p w:rsidR="00C4106D" w:rsidRDefault="004333DE" w14:paraId="1FA41F11" w14:textId="77777777">
            <w:r>
              <w:rPr>
                <w:b/>
              </w:rPr>
              <w:t xml:space="preserve">  </w:t>
            </w:r>
          </w:p>
        </w:tc>
        <w:tc>
          <w:tcPr>
            <w:tcW w:w="1504" w:type="dxa"/>
            <w:tcBorders>
              <w:top w:val="nil"/>
              <w:left w:val="single" w:color="000000" w:sz="6" w:space="0"/>
              <w:bottom w:val="single" w:color="000000" w:sz="6" w:space="0"/>
              <w:right w:val="single" w:color="000000" w:sz="6" w:space="0"/>
            </w:tcBorders>
            <w:vAlign w:val="center"/>
          </w:tcPr>
          <w:p w:rsidR="00C4106D" w:rsidRDefault="004333DE" w14:paraId="7648A15E" w14:textId="77777777">
            <w:pPr>
              <w:ind w:right="65"/>
              <w:jc w:val="right"/>
            </w:pPr>
            <w:r>
              <w:rPr>
                <w:b/>
              </w:rPr>
              <w:t xml:space="preserve">5 </w:t>
            </w:r>
          </w:p>
        </w:tc>
        <w:tc>
          <w:tcPr>
            <w:tcW w:w="1344" w:type="dxa"/>
            <w:tcBorders>
              <w:top w:val="nil"/>
              <w:left w:val="single" w:color="000000" w:sz="6" w:space="0"/>
              <w:bottom w:val="single" w:color="000000" w:sz="6" w:space="0"/>
              <w:right w:val="single" w:color="000000" w:sz="6" w:space="0"/>
            </w:tcBorders>
          </w:tcPr>
          <w:p w:rsidR="00C4106D" w:rsidRDefault="004333DE" w14:paraId="5B639D51" w14:textId="77777777">
            <w:pPr>
              <w:spacing w:line="235" w:lineRule="auto"/>
              <w:ind w:left="16" w:right="88"/>
              <w:jc w:val="both"/>
            </w:pPr>
            <w:r>
              <w:rPr>
                <w:b/>
                <w:u w:val="single" w:color="000000"/>
              </w:rPr>
              <w:t>5</w:t>
            </w:r>
            <w:r>
              <w:rPr>
                <w:b/>
              </w:rPr>
              <w:t xml:space="preserve"> per year per grantee (4 quarterly reports, 1 annual </w:t>
            </w:r>
          </w:p>
          <w:p w:rsidR="00C4106D" w:rsidRDefault="004333DE" w14:paraId="1797042B" w14:textId="77777777">
            <w:pPr>
              <w:ind w:left="16"/>
            </w:pPr>
            <w:r>
              <w:rPr>
                <w:b/>
              </w:rPr>
              <w:t xml:space="preserve">report, and </w:t>
            </w:r>
          </w:p>
          <w:p w:rsidR="00C4106D" w:rsidRDefault="004333DE" w14:paraId="1787B400" w14:textId="77777777">
            <w:pPr>
              <w:spacing w:after="132" w:line="235" w:lineRule="auto"/>
              <w:ind w:left="16" w:right="236"/>
              <w:jc w:val="both"/>
            </w:pPr>
            <w:r>
              <w:rPr>
                <w:b/>
              </w:rPr>
              <w:t>1 final report at the end of the grant period</w:t>
            </w:r>
            <w:r>
              <w:rPr>
                <w:b/>
                <w:vertAlign w:val="superscript"/>
              </w:rPr>
              <w:footnoteReference w:id="1"/>
            </w:r>
            <w:r>
              <w:rPr>
                <w:b/>
              </w:rPr>
              <w:t>)</w:t>
            </w:r>
            <w:r>
              <w:t xml:space="preserve"> </w:t>
            </w:r>
          </w:p>
          <w:p w:rsidR="00C4106D" w:rsidRDefault="004333DE" w14:paraId="4C111753" w14:textId="77777777">
            <w:pPr>
              <w:ind w:left="16"/>
            </w:pPr>
            <w:r>
              <w:rPr>
                <w:b/>
              </w:rPr>
              <w:t xml:space="preserve"> </w:t>
            </w:r>
          </w:p>
        </w:tc>
        <w:tc>
          <w:tcPr>
            <w:tcW w:w="1392" w:type="dxa"/>
            <w:tcBorders>
              <w:top w:val="nil"/>
              <w:left w:val="single" w:color="000000" w:sz="6" w:space="0"/>
              <w:bottom w:val="single" w:color="000000" w:sz="6" w:space="0"/>
              <w:right w:val="single" w:color="000000" w:sz="6" w:space="0"/>
            </w:tcBorders>
            <w:vAlign w:val="center"/>
          </w:tcPr>
          <w:p w:rsidR="00C4106D" w:rsidRDefault="004333DE" w14:paraId="46B8B540" w14:textId="77777777">
            <w:pPr>
              <w:ind w:right="49"/>
              <w:jc w:val="right"/>
            </w:pPr>
            <w:r>
              <w:rPr>
                <w:b/>
              </w:rPr>
              <w:t xml:space="preserve"> 68 </w:t>
            </w:r>
          </w:p>
        </w:tc>
        <w:tc>
          <w:tcPr>
            <w:tcW w:w="1392" w:type="dxa"/>
            <w:tcBorders>
              <w:top w:val="nil"/>
              <w:left w:val="single" w:color="000000" w:sz="6" w:space="0"/>
              <w:bottom w:val="single" w:color="000000" w:sz="6" w:space="0"/>
              <w:right w:val="single" w:color="000000" w:sz="6" w:space="0"/>
            </w:tcBorders>
            <w:vAlign w:val="center"/>
          </w:tcPr>
          <w:p w:rsidR="00C4106D" w:rsidRDefault="004333DE" w14:paraId="370E39E2" w14:textId="77777777">
            <w:pPr>
              <w:ind w:right="65"/>
              <w:jc w:val="right"/>
            </w:pPr>
            <w:r>
              <w:rPr>
                <w:b/>
              </w:rPr>
              <w:t xml:space="preserve">340 </w:t>
            </w:r>
          </w:p>
        </w:tc>
      </w:tr>
    </w:tbl>
    <w:p w:rsidR="00C4106D" w:rsidRDefault="004333DE" w14:paraId="29B8E090" w14:textId="77777777">
      <w:pPr>
        <w:spacing w:after="0"/>
        <w:ind w:left="1"/>
      </w:pPr>
      <w:r>
        <w:rPr>
          <w:b/>
        </w:rPr>
        <w:t xml:space="preserve"> </w:t>
      </w:r>
    </w:p>
    <w:p w:rsidR="00C4106D" w:rsidRDefault="004333DE" w14:paraId="348BC323" w14:textId="77777777">
      <w:pPr>
        <w:spacing w:after="5" w:line="249" w:lineRule="auto"/>
        <w:ind w:left="-4" w:hanging="10"/>
      </w:pPr>
      <w:r>
        <w:rPr>
          <w:b/>
        </w:rPr>
        <w:t xml:space="preserve">12B. Cost Estimate for All Respondents completing </w:t>
      </w:r>
      <w:r>
        <w:rPr>
          <w:b/>
          <w:u w:val="single" w:color="000000"/>
        </w:rPr>
        <w:t xml:space="preserve">all </w:t>
      </w:r>
      <w:r>
        <w:rPr>
          <w:b/>
        </w:rPr>
        <w:t xml:space="preserve">Reporting Requirements, including the quarterly, annual report, and one final report (Annualized). </w:t>
      </w:r>
    </w:p>
    <w:p w:rsidR="00C4106D" w:rsidRDefault="004333DE" w14:paraId="70C9F2D9" w14:textId="77777777">
      <w:pPr>
        <w:spacing w:after="0"/>
        <w:ind w:left="1"/>
      </w:pPr>
      <w:r>
        <w:t xml:space="preserve"> </w:t>
      </w:r>
    </w:p>
    <w:tbl>
      <w:tblPr>
        <w:tblStyle w:val="TableGrid"/>
        <w:tblW w:w="9262" w:type="dxa"/>
        <w:tblInd w:w="89" w:type="dxa"/>
        <w:tblCellMar>
          <w:top w:w="24" w:type="dxa"/>
          <w:left w:w="120" w:type="dxa"/>
          <w:right w:w="37" w:type="dxa"/>
        </w:tblCellMar>
        <w:tblLook w:val="04A0" w:firstRow="1" w:lastRow="0" w:firstColumn="1" w:lastColumn="0" w:noHBand="0" w:noVBand="1"/>
      </w:tblPr>
      <w:tblGrid>
        <w:gridCol w:w="1468"/>
        <w:gridCol w:w="1345"/>
        <w:gridCol w:w="1257"/>
        <w:gridCol w:w="1033"/>
        <w:gridCol w:w="1122"/>
        <w:gridCol w:w="1580"/>
        <w:gridCol w:w="1457"/>
      </w:tblGrid>
      <w:tr w:rsidR="00E53DA4" w:rsidTr="0011734B" w14:paraId="35F915B4" w14:textId="77777777">
        <w:trPr>
          <w:trHeight w:val="1632"/>
        </w:trPr>
        <w:tc>
          <w:tcPr>
            <w:tcW w:w="1213" w:type="dxa"/>
            <w:vMerge w:val="restart"/>
            <w:tcBorders>
              <w:top w:val="single" w:color="000000" w:sz="6" w:space="0"/>
              <w:left w:val="single" w:color="000000" w:sz="6" w:space="0"/>
              <w:bottom w:val="single" w:color="000000" w:sz="6" w:space="0"/>
              <w:right w:val="single" w:color="000000" w:sz="6" w:space="0"/>
            </w:tcBorders>
            <w:vAlign w:val="center"/>
          </w:tcPr>
          <w:p w:rsidR="00C4106D" w:rsidRDefault="004333DE" w14:paraId="0E766692" w14:textId="77777777">
            <w:pPr>
              <w:jc w:val="center"/>
            </w:pPr>
            <w:r>
              <w:rPr>
                <w:b/>
              </w:rPr>
              <w:t xml:space="preserve">Type of respondent </w:t>
            </w:r>
          </w:p>
        </w:tc>
        <w:tc>
          <w:tcPr>
            <w:tcW w:w="1295" w:type="dxa"/>
            <w:vMerge w:val="restart"/>
            <w:tcBorders>
              <w:top w:val="single" w:color="000000" w:sz="6" w:space="0"/>
              <w:left w:val="single" w:color="000000" w:sz="6" w:space="0"/>
              <w:bottom w:val="single" w:color="000000" w:sz="6" w:space="0"/>
              <w:right w:val="single" w:color="000000" w:sz="6" w:space="0"/>
            </w:tcBorders>
            <w:vAlign w:val="center"/>
          </w:tcPr>
          <w:p w:rsidR="00C4106D" w:rsidRDefault="004333DE" w14:paraId="6F49ACB4" w14:textId="77777777">
            <w:pPr>
              <w:jc w:val="center"/>
            </w:pPr>
            <w:r>
              <w:rPr>
                <w:b/>
              </w:rPr>
              <w:t xml:space="preserve">Number of Respondents </w:t>
            </w:r>
          </w:p>
        </w:tc>
        <w:tc>
          <w:tcPr>
            <w:tcW w:w="1211" w:type="dxa"/>
            <w:vMerge w:val="restart"/>
            <w:tcBorders>
              <w:top w:val="single" w:color="000000" w:sz="6" w:space="0"/>
              <w:left w:val="single" w:color="000000" w:sz="6" w:space="0"/>
              <w:bottom w:val="single" w:color="000000" w:sz="6" w:space="0"/>
              <w:right w:val="single" w:color="000000" w:sz="6" w:space="0"/>
            </w:tcBorders>
            <w:vAlign w:val="center"/>
          </w:tcPr>
          <w:p w:rsidR="00C4106D" w:rsidRDefault="004333DE" w14:paraId="78736209" w14:textId="77777777">
            <w:pPr>
              <w:ind w:left="64"/>
            </w:pPr>
            <w:r>
              <w:rPr>
                <w:b/>
              </w:rPr>
              <w:t xml:space="preserve">Number of </w:t>
            </w:r>
          </w:p>
          <w:p w:rsidR="00C4106D" w:rsidRDefault="004333DE" w14:paraId="7D84DBCB" w14:textId="77777777">
            <w:pPr>
              <w:spacing w:line="239" w:lineRule="auto"/>
              <w:ind w:left="400" w:hanging="336"/>
            </w:pPr>
            <w:r>
              <w:rPr>
                <w:b/>
              </w:rPr>
              <w:t xml:space="preserve">Responses per </w:t>
            </w:r>
          </w:p>
          <w:p w:rsidR="00C4106D" w:rsidRDefault="004333DE" w14:paraId="6CF0E392" w14:textId="77777777">
            <w:r>
              <w:rPr>
                <w:b/>
              </w:rPr>
              <w:t xml:space="preserve">Respondent </w:t>
            </w:r>
          </w:p>
        </w:tc>
        <w:tc>
          <w:tcPr>
            <w:tcW w:w="996" w:type="dxa"/>
            <w:vMerge w:val="restart"/>
            <w:tcBorders>
              <w:top w:val="single" w:color="000000" w:sz="6" w:space="0"/>
              <w:left w:val="single" w:color="000000" w:sz="6" w:space="0"/>
              <w:bottom w:val="single" w:color="000000" w:sz="6" w:space="0"/>
              <w:right w:val="single" w:color="000000" w:sz="6" w:space="0"/>
            </w:tcBorders>
            <w:vAlign w:val="center"/>
          </w:tcPr>
          <w:p w:rsidR="00C4106D" w:rsidRDefault="004333DE" w14:paraId="7057365F" w14:textId="77777777">
            <w:pPr>
              <w:ind w:left="80"/>
            </w:pPr>
            <w:r>
              <w:rPr>
                <w:b/>
              </w:rPr>
              <w:t xml:space="preserve">Average </w:t>
            </w:r>
          </w:p>
          <w:p w:rsidR="00C4106D" w:rsidRDefault="004333DE" w14:paraId="5CCDCEB9" w14:textId="77777777">
            <w:pPr>
              <w:ind w:right="90"/>
              <w:jc w:val="center"/>
            </w:pPr>
            <w:r>
              <w:rPr>
                <w:b/>
              </w:rPr>
              <w:t xml:space="preserve">Burden </w:t>
            </w:r>
          </w:p>
          <w:p w:rsidR="00C4106D" w:rsidRDefault="004333DE" w14:paraId="5E8084EB" w14:textId="77777777">
            <w:pPr>
              <w:jc w:val="center"/>
            </w:pPr>
            <w:r>
              <w:rPr>
                <w:b/>
              </w:rPr>
              <w:t xml:space="preserve">Hours per Response </w:t>
            </w:r>
          </w:p>
        </w:tc>
        <w:tc>
          <w:tcPr>
            <w:tcW w:w="1196" w:type="dxa"/>
            <w:vMerge w:val="restart"/>
            <w:tcBorders>
              <w:top w:val="single" w:color="000000" w:sz="6" w:space="0"/>
              <w:left w:val="single" w:color="000000" w:sz="6" w:space="0"/>
              <w:bottom w:val="single" w:color="000000" w:sz="6" w:space="0"/>
              <w:right w:val="single" w:color="000000" w:sz="6" w:space="0"/>
            </w:tcBorders>
            <w:vAlign w:val="center"/>
          </w:tcPr>
          <w:p w:rsidR="00C4106D" w:rsidRDefault="004333DE" w14:paraId="037812ED" w14:textId="77777777">
            <w:pPr>
              <w:ind w:left="288" w:hanging="208"/>
            </w:pPr>
            <w:r>
              <w:rPr>
                <w:b/>
              </w:rPr>
              <w:t xml:space="preserve">Wage per Hour </w:t>
            </w:r>
          </w:p>
        </w:tc>
        <w:tc>
          <w:tcPr>
            <w:tcW w:w="1752" w:type="dxa"/>
            <w:tcBorders>
              <w:top w:val="single" w:color="000000" w:sz="6" w:space="0"/>
              <w:left w:val="single" w:color="000000" w:sz="6" w:space="0"/>
              <w:bottom w:val="single" w:color="FFFFFF" w:sz="6" w:space="0"/>
              <w:right w:val="single" w:color="000000" w:sz="6" w:space="0"/>
            </w:tcBorders>
          </w:tcPr>
          <w:p w:rsidR="00C4106D" w:rsidRDefault="004333DE" w14:paraId="307AC2A0" w14:textId="77777777">
            <w:pPr>
              <w:jc w:val="center"/>
            </w:pPr>
            <w:r>
              <w:rPr>
                <w:b/>
              </w:rPr>
              <w:t xml:space="preserve"> </w:t>
            </w:r>
          </w:p>
          <w:p w:rsidR="00C4106D" w:rsidRDefault="004333DE" w14:paraId="70893443" w14:textId="77777777">
            <w:pPr>
              <w:ind w:right="58"/>
              <w:jc w:val="center"/>
            </w:pPr>
            <w:r>
              <w:rPr>
                <w:b/>
              </w:rPr>
              <w:t xml:space="preserve">Burden </w:t>
            </w:r>
          </w:p>
          <w:p w:rsidR="00C4106D" w:rsidRDefault="004333DE" w14:paraId="5AA6DAC3" w14:textId="77777777">
            <w:pPr>
              <w:ind w:right="57"/>
              <w:jc w:val="center"/>
            </w:pPr>
            <w:r>
              <w:rPr>
                <w:b/>
              </w:rPr>
              <w:t xml:space="preserve">Costs </w:t>
            </w:r>
          </w:p>
          <w:p w:rsidR="00C4106D" w:rsidRDefault="004333DE" w14:paraId="4E233E62" w14:textId="77777777">
            <w:pPr>
              <w:ind w:right="43"/>
              <w:jc w:val="center"/>
            </w:pPr>
            <w:r>
              <w:rPr>
                <w:b/>
              </w:rPr>
              <w:t xml:space="preserve">Total </w:t>
            </w:r>
          </w:p>
          <w:p w:rsidR="00C4106D" w:rsidRDefault="004333DE" w14:paraId="391D23BF" w14:textId="77777777">
            <w:pPr>
              <w:ind w:left="64"/>
            </w:pPr>
            <w:r>
              <w:rPr>
                <w:b/>
              </w:rPr>
              <w:t xml:space="preserve">Annualized </w:t>
            </w:r>
          </w:p>
          <w:p w:rsidR="00C4106D" w:rsidRDefault="004333DE" w14:paraId="2DF130AD" w14:textId="77777777">
            <w:pPr>
              <w:ind w:right="50"/>
              <w:jc w:val="center"/>
            </w:pPr>
            <w:r>
              <w:rPr>
                <w:b/>
              </w:rPr>
              <w:t xml:space="preserve">Response  </w:t>
            </w:r>
          </w:p>
        </w:tc>
        <w:tc>
          <w:tcPr>
            <w:tcW w:w="1599" w:type="dxa"/>
            <w:tcBorders>
              <w:top w:val="single" w:color="000000" w:sz="6" w:space="0"/>
              <w:left w:val="single" w:color="000000" w:sz="6" w:space="0"/>
              <w:bottom w:val="single" w:color="FFFFFF" w:sz="6" w:space="0"/>
              <w:right w:val="single" w:color="000000" w:sz="6" w:space="0"/>
            </w:tcBorders>
          </w:tcPr>
          <w:p w:rsidR="00C4106D" w:rsidRDefault="004333DE" w14:paraId="18E531F8" w14:textId="77777777">
            <w:pPr>
              <w:ind w:right="16"/>
              <w:jc w:val="center"/>
            </w:pPr>
            <w:r>
              <w:rPr>
                <w:b/>
              </w:rPr>
              <w:t xml:space="preserve"> </w:t>
            </w:r>
          </w:p>
          <w:p w:rsidR="00C4106D" w:rsidRDefault="004333DE" w14:paraId="2BBAB7C2" w14:textId="77777777">
            <w:pPr>
              <w:ind w:right="74"/>
              <w:jc w:val="center"/>
            </w:pPr>
            <w:r>
              <w:rPr>
                <w:b/>
              </w:rPr>
              <w:t xml:space="preserve">Burden </w:t>
            </w:r>
          </w:p>
          <w:p w:rsidR="00C4106D" w:rsidRDefault="004333DE" w14:paraId="35285DF3" w14:textId="77777777">
            <w:pPr>
              <w:ind w:right="73"/>
              <w:jc w:val="center"/>
            </w:pPr>
            <w:r>
              <w:rPr>
                <w:b/>
              </w:rPr>
              <w:t xml:space="preserve">Costs </w:t>
            </w:r>
          </w:p>
          <w:p w:rsidR="00C4106D" w:rsidRDefault="004333DE" w14:paraId="68A91043" w14:textId="77777777">
            <w:pPr>
              <w:ind w:right="51"/>
              <w:jc w:val="center"/>
            </w:pPr>
            <w:r>
              <w:rPr>
                <w:b/>
              </w:rPr>
              <w:t xml:space="preserve">Per </w:t>
            </w:r>
          </w:p>
          <w:p w:rsidR="00C4106D" w:rsidRDefault="004333DE" w14:paraId="38E1C424" w14:textId="77777777">
            <w:r>
              <w:rPr>
                <w:b/>
              </w:rPr>
              <w:t xml:space="preserve">Annualized </w:t>
            </w:r>
          </w:p>
          <w:p w:rsidR="00C4106D" w:rsidRDefault="004333DE" w14:paraId="482E5ED6" w14:textId="77777777">
            <w:pPr>
              <w:ind w:left="48"/>
            </w:pPr>
            <w:r>
              <w:rPr>
                <w:b/>
              </w:rPr>
              <w:t xml:space="preserve">Response </w:t>
            </w:r>
          </w:p>
        </w:tc>
      </w:tr>
      <w:tr w:rsidR="00C4106D" w:rsidTr="009462BB" w14:paraId="6A46EA02" w14:textId="77777777">
        <w:trPr>
          <w:trHeight w:val="752"/>
        </w:trPr>
        <w:tc>
          <w:tcPr>
            <w:tcW w:w="0" w:type="auto"/>
            <w:vMerge/>
            <w:tcBorders>
              <w:top w:val="nil"/>
              <w:left w:val="single" w:color="000000" w:sz="6" w:space="0"/>
              <w:bottom w:val="single" w:color="000000" w:sz="6" w:space="0"/>
              <w:right w:val="single" w:color="000000" w:sz="6" w:space="0"/>
            </w:tcBorders>
          </w:tcPr>
          <w:p w:rsidR="00C4106D" w:rsidRDefault="00C4106D" w14:paraId="2FC26BB0" w14:textId="77777777"/>
        </w:tc>
        <w:tc>
          <w:tcPr>
            <w:tcW w:w="0" w:type="auto"/>
            <w:vMerge/>
            <w:tcBorders>
              <w:top w:val="nil"/>
              <w:left w:val="single" w:color="000000" w:sz="6" w:space="0"/>
              <w:bottom w:val="single" w:color="000000" w:sz="6" w:space="0"/>
              <w:right w:val="single" w:color="000000" w:sz="6" w:space="0"/>
            </w:tcBorders>
          </w:tcPr>
          <w:p w:rsidR="00C4106D" w:rsidRDefault="00C4106D" w14:paraId="50AA1BD9" w14:textId="77777777"/>
        </w:tc>
        <w:tc>
          <w:tcPr>
            <w:tcW w:w="0" w:type="auto"/>
            <w:vMerge/>
            <w:tcBorders>
              <w:top w:val="nil"/>
              <w:left w:val="single" w:color="000000" w:sz="6" w:space="0"/>
              <w:bottom w:val="single" w:color="000000" w:sz="6" w:space="0"/>
              <w:right w:val="single" w:color="000000" w:sz="6" w:space="0"/>
            </w:tcBorders>
          </w:tcPr>
          <w:p w:rsidR="00C4106D" w:rsidRDefault="00C4106D" w14:paraId="28FB36AA" w14:textId="77777777"/>
        </w:tc>
        <w:tc>
          <w:tcPr>
            <w:tcW w:w="0" w:type="auto"/>
            <w:vMerge/>
            <w:tcBorders>
              <w:top w:val="nil"/>
              <w:left w:val="single" w:color="000000" w:sz="6" w:space="0"/>
              <w:bottom w:val="single" w:color="000000" w:sz="6" w:space="0"/>
              <w:right w:val="single" w:color="000000" w:sz="6" w:space="0"/>
            </w:tcBorders>
          </w:tcPr>
          <w:p w:rsidR="00C4106D" w:rsidRDefault="00C4106D" w14:paraId="486CE1A3" w14:textId="77777777"/>
        </w:tc>
        <w:tc>
          <w:tcPr>
            <w:tcW w:w="0" w:type="auto"/>
            <w:vMerge/>
            <w:tcBorders>
              <w:top w:val="nil"/>
              <w:left w:val="single" w:color="000000" w:sz="6" w:space="0"/>
              <w:bottom w:val="single" w:color="000000" w:sz="6" w:space="0"/>
              <w:right w:val="single" w:color="000000" w:sz="6" w:space="0"/>
            </w:tcBorders>
          </w:tcPr>
          <w:p w:rsidR="00C4106D" w:rsidRDefault="00C4106D" w14:paraId="141907CE" w14:textId="77777777"/>
        </w:tc>
        <w:tc>
          <w:tcPr>
            <w:tcW w:w="1752" w:type="dxa"/>
            <w:tcBorders>
              <w:top w:val="single" w:color="FFFFFF" w:sz="6" w:space="0"/>
              <w:left w:val="single" w:color="000000" w:sz="6" w:space="0"/>
              <w:bottom w:val="single" w:color="000000" w:sz="6" w:space="0"/>
              <w:right w:val="single" w:color="000000" w:sz="6" w:space="0"/>
            </w:tcBorders>
          </w:tcPr>
          <w:p w:rsidR="00C4106D" w:rsidRDefault="004333DE" w14:paraId="1F4D184B" w14:textId="77777777">
            <w:r>
              <w:rPr>
                <w:b/>
              </w:rPr>
              <w:t xml:space="preserve"> </w:t>
            </w:r>
          </w:p>
        </w:tc>
        <w:tc>
          <w:tcPr>
            <w:tcW w:w="1599" w:type="dxa"/>
            <w:tcBorders>
              <w:top w:val="single" w:color="FFFFFF" w:sz="6" w:space="0"/>
              <w:left w:val="single" w:color="000000" w:sz="6" w:space="0"/>
              <w:bottom w:val="single" w:color="000000" w:sz="6" w:space="0"/>
              <w:right w:val="single" w:color="000000" w:sz="6" w:space="0"/>
            </w:tcBorders>
          </w:tcPr>
          <w:p w:rsidR="00C4106D" w:rsidRDefault="004333DE" w14:paraId="6BA9C066" w14:textId="77777777">
            <w:pPr>
              <w:ind w:right="16"/>
              <w:jc w:val="center"/>
            </w:pPr>
            <w:r>
              <w:rPr>
                <w:b/>
              </w:rPr>
              <w:t xml:space="preserve"> </w:t>
            </w:r>
          </w:p>
        </w:tc>
      </w:tr>
      <w:tr w:rsidR="00C4106D" w:rsidTr="009462BB" w14:paraId="707F28F9" w14:textId="77777777">
        <w:trPr>
          <w:trHeight w:val="1904"/>
        </w:trPr>
        <w:tc>
          <w:tcPr>
            <w:tcW w:w="1213" w:type="dxa"/>
            <w:tcBorders>
              <w:top w:val="single" w:color="000000" w:sz="6" w:space="0"/>
              <w:left w:val="single" w:color="000000" w:sz="6" w:space="0"/>
              <w:bottom w:val="single" w:color="000000" w:sz="6" w:space="0"/>
              <w:right w:val="single" w:color="000000" w:sz="6" w:space="0"/>
            </w:tcBorders>
          </w:tcPr>
          <w:p w:rsidR="00C4106D" w:rsidRDefault="004333DE" w14:paraId="3D8C50BA" w14:textId="77777777">
            <w:r>
              <w:lastRenderedPageBreak/>
              <w:t xml:space="preserve">Medical and </w:t>
            </w:r>
          </w:p>
          <w:p w:rsidR="00C4106D" w:rsidRDefault="004333DE" w14:paraId="4B01CF07" w14:textId="77777777">
            <w:r>
              <w:t xml:space="preserve">Health </w:t>
            </w:r>
          </w:p>
          <w:p w:rsidR="00C4106D" w:rsidRDefault="004333DE" w14:paraId="1F70291F" w14:textId="77777777">
            <w:r>
              <w:t xml:space="preserve">Services </w:t>
            </w:r>
          </w:p>
          <w:p w:rsidR="00C4106D" w:rsidRDefault="004333DE" w14:paraId="2CE63B1E" w14:textId="77777777">
            <w:r>
              <w:t xml:space="preserve">Manager </w:t>
            </w:r>
          </w:p>
          <w:p w:rsidR="00C4106D" w:rsidRDefault="004333DE" w14:paraId="1776B1DC" w14:textId="77777777">
            <w:r>
              <w:t xml:space="preserve">(Occupation </w:t>
            </w:r>
          </w:p>
          <w:p w:rsidR="00C4106D" w:rsidRDefault="004333DE" w14:paraId="3F921518" w14:textId="77777777">
            <w:r>
              <w:t>Code: 11-</w:t>
            </w:r>
          </w:p>
          <w:p w:rsidR="00C4106D" w:rsidRDefault="004333DE" w14:paraId="62402131" w14:textId="77777777">
            <w:r>
              <w:t xml:space="preserve">9111) </w:t>
            </w:r>
          </w:p>
        </w:tc>
        <w:tc>
          <w:tcPr>
            <w:tcW w:w="1295"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51464F15" w14:textId="77777777">
            <w:r>
              <w:t xml:space="preserve">         5 </w:t>
            </w:r>
          </w:p>
        </w:tc>
        <w:tc>
          <w:tcPr>
            <w:tcW w:w="1211"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1154C341" w14:textId="77777777">
            <w:pPr>
              <w:ind w:right="49"/>
              <w:jc w:val="center"/>
            </w:pPr>
            <w:r>
              <w:t xml:space="preserve">5 </w:t>
            </w:r>
          </w:p>
        </w:tc>
        <w:tc>
          <w:tcPr>
            <w:tcW w:w="996"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7BD35A4B" w14:textId="77777777">
            <w:pPr>
              <w:ind w:right="81"/>
              <w:jc w:val="center"/>
            </w:pPr>
            <w:r>
              <w:t xml:space="preserve">6.8 </w:t>
            </w:r>
          </w:p>
        </w:tc>
        <w:tc>
          <w:tcPr>
            <w:tcW w:w="1196"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763BEC99" w14:textId="28DA90A2">
            <w:pPr>
              <w:ind w:right="97"/>
              <w:jc w:val="center"/>
            </w:pPr>
            <w:r>
              <w:t>$11</w:t>
            </w:r>
            <w:r w:rsidR="00541306">
              <w:t>4</w:t>
            </w:r>
            <w:r>
              <w:t>.</w:t>
            </w:r>
            <w:r w:rsidR="00541306">
              <w:t>2</w:t>
            </w:r>
            <w:r>
              <w:t xml:space="preserve">4 </w:t>
            </w:r>
          </w:p>
        </w:tc>
        <w:tc>
          <w:tcPr>
            <w:tcW w:w="175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73F0A570" w14:textId="13957610">
            <w:pPr>
              <w:ind w:right="49"/>
              <w:jc w:val="center"/>
            </w:pPr>
            <w:r>
              <w:t>$1</w:t>
            </w:r>
            <w:r w:rsidR="00E53DA4">
              <w:t>9,420</w:t>
            </w:r>
            <w:r>
              <w:t xml:space="preserve">.80 </w:t>
            </w:r>
          </w:p>
        </w:tc>
        <w:tc>
          <w:tcPr>
            <w:tcW w:w="1599" w:type="dxa"/>
            <w:tcBorders>
              <w:top w:val="single" w:color="000000" w:sz="6" w:space="0"/>
              <w:left w:val="single" w:color="000000" w:sz="6" w:space="0"/>
              <w:bottom w:val="single" w:color="000000" w:sz="6" w:space="0"/>
              <w:right w:val="single" w:color="000000" w:sz="6" w:space="0"/>
            </w:tcBorders>
          </w:tcPr>
          <w:p w:rsidR="00C4106D" w:rsidRDefault="004333DE" w14:paraId="72079D44" w14:textId="77777777">
            <w:pPr>
              <w:ind w:right="16"/>
              <w:jc w:val="center"/>
            </w:pPr>
            <w:r>
              <w:t xml:space="preserve"> </w:t>
            </w:r>
          </w:p>
          <w:p w:rsidR="00C4106D" w:rsidRDefault="004333DE" w14:paraId="292922FB" w14:textId="77777777">
            <w:pPr>
              <w:ind w:right="16"/>
              <w:jc w:val="center"/>
            </w:pPr>
            <w:r>
              <w:t xml:space="preserve"> </w:t>
            </w:r>
          </w:p>
          <w:p w:rsidR="00C4106D" w:rsidRDefault="004333DE" w14:paraId="2A2FB29A" w14:textId="77777777">
            <w:pPr>
              <w:ind w:right="16"/>
              <w:jc w:val="center"/>
            </w:pPr>
            <w:r>
              <w:t xml:space="preserve"> </w:t>
            </w:r>
          </w:p>
          <w:p w:rsidR="00C4106D" w:rsidRDefault="004333DE" w14:paraId="02E3995D" w14:textId="67DEEFB8">
            <w:pPr>
              <w:ind w:right="113"/>
              <w:jc w:val="right"/>
            </w:pPr>
            <w:r>
              <w:t>$3,</w:t>
            </w:r>
            <w:r w:rsidR="00513C9A">
              <w:t>884</w:t>
            </w:r>
            <w:r>
              <w:t xml:space="preserve">.16  </w:t>
            </w:r>
          </w:p>
        </w:tc>
      </w:tr>
      <w:tr w:rsidR="0011734B" w:rsidTr="0011734B" w14:paraId="6248B33C" w14:textId="77777777">
        <w:trPr>
          <w:trHeight w:val="1696"/>
        </w:trPr>
        <w:tc>
          <w:tcPr>
            <w:tcW w:w="1213" w:type="dxa"/>
            <w:tcBorders>
              <w:top w:val="single" w:color="000000" w:sz="6" w:space="0"/>
              <w:left w:val="single" w:color="000000" w:sz="6" w:space="0"/>
              <w:bottom w:val="single" w:color="000000" w:sz="6" w:space="0"/>
              <w:right w:val="single" w:color="000000" w:sz="6" w:space="0"/>
            </w:tcBorders>
          </w:tcPr>
          <w:p w:rsidR="00C4106D" w:rsidRDefault="004333DE" w14:paraId="5953CE65" w14:textId="77777777">
            <w:r>
              <w:t xml:space="preserve">Executive </w:t>
            </w:r>
          </w:p>
          <w:p w:rsidR="00C4106D" w:rsidRDefault="004333DE" w14:paraId="7F21E5DC" w14:textId="77777777">
            <w:r>
              <w:t xml:space="preserve">Secretaries </w:t>
            </w:r>
          </w:p>
          <w:p w:rsidR="00C4106D" w:rsidRDefault="004333DE" w14:paraId="527C1BB6" w14:textId="1515A76F">
            <w:pPr>
              <w:spacing w:after="8" w:line="232" w:lineRule="auto"/>
            </w:pPr>
            <w:r>
              <w:t xml:space="preserve">&amp; Executive Administrative </w:t>
            </w:r>
          </w:p>
          <w:p w:rsidR="0011734B" w:rsidP="0011734B" w:rsidRDefault="004333DE" w14:paraId="5865DBD0" w14:textId="77777777">
            <w:r>
              <w:t xml:space="preserve">Assistants </w:t>
            </w:r>
            <w:r w:rsidR="0011734B">
              <w:t xml:space="preserve">(Occupation </w:t>
            </w:r>
          </w:p>
          <w:p w:rsidR="0011734B" w:rsidP="0011734B" w:rsidRDefault="0011734B" w14:paraId="56AE8F01" w14:textId="77777777">
            <w:r>
              <w:t>Code: 43-</w:t>
            </w:r>
          </w:p>
          <w:p w:rsidR="00C4106D" w:rsidP="0011734B" w:rsidRDefault="0011734B" w14:paraId="7E3FF971" w14:textId="01B10E68">
            <w:r>
              <w:t xml:space="preserve">6011) </w:t>
            </w:r>
            <w:r w:rsidR="004333DE">
              <w:t xml:space="preserve"> </w:t>
            </w:r>
          </w:p>
        </w:tc>
        <w:tc>
          <w:tcPr>
            <w:tcW w:w="1295"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77516C91" w14:textId="77777777">
            <w:r>
              <w:rPr>
                <w:sz w:val="21"/>
              </w:rPr>
              <w:t xml:space="preserve">          5 </w:t>
            </w:r>
          </w:p>
        </w:tc>
        <w:tc>
          <w:tcPr>
            <w:tcW w:w="1211"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09BEF515" w14:textId="77777777">
            <w:pPr>
              <w:ind w:right="49"/>
              <w:jc w:val="center"/>
            </w:pPr>
            <w:r>
              <w:t xml:space="preserve">5 </w:t>
            </w:r>
          </w:p>
        </w:tc>
        <w:tc>
          <w:tcPr>
            <w:tcW w:w="996"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7DCCEA96" w14:textId="77777777">
            <w:pPr>
              <w:ind w:right="81"/>
              <w:jc w:val="center"/>
            </w:pPr>
            <w:r>
              <w:t xml:space="preserve">6.8 </w:t>
            </w:r>
          </w:p>
        </w:tc>
        <w:tc>
          <w:tcPr>
            <w:tcW w:w="1196"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39507308" w14:textId="6E9F509D">
            <w:pPr>
              <w:ind w:right="81"/>
              <w:jc w:val="center"/>
            </w:pPr>
            <w:r>
              <w:t>$6</w:t>
            </w:r>
            <w:r w:rsidR="000546E8">
              <w:t>2.72</w:t>
            </w:r>
            <w:r>
              <w:t xml:space="preserve"> </w:t>
            </w:r>
          </w:p>
        </w:tc>
        <w:tc>
          <w:tcPr>
            <w:tcW w:w="175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5E59BB2B" w14:textId="70E49104">
            <w:pPr>
              <w:ind w:right="49"/>
              <w:jc w:val="center"/>
            </w:pPr>
            <w:r>
              <w:t>$10,</w:t>
            </w:r>
            <w:r w:rsidR="00176783">
              <w:t>662.40</w:t>
            </w:r>
            <w:r>
              <w:t xml:space="preserve"> </w:t>
            </w:r>
          </w:p>
        </w:tc>
        <w:tc>
          <w:tcPr>
            <w:tcW w:w="1599" w:type="dxa"/>
            <w:tcBorders>
              <w:top w:val="single" w:color="000000" w:sz="6" w:space="0"/>
              <w:left w:val="single" w:color="000000" w:sz="6" w:space="0"/>
              <w:bottom w:val="single" w:color="000000" w:sz="6" w:space="0"/>
              <w:right w:val="single" w:color="000000" w:sz="6" w:space="0"/>
            </w:tcBorders>
          </w:tcPr>
          <w:p w:rsidR="00C4106D" w:rsidRDefault="004333DE" w14:paraId="336E427B" w14:textId="77777777">
            <w:pPr>
              <w:ind w:right="16"/>
              <w:jc w:val="center"/>
            </w:pPr>
            <w:r>
              <w:t xml:space="preserve"> </w:t>
            </w:r>
          </w:p>
          <w:p w:rsidR="00C4106D" w:rsidRDefault="004333DE" w14:paraId="27F924B4" w14:textId="77777777">
            <w:pPr>
              <w:ind w:right="16"/>
              <w:jc w:val="center"/>
            </w:pPr>
            <w:r>
              <w:t xml:space="preserve"> </w:t>
            </w:r>
          </w:p>
          <w:p w:rsidR="00541306" w:rsidRDefault="004333DE" w14:paraId="75635C71" w14:textId="0B9C3B92">
            <w:pPr>
              <w:ind w:right="45"/>
              <w:jc w:val="center"/>
            </w:pPr>
            <w:r>
              <w:rPr>
                <w:sz w:val="10"/>
              </w:rPr>
              <w:t xml:space="preserve"> </w:t>
            </w:r>
          </w:p>
          <w:p w:rsidR="00541306" w:rsidP="009462BB" w:rsidRDefault="00541306" w14:paraId="6775EA4D" w14:textId="77777777">
            <w:pPr>
              <w:ind w:right="45"/>
              <w:jc w:val="center"/>
            </w:pPr>
          </w:p>
          <w:p w:rsidR="00C4106D" w:rsidP="009462BB" w:rsidRDefault="004333DE" w14:paraId="55D18784" w14:textId="1257B6D6">
            <w:pPr>
              <w:spacing w:after="187"/>
              <w:ind w:right="63"/>
              <w:jc w:val="center"/>
            </w:pPr>
            <w:r>
              <w:t>$2,</w:t>
            </w:r>
            <w:r w:rsidR="0011734B">
              <w:t>132.48</w:t>
            </w:r>
            <w:r>
              <w:t xml:space="preserve"> </w:t>
            </w:r>
          </w:p>
        </w:tc>
      </w:tr>
      <w:tr w:rsidR="00C4106D" w:rsidTr="009462BB" w14:paraId="7136ECF6" w14:textId="77777777">
        <w:trPr>
          <w:trHeight w:val="400"/>
        </w:trPr>
        <w:tc>
          <w:tcPr>
            <w:tcW w:w="1213" w:type="dxa"/>
            <w:tcBorders>
              <w:top w:val="single" w:color="000000" w:sz="6" w:space="0"/>
              <w:left w:val="single" w:color="000000" w:sz="6" w:space="0"/>
              <w:bottom w:val="single" w:color="000000" w:sz="6" w:space="0"/>
              <w:right w:val="single" w:color="000000" w:sz="6" w:space="0"/>
            </w:tcBorders>
          </w:tcPr>
          <w:p w:rsidR="00C4106D" w:rsidRDefault="004333DE" w14:paraId="35DD68DE" w14:textId="77777777">
            <w:r>
              <w:rPr>
                <w:b/>
              </w:rPr>
              <w:t xml:space="preserve">Total </w:t>
            </w:r>
          </w:p>
        </w:tc>
        <w:tc>
          <w:tcPr>
            <w:tcW w:w="1295" w:type="dxa"/>
            <w:tcBorders>
              <w:top w:val="single" w:color="000000" w:sz="6" w:space="0"/>
              <w:left w:val="single" w:color="000000" w:sz="6" w:space="0"/>
              <w:bottom w:val="single" w:color="000000" w:sz="6" w:space="0"/>
              <w:right w:val="single" w:color="000000" w:sz="6" w:space="0"/>
            </w:tcBorders>
          </w:tcPr>
          <w:p w:rsidR="00C4106D" w:rsidRDefault="004333DE" w14:paraId="0A0CDD6D" w14:textId="77777777">
            <w:pPr>
              <w:ind w:left="28"/>
              <w:jc w:val="center"/>
            </w:pPr>
            <w:r>
              <w:rPr>
                <w:b/>
                <w:sz w:val="21"/>
              </w:rPr>
              <w:t xml:space="preserve"> </w:t>
            </w:r>
          </w:p>
        </w:tc>
        <w:tc>
          <w:tcPr>
            <w:tcW w:w="1211" w:type="dxa"/>
            <w:tcBorders>
              <w:top w:val="single" w:color="000000" w:sz="6" w:space="0"/>
              <w:left w:val="single" w:color="000000" w:sz="6" w:space="0"/>
              <w:bottom w:val="single" w:color="000000" w:sz="6" w:space="0"/>
              <w:right w:val="single" w:color="000000" w:sz="6" w:space="0"/>
            </w:tcBorders>
          </w:tcPr>
          <w:p w:rsidR="00C4106D" w:rsidRDefault="004333DE" w14:paraId="2A974ABB" w14:textId="77777777">
            <w:pPr>
              <w:ind w:left="12"/>
              <w:jc w:val="center"/>
            </w:pPr>
            <w:r>
              <w:rPr>
                <w:b/>
                <w:sz w:val="21"/>
              </w:rPr>
              <w:t xml:space="preserve"> </w:t>
            </w:r>
          </w:p>
        </w:tc>
        <w:tc>
          <w:tcPr>
            <w:tcW w:w="996" w:type="dxa"/>
            <w:tcBorders>
              <w:top w:val="single" w:color="000000" w:sz="6" w:space="0"/>
              <w:left w:val="single" w:color="000000" w:sz="6" w:space="0"/>
              <w:bottom w:val="single" w:color="000000" w:sz="6" w:space="0"/>
              <w:right w:val="single" w:color="000000" w:sz="6" w:space="0"/>
            </w:tcBorders>
          </w:tcPr>
          <w:p w:rsidR="00C4106D" w:rsidRDefault="004333DE" w14:paraId="091AC140" w14:textId="77777777">
            <w:pPr>
              <w:ind w:right="57"/>
              <w:jc w:val="center"/>
            </w:pPr>
            <w:r>
              <w:rPr>
                <w:b/>
                <w:sz w:val="21"/>
              </w:rPr>
              <w:t xml:space="preserve">13.6 </w:t>
            </w:r>
          </w:p>
        </w:tc>
        <w:tc>
          <w:tcPr>
            <w:tcW w:w="1196" w:type="dxa"/>
            <w:tcBorders>
              <w:top w:val="single" w:color="000000" w:sz="6" w:space="0"/>
              <w:left w:val="single" w:color="000000" w:sz="6" w:space="0"/>
              <w:bottom w:val="single" w:color="000000" w:sz="6" w:space="0"/>
              <w:right w:val="single" w:color="000000" w:sz="6" w:space="0"/>
            </w:tcBorders>
          </w:tcPr>
          <w:p w:rsidR="00C4106D" w:rsidRDefault="004333DE" w14:paraId="62747B81" w14:textId="77777777">
            <w:pPr>
              <w:ind w:right="20"/>
              <w:jc w:val="center"/>
            </w:pPr>
            <w:r>
              <w:rPr>
                <w:b/>
                <w:sz w:val="21"/>
              </w:rPr>
              <w:t xml:space="preserve"> </w:t>
            </w:r>
          </w:p>
        </w:tc>
        <w:tc>
          <w:tcPr>
            <w:tcW w:w="1752" w:type="dxa"/>
            <w:tcBorders>
              <w:top w:val="single" w:color="000000" w:sz="6" w:space="0"/>
              <w:left w:val="single" w:color="000000" w:sz="6" w:space="0"/>
              <w:bottom w:val="single" w:color="000000" w:sz="6" w:space="0"/>
              <w:right w:val="single" w:color="000000" w:sz="6" w:space="0"/>
            </w:tcBorders>
          </w:tcPr>
          <w:p w:rsidR="00C4106D" w:rsidRDefault="004333DE" w14:paraId="29B2FA1A" w14:textId="3A9EE7C1">
            <w:pPr>
              <w:ind w:right="9"/>
              <w:jc w:val="center"/>
            </w:pPr>
            <w:r>
              <w:rPr>
                <w:b/>
                <w:sz w:val="21"/>
              </w:rPr>
              <w:t>$</w:t>
            </w:r>
            <w:r w:rsidR="00E53DA4">
              <w:rPr>
                <w:b/>
                <w:sz w:val="21"/>
              </w:rPr>
              <w:t>30</w:t>
            </w:r>
            <w:r>
              <w:rPr>
                <w:b/>
                <w:sz w:val="21"/>
              </w:rPr>
              <w:t>,</w:t>
            </w:r>
            <w:r w:rsidR="00E53DA4">
              <w:rPr>
                <w:b/>
                <w:sz w:val="21"/>
              </w:rPr>
              <w:t>083</w:t>
            </w:r>
            <w:r w:rsidR="00C155AD">
              <w:rPr>
                <w:b/>
                <w:sz w:val="21"/>
              </w:rPr>
              <w:t>.20</w:t>
            </w:r>
            <w:r>
              <w:rPr>
                <w:b/>
                <w:sz w:val="21"/>
              </w:rPr>
              <w:t xml:space="preserve"> </w:t>
            </w:r>
          </w:p>
        </w:tc>
        <w:tc>
          <w:tcPr>
            <w:tcW w:w="1599" w:type="dxa"/>
            <w:tcBorders>
              <w:top w:val="single" w:color="000000" w:sz="6" w:space="0"/>
              <w:left w:val="single" w:color="000000" w:sz="6" w:space="0"/>
              <w:bottom w:val="single" w:color="000000" w:sz="6" w:space="0"/>
              <w:right w:val="single" w:color="000000" w:sz="6" w:space="0"/>
            </w:tcBorders>
          </w:tcPr>
          <w:p w:rsidR="00C4106D" w:rsidP="00A329C3" w:rsidRDefault="004333DE" w14:paraId="507D47C3" w14:textId="6B007F33">
            <w:pPr>
              <w:spacing w:after="124"/>
              <w:ind w:right="20"/>
            </w:pPr>
            <w:r>
              <w:rPr>
                <w:b/>
                <w:sz w:val="6"/>
              </w:rPr>
              <w:t xml:space="preserve"> </w:t>
            </w:r>
            <w:r w:rsidR="00541306">
              <w:rPr>
                <w:b/>
                <w:sz w:val="21"/>
              </w:rPr>
              <w:t xml:space="preserve">   </w:t>
            </w:r>
            <w:r>
              <w:rPr>
                <w:b/>
                <w:sz w:val="21"/>
              </w:rPr>
              <w:t>$</w:t>
            </w:r>
            <w:r w:rsidR="00513C9A">
              <w:rPr>
                <w:b/>
                <w:sz w:val="21"/>
              </w:rPr>
              <w:t>6</w:t>
            </w:r>
            <w:r>
              <w:rPr>
                <w:b/>
                <w:sz w:val="21"/>
              </w:rPr>
              <w:t>,</w:t>
            </w:r>
            <w:r w:rsidR="00513C9A">
              <w:rPr>
                <w:b/>
                <w:sz w:val="21"/>
              </w:rPr>
              <w:t>016</w:t>
            </w:r>
            <w:r w:rsidR="00C155AD">
              <w:rPr>
                <w:b/>
                <w:sz w:val="21"/>
              </w:rPr>
              <w:t>.64</w:t>
            </w:r>
          </w:p>
        </w:tc>
      </w:tr>
    </w:tbl>
    <w:p w:rsidR="00C4106D" w:rsidRDefault="004333DE" w14:paraId="632D9380" w14:textId="77777777">
      <w:pPr>
        <w:spacing w:after="0"/>
        <w:ind w:left="1"/>
      </w:pPr>
      <w:r>
        <w:rPr>
          <w:sz w:val="21"/>
        </w:rPr>
        <w:t xml:space="preserve"> </w:t>
      </w:r>
    </w:p>
    <w:p w:rsidR="00C4106D" w:rsidRDefault="004333DE" w14:paraId="66807256" w14:textId="77777777">
      <w:pPr>
        <w:spacing w:after="23" w:line="230" w:lineRule="auto"/>
        <w:ind w:left="-4" w:hanging="10"/>
      </w:pPr>
      <w:r>
        <w:rPr>
          <w:rFonts w:ascii="Times New Roman" w:hAnsi="Times New Roman" w:eastAsia="Times New Roman" w:cs="Times New Roman"/>
          <w:sz w:val="21"/>
        </w:rPr>
        <w:t>The wage per hour is taken from th</w:t>
      </w:r>
      <w:hyperlink r:id="rId26">
        <w:r>
          <w:rPr>
            <w:rFonts w:ascii="Times New Roman" w:hAnsi="Times New Roman" w:eastAsia="Times New Roman" w:cs="Times New Roman"/>
            <w:sz w:val="21"/>
          </w:rPr>
          <w:t xml:space="preserve">e </w:t>
        </w:r>
      </w:hyperlink>
      <w:hyperlink r:id="rId27">
        <w:r>
          <w:rPr>
            <w:rFonts w:ascii="Times New Roman" w:hAnsi="Times New Roman" w:eastAsia="Times New Roman" w:cs="Times New Roman"/>
            <w:color w:val="0000FF"/>
            <w:sz w:val="21"/>
            <w:u w:val="single" w:color="0000FF"/>
          </w:rPr>
          <w:t>Bureau of Labor Statistics</w:t>
        </w:r>
      </w:hyperlink>
      <w:r>
        <w:rPr>
          <w:rFonts w:ascii="Times New Roman" w:hAnsi="Times New Roman" w:eastAsia="Times New Roman" w:cs="Times New Roman"/>
          <w:color w:val="0000FF"/>
          <w:sz w:val="21"/>
        </w:rPr>
        <w:t xml:space="preserve"> </w:t>
      </w:r>
      <w:r>
        <w:rPr>
          <w:rFonts w:ascii="Times New Roman" w:hAnsi="Times New Roman" w:eastAsia="Times New Roman" w:cs="Times New Roman"/>
          <w:sz w:val="21"/>
        </w:rPr>
        <w:t xml:space="preserve">for (1) Medical and Health Service Manager; (1) Executive Secretaries &amp; Executive Administrative Assistants. </w:t>
      </w:r>
      <w:r>
        <w:rPr>
          <w:sz w:val="21"/>
        </w:rPr>
        <w:t xml:space="preserve"> </w:t>
      </w:r>
    </w:p>
    <w:p w:rsidR="00C4106D" w:rsidRDefault="004333DE" w14:paraId="68AF291A" w14:textId="77777777">
      <w:pPr>
        <w:spacing w:after="0"/>
        <w:ind w:left="1"/>
      </w:pPr>
      <w:r>
        <w:rPr>
          <w:b/>
        </w:rPr>
        <w:t xml:space="preserve"> </w:t>
      </w:r>
    </w:p>
    <w:p w:rsidR="00C4106D" w:rsidRDefault="004333DE" w14:paraId="22C8BED0" w14:textId="6EC9CE2B">
      <w:pPr>
        <w:spacing w:after="3" w:line="248" w:lineRule="auto"/>
        <w:ind w:left="-5" w:right="116" w:hanging="9"/>
        <w:jc w:val="both"/>
      </w:pPr>
      <w:r>
        <w:t xml:space="preserve">The State Flexibility Cycle I Grant’s total burden hours for reporting are estimate to be </w:t>
      </w:r>
      <w:r>
        <w:rPr>
          <w:b/>
        </w:rPr>
        <w:t>13.6 per response</w:t>
      </w:r>
      <w:r>
        <w:t xml:space="preserve">. The total cost associated with that estimate is </w:t>
      </w:r>
      <w:r>
        <w:rPr>
          <w:b/>
        </w:rPr>
        <w:t>$</w:t>
      </w:r>
      <w:r w:rsidR="00E53DA4">
        <w:rPr>
          <w:b/>
        </w:rPr>
        <w:t>6</w:t>
      </w:r>
      <w:r>
        <w:rPr>
          <w:b/>
        </w:rPr>
        <w:t>,</w:t>
      </w:r>
      <w:r w:rsidR="00E53DA4">
        <w:rPr>
          <w:b/>
        </w:rPr>
        <w:t>016</w:t>
      </w:r>
      <w:r w:rsidR="00C155AD">
        <w:rPr>
          <w:b/>
        </w:rPr>
        <w:t>.64</w:t>
      </w:r>
      <w:r>
        <w:rPr>
          <w:b/>
        </w:rPr>
        <w:t xml:space="preserve"> per response. </w:t>
      </w:r>
    </w:p>
    <w:p w:rsidR="00C4106D" w:rsidRDefault="004333DE" w14:paraId="0A4CE86A" w14:textId="77777777">
      <w:pPr>
        <w:spacing w:after="4"/>
        <w:ind w:left="29"/>
        <w:jc w:val="center"/>
      </w:pPr>
      <w:r>
        <w:rPr>
          <w:b/>
        </w:rPr>
        <w:t xml:space="preserve"> </w:t>
      </w:r>
    </w:p>
    <w:p w:rsidR="00C4106D" w:rsidRDefault="004333DE" w14:paraId="437CDC7C" w14:textId="77777777">
      <w:pPr>
        <w:spacing w:after="0"/>
        <w:ind w:left="10" w:right="2" w:hanging="10"/>
        <w:jc w:val="center"/>
      </w:pPr>
      <w:r>
        <w:rPr>
          <w:b/>
          <w:u w:val="single" w:color="000000"/>
        </w:rPr>
        <w:t>T</w:t>
      </w:r>
      <w:r>
        <w:rPr>
          <w:b/>
          <w:sz w:val="18"/>
          <w:u w:val="single" w:color="000000"/>
        </w:rPr>
        <w:t xml:space="preserve">HE </w:t>
      </w:r>
      <w:r>
        <w:rPr>
          <w:b/>
          <w:u w:val="single" w:color="000000"/>
        </w:rPr>
        <w:t>S</w:t>
      </w:r>
      <w:r>
        <w:rPr>
          <w:b/>
          <w:sz w:val="18"/>
          <w:u w:val="single" w:color="000000"/>
        </w:rPr>
        <w:t xml:space="preserve">TATE </w:t>
      </w:r>
      <w:r>
        <w:rPr>
          <w:b/>
          <w:u w:val="single" w:color="000000"/>
        </w:rPr>
        <w:t>F</w:t>
      </w:r>
      <w:r>
        <w:rPr>
          <w:b/>
          <w:sz w:val="18"/>
          <w:u w:val="single" w:color="000000"/>
        </w:rPr>
        <w:t xml:space="preserve">LEXIBILITY </w:t>
      </w:r>
      <w:r>
        <w:rPr>
          <w:b/>
          <w:u w:val="single" w:color="000000"/>
        </w:rPr>
        <w:t>C</w:t>
      </w:r>
      <w:r>
        <w:rPr>
          <w:b/>
          <w:sz w:val="18"/>
          <w:u w:val="single" w:color="000000"/>
        </w:rPr>
        <w:t xml:space="preserve">YCLE </w:t>
      </w:r>
      <w:r>
        <w:rPr>
          <w:b/>
          <w:u w:val="single" w:color="000000"/>
        </w:rPr>
        <w:t>II</w:t>
      </w:r>
      <w:r>
        <w:rPr>
          <w:b/>
          <w:sz w:val="18"/>
          <w:u w:val="single" w:color="000000"/>
        </w:rPr>
        <w:t xml:space="preserve"> </w:t>
      </w:r>
      <w:r>
        <w:rPr>
          <w:b/>
          <w:u w:val="single" w:color="000000"/>
        </w:rPr>
        <w:t>G</w:t>
      </w:r>
      <w:r>
        <w:rPr>
          <w:b/>
          <w:sz w:val="18"/>
          <w:u w:val="single" w:color="000000"/>
        </w:rPr>
        <w:t xml:space="preserve">RANT </w:t>
      </w:r>
      <w:r>
        <w:rPr>
          <w:b/>
          <w:u w:val="single" w:color="000000"/>
        </w:rPr>
        <w:t>P</w:t>
      </w:r>
      <w:r>
        <w:rPr>
          <w:b/>
          <w:sz w:val="18"/>
          <w:u w:val="single" w:color="000000"/>
        </w:rPr>
        <w:t>ROCESS</w:t>
      </w:r>
      <w:r>
        <w:rPr>
          <w:b/>
        </w:rPr>
        <w:t xml:space="preserve"> </w:t>
      </w:r>
    </w:p>
    <w:p w:rsidR="00C4106D" w:rsidRDefault="004333DE" w14:paraId="282360CF" w14:textId="77777777">
      <w:pPr>
        <w:spacing w:after="0"/>
        <w:ind w:left="1"/>
      </w:pPr>
      <w:r>
        <w:rPr>
          <w:b/>
        </w:rPr>
        <w:t xml:space="preserve"> </w:t>
      </w:r>
    </w:p>
    <w:p w:rsidR="00C4106D" w:rsidRDefault="004333DE" w14:paraId="70459DEB" w14:textId="77777777">
      <w:pPr>
        <w:spacing w:after="5" w:line="249" w:lineRule="auto"/>
        <w:ind w:left="-4" w:hanging="10"/>
      </w:pPr>
      <w:r>
        <w:rPr>
          <w:b/>
        </w:rPr>
        <w:t xml:space="preserve">12C. Estimated Annualized Burden Hours </w:t>
      </w:r>
    </w:p>
    <w:p w:rsidR="00C4106D" w:rsidRDefault="004333DE" w14:paraId="39C82D78" w14:textId="77777777">
      <w:pPr>
        <w:spacing w:after="0"/>
        <w:ind w:left="1"/>
      </w:pPr>
      <w:r>
        <w:rPr>
          <w:b/>
          <w:sz w:val="24"/>
        </w:rPr>
        <w:t xml:space="preserve"> </w:t>
      </w:r>
    </w:p>
    <w:tbl>
      <w:tblPr>
        <w:tblStyle w:val="TableGrid"/>
        <w:tblW w:w="9200" w:type="dxa"/>
        <w:tblInd w:w="89" w:type="dxa"/>
        <w:tblCellMar>
          <w:top w:w="48" w:type="dxa"/>
          <w:left w:w="104" w:type="dxa"/>
          <w:right w:w="37" w:type="dxa"/>
        </w:tblCellMar>
        <w:tblLook w:val="04A0" w:firstRow="1" w:lastRow="0" w:firstColumn="1" w:lastColumn="0" w:noHBand="0" w:noVBand="1"/>
      </w:tblPr>
      <w:tblGrid>
        <w:gridCol w:w="1728"/>
        <w:gridCol w:w="1840"/>
        <w:gridCol w:w="1504"/>
        <w:gridCol w:w="1344"/>
        <w:gridCol w:w="1392"/>
        <w:gridCol w:w="1392"/>
      </w:tblGrid>
      <w:tr w:rsidR="00C4106D" w14:paraId="720D73B1" w14:textId="77777777">
        <w:trPr>
          <w:trHeight w:val="1088"/>
        </w:trPr>
        <w:tc>
          <w:tcPr>
            <w:tcW w:w="1728" w:type="dxa"/>
            <w:tcBorders>
              <w:top w:val="single" w:color="000000" w:sz="6" w:space="0"/>
              <w:left w:val="single" w:color="000000" w:sz="6" w:space="0"/>
              <w:bottom w:val="single" w:color="000000" w:sz="6" w:space="0"/>
              <w:right w:val="single" w:color="000000" w:sz="6" w:space="0"/>
            </w:tcBorders>
          </w:tcPr>
          <w:p w:rsidR="00C4106D" w:rsidRDefault="004333DE" w14:paraId="4F851A0D" w14:textId="77777777">
            <w:pPr>
              <w:spacing w:after="249"/>
              <w:ind w:right="57"/>
              <w:jc w:val="center"/>
            </w:pPr>
            <w:r>
              <w:rPr>
                <w:b/>
              </w:rPr>
              <w:t xml:space="preserve">Forms </w:t>
            </w:r>
          </w:p>
          <w:p w:rsidR="00C4106D" w:rsidRDefault="004333DE" w14:paraId="40454D2C" w14:textId="77777777">
            <w:pPr>
              <w:ind w:right="45"/>
              <w:jc w:val="center"/>
            </w:pPr>
            <w:r>
              <w:rPr>
                <w:b/>
              </w:rPr>
              <w:t xml:space="preserve">(If necessary) </w:t>
            </w:r>
          </w:p>
        </w:tc>
        <w:tc>
          <w:tcPr>
            <w:tcW w:w="1840"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3DAE72C4" w14:textId="77777777">
            <w:pPr>
              <w:ind w:left="224" w:firstLine="240"/>
            </w:pPr>
            <w:r>
              <w:rPr>
                <w:b/>
              </w:rPr>
              <w:t xml:space="preserve">Type of Respondent </w:t>
            </w:r>
          </w:p>
        </w:tc>
        <w:tc>
          <w:tcPr>
            <w:tcW w:w="1504"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6875A49D" w14:textId="0088396E">
            <w:pPr>
              <w:ind w:left="32" w:firstLine="112"/>
            </w:pPr>
            <w:r>
              <w:rPr>
                <w:b/>
              </w:rPr>
              <w:t xml:space="preserve">Number of Respondents </w:t>
            </w:r>
          </w:p>
        </w:tc>
        <w:tc>
          <w:tcPr>
            <w:tcW w:w="1344" w:type="dxa"/>
            <w:tcBorders>
              <w:top w:val="single" w:color="000000" w:sz="6" w:space="0"/>
              <w:left w:val="single" w:color="000000" w:sz="6" w:space="0"/>
              <w:bottom w:val="single" w:color="000000" w:sz="6" w:space="0"/>
              <w:right w:val="single" w:color="000000" w:sz="6" w:space="0"/>
            </w:tcBorders>
          </w:tcPr>
          <w:p w:rsidR="00C4106D" w:rsidRDefault="004333DE" w14:paraId="04390BF5" w14:textId="77777777">
            <w:pPr>
              <w:ind w:left="80"/>
            </w:pPr>
            <w:r>
              <w:rPr>
                <w:b/>
              </w:rPr>
              <w:t xml:space="preserve">Number of </w:t>
            </w:r>
          </w:p>
          <w:p w:rsidR="00C4106D" w:rsidRDefault="004333DE" w14:paraId="1B8C5F38" w14:textId="77777777">
            <w:pPr>
              <w:spacing w:line="239" w:lineRule="auto"/>
              <w:jc w:val="center"/>
            </w:pPr>
            <w:r>
              <w:rPr>
                <w:b/>
              </w:rPr>
              <w:t xml:space="preserve">Responses per </w:t>
            </w:r>
          </w:p>
          <w:p w:rsidR="00C4106D" w:rsidRDefault="004333DE" w14:paraId="732D9712" w14:textId="77777777">
            <w:pPr>
              <w:ind w:left="16"/>
            </w:pPr>
            <w:r>
              <w:rPr>
                <w:b/>
              </w:rPr>
              <w:t xml:space="preserve">Respondent </w:t>
            </w:r>
          </w:p>
        </w:tc>
        <w:tc>
          <w:tcPr>
            <w:tcW w:w="1392" w:type="dxa"/>
            <w:tcBorders>
              <w:top w:val="single" w:color="000000" w:sz="6" w:space="0"/>
              <w:left w:val="single" w:color="000000" w:sz="6" w:space="0"/>
              <w:bottom w:val="single" w:color="000000" w:sz="6" w:space="0"/>
              <w:right w:val="single" w:color="000000" w:sz="6" w:space="0"/>
            </w:tcBorders>
          </w:tcPr>
          <w:p w:rsidR="00C4106D" w:rsidRDefault="004333DE" w14:paraId="3709826E" w14:textId="77777777">
            <w:pPr>
              <w:ind w:right="58"/>
              <w:jc w:val="center"/>
            </w:pPr>
            <w:r>
              <w:rPr>
                <w:b/>
              </w:rPr>
              <w:t xml:space="preserve">Estimated </w:t>
            </w:r>
          </w:p>
          <w:p w:rsidR="00C4106D" w:rsidRDefault="004333DE" w14:paraId="02DD773A" w14:textId="77777777">
            <w:pPr>
              <w:ind w:left="144" w:firstLine="112"/>
            </w:pPr>
            <w:r>
              <w:rPr>
                <w:b/>
              </w:rPr>
              <w:t xml:space="preserve">Burden hours per Response </w:t>
            </w:r>
          </w:p>
        </w:tc>
        <w:tc>
          <w:tcPr>
            <w:tcW w:w="1392" w:type="dxa"/>
            <w:tcBorders>
              <w:top w:val="single" w:color="000000" w:sz="6" w:space="0"/>
              <w:left w:val="single" w:color="000000" w:sz="6" w:space="0"/>
              <w:bottom w:val="single" w:color="000000" w:sz="6" w:space="0"/>
              <w:right w:val="single" w:color="000000" w:sz="6" w:space="0"/>
            </w:tcBorders>
          </w:tcPr>
          <w:p w:rsidR="00C4106D" w:rsidRDefault="004333DE" w14:paraId="0533A791" w14:textId="77777777">
            <w:pPr>
              <w:ind w:right="60"/>
              <w:jc w:val="center"/>
            </w:pPr>
            <w:r>
              <w:rPr>
                <w:b/>
              </w:rPr>
              <w:t xml:space="preserve">Total </w:t>
            </w:r>
          </w:p>
          <w:p w:rsidR="00C4106D" w:rsidRDefault="004333DE" w14:paraId="29B021B3" w14:textId="77777777">
            <w:pPr>
              <w:ind w:right="58"/>
              <w:jc w:val="center"/>
            </w:pPr>
            <w:r>
              <w:rPr>
                <w:b/>
              </w:rPr>
              <w:t xml:space="preserve">Estimated </w:t>
            </w:r>
          </w:p>
          <w:p w:rsidR="00C4106D" w:rsidRDefault="004333DE" w14:paraId="65098717" w14:textId="77777777">
            <w:pPr>
              <w:ind w:right="74"/>
              <w:jc w:val="center"/>
            </w:pPr>
            <w:r>
              <w:rPr>
                <w:b/>
              </w:rPr>
              <w:t xml:space="preserve">Burden </w:t>
            </w:r>
          </w:p>
          <w:p w:rsidR="00C4106D" w:rsidRDefault="004333DE" w14:paraId="39905B5B" w14:textId="77777777">
            <w:pPr>
              <w:ind w:right="73"/>
              <w:jc w:val="center"/>
            </w:pPr>
            <w:r>
              <w:rPr>
                <w:b/>
              </w:rPr>
              <w:t xml:space="preserve">Hours </w:t>
            </w:r>
          </w:p>
        </w:tc>
      </w:tr>
      <w:tr w:rsidR="00C4106D" w14:paraId="516E9F88" w14:textId="77777777">
        <w:trPr>
          <w:trHeight w:val="640"/>
        </w:trPr>
        <w:tc>
          <w:tcPr>
            <w:tcW w:w="1728" w:type="dxa"/>
            <w:tcBorders>
              <w:top w:val="single" w:color="000000" w:sz="6" w:space="0"/>
              <w:left w:val="single" w:color="000000" w:sz="6" w:space="0"/>
              <w:bottom w:val="single" w:color="000000" w:sz="6" w:space="0"/>
              <w:right w:val="single" w:color="000000" w:sz="6" w:space="0"/>
            </w:tcBorders>
          </w:tcPr>
          <w:p w:rsidR="00C4106D" w:rsidRDefault="004333DE" w14:paraId="091C5201" w14:textId="77777777">
            <w:pPr>
              <w:ind w:left="16" w:right="37"/>
            </w:pPr>
            <w:r>
              <w:t xml:space="preserve">Quarterly Report </w:t>
            </w:r>
          </w:p>
        </w:tc>
        <w:tc>
          <w:tcPr>
            <w:tcW w:w="1840" w:type="dxa"/>
            <w:tcBorders>
              <w:top w:val="single" w:color="000000" w:sz="6" w:space="0"/>
              <w:left w:val="single" w:color="000000" w:sz="6" w:space="0"/>
              <w:bottom w:val="single" w:color="000000" w:sz="6" w:space="0"/>
              <w:right w:val="single" w:color="000000" w:sz="6" w:space="0"/>
            </w:tcBorders>
          </w:tcPr>
          <w:p w:rsidR="00C4106D" w:rsidRDefault="004333DE" w14:paraId="1E8297DA" w14:textId="77777777">
            <w:r>
              <w:t xml:space="preserve">State </w:t>
            </w:r>
          </w:p>
          <w:p w:rsidR="00C4106D" w:rsidRDefault="004333DE" w14:paraId="13085579" w14:textId="77777777">
            <w:r>
              <w:t xml:space="preserve">Government </w:t>
            </w:r>
          </w:p>
        </w:tc>
        <w:tc>
          <w:tcPr>
            <w:tcW w:w="1504"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41C3BD2D" w14:textId="77777777">
            <w:pPr>
              <w:ind w:right="65"/>
              <w:jc w:val="right"/>
            </w:pPr>
            <w:r>
              <w:t xml:space="preserve">29 </w:t>
            </w:r>
          </w:p>
        </w:tc>
        <w:tc>
          <w:tcPr>
            <w:tcW w:w="1344"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0D3D465C" w14:textId="77777777">
            <w:pPr>
              <w:ind w:right="65"/>
              <w:jc w:val="right"/>
            </w:pPr>
            <w:r>
              <w:t xml:space="preserve">4 </w:t>
            </w:r>
          </w:p>
        </w:tc>
        <w:tc>
          <w:tcPr>
            <w:tcW w:w="139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02C0F731" w14:textId="77777777">
            <w:pPr>
              <w:ind w:right="49"/>
              <w:jc w:val="right"/>
            </w:pPr>
            <w:r>
              <w:t xml:space="preserve">12 </w:t>
            </w:r>
          </w:p>
        </w:tc>
        <w:tc>
          <w:tcPr>
            <w:tcW w:w="139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3FD7B604" w14:textId="77777777">
            <w:pPr>
              <w:ind w:right="65"/>
              <w:jc w:val="right"/>
            </w:pPr>
            <w:r>
              <w:t xml:space="preserve">1,392 </w:t>
            </w:r>
          </w:p>
        </w:tc>
      </w:tr>
      <w:tr w:rsidR="00C4106D" w14:paraId="20031951" w14:textId="77777777">
        <w:trPr>
          <w:trHeight w:val="640"/>
        </w:trPr>
        <w:tc>
          <w:tcPr>
            <w:tcW w:w="1728"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1BEAFA5A" w14:textId="77777777">
            <w:pPr>
              <w:ind w:left="16"/>
            </w:pPr>
            <w:r>
              <w:t xml:space="preserve">Annual Report </w:t>
            </w:r>
          </w:p>
        </w:tc>
        <w:tc>
          <w:tcPr>
            <w:tcW w:w="1840" w:type="dxa"/>
            <w:tcBorders>
              <w:top w:val="single" w:color="000000" w:sz="6" w:space="0"/>
              <w:left w:val="single" w:color="000000" w:sz="6" w:space="0"/>
              <w:bottom w:val="single" w:color="000000" w:sz="6" w:space="0"/>
              <w:right w:val="single" w:color="000000" w:sz="6" w:space="0"/>
            </w:tcBorders>
          </w:tcPr>
          <w:p w:rsidR="00C4106D" w:rsidRDefault="004333DE" w14:paraId="20930F49" w14:textId="77777777">
            <w:r>
              <w:t xml:space="preserve">State </w:t>
            </w:r>
          </w:p>
          <w:p w:rsidR="00C4106D" w:rsidRDefault="004333DE" w14:paraId="44BE2D06" w14:textId="77777777">
            <w:r>
              <w:t xml:space="preserve">Government </w:t>
            </w:r>
          </w:p>
        </w:tc>
        <w:tc>
          <w:tcPr>
            <w:tcW w:w="1504"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4ED22049" w14:textId="77777777">
            <w:pPr>
              <w:ind w:right="65"/>
              <w:jc w:val="right"/>
            </w:pPr>
            <w:r>
              <w:t xml:space="preserve">29 </w:t>
            </w:r>
          </w:p>
        </w:tc>
        <w:tc>
          <w:tcPr>
            <w:tcW w:w="1344"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6E2D79F1" w14:textId="77777777">
            <w:pPr>
              <w:ind w:right="65"/>
              <w:jc w:val="right"/>
            </w:pPr>
            <w:r>
              <w:t xml:space="preserve">1 </w:t>
            </w:r>
          </w:p>
        </w:tc>
        <w:tc>
          <w:tcPr>
            <w:tcW w:w="139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61AC0231" w14:textId="77777777">
            <w:pPr>
              <w:ind w:right="49"/>
              <w:jc w:val="right"/>
            </w:pPr>
            <w:r>
              <w:t xml:space="preserve">20 </w:t>
            </w:r>
          </w:p>
        </w:tc>
        <w:tc>
          <w:tcPr>
            <w:tcW w:w="139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1EDD0485" w14:textId="77777777">
            <w:pPr>
              <w:ind w:right="65"/>
              <w:jc w:val="right"/>
            </w:pPr>
            <w:r>
              <w:t xml:space="preserve">580 </w:t>
            </w:r>
          </w:p>
        </w:tc>
      </w:tr>
      <w:tr w:rsidR="00C4106D" w14:paraId="52989212" w14:textId="77777777">
        <w:trPr>
          <w:trHeight w:val="944"/>
        </w:trPr>
        <w:tc>
          <w:tcPr>
            <w:tcW w:w="1728"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31EEF857" w14:textId="77777777">
            <w:pPr>
              <w:ind w:left="16"/>
            </w:pPr>
            <w:r>
              <w:t xml:space="preserve">Final Report </w:t>
            </w:r>
          </w:p>
        </w:tc>
        <w:tc>
          <w:tcPr>
            <w:tcW w:w="1840"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37B9F91F" w14:textId="77777777">
            <w:r>
              <w:t xml:space="preserve">State </w:t>
            </w:r>
          </w:p>
          <w:p w:rsidR="00C4106D" w:rsidRDefault="004333DE" w14:paraId="7496FA18" w14:textId="77777777">
            <w:r>
              <w:t xml:space="preserve">Government </w:t>
            </w:r>
          </w:p>
        </w:tc>
        <w:tc>
          <w:tcPr>
            <w:tcW w:w="1504"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5F0550C5" w14:textId="77777777">
            <w:pPr>
              <w:ind w:right="65"/>
              <w:jc w:val="right"/>
            </w:pPr>
            <w:r>
              <w:t xml:space="preserve">29 </w:t>
            </w:r>
          </w:p>
        </w:tc>
        <w:tc>
          <w:tcPr>
            <w:tcW w:w="1344"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69F87EB0" w14:textId="77777777">
            <w:pPr>
              <w:ind w:right="65"/>
              <w:jc w:val="right"/>
            </w:pPr>
            <w:r>
              <w:t xml:space="preserve">1 </w:t>
            </w:r>
          </w:p>
        </w:tc>
        <w:tc>
          <w:tcPr>
            <w:tcW w:w="139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7D212011" w14:textId="77777777">
            <w:pPr>
              <w:ind w:right="49"/>
              <w:jc w:val="right"/>
            </w:pPr>
            <w:r>
              <w:t xml:space="preserve">20 </w:t>
            </w:r>
          </w:p>
        </w:tc>
        <w:tc>
          <w:tcPr>
            <w:tcW w:w="139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7AD82F39" w14:textId="77777777">
            <w:pPr>
              <w:ind w:right="65"/>
              <w:jc w:val="right"/>
            </w:pPr>
            <w:r>
              <w:t xml:space="preserve">580 </w:t>
            </w:r>
          </w:p>
        </w:tc>
      </w:tr>
      <w:tr w:rsidR="00C4106D" w14:paraId="3329CA55" w14:textId="77777777">
        <w:trPr>
          <w:trHeight w:val="2976"/>
        </w:trPr>
        <w:tc>
          <w:tcPr>
            <w:tcW w:w="1728"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422899D3" w14:textId="77777777">
            <w:pPr>
              <w:ind w:left="16"/>
            </w:pPr>
            <w:r>
              <w:rPr>
                <w:b/>
              </w:rPr>
              <w:lastRenderedPageBreak/>
              <w:t xml:space="preserve">Total </w:t>
            </w:r>
          </w:p>
        </w:tc>
        <w:tc>
          <w:tcPr>
            <w:tcW w:w="1840"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2AA212F6" w14:textId="77777777">
            <w:r>
              <w:rPr>
                <w:b/>
              </w:rPr>
              <w:t xml:space="preserve">  </w:t>
            </w:r>
          </w:p>
        </w:tc>
        <w:tc>
          <w:tcPr>
            <w:tcW w:w="1504"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26BE4302" w14:textId="77777777">
            <w:pPr>
              <w:ind w:right="65"/>
              <w:jc w:val="right"/>
            </w:pPr>
            <w:r>
              <w:rPr>
                <w:b/>
              </w:rPr>
              <w:t xml:space="preserve">29 </w:t>
            </w:r>
          </w:p>
        </w:tc>
        <w:tc>
          <w:tcPr>
            <w:tcW w:w="1344" w:type="dxa"/>
            <w:tcBorders>
              <w:top w:val="single" w:color="000000" w:sz="6" w:space="0"/>
              <w:left w:val="single" w:color="000000" w:sz="6" w:space="0"/>
              <w:bottom w:val="nil"/>
              <w:right w:val="single" w:color="000000" w:sz="6" w:space="0"/>
            </w:tcBorders>
          </w:tcPr>
          <w:p w:rsidR="00C4106D" w:rsidRDefault="004333DE" w14:paraId="6C1D5CD2" w14:textId="77777777">
            <w:pPr>
              <w:spacing w:after="4" w:line="235" w:lineRule="auto"/>
              <w:ind w:left="16" w:right="89"/>
              <w:jc w:val="both"/>
            </w:pPr>
            <w:r>
              <w:rPr>
                <w:b/>
                <w:u w:val="single" w:color="000000"/>
              </w:rPr>
              <w:t>5</w:t>
            </w:r>
            <w:r>
              <w:rPr>
                <w:b/>
              </w:rPr>
              <w:t xml:space="preserve"> per year per grantee (4 quarterly reports, 1 annual </w:t>
            </w:r>
          </w:p>
          <w:p w:rsidR="00C4106D" w:rsidRDefault="004333DE" w14:paraId="3D7ECDDD" w14:textId="77777777">
            <w:pPr>
              <w:ind w:left="16"/>
            </w:pPr>
            <w:r>
              <w:rPr>
                <w:b/>
              </w:rPr>
              <w:t xml:space="preserve">report, and </w:t>
            </w:r>
          </w:p>
          <w:p w:rsidR="00C4106D" w:rsidRDefault="004333DE" w14:paraId="44AC6E94" w14:textId="7D0A3829">
            <w:pPr>
              <w:ind w:left="16" w:right="236"/>
              <w:jc w:val="both"/>
            </w:pPr>
            <w:r>
              <w:rPr>
                <w:b/>
              </w:rPr>
              <w:t>1</w:t>
            </w:r>
            <w:r w:rsidR="00541306">
              <w:rPr>
                <w:b/>
              </w:rPr>
              <w:t xml:space="preserve"> </w:t>
            </w:r>
            <w:r>
              <w:rPr>
                <w:b/>
              </w:rPr>
              <w:t>final report</w:t>
            </w:r>
            <w:r w:rsidR="00541306">
              <w:rPr>
                <w:b/>
              </w:rPr>
              <w:t xml:space="preserve"> </w:t>
            </w:r>
            <w:r>
              <w:rPr>
                <w:b/>
              </w:rPr>
              <w:t>at the end of the grant period)</w:t>
            </w:r>
            <w:r>
              <w:t xml:space="preserve"> </w:t>
            </w:r>
          </w:p>
        </w:tc>
        <w:tc>
          <w:tcPr>
            <w:tcW w:w="139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261AEEB2" w14:textId="77777777">
            <w:pPr>
              <w:ind w:right="49"/>
              <w:jc w:val="right"/>
            </w:pPr>
            <w:r>
              <w:rPr>
                <w:b/>
              </w:rPr>
              <w:t xml:space="preserve"> 68 </w:t>
            </w:r>
          </w:p>
        </w:tc>
        <w:tc>
          <w:tcPr>
            <w:tcW w:w="139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7243EEB7" w14:textId="77777777">
            <w:pPr>
              <w:ind w:right="65"/>
              <w:jc w:val="right"/>
            </w:pPr>
            <w:r>
              <w:rPr>
                <w:b/>
              </w:rPr>
              <w:t xml:space="preserve">1,972 </w:t>
            </w:r>
          </w:p>
        </w:tc>
      </w:tr>
      <w:tr w:rsidR="00C4106D" w14:paraId="06630F45" w14:textId="77777777">
        <w:trPr>
          <w:trHeight w:val="632"/>
        </w:trPr>
        <w:tc>
          <w:tcPr>
            <w:tcW w:w="1728" w:type="dxa"/>
            <w:tcBorders>
              <w:top w:val="nil"/>
              <w:left w:val="single" w:color="000000" w:sz="6" w:space="0"/>
              <w:bottom w:val="single" w:color="000000" w:sz="6" w:space="0"/>
              <w:right w:val="single" w:color="000000" w:sz="6" w:space="0"/>
            </w:tcBorders>
          </w:tcPr>
          <w:p w:rsidR="00C4106D" w:rsidRDefault="00C4106D" w14:paraId="6543EF6D" w14:textId="77777777"/>
        </w:tc>
        <w:tc>
          <w:tcPr>
            <w:tcW w:w="1840" w:type="dxa"/>
            <w:tcBorders>
              <w:top w:val="nil"/>
              <w:left w:val="single" w:color="000000" w:sz="6" w:space="0"/>
              <w:bottom w:val="single" w:color="000000" w:sz="6" w:space="0"/>
              <w:right w:val="single" w:color="000000" w:sz="6" w:space="0"/>
            </w:tcBorders>
          </w:tcPr>
          <w:p w:rsidR="00C4106D" w:rsidRDefault="00C4106D" w14:paraId="7A450C8C" w14:textId="77777777"/>
        </w:tc>
        <w:tc>
          <w:tcPr>
            <w:tcW w:w="1504" w:type="dxa"/>
            <w:tcBorders>
              <w:top w:val="nil"/>
              <w:left w:val="single" w:color="000000" w:sz="6" w:space="0"/>
              <w:bottom w:val="single" w:color="000000" w:sz="6" w:space="0"/>
              <w:right w:val="single" w:color="000000" w:sz="6" w:space="0"/>
            </w:tcBorders>
          </w:tcPr>
          <w:p w:rsidR="00C4106D" w:rsidRDefault="00C4106D" w14:paraId="45FF62E6" w14:textId="77777777"/>
        </w:tc>
        <w:tc>
          <w:tcPr>
            <w:tcW w:w="1344" w:type="dxa"/>
            <w:tcBorders>
              <w:top w:val="nil"/>
              <w:left w:val="single" w:color="000000" w:sz="6" w:space="0"/>
              <w:bottom w:val="single" w:color="000000" w:sz="6" w:space="0"/>
              <w:right w:val="single" w:color="000000" w:sz="6" w:space="0"/>
            </w:tcBorders>
          </w:tcPr>
          <w:p w:rsidR="00C4106D" w:rsidRDefault="004333DE" w14:paraId="7181FE20" w14:textId="77777777">
            <w:r>
              <w:rPr>
                <w:b/>
              </w:rPr>
              <w:t xml:space="preserve"> </w:t>
            </w:r>
          </w:p>
        </w:tc>
        <w:tc>
          <w:tcPr>
            <w:tcW w:w="1392" w:type="dxa"/>
            <w:tcBorders>
              <w:top w:val="nil"/>
              <w:left w:val="single" w:color="000000" w:sz="6" w:space="0"/>
              <w:bottom w:val="single" w:color="000000" w:sz="6" w:space="0"/>
              <w:right w:val="single" w:color="000000" w:sz="6" w:space="0"/>
            </w:tcBorders>
          </w:tcPr>
          <w:p w:rsidR="00C4106D" w:rsidRDefault="00C4106D" w14:paraId="22FEF309" w14:textId="77777777"/>
        </w:tc>
        <w:tc>
          <w:tcPr>
            <w:tcW w:w="1392" w:type="dxa"/>
            <w:tcBorders>
              <w:top w:val="nil"/>
              <w:left w:val="single" w:color="000000" w:sz="6" w:space="0"/>
              <w:bottom w:val="single" w:color="000000" w:sz="6" w:space="0"/>
              <w:right w:val="single" w:color="000000" w:sz="6" w:space="0"/>
            </w:tcBorders>
          </w:tcPr>
          <w:p w:rsidR="00C4106D" w:rsidRDefault="00C4106D" w14:paraId="29BE58D8" w14:textId="77777777"/>
        </w:tc>
      </w:tr>
    </w:tbl>
    <w:p w:rsidR="00C4106D" w:rsidRDefault="004333DE" w14:paraId="214D7168" w14:textId="77777777">
      <w:pPr>
        <w:spacing w:after="0"/>
        <w:ind w:left="1"/>
      </w:pPr>
      <w:r>
        <w:rPr>
          <w:b/>
        </w:rPr>
        <w:t xml:space="preserve"> </w:t>
      </w:r>
    </w:p>
    <w:p w:rsidR="00C4106D" w:rsidRDefault="004333DE" w14:paraId="3304641F" w14:textId="77777777">
      <w:pPr>
        <w:spacing w:after="5" w:line="249" w:lineRule="auto"/>
        <w:ind w:left="-4" w:hanging="10"/>
      </w:pPr>
      <w:r>
        <w:rPr>
          <w:b/>
        </w:rPr>
        <w:t xml:space="preserve">12D. Cost Estimate for All Respondents completing </w:t>
      </w:r>
      <w:r>
        <w:rPr>
          <w:b/>
          <w:u w:val="single" w:color="000000"/>
        </w:rPr>
        <w:t xml:space="preserve">all </w:t>
      </w:r>
      <w:r>
        <w:rPr>
          <w:b/>
        </w:rPr>
        <w:t xml:space="preserve">Reporting Requirements, including the quarterly, annual report, and one final report (Annualized). </w:t>
      </w:r>
    </w:p>
    <w:p w:rsidR="00C4106D" w:rsidRDefault="004333DE" w14:paraId="4A81BBB9" w14:textId="77777777">
      <w:pPr>
        <w:spacing w:after="0"/>
        <w:ind w:left="1"/>
      </w:pPr>
      <w:r>
        <w:t xml:space="preserve"> </w:t>
      </w:r>
    </w:p>
    <w:tbl>
      <w:tblPr>
        <w:tblStyle w:val="TableGrid"/>
        <w:tblW w:w="9248" w:type="dxa"/>
        <w:tblInd w:w="89" w:type="dxa"/>
        <w:tblCellMar>
          <w:top w:w="8" w:type="dxa"/>
          <w:left w:w="120" w:type="dxa"/>
          <w:right w:w="37" w:type="dxa"/>
        </w:tblCellMar>
        <w:tblLook w:val="04A0" w:firstRow="1" w:lastRow="0" w:firstColumn="1" w:lastColumn="0" w:noHBand="0" w:noVBand="1"/>
      </w:tblPr>
      <w:tblGrid>
        <w:gridCol w:w="1468"/>
        <w:gridCol w:w="1437"/>
        <w:gridCol w:w="1329"/>
        <w:gridCol w:w="1146"/>
        <w:gridCol w:w="1257"/>
        <w:gridCol w:w="1375"/>
        <w:gridCol w:w="1236"/>
      </w:tblGrid>
      <w:tr w:rsidR="005443A8" w14:paraId="3C636136" w14:textId="77777777">
        <w:trPr>
          <w:trHeight w:val="1632"/>
        </w:trPr>
        <w:tc>
          <w:tcPr>
            <w:tcW w:w="1328" w:type="dxa"/>
            <w:vMerge w:val="restart"/>
            <w:tcBorders>
              <w:top w:val="single" w:color="000000" w:sz="6" w:space="0"/>
              <w:left w:val="single" w:color="000000" w:sz="6" w:space="0"/>
              <w:bottom w:val="single" w:color="000000" w:sz="6" w:space="0"/>
              <w:right w:val="single" w:color="000000" w:sz="6" w:space="0"/>
            </w:tcBorders>
            <w:vAlign w:val="center"/>
          </w:tcPr>
          <w:p w:rsidR="00C4106D" w:rsidRDefault="004333DE" w14:paraId="6E0B8677" w14:textId="77777777">
            <w:pPr>
              <w:jc w:val="center"/>
            </w:pPr>
            <w:r>
              <w:rPr>
                <w:b/>
              </w:rPr>
              <w:t xml:space="preserve">Type of respondent </w:t>
            </w:r>
          </w:p>
        </w:tc>
        <w:tc>
          <w:tcPr>
            <w:tcW w:w="1456" w:type="dxa"/>
            <w:vMerge w:val="restart"/>
            <w:tcBorders>
              <w:top w:val="single" w:color="000000" w:sz="6" w:space="0"/>
              <w:left w:val="single" w:color="000000" w:sz="6" w:space="0"/>
              <w:bottom w:val="single" w:color="000000" w:sz="6" w:space="0"/>
              <w:right w:val="single" w:color="000000" w:sz="6" w:space="0"/>
            </w:tcBorders>
            <w:vAlign w:val="center"/>
          </w:tcPr>
          <w:p w:rsidR="00C4106D" w:rsidRDefault="004333DE" w14:paraId="4B327067" w14:textId="77777777">
            <w:pPr>
              <w:jc w:val="center"/>
            </w:pPr>
            <w:r>
              <w:rPr>
                <w:b/>
              </w:rPr>
              <w:t xml:space="preserve">Number of Respondents </w:t>
            </w:r>
          </w:p>
        </w:tc>
        <w:tc>
          <w:tcPr>
            <w:tcW w:w="1344" w:type="dxa"/>
            <w:vMerge w:val="restart"/>
            <w:tcBorders>
              <w:top w:val="single" w:color="000000" w:sz="6" w:space="0"/>
              <w:left w:val="single" w:color="000000" w:sz="6" w:space="0"/>
              <w:bottom w:val="single" w:color="000000" w:sz="6" w:space="0"/>
              <w:right w:val="single" w:color="000000" w:sz="6" w:space="0"/>
            </w:tcBorders>
            <w:vAlign w:val="center"/>
          </w:tcPr>
          <w:p w:rsidR="00C4106D" w:rsidRDefault="004333DE" w14:paraId="690EEBEB" w14:textId="77777777">
            <w:pPr>
              <w:ind w:left="64"/>
            </w:pPr>
            <w:r>
              <w:rPr>
                <w:b/>
              </w:rPr>
              <w:t xml:space="preserve">Number of </w:t>
            </w:r>
          </w:p>
          <w:p w:rsidR="00C4106D" w:rsidRDefault="004333DE" w14:paraId="7C7D81AA" w14:textId="77777777">
            <w:pPr>
              <w:spacing w:line="239" w:lineRule="auto"/>
              <w:ind w:left="400" w:hanging="336"/>
            </w:pPr>
            <w:r>
              <w:rPr>
                <w:b/>
              </w:rPr>
              <w:t xml:space="preserve">Responses per </w:t>
            </w:r>
          </w:p>
          <w:p w:rsidR="00C4106D" w:rsidRDefault="004333DE" w14:paraId="75E45B27" w14:textId="77777777">
            <w:r>
              <w:rPr>
                <w:b/>
              </w:rPr>
              <w:t xml:space="preserve">Respondent </w:t>
            </w:r>
          </w:p>
        </w:tc>
        <w:tc>
          <w:tcPr>
            <w:tcW w:w="1168" w:type="dxa"/>
            <w:vMerge w:val="restart"/>
            <w:tcBorders>
              <w:top w:val="single" w:color="000000" w:sz="6" w:space="0"/>
              <w:left w:val="single" w:color="000000" w:sz="6" w:space="0"/>
              <w:bottom w:val="single" w:color="000000" w:sz="6" w:space="0"/>
              <w:right w:val="single" w:color="000000" w:sz="6" w:space="0"/>
            </w:tcBorders>
            <w:vAlign w:val="center"/>
          </w:tcPr>
          <w:p w:rsidR="00C4106D" w:rsidRDefault="004333DE" w14:paraId="5489E5DF" w14:textId="77777777">
            <w:pPr>
              <w:ind w:left="80"/>
            </w:pPr>
            <w:r>
              <w:rPr>
                <w:b/>
              </w:rPr>
              <w:t xml:space="preserve">Average </w:t>
            </w:r>
          </w:p>
          <w:p w:rsidR="00C4106D" w:rsidRDefault="004333DE" w14:paraId="49447BD8" w14:textId="77777777">
            <w:pPr>
              <w:ind w:right="90"/>
              <w:jc w:val="center"/>
            </w:pPr>
            <w:r>
              <w:rPr>
                <w:b/>
              </w:rPr>
              <w:t xml:space="preserve">Burden </w:t>
            </w:r>
          </w:p>
          <w:p w:rsidR="00C4106D" w:rsidRDefault="004333DE" w14:paraId="634FF385" w14:textId="77777777">
            <w:pPr>
              <w:jc w:val="center"/>
            </w:pPr>
            <w:r>
              <w:rPr>
                <w:b/>
              </w:rPr>
              <w:t xml:space="preserve">Hours per Response </w:t>
            </w:r>
          </w:p>
        </w:tc>
        <w:tc>
          <w:tcPr>
            <w:tcW w:w="1312" w:type="dxa"/>
            <w:vMerge w:val="restart"/>
            <w:tcBorders>
              <w:top w:val="single" w:color="000000" w:sz="6" w:space="0"/>
              <w:left w:val="single" w:color="000000" w:sz="6" w:space="0"/>
              <w:bottom w:val="single" w:color="000000" w:sz="6" w:space="0"/>
              <w:right w:val="single" w:color="000000" w:sz="6" w:space="0"/>
            </w:tcBorders>
            <w:vAlign w:val="center"/>
          </w:tcPr>
          <w:p w:rsidR="00C4106D" w:rsidRDefault="004333DE" w14:paraId="0D3E1E4B" w14:textId="77777777">
            <w:pPr>
              <w:ind w:left="288" w:hanging="208"/>
            </w:pPr>
            <w:r>
              <w:rPr>
                <w:b/>
              </w:rPr>
              <w:t xml:space="preserve">Wage per Hour </w:t>
            </w:r>
          </w:p>
        </w:tc>
        <w:tc>
          <w:tcPr>
            <w:tcW w:w="1392" w:type="dxa"/>
            <w:vMerge w:val="restart"/>
            <w:tcBorders>
              <w:top w:val="single" w:color="000000" w:sz="6" w:space="0"/>
              <w:left w:val="single" w:color="000000" w:sz="6" w:space="0"/>
              <w:bottom w:val="single" w:color="000000" w:sz="6" w:space="0"/>
              <w:right w:val="single" w:color="000000" w:sz="6" w:space="0"/>
            </w:tcBorders>
          </w:tcPr>
          <w:p w:rsidR="00C4106D" w:rsidRDefault="004333DE" w14:paraId="231CE915" w14:textId="77777777">
            <w:pPr>
              <w:jc w:val="center"/>
            </w:pPr>
            <w:r>
              <w:rPr>
                <w:b/>
              </w:rPr>
              <w:t xml:space="preserve"> </w:t>
            </w:r>
          </w:p>
          <w:p w:rsidR="00C4106D" w:rsidRDefault="004333DE" w14:paraId="27268932" w14:textId="77777777">
            <w:pPr>
              <w:ind w:right="58"/>
              <w:jc w:val="center"/>
            </w:pPr>
            <w:r>
              <w:rPr>
                <w:b/>
              </w:rPr>
              <w:t xml:space="preserve">Burden </w:t>
            </w:r>
          </w:p>
          <w:p w:rsidR="00C4106D" w:rsidRDefault="004333DE" w14:paraId="0C6A1058" w14:textId="77777777">
            <w:pPr>
              <w:ind w:right="57"/>
              <w:jc w:val="center"/>
            </w:pPr>
            <w:r>
              <w:rPr>
                <w:b/>
              </w:rPr>
              <w:t xml:space="preserve">Costs </w:t>
            </w:r>
          </w:p>
          <w:p w:rsidR="00C4106D" w:rsidRDefault="004333DE" w14:paraId="5C01B6E4" w14:textId="77777777">
            <w:pPr>
              <w:ind w:right="43"/>
              <w:jc w:val="center"/>
            </w:pPr>
            <w:r>
              <w:rPr>
                <w:b/>
              </w:rPr>
              <w:t xml:space="preserve">Total </w:t>
            </w:r>
          </w:p>
          <w:p w:rsidR="00C4106D" w:rsidRDefault="004333DE" w14:paraId="48D22823" w14:textId="77777777">
            <w:pPr>
              <w:spacing w:after="176" w:line="239" w:lineRule="auto"/>
              <w:jc w:val="center"/>
            </w:pPr>
            <w:r>
              <w:rPr>
                <w:b/>
              </w:rPr>
              <w:t xml:space="preserve">Annualized Response  </w:t>
            </w:r>
          </w:p>
          <w:p w:rsidR="00C4106D" w:rsidRDefault="004333DE" w14:paraId="415AA25A" w14:textId="77777777">
            <w:r>
              <w:rPr>
                <w:b/>
              </w:rPr>
              <w:t xml:space="preserve"> </w:t>
            </w:r>
          </w:p>
        </w:tc>
        <w:tc>
          <w:tcPr>
            <w:tcW w:w="1248" w:type="dxa"/>
            <w:tcBorders>
              <w:top w:val="single" w:color="000000" w:sz="6" w:space="0"/>
              <w:left w:val="single" w:color="000000" w:sz="6" w:space="0"/>
              <w:bottom w:val="single" w:color="FFFFFF" w:sz="6" w:space="0"/>
              <w:right w:val="single" w:color="000000" w:sz="6" w:space="0"/>
            </w:tcBorders>
          </w:tcPr>
          <w:p w:rsidR="00C4106D" w:rsidRDefault="004333DE" w14:paraId="4D133627" w14:textId="77777777">
            <w:pPr>
              <w:ind w:right="16"/>
              <w:jc w:val="center"/>
            </w:pPr>
            <w:r>
              <w:rPr>
                <w:b/>
              </w:rPr>
              <w:t xml:space="preserve"> </w:t>
            </w:r>
          </w:p>
          <w:p w:rsidR="00C4106D" w:rsidRDefault="004333DE" w14:paraId="75115FBD" w14:textId="77777777">
            <w:pPr>
              <w:ind w:right="74"/>
              <w:jc w:val="center"/>
            </w:pPr>
            <w:r>
              <w:rPr>
                <w:b/>
              </w:rPr>
              <w:t xml:space="preserve">Burden </w:t>
            </w:r>
          </w:p>
          <w:p w:rsidR="00C4106D" w:rsidRDefault="004333DE" w14:paraId="3692D33E" w14:textId="77777777">
            <w:pPr>
              <w:ind w:right="73"/>
              <w:jc w:val="center"/>
            </w:pPr>
            <w:r>
              <w:rPr>
                <w:b/>
              </w:rPr>
              <w:t xml:space="preserve">Costs </w:t>
            </w:r>
          </w:p>
          <w:p w:rsidR="00C4106D" w:rsidRDefault="004333DE" w14:paraId="39BEB57C" w14:textId="77777777">
            <w:pPr>
              <w:ind w:right="51"/>
              <w:jc w:val="center"/>
            </w:pPr>
            <w:r>
              <w:rPr>
                <w:b/>
              </w:rPr>
              <w:t xml:space="preserve">Per </w:t>
            </w:r>
          </w:p>
          <w:p w:rsidR="00C4106D" w:rsidRDefault="004333DE" w14:paraId="64452638" w14:textId="77777777">
            <w:r>
              <w:rPr>
                <w:b/>
              </w:rPr>
              <w:t xml:space="preserve">Annualized </w:t>
            </w:r>
          </w:p>
          <w:p w:rsidR="00C4106D" w:rsidRDefault="004333DE" w14:paraId="4BD819D2" w14:textId="77777777">
            <w:pPr>
              <w:ind w:left="48"/>
            </w:pPr>
            <w:r>
              <w:rPr>
                <w:b/>
              </w:rPr>
              <w:t xml:space="preserve">Response </w:t>
            </w:r>
          </w:p>
        </w:tc>
      </w:tr>
      <w:tr w:rsidR="005443A8" w14:paraId="0AA6F80B" w14:textId="77777777">
        <w:trPr>
          <w:trHeight w:val="752"/>
        </w:trPr>
        <w:tc>
          <w:tcPr>
            <w:tcW w:w="0" w:type="auto"/>
            <w:vMerge/>
            <w:tcBorders>
              <w:top w:val="nil"/>
              <w:left w:val="single" w:color="000000" w:sz="6" w:space="0"/>
              <w:bottom w:val="single" w:color="000000" w:sz="6" w:space="0"/>
              <w:right w:val="single" w:color="000000" w:sz="6" w:space="0"/>
            </w:tcBorders>
          </w:tcPr>
          <w:p w:rsidR="00C4106D" w:rsidRDefault="00C4106D" w14:paraId="4B9518E0" w14:textId="77777777"/>
        </w:tc>
        <w:tc>
          <w:tcPr>
            <w:tcW w:w="0" w:type="auto"/>
            <w:vMerge/>
            <w:tcBorders>
              <w:top w:val="nil"/>
              <w:left w:val="single" w:color="000000" w:sz="6" w:space="0"/>
              <w:bottom w:val="single" w:color="000000" w:sz="6" w:space="0"/>
              <w:right w:val="single" w:color="000000" w:sz="6" w:space="0"/>
            </w:tcBorders>
          </w:tcPr>
          <w:p w:rsidR="00C4106D" w:rsidRDefault="00C4106D" w14:paraId="31E8356C" w14:textId="77777777"/>
        </w:tc>
        <w:tc>
          <w:tcPr>
            <w:tcW w:w="0" w:type="auto"/>
            <w:vMerge/>
            <w:tcBorders>
              <w:top w:val="nil"/>
              <w:left w:val="single" w:color="000000" w:sz="6" w:space="0"/>
              <w:bottom w:val="single" w:color="000000" w:sz="6" w:space="0"/>
              <w:right w:val="single" w:color="000000" w:sz="6" w:space="0"/>
            </w:tcBorders>
          </w:tcPr>
          <w:p w:rsidR="00C4106D" w:rsidRDefault="00C4106D" w14:paraId="3456473A" w14:textId="77777777"/>
        </w:tc>
        <w:tc>
          <w:tcPr>
            <w:tcW w:w="0" w:type="auto"/>
            <w:vMerge/>
            <w:tcBorders>
              <w:top w:val="nil"/>
              <w:left w:val="single" w:color="000000" w:sz="6" w:space="0"/>
              <w:bottom w:val="single" w:color="000000" w:sz="6" w:space="0"/>
              <w:right w:val="single" w:color="000000" w:sz="6" w:space="0"/>
            </w:tcBorders>
          </w:tcPr>
          <w:p w:rsidR="00C4106D" w:rsidRDefault="00C4106D" w14:paraId="6CF7517C" w14:textId="77777777"/>
        </w:tc>
        <w:tc>
          <w:tcPr>
            <w:tcW w:w="0" w:type="auto"/>
            <w:vMerge/>
            <w:tcBorders>
              <w:top w:val="nil"/>
              <w:left w:val="single" w:color="000000" w:sz="6" w:space="0"/>
              <w:bottom w:val="single" w:color="000000" w:sz="6" w:space="0"/>
              <w:right w:val="single" w:color="000000" w:sz="6" w:space="0"/>
            </w:tcBorders>
          </w:tcPr>
          <w:p w:rsidR="00C4106D" w:rsidRDefault="00C4106D" w14:paraId="66FE04F2" w14:textId="77777777"/>
        </w:tc>
        <w:tc>
          <w:tcPr>
            <w:tcW w:w="0" w:type="auto"/>
            <w:vMerge/>
            <w:tcBorders>
              <w:top w:val="nil"/>
              <w:left w:val="single" w:color="000000" w:sz="6" w:space="0"/>
              <w:bottom w:val="single" w:color="000000" w:sz="6" w:space="0"/>
              <w:right w:val="single" w:color="000000" w:sz="6" w:space="0"/>
            </w:tcBorders>
          </w:tcPr>
          <w:p w:rsidR="00C4106D" w:rsidRDefault="00C4106D" w14:paraId="3A109E57" w14:textId="77777777"/>
        </w:tc>
        <w:tc>
          <w:tcPr>
            <w:tcW w:w="1248" w:type="dxa"/>
            <w:tcBorders>
              <w:top w:val="single" w:color="FFFFFF" w:sz="6" w:space="0"/>
              <w:left w:val="single" w:color="000000" w:sz="6" w:space="0"/>
              <w:bottom w:val="single" w:color="000000" w:sz="6" w:space="0"/>
              <w:right w:val="single" w:color="000000" w:sz="6" w:space="0"/>
            </w:tcBorders>
          </w:tcPr>
          <w:p w:rsidR="00C4106D" w:rsidRDefault="004333DE" w14:paraId="2A97550F" w14:textId="77777777">
            <w:pPr>
              <w:ind w:right="16"/>
              <w:jc w:val="center"/>
            </w:pPr>
            <w:r>
              <w:rPr>
                <w:b/>
              </w:rPr>
              <w:t xml:space="preserve"> </w:t>
            </w:r>
          </w:p>
        </w:tc>
      </w:tr>
      <w:tr w:rsidR="005443A8" w14:paraId="0835F7E2" w14:textId="77777777">
        <w:trPr>
          <w:trHeight w:val="1904"/>
        </w:trPr>
        <w:tc>
          <w:tcPr>
            <w:tcW w:w="1328" w:type="dxa"/>
            <w:tcBorders>
              <w:top w:val="single" w:color="000000" w:sz="6" w:space="0"/>
              <w:left w:val="single" w:color="000000" w:sz="6" w:space="0"/>
              <w:bottom w:val="single" w:color="000000" w:sz="6" w:space="0"/>
              <w:right w:val="single" w:color="000000" w:sz="6" w:space="0"/>
            </w:tcBorders>
          </w:tcPr>
          <w:p w:rsidR="00C4106D" w:rsidRDefault="004333DE" w14:paraId="42867E6F" w14:textId="77777777">
            <w:r>
              <w:t xml:space="preserve">Medical and </w:t>
            </w:r>
          </w:p>
          <w:p w:rsidR="00C4106D" w:rsidRDefault="004333DE" w14:paraId="3CAD4A42" w14:textId="77777777">
            <w:r>
              <w:t xml:space="preserve">Health </w:t>
            </w:r>
          </w:p>
          <w:p w:rsidR="00C4106D" w:rsidRDefault="004333DE" w14:paraId="5F0688F6" w14:textId="77777777">
            <w:r>
              <w:t xml:space="preserve">Services </w:t>
            </w:r>
          </w:p>
          <w:p w:rsidR="00C4106D" w:rsidRDefault="004333DE" w14:paraId="18C12E0B" w14:textId="77777777">
            <w:r>
              <w:t xml:space="preserve">Manager </w:t>
            </w:r>
          </w:p>
          <w:p w:rsidR="00C4106D" w:rsidRDefault="004333DE" w14:paraId="46102C52" w14:textId="77777777">
            <w:r>
              <w:t xml:space="preserve">(Occupation </w:t>
            </w:r>
          </w:p>
          <w:p w:rsidR="00C4106D" w:rsidRDefault="004333DE" w14:paraId="758114D6" w14:textId="77777777">
            <w:r>
              <w:t>Code: 11-</w:t>
            </w:r>
          </w:p>
          <w:p w:rsidR="00C4106D" w:rsidRDefault="004333DE" w14:paraId="740947C8" w14:textId="77777777">
            <w:r>
              <w:t xml:space="preserve">9111) </w:t>
            </w:r>
          </w:p>
        </w:tc>
        <w:tc>
          <w:tcPr>
            <w:tcW w:w="1456"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2313AF2E" w14:textId="77777777">
            <w:r>
              <w:t xml:space="preserve">         29 </w:t>
            </w:r>
          </w:p>
        </w:tc>
        <w:tc>
          <w:tcPr>
            <w:tcW w:w="1344"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4534445D" w14:textId="77777777">
            <w:pPr>
              <w:ind w:right="49"/>
              <w:jc w:val="center"/>
            </w:pPr>
            <w:r>
              <w:t xml:space="preserve">5 </w:t>
            </w:r>
          </w:p>
        </w:tc>
        <w:tc>
          <w:tcPr>
            <w:tcW w:w="1168"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012F76A9" w14:textId="77777777">
            <w:pPr>
              <w:ind w:right="81"/>
              <w:jc w:val="center"/>
            </w:pPr>
            <w:r>
              <w:t xml:space="preserve">6.8 </w:t>
            </w:r>
          </w:p>
        </w:tc>
        <w:tc>
          <w:tcPr>
            <w:tcW w:w="131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14E7E0D4" w14:textId="488D9DA7">
            <w:pPr>
              <w:ind w:right="97"/>
              <w:jc w:val="center"/>
            </w:pPr>
            <w:r>
              <w:t>$11</w:t>
            </w:r>
            <w:r w:rsidR="00541306">
              <w:t>4</w:t>
            </w:r>
            <w:r>
              <w:t>.</w:t>
            </w:r>
            <w:r w:rsidR="00541306">
              <w:t>2</w:t>
            </w:r>
            <w:r>
              <w:t xml:space="preserve">4 </w:t>
            </w:r>
          </w:p>
        </w:tc>
        <w:tc>
          <w:tcPr>
            <w:tcW w:w="139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1EA8D7AC" w14:textId="40EAF2FD">
            <w:pPr>
              <w:ind w:left="16"/>
            </w:pPr>
            <w:r>
              <w:t>$1</w:t>
            </w:r>
            <w:r w:rsidR="00E53DA4">
              <w:t>12</w:t>
            </w:r>
            <w:r>
              <w:t>,</w:t>
            </w:r>
            <w:r w:rsidR="00E53DA4">
              <w:t>640</w:t>
            </w:r>
            <w:r>
              <w:t xml:space="preserve">.64 </w:t>
            </w:r>
          </w:p>
        </w:tc>
        <w:tc>
          <w:tcPr>
            <w:tcW w:w="1248" w:type="dxa"/>
            <w:tcBorders>
              <w:top w:val="single" w:color="000000" w:sz="6" w:space="0"/>
              <w:left w:val="single" w:color="000000" w:sz="6" w:space="0"/>
              <w:bottom w:val="single" w:color="000000" w:sz="6" w:space="0"/>
              <w:right w:val="single" w:color="000000" w:sz="6" w:space="0"/>
            </w:tcBorders>
          </w:tcPr>
          <w:p w:rsidR="00C4106D" w:rsidRDefault="004333DE" w14:paraId="4E66985E" w14:textId="77777777">
            <w:pPr>
              <w:ind w:right="16"/>
              <w:jc w:val="center"/>
            </w:pPr>
            <w:r>
              <w:t xml:space="preserve"> </w:t>
            </w:r>
          </w:p>
          <w:p w:rsidR="00C4106D" w:rsidRDefault="004333DE" w14:paraId="50F03D27" w14:textId="77777777">
            <w:pPr>
              <w:ind w:right="16"/>
              <w:jc w:val="center"/>
            </w:pPr>
            <w:r>
              <w:t xml:space="preserve"> </w:t>
            </w:r>
          </w:p>
          <w:p w:rsidR="00C4106D" w:rsidRDefault="004333DE" w14:paraId="2B66F203" w14:textId="77777777">
            <w:pPr>
              <w:ind w:right="16"/>
              <w:jc w:val="center"/>
            </w:pPr>
            <w:r>
              <w:t xml:space="preserve"> </w:t>
            </w:r>
          </w:p>
          <w:p w:rsidR="00541306" w:rsidRDefault="00541306" w14:paraId="5428A3B5" w14:textId="77777777">
            <w:pPr>
              <w:ind w:right="113"/>
              <w:jc w:val="right"/>
            </w:pPr>
          </w:p>
          <w:p w:rsidR="00C4106D" w:rsidRDefault="004333DE" w14:paraId="275F25B2" w14:textId="1078B9E4">
            <w:pPr>
              <w:ind w:right="113"/>
              <w:jc w:val="right"/>
            </w:pPr>
            <w:r>
              <w:t>$3,</w:t>
            </w:r>
            <w:r w:rsidR="00E53DA4">
              <w:t>884</w:t>
            </w:r>
            <w:r>
              <w:t xml:space="preserve">.16  </w:t>
            </w:r>
          </w:p>
        </w:tc>
      </w:tr>
      <w:tr w:rsidR="005443A8" w14:paraId="2BE618D7" w14:textId="77777777">
        <w:trPr>
          <w:trHeight w:val="2448"/>
        </w:trPr>
        <w:tc>
          <w:tcPr>
            <w:tcW w:w="1328" w:type="dxa"/>
            <w:tcBorders>
              <w:top w:val="single" w:color="000000" w:sz="6" w:space="0"/>
              <w:left w:val="single" w:color="000000" w:sz="6" w:space="0"/>
              <w:bottom w:val="single" w:color="000000" w:sz="6" w:space="0"/>
              <w:right w:val="single" w:color="000000" w:sz="6" w:space="0"/>
            </w:tcBorders>
          </w:tcPr>
          <w:p w:rsidR="00C4106D" w:rsidRDefault="004333DE" w14:paraId="197340E4" w14:textId="77777777">
            <w:r>
              <w:lastRenderedPageBreak/>
              <w:t xml:space="preserve">Executive </w:t>
            </w:r>
          </w:p>
          <w:p w:rsidR="00C4106D" w:rsidRDefault="004333DE" w14:paraId="758D2F9C" w14:textId="77777777">
            <w:r>
              <w:t xml:space="preserve">Secretaries </w:t>
            </w:r>
          </w:p>
          <w:p w:rsidR="00C4106D" w:rsidRDefault="004333DE" w14:paraId="44686A22" w14:textId="02801B7A">
            <w:pPr>
              <w:spacing w:after="8" w:line="232" w:lineRule="auto"/>
            </w:pPr>
            <w:r>
              <w:t xml:space="preserve">&amp; Executive Administrative </w:t>
            </w:r>
          </w:p>
          <w:p w:rsidR="00C4106D" w:rsidRDefault="004333DE" w14:paraId="74BC7AEE" w14:textId="77777777">
            <w:r>
              <w:t xml:space="preserve">Assistants  </w:t>
            </w:r>
          </w:p>
          <w:p w:rsidR="00C4106D" w:rsidRDefault="004333DE" w14:paraId="7DC501D4" w14:textId="77777777">
            <w:r>
              <w:t xml:space="preserve">(Occupation </w:t>
            </w:r>
          </w:p>
          <w:p w:rsidR="00C4106D" w:rsidRDefault="004333DE" w14:paraId="09E42E83" w14:textId="77777777">
            <w:r>
              <w:t>Code: 43-</w:t>
            </w:r>
          </w:p>
          <w:p w:rsidR="00C4106D" w:rsidRDefault="004333DE" w14:paraId="11D8FAE2" w14:textId="77777777">
            <w:r>
              <w:t xml:space="preserve">6011) </w:t>
            </w:r>
          </w:p>
        </w:tc>
        <w:tc>
          <w:tcPr>
            <w:tcW w:w="1456"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4C1D78C8" w14:textId="77777777">
            <w:r>
              <w:rPr>
                <w:sz w:val="21"/>
              </w:rPr>
              <w:t xml:space="preserve">          29 </w:t>
            </w:r>
          </w:p>
        </w:tc>
        <w:tc>
          <w:tcPr>
            <w:tcW w:w="1344"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21AF71D7" w14:textId="77777777">
            <w:pPr>
              <w:ind w:right="49"/>
              <w:jc w:val="center"/>
            </w:pPr>
            <w:r>
              <w:t xml:space="preserve">5 </w:t>
            </w:r>
          </w:p>
        </w:tc>
        <w:tc>
          <w:tcPr>
            <w:tcW w:w="1168"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62AF0F22" w14:textId="77777777">
            <w:pPr>
              <w:ind w:right="81"/>
              <w:jc w:val="center"/>
            </w:pPr>
            <w:r>
              <w:t xml:space="preserve">6.8 </w:t>
            </w:r>
          </w:p>
        </w:tc>
        <w:tc>
          <w:tcPr>
            <w:tcW w:w="131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70E476DF" w14:textId="07AABAEA">
            <w:pPr>
              <w:ind w:right="81"/>
              <w:jc w:val="center"/>
            </w:pPr>
            <w:r>
              <w:t>$6</w:t>
            </w:r>
            <w:r w:rsidR="005443A8">
              <w:t>2.72</w:t>
            </w:r>
            <w:r>
              <w:t xml:space="preserve"> </w:t>
            </w:r>
          </w:p>
        </w:tc>
        <w:tc>
          <w:tcPr>
            <w:tcW w:w="1392" w:type="dxa"/>
            <w:tcBorders>
              <w:top w:val="single" w:color="000000" w:sz="6" w:space="0"/>
              <w:left w:val="single" w:color="000000" w:sz="6" w:space="0"/>
              <w:bottom w:val="single" w:color="000000" w:sz="6" w:space="0"/>
              <w:right w:val="single" w:color="000000" w:sz="6" w:space="0"/>
            </w:tcBorders>
            <w:vAlign w:val="center"/>
          </w:tcPr>
          <w:p w:rsidR="00C4106D" w:rsidRDefault="004333DE" w14:paraId="07B13BF5" w14:textId="3BD16134">
            <w:pPr>
              <w:ind w:right="49"/>
              <w:jc w:val="center"/>
            </w:pPr>
            <w:r>
              <w:t>$</w:t>
            </w:r>
            <w:r w:rsidR="005443A8">
              <w:t>61,841.92</w:t>
            </w:r>
            <w:r>
              <w:t xml:space="preserve"> </w:t>
            </w:r>
          </w:p>
        </w:tc>
        <w:tc>
          <w:tcPr>
            <w:tcW w:w="1248" w:type="dxa"/>
            <w:tcBorders>
              <w:top w:val="single" w:color="000000" w:sz="6" w:space="0"/>
              <w:left w:val="single" w:color="000000" w:sz="6" w:space="0"/>
              <w:bottom w:val="single" w:color="000000" w:sz="6" w:space="0"/>
              <w:right w:val="single" w:color="000000" w:sz="6" w:space="0"/>
            </w:tcBorders>
          </w:tcPr>
          <w:p w:rsidR="00C4106D" w:rsidRDefault="004333DE" w14:paraId="3555CBB2" w14:textId="77777777">
            <w:pPr>
              <w:ind w:right="16"/>
              <w:jc w:val="center"/>
            </w:pPr>
            <w:r>
              <w:t xml:space="preserve"> </w:t>
            </w:r>
          </w:p>
          <w:p w:rsidR="00C4106D" w:rsidRDefault="004333DE" w14:paraId="37742D27" w14:textId="77777777">
            <w:pPr>
              <w:ind w:right="16"/>
              <w:jc w:val="center"/>
            </w:pPr>
            <w:r>
              <w:t xml:space="preserve"> </w:t>
            </w:r>
          </w:p>
          <w:p w:rsidR="00C4106D" w:rsidRDefault="004333DE" w14:paraId="7EF50190" w14:textId="77777777">
            <w:pPr>
              <w:ind w:right="16"/>
              <w:jc w:val="center"/>
            </w:pPr>
            <w:r>
              <w:t xml:space="preserve"> </w:t>
            </w:r>
          </w:p>
          <w:p w:rsidR="00C4106D" w:rsidRDefault="004333DE" w14:paraId="1849EDB2" w14:textId="77777777">
            <w:pPr>
              <w:ind w:right="16"/>
              <w:jc w:val="center"/>
            </w:pPr>
            <w:r>
              <w:t xml:space="preserve"> </w:t>
            </w:r>
          </w:p>
          <w:p w:rsidR="00541306" w:rsidRDefault="00541306" w14:paraId="27FA73DB" w14:textId="77777777">
            <w:pPr>
              <w:ind w:left="64"/>
            </w:pPr>
          </w:p>
          <w:p w:rsidR="00C4106D" w:rsidRDefault="004333DE" w14:paraId="67308D38" w14:textId="6A8AC937">
            <w:pPr>
              <w:ind w:left="64"/>
            </w:pPr>
            <w:r>
              <w:t>$2,</w:t>
            </w:r>
            <w:r w:rsidR="005443A8">
              <w:t>132.48</w:t>
            </w:r>
            <w:r>
              <w:t xml:space="preserve"> </w:t>
            </w:r>
          </w:p>
          <w:p w:rsidR="00C4106D" w:rsidRDefault="004333DE" w14:paraId="4CA68917" w14:textId="77777777">
            <w:pPr>
              <w:ind w:right="16"/>
              <w:jc w:val="center"/>
            </w:pPr>
            <w:r>
              <w:t xml:space="preserve"> </w:t>
            </w:r>
          </w:p>
        </w:tc>
      </w:tr>
      <w:tr w:rsidR="005443A8" w14:paraId="45E3E2A8" w14:textId="77777777">
        <w:trPr>
          <w:trHeight w:val="384"/>
        </w:trPr>
        <w:tc>
          <w:tcPr>
            <w:tcW w:w="1328" w:type="dxa"/>
            <w:tcBorders>
              <w:top w:val="single" w:color="000000" w:sz="6" w:space="0"/>
              <w:left w:val="single" w:color="000000" w:sz="6" w:space="0"/>
              <w:bottom w:val="single" w:color="000000" w:sz="6" w:space="0"/>
              <w:right w:val="single" w:color="000000" w:sz="6" w:space="0"/>
            </w:tcBorders>
          </w:tcPr>
          <w:p w:rsidR="00C4106D" w:rsidRDefault="004333DE" w14:paraId="3553AFA5" w14:textId="77777777">
            <w:r>
              <w:rPr>
                <w:b/>
              </w:rPr>
              <w:t xml:space="preserve">Total </w:t>
            </w:r>
          </w:p>
        </w:tc>
        <w:tc>
          <w:tcPr>
            <w:tcW w:w="1456" w:type="dxa"/>
            <w:tcBorders>
              <w:top w:val="single" w:color="000000" w:sz="6" w:space="0"/>
              <w:left w:val="single" w:color="000000" w:sz="6" w:space="0"/>
              <w:bottom w:val="single" w:color="000000" w:sz="6" w:space="0"/>
              <w:right w:val="single" w:color="000000" w:sz="6" w:space="0"/>
            </w:tcBorders>
          </w:tcPr>
          <w:p w:rsidR="00C4106D" w:rsidRDefault="004333DE" w14:paraId="668627FA" w14:textId="77777777">
            <w:pPr>
              <w:ind w:right="3"/>
              <w:jc w:val="center"/>
            </w:pPr>
            <w:r>
              <w:rPr>
                <w:b/>
                <w:sz w:val="21"/>
              </w:rPr>
              <w:t xml:space="preserve"> </w:t>
            </w:r>
          </w:p>
        </w:tc>
        <w:tc>
          <w:tcPr>
            <w:tcW w:w="1344" w:type="dxa"/>
            <w:tcBorders>
              <w:top w:val="single" w:color="000000" w:sz="6" w:space="0"/>
              <w:left w:val="single" w:color="000000" w:sz="6" w:space="0"/>
              <w:bottom w:val="single" w:color="000000" w:sz="6" w:space="0"/>
              <w:right w:val="single" w:color="000000" w:sz="6" w:space="0"/>
            </w:tcBorders>
          </w:tcPr>
          <w:p w:rsidR="00C4106D" w:rsidRDefault="004333DE" w14:paraId="43B89642" w14:textId="77777777">
            <w:pPr>
              <w:ind w:right="19"/>
              <w:jc w:val="center"/>
            </w:pPr>
            <w:r>
              <w:rPr>
                <w:b/>
                <w:sz w:val="21"/>
              </w:rPr>
              <w:t xml:space="preserve"> </w:t>
            </w:r>
          </w:p>
        </w:tc>
        <w:tc>
          <w:tcPr>
            <w:tcW w:w="1168" w:type="dxa"/>
            <w:tcBorders>
              <w:top w:val="single" w:color="000000" w:sz="6" w:space="0"/>
              <w:left w:val="single" w:color="000000" w:sz="6" w:space="0"/>
              <w:bottom w:val="single" w:color="000000" w:sz="6" w:space="0"/>
              <w:right w:val="single" w:color="000000" w:sz="6" w:space="0"/>
            </w:tcBorders>
          </w:tcPr>
          <w:p w:rsidR="00C4106D" w:rsidRDefault="004333DE" w14:paraId="1B694629" w14:textId="77777777">
            <w:pPr>
              <w:ind w:right="89"/>
              <w:jc w:val="center"/>
            </w:pPr>
            <w:r>
              <w:rPr>
                <w:b/>
                <w:sz w:val="21"/>
              </w:rPr>
              <w:t xml:space="preserve">13.6 </w:t>
            </w:r>
          </w:p>
        </w:tc>
        <w:tc>
          <w:tcPr>
            <w:tcW w:w="1312" w:type="dxa"/>
            <w:tcBorders>
              <w:top w:val="single" w:color="000000" w:sz="6" w:space="0"/>
              <w:left w:val="single" w:color="000000" w:sz="6" w:space="0"/>
              <w:bottom w:val="single" w:color="000000" w:sz="6" w:space="0"/>
              <w:right w:val="single" w:color="000000" w:sz="6" w:space="0"/>
            </w:tcBorders>
          </w:tcPr>
          <w:p w:rsidR="00C4106D" w:rsidRDefault="004333DE" w14:paraId="30B540C0" w14:textId="77777777">
            <w:pPr>
              <w:ind w:right="51"/>
              <w:jc w:val="center"/>
            </w:pPr>
            <w:r>
              <w:rPr>
                <w:b/>
                <w:sz w:val="21"/>
              </w:rPr>
              <w:t xml:space="preserve"> </w:t>
            </w:r>
          </w:p>
        </w:tc>
        <w:tc>
          <w:tcPr>
            <w:tcW w:w="1392" w:type="dxa"/>
            <w:tcBorders>
              <w:top w:val="single" w:color="000000" w:sz="6" w:space="0"/>
              <w:left w:val="single" w:color="000000" w:sz="6" w:space="0"/>
              <w:bottom w:val="single" w:color="000000" w:sz="6" w:space="0"/>
              <w:right w:val="single" w:color="000000" w:sz="6" w:space="0"/>
            </w:tcBorders>
          </w:tcPr>
          <w:p w:rsidR="00C4106D" w:rsidRDefault="004333DE" w14:paraId="3481E5E2" w14:textId="0C205838">
            <w:pPr>
              <w:ind w:left="48"/>
            </w:pPr>
            <w:r>
              <w:rPr>
                <w:b/>
                <w:sz w:val="21"/>
              </w:rPr>
              <w:t>$1</w:t>
            </w:r>
            <w:r w:rsidR="004739DF">
              <w:rPr>
                <w:b/>
                <w:sz w:val="21"/>
              </w:rPr>
              <w:t>7</w:t>
            </w:r>
            <w:r w:rsidR="00CF1348">
              <w:rPr>
                <w:b/>
                <w:sz w:val="21"/>
              </w:rPr>
              <w:t>4</w:t>
            </w:r>
            <w:r w:rsidR="004739DF">
              <w:rPr>
                <w:b/>
                <w:sz w:val="21"/>
              </w:rPr>
              <w:t>,</w:t>
            </w:r>
            <w:r w:rsidR="00CF1348">
              <w:rPr>
                <w:b/>
                <w:sz w:val="21"/>
              </w:rPr>
              <w:t>482</w:t>
            </w:r>
            <w:r w:rsidR="004739DF">
              <w:rPr>
                <w:b/>
                <w:sz w:val="21"/>
              </w:rPr>
              <w:t>.56</w:t>
            </w:r>
          </w:p>
        </w:tc>
        <w:tc>
          <w:tcPr>
            <w:tcW w:w="1248" w:type="dxa"/>
            <w:tcBorders>
              <w:top w:val="single" w:color="000000" w:sz="6" w:space="0"/>
              <w:left w:val="single" w:color="000000" w:sz="6" w:space="0"/>
              <w:bottom w:val="single" w:color="000000" w:sz="6" w:space="0"/>
              <w:right w:val="single" w:color="000000" w:sz="6" w:space="0"/>
            </w:tcBorders>
          </w:tcPr>
          <w:p w:rsidR="00C4106D" w:rsidRDefault="004333DE" w14:paraId="765CEAA9" w14:textId="77777777">
            <w:pPr>
              <w:spacing w:after="124"/>
              <w:ind w:right="52"/>
              <w:jc w:val="center"/>
            </w:pPr>
            <w:r>
              <w:rPr>
                <w:b/>
                <w:sz w:val="6"/>
              </w:rPr>
              <w:t xml:space="preserve"> </w:t>
            </w:r>
          </w:p>
          <w:p w:rsidR="00C4106D" w:rsidRDefault="004333DE" w14:paraId="65A3543F" w14:textId="7AEDC737">
            <w:pPr>
              <w:ind w:right="57"/>
              <w:jc w:val="center"/>
            </w:pPr>
            <w:r>
              <w:rPr>
                <w:b/>
                <w:sz w:val="21"/>
              </w:rPr>
              <w:t>$</w:t>
            </w:r>
            <w:r w:rsidR="00CF1348">
              <w:rPr>
                <w:b/>
                <w:sz w:val="21"/>
              </w:rPr>
              <w:t>6</w:t>
            </w:r>
            <w:r>
              <w:rPr>
                <w:b/>
                <w:sz w:val="21"/>
              </w:rPr>
              <w:t>,</w:t>
            </w:r>
            <w:r w:rsidR="00CF1348">
              <w:rPr>
                <w:b/>
                <w:sz w:val="21"/>
              </w:rPr>
              <w:t>016</w:t>
            </w:r>
            <w:r w:rsidR="004739DF">
              <w:rPr>
                <w:b/>
                <w:sz w:val="21"/>
              </w:rPr>
              <w:t>.64</w:t>
            </w:r>
          </w:p>
        </w:tc>
      </w:tr>
    </w:tbl>
    <w:p w:rsidR="00C4106D" w:rsidRDefault="004333DE" w14:paraId="527B24D7" w14:textId="77777777">
      <w:pPr>
        <w:spacing w:after="0"/>
        <w:ind w:left="1"/>
      </w:pPr>
      <w:r>
        <w:rPr>
          <w:sz w:val="21"/>
        </w:rPr>
        <w:t xml:space="preserve"> </w:t>
      </w:r>
    </w:p>
    <w:p w:rsidR="00C4106D" w:rsidRDefault="004333DE" w14:paraId="594135D4" w14:textId="77777777">
      <w:pPr>
        <w:spacing w:after="23" w:line="230" w:lineRule="auto"/>
        <w:ind w:left="-4" w:hanging="10"/>
      </w:pPr>
      <w:r>
        <w:rPr>
          <w:rFonts w:ascii="Times New Roman" w:hAnsi="Times New Roman" w:eastAsia="Times New Roman" w:cs="Times New Roman"/>
          <w:sz w:val="21"/>
        </w:rPr>
        <w:t>The wage per hour is taken from th</w:t>
      </w:r>
      <w:hyperlink r:id="rId28">
        <w:r>
          <w:rPr>
            <w:rFonts w:ascii="Times New Roman" w:hAnsi="Times New Roman" w:eastAsia="Times New Roman" w:cs="Times New Roman"/>
            <w:sz w:val="21"/>
          </w:rPr>
          <w:t xml:space="preserve">e </w:t>
        </w:r>
      </w:hyperlink>
      <w:hyperlink r:id="rId29">
        <w:r>
          <w:rPr>
            <w:rFonts w:ascii="Times New Roman" w:hAnsi="Times New Roman" w:eastAsia="Times New Roman" w:cs="Times New Roman"/>
            <w:color w:val="0000FF"/>
            <w:sz w:val="21"/>
            <w:u w:val="single" w:color="0000FF"/>
          </w:rPr>
          <w:t>Bureau of Labor Statistics</w:t>
        </w:r>
      </w:hyperlink>
      <w:r>
        <w:rPr>
          <w:rFonts w:ascii="Times New Roman" w:hAnsi="Times New Roman" w:eastAsia="Times New Roman" w:cs="Times New Roman"/>
          <w:color w:val="0000FF"/>
          <w:sz w:val="21"/>
        </w:rPr>
        <w:t xml:space="preserve"> </w:t>
      </w:r>
      <w:r>
        <w:rPr>
          <w:rFonts w:ascii="Times New Roman" w:hAnsi="Times New Roman" w:eastAsia="Times New Roman" w:cs="Times New Roman"/>
          <w:sz w:val="21"/>
        </w:rPr>
        <w:t xml:space="preserve">for (1) Medical and Health Service Manager; (1) Executive Secretaries &amp; Executive Administrative Assistants. </w:t>
      </w:r>
      <w:r>
        <w:rPr>
          <w:sz w:val="21"/>
        </w:rPr>
        <w:t xml:space="preserve"> </w:t>
      </w:r>
    </w:p>
    <w:p w:rsidR="00C4106D" w:rsidRDefault="004333DE" w14:paraId="35BAEB2B" w14:textId="77777777">
      <w:pPr>
        <w:spacing w:after="0"/>
        <w:ind w:left="1"/>
      </w:pPr>
      <w:r>
        <w:rPr>
          <w:b/>
        </w:rPr>
        <w:t xml:space="preserve"> </w:t>
      </w:r>
    </w:p>
    <w:p w:rsidR="00C4106D" w:rsidRDefault="004333DE" w14:paraId="5EDCB2B3" w14:textId="52E51217">
      <w:pPr>
        <w:spacing w:after="3" w:line="248" w:lineRule="auto"/>
        <w:ind w:left="-5" w:right="116" w:hanging="9"/>
        <w:jc w:val="both"/>
      </w:pPr>
      <w:r>
        <w:t xml:space="preserve">The State Flexibility Cycle II Grant’s total burden hours for reporting are estimate to be </w:t>
      </w:r>
      <w:r>
        <w:rPr>
          <w:b/>
        </w:rPr>
        <w:t>13.6 per response</w:t>
      </w:r>
      <w:r>
        <w:t xml:space="preserve">. The total cost associated with that estimate is </w:t>
      </w:r>
      <w:r>
        <w:rPr>
          <w:b/>
        </w:rPr>
        <w:t>$</w:t>
      </w:r>
      <w:r w:rsidR="00CF1348">
        <w:rPr>
          <w:b/>
        </w:rPr>
        <w:t>6</w:t>
      </w:r>
      <w:r>
        <w:rPr>
          <w:b/>
        </w:rPr>
        <w:t>,</w:t>
      </w:r>
      <w:r w:rsidR="00CF1348">
        <w:rPr>
          <w:b/>
        </w:rPr>
        <w:t>016</w:t>
      </w:r>
      <w:r w:rsidR="004739DF">
        <w:rPr>
          <w:b/>
        </w:rPr>
        <w:t>.64</w:t>
      </w:r>
      <w:r>
        <w:rPr>
          <w:b/>
        </w:rPr>
        <w:t xml:space="preserve"> per response.</w:t>
      </w:r>
      <w:r>
        <w:t xml:space="preserve"> </w:t>
      </w:r>
    </w:p>
    <w:p w:rsidR="00C4106D" w:rsidRDefault="004333DE" w14:paraId="53C07450" w14:textId="77777777">
      <w:pPr>
        <w:spacing w:after="0"/>
        <w:ind w:left="1"/>
      </w:pPr>
      <w:r>
        <w:rPr>
          <w:b/>
        </w:rPr>
        <w:t xml:space="preserve"> </w:t>
      </w:r>
    </w:p>
    <w:p w:rsidR="00C4106D" w:rsidRDefault="004333DE" w14:paraId="193B017F" w14:textId="77777777">
      <w:pPr>
        <w:spacing w:after="0"/>
        <w:ind w:left="-4" w:hanging="10"/>
      </w:pPr>
      <w:r>
        <w:rPr>
          <w:b/>
        </w:rPr>
        <w:t>13.</w:t>
      </w:r>
      <w:r>
        <w:rPr>
          <w:rFonts w:ascii="Arial" w:hAnsi="Arial" w:eastAsia="Arial" w:cs="Arial"/>
          <w:b/>
        </w:rPr>
        <w:t xml:space="preserve"> </w:t>
      </w:r>
      <w:r>
        <w:rPr>
          <w:b/>
          <w:u w:val="single" w:color="000000"/>
        </w:rPr>
        <w:t>Estimates of other Total Annual Cost Burden to Respondents or Record Keepers /Capital Costs</w:t>
      </w:r>
      <w:r>
        <w:rPr>
          <w:b/>
        </w:rPr>
        <w:t xml:space="preserve"> </w:t>
      </w:r>
      <w:r>
        <w:t xml:space="preserve">There are no additional record keeping/capital costs.  </w:t>
      </w:r>
    </w:p>
    <w:p w:rsidR="00C4106D" w:rsidRDefault="004333DE" w14:paraId="07B53637" w14:textId="77777777">
      <w:pPr>
        <w:spacing w:after="0"/>
        <w:ind w:left="369"/>
      </w:pPr>
      <w:r>
        <w:t xml:space="preserve"> </w:t>
      </w:r>
    </w:p>
    <w:p w:rsidR="00C4106D" w:rsidRDefault="004333DE" w14:paraId="4DED7D9F" w14:textId="77777777">
      <w:pPr>
        <w:pStyle w:val="Heading1"/>
        <w:ind w:left="-4"/>
      </w:pPr>
      <w:r>
        <w:rPr>
          <w:u w:val="none"/>
        </w:rPr>
        <w:t>14.</w:t>
      </w:r>
      <w:r>
        <w:rPr>
          <w:rFonts w:ascii="Arial" w:hAnsi="Arial" w:eastAsia="Arial" w:cs="Arial"/>
          <w:u w:val="none"/>
        </w:rPr>
        <w:t xml:space="preserve"> </w:t>
      </w:r>
      <w:r>
        <w:t>Annualized Cost to Federal Government</w:t>
      </w:r>
      <w:r>
        <w:rPr>
          <w:u w:val="none"/>
        </w:rPr>
        <w:t xml:space="preserve"> </w:t>
      </w:r>
    </w:p>
    <w:p w:rsidR="00C4106D" w:rsidRDefault="004333DE" w14:paraId="2AF92BF5" w14:textId="77777777">
      <w:pPr>
        <w:spacing w:after="0"/>
        <w:ind w:left="1"/>
      </w:pPr>
      <w:r>
        <w:t xml:space="preserve"> </w:t>
      </w:r>
    </w:p>
    <w:p w:rsidR="00C4106D" w:rsidRDefault="004333DE" w14:paraId="34181EC3" w14:textId="77777777">
      <w:pPr>
        <w:spacing w:after="3" w:line="248" w:lineRule="auto"/>
        <w:ind w:left="-5" w:hanging="9"/>
        <w:jc w:val="both"/>
      </w:pPr>
      <w:r>
        <w:t>Total government program staffing costs include two GS-12 and two GS-13 with a break down as follows to intake and review quarterly and final reports for an estimated 29 awardees</w:t>
      </w:r>
      <w:r>
        <w:rPr>
          <w:sz w:val="21"/>
        </w:rPr>
        <w:t xml:space="preserve">.  </w:t>
      </w:r>
    </w:p>
    <w:p w:rsidR="00C4106D" w:rsidRDefault="004333DE" w14:paraId="1C60E0A1" w14:textId="77777777">
      <w:pPr>
        <w:spacing w:after="0"/>
        <w:ind w:left="1"/>
      </w:pPr>
      <w:r>
        <w:t xml:space="preserve"> </w:t>
      </w:r>
    </w:p>
    <w:tbl>
      <w:tblPr>
        <w:tblStyle w:val="TableGrid"/>
        <w:tblW w:w="9412" w:type="dxa"/>
        <w:tblInd w:w="1" w:type="dxa"/>
        <w:tblLook w:val="04A0" w:firstRow="1" w:lastRow="0" w:firstColumn="1" w:lastColumn="0" w:noHBand="0" w:noVBand="1"/>
      </w:tblPr>
      <w:tblGrid>
        <w:gridCol w:w="6481"/>
        <w:gridCol w:w="2931"/>
      </w:tblGrid>
      <w:tr w:rsidR="00C4106D" w14:paraId="231375EA" w14:textId="77777777">
        <w:trPr>
          <w:trHeight w:val="250"/>
        </w:trPr>
        <w:tc>
          <w:tcPr>
            <w:tcW w:w="6481" w:type="dxa"/>
            <w:tcBorders>
              <w:top w:val="nil"/>
              <w:left w:val="nil"/>
              <w:bottom w:val="nil"/>
              <w:right w:val="nil"/>
            </w:tcBorders>
          </w:tcPr>
          <w:p w:rsidR="00C4106D" w:rsidRDefault="004333DE" w14:paraId="4B964665" w14:textId="77777777">
            <w:pPr>
              <w:ind w:left="368"/>
            </w:pPr>
            <w:r>
              <w:t xml:space="preserve">GS-13: Full-time (Salary with local cost adjustment:  $103,690) </w:t>
            </w:r>
          </w:p>
        </w:tc>
        <w:tc>
          <w:tcPr>
            <w:tcW w:w="2931" w:type="dxa"/>
            <w:tcBorders>
              <w:top w:val="nil"/>
              <w:left w:val="nil"/>
              <w:bottom w:val="nil"/>
              <w:right w:val="nil"/>
            </w:tcBorders>
          </w:tcPr>
          <w:p w:rsidR="00C4106D" w:rsidRDefault="004333DE" w14:paraId="5F177C96" w14:textId="77777777">
            <w:pPr>
              <w:tabs>
                <w:tab w:val="center" w:pos="1865"/>
              </w:tabs>
            </w:pPr>
            <w:r>
              <w:t xml:space="preserve">Annual cost:   </w:t>
            </w:r>
            <w:r>
              <w:tab/>
              <w:t xml:space="preserve">$103,690 </w:t>
            </w:r>
          </w:p>
        </w:tc>
      </w:tr>
      <w:tr w:rsidR="00C4106D" w14:paraId="40B9BFA8" w14:textId="77777777">
        <w:trPr>
          <w:trHeight w:val="272"/>
        </w:trPr>
        <w:tc>
          <w:tcPr>
            <w:tcW w:w="6481" w:type="dxa"/>
            <w:tcBorders>
              <w:top w:val="nil"/>
              <w:left w:val="nil"/>
              <w:bottom w:val="nil"/>
              <w:right w:val="nil"/>
            </w:tcBorders>
          </w:tcPr>
          <w:p w:rsidR="00C4106D" w:rsidRDefault="004333DE" w14:paraId="3C9F494E" w14:textId="77777777">
            <w:pPr>
              <w:ind w:left="369"/>
            </w:pPr>
            <w:r>
              <w:t xml:space="preserve">GS-13: Full-time (Salary with local cost adjustment:  $103,690) </w:t>
            </w:r>
          </w:p>
        </w:tc>
        <w:tc>
          <w:tcPr>
            <w:tcW w:w="2931" w:type="dxa"/>
            <w:tcBorders>
              <w:top w:val="nil"/>
              <w:left w:val="nil"/>
              <w:bottom w:val="nil"/>
              <w:right w:val="nil"/>
            </w:tcBorders>
          </w:tcPr>
          <w:p w:rsidR="00C4106D" w:rsidRDefault="004333DE" w14:paraId="45CC1120" w14:textId="77777777">
            <w:pPr>
              <w:tabs>
                <w:tab w:val="center" w:pos="1865"/>
                <w:tab w:val="center" w:pos="2881"/>
              </w:tabs>
            </w:pPr>
            <w:r>
              <w:t xml:space="preserve">Annual cost:   </w:t>
            </w:r>
            <w:r>
              <w:tab/>
              <w:t xml:space="preserve">$103,690 </w:t>
            </w:r>
            <w:r>
              <w:tab/>
              <w:t xml:space="preserve"> </w:t>
            </w:r>
          </w:p>
        </w:tc>
      </w:tr>
      <w:tr w:rsidR="00C4106D" w14:paraId="167DAD08" w14:textId="77777777">
        <w:trPr>
          <w:trHeight w:val="264"/>
        </w:trPr>
        <w:tc>
          <w:tcPr>
            <w:tcW w:w="6481" w:type="dxa"/>
            <w:tcBorders>
              <w:top w:val="nil"/>
              <w:left w:val="nil"/>
              <w:bottom w:val="nil"/>
              <w:right w:val="nil"/>
            </w:tcBorders>
          </w:tcPr>
          <w:p w:rsidR="00C4106D" w:rsidRDefault="004333DE" w14:paraId="30FA715D" w14:textId="77777777">
            <w:pPr>
              <w:ind w:left="369"/>
            </w:pPr>
            <w:r>
              <w:t xml:space="preserve">GS-12: Full-time (Salary with local cost adjustment:  $87,198) </w:t>
            </w:r>
          </w:p>
        </w:tc>
        <w:tc>
          <w:tcPr>
            <w:tcW w:w="2931" w:type="dxa"/>
            <w:tcBorders>
              <w:top w:val="nil"/>
              <w:left w:val="nil"/>
              <w:bottom w:val="nil"/>
              <w:right w:val="nil"/>
            </w:tcBorders>
          </w:tcPr>
          <w:p w:rsidR="00C4106D" w:rsidRDefault="004333DE" w14:paraId="12DBD4C1" w14:textId="77777777">
            <w:pPr>
              <w:tabs>
                <w:tab w:val="center" w:pos="1810"/>
              </w:tabs>
            </w:pPr>
            <w:r>
              <w:t xml:space="preserve">Annual cost:  </w:t>
            </w:r>
            <w:r>
              <w:tab/>
              <w:t xml:space="preserve">$87,198 </w:t>
            </w:r>
          </w:p>
        </w:tc>
      </w:tr>
      <w:tr w:rsidR="00C4106D" w14:paraId="7773DF2B" w14:textId="77777777">
        <w:trPr>
          <w:trHeight w:val="264"/>
        </w:trPr>
        <w:tc>
          <w:tcPr>
            <w:tcW w:w="6481" w:type="dxa"/>
            <w:tcBorders>
              <w:top w:val="nil"/>
              <w:left w:val="nil"/>
              <w:bottom w:val="nil"/>
              <w:right w:val="nil"/>
            </w:tcBorders>
          </w:tcPr>
          <w:p w:rsidR="00C4106D" w:rsidRDefault="004333DE" w14:paraId="6E63D93B" w14:textId="77777777">
            <w:pPr>
              <w:ind w:left="370"/>
            </w:pPr>
            <w:r>
              <w:t xml:space="preserve">GS-12: Full-time (Salary with local cost adjustment:  $87,198) </w:t>
            </w:r>
          </w:p>
        </w:tc>
        <w:tc>
          <w:tcPr>
            <w:tcW w:w="2931" w:type="dxa"/>
            <w:tcBorders>
              <w:top w:val="nil"/>
              <w:left w:val="nil"/>
              <w:bottom w:val="nil"/>
              <w:right w:val="nil"/>
            </w:tcBorders>
          </w:tcPr>
          <w:p w:rsidR="00C4106D" w:rsidRDefault="004333DE" w14:paraId="079197A9" w14:textId="77777777">
            <w:pPr>
              <w:ind w:left="1"/>
            </w:pPr>
            <w:r>
              <w:t xml:space="preserve">Annual cost:       $87,198 </w:t>
            </w:r>
          </w:p>
        </w:tc>
      </w:tr>
      <w:tr w:rsidR="00C4106D" w14:paraId="471EF941" w14:textId="77777777">
        <w:trPr>
          <w:trHeight w:val="475"/>
        </w:trPr>
        <w:tc>
          <w:tcPr>
            <w:tcW w:w="6481" w:type="dxa"/>
            <w:tcBorders>
              <w:top w:val="nil"/>
              <w:left w:val="nil"/>
              <w:bottom w:val="nil"/>
              <w:right w:val="nil"/>
            </w:tcBorders>
          </w:tcPr>
          <w:p w:rsidR="00C4106D" w:rsidRDefault="004333DE" w14:paraId="33457E57" w14:textId="77777777">
            <w:pPr>
              <w:ind w:left="37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C4106D" w:rsidRDefault="004333DE" w14:paraId="0C0CA40E" w14:textId="77777777">
            <w:r>
              <w:rPr>
                <w:rFonts w:ascii="Times New Roman" w:hAnsi="Times New Roman" w:eastAsia="Times New Roman" w:cs="Times New Roman"/>
                <w:sz w:val="21"/>
              </w:rPr>
              <w:t xml:space="preserve"> </w:t>
            </w:r>
          </w:p>
        </w:tc>
        <w:tc>
          <w:tcPr>
            <w:tcW w:w="2931" w:type="dxa"/>
            <w:tcBorders>
              <w:top w:val="nil"/>
              <w:left w:val="nil"/>
              <w:bottom w:val="nil"/>
              <w:right w:val="nil"/>
            </w:tcBorders>
          </w:tcPr>
          <w:p w:rsidR="00C4106D" w:rsidRDefault="004333DE" w14:paraId="5BFE5565" w14:textId="77777777">
            <w:pPr>
              <w:tabs>
                <w:tab w:val="center" w:pos="1866"/>
              </w:tabs>
            </w:pPr>
            <w:r>
              <w:rPr>
                <w:b/>
              </w:rPr>
              <w:t xml:space="preserve">Total:  </w:t>
            </w:r>
            <w:r>
              <w:rPr>
                <w:b/>
              </w:rPr>
              <w:tab/>
              <w:t xml:space="preserve">$381,776 </w:t>
            </w:r>
          </w:p>
        </w:tc>
      </w:tr>
    </w:tbl>
    <w:p w:rsidR="00C4106D" w:rsidRDefault="004333DE" w14:paraId="0A4D0C3B" w14:textId="77777777">
      <w:pPr>
        <w:spacing w:after="23" w:line="230" w:lineRule="auto"/>
        <w:ind w:left="-4" w:hanging="10"/>
      </w:pPr>
      <w:r>
        <w:rPr>
          <w:rFonts w:ascii="Times New Roman" w:hAnsi="Times New Roman" w:eastAsia="Times New Roman" w:cs="Times New Roman"/>
          <w:sz w:val="21"/>
        </w:rPr>
        <w:t>The wage is taken from th</w:t>
      </w:r>
      <w:hyperlink r:id="rId30">
        <w:r>
          <w:rPr>
            <w:rFonts w:ascii="Times New Roman" w:hAnsi="Times New Roman" w:eastAsia="Times New Roman" w:cs="Times New Roman"/>
            <w:sz w:val="21"/>
          </w:rPr>
          <w:t xml:space="preserve">e </w:t>
        </w:r>
      </w:hyperlink>
      <w:hyperlink r:id="rId31">
        <w:r>
          <w:rPr>
            <w:rFonts w:ascii="Times New Roman" w:hAnsi="Times New Roman" w:eastAsia="Times New Roman" w:cs="Times New Roman"/>
            <w:color w:val="0000FF"/>
            <w:sz w:val="21"/>
            <w:u w:val="single" w:color="0000FF"/>
          </w:rPr>
          <w:t>2021 OPM Washington, DC GS scale</w:t>
        </w:r>
      </w:hyperlink>
      <w:hyperlink r:id="rId32">
        <w:r>
          <w:rPr>
            <w:rFonts w:ascii="Times New Roman" w:hAnsi="Times New Roman" w:eastAsia="Times New Roman" w:cs="Times New Roman"/>
            <w:color w:val="0000FF"/>
            <w:sz w:val="21"/>
          </w:rPr>
          <w:t xml:space="preserve"> </w:t>
        </w:r>
      </w:hyperlink>
      <w:r>
        <w:rPr>
          <w:rFonts w:ascii="Times New Roman" w:hAnsi="Times New Roman" w:eastAsia="Times New Roman" w:cs="Times New Roman"/>
          <w:sz w:val="21"/>
        </w:rPr>
        <w:t>for (2) GS-13 and (2) GS-12.</w:t>
      </w:r>
      <w:r>
        <w:rPr>
          <w:b/>
        </w:rPr>
        <w:t xml:space="preserve"> </w:t>
      </w:r>
    </w:p>
    <w:p w:rsidR="00C4106D" w:rsidRDefault="004333DE" w14:paraId="48DAF033" w14:textId="77777777">
      <w:pPr>
        <w:spacing w:after="0"/>
        <w:ind w:left="369"/>
      </w:pPr>
      <w:r>
        <w:t xml:space="preserve"> </w:t>
      </w:r>
    </w:p>
    <w:p w:rsidR="00C4106D" w:rsidRDefault="004333DE" w14:paraId="123DBA48" w14:textId="77777777">
      <w:pPr>
        <w:pStyle w:val="Heading1"/>
        <w:ind w:left="-4"/>
      </w:pPr>
      <w:r>
        <w:rPr>
          <w:u w:val="none"/>
        </w:rPr>
        <w:t>15.</w:t>
      </w:r>
      <w:r>
        <w:rPr>
          <w:rFonts w:ascii="Arial" w:hAnsi="Arial" w:eastAsia="Arial" w:cs="Arial"/>
          <w:u w:val="none"/>
        </w:rPr>
        <w:t xml:space="preserve"> </w:t>
      </w:r>
      <w:r>
        <w:t>Explanation for Program Changes or Adjustments</w:t>
      </w:r>
      <w:r>
        <w:rPr>
          <w:u w:val="none"/>
        </w:rPr>
        <w:t xml:space="preserve"> </w:t>
      </w:r>
    </w:p>
    <w:p w:rsidR="00C4106D" w:rsidRDefault="004333DE" w14:paraId="65202941" w14:textId="77777777">
      <w:pPr>
        <w:spacing w:after="0"/>
        <w:ind w:left="1"/>
      </w:pPr>
      <w:r>
        <w:rPr>
          <w:b/>
        </w:rPr>
        <w:t xml:space="preserve"> </w:t>
      </w:r>
    </w:p>
    <w:p w:rsidR="00C4106D" w:rsidRDefault="00E31AB9" w14:paraId="0D7AE3AE" w14:textId="30D4E8EA">
      <w:pPr>
        <w:spacing w:after="0"/>
      </w:pPr>
      <w:r w:rsidRPr="00E31AB9">
        <w:t xml:space="preserve">The reporting requirements have changed due to the conclusion of several grants in Cycle I and the initiation of Cycle II. The number of Cycle I respondents was updated to reflect that only 5 states will remain active in Cycle I.  Due to the initiation of Cycle II a new Notice of Funding Opportunity is being released.  As a result of Cycle II requirements, burden has increased from 2,108 hours to 2,312 hours. </w:t>
      </w:r>
      <w:bookmarkStart w:name="_GoBack" w:id="0"/>
      <w:bookmarkEnd w:id="0"/>
      <w:r w:rsidR="004333DE">
        <w:t xml:space="preserve"> </w:t>
      </w:r>
    </w:p>
    <w:p w:rsidR="00C4106D" w:rsidRDefault="004333DE" w14:paraId="3E7D3F1C" w14:textId="77777777">
      <w:pPr>
        <w:spacing w:after="0"/>
        <w:ind w:left="-4" w:hanging="10"/>
      </w:pPr>
      <w:r>
        <w:rPr>
          <w:b/>
        </w:rPr>
        <w:lastRenderedPageBreak/>
        <w:t>16.</w:t>
      </w:r>
      <w:r>
        <w:rPr>
          <w:rFonts w:ascii="Arial" w:hAnsi="Arial" w:eastAsia="Arial" w:cs="Arial"/>
          <w:b/>
        </w:rPr>
        <w:t xml:space="preserve"> </w:t>
      </w:r>
      <w:r>
        <w:rPr>
          <w:b/>
          <w:u w:val="single" w:color="000000"/>
        </w:rPr>
        <w:t>Plans for Tabulation and Publication and Project Time Schedule</w:t>
      </w:r>
      <w:r>
        <w:rPr>
          <w:b/>
        </w:rPr>
        <w:t xml:space="preserve"> </w:t>
      </w:r>
    </w:p>
    <w:p w:rsidR="00C4106D" w:rsidRDefault="004333DE" w14:paraId="65EAF826" w14:textId="77777777">
      <w:pPr>
        <w:spacing w:after="0"/>
        <w:ind w:left="1"/>
      </w:pPr>
      <w:r>
        <w:rPr>
          <w:b/>
        </w:rPr>
        <w:t xml:space="preserve"> </w:t>
      </w:r>
    </w:p>
    <w:p w:rsidR="00C4106D" w:rsidRDefault="004333DE" w14:paraId="023EC7FD" w14:textId="77777777">
      <w:pPr>
        <w:spacing w:after="3" w:line="248" w:lineRule="auto"/>
        <w:ind w:left="-5" w:right="116" w:hanging="9"/>
        <w:jc w:val="both"/>
      </w:pPr>
      <w:r>
        <w:t xml:space="preserve">The results from the information collection will not be published. </w:t>
      </w:r>
    </w:p>
    <w:p w:rsidR="00C4106D" w:rsidRDefault="004333DE" w14:paraId="3D8AE3E4" w14:textId="77777777">
      <w:pPr>
        <w:spacing w:after="0"/>
        <w:ind w:left="1"/>
      </w:pPr>
      <w:r>
        <w:t xml:space="preserve"> </w:t>
      </w:r>
    </w:p>
    <w:p w:rsidR="00C4106D" w:rsidRDefault="004333DE" w14:paraId="14557767" w14:textId="77777777">
      <w:pPr>
        <w:pStyle w:val="Heading1"/>
        <w:ind w:left="-4"/>
      </w:pPr>
      <w:r>
        <w:rPr>
          <w:u w:val="none"/>
        </w:rPr>
        <w:t>17.</w:t>
      </w:r>
      <w:r>
        <w:rPr>
          <w:rFonts w:ascii="Arial" w:hAnsi="Arial" w:eastAsia="Arial" w:cs="Arial"/>
          <w:u w:val="none"/>
        </w:rPr>
        <w:t xml:space="preserve"> </w:t>
      </w:r>
      <w:r>
        <w:t>Reason(s) Display of OMB Expiration Date is Inappropriate</w:t>
      </w:r>
      <w:r>
        <w:rPr>
          <w:u w:val="none"/>
        </w:rPr>
        <w:t xml:space="preserve"> </w:t>
      </w:r>
    </w:p>
    <w:p w:rsidR="00C4106D" w:rsidRDefault="004333DE" w14:paraId="2DD25F2B" w14:textId="77777777">
      <w:pPr>
        <w:spacing w:after="0"/>
        <w:ind w:left="1"/>
      </w:pPr>
      <w:r>
        <w:t xml:space="preserve"> </w:t>
      </w:r>
    </w:p>
    <w:p w:rsidR="00C4106D" w:rsidRDefault="004333DE" w14:paraId="7A99C9A9" w14:textId="77777777">
      <w:pPr>
        <w:spacing w:after="3" w:line="248" w:lineRule="auto"/>
        <w:ind w:left="-5" w:right="116" w:hanging="9"/>
        <w:jc w:val="both"/>
      </w:pPr>
      <w:r>
        <w:t xml:space="preserve">The expiration date and OMB control number are displayed on the first page of each (top right corner) instrument. </w:t>
      </w:r>
    </w:p>
    <w:sectPr w:rsidR="00C4106D">
      <w:headerReference w:type="even" r:id="rId33"/>
      <w:headerReference w:type="default" r:id="rId34"/>
      <w:footerReference w:type="even" r:id="rId35"/>
      <w:footerReference w:type="default" r:id="rId36"/>
      <w:headerReference w:type="first" r:id="rId37"/>
      <w:footerReference w:type="first" r:id="rId38"/>
      <w:footnotePr>
        <w:numRestart w:val="eachPage"/>
      </w:footnotePr>
      <w:pgSz w:w="12240" w:h="15840"/>
      <w:pgMar w:top="2272" w:right="1434" w:bottom="2180" w:left="1439" w:header="1498" w:footer="14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2ABD6" w14:textId="77777777" w:rsidR="00237031" w:rsidRDefault="00237031">
      <w:pPr>
        <w:spacing w:after="0" w:line="240" w:lineRule="auto"/>
      </w:pPr>
      <w:r>
        <w:separator/>
      </w:r>
    </w:p>
  </w:endnote>
  <w:endnote w:type="continuationSeparator" w:id="0">
    <w:p w14:paraId="738216BB" w14:textId="77777777" w:rsidR="00237031" w:rsidRDefault="00237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D517" w14:textId="77777777" w:rsidR="00C4106D" w:rsidRDefault="004333DE">
    <w:pPr>
      <w:spacing w:after="72"/>
      <w:ind w:right="13"/>
      <w:jc w:val="center"/>
    </w:pPr>
    <w:r>
      <w:rPr>
        <w:rFonts w:ascii="Times New Roman" w:eastAsia="Times New Roman" w:hAnsi="Times New Roman" w:cs="Times New Roman"/>
        <w:color w:val="FF0000"/>
        <w:sz w:val="16"/>
      </w:rPr>
      <w:t xml:space="preserve">. </w:t>
    </w:r>
  </w:p>
  <w:p w14:paraId="6F7886D4" w14:textId="77777777" w:rsidR="00C4106D" w:rsidRDefault="004333DE">
    <w:pPr>
      <w:spacing w:after="0"/>
      <w:ind w:left="3"/>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DD9768C" w14:textId="77777777" w:rsidR="00C4106D" w:rsidRDefault="004333DE">
    <w:pPr>
      <w:spacing w:after="0"/>
      <w:ind w:left="1"/>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33FC" w14:textId="77777777" w:rsidR="00C4106D" w:rsidRDefault="004333DE">
    <w:pPr>
      <w:spacing w:after="72"/>
      <w:ind w:right="13"/>
      <w:jc w:val="center"/>
    </w:pPr>
    <w:r>
      <w:rPr>
        <w:rFonts w:ascii="Times New Roman" w:eastAsia="Times New Roman" w:hAnsi="Times New Roman" w:cs="Times New Roman"/>
        <w:color w:val="FF0000"/>
        <w:sz w:val="16"/>
      </w:rPr>
      <w:t xml:space="preserve">. </w:t>
    </w:r>
  </w:p>
  <w:p w14:paraId="4E824188" w14:textId="77777777" w:rsidR="00C4106D" w:rsidRDefault="004333DE">
    <w:pPr>
      <w:spacing w:after="0"/>
      <w:ind w:left="3"/>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618E953" w14:textId="77777777" w:rsidR="00C4106D" w:rsidRDefault="004333DE">
    <w:pPr>
      <w:spacing w:after="0"/>
      <w:ind w:left="1"/>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8A267" w14:textId="77777777" w:rsidR="00C4106D" w:rsidRDefault="004333DE">
    <w:pPr>
      <w:spacing w:after="72"/>
      <w:ind w:right="13"/>
      <w:jc w:val="center"/>
    </w:pPr>
    <w:r>
      <w:rPr>
        <w:rFonts w:ascii="Times New Roman" w:eastAsia="Times New Roman" w:hAnsi="Times New Roman" w:cs="Times New Roman"/>
        <w:color w:val="FF0000"/>
        <w:sz w:val="16"/>
      </w:rPr>
      <w:t xml:space="preserve">. </w:t>
    </w:r>
  </w:p>
  <w:p w14:paraId="1C6B285B" w14:textId="77777777" w:rsidR="00C4106D" w:rsidRDefault="004333DE">
    <w:pPr>
      <w:spacing w:after="0"/>
      <w:ind w:left="3"/>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5F7E3EE" w14:textId="77777777" w:rsidR="00C4106D" w:rsidRDefault="004333DE">
    <w:pPr>
      <w:spacing w:after="0"/>
      <w:ind w:left="1"/>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F0FCB" w14:textId="77777777" w:rsidR="00237031" w:rsidRDefault="00237031">
      <w:pPr>
        <w:spacing w:after="0"/>
        <w:ind w:left="1"/>
      </w:pPr>
      <w:r>
        <w:separator/>
      </w:r>
    </w:p>
  </w:footnote>
  <w:footnote w:type="continuationSeparator" w:id="0">
    <w:p w14:paraId="10F00C5F" w14:textId="77777777" w:rsidR="00237031" w:rsidRDefault="00237031">
      <w:pPr>
        <w:spacing w:after="0"/>
        <w:ind w:left="1"/>
      </w:pPr>
      <w:r>
        <w:continuationSeparator/>
      </w:r>
    </w:p>
  </w:footnote>
  <w:footnote w:id="1">
    <w:p w14:paraId="6E412ADF" w14:textId="77777777" w:rsidR="00C4106D" w:rsidRDefault="004333DE">
      <w:pPr>
        <w:pStyle w:val="footnotedescription"/>
      </w:pPr>
      <w:r>
        <w:rPr>
          <w:rStyle w:val="footnotemark"/>
          <w:rFonts w:eastAsia="Calibri"/>
        </w:rPr>
        <w:footnoteRef/>
      </w:r>
      <w:r>
        <w:t xml:space="preserve"> The final report will be submitted in lieu of the annual report in the last year of the grant</w:t>
      </w:r>
      <w:r>
        <w:rPr>
          <w:rFonts w:ascii="Times New Roman" w:eastAsia="Times New Roman" w:hAnsi="Times New Roman" w:cs="Times New Roman"/>
          <w:b w:val="0"/>
          <w:sz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D2946" w14:textId="77777777" w:rsidR="00C4106D" w:rsidRDefault="004333DE">
    <w:pPr>
      <w:spacing w:after="0"/>
      <w:ind w:left="1"/>
    </w:pPr>
    <w:r>
      <w:rPr>
        <w:rFonts w:ascii="Times New Roman" w:eastAsia="Times New Roman" w:hAnsi="Times New Roman" w:cs="Times New Roman"/>
        <w:sz w:val="24"/>
      </w:rPr>
      <w:t xml:space="preserve">                                                                                               OMB Control Number: 0938-1366 </w:t>
    </w:r>
  </w:p>
  <w:p w14:paraId="7DD54063" w14:textId="77777777" w:rsidR="00C4106D" w:rsidRDefault="004333DE">
    <w:pPr>
      <w:spacing w:after="0" w:line="235" w:lineRule="auto"/>
      <w:ind w:right="26"/>
    </w:pPr>
    <w:r>
      <w:rPr>
        <w:rFonts w:ascii="Times New Roman" w:eastAsia="Times New Roman" w:hAnsi="Times New Roman" w:cs="Times New Roman"/>
        <w:sz w:val="24"/>
      </w:rPr>
      <w:t xml:space="preserve">                                                                                                              Expiration Date: XX/XXXX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B901D" w14:textId="77777777" w:rsidR="00C4106D" w:rsidRDefault="00C4106D">
    <w:pPr>
      <w:spacing w:after="0" w:line="235" w:lineRule="auto"/>
      <w:ind w:right="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42890" w14:textId="77777777" w:rsidR="00C4106D" w:rsidRDefault="004333DE">
    <w:pPr>
      <w:spacing w:after="0"/>
      <w:ind w:left="1"/>
    </w:pPr>
    <w:r>
      <w:rPr>
        <w:rFonts w:ascii="Times New Roman" w:eastAsia="Times New Roman" w:hAnsi="Times New Roman" w:cs="Times New Roman"/>
        <w:sz w:val="24"/>
      </w:rPr>
      <w:t xml:space="preserve">                                                                                               OMB Control Number: 0938-1366 </w:t>
    </w:r>
  </w:p>
  <w:p w14:paraId="2D84DACE" w14:textId="77777777" w:rsidR="00C4106D" w:rsidRDefault="004333DE">
    <w:pPr>
      <w:spacing w:after="0" w:line="235" w:lineRule="auto"/>
      <w:ind w:right="26"/>
    </w:pPr>
    <w:r>
      <w:rPr>
        <w:rFonts w:ascii="Times New Roman" w:eastAsia="Times New Roman" w:hAnsi="Times New Roman" w:cs="Times New Roman"/>
        <w:sz w:val="24"/>
      </w:rPr>
      <w:t xml:space="preserve">                                                                                                              Expiration Date: XX/XXXX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87735"/>
    <w:multiLevelType w:val="hybridMultilevel"/>
    <w:tmpl w:val="1D00E1C2"/>
    <w:lvl w:ilvl="0" w:tplc="7634309E">
      <w:start w:val="1"/>
      <w:numFmt w:val="upperRoman"/>
      <w:lvlText w:val="%1."/>
      <w:lvlJc w:val="left"/>
      <w:pPr>
        <w:ind w:left="1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AA96C4">
      <w:start w:val="1"/>
      <w:numFmt w:val="lowerLetter"/>
      <w:lvlText w:val="%2"/>
      <w:lvlJc w:val="left"/>
      <w:pPr>
        <w:ind w:left="1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74962E">
      <w:start w:val="1"/>
      <w:numFmt w:val="lowerRoman"/>
      <w:lvlText w:val="%3"/>
      <w:lvlJc w:val="left"/>
      <w:pPr>
        <w:ind w:left="2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54A4EA">
      <w:start w:val="1"/>
      <w:numFmt w:val="decimal"/>
      <w:lvlText w:val="%4"/>
      <w:lvlJc w:val="left"/>
      <w:pPr>
        <w:ind w:left="3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B0416A">
      <w:start w:val="1"/>
      <w:numFmt w:val="lowerLetter"/>
      <w:lvlText w:val="%5"/>
      <w:lvlJc w:val="left"/>
      <w:pPr>
        <w:ind w:left="3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EEBAF8">
      <w:start w:val="1"/>
      <w:numFmt w:val="lowerRoman"/>
      <w:lvlText w:val="%6"/>
      <w:lvlJc w:val="left"/>
      <w:pPr>
        <w:ind w:left="4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549124">
      <w:start w:val="1"/>
      <w:numFmt w:val="decimal"/>
      <w:lvlText w:val="%7"/>
      <w:lvlJc w:val="left"/>
      <w:pPr>
        <w:ind w:left="5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B4F39E">
      <w:start w:val="1"/>
      <w:numFmt w:val="lowerLetter"/>
      <w:lvlText w:val="%8"/>
      <w:lvlJc w:val="left"/>
      <w:pPr>
        <w:ind w:left="5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583762">
      <w:start w:val="1"/>
      <w:numFmt w:val="lowerRoman"/>
      <w:lvlText w:val="%9"/>
      <w:lvlJc w:val="left"/>
      <w:pPr>
        <w:ind w:left="6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6D"/>
    <w:rsid w:val="00010D82"/>
    <w:rsid w:val="00043EA0"/>
    <w:rsid w:val="000546E8"/>
    <w:rsid w:val="0011734B"/>
    <w:rsid w:val="00176783"/>
    <w:rsid w:val="00237031"/>
    <w:rsid w:val="00391F14"/>
    <w:rsid w:val="003B19A7"/>
    <w:rsid w:val="004333DE"/>
    <w:rsid w:val="004739DF"/>
    <w:rsid w:val="004F20B3"/>
    <w:rsid w:val="00513C9A"/>
    <w:rsid w:val="0052139C"/>
    <w:rsid w:val="00541306"/>
    <w:rsid w:val="005443A8"/>
    <w:rsid w:val="00675D45"/>
    <w:rsid w:val="00695139"/>
    <w:rsid w:val="009462BB"/>
    <w:rsid w:val="00A329C3"/>
    <w:rsid w:val="00A42F47"/>
    <w:rsid w:val="00C155AD"/>
    <w:rsid w:val="00C4106D"/>
    <w:rsid w:val="00CF1348"/>
    <w:rsid w:val="00D122E4"/>
    <w:rsid w:val="00D22F34"/>
    <w:rsid w:val="00DC305F"/>
    <w:rsid w:val="00E31AB9"/>
    <w:rsid w:val="00E5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AB7DBF"/>
  <w15:docId w15:val="{CD26B555-A311-4C8D-920B-888F5ACE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1"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customStyle="1" w:styleId="footnotedescription">
    <w:name w:val="footnote description"/>
    <w:next w:val="Normal"/>
    <w:link w:val="footnotedescriptionChar"/>
    <w:hidden/>
    <w:pPr>
      <w:spacing w:after="0"/>
      <w:ind w:left="1"/>
    </w:pPr>
    <w:rPr>
      <w:rFonts w:ascii="Calibri" w:eastAsia="Calibri" w:hAnsi="Calibri" w:cs="Calibri"/>
      <w:b/>
      <w:color w:val="000000"/>
    </w:rPr>
  </w:style>
  <w:style w:type="character" w:customStyle="1" w:styleId="footnotedescriptionChar">
    <w:name w:val="footnote description Char"/>
    <w:link w:val="footnotedescription"/>
    <w:rPr>
      <w:rFonts w:ascii="Calibri" w:eastAsia="Calibri" w:hAnsi="Calibri" w:cs="Calibri"/>
      <w:b/>
      <w:color w:val="000000"/>
      <w:sz w:val="22"/>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91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F14"/>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043EA0"/>
    <w:rPr>
      <w:sz w:val="16"/>
      <w:szCs w:val="16"/>
    </w:rPr>
  </w:style>
  <w:style w:type="paragraph" w:styleId="CommentText">
    <w:name w:val="annotation text"/>
    <w:basedOn w:val="Normal"/>
    <w:link w:val="CommentTextChar"/>
    <w:uiPriority w:val="99"/>
    <w:semiHidden/>
    <w:unhideWhenUsed/>
    <w:rsid w:val="00043EA0"/>
    <w:pPr>
      <w:spacing w:line="240" w:lineRule="auto"/>
    </w:pPr>
    <w:rPr>
      <w:sz w:val="20"/>
      <w:szCs w:val="20"/>
    </w:rPr>
  </w:style>
  <w:style w:type="character" w:customStyle="1" w:styleId="CommentTextChar">
    <w:name w:val="Comment Text Char"/>
    <w:basedOn w:val="DefaultParagraphFont"/>
    <w:link w:val="CommentText"/>
    <w:uiPriority w:val="99"/>
    <w:semiHidden/>
    <w:rsid w:val="00043EA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43EA0"/>
    <w:rPr>
      <w:b/>
      <w:bCs/>
    </w:rPr>
  </w:style>
  <w:style w:type="character" w:customStyle="1" w:styleId="CommentSubjectChar">
    <w:name w:val="Comment Subject Char"/>
    <w:basedOn w:val="CommentTextChar"/>
    <w:link w:val="CommentSubject"/>
    <w:uiPriority w:val="99"/>
    <w:semiHidden/>
    <w:rsid w:val="00043EA0"/>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yperlink" Target="http://www.bls.gov/oes/current/oes_nat.htm" TargetMode="External"/><Relationship Id="rId18" Type="http://schemas.openxmlformats.org/officeDocument/2006/relationships/hyperlink" Target="http://www.bls.gov/oes/current/oes_nat.htm" TargetMode="External"/><Relationship Id="rId26" Type="http://schemas.openxmlformats.org/officeDocument/2006/relationships/hyperlink" Target="https://www.bls.gov/oes/current/oes_nat.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ls.gov/oes/current/oes_nat.htm" TargetMode="External"/><Relationship Id="rId34" Type="http://schemas.openxmlformats.org/officeDocument/2006/relationships/header" Target="header2.xml"/><Relationship Id="rId7" Type="http://schemas.openxmlformats.org/officeDocument/2006/relationships/hyperlink" Target="http://www.bls.gov/oes/current/oes_nat.htm" TargetMode="External"/><Relationship Id="rId12" Type="http://schemas.openxmlformats.org/officeDocument/2006/relationships/hyperlink" Target="http://www.bls.gov/oes/current/oes_nat.htm" TargetMode="External"/><Relationship Id="rId17" Type="http://schemas.openxmlformats.org/officeDocument/2006/relationships/hyperlink" Target="http://www.bls.gov/oes/current/oes_nat.htm" TargetMode="External"/><Relationship Id="rId25" Type="http://schemas.openxmlformats.org/officeDocument/2006/relationships/hyperlink" Target="http://www.bls.gov/oes/current/oes_nat.htm"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bls.gov/oes/current/oes_nat.htm" TargetMode="External"/><Relationship Id="rId20" Type="http://schemas.openxmlformats.org/officeDocument/2006/relationships/hyperlink" Target="http://www.bls.gov/oes/current/oes_nat.htm" TargetMode="External"/><Relationship Id="rId29" Type="http://schemas.openxmlformats.org/officeDocument/2006/relationships/hyperlink" Target="https://www.bls.gov/oes/current/oes_na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oes/current/oes_nat.htm" TargetMode="External"/><Relationship Id="rId24" Type="http://schemas.openxmlformats.org/officeDocument/2006/relationships/hyperlink" Target="http://www.bls.gov/oes/current/oes_nat.htm" TargetMode="External"/><Relationship Id="rId32" Type="http://schemas.openxmlformats.org/officeDocument/2006/relationships/hyperlink" Target="https://www.opm.gov/policy-data-oversight/pay-leave/salaries-wages/salary-tables/pdf/2021/DCB.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ls.gov/oes/current/oes_nat.htm" TargetMode="External"/><Relationship Id="rId23" Type="http://schemas.openxmlformats.org/officeDocument/2006/relationships/hyperlink" Target="http://www.bls.gov/oes/current/oes_nat.htm" TargetMode="External"/><Relationship Id="rId28" Type="http://schemas.openxmlformats.org/officeDocument/2006/relationships/hyperlink" Target="https://www.bls.gov/oes/current/oes_nat.htm" TargetMode="External"/><Relationship Id="rId36" Type="http://schemas.openxmlformats.org/officeDocument/2006/relationships/footer" Target="footer2.xml"/><Relationship Id="rId10" Type="http://schemas.openxmlformats.org/officeDocument/2006/relationships/hyperlink" Target="http://www.bls.gov/oes/current/oes_nat.htm" TargetMode="External"/><Relationship Id="rId19" Type="http://schemas.openxmlformats.org/officeDocument/2006/relationships/hyperlink" Target="http://www.bls.gov/oes/current/oes_nat.htm" TargetMode="External"/><Relationship Id="rId31" Type="http://schemas.openxmlformats.org/officeDocument/2006/relationships/hyperlink" Target="https://www.opm.gov/policy-data-oversight/pay-leave/salaries-wages/salary-tables/pdf/2021/DCB.pdf" TargetMode="External"/><Relationship Id="rId4" Type="http://schemas.openxmlformats.org/officeDocument/2006/relationships/webSettings" Target="webSettings.xml"/><Relationship Id="rId9" Type="http://schemas.openxmlformats.org/officeDocument/2006/relationships/hyperlink" Target="http://www.bls.gov/oes/current/oes_nat.htm" TargetMode="External"/><Relationship Id="rId14" Type="http://schemas.openxmlformats.org/officeDocument/2006/relationships/hyperlink" Target="http://www.bls.gov/oes/current/oes_nat.htm" TargetMode="External"/><Relationship Id="rId22" Type="http://schemas.openxmlformats.org/officeDocument/2006/relationships/hyperlink" Target="http://www.bls.gov/oes/current/oes_nat.htm" TargetMode="External"/><Relationship Id="rId27" Type="http://schemas.openxmlformats.org/officeDocument/2006/relationships/hyperlink" Target="https://www.bls.gov/oes/current/oes_nat.htm" TargetMode="External"/><Relationship Id="rId30" Type="http://schemas.openxmlformats.org/officeDocument/2006/relationships/hyperlink" Target="https://www.opm.gov/policy-data-oversight/pay-leave/salaries-wages/salary-tables/pdf/2021/DCB.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10</Pages>
  <Words>2863</Words>
  <Characters>16323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 Grants to States for Heath Insurance Premium Review Cycle II</vt:lpstr>
    </vt:vector>
  </TitlesOfParts>
  <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Grants to States for Heath Insurance Premium Review Cycle II</dc:title>
  <dc:subject>State Flexibility Grant Program</dc:subject>
  <dc:creator>CMS/CCIIO</dc:creator>
  <cp:keywords>State Flexibiliy, Grant, Stabilization</cp:keywords>
  <dc:description/>
  <cp:lastModifiedBy>JAMAA HILL</cp:lastModifiedBy>
  <cp:revision>1</cp:revision>
  <dcterms:created xsi:type="dcterms:W3CDTF">2021-12-29T18:47:00Z</dcterms:created>
  <dcterms:modified xsi:type="dcterms:W3CDTF">2022-01-07T15:42:00Z</dcterms:modified>
</cp:coreProperties>
</file>