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D4F" w:rsidP="00A01E6C" w:rsidRDefault="007C5F49" w14:paraId="6166F289" w14:textId="77777777">
      <w:pPr>
        <w:ind w:hanging="1260"/>
        <w:jc w:val="center"/>
        <w:rPr>
          <w:b/>
        </w:rPr>
      </w:pPr>
      <w:r>
        <w:rPr>
          <w:b/>
        </w:rPr>
        <w:t>S</w:t>
      </w:r>
      <w:r w:rsidR="00252D4F">
        <w:rPr>
          <w:b/>
        </w:rPr>
        <w:t xml:space="preserve">upporting Statement for </w:t>
      </w:r>
      <w:r w:rsidR="004D05CC">
        <w:rPr>
          <w:b/>
        </w:rPr>
        <w:t xml:space="preserve">Form </w:t>
      </w:r>
      <w:r w:rsidRPr="00D1564D" w:rsidR="00252D4F">
        <w:rPr>
          <w:b/>
        </w:rPr>
        <w:t>SSA-371</w:t>
      </w:r>
    </w:p>
    <w:p w:rsidRPr="00D1564D" w:rsidR="00763DC6" w:rsidP="00A01E6C" w:rsidRDefault="00763DC6" w14:paraId="4573519A" w14:textId="77777777">
      <w:pPr>
        <w:ind w:hanging="1260"/>
        <w:jc w:val="center"/>
        <w:rPr>
          <w:b/>
        </w:rPr>
      </w:pPr>
      <w:r w:rsidRPr="00D1564D">
        <w:rPr>
          <w:b/>
        </w:rPr>
        <w:t>Reques</w:t>
      </w:r>
      <w:r w:rsidR="00252D4F">
        <w:rPr>
          <w:b/>
        </w:rPr>
        <w:t>t for Reinstatement (Title II)</w:t>
      </w:r>
    </w:p>
    <w:p w:rsidRPr="00D1564D" w:rsidR="006D08F7" w:rsidP="00A01E6C" w:rsidRDefault="006D08F7" w14:paraId="740E66FF" w14:textId="77777777">
      <w:pPr>
        <w:ind w:hanging="1260"/>
        <w:jc w:val="center"/>
        <w:rPr>
          <w:b/>
        </w:rPr>
      </w:pPr>
      <w:r w:rsidRPr="00D1564D">
        <w:rPr>
          <w:b/>
        </w:rPr>
        <w:t>20 CFR 404.1592b-404.1592f</w:t>
      </w:r>
    </w:p>
    <w:p w:rsidRPr="00D1564D" w:rsidR="00763DC6" w:rsidP="00A01E6C" w:rsidRDefault="004F71BA" w14:paraId="67922D9C" w14:textId="77777777">
      <w:pPr>
        <w:ind w:hanging="1260"/>
        <w:jc w:val="center"/>
        <w:rPr>
          <w:b/>
        </w:rPr>
      </w:pPr>
      <w:r>
        <w:rPr>
          <w:b/>
        </w:rPr>
        <w:t xml:space="preserve">OMB </w:t>
      </w:r>
      <w:r w:rsidR="005E0170">
        <w:rPr>
          <w:b/>
        </w:rPr>
        <w:t xml:space="preserve">No. </w:t>
      </w:r>
      <w:r>
        <w:rPr>
          <w:b/>
        </w:rPr>
        <w:t>0960-</w:t>
      </w:r>
      <w:r w:rsidR="009A0002">
        <w:rPr>
          <w:b/>
        </w:rPr>
        <w:t>0742</w:t>
      </w:r>
    </w:p>
    <w:p w:rsidR="00763DC6" w:rsidP="00841071" w:rsidRDefault="00763DC6" w14:paraId="6DECA5F1" w14:textId="77777777">
      <w:pPr>
        <w:ind w:hanging="1260"/>
      </w:pPr>
    </w:p>
    <w:p w:rsidRPr="00080FC3" w:rsidR="00763DC6" w:rsidP="004D05CC" w:rsidRDefault="00763DC6" w14:paraId="2AA6FA73" w14:textId="77777777">
      <w:pPr>
        <w:numPr>
          <w:ilvl w:val="0"/>
          <w:numId w:val="1"/>
        </w:numPr>
        <w:tabs>
          <w:tab w:val="clear" w:pos="360"/>
          <w:tab w:val="num" w:pos="720"/>
        </w:tabs>
        <w:ind w:left="720" w:hanging="540"/>
        <w:rPr>
          <w:b/>
          <w:u w:val="single"/>
        </w:rPr>
      </w:pPr>
      <w:r w:rsidRPr="00080FC3">
        <w:rPr>
          <w:b/>
          <w:u w:val="single"/>
        </w:rPr>
        <w:t>Justification</w:t>
      </w:r>
    </w:p>
    <w:p w:rsidRPr="009F2742" w:rsidR="00763DC6" w:rsidP="00841071" w:rsidRDefault="00763DC6" w14:paraId="62E2D6D5" w14:textId="77777777">
      <w:pPr>
        <w:ind w:left="360" w:hanging="1260"/>
        <w:rPr>
          <w:b/>
        </w:rPr>
      </w:pPr>
    </w:p>
    <w:p w:rsidRPr="00575ECF" w:rsidR="00575ECF" w:rsidP="004D05CC" w:rsidRDefault="00575ECF" w14:paraId="3358870A" w14:textId="77777777">
      <w:pPr>
        <w:numPr>
          <w:ilvl w:val="1"/>
          <w:numId w:val="1"/>
        </w:numPr>
        <w:tabs>
          <w:tab w:val="clear" w:pos="720"/>
          <w:tab w:val="num" w:pos="1440"/>
        </w:tabs>
        <w:ind w:left="1440"/>
        <w:rPr>
          <w:b/>
          <w:i/>
        </w:rPr>
      </w:pPr>
      <w:r w:rsidRPr="00575ECF">
        <w:rPr>
          <w:b/>
        </w:rPr>
        <w:t>Introduction/Authorizing Laws and Regulations</w:t>
      </w:r>
    </w:p>
    <w:p w:rsidR="00A440EB" w:rsidP="004D05CC" w:rsidRDefault="00FA2D8E" w14:paraId="6641666B" w14:textId="26C09A7E">
      <w:pPr>
        <w:tabs>
          <w:tab w:val="num" w:pos="1440"/>
        </w:tabs>
        <w:ind w:left="1440"/>
      </w:pPr>
      <w:r w:rsidRPr="00FA2D8E">
        <w:t xml:space="preserve">Section </w:t>
      </w:r>
      <w:r w:rsidRPr="00E25C24">
        <w:rPr>
          <w:i/>
        </w:rPr>
        <w:t>223(</w:t>
      </w:r>
      <w:proofErr w:type="spellStart"/>
      <w:r w:rsidRPr="00E25C24">
        <w:rPr>
          <w:i/>
        </w:rPr>
        <w:t>i</w:t>
      </w:r>
      <w:proofErr w:type="spellEnd"/>
      <w:r w:rsidRPr="00E25C24">
        <w:rPr>
          <w:i/>
        </w:rPr>
        <w:t>)</w:t>
      </w:r>
      <w:r w:rsidRPr="00FA2D8E">
        <w:t xml:space="preserve"> of the </w:t>
      </w:r>
      <w:r w:rsidRPr="00E25C24" w:rsidR="00E25C24">
        <w:rPr>
          <w:i/>
        </w:rPr>
        <w:t xml:space="preserve">Social Security </w:t>
      </w:r>
      <w:r w:rsidRPr="00E25C24">
        <w:rPr>
          <w:i/>
        </w:rPr>
        <w:t>Act</w:t>
      </w:r>
      <w:r w:rsidR="00E25C24">
        <w:rPr>
          <w:i/>
        </w:rPr>
        <w:t xml:space="preserve"> (Act)</w:t>
      </w:r>
      <w:r w:rsidRPr="00FA2D8E">
        <w:t xml:space="preserve"> and Sections </w:t>
      </w:r>
      <w:r w:rsidRPr="00E25C24">
        <w:rPr>
          <w:i/>
        </w:rPr>
        <w:t>20 CFR 404.1592b</w:t>
      </w:r>
      <w:r w:rsidRPr="00FA2D8E">
        <w:t xml:space="preserve"> </w:t>
      </w:r>
      <w:r w:rsidR="000C342C">
        <w:t>-</w:t>
      </w:r>
      <w:r w:rsidRPr="00FA2D8E">
        <w:t xml:space="preserve"> </w:t>
      </w:r>
      <w:r w:rsidRPr="00E25C24">
        <w:rPr>
          <w:i/>
        </w:rPr>
        <w:t>404.1592f</w:t>
      </w:r>
      <w:r w:rsidRPr="00FA2D8E">
        <w:t xml:space="preserve"> of the </w:t>
      </w:r>
      <w:r w:rsidRPr="00E25C24">
        <w:rPr>
          <w:i/>
        </w:rPr>
        <w:t>Code of Federal Regulations</w:t>
      </w:r>
      <w:r w:rsidRPr="00FA2D8E">
        <w:t xml:space="preserve"> require the Commissioner of </w:t>
      </w:r>
      <w:r w:rsidR="00E25C24">
        <w:t>the Social Security Administration</w:t>
      </w:r>
      <w:r w:rsidRPr="00FA2D8E" w:rsidR="00E25C24">
        <w:t xml:space="preserve"> </w:t>
      </w:r>
      <w:r w:rsidR="00E25C24">
        <w:t>(</w:t>
      </w:r>
      <w:r w:rsidRPr="00FA2D8E">
        <w:t>SSA</w:t>
      </w:r>
      <w:r w:rsidR="00E25C24">
        <w:t>)</w:t>
      </w:r>
      <w:r w:rsidRPr="00FA2D8E">
        <w:t xml:space="preserve"> to provide regulations for admin</w:t>
      </w:r>
      <w:r>
        <w:t>istering Title II expedited reinstatement</w:t>
      </w:r>
      <w:r w:rsidRPr="00FA2D8E">
        <w:t xml:space="preserve"> </w:t>
      </w:r>
      <w:r>
        <w:t xml:space="preserve">(EXR) </w:t>
      </w:r>
      <w:r w:rsidRPr="00FA2D8E">
        <w:t xml:space="preserve">provisions of the law. </w:t>
      </w:r>
      <w:r w:rsidR="00692887">
        <w:t xml:space="preserve"> </w:t>
      </w:r>
      <w:r w:rsidR="00755507">
        <w:t>SSA allows certain previously entitled beneficiaries to requ</w:t>
      </w:r>
      <w:r>
        <w:t xml:space="preserve">est EXR of disability benefits </w:t>
      </w:r>
      <w:r w:rsidRPr="00FA2D8E" w:rsidR="00755507">
        <w:t>when their medical condition</w:t>
      </w:r>
      <w:r w:rsidR="00755507">
        <w:t xml:space="preserve"> no longer permits them to perform substantial gainful activity.</w:t>
      </w:r>
      <w:r w:rsidR="00796DEE">
        <w:t xml:space="preserve"> </w:t>
      </w:r>
      <w:r w:rsidR="00E25C24">
        <w:t xml:space="preserve"> </w:t>
      </w:r>
      <w:r w:rsidR="002B716E">
        <w:t xml:space="preserve">20 </w:t>
      </w:r>
      <w:r w:rsidRPr="00E25C24">
        <w:rPr>
          <w:i/>
        </w:rPr>
        <w:t>CFR 404.1592d(a)</w:t>
      </w:r>
      <w:r w:rsidR="0037525C">
        <w:t xml:space="preserve"> </w:t>
      </w:r>
      <w:r>
        <w:t>states that the individual must make the request for reinstatement in writing.</w:t>
      </w:r>
      <w:r w:rsidR="002E75F2">
        <w:t xml:space="preserve"> </w:t>
      </w:r>
      <w:r w:rsidR="00692887">
        <w:t xml:space="preserve"> </w:t>
      </w:r>
      <w:r w:rsidRPr="002E75F2" w:rsidR="002E75F2">
        <w:t xml:space="preserve">Section </w:t>
      </w:r>
      <w:r w:rsidRPr="002B716E" w:rsidR="002B716E">
        <w:rPr>
          <w:i/>
        </w:rPr>
        <w:t xml:space="preserve">20 CFR </w:t>
      </w:r>
      <w:r w:rsidRPr="002B716E" w:rsidR="002E75F2">
        <w:rPr>
          <w:i/>
        </w:rPr>
        <w:t>223</w:t>
      </w:r>
      <w:r w:rsidRPr="00E25C24" w:rsidR="002E75F2">
        <w:rPr>
          <w:i/>
        </w:rPr>
        <w:t>(</w:t>
      </w:r>
      <w:proofErr w:type="spellStart"/>
      <w:r w:rsidRPr="00E25C24" w:rsidR="002E75F2">
        <w:rPr>
          <w:i/>
        </w:rPr>
        <w:t>i</w:t>
      </w:r>
      <w:proofErr w:type="spellEnd"/>
      <w:r w:rsidRPr="00E25C24" w:rsidR="002E75F2">
        <w:rPr>
          <w:i/>
        </w:rPr>
        <w:t>)</w:t>
      </w:r>
      <w:r w:rsidRPr="002E75F2" w:rsidR="002E75F2">
        <w:t xml:space="preserve"> of the </w:t>
      </w:r>
      <w:r w:rsidRPr="00E25C24" w:rsidR="002E75F2">
        <w:rPr>
          <w:i/>
        </w:rPr>
        <w:t>Act</w:t>
      </w:r>
      <w:r>
        <w:t xml:space="preserve"> </w:t>
      </w:r>
      <w:r w:rsidR="002E75F2">
        <w:t xml:space="preserve">states that the request for reinstatement </w:t>
      </w:r>
      <w:r w:rsidR="000C342C">
        <w:t xml:space="preserve">form is </w:t>
      </w:r>
      <w:r w:rsidR="00692887">
        <w:t>filed and</w:t>
      </w:r>
      <w:r w:rsidR="002E75F2">
        <w:t xml:space="preserve"> include</w:t>
      </w:r>
      <w:r w:rsidR="000C342C">
        <w:t>s</w:t>
      </w:r>
      <w:r w:rsidR="002E75F2">
        <w:t xml:space="preserve"> declarations by the individual that the individual meets the requirements specified in the law. </w:t>
      </w:r>
      <w:r w:rsidR="00E25C24">
        <w:t xml:space="preserve"> </w:t>
      </w:r>
    </w:p>
    <w:p w:rsidRPr="000643C7" w:rsidR="005950AF" w:rsidP="004D05CC" w:rsidRDefault="005950AF" w14:paraId="67651FD1" w14:textId="77777777">
      <w:pPr>
        <w:tabs>
          <w:tab w:val="num" w:pos="1440"/>
        </w:tabs>
        <w:ind w:left="1440"/>
      </w:pPr>
    </w:p>
    <w:p w:rsidR="00575ECF" w:rsidP="004D05CC" w:rsidRDefault="00575ECF" w14:paraId="76030443" w14:textId="77AC500C">
      <w:pPr>
        <w:numPr>
          <w:ilvl w:val="1"/>
          <w:numId w:val="1"/>
        </w:numPr>
        <w:tabs>
          <w:tab w:val="clear" w:pos="720"/>
          <w:tab w:val="num" w:pos="1440"/>
        </w:tabs>
        <w:ind w:left="1440"/>
        <w:rPr>
          <w:b/>
        </w:rPr>
      </w:pPr>
      <w:r w:rsidRPr="00575ECF">
        <w:rPr>
          <w:b/>
        </w:rPr>
        <w:t>Description of Collection</w:t>
      </w:r>
    </w:p>
    <w:p w:rsidRPr="005950AF" w:rsidR="008E00D9" w:rsidP="005950AF" w:rsidRDefault="005950AF" w14:paraId="6CC78608" w14:textId="19DDDE62">
      <w:pPr>
        <w:ind w:left="1440"/>
        <w:rPr>
          <w:b/>
        </w:rPr>
      </w:pPr>
      <w:r w:rsidRPr="00D646DB">
        <w:t>SSA allows certain</w:t>
      </w:r>
      <w:r>
        <w:rPr>
          <w:iCs/>
        </w:rPr>
        <w:t xml:space="preserve"> </w:t>
      </w:r>
      <w:r w:rsidRPr="00D646DB">
        <w:t>previously entitled disability</w:t>
      </w:r>
      <w:r>
        <w:rPr>
          <w:iCs/>
        </w:rPr>
        <w:t xml:space="preserve"> </w:t>
      </w:r>
      <w:r w:rsidRPr="00D646DB">
        <w:t>beneficiaries to request expedited</w:t>
      </w:r>
      <w:r>
        <w:rPr>
          <w:iCs/>
        </w:rPr>
        <w:t xml:space="preserve"> </w:t>
      </w:r>
      <w:r w:rsidRPr="00D646DB">
        <w:t>reinstatement (EXR) of benefits under</w:t>
      </w:r>
      <w:r>
        <w:rPr>
          <w:iCs/>
        </w:rPr>
        <w:t xml:space="preserve"> </w:t>
      </w:r>
      <w:r w:rsidRPr="00692887">
        <w:rPr>
          <w:i/>
          <w:iCs/>
        </w:rPr>
        <w:t>Title II</w:t>
      </w:r>
      <w:r w:rsidRPr="00D646DB">
        <w:t xml:space="preserve"> of the </w:t>
      </w:r>
      <w:r w:rsidRPr="00692887">
        <w:rPr>
          <w:i/>
          <w:iCs/>
        </w:rPr>
        <w:t>Act</w:t>
      </w:r>
      <w:r>
        <w:t xml:space="preserve"> </w:t>
      </w:r>
      <w:r w:rsidRPr="00D646DB">
        <w:t>when</w:t>
      </w:r>
      <w:r>
        <w:rPr>
          <w:iCs/>
        </w:rPr>
        <w:t xml:space="preserve"> </w:t>
      </w:r>
      <w:r w:rsidRPr="00D646DB">
        <w:t>their medical condition no longer</w:t>
      </w:r>
      <w:r>
        <w:rPr>
          <w:iCs/>
        </w:rPr>
        <w:t xml:space="preserve"> </w:t>
      </w:r>
      <w:r w:rsidRPr="00D646DB">
        <w:t>permits them to perform substantial</w:t>
      </w:r>
      <w:r>
        <w:rPr>
          <w:iCs/>
        </w:rPr>
        <w:t xml:space="preserve"> </w:t>
      </w:r>
      <w:r w:rsidRPr="00D646DB">
        <w:t xml:space="preserve">gainful activity. </w:t>
      </w:r>
      <w:r>
        <w:t xml:space="preserve"> SSA uses Form SSA-</w:t>
      </w:r>
      <w:r w:rsidRPr="00D646DB">
        <w:t>371 to obtain:</w:t>
      </w:r>
      <w:r w:rsidR="00692887">
        <w:t xml:space="preserve"> </w:t>
      </w:r>
      <w:r>
        <w:t xml:space="preserve"> </w:t>
      </w:r>
      <w:r w:rsidRPr="00D646DB">
        <w:t xml:space="preserve">(1) </w:t>
      </w:r>
      <w:r>
        <w:t>a</w:t>
      </w:r>
      <w:r w:rsidRPr="00D646DB">
        <w:t xml:space="preserve"> signed statement</w:t>
      </w:r>
      <w:r>
        <w:rPr>
          <w:iCs/>
        </w:rPr>
        <w:t xml:space="preserve"> </w:t>
      </w:r>
      <w:r w:rsidRPr="00D646DB">
        <w:t>from individuals requesting an EXR of</w:t>
      </w:r>
      <w:r>
        <w:rPr>
          <w:iCs/>
        </w:rPr>
        <w:t xml:space="preserve"> </w:t>
      </w:r>
      <w:r w:rsidRPr="00D646DB">
        <w:t>the</w:t>
      </w:r>
      <w:r>
        <w:t>ir Title II disability benefits;</w:t>
      </w:r>
      <w:r w:rsidRPr="00D646DB">
        <w:t xml:space="preserve"> and (2)</w:t>
      </w:r>
      <w:r>
        <w:rPr>
          <w:iCs/>
        </w:rPr>
        <w:t xml:space="preserve"> </w:t>
      </w:r>
      <w:r w:rsidRPr="00D646DB">
        <w:t>proof the requestors meet the EXR</w:t>
      </w:r>
      <w:r>
        <w:rPr>
          <w:iCs/>
        </w:rPr>
        <w:t xml:space="preserve"> </w:t>
      </w:r>
      <w:r w:rsidRPr="00D646DB">
        <w:t>requirements.</w:t>
      </w:r>
      <w:r w:rsidR="00FF0978">
        <w:t xml:space="preserve">  Individuals can complete the form independently, or with the help of an SSA employee during an interview.  </w:t>
      </w:r>
      <w:r w:rsidRPr="00D646DB">
        <w:t>SSA maintains the form</w:t>
      </w:r>
      <w:r>
        <w:rPr>
          <w:iCs/>
        </w:rPr>
        <w:t xml:space="preserve"> </w:t>
      </w:r>
      <w:r w:rsidRPr="00D646DB">
        <w:t>in the disability folder of the applicant</w:t>
      </w:r>
      <w:r>
        <w:rPr>
          <w:iCs/>
        </w:rPr>
        <w:t xml:space="preserve"> </w:t>
      </w:r>
      <w:r w:rsidRPr="00D646DB">
        <w:t>to demonstrate the requestors’</w:t>
      </w:r>
      <w:r>
        <w:rPr>
          <w:iCs/>
        </w:rPr>
        <w:t xml:space="preserve"> </w:t>
      </w:r>
      <w:r w:rsidRPr="00D646DB">
        <w:t>awareness of the EXR requirements, and</w:t>
      </w:r>
      <w:r>
        <w:rPr>
          <w:iCs/>
        </w:rPr>
        <w:t xml:space="preserve"> </w:t>
      </w:r>
      <w:r>
        <w:t xml:space="preserve">their </w:t>
      </w:r>
      <w:r w:rsidRPr="00692887">
        <w:rPr>
          <w:bCs/>
        </w:rPr>
        <w:t>choice</w:t>
      </w:r>
      <w:r w:rsidR="00692887">
        <w:rPr>
          <w:bCs/>
        </w:rPr>
        <w:t xml:space="preserve">.  </w:t>
      </w:r>
      <w:r w:rsidRPr="00692887" w:rsidR="002E75F2">
        <w:rPr>
          <w:bCs/>
        </w:rPr>
        <w:t>The</w:t>
      </w:r>
      <w:r w:rsidR="002E75F2">
        <w:t xml:space="preserve"> r</w:t>
      </w:r>
      <w:r w:rsidRPr="008368B7" w:rsidR="003B48E9">
        <w:t xml:space="preserve">espondents are applicants for EXR of </w:t>
      </w:r>
      <w:r w:rsidR="0008629E">
        <w:t>T</w:t>
      </w:r>
      <w:r w:rsidRPr="008368B7" w:rsidR="003B48E9">
        <w:t>itle II disability benefits.</w:t>
      </w:r>
    </w:p>
    <w:p w:rsidRPr="008368B7" w:rsidR="008E00D9" w:rsidP="004D05CC" w:rsidRDefault="008E00D9" w14:paraId="3D6DDF50" w14:textId="77777777">
      <w:pPr>
        <w:tabs>
          <w:tab w:val="num" w:pos="1440"/>
        </w:tabs>
        <w:ind w:left="1440"/>
        <w:contextualSpacing/>
      </w:pPr>
      <w:r>
        <w:t xml:space="preserve"> </w:t>
      </w:r>
    </w:p>
    <w:p w:rsidRPr="00634B7A" w:rsidR="00920971" w:rsidP="00634B7A" w:rsidRDefault="00575ECF" w14:paraId="3B1CC406" w14:textId="77777777">
      <w:pPr>
        <w:numPr>
          <w:ilvl w:val="1"/>
          <w:numId w:val="1"/>
        </w:numPr>
        <w:tabs>
          <w:tab w:val="clear" w:pos="720"/>
          <w:tab w:val="left" w:pos="360"/>
          <w:tab w:val="num" w:pos="1440"/>
        </w:tabs>
        <w:ind w:left="1440"/>
        <w:rPr>
          <w:b/>
        </w:rPr>
      </w:pPr>
      <w:r w:rsidRPr="00575ECF">
        <w:rPr>
          <w:b/>
        </w:rPr>
        <w:t>Use of Information Technology to Collect the Information</w:t>
      </w:r>
    </w:p>
    <w:p w:rsidRPr="00850F64" w:rsidR="00850F64" w:rsidP="00850F64" w:rsidRDefault="00850F64" w14:paraId="7257C49C" w14:textId="62A60342">
      <w:pPr>
        <w:ind w:left="1440"/>
        <w:rPr>
          <w:color w:val="000000"/>
        </w:rPr>
      </w:pPr>
      <w:r w:rsidRPr="00850F64">
        <w:rPr>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850F64">
        <w:rPr>
          <w:color w:val="000000"/>
        </w:rPr>
        <w:t>particular ICR</w:t>
      </w:r>
      <w:proofErr w:type="gramEnd"/>
      <w:r w:rsidRPr="00850F64">
        <w:rPr>
          <w:color w:val="000000"/>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FB4651" w:rsidP="00692887" w:rsidRDefault="00850F64" w14:paraId="3C601926" w14:textId="0B5DF73E">
      <w:pPr>
        <w:pStyle w:val="ListParagraph"/>
        <w:ind w:left="1440"/>
        <w:rPr>
          <w:rFonts w:ascii="Times New Roman" w:hAnsi="Times New Roman"/>
          <w:color w:val="000000"/>
        </w:rPr>
      </w:pPr>
      <w:r w:rsidRPr="00850F64">
        <w:rPr>
          <w:rFonts w:ascii="Times New Roman" w:hAnsi="Times New Roman"/>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692887" w:rsidP="00692887" w:rsidRDefault="00692887" w14:paraId="2EE2B1BC" w14:textId="49C93337">
      <w:pPr>
        <w:pStyle w:val="ListParagraph"/>
        <w:ind w:left="1440"/>
        <w:rPr>
          <w:rFonts w:ascii="Times New Roman" w:hAnsi="Times New Roman"/>
          <w:color w:val="000000"/>
        </w:rPr>
      </w:pPr>
    </w:p>
    <w:p w:rsidR="00692887" w:rsidP="00692887" w:rsidRDefault="00692887" w14:paraId="46BEAE7B" w14:textId="1C3874EF">
      <w:pPr>
        <w:pStyle w:val="ListParagraph"/>
        <w:ind w:left="1440"/>
        <w:rPr>
          <w:rFonts w:ascii="Times New Roman" w:hAnsi="Times New Roman"/>
          <w:color w:val="000000"/>
        </w:rPr>
      </w:pPr>
    </w:p>
    <w:p w:rsidRPr="00692887" w:rsidR="00692887" w:rsidP="00692887" w:rsidRDefault="00692887" w14:paraId="3CEABCE8" w14:textId="77777777">
      <w:pPr>
        <w:pStyle w:val="ListParagraph"/>
        <w:ind w:left="1440"/>
        <w:rPr>
          <w:rFonts w:ascii="Times New Roman" w:hAnsi="Times New Roman"/>
          <w:color w:val="000000"/>
        </w:rPr>
      </w:pPr>
    </w:p>
    <w:p w:rsidRPr="00575ECF" w:rsidR="00575ECF" w:rsidP="004D05CC" w:rsidRDefault="00575ECF" w14:paraId="325379E8" w14:textId="77777777">
      <w:pPr>
        <w:numPr>
          <w:ilvl w:val="1"/>
          <w:numId w:val="1"/>
        </w:numPr>
        <w:tabs>
          <w:tab w:val="clear" w:pos="720"/>
          <w:tab w:val="num" w:pos="1440"/>
        </w:tabs>
        <w:ind w:left="1440"/>
        <w:rPr>
          <w:b/>
        </w:rPr>
      </w:pPr>
      <w:r w:rsidRPr="00575ECF">
        <w:rPr>
          <w:b/>
        </w:rPr>
        <w:lastRenderedPageBreak/>
        <w:t>Why We Cannot Use Duplicate Information</w:t>
      </w:r>
    </w:p>
    <w:p w:rsidRPr="00575ECF" w:rsidR="00575ECF" w:rsidP="004D05CC" w:rsidRDefault="00B14BDF" w14:paraId="47787D8A" w14:textId="145DE015">
      <w:pPr>
        <w:tabs>
          <w:tab w:val="num" w:pos="1440"/>
        </w:tabs>
        <w:ind w:left="1440"/>
      </w:pPr>
      <w:r w:rsidRPr="00B14BDF">
        <w:t xml:space="preserve">The nature of the information we collect and the </w:t>
      </w:r>
      <w:proofErr w:type="gramStart"/>
      <w:r w:rsidRPr="00B14BDF">
        <w:t>manner in which</w:t>
      </w:r>
      <w:proofErr w:type="gramEnd"/>
      <w:r w:rsidRPr="00B14BDF">
        <w:t xml:space="preserve"> we col</w:t>
      </w:r>
      <w:r w:rsidR="0037525C">
        <w:t>lect it precludes duplication.</w:t>
      </w:r>
      <w:r w:rsidR="00692887">
        <w:t xml:space="preserve"> </w:t>
      </w:r>
      <w:r w:rsidR="0037525C">
        <w:t xml:space="preserve"> </w:t>
      </w:r>
      <w:r w:rsidRPr="00B14BDF">
        <w:t>SSA does not use another collection instrument to obtain similar data</w:t>
      </w:r>
      <w:r>
        <w:t>.</w:t>
      </w:r>
    </w:p>
    <w:p w:rsidR="00C70CEC" w:rsidP="004D05CC" w:rsidRDefault="00C70CEC" w14:paraId="7475032D" w14:textId="77777777">
      <w:pPr>
        <w:tabs>
          <w:tab w:val="num" w:pos="1440"/>
        </w:tabs>
        <w:ind w:left="1440"/>
      </w:pPr>
    </w:p>
    <w:p w:rsidRPr="00575ECF" w:rsidR="00575ECF" w:rsidP="004D05CC" w:rsidRDefault="00575ECF" w14:paraId="4807D2B4" w14:textId="77777777">
      <w:pPr>
        <w:numPr>
          <w:ilvl w:val="1"/>
          <w:numId w:val="1"/>
        </w:numPr>
        <w:tabs>
          <w:tab w:val="clear" w:pos="720"/>
          <w:tab w:val="num" w:pos="1440"/>
        </w:tabs>
        <w:ind w:left="1440"/>
        <w:rPr>
          <w:b/>
        </w:rPr>
      </w:pPr>
      <w:r w:rsidRPr="00575ECF">
        <w:rPr>
          <w:b/>
        </w:rPr>
        <w:t>Minimizing Burden on Small Respondents</w:t>
      </w:r>
    </w:p>
    <w:p w:rsidR="00685959" w:rsidP="004D05CC" w:rsidRDefault="00685959" w14:paraId="6F2B18E2" w14:textId="77777777">
      <w:pPr>
        <w:tabs>
          <w:tab w:val="num" w:pos="1440"/>
        </w:tabs>
        <w:ind w:left="1440"/>
        <w:rPr>
          <w:i/>
        </w:rPr>
      </w:pPr>
      <w:r w:rsidRPr="00685959">
        <w:t>This collection does not significantly affect small businesses or other small entities.</w:t>
      </w:r>
      <w:r w:rsidRPr="00077E0E">
        <w:rPr>
          <w:i/>
        </w:rPr>
        <w:t xml:space="preserve"> </w:t>
      </w:r>
    </w:p>
    <w:p w:rsidR="00685959" w:rsidP="004D05CC" w:rsidRDefault="00685959" w14:paraId="6366799B" w14:textId="77777777">
      <w:pPr>
        <w:tabs>
          <w:tab w:val="num" w:pos="1440"/>
        </w:tabs>
        <w:ind w:left="1440"/>
        <w:rPr>
          <w:i/>
        </w:rPr>
      </w:pPr>
    </w:p>
    <w:p w:rsidRPr="00685959" w:rsidR="00685959" w:rsidP="004D05CC" w:rsidRDefault="00685959" w14:paraId="6D54118A" w14:textId="77777777">
      <w:pPr>
        <w:numPr>
          <w:ilvl w:val="1"/>
          <w:numId w:val="1"/>
        </w:numPr>
        <w:tabs>
          <w:tab w:val="clear" w:pos="720"/>
          <w:tab w:val="num" w:pos="1440"/>
        </w:tabs>
        <w:ind w:left="1440"/>
        <w:rPr>
          <w:b/>
        </w:rPr>
      </w:pPr>
      <w:r w:rsidRPr="00685959">
        <w:rPr>
          <w:b/>
        </w:rPr>
        <w:t>Consequence of Not Collecting Information or Collecting it Less Frequently</w:t>
      </w:r>
    </w:p>
    <w:p w:rsidR="004B3838" w:rsidP="004D05CC" w:rsidRDefault="00F543BD" w14:paraId="4D31B9FE" w14:textId="38AFD4DE">
      <w:pPr>
        <w:tabs>
          <w:tab w:val="num" w:pos="1440"/>
        </w:tabs>
        <w:ind w:left="1440"/>
      </w:pPr>
      <w:r>
        <w:t>If we did not use Form SSA-371, we</w:t>
      </w:r>
      <w:r w:rsidR="00D21601">
        <w:t xml:space="preserve"> could not</w:t>
      </w:r>
      <w:r w:rsidR="00D879F1">
        <w:t xml:space="preserve"> ensure </w:t>
      </w:r>
      <w:r w:rsidR="00C818F7">
        <w:t>respondents</w:t>
      </w:r>
      <w:r w:rsidR="009C1ECE">
        <w:t xml:space="preserve"> </w:t>
      </w:r>
      <w:r w:rsidR="00D879F1">
        <w:t>requesting EXR are aware of the requirements and made the choice to request EXR.</w:t>
      </w:r>
      <w:r w:rsidR="0037525C">
        <w:t xml:space="preserve"> </w:t>
      </w:r>
      <w:r w:rsidR="00692887">
        <w:t xml:space="preserve"> </w:t>
      </w:r>
      <w:r w:rsidR="00C818F7">
        <w:t xml:space="preserve">Because we </w:t>
      </w:r>
      <w:r w:rsidRPr="00A20D63" w:rsidR="00C818F7">
        <w:t>collect th</w:t>
      </w:r>
      <w:r w:rsidR="00C818F7">
        <w:t>is</w:t>
      </w:r>
      <w:r w:rsidRPr="00A20D63" w:rsidR="00C818F7">
        <w:t xml:space="preserve"> information on an as</w:t>
      </w:r>
      <w:r w:rsidR="00C818F7">
        <w:t xml:space="preserve"> </w:t>
      </w:r>
      <w:r w:rsidRPr="00A20D63" w:rsidR="00C818F7">
        <w:t>needed basis, we cannot collect it less frequently.</w:t>
      </w:r>
      <w:r w:rsidR="0037525C">
        <w:t xml:space="preserve"> </w:t>
      </w:r>
      <w:r w:rsidR="00692887">
        <w:t xml:space="preserve"> </w:t>
      </w:r>
      <w:r w:rsidRPr="00A11A50" w:rsidR="00C818F7">
        <w:t>There are no technical or legal obstacles to burden reduction</w:t>
      </w:r>
      <w:r w:rsidR="00D879F1">
        <w:t>.</w:t>
      </w:r>
    </w:p>
    <w:p w:rsidR="008B2426" w:rsidP="004D05CC" w:rsidRDefault="008B2426" w14:paraId="07B91D9E" w14:textId="77777777">
      <w:pPr>
        <w:tabs>
          <w:tab w:val="num" w:pos="1440"/>
        </w:tabs>
        <w:ind w:left="1440"/>
      </w:pPr>
    </w:p>
    <w:p w:rsidRPr="00685959" w:rsidR="00685959" w:rsidP="004D05CC" w:rsidRDefault="00685959" w14:paraId="63B1EFCB" w14:textId="77777777">
      <w:pPr>
        <w:numPr>
          <w:ilvl w:val="1"/>
          <w:numId w:val="1"/>
        </w:numPr>
        <w:tabs>
          <w:tab w:val="clear" w:pos="720"/>
          <w:tab w:val="num" w:pos="1440"/>
        </w:tabs>
        <w:ind w:left="1440"/>
        <w:rPr>
          <w:b/>
        </w:rPr>
      </w:pPr>
      <w:r w:rsidRPr="00685959">
        <w:rPr>
          <w:b/>
        </w:rPr>
        <w:t>Special Circumstances</w:t>
      </w:r>
    </w:p>
    <w:p w:rsidRPr="00012EEF" w:rsidR="00012EEF" w:rsidP="004D05CC" w:rsidRDefault="00012EEF" w14:paraId="3C491DD5"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12EEF">
        <w:rPr>
          <w:rFonts w:ascii="Times New Roman" w:hAnsi="Times New Roman"/>
          <w:b w:val="0"/>
          <w:i w:val="0"/>
        </w:rPr>
        <w:t xml:space="preserve">There are no special circumstances that would cause SSA to conduct </w:t>
      </w:r>
      <w:r w:rsidRPr="00012EEF" w:rsidR="00FD20C5">
        <w:rPr>
          <w:rFonts w:ascii="Times New Roman" w:hAnsi="Times New Roman"/>
          <w:b w:val="0"/>
          <w:i w:val="0"/>
        </w:rPr>
        <w:t xml:space="preserve">this </w:t>
      </w:r>
      <w:r w:rsidR="00FD20C5">
        <w:rPr>
          <w:rFonts w:ascii="Times New Roman" w:hAnsi="Times New Roman"/>
          <w:b w:val="0"/>
          <w:i w:val="0"/>
        </w:rPr>
        <w:t>information</w:t>
      </w:r>
      <w:r w:rsidRPr="00012EEF">
        <w:rPr>
          <w:rFonts w:ascii="Times New Roman" w:hAnsi="Times New Roman"/>
          <w:b w:val="0"/>
          <w:i w:val="0"/>
        </w:rPr>
        <w:t xml:space="preserve"> collection in a manner inconsistent with </w:t>
      </w:r>
      <w:r w:rsidRPr="0008629E">
        <w:rPr>
          <w:rFonts w:ascii="Times New Roman" w:hAnsi="Times New Roman"/>
          <w:b w:val="0"/>
        </w:rPr>
        <w:t>5 CFR 1320.5</w:t>
      </w:r>
      <w:r w:rsidRPr="00012EEF">
        <w:rPr>
          <w:rFonts w:ascii="Times New Roman" w:hAnsi="Times New Roman"/>
          <w:b w:val="0"/>
          <w:i w:val="0"/>
        </w:rPr>
        <w:t>.</w:t>
      </w:r>
    </w:p>
    <w:p w:rsidRPr="00012EEF" w:rsidR="00A440EB" w:rsidP="004D05CC" w:rsidRDefault="00A440EB" w14:paraId="5C0A3B1C" w14:textId="77777777">
      <w:pPr>
        <w:tabs>
          <w:tab w:val="num" w:pos="1440"/>
        </w:tabs>
        <w:ind w:left="1440"/>
        <w:rPr>
          <w:b/>
        </w:rPr>
      </w:pPr>
    </w:p>
    <w:p w:rsidRPr="00012EEF" w:rsidR="00012EEF" w:rsidP="004D05CC" w:rsidRDefault="00012EEF" w14:paraId="0F8A8CFF" w14:textId="77777777">
      <w:pPr>
        <w:numPr>
          <w:ilvl w:val="1"/>
          <w:numId w:val="1"/>
        </w:numPr>
        <w:tabs>
          <w:tab w:val="clear" w:pos="720"/>
          <w:tab w:val="num" w:pos="1440"/>
        </w:tabs>
        <w:ind w:left="1440"/>
        <w:rPr>
          <w:b/>
          <w:bCs/>
        </w:rPr>
      </w:pPr>
      <w:r w:rsidRPr="00012EEF">
        <w:rPr>
          <w:b/>
        </w:rPr>
        <w:t>Solicitation of Public Comment and Other Consultations with the Public</w:t>
      </w:r>
    </w:p>
    <w:p w:rsidR="00B14BDF" w:rsidP="00B14BDF" w:rsidRDefault="00B14BDF" w14:paraId="514FD4B9" w14:textId="0F4E048D">
      <w:pPr>
        <w:tabs>
          <w:tab w:val="num" w:pos="1440"/>
        </w:tabs>
        <w:ind w:left="1440"/>
      </w:pPr>
      <w:r>
        <w:t xml:space="preserve">The 60-day advance Federal Register Notice published on </w:t>
      </w:r>
      <w:r w:rsidR="00302FAA">
        <w:t>October 12, 2021</w:t>
      </w:r>
      <w:r>
        <w:t>, at</w:t>
      </w:r>
    </w:p>
    <w:p w:rsidRPr="00A81795" w:rsidR="00584147" w:rsidP="00584147" w:rsidRDefault="00B14BDF" w14:paraId="220106BD" w14:textId="4C860B1C">
      <w:pPr>
        <w:ind w:left="1440"/>
      </w:pPr>
      <w:r>
        <w:t>8</w:t>
      </w:r>
      <w:r w:rsidR="00302FAA">
        <w:t xml:space="preserve">6 </w:t>
      </w:r>
      <w:r>
        <w:t xml:space="preserve">FR </w:t>
      </w:r>
      <w:r w:rsidR="00302FAA">
        <w:t>56746</w:t>
      </w:r>
      <w:r>
        <w:t xml:space="preserve">, and </w:t>
      </w:r>
      <w:r w:rsidR="0037525C">
        <w:t>we received no public comments.</w:t>
      </w:r>
      <w:r>
        <w:t xml:space="preserve"> </w:t>
      </w:r>
      <w:r w:rsidR="00692887">
        <w:t xml:space="preserve"> </w:t>
      </w:r>
      <w:r>
        <w:t xml:space="preserve">The 30-day FRN published on </w:t>
      </w:r>
      <w:r w:rsidR="00DC3001">
        <w:t xml:space="preserve">January 3, 2022 </w:t>
      </w:r>
      <w:r>
        <w:t>at 8</w:t>
      </w:r>
      <w:r w:rsidR="00DC3001">
        <w:t>7</w:t>
      </w:r>
      <w:r>
        <w:t xml:space="preserve"> FR </w:t>
      </w:r>
      <w:proofErr w:type="gramStart"/>
      <w:r w:rsidR="00DC3001">
        <w:t>139</w:t>
      </w:r>
      <w:proofErr w:type="gramEnd"/>
      <w:r w:rsidR="001A1F86">
        <w:t xml:space="preserve"> and we received no comments.</w:t>
      </w:r>
      <w:r w:rsidR="00584147">
        <w:t xml:space="preserve">  </w:t>
      </w:r>
      <w:r w:rsidRPr="00E43C4E" w:rsidR="00584147">
        <w:t xml:space="preserve">If we receive any comments in response to this Notice, we will forward them to OMB.  </w:t>
      </w:r>
      <w:r w:rsidRPr="00A81795" w:rsidR="00584147">
        <w:t>We did not consult with the public in the revision this form</w:t>
      </w:r>
      <w:r w:rsidR="00584147">
        <w:t xml:space="preserve">.  </w:t>
      </w:r>
      <w:r w:rsidRPr="00A81795" w:rsidR="00584147">
        <w:t xml:space="preserve"> </w:t>
      </w:r>
    </w:p>
    <w:p w:rsidR="001C4D82" w:rsidP="004D05CC" w:rsidRDefault="001C4D82" w14:paraId="73002B52" w14:textId="77777777">
      <w:pPr>
        <w:tabs>
          <w:tab w:val="num" w:pos="1440"/>
        </w:tabs>
        <w:ind w:left="1440"/>
      </w:pPr>
    </w:p>
    <w:p w:rsidRPr="00012EEF" w:rsidR="00012EEF" w:rsidP="004D05CC" w:rsidRDefault="00012EEF" w14:paraId="688AD9B4" w14:textId="77777777">
      <w:pPr>
        <w:numPr>
          <w:ilvl w:val="1"/>
          <w:numId w:val="1"/>
        </w:numPr>
        <w:tabs>
          <w:tab w:val="clear" w:pos="720"/>
          <w:tab w:val="num" w:pos="1440"/>
        </w:tabs>
        <w:ind w:left="1440"/>
        <w:rPr>
          <w:b/>
        </w:rPr>
      </w:pPr>
      <w:r w:rsidRPr="00012EEF">
        <w:rPr>
          <w:b/>
        </w:rPr>
        <w:t>Payment or Gifts to Respondents</w:t>
      </w:r>
    </w:p>
    <w:p w:rsidR="00F00CDF" w:rsidP="004D05CC" w:rsidRDefault="00ED4797" w14:paraId="31CEC467" w14:textId="77777777">
      <w:pPr>
        <w:tabs>
          <w:tab w:val="num" w:pos="1440"/>
        </w:tabs>
        <w:ind w:left="1440"/>
      </w:pPr>
      <w:r>
        <w:t xml:space="preserve">SSA </w:t>
      </w:r>
      <w:r w:rsidR="00012EEF">
        <w:t>does not provide payments o</w:t>
      </w:r>
      <w:r>
        <w:t>r gifts to the respondents.</w:t>
      </w:r>
    </w:p>
    <w:p w:rsidR="00A440EB" w:rsidP="004D05CC" w:rsidRDefault="00A440EB" w14:paraId="6451807A" w14:textId="77777777">
      <w:pPr>
        <w:tabs>
          <w:tab w:val="num" w:pos="1440"/>
        </w:tabs>
        <w:ind w:left="1440"/>
      </w:pPr>
    </w:p>
    <w:p w:rsidRPr="00012EEF" w:rsidR="00012EEF" w:rsidP="004D05CC" w:rsidRDefault="00012EEF" w14:paraId="25BAB917" w14:textId="77777777">
      <w:pPr>
        <w:numPr>
          <w:ilvl w:val="1"/>
          <w:numId w:val="1"/>
        </w:numPr>
        <w:tabs>
          <w:tab w:val="clear" w:pos="720"/>
          <w:tab w:val="num" w:pos="1440"/>
        </w:tabs>
        <w:ind w:left="1440"/>
        <w:rPr>
          <w:b/>
        </w:rPr>
      </w:pPr>
      <w:r w:rsidRPr="00012EEF">
        <w:rPr>
          <w:b/>
        </w:rPr>
        <w:t>Assurances of Confidentiality</w:t>
      </w:r>
    </w:p>
    <w:p w:rsidR="00386F89" w:rsidP="004D05CC" w:rsidRDefault="00012EEF" w14:paraId="075B68FF" w14:textId="77777777">
      <w:pPr>
        <w:tabs>
          <w:tab w:val="num" w:pos="1440"/>
        </w:tabs>
        <w:ind w:left="1440"/>
      </w:pPr>
      <w:r w:rsidRPr="00012EEF">
        <w:t xml:space="preserve">SSA protects and holds confidential the information it collects in accordance with </w:t>
      </w:r>
      <w:r w:rsidRPr="0008629E">
        <w:rPr>
          <w:i/>
        </w:rPr>
        <w:t>42 U.S.C. 1306, 20 CFR 401</w:t>
      </w:r>
      <w:r w:rsidRPr="00012EEF">
        <w:t xml:space="preserve"> and </w:t>
      </w:r>
      <w:r w:rsidRPr="0008629E">
        <w:rPr>
          <w:i/>
        </w:rPr>
        <w:t>402, 5 U.S.C. 552</w:t>
      </w:r>
      <w:r w:rsidRPr="00012EEF">
        <w:t xml:space="preserve"> (Freedom of Information Act), </w:t>
      </w:r>
      <w:r w:rsidRPr="0008629E">
        <w:rPr>
          <w:i/>
        </w:rPr>
        <w:t>5 U.S.C. 552a</w:t>
      </w:r>
      <w:r w:rsidRPr="00012EEF">
        <w:t xml:space="preserve"> (Privacy Act of 1974), and OMB Circular No. A-130</w:t>
      </w:r>
      <w:r w:rsidR="0008629E">
        <w:t>.</w:t>
      </w:r>
    </w:p>
    <w:p w:rsidRPr="00012EEF" w:rsidR="00012EEF" w:rsidP="004D05CC" w:rsidRDefault="00012EEF" w14:paraId="58D7B69B" w14:textId="77777777">
      <w:pPr>
        <w:tabs>
          <w:tab w:val="num" w:pos="1440"/>
        </w:tabs>
        <w:ind w:left="1440"/>
      </w:pPr>
    </w:p>
    <w:p w:rsidRPr="00012EEF" w:rsidR="00012EEF" w:rsidP="004D05CC" w:rsidRDefault="00012EEF" w14:paraId="66854C72" w14:textId="77777777">
      <w:pPr>
        <w:numPr>
          <w:ilvl w:val="1"/>
          <w:numId w:val="1"/>
        </w:numPr>
        <w:tabs>
          <w:tab w:val="clear" w:pos="720"/>
          <w:tab w:val="num" w:pos="1440"/>
        </w:tabs>
        <w:ind w:left="1440"/>
        <w:rPr>
          <w:b/>
        </w:rPr>
      </w:pPr>
      <w:r w:rsidRPr="00012EEF">
        <w:rPr>
          <w:b/>
        </w:rPr>
        <w:t>Justification for Sensitive Questions</w:t>
      </w:r>
    </w:p>
    <w:p w:rsidR="00545F48" w:rsidP="004D05CC" w:rsidRDefault="00545F48" w14:paraId="22D2A016" w14:textId="404068AB">
      <w:pPr>
        <w:tabs>
          <w:tab w:val="num" w:pos="1440"/>
        </w:tabs>
        <w:ind w:left="1440"/>
      </w:pPr>
      <w:r>
        <w:t>The information collection does not contain any questions of a sensitive nature.</w:t>
      </w:r>
    </w:p>
    <w:p w:rsidR="00FF0978" w:rsidP="004D05CC" w:rsidRDefault="00FF0978" w14:paraId="01FC415D" w14:textId="45644D13">
      <w:pPr>
        <w:tabs>
          <w:tab w:val="num" w:pos="1440"/>
        </w:tabs>
        <w:ind w:left="1440"/>
      </w:pPr>
    </w:p>
    <w:p w:rsidR="008F432C" w:rsidP="004D05CC" w:rsidRDefault="00012EEF" w14:paraId="306FA4FF" w14:textId="4D650F6E">
      <w:pPr>
        <w:numPr>
          <w:ilvl w:val="1"/>
          <w:numId w:val="1"/>
        </w:numPr>
        <w:tabs>
          <w:tab w:val="clear" w:pos="720"/>
          <w:tab w:val="num" w:pos="1440"/>
        </w:tabs>
        <w:ind w:left="1440"/>
        <w:rPr>
          <w:b/>
        </w:rPr>
      </w:pPr>
      <w:r w:rsidRPr="00012EEF">
        <w:rPr>
          <w:b/>
        </w:rPr>
        <w:t>Estimates of Public Reporting Burden</w:t>
      </w:r>
    </w:p>
    <w:p w:rsidRPr="00692887" w:rsidR="00692887" w:rsidP="00692887" w:rsidRDefault="00692887" w14:paraId="390DDC22" w14:textId="78535089">
      <w:pPr>
        <w:ind w:left="1440"/>
        <w:rPr>
          <w:bCs/>
        </w:rPr>
      </w:pPr>
      <w:r>
        <w:rPr>
          <w:bCs/>
        </w:rPr>
        <w:t>The chart below shows the burden information for this information collection:</w:t>
      </w:r>
    </w:p>
    <w:tbl>
      <w:tblPr>
        <w:tblW w:w="10956"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362"/>
        <w:gridCol w:w="1510"/>
      </w:tblGrid>
      <w:tr w:rsidRPr="008F432C" w:rsidR="008F432C" w:rsidTr="00BE4D3A" w14:paraId="1EE5AED3" w14:textId="77777777">
        <w:trPr>
          <w:trHeight w:val="2204"/>
        </w:trPr>
        <w:tc>
          <w:tcPr>
            <w:tcW w:w="1416" w:type="dxa"/>
          </w:tcPr>
          <w:p w:rsidRPr="008F432C" w:rsidR="008F432C" w:rsidP="008F432C" w:rsidRDefault="008F432C" w14:paraId="1ACEC1BF" w14:textId="77777777">
            <w:pPr>
              <w:rPr>
                <w:rFonts w:eastAsia="SimSun"/>
                <w:b/>
                <w:lang w:eastAsia="zh-CN"/>
              </w:rPr>
            </w:pPr>
            <w:r w:rsidRPr="008F432C">
              <w:rPr>
                <w:rFonts w:eastAsia="SimSun"/>
                <w:b/>
                <w:lang w:eastAsia="zh-CN"/>
              </w:rPr>
              <w:lastRenderedPageBreak/>
              <w:t>Modality of Completion</w:t>
            </w:r>
          </w:p>
        </w:tc>
        <w:tc>
          <w:tcPr>
            <w:tcW w:w="1523" w:type="dxa"/>
          </w:tcPr>
          <w:p w:rsidRPr="008F432C" w:rsidR="008F432C" w:rsidP="008F432C" w:rsidRDefault="008F432C" w14:paraId="08EB7663" w14:textId="77777777">
            <w:pPr>
              <w:rPr>
                <w:rFonts w:eastAsia="SimSun"/>
                <w:b/>
                <w:lang w:eastAsia="zh-CN"/>
              </w:rPr>
            </w:pPr>
            <w:r w:rsidRPr="008F432C">
              <w:rPr>
                <w:rFonts w:eastAsia="SimSun"/>
                <w:b/>
                <w:lang w:eastAsia="zh-CN"/>
              </w:rPr>
              <w:t>Number of Respondents</w:t>
            </w:r>
          </w:p>
        </w:tc>
        <w:tc>
          <w:tcPr>
            <w:tcW w:w="1310" w:type="dxa"/>
          </w:tcPr>
          <w:p w:rsidRPr="008F432C" w:rsidR="008F432C" w:rsidP="008F432C" w:rsidRDefault="008F432C" w14:paraId="4C2957B5" w14:textId="77777777">
            <w:pPr>
              <w:rPr>
                <w:rFonts w:eastAsia="SimSun"/>
                <w:b/>
                <w:lang w:eastAsia="zh-CN"/>
              </w:rPr>
            </w:pPr>
            <w:r w:rsidRPr="008F432C">
              <w:rPr>
                <w:rFonts w:eastAsia="SimSun"/>
                <w:b/>
                <w:lang w:eastAsia="zh-CN"/>
              </w:rPr>
              <w:t>Frequency of Response</w:t>
            </w:r>
          </w:p>
        </w:tc>
        <w:tc>
          <w:tcPr>
            <w:tcW w:w="1190" w:type="dxa"/>
          </w:tcPr>
          <w:p w:rsidRPr="008F432C" w:rsidR="008F432C" w:rsidP="008F432C" w:rsidRDefault="008F432C" w14:paraId="691686E1" w14:textId="77777777">
            <w:pPr>
              <w:rPr>
                <w:rFonts w:eastAsia="SimSun"/>
                <w:b/>
                <w:lang w:eastAsia="zh-CN"/>
              </w:rPr>
            </w:pPr>
            <w:r w:rsidRPr="008F432C">
              <w:rPr>
                <w:rFonts w:eastAsia="SimSun"/>
                <w:b/>
                <w:lang w:eastAsia="zh-CN"/>
              </w:rPr>
              <w:t>Average Burden per Response (minutes)</w:t>
            </w:r>
          </w:p>
        </w:tc>
        <w:tc>
          <w:tcPr>
            <w:tcW w:w="1256" w:type="dxa"/>
          </w:tcPr>
          <w:p w:rsidRPr="008F432C" w:rsidR="008F432C" w:rsidP="008F432C" w:rsidRDefault="008F432C" w14:paraId="2041548F" w14:textId="77777777">
            <w:pPr>
              <w:rPr>
                <w:rFonts w:eastAsia="SimSun"/>
                <w:b/>
                <w:lang w:eastAsia="zh-CN"/>
              </w:rPr>
            </w:pPr>
            <w:r w:rsidRPr="008F432C">
              <w:rPr>
                <w:rFonts w:eastAsia="SimSun"/>
                <w:b/>
                <w:lang w:eastAsia="zh-CN"/>
              </w:rPr>
              <w:t>Estimated Total Annual Burden (hours)</w:t>
            </w:r>
          </w:p>
        </w:tc>
        <w:tc>
          <w:tcPr>
            <w:tcW w:w="1389" w:type="dxa"/>
          </w:tcPr>
          <w:p w:rsidRPr="008F432C" w:rsidR="008F432C" w:rsidP="008F432C" w:rsidRDefault="008F432C" w14:paraId="0555BE3B" w14:textId="77777777">
            <w:pPr>
              <w:rPr>
                <w:rFonts w:eastAsia="SimSun"/>
                <w:b/>
                <w:lang w:eastAsia="zh-CN"/>
              </w:rPr>
            </w:pPr>
            <w:r w:rsidRPr="008F432C">
              <w:rPr>
                <w:rFonts w:eastAsia="SimSun"/>
                <w:b/>
                <w:lang w:eastAsia="zh-CN"/>
              </w:rPr>
              <w:t>Average Theoretical Hourly Cost Amount (dollars)*</w:t>
            </w:r>
          </w:p>
        </w:tc>
        <w:tc>
          <w:tcPr>
            <w:tcW w:w="1362" w:type="dxa"/>
          </w:tcPr>
          <w:p w:rsidRPr="0065326C" w:rsidR="003A0180" w:rsidP="003A0180" w:rsidRDefault="003A0180" w14:paraId="1312F01A" w14:textId="77777777">
            <w:pPr>
              <w:autoSpaceDE w:val="0"/>
              <w:autoSpaceDN w:val="0"/>
              <w:adjustRightInd w:val="0"/>
              <w:rPr>
                <w:rFonts w:eastAsia="Calibri"/>
                <w:b/>
              </w:rPr>
            </w:pPr>
            <w:r w:rsidRPr="0065326C">
              <w:rPr>
                <w:rFonts w:eastAsia="Calibri"/>
                <w:b/>
              </w:rPr>
              <w:t xml:space="preserve">Average Wait Time in Field Office or for Teleservice Centers </w:t>
            </w:r>
          </w:p>
          <w:p w:rsidRPr="008F432C" w:rsidR="008F432C" w:rsidP="003A0180" w:rsidRDefault="003A0180" w14:paraId="6392D243" w14:textId="6E5E7F2B">
            <w:pPr>
              <w:suppressAutoHyphens/>
              <w:autoSpaceDE w:val="0"/>
              <w:autoSpaceDN w:val="0"/>
              <w:adjustRightInd w:val="0"/>
              <w:rPr>
                <w:rFonts w:eastAsia="SimSun"/>
                <w:b/>
                <w:lang w:eastAsia="zh-CN"/>
              </w:rPr>
            </w:pPr>
            <w:r w:rsidRPr="0065326C">
              <w:rPr>
                <w:rFonts w:eastAsia="Calibri"/>
                <w:b/>
                <w:lang w:val="x-none"/>
              </w:rPr>
              <w:t xml:space="preserve">(minutes) </w:t>
            </w:r>
          </w:p>
        </w:tc>
        <w:tc>
          <w:tcPr>
            <w:tcW w:w="1510" w:type="dxa"/>
          </w:tcPr>
          <w:p w:rsidRPr="008F432C" w:rsidR="008F432C" w:rsidP="008F432C" w:rsidRDefault="008F432C" w14:paraId="129951D9" w14:textId="77777777">
            <w:pPr>
              <w:rPr>
                <w:rFonts w:eastAsia="SimSun"/>
                <w:b/>
                <w:lang w:eastAsia="zh-CN"/>
              </w:rPr>
            </w:pPr>
            <w:r w:rsidRPr="008F432C">
              <w:rPr>
                <w:rFonts w:eastAsia="SimSun"/>
                <w:b/>
                <w:lang w:eastAsia="zh-CN"/>
              </w:rPr>
              <w:t>Total Annual Opportunity Cost (dollars)***</w:t>
            </w:r>
          </w:p>
        </w:tc>
      </w:tr>
      <w:tr w:rsidRPr="008F432C" w:rsidR="008F432C" w:rsidTr="00BE4D3A" w14:paraId="7EE4E725" w14:textId="77777777">
        <w:trPr>
          <w:trHeight w:val="440"/>
        </w:trPr>
        <w:tc>
          <w:tcPr>
            <w:tcW w:w="1416" w:type="dxa"/>
          </w:tcPr>
          <w:p w:rsidRPr="008F432C" w:rsidR="008F432C" w:rsidP="008F432C" w:rsidRDefault="008F432C" w14:paraId="6C70A8F2" w14:textId="77777777">
            <w:pPr>
              <w:rPr>
                <w:rFonts w:eastAsia="SimSun"/>
                <w:lang w:eastAsia="zh-CN"/>
              </w:rPr>
            </w:pPr>
            <w:r w:rsidRPr="008F432C">
              <w:rPr>
                <w:rFonts w:eastAsia="SimSun"/>
                <w:lang w:eastAsia="zh-CN"/>
              </w:rPr>
              <w:t>SSA-371</w:t>
            </w:r>
          </w:p>
        </w:tc>
        <w:tc>
          <w:tcPr>
            <w:tcW w:w="1523" w:type="dxa"/>
          </w:tcPr>
          <w:p w:rsidRPr="008F432C" w:rsidR="008F432C" w:rsidP="008F432C" w:rsidRDefault="008F432C" w14:paraId="390E3304" w14:textId="77777777">
            <w:pPr>
              <w:rPr>
                <w:rFonts w:eastAsia="SimSun"/>
                <w:lang w:eastAsia="zh-CN"/>
              </w:rPr>
            </w:pPr>
            <w:r w:rsidRPr="008F432C">
              <w:rPr>
                <w:rFonts w:eastAsia="SimSun"/>
                <w:lang w:eastAsia="zh-CN"/>
              </w:rPr>
              <w:t>10,000</w:t>
            </w:r>
          </w:p>
        </w:tc>
        <w:tc>
          <w:tcPr>
            <w:tcW w:w="1310" w:type="dxa"/>
          </w:tcPr>
          <w:p w:rsidRPr="008F432C" w:rsidR="008F432C" w:rsidP="008F432C" w:rsidRDefault="008F432C" w14:paraId="70C7F7E4" w14:textId="77777777">
            <w:pPr>
              <w:rPr>
                <w:rFonts w:eastAsia="SimSun"/>
                <w:lang w:eastAsia="zh-CN"/>
              </w:rPr>
            </w:pPr>
            <w:r w:rsidRPr="008F432C">
              <w:rPr>
                <w:rFonts w:eastAsia="SimSun"/>
                <w:lang w:eastAsia="zh-CN"/>
              </w:rPr>
              <w:t>1</w:t>
            </w:r>
          </w:p>
        </w:tc>
        <w:tc>
          <w:tcPr>
            <w:tcW w:w="1190" w:type="dxa"/>
          </w:tcPr>
          <w:p w:rsidRPr="008F432C" w:rsidR="008F432C" w:rsidP="008F432C" w:rsidRDefault="008F432C" w14:paraId="427DE50E" w14:textId="77777777">
            <w:pPr>
              <w:rPr>
                <w:rFonts w:eastAsia="SimSun"/>
                <w:lang w:eastAsia="zh-CN"/>
              </w:rPr>
            </w:pPr>
            <w:r w:rsidRPr="008F432C">
              <w:rPr>
                <w:rFonts w:eastAsia="SimSun"/>
                <w:lang w:eastAsia="zh-CN"/>
              </w:rPr>
              <w:t>2</w:t>
            </w:r>
          </w:p>
        </w:tc>
        <w:tc>
          <w:tcPr>
            <w:tcW w:w="1256" w:type="dxa"/>
          </w:tcPr>
          <w:p w:rsidRPr="008F432C" w:rsidR="008F432C" w:rsidP="008F432C" w:rsidRDefault="008F432C" w14:paraId="72C93468" w14:textId="77777777">
            <w:pPr>
              <w:rPr>
                <w:rFonts w:eastAsia="SimSun"/>
                <w:lang w:eastAsia="zh-CN"/>
              </w:rPr>
            </w:pPr>
            <w:r w:rsidRPr="008F432C">
              <w:rPr>
                <w:rFonts w:eastAsia="SimSun"/>
                <w:lang w:eastAsia="zh-CN"/>
              </w:rPr>
              <w:t>333</w:t>
            </w:r>
          </w:p>
        </w:tc>
        <w:tc>
          <w:tcPr>
            <w:tcW w:w="1389" w:type="dxa"/>
          </w:tcPr>
          <w:p w:rsidRPr="008F432C" w:rsidR="008F432C" w:rsidP="008F432C" w:rsidRDefault="008F432C" w14:paraId="2BEC7052" w14:textId="77777777">
            <w:pPr>
              <w:jc w:val="center"/>
              <w:rPr>
                <w:rFonts w:eastAsia="SimSun"/>
                <w:lang w:eastAsia="zh-CN"/>
              </w:rPr>
            </w:pPr>
            <w:r w:rsidRPr="008F432C">
              <w:rPr>
                <w:rFonts w:eastAsia="SimSun"/>
                <w:lang w:eastAsia="zh-CN"/>
              </w:rPr>
              <w:t>$10.73*</w:t>
            </w:r>
          </w:p>
        </w:tc>
        <w:tc>
          <w:tcPr>
            <w:tcW w:w="1362" w:type="dxa"/>
          </w:tcPr>
          <w:p w:rsidRPr="008F432C" w:rsidR="008F432C" w:rsidP="008F432C" w:rsidRDefault="00692887" w14:paraId="289DBB0E" w14:textId="2AB11861">
            <w:pPr>
              <w:jc w:val="right"/>
              <w:rPr>
                <w:rFonts w:eastAsia="SimSun"/>
                <w:lang w:eastAsia="zh-CN"/>
              </w:rPr>
            </w:pPr>
            <w:r>
              <w:rPr>
                <w:rFonts w:eastAsia="SimSun"/>
                <w:lang w:eastAsia="zh-CN"/>
              </w:rPr>
              <w:t>21</w:t>
            </w:r>
            <w:r w:rsidRPr="008F432C" w:rsidR="008F432C">
              <w:rPr>
                <w:rFonts w:eastAsia="SimSun"/>
                <w:lang w:eastAsia="zh-CN"/>
              </w:rPr>
              <w:t>**</w:t>
            </w:r>
          </w:p>
        </w:tc>
        <w:tc>
          <w:tcPr>
            <w:tcW w:w="1510" w:type="dxa"/>
          </w:tcPr>
          <w:p w:rsidRPr="008F432C" w:rsidR="008F432C" w:rsidP="008F432C" w:rsidRDefault="008F432C" w14:paraId="461DC394" w14:textId="2CEDB7F3">
            <w:pPr>
              <w:jc w:val="right"/>
              <w:rPr>
                <w:rFonts w:eastAsia="SimSun"/>
                <w:lang w:eastAsia="zh-CN"/>
              </w:rPr>
            </w:pPr>
            <w:r w:rsidRPr="008F432C">
              <w:rPr>
                <w:rFonts w:eastAsia="SimSun"/>
                <w:lang w:eastAsia="zh-CN"/>
              </w:rPr>
              <w:t>$</w:t>
            </w:r>
            <w:r w:rsidR="00692887">
              <w:rPr>
                <w:rFonts w:eastAsia="SimSun"/>
                <w:lang w:eastAsia="zh-CN"/>
              </w:rPr>
              <w:t>41</w:t>
            </w:r>
            <w:r w:rsidRPr="008F432C">
              <w:rPr>
                <w:rFonts w:eastAsia="SimSun"/>
                <w:lang w:eastAsia="zh-CN"/>
              </w:rPr>
              <w:t>,</w:t>
            </w:r>
            <w:r w:rsidR="00692887">
              <w:rPr>
                <w:rFonts w:eastAsia="SimSun"/>
                <w:lang w:eastAsia="zh-CN"/>
              </w:rPr>
              <w:t>128</w:t>
            </w:r>
            <w:r w:rsidRPr="008F432C">
              <w:rPr>
                <w:rFonts w:eastAsia="SimSun"/>
                <w:lang w:eastAsia="zh-CN"/>
              </w:rPr>
              <w:t>***</w:t>
            </w:r>
          </w:p>
        </w:tc>
      </w:tr>
    </w:tbl>
    <w:p w:rsidR="00FF0978" w:rsidP="00FF0978" w:rsidRDefault="00FF0978" w14:paraId="53D02E05" w14:textId="17A0E279">
      <w:pPr>
        <w:suppressAutoHyphens/>
        <w:ind w:left="1440"/>
        <w:rPr>
          <w:lang w:eastAsia="ar-SA"/>
        </w:rPr>
      </w:pPr>
      <w:r w:rsidRPr="0065326C">
        <w:rPr>
          <w:rFonts w:eastAsia="Calibri"/>
          <w:lang w:eastAsia="ar-SA"/>
        </w:rPr>
        <w:t xml:space="preserve">* We based </w:t>
      </w:r>
      <w:r w:rsidRPr="0065326C">
        <w:rPr>
          <w:lang w:eastAsia="ar-SA"/>
        </w:rPr>
        <w:t xml:space="preserve">this figure on </w:t>
      </w:r>
      <w:r w:rsidRPr="0065326C">
        <w:rPr>
          <w:rFonts w:eastAsia="Calibri"/>
          <w:lang w:eastAsia="ar-SA"/>
        </w:rPr>
        <w:t>the average DI payments based on SSA's current FY 2021 data (</w:t>
      </w:r>
      <w:hyperlink w:history="1" r:id="rId8">
        <w:r w:rsidRPr="0065326C">
          <w:rPr>
            <w:color w:val="0070C0"/>
            <w:u w:val="single"/>
            <w:lang w:eastAsia="ar-SA"/>
          </w:rPr>
          <w:t>https://www.ssa.gov/legislation/2021FactSheet.pdf</w:t>
        </w:r>
      </w:hyperlink>
      <w:r w:rsidRPr="0065326C">
        <w:rPr>
          <w:rFonts w:eastAsia="Calibri"/>
          <w:lang w:eastAsia="ar-SA"/>
        </w:rPr>
        <w:t>)</w:t>
      </w:r>
      <w:r w:rsidRPr="0065326C">
        <w:rPr>
          <w:lang w:eastAsia="ar-SA"/>
        </w:rPr>
        <w:t>.</w:t>
      </w:r>
    </w:p>
    <w:p w:rsidR="00692887" w:rsidP="00FF0978" w:rsidRDefault="00692887" w14:paraId="121CFA86" w14:textId="7CC3B3DA">
      <w:pPr>
        <w:suppressAutoHyphens/>
        <w:ind w:left="1440"/>
        <w:rPr>
          <w:lang w:eastAsia="ar-SA"/>
        </w:rPr>
      </w:pPr>
    </w:p>
    <w:p w:rsidR="00692887" w:rsidP="00FF0978" w:rsidRDefault="00692887" w14:paraId="7AD7B5D7" w14:textId="59C9EBB5">
      <w:pPr>
        <w:suppressAutoHyphens/>
        <w:ind w:left="1440"/>
        <w:rPr>
          <w:lang w:eastAsia="ar-SA"/>
        </w:rPr>
      </w:pPr>
      <w:r>
        <w:rPr>
          <w:lang w:eastAsia="ar-SA"/>
        </w:rPr>
        <w:t xml:space="preserve">** </w:t>
      </w:r>
      <w:r w:rsidRPr="006C2A8B">
        <w:t>We based this figure on the average</w:t>
      </w:r>
      <w:r>
        <w:t>d</w:t>
      </w:r>
      <w:r w:rsidRPr="006C2A8B">
        <w:t xml:space="preserve"> FY 202</w:t>
      </w:r>
      <w:r>
        <w:t>2</w:t>
      </w:r>
      <w:r w:rsidRPr="006C2A8B">
        <w:t xml:space="preserve"> wait times for</w:t>
      </w:r>
      <w:r>
        <w:t xml:space="preserve"> both</w:t>
      </w:r>
      <w:r w:rsidRPr="006C2A8B">
        <w:t xml:space="preserve"> field offices</w:t>
      </w:r>
      <w:r>
        <w:t xml:space="preserve"> and teleservice centers</w:t>
      </w:r>
      <w:r w:rsidRPr="006C2A8B">
        <w:t>, based on SSA’s current management information data</w:t>
      </w:r>
      <w:r>
        <w:t>.</w:t>
      </w:r>
    </w:p>
    <w:p w:rsidRPr="0065326C" w:rsidR="00FF0978" w:rsidP="00FF0978" w:rsidRDefault="00FF0978" w14:paraId="2CEB4AB7" w14:textId="77777777">
      <w:pPr>
        <w:suppressAutoHyphens/>
        <w:ind w:left="1440"/>
      </w:pPr>
    </w:p>
    <w:p w:rsidRPr="002A34AD" w:rsidR="00FF0978" w:rsidP="00FF0978" w:rsidRDefault="00FF0978" w14:paraId="7482502D" w14:textId="17D51AAF">
      <w:pPr>
        <w:ind w:left="1440"/>
        <w:rPr>
          <w:b/>
        </w:rPr>
      </w:pPr>
      <w:r w:rsidRPr="002A34AD">
        <w:rPr>
          <w:b/>
        </w:rPr>
        <w:t>**</w:t>
      </w:r>
      <w:r w:rsidR="00692887">
        <w:rPr>
          <w:b/>
        </w:rPr>
        <w:t>*</w:t>
      </w:r>
      <w:r w:rsidRPr="002A34AD">
        <w:rPr>
          <w:b/>
        </w:rPr>
        <w:t xml:space="preserve"> </w:t>
      </w:r>
      <w:r w:rsidRPr="00414026">
        <w:t>This figure does not represent actual costs that SSA is imposing on recipients of Social Security payments to complete this application; rather, these are theoretical</w:t>
      </w:r>
      <w:r w:rsidRPr="002A34AD">
        <w:rPr>
          <w:b/>
        </w:rPr>
        <w:t xml:space="preserve"> </w:t>
      </w:r>
      <w:r w:rsidRPr="00414026">
        <w:t>opportunity costs for the additional time respondents will spend to complete the application.</w:t>
      </w:r>
      <w:r w:rsidRPr="002A34AD">
        <w:rPr>
          <w:b/>
        </w:rPr>
        <w:t xml:space="preserve"> </w:t>
      </w:r>
      <w:r w:rsidRPr="002A34AD">
        <w:rPr>
          <w:b/>
          <w:u w:val="single"/>
        </w:rPr>
        <w:t>There is no actual charge to respondents to complete the application</w:t>
      </w:r>
      <w:r w:rsidRPr="002A34AD">
        <w:rPr>
          <w:b/>
        </w:rPr>
        <w:t>.</w:t>
      </w:r>
    </w:p>
    <w:p w:rsidR="008F432C" w:rsidP="008F432C" w:rsidRDefault="008F432C" w14:paraId="03BEB8C4" w14:textId="77777777">
      <w:pPr>
        <w:rPr>
          <w:b/>
        </w:rPr>
      </w:pPr>
    </w:p>
    <w:p w:rsidR="00637DC5" w:rsidP="00B556E3" w:rsidRDefault="00637DC5" w14:paraId="77EF277B" w14:textId="77777777">
      <w:pPr>
        <w:ind w:left="1440"/>
      </w:pPr>
      <w:r w:rsidRPr="006C2A8B">
        <w:t>In addition, OMB’s Office of Information and Regulatory Affairs</w:t>
      </w:r>
      <w:r>
        <w:t xml:space="preserve"> (OIRA)</w:t>
      </w:r>
      <w:r w:rsidRPr="006C2A8B">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t>13.97 mile</w:t>
      </w:r>
      <w:proofErr w:type="gramEnd"/>
      <w:r w:rsidRPr="006C2A8B">
        <w:t xml:space="preserve"> driving distance for one-way travel.  We depict this on the chart below:</w:t>
      </w:r>
    </w:p>
    <w:p w:rsidRPr="00D9436B" w:rsidR="002A34AD" w:rsidP="002A34AD" w:rsidRDefault="002A34AD" w14:paraId="2EEE86B2" w14:textId="77777777">
      <w:pPr>
        <w:pStyle w:val="ListParagraph"/>
        <w:rPr>
          <w:rFonts w:ascii="Times New Roman" w:hAnsi="Times New Roman"/>
        </w:rPr>
      </w:pPr>
    </w:p>
    <w:tbl>
      <w:tblPr>
        <w:tblStyle w:val="TableGrid3"/>
        <w:tblW w:w="8190" w:type="dxa"/>
        <w:tblInd w:w="1435" w:type="dxa"/>
        <w:tblLook w:val="04A0" w:firstRow="1" w:lastRow="0" w:firstColumn="1" w:lastColumn="0" w:noHBand="0" w:noVBand="1"/>
      </w:tblPr>
      <w:tblGrid>
        <w:gridCol w:w="1444"/>
        <w:gridCol w:w="1566"/>
        <w:gridCol w:w="1521"/>
        <w:gridCol w:w="1565"/>
        <w:gridCol w:w="2094"/>
      </w:tblGrid>
      <w:tr w:rsidRPr="007A6836" w:rsidR="002A34AD" w:rsidTr="00A44E82" w14:paraId="1FEEFBD4" w14:textId="77777777">
        <w:tc>
          <w:tcPr>
            <w:tcW w:w="1264" w:type="dxa"/>
          </w:tcPr>
          <w:p w:rsidRPr="007A6836" w:rsidR="002A34AD" w:rsidP="00626C60" w:rsidRDefault="002A34AD" w14:paraId="0FB21EA1" w14:textId="77777777">
            <w:pPr>
              <w:suppressAutoHyphens/>
              <w:spacing w:line="100" w:lineRule="atLeast"/>
              <w:rPr>
                <w:kern w:val="1"/>
                <w:lang w:eastAsia="ar-SA"/>
              </w:rPr>
            </w:pPr>
            <w:r w:rsidRPr="007A6836">
              <w:rPr>
                <w:kern w:val="1"/>
                <w:lang w:eastAsia="ar-SA"/>
              </w:rPr>
              <w:t>Total Number of Respondents Who Visit a Field Office</w:t>
            </w:r>
          </w:p>
        </w:tc>
        <w:tc>
          <w:tcPr>
            <w:tcW w:w="1602" w:type="dxa"/>
          </w:tcPr>
          <w:p w:rsidRPr="007A6836" w:rsidR="002A34AD" w:rsidP="00626C60" w:rsidRDefault="002A34AD" w14:paraId="3F4DB04C" w14:textId="77777777">
            <w:pPr>
              <w:suppressAutoHyphens/>
              <w:spacing w:line="100" w:lineRule="atLeast"/>
              <w:rPr>
                <w:kern w:val="1"/>
                <w:lang w:eastAsia="ar-SA"/>
              </w:rPr>
            </w:pPr>
            <w:r w:rsidRPr="007A6836">
              <w:rPr>
                <w:kern w:val="1"/>
                <w:lang w:eastAsia="ar-SA"/>
              </w:rPr>
              <w:t>Frequency of Response</w:t>
            </w:r>
          </w:p>
        </w:tc>
        <w:tc>
          <w:tcPr>
            <w:tcW w:w="1562" w:type="dxa"/>
          </w:tcPr>
          <w:p w:rsidRPr="007A6836" w:rsidR="002A34AD" w:rsidP="00626C60" w:rsidRDefault="002A34AD" w14:paraId="22713B16" w14:textId="77777777">
            <w:pPr>
              <w:suppressAutoHyphens/>
              <w:spacing w:line="100" w:lineRule="atLeast"/>
              <w:rPr>
                <w:kern w:val="1"/>
                <w:lang w:eastAsia="ar-SA"/>
              </w:rPr>
            </w:pPr>
            <w:r w:rsidRPr="007A6836">
              <w:rPr>
                <w:kern w:val="1"/>
                <w:lang w:eastAsia="ar-SA"/>
              </w:rPr>
              <w:t>Average One-Way Travel Time to a Field Office (minutes)</w:t>
            </w:r>
          </w:p>
        </w:tc>
        <w:tc>
          <w:tcPr>
            <w:tcW w:w="1606" w:type="dxa"/>
          </w:tcPr>
          <w:p w:rsidRPr="007A6836" w:rsidR="002A34AD" w:rsidP="00626C60" w:rsidRDefault="002A34AD" w14:paraId="6CF48EE9" w14:textId="77777777">
            <w:pPr>
              <w:suppressAutoHyphens/>
              <w:spacing w:line="100" w:lineRule="atLeast"/>
              <w:rPr>
                <w:kern w:val="1"/>
                <w:lang w:eastAsia="ar-SA"/>
              </w:rPr>
            </w:pPr>
            <w:r w:rsidRPr="007A6836">
              <w:rPr>
                <w:kern w:val="1"/>
                <w:lang w:eastAsia="ar-SA"/>
              </w:rPr>
              <w:t>Estimated Total Travel Time to a Field Office (hours)</w:t>
            </w:r>
          </w:p>
        </w:tc>
        <w:tc>
          <w:tcPr>
            <w:tcW w:w="2156" w:type="dxa"/>
          </w:tcPr>
          <w:p w:rsidRPr="007A6836" w:rsidR="002A34AD" w:rsidP="00626C60" w:rsidRDefault="002A34AD" w14:paraId="7D1B6B44" w14:textId="77777777">
            <w:pPr>
              <w:suppressAutoHyphens/>
              <w:spacing w:line="100" w:lineRule="atLeast"/>
              <w:rPr>
                <w:kern w:val="1"/>
                <w:lang w:eastAsia="ar-SA"/>
              </w:rPr>
            </w:pPr>
            <w:r w:rsidRPr="007A6836">
              <w:rPr>
                <w:kern w:val="1"/>
                <w:lang w:eastAsia="ar-SA"/>
              </w:rPr>
              <w:t>Total Annual Opportunity Cost for Travel Time (dollars)****</w:t>
            </w:r>
          </w:p>
        </w:tc>
      </w:tr>
      <w:tr w:rsidRPr="007A6836" w:rsidR="002A34AD" w:rsidTr="00A44E82" w14:paraId="194D2F6B" w14:textId="77777777">
        <w:tc>
          <w:tcPr>
            <w:tcW w:w="1264" w:type="dxa"/>
          </w:tcPr>
          <w:p w:rsidRPr="007A6836" w:rsidR="002A34AD" w:rsidP="00A44E82" w:rsidRDefault="002A34AD" w14:paraId="2E3FABB0" w14:textId="77777777">
            <w:pPr>
              <w:suppressAutoHyphens/>
              <w:spacing w:line="100" w:lineRule="atLeast"/>
              <w:jc w:val="right"/>
              <w:rPr>
                <w:kern w:val="1"/>
                <w:lang w:eastAsia="ar-SA"/>
              </w:rPr>
            </w:pPr>
            <w:r>
              <w:rPr>
                <w:rFonts w:eastAsia="SimSun"/>
                <w:lang w:eastAsia="ar-SA"/>
              </w:rPr>
              <w:t>10,000</w:t>
            </w:r>
          </w:p>
        </w:tc>
        <w:tc>
          <w:tcPr>
            <w:tcW w:w="1602" w:type="dxa"/>
          </w:tcPr>
          <w:p w:rsidRPr="007A6836" w:rsidR="002A34AD" w:rsidP="00A44E82" w:rsidRDefault="002A34AD" w14:paraId="5BAA5734" w14:textId="77777777">
            <w:pPr>
              <w:suppressAutoHyphens/>
              <w:spacing w:line="100" w:lineRule="atLeast"/>
              <w:jc w:val="right"/>
              <w:rPr>
                <w:kern w:val="1"/>
                <w:lang w:eastAsia="ar-SA"/>
              </w:rPr>
            </w:pPr>
            <w:r w:rsidRPr="007A6836">
              <w:rPr>
                <w:kern w:val="1"/>
                <w:lang w:eastAsia="ar-SA"/>
              </w:rPr>
              <w:t>1</w:t>
            </w:r>
          </w:p>
        </w:tc>
        <w:tc>
          <w:tcPr>
            <w:tcW w:w="1562" w:type="dxa"/>
          </w:tcPr>
          <w:p w:rsidRPr="007A6836" w:rsidR="002A34AD" w:rsidP="00A44E82" w:rsidRDefault="002A34AD" w14:paraId="30E03EAF" w14:textId="77777777">
            <w:pPr>
              <w:suppressAutoHyphens/>
              <w:spacing w:line="100" w:lineRule="atLeast"/>
              <w:jc w:val="right"/>
              <w:rPr>
                <w:kern w:val="1"/>
                <w:lang w:eastAsia="ar-SA"/>
              </w:rPr>
            </w:pPr>
            <w:r w:rsidRPr="007A6836">
              <w:rPr>
                <w:kern w:val="1"/>
                <w:lang w:eastAsia="ar-SA"/>
              </w:rPr>
              <w:t>30</w:t>
            </w:r>
          </w:p>
        </w:tc>
        <w:tc>
          <w:tcPr>
            <w:tcW w:w="1606" w:type="dxa"/>
          </w:tcPr>
          <w:p w:rsidRPr="007A6836" w:rsidR="002A34AD" w:rsidP="00A44E82" w:rsidRDefault="00124060" w14:paraId="25D17C6B" w14:textId="77777777">
            <w:pPr>
              <w:suppressAutoHyphens/>
              <w:spacing w:line="100" w:lineRule="atLeast"/>
              <w:jc w:val="right"/>
              <w:rPr>
                <w:kern w:val="1"/>
                <w:lang w:eastAsia="ar-SA"/>
              </w:rPr>
            </w:pPr>
            <w:r>
              <w:rPr>
                <w:kern w:val="1"/>
                <w:lang w:eastAsia="ar-SA"/>
              </w:rPr>
              <w:t>5,000</w:t>
            </w:r>
          </w:p>
        </w:tc>
        <w:tc>
          <w:tcPr>
            <w:tcW w:w="2156" w:type="dxa"/>
          </w:tcPr>
          <w:p w:rsidRPr="007A6836" w:rsidR="002A34AD" w:rsidP="00A44E82" w:rsidRDefault="002A34AD" w14:paraId="709EDB3A" w14:textId="50F912E9">
            <w:pPr>
              <w:suppressAutoHyphens/>
              <w:spacing w:line="100" w:lineRule="atLeast"/>
              <w:jc w:val="right"/>
              <w:rPr>
                <w:kern w:val="1"/>
                <w:lang w:eastAsia="ar-SA"/>
              </w:rPr>
            </w:pPr>
            <w:r w:rsidRPr="007A6836">
              <w:rPr>
                <w:kern w:val="1"/>
                <w:lang w:eastAsia="ar-SA"/>
              </w:rPr>
              <w:t>$</w:t>
            </w:r>
            <w:r w:rsidR="00124060">
              <w:rPr>
                <w:kern w:val="1"/>
                <w:lang w:eastAsia="ar-SA"/>
              </w:rPr>
              <w:t>53,650</w:t>
            </w:r>
            <w:r w:rsidR="00692887">
              <w:rPr>
                <w:kern w:val="1"/>
                <w:lang w:eastAsia="ar-SA"/>
              </w:rPr>
              <w:t>****</w:t>
            </w:r>
          </w:p>
        </w:tc>
      </w:tr>
    </w:tbl>
    <w:p w:rsidRPr="007A6836" w:rsidR="002A34AD" w:rsidP="002A34AD" w:rsidRDefault="002A34AD" w14:paraId="4120CC5A" w14:textId="77777777">
      <w:pPr>
        <w:suppressAutoHyphens/>
        <w:spacing w:line="100" w:lineRule="atLeast"/>
        <w:ind w:left="1440"/>
        <w:rPr>
          <w:kern w:val="1"/>
          <w:lang w:eastAsia="ar-SA"/>
        </w:rPr>
      </w:pPr>
      <w:r w:rsidRPr="007A6836">
        <w:rPr>
          <w:kern w:val="1"/>
          <w:lang w:eastAsia="ar-SA"/>
        </w:rPr>
        <w:t xml:space="preserve">****We based this dollar amount on the Average Theoretical Hourly Cost Amount in dollars shown on the burden chart above. </w:t>
      </w:r>
    </w:p>
    <w:p w:rsidRPr="007A6836" w:rsidR="002A34AD" w:rsidP="002A34AD" w:rsidRDefault="002A34AD" w14:paraId="224C602E" w14:textId="77777777">
      <w:pPr>
        <w:suppressAutoHyphens/>
        <w:spacing w:line="100" w:lineRule="atLeast"/>
        <w:rPr>
          <w:kern w:val="1"/>
          <w:lang w:eastAsia="ar-SA"/>
        </w:rPr>
      </w:pPr>
      <w:r w:rsidRPr="007A6836">
        <w:rPr>
          <w:kern w:val="1"/>
          <w:lang w:eastAsia="ar-SA"/>
        </w:rPr>
        <w:t xml:space="preserve"> </w:t>
      </w:r>
    </w:p>
    <w:p w:rsidR="00B556E3" w:rsidP="002A34AD" w:rsidRDefault="002A34AD" w14:paraId="435E667E" w14:textId="77777777">
      <w:pPr>
        <w:suppressAutoHyphens/>
        <w:spacing w:line="100" w:lineRule="atLeast"/>
        <w:ind w:left="1440"/>
        <w:rPr>
          <w:kern w:val="1"/>
          <w:lang w:eastAsia="ar-SA"/>
        </w:rPr>
      </w:pPr>
      <w:r w:rsidRPr="007A6836">
        <w:rPr>
          <w:kern w:val="1"/>
          <w:lang w:eastAsia="ar-SA"/>
        </w:rPr>
        <w:t xml:space="preserve">Per OIRA, we include this travel time burden estimate under the </w:t>
      </w:r>
    </w:p>
    <w:p w:rsidRPr="007A6836" w:rsidR="002A34AD" w:rsidP="002A34AD" w:rsidRDefault="002A34AD" w14:paraId="67128320" w14:textId="0ABB0293">
      <w:pPr>
        <w:suppressAutoHyphens/>
        <w:spacing w:line="100" w:lineRule="atLeast"/>
        <w:ind w:left="1440"/>
        <w:rPr>
          <w:kern w:val="1"/>
          <w:lang w:eastAsia="ar-SA"/>
        </w:rPr>
      </w:pPr>
      <w:r w:rsidRPr="00857997">
        <w:rPr>
          <w:i/>
          <w:kern w:val="1"/>
          <w:lang w:eastAsia="ar-SA"/>
        </w:rPr>
        <w:t>5 CFR 1320.8(a)(4)</w:t>
      </w:r>
      <w:r w:rsidRPr="007A6836">
        <w:rPr>
          <w:kern w:val="1"/>
          <w:lang w:eastAsia="ar-SA"/>
        </w:rPr>
        <w:t>, which requires us to provide “time, effort, or financial reso</w:t>
      </w:r>
      <w:r>
        <w:rPr>
          <w:kern w:val="1"/>
          <w:lang w:eastAsia="ar-SA"/>
        </w:rPr>
        <w:t xml:space="preserve">urces expended by persons for </w:t>
      </w:r>
      <w:r w:rsidRPr="007A6836">
        <w:rPr>
          <w:kern w:val="1"/>
          <w:lang w:eastAsia="ar-SA"/>
        </w:rPr>
        <w:t xml:space="preserve">transmitting, or otherwise disclosing the information,” as well as </w:t>
      </w:r>
      <w:r w:rsidRPr="00857997">
        <w:rPr>
          <w:i/>
          <w:kern w:val="1"/>
          <w:lang w:eastAsia="ar-SA"/>
        </w:rPr>
        <w:t>5 CFR 1320.8(b)(3)(iii)</w:t>
      </w:r>
      <w:r w:rsidRPr="007A6836">
        <w:rPr>
          <w:kern w:val="1"/>
          <w:lang w:eastAsia="ar-SA"/>
        </w:rPr>
        <w:t xml:space="preserve"> which requires us to estimate</w:t>
      </w:r>
      <w:r>
        <w:rPr>
          <w:kern w:val="1"/>
          <w:lang w:eastAsia="ar-SA"/>
        </w:rPr>
        <w:t xml:space="preserve"> “the average burden collection to the extent practicable.” </w:t>
      </w:r>
      <w:r w:rsidRPr="007A6836">
        <w:rPr>
          <w:kern w:val="1"/>
          <w:lang w:eastAsia="ar-SA"/>
        </w:rPr>
        <w:t xml:space="preserve">SSA notes that we do not obtain or maintain any data on travel times to a field office, nor do we have any data, which shows that the average respondent drives to a field office, rather </w:t>
      </w:r>
      <w:r w:rsidRPr="007A6836">
        <w:rPr>
          <w:kern w:val="1"/>
          <w:lang w:eastAsia="ar-SA"/>
        </w:rPr>
        <w:lastRenderedPageBreak/>
        <w:t>than usin</w:t>
      </w:r>
      <w:r>
        <w:rPr>
          <w:kern w:val="1"/>
          <w:lang w:eastAsia="ar-SA"/>
        </w:rPr>
        <w:t xml:space="preserve">g any other mode of transport. </w:t>
      </w:r>
      <w:r w:rsidRPr="007A6836">
        <w:rPr>
          <w:kern w:val="1"/>
          <w:lang w:eastAsia="ar-SA"/>
        </w:rPr>
        <w:t>SSA also acknowledges that respondents’ mode of travel and, therefore, travel times vary widely dependent on region, mode of travel, and actual proximity to a field office.</w:t>
      </w:r>
    </w:p>
    <w:p w:rsidRPr="007A6836" w:rsidR="002A34AD" w:rsidP="002A34AD" w:rsidRDefault="002A34AD" w14:paraId="4C3D483A" w14:textId="77777777">
      <w:pPr>
        <w:suppressAutoHyphens/>
        <w:spacing w:line="100" w:lineRule="atLeast"/>
        <w:rPr>
          <w:kern w:val="1"/>
          <w:lang w:eastAsia="ar-SA"/>
        </w:rPr>
      </w:pPr>
    </w:p>
    <w:p w:rsidR="002A34AD" w:rsidP="002A34AD" w:rsidRDefault="002A34AD" w14:paraId="6608BE99" w14:textId="362EB40A">
      <w:pPr>
        <w:ind w:left="1440"/>
        <w:rPr>
          <w:kern w:val="1"/>
          <w:lang w:eastAsia="ar-SA"/>
        </w:rPr>
      </w:pPr>
      <w:r w:rsidRPr="007A6836">
        <w:rPr>
          <w:kern w:val="1"/>
          <w:lang w:eastAsia="ar-SA"/>
        </w:rPr>
        <w:t>NOTE:  We included the total opportunity cost estimate from this chart in our calculations when showing the total opportunity cost estimates in the paragraph below.</w:t>
      </w:r>
    </w:p>
    <w:p w:rsidR="008F1452" w:rsidP="002A34AD" w:rsidRDefault="008F1452" w14:paraId="38BDB9BA" w14:textId="799579BA">
      <w:pPr>
        <w:ind w:left="1440"/>
        <w:rPr>
          <w:kern w:val="1"/>
          <w:lang w:eastAsia="ar-SA"/>
        </w:rPr>
      </w:pPr>
    </w:p>
    <w:p w:rsidR="008F1452" w:rsidP="008F1452" w:rsidRDefault="008F1452" w14:paraId="0DA705DF" w14:textId="1ABB1EFF">
      <w:pPr>
        <w:ind w:left="1440"/>
      </w:pPr>
      <w:r w:rsidRPr="00E6420B">
        <w:rPr>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8F1452">
        <w:rPr>
          <w:b/>
          <w:bCs/>
          <w:noProof/>
        </w:rPr>
        <w:t>2</w:t>
      </w:r>
      <w:r w:rsidRPr="00E6420B">
        <w:rPr>
          <w:noProof/>
        </w:rPr>
        <w:t xml:space="preserve"> </w:t>
      </w:r>
      <w:r w:rsidRPr="00C74924">
        <w:rPr>
          <w:noProof/>
        </w:rPr>
        <w:t>minutes shown in our chart above</w:t>
      </w:r>
      <w:r w:rsidRPr="00E6420B">
        <w:rPr>
          <w:noProof/>
        </w:rPr>
        <w:t xml:space="preserve"> accurately shows the average burden per response for reading the instructions, gathering the facts, and answering the questions.  Based on our current management information data, the current burden information we provided is accurate</w:t>
      </w:r>
      <w:r>
        <w:rPr>
          <w:noProof/>
        </w:rPr>
        <w:t xml:space="preserve">.  </w:t>
      </w:r>
      <w:r w:rsidRPr="00E6420B">
        <w:t xml:space="preserve">The total burden for this ICR is </w:t>
      </w:r>
      <w:r w:rsidRPr="008F1452">
        <w:rPr>
          <w:b/>
        </w:rPr>
        <w:t>333</w:t>
      </w:r>
      <w:r w:rsidRPr="00E6420B">
        <w:t xml:space="preserve"> burden hours (reflecting SSA management information data), which results in an associated theoretical (not actual) opportunity cost financial burden of </w:t>
      </w:r>
      <w:r w:rsidRPr="00E6420B">
        <w:rPr>
          <w:b/>
        </w:rPr>
        <w:t>$</w:t>
      </w:r>
      <w:r>
        <w:rPr>
          <w:b/>
        </w:rPr>
        <w:t>9</w:t>
      </w:r>
      <w:r w:rsidR="00692887">
        <w:rPr>
          <w:b/>
        </w:rPr>
        <w:t>4</w:t>
      </w:r>
      <w:r>
        <w:rPr>
          <w:b/>
        </w:rPr>
        <w:t>,</w:t>
      </w:r>
      <w:r w:rsidR="00692887">
        <w:rPr>
          <w:b/>
        </w:rPr>
        <w:t>778</w:t>
      </w:r>
      <w:r w:rsidRPr="00E6420B">
        <w:t>.  SSA does not charge respondents to complete our applications</w:t>
      </w:r>
      <w:r>
        <w:t>.</w:t>
      </w:r>
    </w:p>
    <w:p w:rsidR="00225F56" w:rsidP="000E254C" w:rsidRDefault="00225F56" w14:paraId="04AAA1DD" w14:textId="77777777">
      <w:pPr>
        <w:tabs>
          <w:tab w:val="num" w:pos="1440"/>
        </w:tabs>
      </w:pPr>
    </w:p>
    <w:p w:rsidRPr="0037525C" w:rsidR="0037525C" w:rsidP="004D05CC" w:rsidRDefault="0037525C" w14:paraId="21103B5B" w14:textId="77777777">
      <w:pPr>
        <w:numPr>
          <w:ilvl w:val="1"/>
          <w:numId w:val="1"/>
        </w:numPr>
        <w:tabs>
          <w:tab w:val="clear" w:pos="720"/>
          <w:tab w:val="num" w:pos="1440"/>
        </w:tabs>
        <w:ind w:left="1440"/>
        <w:rPr>
          <w:b/>
        </w:rPr>
      </w:pPr>
      <w:r>
        <w:rPr>
          <w:b/>
        </w:rPr>
        <w:t>Annual Cost to the Respondents (Other)</w:t>
      </w:r>
    </w:p>
    <w:p w:rsidRPr="0037525C" w:rsidR="0037525C" w:rsidP="0037525C" w:rsidRDefault="0037525C" w14:paraId="06C1E203" w14:textId="77777777">
      <w:pPr>
        <w:ind w:left="1440"/>
        <w:rPr>
          <w:b/>
        </w:rPr>
      </w:pPr>
      <w:r w:rsidRPr="0037525C">
        <w:t>This collection does not impose a known cost burden on the respondents.</w:t>
      </w:r>
    </w:p>
    <w:p w:rsidRPr="0037525C" w:rsidR="0037525C" w:rsidP="0037525C" w:rsidRDefault="0037525C" w14:paraId="5708394C" w14:textId="77777777">
      <w:pPr>
        <w:ind w:left="720"/>
        <w:rPr>
          <w:b/>
        </w:rPr>
      </w:pPr>
    </w:p>
    <w:p w:rsidRPr="00012EEF" w:rsidR="00012EEF" w:rsidP="00FB4651" w:rsidRDefault="0037525C" w14:paraId="718AF8E4" w14:textId="77777777">
      <w:pPr>
        <w:numPr>
          <w:ilvl w:val="1"/>
          <w:numId w:val="1"/>
        </w:numPr>
        <w:tabs>
          <w:tab w:val="clear" w:pos="720"/>
          <w:tab w:val="num" w:pos="1440"/>
        </w:tabs>
        <w:ind w:left="1440"/>
        <w:rPr>
          <w:b/>
        </w:rPr>
      </w:pPr>
      <w:r>
        <w:rPr>
          <w:b/>
        </w:rPr>
        <w:t>Annual Cost to the Federal Government</w:t>
      </w:r>
    </w:p>
    <w:p w:rsidR="00C00F10" w:rsidP="00C00F10" w:rsidRDefault="00C00F10" w14:paraId="7B7B2C53" w14:textId="2C9B5AD0">
      <w:pPr>
        <w:ind w:left="1440"/>
        <w:rPr>
          <w:color w:val="000000"/>
        </w:rPr>
      </w:pPr>
      <w:r w:rsidRPr="0047588F">
        <w:rPr>
          <w:color w:val="000000"/>
        </w:rPr>
        <w:t>The annual cost to the Federal</w:t>
      </w:r>
      <w:r w:rsidR="000E254C">
        <w:rPr>
          <w:color w:val="000000"/>
        </w:rPr>
        <w:t xml:space="preserve"> Government is approximately </w:t>
      </w:r>
      <w:r w:rsidRPr="00850F64" w:rsidR="000E254C">
        <w:rPr>
          <w:b/>
          <w:bCs/>
          <w:color w:val="000000"/>
        </w:rPr>
        <w:t>$</w:t>
      </w:r>
      <w:r w:rsidRPr="00850F64" w:rsidR="00414026">
        <w:rPr>
          <w:b/>
          <w:bCs/>
          <w:color w:val="000000"/>
        </w:rPr>
        <w:t>27,22</w:t>
      </w:r>
      <w:r w:rsidR="00CB6057">
        <w:rPr>
          <w:b/>
          <w:bCs/>
          <w:color w:val="000000"/>
        </w:rPr>
        <w:t>4</w:t>
      </w:r>
      <w:r w:rsidRPr="0047588F">
        <w:rPr>
          <w:color w:val="000000"/>
        </w:rPr>
        <w:t>.  This estimate accounts for costs from the following areas:</w:t>
      </w:r>
    </w:p>
    <w:tbl>
      <w:tblPr>
        <w:tblStyle w:val="TableGrid"/>
        <w:tblW w:w="7830" w:type="dxa"/>
        <w:tblInd w:w="1525" w:type="dxa"/>
        <w:tblLook w:val="04A0" w:firstRow="1" w:lastRow="0" w:firstColumn="1" w:lastColumn="0" w:noHBand="0" w:noVBand="1"/>
      </w:tblPr>
      <w:tblGrid>
        <w:gridCol w:w="2340"/>
        <w:gridCol w:w="3600"/>
        <w:gridCol w:w="1890"/>
      </w:tblGrid>
      <w:tr w:rsidR="00C00F10" w:rsidTr="00626C60" w14:paraId="42D5C177" w14:textId="77777777">
        <w:trPr>
          <w:trHeight w:val="629"/>
        </w:trPr>
        <w:tc>
          <w:tcPr>
            <w:tcW w:w="2340" w:type="dxa"/>
          </w:tcPr>
          <w:p w:rsidR="00C00F10" w:rsidP="00626C60" w:rsidRDefault="00C00F10" w14:paraId="3F6062C4"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600" w:type="dxa"/>
          </w:tcPr>
          <w:p w:rsidR="00C00F10" w:rsidP="00626C60" w:rsidRDefault="00C00F10" w14:paraId="6FB9C15B"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890" w:type="dxa"/>
          </w:tcPr>
          <w:p w:rsidR="00C00F10" w:rsidP="00626C60" w:rsidRDefault="00C00F10" w14:paraId="443BBD30"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C00F10" w:rsidTr="00626C60" w14:paraId="0F491E9C" w14:textId="77777777">
        <w:tc>
          <w:tcPr>
            <w:tcW w:w="2340" w:type="dxa"/>
          </w:tcPr>
          <w:p w:rsidR="00C00F10" w:rsidP="00626C60" w:rsidRDefault="00C00F10" w14:paraId="1D6BC2B5"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600" w:type="dxa"/>
          </w:tcPr>
          <w:p w:rsidR="00C00F10" w:rsidP="00626C60" w:rsidRDefault="00C00F10" w14:paraId="4A195060"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1890" w:type="dxa"/>
          </w:tcPr>
          <w:p w:rsidR="00C00F10" w:rsidP="003A0180" w:rsidRDefault="00C00F10" w14:paraId="482D5CAC" w14:textId="4BE8DE1E">
            <w:pPr>
              <w:pStyle w:val="ListParagraph"/>
              <w:ind w:left="0"/>
              <w:jc w:val="right"/>
              <w:rPr>
                <w:rFonts w:ascii="Times New Roman" w:hAnsi="Times New Roman"/>
                <w:color w:val="000000"/>
              </w:rPr>
            </w:pPr>
            <w:r>
              <w:rPr>
                <w:rFonts w:ascii="Times New Roman" w:hAnsi="Times New Roman"/>
                <w:color w:val="000000"/>
              </w:rPr>
              <w:t>$</w:t>
            </w:r>
            <w:r w:rsidR="000E254C">
              <w:rPr>
                <w:rFonts w:ascii="Times New Roman" w:hAnsi="Times New Roman"/>
                <w:color w:val="000000"/>
              </w:rPr>
              <w:t>21</w:t>
            </w:r>
            <w:r w:rsidR="00CB6057">
              <w:rPr>
                <w:rFonts w:ascii="Times New Roman" w:hAnsi="Times New Roman"/>
                <w:color w:val="000000"/>
              </w:rPr>
              <w:t>6</w:t>
            </w:r>
          </w:p>
        </w:tc>
      </w:tr>
      <w:tr w:rsidR="00C00F10" w:rsidTr="00626C60" w14:paraId="4C1A207F" w14:textId="77777777">
        <w:tc>
          <w:tcPr>
            <w:tcW w:w="2340" w:type="dxa"/>
          </w:tcPr>
          <w:p w:rsidR="00C00F10" w:rsidP="00626C60" w:rsidRDefault="00C00F10" w14:paraId="0327FE46"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600" w:type="dxa"/>
          </w:tcPr>
          <w:p w:rsidR="00C00F10" w:rsidP="00626C60" w:rsidRDefault="00C00F10" w14:paraId="30526E5D"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1890" w:type="dxa"/>
          </w:tcPr>
          <w:p w:rsidR="00C00F10" w:rsidP="003A0180" w:rsidRDefault="00C00F10" w14:paraId="6560C2B2" w14:textId="77777777">
            <w:pPr>
              <w:pStyle w:val="ListParagraph"/>
              <w:ind w:left="0"/>
              <w:jc w:val="right"/>
              <w:rPr>
                <w:rFonts w:ascii="Times New Roman" w:hAnsi="Times New Roman"/>
                <w:color w:val="000000"/>
              </w:rPr>
            </w:pPr>
            <w:r>
              <w:rPr>
                <w:rFonts w:ascii="Times New Roman" w:hAnsi="Times New Roman"/>
                <w:color w:val="000000"/>
              </w:rPr>
              <w:t>$</w:t>
            </w:r>
            <w:r w:rsidR="00414026">
              <w:rPr>
                <w:rFonts w:ascii="Times New Roman" w:hAnsi="Times New Roman"/>
                <w:color w:val="000000"/>
              </w:rPr>
              <w:t>2,750</w:t>
            </w:r>
          </w:p>
        </w:tc>
      </w:tr>
      <w:tr w:rsidR="00C00F10" w:rsidTr="00626C60" w14:paraId="2EA9D994" w14:textId="77777777">
        <w:tc>
          <w:tcPr>
            <w:tcW w:w="2340" w:type="dxa"/>
          </w:tcPr>
          <w:p w:rsidR="00C00F10" w:rsidP="00626C60" w:rsidRDefault="00C00F10" w14:paraId="215D8F51"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600" w:type="dxa"/>
          </w:tcPr>
          <w:p w:rsidR="00C00F10" w:rsidP="00626C60" w:rsidRDefault="000E254C" w14:paraId="1D4FCE79" w14:textId="77777777">
            <w:pPr>
              <w:pStyle w:val="ListParagraph"/>
              <w:ind w:left="0"/>
              <w:rPr>
                <w:rFonts w:ascii="Times New Roman" w:hAnsi="Times New Roman"/>
                <w:color w:val="000000"/>
              </w:rPr>
            </w:pPr>
            <w:r>
              <w:rPr>
                <w:rFonts w:ascii="Times New Roman" w:hAnsi="Times New Roman"/>
                <w:color w:val="000000"/>
              </w:rPr>
              <w:t>GS-09</w:t>
            </w:r>
            <w:r w:rsidR="00C00F10">
              <w:rPr>
                <w:rFonts w:ascii="Times New Roman" w:hAnsi="Times New Roman"/>
                <w:color w:val="000000"/>
              </w:rPr>
              <w:t xml:space="preserve"> employee x # of responses x processing time</w:t>
            </w:r>
          </w:p>
        </w:tc>
        <w:tc>
          <w:tcPr>
            <w:tcW w:w="1890" w:type="dxa"/>
          </w:tcPr>
          <w:p w:rsidR="00C00F10" w:rsidP="003A0180" w:rsidRDefault="00C00F10" w14:paraId="19B0CCB4" w14:textId="77777777">
            <w:pPr>
              <w:pStyle w:val="ListParagraph"/>
              <w:ind w:left="0"/>
              <w:jc w:val="right"/>
              <w:rPr>
                <w:rFonts w:ascii="Times New Roman" w:hAnsi="Times New Roman"/>
                <w:color w:val="000000"/>
              </w:rPr>
            </w:pPr>
            <w:r>
              <w:rPr>
                <w:rFonts w:ascii="Times New Roman" w:hAnsi="Times New Roman"/>
                <w:color w:val="000000"/>
              </w:rPr>
              <w:t>$</w:t>
            </w:r>
            <w:r w:rsidR="000E254C">
              <w:rPr>
                <w:rFonts w:ascii="Times New Roman" w:hAnsi="Times New Roman"/>
                <w:color w:val="000000"/>
              </w:rPr>
              <w:t>24,258</w:t>
            </w:r>
          </w:p>
        </w:tc>
      </w:tr>
      <w:tr w:rsidR="00C00F10" w:rsidTr="00626C60" w14:paraId="299E393A" w14:textId="77777777">
        <w:tc>
          <w:tcPr>
            <w:tcW w:w="2340" w:type="dxa"/>
          </w:tcPr>
          <w:p w:rsidR="00C00F10" w:rsidP="00626C60" w:rsidRDefault="00C00F10" w14:paraId="450CC17B"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600" w:type="dxa"/>
          </w:tcPr>
          <w:p w:rsidR="00C00F10" w:rsidP="00626C60" w:rsidRDefault="00C00F10" w14:paraId="156766CD"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1890" w:type="dxa"/>
          </w:tcPr>
          <w:p w:rsidR="00C00F10" w:rsidP="003A0180" w:rsidRDefault="00C00F10" w14:paraId="3ADF7527" w14:textId="6B694FC5">
            <w:pPr>
              <w:pStyle w:val="ListParagraph"/>
              <w:ind w:left="0"/>
              <w:jc w:val="right"/>
              <w:rPr>
                <w:rFonts w:ascii="Times New Roman" w:hAnsi="Times New Roman"/>
                <w:color w:val="000000"/>
              </w:rPr>
            </w:pPr>
            <w:r>
              <w:rPr>
                <w:rFonts w:ascii="Times New Roman" w:hAnsi="Times New Roman"/>
                <w:color w:val="000000"/>
              </w:rPr>
              <w:t>$0</w:t>
            </w:r>
            <w:r w:rsidR="005D0CF7">
              <w:rPr>
                <w:rFonts w:ascii="Times New Roman" w:hAnsi="Times New Roman"/>
                <w:color w:val="000000"/>
              </w:rPr>
              <w:t>*</w:t>
            </w:r>
          </w:p>
        </w:tc>
      </w:tr>
      <w:tr w:rsidR="00C00F10" w:rsidTr="00626C60" w14:paraId="786794F4" w14:textId="77777777">
        <w:tc>
          <w:tcPr>
            <w:tcW w:w="2340" w:type="dxa"/>
          </w:tcPr>
          <w:p w:rsidR="00C00F10" w:rsidP="00626C60" w:rsidRDefault="00C00F10" w14:paraId="36063AAA"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600" w:type="dxa"/>
          </w:tcPr>
          <w:p w:rsidR="00C00F10" w:rsidP="00626C60" w:rsidRDefault="0037525C" w14:paraId="2805685F" w14:textId="77777777">
            <w:pPr>
              <w:pStyle w:val="ListParagraph"/>
              <w:ind w:left="0"/>
              <w:rPr>
                <w:rFonts w:ascii="Times New Roman" w:hAnsi="Times New Roman"/>
                <w:color w:val="000000"/>
              </w:rPr>
            </w:pPr>
            <w:r>
              <w:rPr>
                <w:rFonts w:ascii="Times New Roman" w:hAnsi="Times New Roman"/>
                <w:color w:val="000000"/>
              </w:rPr>
              <w:t>GS-9</w:t>
            </w:r>
            <w:r w:rsidR="00C00F10">
              <w:rPr>
                <w:rFonts w:ascii="Times New Roman" w:hAnsi="Times New Roman"/>
                <w:color w:val="000000"/>
              </w:rPr>
              <w:t xml:space="preserve"> employee x man hours for development, updating, maintenance</w:t>
            </w:r>
          </w:p>
        </w:tc>
        <w:tc>
          <w:tcPr>
            <w:tcW w:w="1890" w:type="dxa"/>
          </w:tcPr>
          <w:p w:rsidR="00C00F10" w:rsidP="003A0180" w:rsidRDefault="000E254C" w14:paraId="7281CB77" w14:textId="049EB05C">
            <w:pPr>
              <w:pStyle w:val="ListParagraph"/>
              <w:ind w:left="0"/>
              <w:jc w:val="right"/>
              <w:rPr>
                <w:rFonts w:ascii="Times New Roman" w:hAnsi="Times New Roman"/>
                <w:color w:val="000000"/>
              </w:rPr>
            </w:pPr>
            <w:r>
              <w:rPr>
                <w:rFonts w:ascii="Times New Roman" w:hAnsi="Times New Roman"/>
                <w:color w:val="000000"/>
              </w:rPr>
              <w:t>$0</w:t>
            </w:r>
            <w:r w:rsidR="005D0CF7">
              <w:rPr>
                <w:rFonts w:ascii="Times New Roman" w:hAnsi="Times New Roman"/>
                <w:color w:val="000000"/>
              </w:rPr>
              <w:t>*</w:t>
            </w:r>
          </w:p>
        </w:tc>
      </w:tr>
      <w:tr w:rsidR="00C00F10" w:rsidTr="00626C60" w14:paraId="6A421432" w14:textId="77777777">
        <w:tc>
          <w:tcPr>
            <w:tcW w:w="2340" w:type="dxa"/>
          </w:tcPr>
          <w:p w:rsidR="00C00F10" w:rsidP="00626C60" w:rsidRDefault="00C00F10" w14:paraId="38CA573E"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600" w:type="dxa"/>
          </w:tcPr>
          <w:p w:rsidR="00C00F10" w:rsidP="00626C60" w:rsidRDefault="00C00F10" w14:paraId="4581B014"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1890" w:type="dxa"/>
          </w:tcPr>
          <w:p w:rsidR="00C00F10" w:rsidP="003A0180" w:rsidRDefault="00C00F10" w14:paraId="1B4CBED8" w14:textId="56E06F4B">
            <w:pPr>
              <w:pStyle w:val="ListParagraph"/>
              <w:ind w:left="0"/>
              <w:jc w:val="right"/>
              <w:rPr>
                <w:rFonts w:ascii="Times New Roman" w:hAnsi="Times New Roman"/>
                <w:color w:val="000000"/>
              </w:rPr>
            </w:pPr>
            <w:r>
              <w:rPr>
                <w:rFonts w:ascii="Times New Roman" w:hAnsi="Times New Roman"/>
                <w:color w:val="000000"/>
              </w:rPr>
              <w:t>$0</w:t>
            </w:r>
            <w:r w:rsidR="005D0CF7">
              <w:rPr>
                <w:rFonts w:ascii="Times New Roman" w:hAnsi="Times New Roman"/>
                <w:color w:val="000000"/>
              </w:rPr>
              <w:t>*</w:t>
            </w:r>
          </w:p>
        </w:tc>
      </w:tr>
      <w:tr w:rsidR="00C00F10" w:rsidTr="00626C60" w14:paraId="68197201" w14:textId="77777777">
        <w:tc>
          <w:tcPr>
            <w:tcW w:w="2340" w:type="dxa"/>
          </w:tcPr>
          <w:p w:rsidR="00C00F10" w:rsidP="00626C60" w:rsidRDefault="00C00F10" w14:paraId="5AA4C6CC" w14:textId="77777777">
            <w:pPr>
              <w:pStyle w:val="ListParagraph"/>
              <w:ind w:left="0"/>
              <w:rPr>
                <w:rFonts w:ascii="Times New Roman" w:hAnsi="Times New Roman"/>
                <w:b/>
                <w:bCs/>
                <w:color w:val="000000"/>
              </w:rPr>
            </w:pPr>
            <w:r>
              <w:rPr>
                <w:rFonts w:ascii="Times New Roman" w:hAnsi="Times New Roman"/>
                <w:b/>
                <w:bCs/>
                <w:color w:val="000000"/>
              </w:rPr>
              <w:lastRenderedPageBreak/>
              <w:t>Total</w:t>
            </w:r>
          </w:p>
        </w:tc>
        <w:tc>
          <w:tcPr>
            <w:tcW w:w="3600" w:type="dxa"/>
          </w:tcPr>
          <w:p w:rsidR="00C00F10" w:rsidP="00626C60" w:rsidRDefault="00C00F10" w14:paraId="7E6B5706" w14:textId="77777777">
            <w:pPr>
              <w:pStyle w:val="ListParagraph"/>
              <w:ind w:left="0"/>
              <w:rPr>
                <w:rFonts w:ascii="Times New Roman" w:hAnsi="Times New Roman"/>
                <w:b/>
                <w:bCs/>
                <w:color w:val="000000"/>
              </w:rPr>
            </w:pPr>
          </w:p>
        </w:tc>
        <w:tc>
          <w:tcPr>
            <w:tcW w:w="1890" w:type="dxa"/>
          </w:tcPr>
          <w:p w:rsidR="00C00F10" w:rsidP="003A0180" w:rsidRDefault="00BB6530" w14:paraId="76F675FD" w14:textId="67258B3C">
            <w:pPr>
              <w:pStyle w:val="ListParagraph"/>
              <w:ind w:left="0"/>
              <w:jc w:val="right"/>
              <w:rPr>
                <w:rFonts w:ascii="Times New Roman" w:hAnsi="Times New Roman"/>
                <w:b/>
                <w:bCs/>
                <w:color w:val="000000"/>
              </w:rPr>
            </w:pPr>
            <w:r>
              <w:rPr>
                <w:rFonts w:ascii="Times New Roman" w:hAnsi="Times New Roman"/>
                <w:b/>
                <w:bCs/>
                <w:color w:val="000000"/>
              </w:rPr>
              <w:t>$</w:t>
            </w:r>
            <w:r w:rsidR="00414026">
              <w:rPr>
                <w:rFonts w:ascii="Times New Roman" w:hAnsi="Times New Roman"/>
                <w:b/>
                <w:bCs/>
                <w:color w:val="000000"/>
              </w:rPr>
              <w:t>27,22</w:t>
            </w:r>
            <w:r w:rsidR="00CB6057">
              <w:rPr>
                <w:rFonts w:ascii="Times New Roman" w:hAnsi="Times New Roman"/>
                <w:b/>
                <w:bCs/>
                <w:color w:val="000000"/>
              </w:rPr>
              <w:t>4</w:t>
            </w:r>
          </w:p>
        </w:tc>
      </w:tr>
    </w:tbl>
    <w:p w:rsidR="001E69EA" w:rsidP="00FB4651" w:rsidRDefault="00C00F10" w14:paraId="17BB59AF" w14:textId="77777777">
      <w:pPr>
        <w:ind w:left="1530"/>
        <w:rPr>
          <w:color w:val="000000"/>
        </w:rPr>
      </w:pPr>
      <w:r>
        <w:rPr>
          <w:color w:val="000000"/>
        </w:rPr>
        <w:t xml:space="preserve">* We have inserted a $0 amount for cost factors that do not apply to this collection. </w:t>
      </w:r>
    </w:p>
    <w:p w:rsidR="001E69EA" w:rsidP="00FB4651" w:rsidRDefault="001E69EA" w14:paraId="1CFD328E" w14:textId="77777777">
      <w:pPr>
        <w:ind w:left="1530"/>
        <w:rPr>
          <w:color w:val="000000"/>
        </w:rPr>
      </w:pPr>
    </w:p>
    <w:p w:rsidR="00C00F10" w:rsidP="00FB4651" w:rsidRDefault="00C00F10" w14:paraId="33377D63" w14:textId="2766A867">
      <w:pPr>
        <w:ind w:left="1530"/>
        <w:rPr>
          <w:color w:val="000000"/>
        </w:rPr>
      </w:pPr>
      <w:r>
        <w:rPr>
          <w:color w:val="000000"/>
        </w:rPr>
        <w:t>SSA is unable to break down the costs to the Federal government further than we already have. First, since we work with almost every US citizen, we often do bulk mailings, and cannot track the cost for a single mailing. </w:t>
      </w:r>
      <w:r w:rsidR="001E69EA">
        <w:rPr>
          <w:color w:val="000000"/>
        </w:rPr>
        <w:t xml:space="preserve"> </w:t>
      </w:r>
      <w:r>
        <w:rPr>
          <w:color w:val="000000"/>
        </w:rPr>
        <w:t>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001E69EA">
        <w:rPr>
          <w:color w:val="000000"/>
        </w:rPr>
        <w:t xml:space="preserve"> </w:t>
      </w:r>
      <w:r>
        <w:rPr>
          <w:color w:val="000000"/>
        </w:rPr>
        <w:t>As well, because so many employees have a hand in each aspect of our forms, we use an estimated average hourly wage, based on the wage of our average field office employee (GS-9) for these calculations. </w:t>
      </w:r>
      <w:r w:rsidR="001E69EA">
        <w:rPr>
          <w:color w:val="000000"/>
        </w:rPr>
        <w:t xml:space="preserve"> </w:t>
      </w:r>
      <w:r>
        <w:rPr>
          <w:color w:val="000000"/>
        </w:rPr>
        <w:t>However, we have calculated these costs as accurately as possible based on the information we collect for creating, updating, and maintaining these information collections.</w:t>
      </w:r>
    </w:p>
    <w:p w:rsidRPr="00012EEF" w:rsidR="00012EEF" w:rsidP="0037525C" w:rsidRDefault="00012EEF" w14:paraId="72D1FD74" w14:textId="77777777">
      <w:pPr>
        <w:rPr>
          <w:b/>
        </w:rPr>
      </w:pPr>
    </w:p>
    <w:p w:rsidRPr="00012EEF" w:rsidR="00012EEF" w:rsidP="004D05CC" w:rsidRDefault="00012EEF" w14:paraId="1DA72D90" w14:textId="77777777">
      <w:pPr>
        <w:numPr>
          <w:ilvl w:val="1"/>
          <w:numId w:val="1"/>
        </w:numPr>
        <w:tabs>
          <w:tab w:val="clear" w:pos="720"/>
          <w:tab w:val="num" w:pos="1440"/>
        </w:tabs>
        <w:ind w:left="1440"/>
        <w:rPr>
          <w:b/>
        </w:rPr>
      </w:pPr>
      <w:r w:rsidRPr="00012EEF">
        <w:rPr>
          <w:b/>
        </w:rPr>
        <w:t>Program Changes or Adjustments to the Information Collection Request</w:t>
      </w:r>
    </w:p>
    <w:p w:rsidR="00A311D0" w:rsidP="004D05CC" w:rsidRDefault="00016CEC" w14:paraId="318BA8F5" w14:textId="77777777">
      <w:pPr>
        <w:tabs>
          <w:tab w:val="num" w:pos="1440"/>
        </w:tabs>
        <w:ind w:left="1440"/>
      </w:pPr>
      <w:r>
        <w:t>There are no changes to the public reporting burden</w:t>
      </w:r>
      <w:r w:rsidR="00A311D0">
        <w:t>.</w:t>
      </w:r>
    </w:p>
    <w:p w:rsidR="00A440EB" w:rsidP="004D05CC" w:rsidRDefault="00A440EB" w14:paraId="55DD88F5" w14:textId="77777777">
      <w:pPr>
        <w:tabs>
          <w:tab w:val="num" w:pos="1440"/>
        </w:tabs>
        <w:ind w:left="1440"/>
      </w:pPr>
    </w:p>
    <w:p w:rsidRPr="00016CEC" w:rsidR="00016CEC" w:rsidP="004D05CC" w:rsidRDefault="00016CEC" w14:paraId="2EDC038F" w14:textId="77777777">
      <w:pPr>
        <w:numPr>
          <w:ilvl w:val="1"/>
          <w:numId w:val="1"/>
        </w:numPr>
        <w:tabs>
          <w:tab w:val="clear" w:pos="720"/>
          <w:tab w:val="num" w:pos="1440"/>
        </w:tabs>
        <w:ind w:left="1440"/>
        <w:rPr>
          <w:b/>
        </w:rPr>
      </w:pPr>
      <w:r>
        <w:rPr>
          <w:b/>
        </w:rPr>
        <w:t>Plans for Publication Information Collection Results</w:t>
      </w:r>
    </w:p>
    <w:p w:rsidR="005E0170" w:rsidP="004D05CC" w:rsidRDefault="00016CEC" w14:paraId="498155A6" w14:textId="77777777">
      <w:pPr>
        <w:tabs>
          <w:tab w:val="num" w:pos="1440"/>
        </w:tabs>
        <w:ind w:left="1440"/>
      </w:pPr>
      <w:r>
        <w:t>SSA will not publish t</w:t>
      </w:r>
      <w:r w:rsidR="00CE2F0A">
        <w:t>he result</w:t>
      </w:r>
      <w:r>
        <w:t>s of the information collection.</w:t>
      </w:r>
    </w:p>
    <w:p w:rsidR="005E0170" w:rsidP="004D05CC" w:rsidRDefault="005E0170" w14:paraId="01BF8CD6" w14:textId="77777777">
      <w:pPr>
        <w:tabs>
          <w:tab w:val="num" w:pos="1440"/>
        </w:tabs>
        <w:ind w:left="1440"/>
      </w:pPr>
    </w:p>
    <w:p w:rsidRPr="00016CEC" w:rsidR="00016CEC" w:rsidP="004D05CC" w:rsidRDefault="00016CEC" w14:paraId="2C8AA4D1" w14:textId="77777777">
      <w:pPr>
        <w:numPr>
          <w:ilvl w:val="1"/>
          <w:numId w:val="1"/>
        </w:numPr>
        <w:tabs>
          <w:tab w:val="clear" w:pos="720"/>
          <w:tab w:val="num" w:pos="1440"/>
        </w:tabs>
        <w:ind w:left="1440"/>
        <w:rPr>
          <w:b/>
        </w:rPr>
      </w:pPr>
      <w:r w:rsidRPr="00016CEC">
        <w:rPr>
          <w:b/>
        </w:rPr>
        <w:t>Displaying OMB Approval Expiration Date</w:t>
      </w:r>
    </w:p>
    <w:p w:rsidRPr="00982336" w:rsidR="00982336" w:rsidP="004D05CC" w:rsidRDefault="00982336" w14:paraId="5DE1ACCF" w14:textId="28574053">
      <w:pPr>
        <w:pStyle w:val="NoSpacing"/>
        <w:tabs>
          <w:tab w:val="num" w:pos="1440"/>
        </w:tabs>
        <w:ind w:left="1440"/>
        <w:rPr>
          <w:bCs/>
          <w:iCs/>
        </w:rPr>
      </w:pPr>
      <w:r w:rsidRPr="00982336">
        <w:rPr>
          <w:bCs/>
          <w:iCs/>
        </w:rPr>
        <w:t>OMB granted SSA an exemption from the requirement to print the OMB expirat</w:t>
      </w:r>
      <w:r w:rsidR="009A657C">
        <w:rPr>
          <w:bCs/>
          <w:iCs/>
        </w:rPr>
        <w:t xml:space="preserve">ion date on its program forms. </w:t>
      </w:r>
      <w:r w:rsidR="001E69EA">
        <w:rPr>
          <w:bCs/>
          <w:iCs/>
        </w:rPr>
        <w:t xml:space="preserve"> </w:t>
      </w:r>
      <w:r w:rsidRPr="00982336">
        <w:rPr>
          <w:bCs/>
          <w:iCs/>
        </w:rPr>
        <w:t>SSA produces millions of public-use forms with life cycles excee</w:t>
      </w:r>
      <w:r w:rsidR="009A657C">
        <w:rPr>
          <w:bCs/>
          <w:iCs/>
        </w:rPr>
        <w:t xml:space="preserve">ding those of an OMB approval. </w:t>
      </w:r>
      <w:r w:rsidRPr="00982336">
        <w:rPr>
          <w:bCs/>
          <w:iCs/>
        </w:rPr>
        <w:t xml:space="preserve">Since SSA does not periodically revise and reprint its public-use forms (e.g., on an annual basis), OMB granted this exemption so SSA would not have to destroy stocks of otherwise useable forms with expired OMB approval dates, avoiding Government waste. </w:t>
      </w:r>
    </w:p>
    <w:p w:rsidR="00A440EB" w:rsidP="004D05CC" w:rsidRDefault="00A440EB" w14:paraId="35AF6B99" w14:textId="77777777">
      <w:pPr>
        <w:tabs>
          <w:tab w:val="num" w:pos="1440"/>
        </w:tabs>
        <w:ind w:left="1440"/>
      </w:pPr>
    </w:p>
    <w:p w:rsidRPr="00016CEC" w:rsidR="00016CEC" w:rsidP="004D05CC" w:rsidRDefault="00016CEC" w14:paraId="25BFA3BA" w14:textId="77777777">
      <w:pPr>
        <w:numPr>
          <w:ilvl w:val="1"/>
          <w:numId w:val="1"/>
        </w:numPr>
        <w:tabs>
          <w:tab w:val="clear" w:pos="720"/>
          <w:tab w:val="num" w:pos="1440"/>
        </w:tabs>
        <w:ind w:left="1440"/>
        <w:rPr>
          <w:b/>
        </w:rPr>
      </w:pPr>
      <w:r w:rsidRPr="00016CEC">
        <w:rPr>
          <w:b/>
        </w:rPr>
        <w:t>Exceptions to Certification Statement</w:t>
      </w:r>
    </w:p>
    <w:p w:rsidR="003A0180" w:rsidP="004D05CC" w:rsidRDefault="00C860CD" w14:paraId="45B2D34A" w14:textId="77777777">
      <w:pPr>
        <w:tabs>
          <w:tab w:val="num" w:pos="1440"/>
        </w:tabs>
        <w:ind w:left="1440"/>
      </w:pPr>
      <w:r>
        <w:t>SSA is not requesting an exception to the certification requirements at</w:t>
      </w:r>
    </w:p>
    <w:p w:rsidR="0028216B" w:rsidP="004D05CC" w:rsidRDefault="00C860CD" w14:paraId="43F8D390" w14:textId="36C2B1B4">
      <w:pPr>
        <w:tabs>
          <w:tab w:val="num" w:pos="1440"/>
        </w:tabs>
        <w:ind w:left="1440"/>
      </w:pPr>
      <w:r w:rsidRPr="005E0170">
        <w:rPr>
          <w:i/>
        </w:rPr>
        <w:t>5 CFR</w:t>
      </w:r>
      <w:r w:rsidR="003A0180">
        <w:rPr>
          <w:i/>
        </w:rPr>
        <w:t xml:space="preserve"> </w:t>
      </w:r>
      <w:r w:rsidRPr="005E0170">
        <w:rPr>
          <w:i/>
        </w:rPr>
        <w:t>1320.9</w:t>
      </w:r>
      <w:r>
        <w:t xml:space="preserve"> and related provisions at </w:t>
      </w:r>
      <w:r w:rsidRPr="005E0170">
        <w:rPr>
          <w:i/>
        </w:rPr>
        <w:t>5 CFR 1320.8(b)(3)</w:t>
      </w:r>
      <w:r>
        <w:t>.</w:t>
      </w:r>
    </w:p>
    <w:p w:rsidR="00A440EB" w:rsidP="00080FC3" w:rsidRDefault="00A440EB" w14:paraId="3BD90F9B" w14:textId="77777777">
      <w:pPr>
        <w:ind w:left="540" w:hanging="1080"/>
      </w:pPr>
    </w:p>
    <w:p w:rsidRPr="005E0170" w:rsidR="00312870" w:rsidP="004D05CC" w:rsidRDefault="00611A3E" w14:paraId="1138946A" w14:textId="77777777">
      <w:pPr>
        <w:numPr>
          <w:ilvl w:val="0"/>
          <w:numId w:val="1"/>
        </w:numPr>
        <w:tabs>
          <w:tab w:val="clear" w:pos="360"/>
          <w:tab w:val="num" w:pos="720"/>
        </w:tabs>
        <w:ind w:left="720" w:hanging="540"/>
        <w:rPr>
          <w:u w:val="single"/>
        </w:rPr>
      </w:pPr>
      <w:r w:rsidRPr="005E0170">
        <w:rPr>
          <w:b/>
          <w:u w:val="single"/>
        </w:rPr>
        <w:t>Collections of Information Employing Statistical Methods</w:t>
      </w:r>
    </w:p>
    <w:p w:rsidR="005E0170" w:rsidP="004A48E8" w:rsidRDefault="005E0170" w14:paraId="42A25796" w14:textId="77777777">
      <w:pPr>
        <w:ind w:left="540"/>
      </w:pPr>
    </w:p>
    <w:p w:rsidR="00C860CD" w:rsidP="004D05CC" w:rsidRDefault="004A48E8" w14:paraId="6906EE5B" w14:textId="77777777">
      <w:pPr>
        <w:ind w:left="1440"/>
      </w:pPr>
      <w:r>
        <w:t>SSA does not use statistical methods for this information collection</w:t>
      </w:r>
      <w:r w:rsidRPr="00A440EB" w:rsidR="00611A3E">
        <w:t>.</w:t>
      </w:r>
    </w:p>
    <w:p w:rsidR="00132390" w:rsidP="00080FC3" w:rsidRDefault="00132390" w14:paraId="49F3033B" w14:textId="77777777">
      <w:pPr>
        <w:ind w:left="540" w:hanging="1080"/>
      </w:pPr>
    </w:p>
    <w:p w:rsidR="00132390" w:rsidP="00080FC3" w:rsidRDefault="00132390" w14:paraId="0ACFD709" w14:textId="77777777">
      <w:pPr>
        <w:ind w:left="540" w:hanging="1080"/>
      </w:pPr>
    </w:p>
    <w:sectPr w:rsidR="00132390" w:rsidSect="00A01E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14262" w14:textId="77777777" w:rsidR="00B35FA7" w:rsidRDefault="00B35FA7">
      <w:r>
        <w:separator/>
      </w:r>
    </w:p>
  </w:endnote>
  <w:endnote w:type="continuationSeparator" w:id="0">
    <w:p w14:paraId="77D946FF" w14:textId="77777777" w:rsidR="00B35FA7" w:rsidRDefault="00B3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509344"/>
      <w:docPartObj>
        <w:docPartGallery w:val="Page Numbers (Bottom of Page)"/>
        <w:docPartUnique/>
      </w:docPartObj>
    </w:sdtPr>
    <w:sdtEndPr>
      <w:rPr>
        <w:noProof/>
      </w:rPr>
    </w:sdtEndPr>
    <w:sdtContent>
      <w:p w14:paraId="5830C423" w14:textId="1E39931E" w:rsidR="00DC3001" w:rsidRDefault="00DC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D52F0" w14:textId="77777777" w:rsidR="00FB4651" w:rsidRDefault="00FB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3D9F" w14:textId="77777777" w:rsidR="00B35FA7" w:rsidRDefault="00B35FA7">
      <w:r>
        <w:separator/>
      </w:r>
    </w:p>
  </w:footnote>
  <w:footnote w:type="continuationSeparator" w:id="0">
    <w:p w14:paraId="441E8CEA" w14:textId="77777777" w:rsidR="00B35FA7" w:rsidRDefault="00B35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1C26"/>
    <w:multiLevelType w:val="hybridMultilevel"/>
    <w:tmpl w:val="7136AA6C"/>
    <w:lvl w:ilvl="0" w:tplc="3102900A">
      <w:start w:val="1"/>
      <w:numFmt w:val="upperLetter"/>
      <w:lvlText w:val="%1."/>
      <w:lvlJc w:val="left"/>
      <w:pPr>
        <w:tabs>
          <w:tab w:val="num" w:pos="360"/>
        </w:tabs>
        <w:ind w:left="360" w:hanging="360"/>
      </w:pPr>
      <w:rPr>
        <w:rFonts w:hint="default"/>
        <w:b/>
      </w:rPr>
    </w:lvl>
    <w:lvl w:ilvl="1" w:tplc="9A66A492">
      <w:start w:val="1"/>
      <w:numFmt w:val="decimal"/>
      <w:lvlText w:val="%2."/>
      <w:lvlJc w:val="left"/>
      <w:pPr>
        <w:tabs>
          <w:tab w:val="num" w:pos="720"/>
        </w:tabs>
        <w:ind w:left="720" w:hanging="720"/>
      </w:pPr>
      <w:rPr>
        <w:rFonts w:hint="default"/>
        <w:b w:val="0"/>
        <w:bCs/>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A51A55"/>
    <w:multiLevelType w:val="hybridMultilevel"/>
    <w:tmpl w:val="CE38F4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70360C"/>
    <w:multiLevelType w:val="multilevel"/>
    <w:tmpl w:val="90B86EC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87E225B"/>
    <w:multiLevelType w:val="multilevel"/>
    <w:tmpl w:val="665E86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C6"/>
    <w:rsid w:val="00012EEF"/>
    <w:rsid w:val="00016CEC"/>
    <w:rsid w:val="00022E84"/>
    <w:rsid w:val="0004769E"/>
    <w:rsid w:val="000643C7"/>
    <w:rsid w:val="00071922"/>
    <w:rsid w:val="00080FC3"/>
    <w:rsid w:val="000846B6"/>
    <w:rsid w:val="0008629E"/>
    <w:rsid w:val="00093570"/>
    <w:rsid w:val="000B6C0F"/>
    <w:rsid w:val="000C0F79"/>
    <w:rsid w:val="000C342C"/>
    <w:rsid w:val="000D22EE"/>
    <w:rsid w:val="000E254C"/>
    <w:rsid w:val="00111411"/>
    <w:rsid w:val="00124060"/>
    <w:rsid w:val="00127861"/>
    <w:rsid w:val="00132390"/>
    <w:rsid w:val="0016589B"/>
    <w:rsid w:val="001866D4"/>
    <w:rsid w:val="0019103F"/>
    <w:rsid w:val="001A1F86"/>
    <w:rsid w:val="001B5FC0"/>
    <w:rsid w:val="001C4D82"/>
    <w:rsid w:val="001E151B"/>
    <w:rsid w:val="001E69EA"/>
    <w:rsid w:val="00225F56"/>
    <w:rsid w:val="00252D4F"/>
    <w:rsid w:val="0028216B"/>
    <w:rsid w:val="002A02D5"/>
    <w:rsid w:val="002A34AD"/>
    <w:rsid w:val="002B0EB3"/>
    <w:rsid w:val="002B716E"/>
    <w:rsid w:val="002E031D"/>
    <w:rsid w:val="002E75F2"/>
    <w:rsid w:val="002F09A3"/>
    <w:rsid w:val="00302F57"/>
    <w:rsid w:val="00302FAA"/>
    <w:rsid w:val="00312870"/>
    <w:rsid w:val="0031391A"/>
    <w:rsid w:val="003537C4"/>
    <w:rsid w:val="0037525C"/>
    <w:rsid w:val="00386F89"/>
    <w:rsid w:val="00390A83"/>
    <w:rsid w:val="00390DAB"/>
    <w:rsid w:val="003A0180"/>
    <w:rsid w:val="003A3202"/>
    <w:rsid w:val="003B0F64"/>
    <w:rsid w:val="003B2836"/>
    <w:rsid w:val="003B48E9"/>
    <w:rsid w:val="004049F7"/>
    <w:rsid w:val="004055C7"/>
    <w:rsid w:val="00406C9E"/>
    <w:rsid w:val="00414026"/>
    <w:rsid w:val="00426F6F"/>
    <w:rsid w:val="0043349D"/>
    <w:rsid w:val="00455CEE"/>
    <w:rsid w:val="0048376A"/>
    <w:rsid w:val="004A3A8A"/>
    <w:rsid w:val="004A48E8"/>
    <w:rsid w:val="004B3838"/>
    <w:rsid w:val="004D05CC"/>
    <w:rsid w:val="004F1A62"/>
    <w:rsid w:val="004F71BA"/>
    <w:rsid w:val="005020F7"/>
    <w:rsid w:val="00511C5B"/>
    <w:rsid w:val="005445F5"/>
    <w:rsid w:val="00544819"/>
    <w:rsid w:val="0054504A"/>
    <w:rsid w:val="00545F48"/>
    <w:rsid w:val="005720E9"/>
    <w:rsid w:val="00575ECF"/>
    <w:rsid w:val="00581E72"/>
    <w:rsid w:val="00584147"/>
    <w:rsid w:val="005901A8"/>
    <w:rsid w:val="005950AF"/>
    <w:rsid w:val="00595A17"/>
    <w:rsid w:val="005A5130"/>
    <w:rsid w:val="005B01DA"/>
    <w:rsid w:val="005B7A95"/>
    <w:rsid w:val="005C2B3F"/>
    <w:rsid w:val="005D0CF7"/>
    <w:rsid w:val="005E0170"/>
    <w:rsid w:val="00611A3E"/>
    <w:rsid w:val="006134EF"/>
    <w:rsid w:val="006163FF"/>
    <w:rsid w:val="006211C4"/>
    <w:rsid w:val="00632679"/>
    <w:rsid w:val="00634B7A"/>
    <w:rsid w:val="00635E5C"/>
    <w:rsid w:val="00636396"/>
    <w:rsid w:val="00637DC5"/>
    <w:rsid w:val="00660A4A"/>
    <w:rsid w:val="00672E6F"/>
    <w:rsid w:val="00685959"/>
    <w:rsid w:val="00692887"/>
    <w:rsid w:val="006A0BD9"/>
    <w:rsid w:val="006A0C97"/>
    <w:rsid w:val="006A1D05"/>
    <w:rsid w:val="006C057F"/>
    <w:rsid w:val="006C2A7B"/>
    <w:rsid w:val="006C55B1"/>
    <w:rsid w:val="006D08F7"/>
    <w:rsid w:val="006D3D10"/>
    <w:rsid w:val="007028CE"/>
    <w:rsid w:val="007050E7"/>
    <w:rsid w:val="0074134B"/>
    <w:rsid w:val="00755507"/>
    <w:rsid w:val="00756CCA"/>
    <w:rsid w:val="00763DC6"/>
    <w:rsid w:val="00796DEE"/>
    <w:rsid w:val="007A3D27"/>
    <w:rsid w:val="007C5F49"/>
    <w:rsid w:val="007F7649"/>
    <w:rsid w:val="00820575"/>
    <w:rsid w:val="0083668C"/>
    <w:rsid w:val="00841071"/>
    <w:rsid w:val="00844FAB"/>
    <w:rsid w:val="0085075D"/>
    <w:rsid w:val="00850D28"/>
    <w:rsid w:val="00850F64"/>
    <w:rsid w:val="0085182C"/>
    <w:rsid w:val="00852C40"/>
    <w:rsid w:val="008817EB"/>
    <w:rsid w:val="008A64F8"/>
    <w:rsid w:val="008B1613"/>
    <w:rsid w:val="008B2426"/>
    <w:rsid w:val="008B64A1"/>
    <w:rsid w:val="008E00D9"/>
    <w:rsid w:val="008F1452"/>
    <w:rsid w:val="008F432C"/>
    <w:rsid w:val="0090316E"/>
    <w:rsid w:val="00907A36"/>
    <w:rsid w:val="00914D45"/>
    <w:rsid w:val="00920971"/>
    <w:rsid w:val="00923CE3"/>
    <w:rsid w:val="009316E1"/>
    <w:rsid w:val="00943979"/>
    <w:rsid w:val="009443E3"/>
    <w:rsid w:val="009561C4"/>
    <w:rsid w:val="00964600"/>
    <w:rsid w:val="00982336"/>
    <w:rsid w:val="00991D7F"/>
    <w:rsid w:val="00996804"/>
    <w:rsid w:val="009A0002"/>
    <w:rsid w:val="009A657C"/>
    <w:rsid w:val="009C1ECE"/>
    <w:rsid w:val="009F2742"/>
    <w:rsid w:val="009F3BC4"/>
    <w:rsid w:val="00A01E6C"/>
    <w:rsid w:val="00A23788"/>
    <w:rsid w:val="00A24ACB"/>
    <w:rsid w:val="00A30118"/>
    <w:rsid w:val="00A30E4C"/>
    <w:rsid w:val="00A311D0"/>
    <w:rsid w:val="00A440EB"/>
    <w:rsid w:val="00A44E82"/>
    <w:rsid w:val="00A53458"/>
    <w:rsid w:val="00A76339"/>
    <w:rsid w:val="00AC228D"/>
    <w:rsid w:val="00B01948"/>
    <w:rsid w:val="00B14BDF"/>
    <w:rsid w:val="00B17717"/>
    <w:rsid w:val="00B35FA7"/>
    <w:rsid w:val="00B556E3"/>
    <w:rsid w:val="00BA3CAC"/>
    <w:rsid w:val="00BB6530"/>
    <w:rsid w:val="00BC3D48"/>
    <w:rsid w:val="00BD005E"/>
    <w:rsid w:val="00BD44DF"/>
    <w:rsid w:val="00BE26EF"/>
    <w:rsid w:val="00BE4D3A"/>
    <w:rsid w:val="00C00F10"/>
    <w:rsid w:val="00C53AF0"/>
    <w:rsid w:val="00C70CEC"/>
    <w:rsid w:val="00C818F7"/>
    <w:rsid w:val="00C860CD"/>
    <w:rsid w:val="00C96128"/>
    <w:rsid w:val="00CA4C51"/>
    <w:rsid w:val="00CA681F"/>
    <w:rsid w:val="00CB6057"/>
    <w:rsid w:val="00CB6916"/>
    <w:rsid w:val="00CB7944"/>
    <w:rsid w:val="00CD0B05"/>
    <w:rsid w:val="00CD2232"/>
    <w:rsid w:val="00CD2B3F"/>
    <w:rsid w:val="00CE210F"/>
    <w:rsid w:val="00CE2F0A"/>
    <w:rsid w:val="00D02214"/>
    <w:rsid w:val="00D1564D"/>
    <w:rsid w:val="00D21601"/>
    <w:rsid w:val="00D27969"/>
    <w:rsid w:val="00D34D02"/>
    <w:rsid w:val="00D46AC5"/>
    <w:rsid w:val="00D879F1"/>
    <w:rsid w:val="00D937EE"/>
    <w:rsid w:val="00DA3CCC"/>
    <w:rsid w:val="00DA4A70"/>
    <w:rsid w:val="00DC3001"/>
    <w:rsid w:val="00DC78DA"/>
    <w:rsid w:val="00DF1E18"/>
    <w:rsid w:val="00E02DC8"/>
    <w:rsid w:val="00E25C24"/>
    <w:rsid w:val="00E62EC9"/>
    <w:rsid w:val="00E770BA"/>
    <w:rsid w:val="00E8676B"/>
    <w:rsid w:val="00E95619"/>
    <w:rsid w:val="00EA235F"/>
    <w:rsid w:val="00EA25B1"/>
    <w:rsid w:val="00ED4797"/>
    <w:rsid w:val="00EE02C4"/>
    <w:rsid w:val="00EE6092"/>
    <w:rsid w:val="00F00CDF"/>
    <w:rsid w:val="00F11891"/>
    <w:rsid w:val="00F25324"/>
    <w:rsid w:val="00F543BD"/>
    <w:rsid w:val="00F6110B"/>
    <w:rsid w:val="00F67009"/>
    <w:rsid w:val="00F707C7"/>
    <w:rsid w:val="00F71077"/>
    <w:rsid w:val="00F96399"/>
    <w:rsid w:val="00F966AB"/>
    <w:rsid w:val="00FA2D8E"/>
    <w:rsid w:val="00FB1906"/>
    <w:rsid w:val="00FB4588"/>
    <w:rsid w:val="00FB4651"/>
    <w:rsid w:val="00FD00DD"/>
    <w:rsid w:val="00FD20C5"/>
    <w:rsid w:val="00FE61B1"/>
    <w:rsid w:val="00FF01F5"/>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86AF9"/>
  <w15:docId w15:val="{86D97835-085E-48EC-983F-8A639371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link w:val="FooterChar"/>
    <w:uiPriority w:val="99"/>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character" w:styleId="CommentReference">
    <w:name w:val="annotation reference"/>
    <w:rsid w:val="008B2426"/>
    <w:rPr>
      <w:sz w:val="16"/>
      <w:szCs w:val="16"/>
    </w:rPr>
  </w:style>
  <w:style w:type="paragraph" w:styleId="CommentText">
    <w:name w:val="annotation text"/>
    <w:basedOn w:val="Normal"/>
    <w:link w:val="CommentTextChar"/>
    <w:rsid w:val="008B2426"/>
    <w:rPr>
      <w:sz w:val="20"/>
      <w:szCs w:val="20"/>
    </w:rPr>
  </w:style>
  <w:style w:type="character" w:customStyle="1" w:styleId="CommentTextChar">
    <w:name w:val="Comment Text Char"/>
    <w:basedOn w:val="DefaultParagraphFont"/>
    <w:link w:val="CommentText"/>
    <w:rsid w:val="008B2426"/>
  </w:style>
  <w:style w:type="paragraph" w:styleId="CommentSubject">
    <w:name w:val="annotation subject"/>
    <w:basedOn w:val="CommentText"/>
    <w:next w:val="CommentText"/>
    <w:link w:val="CommentSubjectChar"/>
    <w:rsid w:val="008B2426"/>
    <w:rPr>
      <w:b/>
      <w:bCs/>
    </w:rPr>
  </w:style>
  <w:style w:type="character" w:customStyle="1" w:styleId="CommentSubjectChar">
    <w:name w:val="Comment Subject Char"/>
    <w:link w:val="CommentSubject"/>
    <w:rsid w:val="008B2426"/>
    <w:rPr>
      <w:b/>
      <w:bCs/>
    </w:rPr>
  </w:style>
  <w:style w:type="paragraph" w:styleId="BalloonText">
    <w:name w:val="Balloon Text"/>
    <w:basedOn w:val="Normal"/>
    <w:link w:val="BalloonTextChar"/>
    <w:rsid w:val="008B2426"/>
    <w:rPr>
      <w:rFonts w:ascii="Tahoma" w:hAnsi="Tahoma" w:cs="Tahoma"/>
      <w:sz w:val="16"/>
      <w:szCs w:val="16"/>
    </w:rPr>
  </w:style>
  <w:style w:type="character" w:customStyle="1" w:styleId="BalloonTextChar">
    <w:name w:val="Balloon Text Char"/>
    <w:link w:val="BalloonText"/>
    <w:rsid w:val="008B2426"/>
    <w:rPr>
      <w:rFonts w:ascii="Tahoma" w:hAnsi="Tahoma" w:cs="Tahoma"/>
      <w:sz w:val="16"/>
      <w:szCs w:val="16"/>
    </w:rPr>
  </w:style>
  <w:style w:type="paragraph" w:styleId="ListParagraph">
    <w:name w:val="List Paragraph"/>
    <w:basedOn w:val="Normal"/>
    <w:uiPriority w:val="34"/>
    <w:qFormat/>
    <w:rsid w:val="002A34AD"/>
    <w:pPr>
      <w:widowControl w:val="0"/>
      <w:ind w:left="720"/>
      <w:contextualSpacing/>
    </w:pPr>
    <w:rPr>
      <w:rFonts w:ascii="Courier" w:hAnsi="Courier"/>
      <w:snapToGrid w:val="0"/>
    </w:rPr>
  </w:style>
  <w:style w:type="table" w:customStyle="1" w:styleId="TableGrid3">
    <w:name w:val="Table Grid3"/>
    <w:basedOn w:val="TableNormal"/>
    <w:next w:val="TableGrid"/>
    <w:uiPriority w:val="39"/>
    <w:rsid w:val="002A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46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D18C-1579-4657-9E92-5F13E5B7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1720</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Request for Reinstatement (Title II), SSA-371</vt:lpstr>
    </vt:vector>
  </TitlesOfParts>
  <Company>Social Security Administration</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Reinstatement (Title II), SSA-371</dc:title>
  <dc:creator>Tammy Farmer, OPDR, 59982</dc:creator>
  <cp:lastModifiedBy>Naomi Sipple</cp:lastModifiedBy>
  <cp:revision>3</cp:revision>
  <cp:lastPrinted>2012-10-31T17:03:00Z</cp:lastPrinted>
  <dcterms:created xsi:type="dcterms:W3CDTF">2022-01-12T19:13:00Z</dcterms:created>
  <dcterms:modified xsi:type="dcterms:W3CDTF">2022-01-12T19:23:00Z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-176647920</vt:i4>
  </property>
  <property fmtid="{D5CDD505-2E9C-101B-9397-08002B2CF9AE}" pid="4" name="_EmailSubject">
    <vt:lpwstr>OMB Expiration Notice: 0960-0742 (SSA-371)</vt:lpwstr>
  </property>
  <property fmtid="{D5CDD505-2E9C-101B-9397-08002B2CF9AE}" pid="5" name="_AuthorEmail">
    <vt:lpwstr>Kristine.Erwin-Tribbitt@ssa.gov</vt:lpwstr>
  </property>
  <property fmtid="{D5CDD505-2E9C-101B-9397-08002B2CF9AE}" pid="6" name="_AuthorEmailDisplayName">
    <vt:lpwstr>Erwin-Tribbitt, Kristine</vt:lpwstr>
  </property>
  <property fmtid="{D5CDD505-2E9C-101B-9397-08002B2CF9AE}" pid="7" name="_PreviousAdHocReviewCycleID">
    <vt:i4>-1308642107</vt:i4>
  </property>
  <property fmtid="{D5CDD505-2E9C-101B-9397-08002B2CF9AE}" pid="8" name="_ReviewingToolsShownOnce">
    <vt:lpwstr/>
  </property>
</Properties>
</file>