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139B3" w:rsidR="001D1C73" w:rsidP="001D1C73" w:rsidRDefault="001D1C73" w14:paraId="745202F0" w14:textId="77777777">
      <w:pPr>
        <w:pStyle w:val="ReportCover-Title"/>
        <w:jc w:val="center"/>
        <w:rPr>
          <w:rFonts w:ascii="Arial" w:hAnsi="Arial" w:eastAsia="Arial Unicode MS" w:cs="Arial"/>
          <w:noProof/>
          <w:color w:val="auto"/>
        </w:rPr>
      </w:pPr>
    </w:p>
    <w:p w:rsidRPr="009139B3" w:rsidR="001D1C73" w:rsidP="001D1C73" w:rsidRDefault="001D1C73" w14:paraId="0947A27C" w14:textId="77777777">
      <w:pPr>
        <w:pStyle w:val="ReportCover-Title"/>
        <w:jc w:val="center"/>
        <w:rPr>
          <w:rFonts w:ascii="Arial" w:hAnsi="Arial" w:eastAsia="Arial Unicode MS" w:cs="Arial"/>
          <w:noProof/>
          <w:color w:val="auto"/>
        </w:rPr>
      </w:pPr>
    </w:p>
    <w:p w:rsidRPr="009139B3" w:rsidR="001D1C73" w:rsidP="001D1C73" w:rsidRDefault="001D1C73" w14:paraId="1C3114BD" w14:textId="77777777">
      <w:pPr>
        <w:pStyle w:val="ReportCover-Title"/>
        <w:jc w:val="center"/>
        <w:rPr>
          <w:rFonts w:ascii="Arial" w:hAnsi="Arial" w:eastAsia="Arial Unicode MS" w:cs="Arial"/>
          <w:noProof/>
          <w:color w:val="auto"/>
        </w:rPr>
      </w:pPr>
    </w:p>
    <w:p w:rsidRPr="009139B3" w:rsidR="001D1C73" w:rsidP="001D1C73" w:rsidRDefault="001D1C73" w14:paraId="21F55826" w14:textId="77777777">
      <w:pPr>
        <w:pStyle w:val="ReportCover-Title"/>
        <w:jc w:val="center"/>
        <w:rPr>
          <w:rFonts w:ascii="Arial" w:hAnsi="Arial" w:eastAsia="Arial Unicode MS" w:cs="Arial"/>
          <w:noProof/>
          <w:color w:val="auto"/>
        </w:rPr>
      </w:pPr>
    </w:p>
    <w:p w:rsidRPr="009139B3" w:rsidR="001D1C73" w:rsidP="001D1C73" w:rsidRDefault="00FE7E9E" w14:paraId="5C437A34" w14:textId="0EF714F9">
      <w:pPr>
        <w:pStyle w:val="ReportCover-Title"/>
        <w:jc w:val="center"/>
        <w:rPr>
          <w:rFonts w:ascii="Arial" w:hAnsi="Arial" w:cs="Arial"/>
          <w:color w:val="auto"/>
        </w:rPr>
      </w:pPr>
      <w:r w:rsidRPr="00FE7E9E">
        <w:rPr>
          <w:rFonts w:ascii="Arial" w:hAnsi="Arial" w:eastAsia="Arial Unicode MS" w:cs="Arial"/>
          <w:noProof/>
          <w:color w:val="auto"/>
        </w:rPr>
        <w:t>Early Head Start–Child Care Partnerships Sustainability Study</w:t>
      </w:r>
    </w:p>
    <w:p w:rsidRPr="009139B3" w:rsidR="001D1C73" w:rsidP="001D1C73" w:rsidRDefault="001D1C73" w14:paraId="23B3F2E9" w14:textId="77777777">
      <w:pPr>
        <w:pStyle w:val="ReportCover-Title"/>
        <w:rPr>
          <w:rFonts w:ascii="Arial" w:hAnsi="Arial" w:cs="Arial"/>
          <w:color w:val="auto"/>
        </w:rPr>
      </w:pP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D1C73" w:rsidP="001D1C73" w:rsidRDefault="001D1C73" w14:paraId="195B12A0" w14:textId="07A6BA88">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 </w:t>
      </w:r>
      <w:r w:rsidRPr="00FE7E9E" w:rsidR="00FE7E9E">
        <w:rPr>
          <w:rFonts w:ascii="Arial" w:hAnsi="Arial" w:cs="Arial"/>
          <w:color w:val="auto"/>
          <w:sz w:val="32"/>
          <w:szCs w:val="32"/>
        </w:rPr>
        <w:t>0471</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1D1C73" w:rsidRDefault="00A93035" w14:paraId="060456FD" w14:textId="77777777">
      <w:pPr>
        <w:pStyle w:val="ReportCover-Date"/>
        <w:spacing w:after="0"/>
        <w:jc w:val="center"/>
        <w:rPr>
          <w:rFonts w:ascii="Arial" w:hAnsi="Arial" w:cs="Arial"/>
          <w:color w:val="auto"/>
        </w:rPr>
      </w:pP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P="001D1C73" w:rsidRDefault="000945DD" w14:paraId="25EC0787" w14:textId="601E4905">
      <w:pPr>
        <w:pStyle w:val="ReportCover-Date"/>
        <w:spacing w:after="0"/>
        <w:jc w:val="center"/>
        <w:rPr>
          <w:rFonts w:ascii="Arial" w:hAnsi="Arial" w:cs="Arial"/>
          <w:color w:val="auto"/>
        </w:rPr>
      </w:pPr>
      <w:r>
        <w:rPr>
          <w:rFonts w:ascii="Arial" w:hAnsi="Arial" w:cs="Arial"/>
          <w:color w:val="auto"/>
        </w:rPr>
        <w:t xml:space="preserve">July </w:t>
      </w:r>
      <w:r w:rsidR="009531AB">
        <w:rPr>
          <w:rFonts w:ascii="Arial" w:hAnsi="Arial" w:cs="Arial"/>
          <w:color w:val="auto"/>
        </w:rPr>
        <w:t>2021</w:t>
      </w:r>
    </w:p>
    <w:p w:rsidRPr="009139B3" w:rsidR="001D1C73" w:rsidP="001D1C73" w:rsidRDefault="001D1C73" w14:paraId="6AE99265" w14:textId="77777777">
      <w:pPr>
        <w:spacing w:after="0" w:line="240" w:lineRule="auto"/>
        <w:jc w:val="center"/>
        <w:rPr>
          <w:rFonts w:ascii="Arial" w:hAnsi="Arial" w:cs="Arial"/>
        </w:rPr>
      </w:pPr>
    </w:p>
    <w:p w:rsidRPr="009139B3" w:rsidR="001D1C73" w:rsidP="001D1C73" w:rsidRDefault="001D1C73" w14:paraId="1DA20A0E" w14:textId="77777777">
      <w:pPr>
        <w:spacing w:after="0" w:line="240" w:lineRule="auto"/>
        <w:jc w:val="center"/>
        <w:rPr>
          <w:rFonts w:ascii="Arial" w:hAnsi="Arial" w:cs="Arial"/>
        </w:rPr>
      </w:pPr>
    </w:p>
    <w:p w:rsidRPr="009139B3" w:rsidR="001D1C73" w:rsidP="001D1C73" w:rsidRDefault="001D1C73" w14:paraId="6C687B26"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1D1C73" w:rsidRDefault="001D1C73" w14:paraId="391929B8" w14:textId="77777777">
      <w:pPr>
        <w:spacing w:after="0" w:line="240" w:lineRule="auto"/>
        <w:jc w:val="center"/>
        <w:rPr>
          <w:rFonts w:ascii="Arial" w:hAnsi="Arial" w:cs="Arial"/>
        </w:rPr>
      </w:pPr>
    </w:p>
    <w:p w:rsidRPr="009139B3" w:rsidR="001D1C73" w:rsidP="001D1C73" w:rsidRDefault="001D1C73" w14:paraId="42DEC821"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Pr="009139B3" w:rsidR="001D1C73" w:rsidP="001D1C73" w:rsidRDefault="001D1C73" w14:paraId="32BC72CD" w14:textId="7B8749B5">
      <w:pPr>
        <w:spacing w:after="0" w:line="240" w:lineRule="auto"/>
        <w:jc w:val="center"/>
        <w:rPr>
          <w:rFonts w:ascii="Arial" w:hAnsi="Arial" w:cs="Arial"/>
        </w:rPr>
      </w:pPr>
      <w:r w:rsidRPr="009139B3">
        <w:rPr>
          <w:rFonts w:ascii="Arial" w:hAnsi="Arial" w:cs="Arial"/>
        </w:rPr>
        <w:t>Project Officers:</w:t>
      </w:r>
      <w:r w:rsidR="00C96B6A">
        <w:rPr>
          <w:rFonts w:ascii="Arial" w:hAnsi="Arial" w:cs="Arial"/>
        </w:rPr>
        <w:t xml:space="preserve"> </w:t>
      </w:r>
      <w:r w:rsidRPr="00C96B6A" w:rsidR="00C96B6A">
        <w:rPr>
          <w:rFonts w:ascii="Arial" w:hAnsi="Arial" w:cs="Arial"/>
        </w:rPr>
        <w:t>Christine Fortunato</w:t>
      </w:r>
      <w:r w:rsidR="00BB4873">
        <w:rPr>
          <w:rFonts w:ascii="Arial" w:hAnsi="Arial" w:cs="Arial"/>
        </w:rPr>
        <w:t xml:space="preserve">, </w:t>
      </w:r>
      <w:r w:rsidRPr="00C96B6A" w:rsidR="00C96B6A">
        <w:rPr>
          <w:rFonts w:ascii="Arial" w:hAnsi="Arial" w:cs="Arial"/>
        </w:rPr>
        <w:t>Amy Madigan</w:t>
      </w:r>
      <w:r w:rsidR="00BB4873">
        <w:rPr>
          <w:rFonts w:ascii="Arial" w:hAnsi="Arial" w:cs="Arial"/>
        </w:rPr>
        <w:t>, Sarah Blankenship, and Jenessa Malin</w:t>
      </w:r>
    </w:p>
    <w:p w:rsidRPr="009139B3" w:rsidR="001D1C73" w:rsidP="001D1C73" w:rsidRDefault="001D1C73" w14:paraId="7819D4D9" w14:textId="77777777">
      <w:pPr>
        <w:spacing w:after="0"/>
        <w:jc w:val="center"/>
        <w:rPr>
          <w:b/>
        </w:rPr>
      </w:pPr>
    </w:p>
    <w:p w:rsidRPr="009139B3" w:rsidR="001D1C73" w:rsidP="001D1C73" w:rsidRDefault="001D1C73" w14:paraId="12077675" w14:textId="77777777">
      <w:pPr>
        <w:spacing w:after="0"/>
        <w:rPr>
          <w:b/>
        </w:rPr>
      </w:pPr>
    </w:p>
    <w:p w:rsidRPr="009139B3" w:rsidR="001D1C73" w:rsidP="001D1C73" w:rsidRDefault="001D1C73" w14:paraId="43581017" w14:textId="77777777">
      <w:pPr>
        <w:spacing w:after="0" w:line="240" w:lineRule="auto"/>
        <w:jc w:val="center"/>
        <w:rPr>
          <w:b/>
          <w:sz w:val="32"/>
          <w:szCs w:val="32"/>
        </w:rPr>
      </w:pPr>
      <w:r w:rsidRPr="009139B3">
        <w:rPr>
          <w:b/>
          <w:sz w:val="32"/>
          <w:szCs w:val="32"/>
        </w:rPr>
        <w:t>Part A</w:t>
      </w:r>
    </w:p>
    <w:p w:rsidRPr="009139B3" w:rsidR="001D1C73" w:rsidP="001D1C73" w:rsidRDefault="001D1C73" w14:paraId="2E25A862" w14:textId="77777777">
      <w:pPr>
        <w:spacing w:after="0" w:line="240" w:lineRule="auto"/>
        <w:rPr>
          <w:b/>
          <w:u w:val="single"/>
        </w:rPr>
      </w:pPr>
    </w:p>
    <w:p w:rsidRPr="009139B3" w:rsidR="001D1C73" w:rsidP="001D1C73" w:rsidRDefault="001D1C73" w14:paraId="75B97ABC" w14:textId="77777777">
      <w:pPr>
        <w:spacing w:after="0" w:line="240" w:lineRule="auto"/>
        <w:rPr>
          <w:b/>
          <w:u w:val="single"/>
        </w:rPr>
      </w:pPr>
    </w:p>
    <w:p w:rsidRPr="009139B3" w:rsidR="001D1C73" w:rsidP="001D1C73" w:rsidRDefault="001D1C73" w14:paraId="67A674E8" w14:textId="77777777">
      <w:pPr>
        <w:spacing w:after="0" w:line="240" w:lineRule="auto"/>
        <w:rPr>
          <w:b/>
          <w:sz w:val="28"/>
        </w:rPr>
      </w:pPr>
      <w:r w:rsidRPr="009139B3">
        <w:rPr>
          <w:b/>
          <w:sz w:val="28"/>
          <w:u w:val="single"/>
        </w:rPr>
        <w:t>Executive Summary</w:t>
      </w:r>
    </w:p>
    <w:p w:rsidRPr="009139B3" w:rsidR="001D1C73" w:rsidP="001D1C73" w:rsidRDefault="001D1C73" w14:paraId="77DFD6CC" w14:textId="77777777">
      <w:pPr>
        <w:spacing w:after="0" w:line="240" w:lineRule="auto"/>
        <w:rPr>
          <w:b/>
        </w:rPr>
      </w:pPr>
    </w:p>
    <w:p w:rsidRPr="0024795A" w:rsidR="001D1C73" w:rsidP="0024795A" w:rsidRDefault="001D1C73" w14:paraId="61404D3D" w14:textId="078802D2">
      <w:pPr>
        <w:pStyle w:val="Bullet"/>
      </w:pPr>
      <w:r w:rsidRPr="0024795A">
        <w:rPr>
          <w:b/>
          <w:bCs w:val="0"/>
        </w:rPr>
        <w:t>Type of Request:</w:t>
      </w:r>
      <w:r w:rsidRPr="0024795A">
        <w:t xml:space="preserve"> This Information Collection Request</w:t>
      </w:r>
      <w:r w:rsidRPr="0024795A" w:rsidR="001E043C">
        <w:t xml:space="preserve"> (ICR)</w:t>
      </w:r>
      <w:r w:rsidRPr="0024795A">
        <w:t xml:space="preserve"> is for a</w:t>
      </w:r>
      <w:r w:rsidRPr="0024795A" w:rsidR="00013BC4">
        <w:t xml:space="preserve"> reinstatement with change</w:t>
      </w:r>
      <w:r w:rsidRPr="0024795A">
        <w:t>. We are requestin</w:t>
      </w:r>
      <w:r w:rsidRPr="0024795A" w:rsidR="00013BC4">
        <w:t>g three</w:t>
      </w:r>
      <w:r w:rsidRPr="0024795A">
        <w:t xml:space="preserve"> year</w:t>
      </w:r>
      <w:r w:rsidRPr="0024795A" w:rsidR="00656822">
        <w:t>s</w:t>
      </w:r>
      <w:r w:rsidRPr="0024795A">
        <w:t xml:space="preserve"> of approval. </w:t>
      </w:r>
    </w:p>
    <w:p w:rsidRPr="009139B3" w:rsidR="00FA0C8C" w:rsidP="0024795A" w:rsidRDefault="001D1C73" w14:paraId="2E048532" w14:textId="73F84C00">
      <w:pPr>
        <w:pStyle w:val="Bullet"/>
      </w:pPr>
      <w:r w:rsidRPr="009139B3">
        <w:rPr>
          <w:b/>
        </w:rPr>
        <w:t xml:space="preserve">Progress to Date: </w:t>
      </w:r>
      <w:r w:rsidR="00FA0C8C">
        <w:t>This proposed collection</w:t>
      </w:r>
      <w:r w:rsidR="00C67F4E">
        <w:t xml:space="preserve"> of information</w:t>
      </w:r>
      <w:r w:rsidR="00FA0C8C">
        <w:t xml:space="preserve"> is a follow-up </w:t>
      </w:r>
      <w:r w:rsidR="00C67F4E">
        <w:t>to</w:t>
      </w:r>
      <w:r w:rsidR="00FA0C8C">
        <w:t xml:space="preserve"> the 201</w:t>
      </w:r>
      <w:r w:rsidR="00270EEE">
        <w:t>6</w:t>
      </w:r>
      <w:r w:rsidR="00FA0C8C">
        <w:t xml:space="preserve"> National Descriptive Study (NDS) of Early Head Start</w:t>
      </w:r>
      <w:r w:rsidR="0044690D">
        <w:t>–</w:t>
      </w:r>
      <w:r w:rsidR="00FA0C8C">
        <w:t>Child Care Partnerships (OMB 0970-0471</w:t>
      </w:r>
      <w:r w:rsidR="000F4578">
        <w:t>, approved December 18, 2015</w:t>
      </w:r>
      <w:r w:rsidR="00FA0C8C">
        <w:t>) that obtained information about the Early Head Start (EHS) programs, community-based child care centers, and family child care providers participating in the federal grants supporting the implementation of Early Head Start</w:t>
      </w:r>
      <w:r w:rsidR="004F0EA8">
        <w:t>–C</w:t>
      </w:r>
      <w:r w:rsidR="00FA0C8C">
        <w:t xml:space="preserve">hild </w:t>
      </w:r>
      <w:r w:rsidR="004F0EA8">
        <w:t>C</w:t>
      </w:r>
      <w:r w:rsidR="00FA0C8C">
        <w:t xml:space="preserve">are </w:t>
      </w:r>
      <w:r w:rsidR="004F0EA8">
        <w:t>P</w:t>
      </w:r>
      <w:r w:rsidR="00FA0C8C">
        <w:t>artnerships</w:t>
      </w:r>
      <w:r w:rsidR="00750C7C">
        <w:t xml:space="preserve"> </w:t>
      </w:r>
      <w:r w:rsidR="00FA0C8C">
        <w:t>(EHS-CCPs).</w:t>
      </w:r>
      <w:r w:rsidR="005741E8">
        <w:t xml:space="preserve"> Data collection for the NDS </w:t>
      </w:r>
      <w:r w:rsidR="00AA7D56">
        <w:t xml:space="preserve">was completed in 2017. </w:t>
      </w:r>
    </w:p>
    <w:p w:rsidRPr="009139B3" w:rsidR="001D1C73" w:rsidP="0024795A" w:rsidRDefault="001D1C73" w14:paraId="0F01F21B" w14:textId="6ADB16E1">
      <w:pPr>
        <w:pStyle w:val="Bullet"/>
      </w:pPr>
      <w:r w:rsidRPr="009139B3">
        <w:rPr>
          <w:b/>
        </w:rPr>
        <w:t xml:space="preserve">Timeline: </w:t>
      </w:r>
      <w:r w:rsidR="00E05049">
        <w:t>Th</w:t>
      </w:r>
      <w:r w:rsidR="00AA7D56">
        <w:t>is proposed follow-up data collection, titled the</w:t>
      </w:r>
      <w:r w:rsidR="00E05049">
        <w:t xml:space="preserve"> Early Head Start</w:t>
      </w:r>
      <w:r w:rsidRPr="00E05049" w:rsidR="00E05049">
        <w:t>–Child Care Partnerships Sustainability Study</w:t>
      </w:r>
      <w:r w:rsidR="00AA7D56">
        <w:t>,</w:t>
      </w:r>
      <w:r w:rsidR="00E05049">
        <w:t xml:space="preserve"> </w:t>
      </w:r>
      <w:r w:rsidR="00AA7D56">
        <w:t xml:space="preserve">is planned to </w:t>
      </w:r>
      <w:r w:rsidR="00E05049">
        <w:t xml:space="preserve">take place </w:t>
      </w:r>
      <w:r w:rsidR="001548A8">
        <w:t xml:space="preserve">during the </w:t>
      </w:r>
      <w:r w:rsidR="00343E86">
        <w:t>winter</w:t>
      </w:r>
      <w:r w:rsidR="001548A8">
        <w:t xml:space="preserve"> of 202</w:t>
      </w:r>
      <w:r w:rsidR="00343E86">
        <w:t>2</w:t>
      </w:r>
      <w:r w:rsidR="001548A8">
        <w:t>.</w:t>
      </w:r>
    </w:p>
    <w:p w:rsidR="00562EAE" w:rsidP="0024795A" w:rsidRDefault="001D1C73" w14:paraId="5F564AAE" w14:textId="55D5C67F">
      <w:pPr>
        <w:pStyle w:val="Bullet"/>
      </w:pPr>
      <w:r w:rsidRPr="009139B3">
        <w:rPr>
          <w:b/>
        </w:rPr>
        <w:t xml:space="preserve">Summary of changes requested: </w:t>
      </w:r>
      <w:r w:rsidR="00012EE9">
        <w:t xml:space="preserve"> </w:t>
      </w:r>
      <w:r w:rsidRPr="000F4578" w:rsidR="00012EE9">
        <w:t xml:space="preserve">The current </w:t>
      </w:r>
      <w:r w:rsidR="001E043C">
        <w:t>ICR</w:t>
      </w:r>
      <w:r w:rsidRPr="000F4578" w:rsidR="00012EE9">
        <w:t xml:space="preserve"> will follow up with EHS programs and child care providers who participated in the NDS to understand whether and how partnerships have been sustained or dissolved, and which features of partnerships support or impede sustainability.</w:t>
      </w:r>
      <w:r w:rsidR="00562EAE">
        <w:t xml:space="preserve"> </w:t>
      </w:r>
      <w:r w:rsidRPr="00012EE9" w:rsidR="00562EAE">
        <w:t>We do not intend for this information to be used as the principal basis for public policy decisions.</w:t>
      </w:r>
    </w:p>
    <w:p w:rsidRPr="00012EE9" w:rsidR="007F1B38" w:rsidP="0024795A" w:rsidRDefault="007F1B38" w14:paraId="09F2ECE7" w14:textId="1686CAA5">
      <w:pPr>
        <w:pStyle w:val="Bullet"/>
      </w:pPr>
      <w:r>
        <w:rPr>
          <w:b/>
        </w:rPr>
        <w:t>Time Sensitivity:</w:t>
      </w:r>
      <w:r>
        <w:t xml:space="preserve"> </w:t>
      </w:r>
      <w:r w:rsidR="00DA0D73">
        <w:t>Due to possible issues with recall and potential changes in staffing</w:t>
      </w:r>
      <w:r w:rsidR="005E7DEE">
        <w:t xml:space="preserve"> between the NDS and the current study</w:t>
      </w:r>
      <w:r w:rsidR="00DA0D73">
        <w:t xml:space="preserve">, it will be ideal to begin data collection </w:t>
      </w:r>
      <w:r w:rsidR="005E7DEE">
        <w:t>as soon as possible</w:t>
      </w:r>
      <w:r w:rsidR="00DA0D73">
        <w:t>.</w:t>
      </w:r>
      <w:r w:rsidR="005E7DEE">
        <w:t xml:space="preserve"> </w:t>
      </w:r>
      <w:r w:rsidR="0004165A">
        <w:t>The</w:t>
      </w:r>
      <w:r w:rsidR="00B33BB1">
        <w:t xml:space="preserve"> study</w:t>
      </w:r>
      <w:r w:rsidR="0004165A">
        <w:t xml:space="preserve"> </w:t>
      </w:r>
      <w:r w:rsidR="00B33BB1">
        <w:t>team plans</w:t>
      </w:r>
      <w:r w:rsidR="0004165A">
        <w:t xml:space="preserve"> to begin data collection </w:t>
      </w:r>
      <w:r w:rsidR="000945DD">
        <w:t>upon receiving OMB approval</w:t>
      </w:r>
      <w:r w:rsidR="0004165A">
        <w:t xml:space="preserve">. </w:t>
      </w:r>
    </w:p>
    <w:p w:rsidRPr="000F4578" w:rsidR="00012EE9" w:rsidP="001427FC" w:rsidRDefault="00012EE9" w14:paraId="4B228885" w14:textId="0C7BEFF2">
      <w:pPr>
        <w:pStyle w:val="ListParagraph"/>
        <w:spacing w:after="0"/>
      </w:pPr>
    </w:p>
    <w:p w:rsidRPr="009139B3" w:rsidR="001D1C73" w:rsidP="001D1C73" w:rsidRDefault="001D1C73" w14:paraId="0CAA5121" w14:textId="77777777">
      <w:pPr>
        <w:spacing w:after="0" w:line="240" w:lineRule="auto"/>
        <w:rPr>
          <w:b/>
        </w:rPr>
      </w:pPr>
    </w:p>
    <w:p w:rsidRPr="009139B3" w:rsidR="001D1C73" w:rsidP="001D1C73" w:rsidRDefault="001D1C73" w14:paraId="7CF70A12" w14:textId="77777777">
      <w:pPr>
        <w:spacing w:after="0"/>
      </w:pPr>
      <w:r w:rsidRPr="009139B3">
        <w:br w:type="page"/>
      </w:r>
    </w:p>
    <w:p w:rsidRPr="0024795A" w:rsidR="001D1C73" w:rsidP="0024795A" w:rsidRDefault="001D1C73" w14:paraId="376E93B4" w14:textId="77777777">
      <w:pPr>
        <w:tabs>
          <w:tab w:val="left" w:pos="630"/>
        </w:tabs>
        <w:spacing w:after="120" w:line="240" w:lineRule="auto"/>
        <w:ind w:left="630" w:hanging="630"/>
        <w:rPr>
          <w:b/>
        </w:rPr>
      </w:pPr>
      <w:r w:rsidRPr="009139B3">
        <w:rPr>
          <w:b/>
        </w:rPr>
        <w:lastRenderedPageBreak/>
        <w:t>A1</w:t>
      </w:r>
      <w:r w:rsidRPr="0024795A">
        <w:rPr>
          <w:b/>
        </w:rPr>
        <w:t>.</w:t>
      </w:r>
      <w:r w:rsidRPr="0024795A">
        <w:rPr>
          <w:b/>
        </w:rPr>
        <w:tab/>
      </w:r>
      <w:r w:rsidRPr="009139B3">
        <w:rPr>
          <w:b/>
        </w:rPr>
        <w:t>Necessity for Collection</w:t>
      </w:r>
      <w:r w:rsidRPr="0024795A">
        <w:rPr>
          <w:b/>
        </w:rPr>
        <w:t xml:space="preserve"> </w:t>
      </w:r>
    </w:p>
    <w:p w:rsidR="001D1C73" w:rsidP="00CB10DA" w:rsidRDefault="00AA7D56" w14:paraId="282538F5" w14:textId="6C7F7EEF">
      <w:pPr>
        <w:pStyle w:val="CommentText"/>
        <w:spacing w:after="0"/>
        <w:rPr>
          <w:bCs/>
          <w:sz w:val="22"/>
          <w:szCs w:val="22"/>
        </w:rPr>
      </w:pPr>
      <w:r w:rsidRPr="0004165A">
        <w:rPr>
          <w:rFonts w:cstheme="minorHAnsi"/>
          <w:bCs/>
          <w:sz w:val="22"/>
          <w:szCs w:val="22"/>
        </w:rPr>
        <w:t>T</w:t>
      </w:r>
      <w:r w:rsidRPr="0004165A">
        <w:rPr>
          <w:rFonts w:cstheme="minorHAnsi"/>
          <w:sz w:val="22"/>
          <w:szCs w:val="22"/>
        </w:rPr>
        <w:t xml:space="preserve">he Early Head Start–Child Care Partnerships Sustainability Study </w:t>
      </w:r>
      <w:r w:rsidRPr="0004165A">
        <w:rPr>
          <w:sz w:val="22"/>
          <w:szCs w:val="22"/>
        </w:rPr>
        <w:t xml:space="preserve">(“the Sustainability Study”) </w:t>
      </w:r>
      <w:r w:rsidRPr="0004165A" w:rsidDel="00AA7D56">
        <w:rPr>
          <w:rFonts w:cstheme="minorHAnsi"/>
          <w:bCs/>
          <w:sz w:val="22"/>
          <w:szCs w:val="22"/>
        </w:rPr>
        <w:t xml:space="preserve"> </w:t>
      </w:r>
      <w:r w:rsidRPr="0004165A" w:rsidR="007C6E14">
        <w:rPr>
          <w:bCs/>
          <w:sz w:val="22"/>
          <w:szCs w:val="22"/>
        </w:rPr>
        <w:t>is a follow-up study of the 2016 National Descriptive Study (NDS) of Early Head Start</w:t>
      </w:r>
      <w:r w:rsidRPr="0004165A" w:rsidR="00403D8E">
        <w:rPr>
          <w:bCs/>
          <w:sz w:val="22"/>
          <w:szCs w:val="22"/>
        </w:rPr>
        <w:t>–</w:t>
      </w:r>
      <w:r w:rsidRPr="0004165A" w:rsidR="007C6E14">
        <w:rPr>
          <w:bCs/>
          <w:sz w:val="22"/>
          <w:szCs w:val="22"/>
        </w:rPr>
        <w:t>Child Care Partnerships (OMB 0970-0471, approved December 18, 2015) that obtained information about the Early Head Start (EHS) programs, community-based child care centers, and family child care providers participating in the federal grants supporting the implementation of Early Head Start</w:t>
      </w:r>
      <w:r w:rsidRPr="0004165A" w:rsidR="00403D8E">
        <w:rPr>
          <w:bCs/>
          <w:sz w:val="22"/>
          <w:szCs w:val="22"/>
        </w:rPr>
        <w:t>–C</w:t>
      </w:r>
      <w:r w:rsidRPr="0004165A" w:rsidR="007C6E14">
        <w:rPr>
          <w:bCs/>
          <w:sz w:val="22"/>
          <w:szCs w:val="22"/>
        </w:rPr>
        <w:t xml:space="preserve">hild </w:t>
      </w:r>
      <w:r w:rsidRPr="0004165A" w:rsidR="00403D8E">
        <w:rPr>
          <w:bCs/>
          <w:sz w:val="22"/>
          <w:szCs w:val="22"/>
        </w:rPr>
        <w:t>C</w:t>
      </w:r>
      <w:r w:rsidRPr="0004165A" w:rsidR="007C6E14">
        <w:rPr>
          <w:bCs/>
          <w:sz w:val="22"/>
          <w:szCs w:val="22"/>
        </w:rPr>
        <w:t xml:space="preserve">are </w:t>
      </w:r>
      <w:r w:rsidRPr="0004165A" w:rsidR="00403D8E">
        <w:rPr>
          <w:bCs/>
          <w:sz w:val="22"/>
          <w:szCs w:val="22"/>
        </w:rPr>
        <w:t>P</w:t>
      </w:r>
      <w:r w:rsidRPr="0004165A" w:rsidR="007C6E14">
        <w:rPr>
          <w:bCs/>
          <w:sz w:val="22"/>
          <w:szCs w:val="22"/>
        </w:rPr>
        <w:t>artnerships (EHS-CCPs).</w:t>
      </w:r>
      <w:r w:rsidRPr="0004165A" w:rsidR="00363E78">
        <w:rPr>
          <w:bCs/>
          <w:sz w:val="22"/>
          <w:szCs w:val="22"/>
        </w:rPr>
        <w:t xml:space="preserve"> </w:t>
      </w:r>
      <w:r w:rsidRPr="0004165A" w:rsidR="0004165A">
        <w:rPr>
          <w:iCs/>
          <w:sz w:val="22"/>
          <w:szCs w:val="22"/>
        </w:rPr>
        <w:t xml:space="preserve">Since the NDS, no comprehensive information is known about how the EHS-CCPs are faring or why. Filling this gap in knowledge would improve </w:t>
      </w:r>
      <w:r w:rsidRPr="0004165A" w:rsidR="0004165A">
        <w:rPr>
          <w:bCs/>
          <w:sz w:val="22"/>
          <w:szCs w:val="22"/>
        </w:rPr>
        <w:t xml:space="preserve">program planning, technical assistance, and future research. </w:t>
      </w:r>
      <w:r w:rsidRPr="0004165A" w:rsidR="00350A3C">
        <w:rPr>
          <w:bCs/>
          <w:sz w:val="22"/>
          <w:szCs w:val="22"/>
        </w:rPr>
        <w:t xml:space="preserve">This information collection </w:t>
      </w:r>
      <w:r w:rsidRPr="0004165A" w:rsidR="0004165A">
        <w:rPr>
          <w:bCs/>
          <w:sz w:val="22"/>
          <w:szCs w:val="22"/>
        </w:rPr>
        <w:t>will help provide this information by providing</w:t>
      </w:r>
      <w:r w:rsidRPr="0004165A" w:rsidR="00350A3C">
        <w:rPr>
          <w:bCs/>
          <w:sz w:val="22"/>
          <w:szCs w:val="22"/>
        </w:rPr>
        <w:t xml:space="preserve"> nationally descriptive, longitudinal data on partnerships between </w:t>
      </w:r>
      <w:r w:rsidRPr="0004165A" w:rsidR="00DF300F">
        <w:rPr>
          <w:bCs/>
          <w:sz w:val="22"/>
          <w:szCs w:val="22"/>
        </w:rPr>
        <w:t xml:space="preserve">EHS </w:t>
      </w:r>
      <w:r w:rsidRPr="0004165A" w:rsidR="00350A3C">
        <w:rPr>
          <w:bCs/>
          <w:sz w:val="22"/>
          <w:szCs w:val="22"/>
        </w:rPr>
        <w:t>programs and child care providers</w:t>
      </w:r>
      <w:r w:rsidRPr="0004165A" w:rsidR="0004165A">
        <w:rPr>
          <w:bCs/>
          <w:sz w:val="22"/>
          <w:szCs w:val="22"/>
        </w:rPr>
        <w:t>.</w:t>
      </w:r>
      <w:r w:rsidR="000945DD">
        <w:rPr>
          <w:bCs/>
          <w:sz w:val="22"/>
          <w:szCs w:val="22"/>
        </w:rPr>
        <w:t xml:space="preserve"> </w:t>
      </w:r>
      <w:r w:rsidRPr="0004165A" w:rsidR="001D7412">
        <w:rPr>
          <w:bCs/>
          <w:sz w:val="22"/>
          <w:szCs w:val="22"/>
        </w:rPr>
        <w:t>N</w:t>
      </w:r>
      <w:r w:rsidRPr="0004165A" w:rsidR="00321295">
        <w:rPr>
          <w:bCs/>
          <w:sz w:val="22"/>
          <w:szCs w:val="22"/>
        </w:rPr>
        <w:t xml:space="preserve">o legal or administrative requirements necessitate this collection. </w:t>
      </w:r>
      <w:r w:rsidRPr="0004165A" w:rsidR="002F04F4">
        <w:rPr>
          <w:bCs/>
          <w:sz w:val="22"/>
          <w:szCs w:val="22"/>
        </w:rPr>
        <w:t xml:space="preserve">The Administration for Children and Families (ACF) </w:t>
      </w:r>
      <w:r w:rsidRPr="0004165A" w:rsidR="00321295">
        <w:rPr>
          <w:bCs/>
          <w:sz w:val="22"/>
          <w:szCs w:val="22"/>
        </w:rPr>
        <w:t>is undertaking the collection at the discretion of the agency.</w:t>
      </w:r>
      <w:r w:rsidRPr="0004165A" w:rsidR="00350A3C">
        <w:rPr>
          <w:bCs/>
          <w:sz w:val="22"/>
          <w:szCs w:val="22"/>
        </w:rPr>
        <w:t xml:space="preserve"> </w:t>
      </w:r>
    </w:p>
    <w:p w:rsidRPr="0004165A" w:rsidR="00CB10DA" w:rsidP="00D66C51" w:rsidRDefault="00CB10DA" w14:paraId="2B5141BB" w14:textId="77777777">
      <w:pPr>
        <w:pStyle w:val="CommentText"/>
        <w:spacing w:after="0"/>
        <w:rPr>
          <w:bCs/>
          <w:sz w:val="22"/>
          <w:szCs w:val="22"/>
        </w:rPr>
      </w:pPr>
    </w:p>
    <w:p w:rsidRPr="009139B3" w:rsidR="001D1C73" w:rsidP="0024795A" w:rsidRDefault="001D1C73" w14:paraId="1D64CC0F" w14:textId="77777777">
      <w:pPr>
        <w:tabs>
          <w:tab w:val="left" w:pos="630"/>
        </w:tabs>
        <w:spacing w:after="120" w:line="240" w:lineRule="auto"/>
        <w:ind w:left="630" w:hanging="630"/>
        <w:rPr>
          <w:b/>
        </w:rPr>
      </w:pPr>
      <w:r w:rsidRPr="009139B3">
        <w:rPr>
          <w:b/>
        </w:rPr>
        <w:t>A2</w:t>
      </w:r>
      <w:r w:rsidRPr="0024795A">
        <w:rPr>
          <w:b/>
        </w:rPr>
        <w:t>.</w:t>
      </w:r>
      <w:r w:rsidRPr="0024795A">
        <w:rPr>
          <w:b/>
        </w:rPr>
        <w:tab/>
      </w:r>
      <w:r w:rsidRPr="009139B3">
        <w:rPr>
          <w:b/>
        </w:rPr>
        <w:t>Purpose</w:t>
      </w:r>
    </w:p>
    <w:p w:rsidRPr="009139B3" w:rsidR="001D1C73" w:rsidP="00D66C51" w:rsidRDefault="001D1C73" w14:paraId="3EF5234E" w14:textId="77777777">
      <w:pPr>
        <w:spacing w:after="60" w:line="240" w:lineRule="auto"/>
        <w:rPr>
          <w:i/>
        </w:rPr>
      </w:pPr>
      <w:r w:rsidRPr="009139B3">
        <w:rPr>
          <w:i/>
        </w:rPr>
        <w:t xml:space="preserve">Purpose and Use </w:t>
      </w:r>
    </w:p>
    <w:p w:rsidRPr="009139B3" w:rsidR="001D1C73" w:rsidP="000A34FA" w:rsidRDefault="00824148" w14:paraId="5D584897" w14:textId="0375E4C5">
      <w:pPr>
        <w:spacing w:after="240" w:line="240" w:lineRule="auto"/>
        <w:rPr>
          <w:rFonts w:cs="Calibri"/>
        </w:rPr>
      </w:pPr>
      <w:r>
        <w:t xml:space="preserve">The </w:t>
      </w:r>
      <w:r w:rsidR="00684AAF">
        <w:t xml:space="preserve">Sustainability Study </w:t>
      </w:r>
      <w:r>
        <w:t xml:space="preserve">will involve a follow-up study with respondents from the NDS to understand whether and how partnerships have been sustained and which features of partnerships support sustainability. </w:t>
      </w:r>
      <w:r w:rsidR="006973C0">
        <w:t>Through surveys with EHS  program directors</w:t>
      </w:r>
      <w:r w:rsidR="00C86786">
        <w:t xml:space="preserve"> as well as</w:t>
      </w:r>
      <w:r w:rsidR="006973C0">
        <w:t xml:space="preserve"> </w:t>
      </w:r>
      <w:r w:rsidR="00FA2D14">
        <w:t>surveys and interviews</w:t>
      </w:r>
      <w:r w:rsidR="006973C0">
        <w:t xml:space="preserve"> with </w:t>
      </w:r>
      <w:r w:rsidRPr="00641E6A" w:rsidR="00641E6A">
        <w:t xml:space="preserve">child care providers in partnerships that </w:t>
      </w:r>
      <w:r w:rsidR="00613D2D">
        <w:t>have been</w:t>
      </w:r>
      <w:r w:rsidR="00C86786">
        <w:t xml:space="preserve"> </w:t>
      </w:r>
      <w:r w:rsidRPr="00641E6A" w:rsidR="00641E6A">
        <w:t xml:space="preserve">sustained </w:t>
      </w:r>
      <w:bookmarkStart w:name="_Hlk55279158" w:id="0"/>
      <w:r w:rsidRPr="00641E6A" w:rsidR="00641E6A">
        <w:t xml:space="preserve">(herein, sustained partnership providers) </w:t>
      </w:r>
      <w:bookmarkEnd w:id="0"/>
      <w:r w:rsidRPr="00641E6A" w:rsidR="00641E6A">
        <w:t xml:space="preserve">and child care providers in partnerships that </w:t>
      </w:r>
      <w:r w:rsidR="00613D2D">
        <w:t>have been</w:t>
      </w:r>
      <w:r w:rsidR="00C86786">
        <w:t xml:space="preserve"> </w:t>
      </w:r>
      <w:r w:rsidRPr="00641E6A" w:rsidR="00641E6A">
        <w:t>dissolved (herein, dissolved partnership providers)</w:t>
      </w:r>
      <w:r w:rsidR="006973C0">
        <w:t>, the</w:t>
      </w:r>
      <w:r>
        <w:t xml:space="preserve"> study will examine how partnerships from the NDS are faring and</w:t>
      </w:r>
      <w:r w:rsidR="00613D2D">
        <w:t xml:space="preserve"> the</w:t>
      </w:r>
      <w:r>
        <w:t xml:space="preserve"> features of current partnerships (including those that are new since the NDS</w:t>
      </w:r>
      <w:r w:rsidR="0072572C">
        <w:t xml:space="preserve"> was fielded</w:t>
      </w:r>
      <w:r>
        <w:t xml:space="preserve">, and regardless of whether they are funded through an EHS-CCP grant). </w:t>
      </w:r>
      <w:r w:rsidR="007C5C3B">
        <w:t xml:space="preserve">Information collected </w:t>
      </w:r>
      <w:r w:rsidR="00752E2D">
        <w:t xml:space="preserve">can deepen understanding of barriers to sustaining the partnerships, as well as practices common among partnerships that are sustained. In turn, this can </w:t>
      </w:r>
      <w:r w:rsidR="007C5C3B">
        <w:t>i</w:t>
      </w:r>
      <w:r w:rsidRPr="007C5C3B" w:rsidR="007C5C3B">
        <w:t xml:space="preserve">nform </w:t>
      </w:r>
      <w:r w:rsidR="00752E2D">
        <w:t xml:space="preserve">policy to better support the partnerships, as well as </w:t>
      </w:r>
      <w:r w:rsidRPr="007C5C3B" w:rsidR="007C5C3B">
        <w:t>training and technical assistance for EHS programs and child care providers that partner</w:t>
      </w:r>
      <w:r w:rsidR="007C5C3B">
        <w:t xml:space="preserve"> with them.</w:t>
      </w:r>
      <w:r w:rsidR="00752E2D">
        <w:t xml:space="preserve"> </w:t>
      </w:r>
      <w:r w:rsidR="007210C2">
        <w:t>Secondary data users will be able to use archived data to explore their own research questions about this important investment in the supply and quality of infant and toddler care.</w:t>
      </w:r>
      <w:r w:rsidRPr="007C5C3B" w:rsidR="007C5C3B">
        <w:t xml:space="preserve"> </w:t>
      </w:r>
      <w:r w:rsidRPr="009139B3" w:rsidR="001D1C73">
        <w:rPr>
          <w:rFonts w:cs="Calibri"/>
        </w:rPr>
        <w:t>The information collected is meant to contribute to the body of knowledge on ACF programs. It is not intended to be used as the principal basis for a decision by a federal decision</w:t>
      </w:r>
      <w:r w:rsidR="00B36028">
        <w:rPr>
          <w:rFonts w:cs="Calibri"/>
        </w:rPr>
        <w:t xml:space="preserve"> </w:t>
      </w:r>
      <w:r w:rsidRPr="009139B3" w:rsidR="001D1C73">
        <w:rPr>
          <w:rFonts w:cs="Calibri"/>
        </w:rPr>
        <w:t xml:space="preserve">maker, and </w:t>
      </w:r>
      <w:r w:rsidR="0007337C">
        <w:rPr>
          <w:rFonts w:cs="Calibri"/>
        </w:rPr>
        <w:t xml:space="preserve">it </w:t>
      </w:r>
      <w:r w:rsidRPr="009139B3" w:rsidR="001D1C73">
        <w:rPr>
          <w:rFonts w:cs="Calibri"/>
        </w:rPr>
        <w:t xml:space="preserve">is not expected to meet the threshold of influential or highly influential scientific information.  </w:t>
      </w:r>
    </w:p>
    <w:p w:rsidRPr="009139B3" w:rsidR="001D1C73" w:rsidP="00D66C51" w:rsidRDefault="001D1C73" w14:paraId="6F0BE561" w14:textId="77777777">
      <w:pPr>
        <w:spacing w:after="60" w:line="240" w:lineRule="auto"/>
        <w:rPr>
          <w:i/>
        </w:rPr>
      </w:pPr>
      <w:r w:rsidRPr="009139B3">
        <w:rPr>
          <w:i/>
        </w:rPr>
        <w:t>Research Questions or Tests</w:t>
      </w:r>
    </w:p>
    <w:p w:rsidRPr="006973C0" w:rsidR="006973C0" w:rsidP="006973C0" w:rsidRDefault="006973C0" w14:paraId="4AFD6DBB" w14:textId="57678D52">
      <w:pPr>
        <w:spacing w:after="0" w:line="240" w:lineRule="auto"/>
      </w:pPr>
      <w:r w:rsidRPr="006973C0">
        <w:t xml:space="preserve">The study will address the following five research questions: </w:t>
      </w:r>
    </w:p>
    <w:p w:rsidRPr="006973C0" w:rsidR="006973C0" w:rsidP="006973C0" w:rsidRDefault="006973C0" w14:paraId="776786C8" w14:textId="2E00EB53">
      <w:pPr>
        <w:pStyle w:val="List"/>
        <w:rPr>
          <w:sz w:val="22"/>
          <w:szCs w:val="18"/>
        </w:rPr>
      </w:pPr>
      <w:r w:rsidRPr="006973C0">
        <w:rPr>
          <w:b/>
          <w:bCs/>
          <w:sz w:val="22"/>
          <w:szCs w:val="18"/>
        </w:rPr>
        <w:t xml:space="preserve">Are partnerships sustained? </w:t>
      </w:r>
      <w:r w:rsidRPr="006973C0">
        <w:rPr>
          <w:sz w:val="22"/>
          <w:szCs w:val="18"/>
        </w:rPr>
        <w:t>How and why do partnerships change over time</w:t>
      </w:r>
      <w:r w:rsidR="0048086B">
        <w:rPr>
          <w:sz w:val="22"/>
          <w:szCs w:val="18"/>
        </w:rPr>
        <w:t>?</w:t>
      </w:r>
      <w:r w:rsidRPr="006973C0">
        <w:rPr>
          <w:sz w:val="22"/>
          <w:szCs w:val="18"/>
        </w:rPr>
        <w:t xml:space="preserve"> </w:t>
      </w:r>
    </w:p>
    <w:p w:rsidRPr="006973C0" w:rsidR="006973C0" w:rsidP="006973C0" w:rsidRDefault="006973C0" w14:paraId="59AA9D6B" w14:textId="42782067">
      <w:pPr>
        <w:pStyle w:val="List"/>
        <w:rPr>
          <w:sz w:val="22"/>
          <w:szCs w:val="18"/>
        </w:rPr>
      </w:pPr>
      <w:r w:rsidRPr="006973C0">
        <w:rPr>
          <w:b/>
          <w:bCs/>
          <w:sz w:val="22"/>
          <w:szCs w:val="18"/>
        </w:rPr>
        <w:t xml:space="preserve">After partnerships end, what are the characteristics of the child care providers and the services they offer? </w:t>
      </w:r>
    </w:p>
    <w:p w:rsidRPr="006973C0" w:rsidR="006973C0" w:rsidP="006973C0" w:rsidRDefault="006973C0" w14:paraId="0165E7F8" w14:textId="5C50063B">
      <w:pPr>
        <w:pStyle w:val="List"/>
        <w:rPr>
          <w:sz w:val="22"/>
          <w:szCs w:val="18"/>
        </w:rPr>
      </w:pPr>
      <w:r w:rsidRPr="006973C0">
        <w:rPr>
          <w:b/>
          <w:bCs/>
          <w:sz w:val="22"/>
          <w:szCs w:val="18"/>
        </w:rPr>
        <w:t>For partnerships that are sustained, how do features of the partnerships change over time</w:t>
      </w:r>
      <w:r w:rsidR="0048086B">
        <w:rPr>
          <w:b/>
          <w:bCs/>
          <w:sz w:val="22"/>
          <w:szCs w:val="18"/>
        </w:rPr>
        <w:t>?</w:t>
      </w:r>
      <w:r w:rsidRPr="006973C0">
        <w:rPr>
          <w:sz w:val="22"/>
          <w:szCs w:val="18"/>
        </w:rPr>
        <w:t xml:space="preserve">   </w:t>
      </w:r>
    </w:p>
    <w:p w:rsidRPr="006973C0" w:rsidR="006973C0" w:rsidP="006973C0" w:rsidRDefault="006973C0" w14:paraId="3D80BD41" w14:textId="77777777">
      <w:pPr>
        <w:pStyle w:val="List"/>
        <w:rPr>
          <w:sz w:val="22"/>
          <w:szCs w:val="18"/>
        </w:rPr>
      </w:pPr>
      <w:r w:rsidRPr="006973C0">
        <w:rPr>
          <w:b/>
          <w:bCs/>
          <w:sz w:val="22"/>
          <w:szCs w:val="18"/>
        </w:rPr>
        <w:t xml:space="preserve">What factors support or impede the partnerships’ sustainability? </w:t>
      </w:r>
      <w:r w:rsidRPr="006973C0">
        <w:rPr>
          <w:sz w:val="22"/>
          <w:szCs w:val="18"/>
        </w:rPr>
        <w:t xml:space="preserve">Are there differences between sustained and dissolved partnerships in program structures/characteristics, initial partnership quality, or other features? </w:t>
      </w:r>
    </w:p>
    <w:p w:rsidRPr="00C32EA1" w:rsidR="001D1C73" w:rsidP="000A34FA" w:rsidRDefault="009D07D8" w14:paraId="366BAD8E" w14:textId="6F23FE12">
      <w:pPr>
        <w:pStyle w:val="List"/>
        <w:spacing w:after="240"/>
        <w:rPr>
          <w:b/>
          <w:bCs/>
          <w:sz w:val="22"/>
          <w:szCs w:val="18"/>
        </w:rPr>
      </w:pPr>
      <w:r>
        <w:rPr>
          <w:b/>
          <w:bCs/>
          <w:sz w:val="22"/>
          <w:szCs w:val="18"/>
        </w:rPr>
        <w:t>Do</w:t>
      </w:r>
      <w:r w:rsidRPr="006973C0" w:rsidR="006973C0">
        <w:rPr>
          <w:b/>
          <w:bCs/>
          <w:sz w:val="22"/>
          <w:szCs w:val="18"/>
        </w:rPr>
        <w:t xml:space="preserve"> </w:t>
      </w:r>
      <w:r w:rsidR="00EA69FF">
        <w:rPr>
          <w:b/>
          <w:bCs/>
          <w:sz w:val="22"/>
          <w:szCs w:val="18"/>
        </w:rPr>
        <w:t xml:space="preserve">any of </w:t>
      </w:r>
      <w:r w:rsidRPr="006973C0" w:rsidR="006973C0">
        <w:rPr>
          <w:b/>
          <w:bCs/>
          <w:sz w:val="22"/>
          <w:szCs w:val="18"/>
        </w:rPr>
        <w:t xml:space="preserve">the factors </w:t>
      </w:r>
      <w:r>
        <w:rPr>
          <w:b/>
          <w:bCs/>
          <w:sz w:val="22"/>
          <w:szCs w:val="18"/>
        </w:rPr>
        <w:t>associated with</w:t>
      </w:r>
      <w:r w:rsidRPr="006973C0" w:rsidR="006973C0">
        <w:rPr>
          <w:b/>
          <w:bCs/>
          <w:sz w:val="22"/>
          <w:szCs w:val="18"/>
        </w:rPr>
        <w:t xml:space="preserve"> Research Questions 1–4 differ </w:t>
      </w:r>
      <w:r>
        <w:rPr>
          <w:b/>
          <w:bCs/>
          <w:sz w:val="22"/>
          <w:szCs w:val="18"/>
        </w:rPr>
        <w:t>between</w:t>
      </w:r>
      <w:r w:rsidR="009D535A">
        <w:rPr>
          <w:b/>
          <w:bCs/>
          <w:sz w:val="22"/>
          <w:szCs w:val="18"/>
        </w:rPr>
        <w:t xml:space="preserve"> </w:t>
      </w:r>
      <w:r w:rsidRPr="006973C0" w:rsidR="006973C0">
        <w:rPr>
          <w:b/>
          <w:bCs/>
          <w:sz w:val="22"/>
          <w:szCs w:val="18"/>
        </w:rPr>
        <w:t>partners</w:t>
      </w:r>
      <w:r w:rsidR="00691078">
        <w:rPr>
          <w:b/>
          <w:bCs/>
          <w:sz w:val="22"/>
          <w:szCs w:val="18"/>
        </w:rPr>
        <w:t>hip</w:t>
      </w:r>
      <w:r>
        <w:rPr>
          <w:b/>
          <w:bCs/>
          <w:sz w:val="22"/>
          <w:szCs w:val="18"/>
        </w:rPr>
        <w:t>s that</w:t>
      </w:r>
      <w:r w:rsidR="009D535A">
        <w:rPr>
          <w:b/>
          <w:bCs/>
          <w:sz w:val="22"/>
          <w:szCs w:val="18"/>
        </w:rPr>
        <w:t xml:space="preserve"> </w:t>
      </w:r>
      <w:r w:rsidRPr="006973C0" w:rsidR="006973C0">
        <w:rPr>
          <w:b/>
          <w:bCs/>
          <w:sz w:val="22"/>
          <w:szCs w:val="18"/>
        </w:rPr>
        <w:t>are center</w:t>
      </w:r>
      <w:r w:rsidR="00023109">
        <w:rPr>
          <w:b/>
          <w:bCs/>
          <w:sz w:val="22"/>
          <w:szCs w:val="18"/>
        </w:rPr>
        <w:t xml:space="preserve"> </w:t>
      </w:r>
      <w:r w:rsidRPr="006973C0" w:rsidR="006973C0">
        <w:rPr>
          <w:b/>
          <w:bCs/>
          <w:sz w:val="22"/>
          <w:szCs w:val="18"/>
        </w:rPr>
        <w:t xml:space="preserve">based </w:t>
      </w:r>
      <w:r w:rsidR="00B614F6">
        <w:rPr>
          <w:b/>
          <w:bCs/>
          <w:sz w:val="22"/>
          <w:szCs w:val="18"/>
        </w:rPr>
        <w:t xml:space="preserve">child care providers </w:t>
      </w:r>
      <w:r>
        <w:rPr>
          <w:b/>
          <w:bCs/>
          <w:sz w:val="22"/>
          <w:szCs w:val="18"/>
        </w:rPr>
        <w:t>and those that are</w:t>
      </w:r>
      <w:r w:rsidRPr="006973C0" w:rsidR="006973C0">
        <w:rPr>
          <w:b/>
          <w:bCs/>
          <w:sz w:val="22"/>
          <w:szCs w:val="18"/>
        </w:rPr>
        <w:t xml:space="preserve"> family child care providers?</w:t>
      </w:r>
    </w:p>
    <w:p w:rsidR="00C32EA1" w:rsidP="00D66C51" w:rsidRDefault="001D1C73" w14:paraId="6283D2B5" w14:textId="429AE91D">
      <w:pPr>
        <w:spacing w:after="60" w:line="240" w:lineRule="auto"/>
        <w:rPr>
          <w:i/>
        </w:rPr>
      </w:pPr>
      <w:r w:rsidRPr="009139B3">
        <w:rPr>
          <w:i/>
        </w:rPr>
        <w:lastRenderedPageBreak/>
        <w:t>Study Design</w:t>
      </w:r>
    </w:p>
    <w:p w:rsidRPr="001B1451" w:rsidR="0049628C" w:rsidP="00D66C51" w:rsidRDefault="0049628C" w14:paraId="6AA04677" w14:textId="5021729C">
      <w:pPr>
        <w:spacing w:after="240" w:line="240" w:lineRule="auto"/>
        <w:rPr>
          <w:iCs/>
        </w:rPr>
      </w:pPr>
      <w:r>
        <w:rPr>
          <w:iCs/>
        </w:rPr>
        <w:t>The study team expects there are many factors</w:t>
      </w:r>
      <w:r w:rsidR="00CD4601">
        <w:rPr>
          <w:iCs/>
        </w:rPr>
        <w:t xml:space="preserve"> and features of partnerships</w:t>
      </w:r>
      <w:r>
        <w:rPr>
          <w:iCs/>
        </w:rPr>
        <w:t xml:space="preserve"> that impact the</w:t>
      </w:r>
      <w:r w:rsidR="00CD4601">
        <w:rPr>
          <w:iCs/>
        </w:rPr>
        <w:t>ir</w:t>
      </w:r>
      <w:r>
        <w:rPr>
          <w:iCs/>
        </w:rPr>
        <w:t xml:space="preserve"> sustainability. To gain an understanding of what has supported and impeded the sustainability of the partnerships, the study team proposes a longitudinal, descriptive study of the </w:t>
      </w:r>
      <w:r w:rsidR="00C9302A">
        <w:rPr>
          <w:iCs/>
        </w:rPr>
        <w:t>EHS</w:t>
      </w:r>
      <w:r w:rsidR="006538DF">
        <w:rPr>
          <w:iCs/>
        </w:rPr>
        <w:t>-</w:t>
      </w:r>
      <w:r w:rsidR="00C9302A">
        <w:rPr>
          <w:iCs/>
        </w:rPr>
        <w:t>CCP</w:t>
      </w:r>
      <w:r>
        <w:rPr>
          <w:iCs/>
        </w:rPr>
        <w:t xml:space="preserve"> </w:t>
      </w:r>
      <w:r w:rsidR="00DF2A4F">
        <w:rPr>
          <w:iCs/>
        </w:rPr>
        <w:t>program</w:t>
      </w:r>
      <w:r>
        <w:rPr>
          <w:iCs/>
        </w:rPr>
        <w:t>s</w:t>
      </w:r>
      <w:r w:rsidR="00D06C21">
        <w:rPr>
          <w:iCs/>
        </w:rPr>
        <w:t xml:space="preserve"> and providers</w:t>
      </w:r>
      <w:r w:rsidR="00153599">
        <w:rPr>
          <w:iCs/>
        </w:rPr>
        <w:t xml:space="preserve"> from the NDS</w:t>
      </w:r>
      <w:r>
        <w:rPr>
          <w:iCs/>
        </w:rPr>
        <w:t xml:space="preserve">. The study will utilize quantitative and qualitative data collection strategies: (1) quantitative data in the form of web-based surveys of </w:t>
      </w:r>
      <w:r w:rsidR="00F27710">
        <w:rPr>
          <w:iCs/>
        </w:rPr>
        <w:t>EHS</w:t>
      </w:r>
      <w:r>
        <w:rPr>
          <w:iCs/>
        </w:rPr>
        <w:t xml:space="preserve"> program directors and </w:t>
      </w:r>
      <w:r w:rsidR="00691078">
        <w:rPr>
          <w:iCs/>
        </w:rPr>
        <w:t>sustained and dissolved partnership providers</w:t>
      </w:r>
      <w:r>
        <w:rPr>
          <w:iCs/>
        </w:rPr>
        <w:t xml:space="preserve">, and (2) qualitative data in the form of semi-structured interviews to provide more in-depth information from purposively selected </w:t>
      </w:r>
      <w:r w:rsidR="00691078">
        <w:rPr>
          <w:iCs/>
        </w:rPr>
        <w:t xml:space="preserve">sustained and dissolved partnership </w:t>
      </w:r>
      <w:r w:rsidR="00450767">
        <w:rPr>
          <w:iCs/>
        </w:rPr>
        <w:t>providers</w:t>
      </w:r>
      <w:r>
        <w:rPr>
          <w:iCs/>
        </w:rPr>
        <w:t xml:space="preserve">. </w:t>
      </w:r>
    </w:p>
    <w:p w:rsidR="00C32EA1" w:rsidP="000A34FA" w:rsidRDefault="00C32EA1" w14:paraId="460877C3" w14:textId="0EE15FF8">
      <w:pPr>
        <w:spacing w:after="240" w:line="240" w:lineRule="auto"/>
      </w:pPr>
      <w:r>
        <w:t xml:space="preserve">The </w:t>
      </w:r>
      <w:r w:rsidRPr="00C32EA1">
        <w:t xml:space="preserve">Sustainability </w:t>
      </w:r>
      <w:r>
        <w:t xml:space="preserve">Study </w:t>
      </w:r>
      <w:r w:rsidRPr="00C32EA1">
        <w:t xml:space="preserve">will involve one round of data collection </w:t>
      </w:r>
      <w:r w:rsidR="001A63B4">
        <w:t>to begin following OMB approval</w:t>
      </w:r>
      <w:r w:rsidRPr="00C32EA1">
        <w:t xml:space="preserve">. Table </w:t>
      </w:r>
      <w:r w:rsidR="00FA2D14">
        <w:t>A.</w:t>
      </w:r>
      <w:r w:rsidRPr="00C32EA1">
        <w:t xml:space="preserve">1 summarizes the data collection </w:t>
      </w:r>
      <w:r w:rsidR="0049628C">
        <w:t>instruments</w:t>
      </w:r>
      <w:r w:rsidRPr="00C32EA1">
        <w:t>.</w:t>
      </w:r>
    </w:p>
    <w:p w:rsidRPr="00FA2D14" w:rsidR="001D1C73" w:rsidP="00FA2D14" w:rsidRDefault="00FA2D14" w14:paraId="3E13AED3" w14:textId="3FA546D3">
      <w:pPr>
        <w:pStyle w:val="MarkforTableTitle"/>
        <w:rPr>
          <w:rFonts w:asciiTheme="minorHAnsi" w:hAnsiTheme="minorHAnsi" w:cstheme="minorHAnsi"/>
          <w:b/>
          <w:bCs/>
          <w:szCs w:val="22"/>
        </w:rPr>
      </w:pPr>
      <w:r w:rsidRPr="00FA2D14">
        <w:rPr>
          <w:rFonts w:asciiTheme="minorHAnsi" w:hAnsiTheme="minorHAnsi" w:cstheme="minorHAnsi"/>
          <w:b/>
          <w:bCs/>
          <w:szCs w:val="22"/>
        </w:rPr>
        <w:t>Table A.1. Summary of data collection activities</w:t>
      </w:r>
    </w:p>
    <w:tbl>
      <w:tblPr>
        <w:tblStyle w:val="TableGrid"/>
        <w:tblW w:w="9805" w:type="dxa"/>
        <w:tblInd w:w="0" w:type="dxa"/>
        <w:tblLayout w:type="fixed"/>
        <w:tblLook w:val="04A0" w:firstRow="1" w:lastRow="0" w:firstColumn="1" w:lastColumn="0" w:noHBand="0" w:noVBand="1"/>
      </w:tblPr>
      <w:tblGrid>
        <w:gridCol w:w="1435"/>
        <w:gridCol w:w="1710"/>
        <w:gridCol w:w="1800"/>
        <w:gridCol w:w="2430"/>
        <w:gridCol w:w="2430"/>
      </w:tblGrid>
      <w:tr w:rsidRPr="000A34FA" w:rsidR="001A63B4" w:rsidTr="00D66C51" w14:paraId="7A08A530" w14:textId="77777777">
        <w:tc>
          <w:tcPr>
            <w:tcW w:w="1435" w:type="dxa"/>
            <w:shd w:val="clear" w:color="auto" w:fill="6C6F70"/>
          </w:tcPr>
          <w:p w:rsidRPr="000A34FA" w:rsidR="001A63B4" w:rsidP="000A34FA" w:rsidRDefault="001A63B4" w14:paraId="142698B1" w14:textId="5B4A16C2">
            <w:pPr>
              <w:spacing w:before="60" w:after="60"/>
              <w:rPr>
                <w:rFonts w:ascii="Calibri" w:hAnsi="Calibri" w:cs="Calibri"/>
                <w:b/>
                <w:bCs/>
                <w:color w:val="FFFFFF" w:themeColor="background1"/>
                <w:sz w:val="18"/>
                <w:szCs w:val="18"/>
              </w:rPr>
            </w:pPr>
            <w:r w:rsidRPr="000A34FA">
              <w:rPr>
                <w:rFonts w:ascii="Calibri" w:hAnsi="Calibri" w:cs="Calibri"/>
                <w:b/>
                <w:bCs/>
                <w:color w:val="FFFFFF" w:themeColor="background1"/>
                <w:sz w:val="18"/>
                <w:szCs w:val="18"/>
              </w:rPr>
              <w:t>Instrument</w:t>
            </w:r>
          </w:p>
        </w:tc>
        <w:tc>
          <w:tcPr>
            <w:tcW w:w="1710" w:type="dxa"/>
            <w:shd w:val="clear" w:color="auto" w:fill="6C6F70"/>
          </w:tcPr>
          <w:p w:rsidRPr="000A34FA" w:rsidR="001A63B4" w:rsidP="000A34FA" w:rsidRDefault="001A63B4" w14:paraId="27BC6F15" w14:textId="196689D0">
            <w:pPr>
              <w:spacing w:before="60" w:after="60"/>
              <w:jc w:val="center"/>
              <w:rPr>
                <w:rFonts w:ascii="Calibri" w:hAnsi="Calibri" w:cs="Calibri"/>
                <w:b/>
                <w:bCs/>
                <w:color w:val="FFFFFF" w:themeColor="background1"/>
                <w:sz w:val="18"/>
                <w:szCs w:val="18"/>
              </w:rPr>
            </w:pPr>
            <w:r w:rsidRPr="000A34FA">
              <w:rPr>
                <w:rFonts w:ascii="Calibri" w:hAnsi="Calibri" w:cs="Calibri"/>
                <w:b/>
                <w:bCs/>
                <w:color w:val="FFFFFF" w:themeColor="background1"/>
                <w:sz w:val="18"/>
                <w:szCs w:val="18"/>
              </w:rPr>
              <w:t>Respondent</w:t>
            </w:r>
          </w:p>
        </w:tc>
        <w:tc>
          <w:tcPr>
            <w:tcW w:w="1800" w:type="dxa"/>
            <w:shd w:val="clear" w:color="auto" w:fill="6C6F70"/>
          </w:tcPr>
          <w:p w:rsidRPr="000A34FA" w:rsidR="001A63B4" w:rsidP="000A34FA" w:rsidRDefault="001A63B4" w14:paraId="07A9809A" w14:textId="105B7FF1">
            <w:pPr>
              <w:spacing w:before="60" w:after="60"/>
              <w:jc w:val="center"/>
              <w:rPr>
                <w:rFonts w:ascii="Calibri" w:hAnsi="Calibri" w:cs="Calibri"/>
                <w:b/>
                <w:bCs/>
                <w:color w:val="FFFFFF" w:themeColor="background1"/>
                <w:sz w:val="18"/>
                <w:szCs w:val="18"/>
              </w:rPr>
            </w:pPr>
            <w:r>
              <w:rPr>
                <w:rFonts w:ascii="Calibri" w:hAnsi="Calibri" w:cs="Calibri"/>
                <w:b/>
                <w:bCs/>
                <w:color w:val="FFFFFF" w:themeColor="background1"/>
                <w:sz w:val="18"/>
                <w:szCs w:val="18"/>
              </w:rPr>
              <w:t>Content</w:t>
            </w:r>
          </w:p>
        </w:tc>
        <w:tc>
          <w:tcPr>
            <w:tcW w:w="2430" w:type="dxa"/>
            <w:shd w:val="clear" w:color="auto" w:fill="6C6F70"/>
          </w:tcPr>
          <w:p w:rsidRPr="000A34FA" w:rsidR="001A63B4" w:rsidP="000A34FA" w:rsidRDefault="001A63B4" w14:paraId="02FE35A0" w14:textId="4D27B722">
            <w:pPr>
              <w:spacing w:before="60" w:after="60"/>
              <w:jc w:val="center"/>
              <w:rPr>
                <w:rFonts w:ascii="Calibri" w:hAnsi="Calibri" w:cs="Calibri"/>
                <w:b/>
                <w:bCs/>
                <w:color w:val="FFFFFF" w:themeColor="background1"/>
                <w:sz w:val="18"/>
                <w:szCs w:val="18"/>
              </w:rPr>
            </w:pPr>
            <w:r w:rsidRPr="000A34FA">
              <w:rPr>
                <w:rFonts w:ascii="Calibri" w:hAnsi="Calibri" w:cs="Calibri"/>
                <w:b/>
                <w:bCs/>
                <w:color w:val="FFFFFF" w:themeColor="background1"/>
                <w:sz w:val="18"/>
                <w:szCs w:val="18"/>
              </w:rPr>
              <w:t>Purpose</w:t>
            </w:r>
          </w:p>
        </w:tc>
        <w:tc>
          <w:tcPr>
            <w:tcW w:w="2430" w:type="dxa"/>
            <w:shd w:val="clear" w:color="auto" w:fill="6C6F70"/>
          </w:tcPr>
          <w:p w:rsidRPr="000A34FA" w:rsidR="001A63B4" w:rsidP="000A34FA" w:rsidRDefault="001A63B4" w14:paraId="6D5BE90E" w14:textId="4457F255">
            <w:pPr>
              <w:spacing w:before="60" w:after="60"/>
              <w:jc w:val="center"/>
              <w:rPr>
                <w:rFonts w:ascii="Calibri" w:hAnsi="Calibri" w:cs="Calibri"/>
                <w:b/>
                <w:bCs/>
                <w:color w:val="FFFFFF" w:themeColor="background1"/>
                <w:sz w:val="18"/>
                <w:szCs w:val="18"/>
              </w:rPr>
            </w:pPr>
            <w:r w:rsidRPr="000A34FA">
              <w:rPr>
                <w:rFonts w:ascii="Calibri" w:hAnsi="Calibri" w:cs="Calibri"/>
                <w:b/>
                <w:bCs/>
                <w:color w:val="FFFFFF" w:themeColor="background1"/>
                <w:sz w:val="18"/>
                <w:szCs w:val="18"/>
              </w:rPr>
              <w:t>Mode and duration</w:t>
            </w:r>
          </w:p>
        </w:tc>
      </w:tr>
      <w:tr w:rsidRPr="000A34FA" w:rsidR="001A63B4" w:rsidTr="00D66C51" w14:paraId="501EEB21" w14:textId="77777777">
        <w:tc>
          <w:tcPr>
            <w:tcW w:w="1435" w:type="dxa"/>
          </w:tcPr>
          <w:p w:rsidRPr="000A34FA" w:rsidR="001A63B4" w:rsidP="00C401B6" w:rsidRDefault="001A63B4" w14:paraId="38B610F5" w14:textId="472B86F3">
            <w:pPr>
              <w:rPr>
                <w:rFonts w:ascii="Calibri" w:hAnsi="Calibri" w:cs="Calibri"/>
                <w:sz w:val="18"/>
                <w:szCs w:val="18"/>
              </w:rPr>
            </w:pPr>
            <w:r w:rsidRPr="000A34FA">
              <w:rPr>
                <w:rFonts w:ascii="Calibri" w:hAnsi="Calibri" w:cs="Calibri"/>
                <w:sz w:val="18"/>
                <w:szCs w:val="18"/>
              </w:rPr>
              <w:t>Early Head Start Program Director Survey</w:t>
            </w:r>
          </w:p>
        </w:tc>
        <w:tc>
          <w:tcPr>
            <w:tcW w:w="1710" w:type="dxa"/>
          </w:tcPr>
          <w:p w:rsidRPr="000A34FA" w:rsidR="001A63B4" w:rsidP="00C401B6" w:rsidRDefault="001A63B4" w14:paraId="3BB55DD9" w14:textId="746F2DC2">
            <w:pPr>
              <w:rPr>
                <w:rFonts w:ascii="Calibri" w:hAnsi="Calibri" w:cs="Calibri"/>
                <w:sz w:val="18"/>
                <w:szCs w:val="18"/>
              </w:rPr>
            </w:pPr>
            <w:r w:rsidRPr="000A34FA">
              <w:rPr>
                <w:rFonts w:ascii="Calibri" w:hAnsi="Calibri" w:cs="Calibri"/>
                <w:sz w:val="18"/>
                <w:szCs w:val="18"/>
              </w:rPr>
              <w:t>Directors of EHS programs receiving EHS-CCP grants awarded in 2015</w:t>
            </w:r>
          </w:p>
        </w:tc>
        <w:tc>
          <w:tcPr>
            <w:tcW w:w="1800" w:type="dxa"/>
          </w:tcPr>
          <w:p w:rsidRPr="000A34FA" w:rsidR="001A63B4" w:rsidP="007C00E5" w:rsidRDefault="001A63B4" w14:paraId="6EFC633D" w14:textId="11B97E5F">
            <w:pPr>
              <w:rPr>
                <w:rFonts w:ascii="Calibri" w:hAnsi="Calibri" w:cs="Calibri"/>
                <w:sz w:val="18"/>
                <w:szCs w:val="18"/>
              </w:rPr>
            </w:pPr>
            <w:r w:rsidRPr="000A34FA">
              <w:rPr>
                <w:rFonts w:ascii="Calibri" w:hAnsi="Calibri" w:cs="Calibri"/>
                <w:sz w:val="18"/>
                <w:szCs w:val="18"/>
              </w:rPr>
              <w:t>We will ask program directors about their agency; the status of partnerships that were active in 2016 (at the time of the NDS) as well as any partnerships formed since this period; factors that contributed to the sustainment or dissolution of partnerships; and the activities programs and providers engage in to deliver services to children and families.</w:t>
            </w:r>
          </w:p>
        </w:tc>
        <w:tc>
          <w:tcPr>
            <w:tcW w:w="2430" w:type="dxa"/>
          </w:tcPr>
          <w:p w:rsidR="001A63B4" w:rsidP="007C00E5" w:rsidRDefault="00896B28" w14:paraId="624B51D9" w14:textId="3883C7E8">
            <w:pPr>
              <w:rPr>
                <w:rFonts w:ascii="Calibri" w:hAnsi="Calibri" w:cs="Calibri"/>
                <w:sz w:val="18"/>
                <w:szCs w:val="18"/>
              </w:rPr>
            </w:pPr>
            <w:r>
              <w:rPr>
                <w:rFonts w:ascii="Calibri" w:hAnsi="Calibri" w:cs="Calibri"/>
                <w:sz w:val="18"/>
                <w:szCs w:val="18"/>
              </w:rPr>
              <w:t xml:space="preserve"> </w:t>
            </w:r>
          </w:p>
          <w:p w:rsidRPr="000A34FA" w:rsidR="00896B28" w:rsidP="007C00E5" w:rsidRDefault="00896B28" w14:paraId="323AC8B8" w14:textId="49FCCB69">
            <w:pPr>
              <w:rPr>
                <w:rFonts w:ascii="Calibri" w:hAnsi="Calibri" w:cs="Calibri"/>
                <w:sz w:val="18"/>
                <w:szCs w:val="18"/>
              </w:rPr>
            </w:pPr>
            <w:r>
              <w:rPr>
                <w:rFonts w:ascii="Calibri" w:hAnsi="Calibri" w:cs="Calibri"/>
                <w:sz w:val="18"/>
                <w:szCs w:val="18"/>
              </w:rPr>
              <w:t>To learn about the status of partner</w:t>
            </w:r>
            <w:r w:rsidR="00BA24A1">
              <w:rPr>
                <w:rFonts w:ascii="Calibri" w:hAnsi="Calibri" w:cs="Calibri"/>
                <w:sz w:val="18"/>
                <w:szCs w:val="18"/>
              </w:rPr>
              <w:t xml:space="preserve">ships, the activities programs and providers engaged in as part of those partnerships, and the factors that may contribute to their sustainability or dissolution. </w:t>
            </w:r>
            <w:r w:rsidR="00856EFF">
              <w:rPr>
                <w:rFonts w:ascii="Calibri" w:hAnsi="Calibri" w:cs="Calibri"/>
                <w:sz w:val="18"/>
                <w:szCs w:val="18"/>
              </w:rPr>
              <w:t>The survey will also help identify respondents for the semi-structured interviews.</w:t>
            </w:r>
          </w:p>
        </w:tc>
        <w:tc>
          <w:tcPr>
            <w:tcW w:w="2430" w:type="dxa"/>
          </w:tcPr>
          <w:p w:rsidRPr="000A34FA" w:rsidR="001A63B4" w:rsidP="00C401B6" w:rsidRDefault="001A63B4" w14:paraId="1432F72A" w14:textId="14663526">
            <w:pPr>
              <w:rPr>
                <w:rFonts w:ascii="Calibri" w:hAnsi="Calibri" w:cs="Calibri"/>
                <w:sz w:val="18"/>
                <w:szCs w:val="18"/>
              </w:rPr>
            </w:pPr>
            <w:r w:rsidRPr="000A34FA">
              <w:rPr>
                <w:rFonts w:ascii="Calibri" w:hAnsi="Calibri" w:cs="Calibri"/>
                <w:b/>
                <w:sz w:val="18"/>
                <w:szCs w:val="18"/>
              </w:rPr>
              <w:t>Mode</w:t>
            </w:r>
            <w:r w:rsidRPr="000A34FA">
              <w:rPr>
                <w:rFonts w:ascii="Calibri" w:hAnsi="Calibri" w:cs="Calibri"/>
                <w:sz w:val="18"/>
                <w:szCs w:val="18"/>
              </w:rPr>
              <w:t>: web-based with telephone option</w:t>
            </w:r>
          </w:p>
          <w:p w:rsidRPr="000A34FA" w:rsidR="001A63B4" w:rsidP="00C401B6" w:rsidRDefault="001A63B4" w14:paraId="0240C234" w14:textId="77777777">
            <w:pPr>
              <w:rPr>
                <w:rFonts w:ascii="Calibri" w:hAnsi="Calibri" w:cs="Calibri"/>
                <w:sz w:val="18"/>
                <w:szCs w:val="18"/>
              </w:rPr>
            </w:pPr>
          </w:p>
          <w:p w:rsidRPr="000A34FA" w:rsidR="001A63B4" w:rsidP="00C401B6" w:rsidRDefault="001A63B4" w14:paraId="0967045C" w14:textId="7331F9E4">
            <w:pPr>
              <w:rPr>
                <w:rFonts w:ascii="Calibri" w:hAnsi="Calibri" w:cs="Calibri"/>
                <w:sz w:val="18"/>
                <w:szCs w:val="18"/>
              </w:rPr>
            </w:pPr>
            <w:r w:rsidRPr="000A34FA">
              <w:rPr>
                <w:rFonts w:ascii="Calibri" w:hAnsi="Calibri" w:cs="Calibri"/>
                <w:b/>
                <w:sz w:val="18"/>
                <w:szCs w:val="18"/>
              </w:rPr>
              <w:t>Duration</w:t>
            </w:r>
            <w:r w:rsidRPr="000A34FA">
              <w:rPr>
                <w:rFonts w:ascii="Calibri" w:hAnsi="Calibri" w:cs="Calibri"/>
                <w:sz w:val="18"/>
                <w:szCs w:val="18"/>
              </w:rPr>
              <w:t>: 35 minutes</w:t>
            </w:r>
          </w:p>
        </w:tc>
      </w:tr>
      <w:tr w:rsidRPr="000A34FA" w:rsidR="001A63B4" w:rsidTr="00D66C51" w14:paraId="148EF023" w14:textId="77777777">
        <w:tc>
          <w:tcPr>
            <w:tcW w:w="1435" w:type="dxa"/>
          </w:tcPr>
          <w:p w:rsidRPr="000A34FA" w:rsidR="001A63B4" w:rsidP="00C401B6" w:rsidRDefault="001A63B4" w14:paraId="4D2F3A2E" w14:textId="51C3F740">
            <w:pPr>
              <w:rPr>
                <w:rFonts w:ascii="Calibri" w:hAnsi="Calibri" w:cs="Calibri"/>
                <w:sz w:val="18"/>
                <w:szCs w:val="18"/>
              </w:rPr>
            </w:pPr>
            <w:r w:rsidRPr="000A34FA">
              <w:rPr>
                <w:rFonts w:ascii="Calibri" w:hAnsi="Calibri" w:cs="Calibri"/>
                <w:sz w:val="18"/>
                <w:szCs w:val="18"/>
              </w:rPr>
              <w:t>Sustained Partnership Provider Survey</w:t>
            </w:r>
          </w:p>
        </w:tc>
        <w:tc>
          <w:tcPr>
            <w:tcW w:w="1710" w:type="dxa"/>
          </w:tcPr>
          <w:p w:rsidRPr="000A34FA" w:rsidR="001A63B4" w:rsidP="00C401B6" w:rsidRDefault="001A63B4" w14:paraId="27D7C22A" w14:textId="5F4C8FC5">
            <w:pPr>
              <w:rPr>
                <w:rFonts w:ascii="Calibri" w:hAnsi="Calibri" w:cs="Calibri"/>
                <w:sz w:val="18"/>
                <w:szCs w:val="18"/>
              </w:rPr>
            </w:pPr>
            <w:r w:rsidRPr="000A34FA">
              <w:rPr>
                <w:rFonts w:ascii="Calibri" w:hAnsi="Calibri" w:cs="Calibri"/>
                <w:sz w:val="18"/>
                <w:szCs w:val="18"/>
              </w:rPr>
              <w:t>Directors/ managers of providers who were selected to participate in the NDS and are still partnering with the program</w:t>
            </w:r>
          </w:p>
        </w:tc>
        <w:tc>
          <w:tcPr>
            <w:tcW w:w="1800" w:type="dxa"/>
          </w:tcPr>
          <w:p w:rsidR="001A63B4" w:rsidP="00C401B6" w:rsidRDefault="001A63B4" w14:paraId="06A48B2A" w14:textId="77777777">
            <w:pPr>
              <w:rPr>
                <w:rFonts w:ascii="Calibri" w:hAnsi="Calibri" w:cs="Calibri"/>
                <w:sz w:val="18"/>
                <w:szCs w:val="18"/>
              </w:rPr>
            </w:pPr>
            <w:r w:rsidRPr="000A34FA">
              <w:rPr>
                <w:rFonts w:ascii="Calibri" w:hAnsi="Calibri" w:cs="Calibri"/>
                <w:sz w:val="18"/>
                <w:szCs w:val="18"/>
              </w:rPr>
              <w:t>We will ask directors/managers about their child care business; the factors that have helped sustain their partnership; the funding they receive through the partnership; and partnership activities, including those to support the delivery and quality of services provided to children and families.</w:t>
            </w:r>
          </w:p>
          <w:p w:rsidRPr="000A34FA" w:rsidR="00D85249" w:rsidP="00C401B6" w:rsidRDefault="00D85249" w14:paraId="108AFE4C" w14:textId="55A06DE3">
            <w:pPr>
              <w:rPr>
                <w:rFonts w:ascii="Calibri" w:hAnsi="Calibri" w:cs="Calibri"/>
                <w:sz w:val="18"/>
                <w:szCs w:val="18"/>
              </w:rPr>
            </w:pPr>
          </w:p>
        </w:tc>
        <w:tc>
          <w:tcPr>
            <w:tcW w:w="2430" w:type="dxa"/>
          </w:tcPr>
          <w:p w:rsidR="001A63B4" w:rsidP="00C401B6" w:rsidRDefault="001A63B4" w14:paraId="767966DB" w14:textId="4DA86314">
            <w:pPr>
              <w:rPr>
                <w:rFonts w:ascii="Calibri" w:hAnsi="Calibri" w:cs="Calibri"/>
                <w:sz w:val="18"/>
                <w:szCs w:val="18"/>
              </w:rPr>
            </w:pPr>
          </w:p>
          <w:p w:rsidRPr="000A34FA" w:rsidR="00BA24A1" w:rsidP="00C401B6" w:rsidRDefault="00BA24A1" w14:paraId="7D736580" w14:textId="70A68A9E">
            <w:pPr>
              <w:rPr>
                <w:rFonts w:ascii="Calibri" w:hAnsi="Calibri" w:cs="Calibri"/>
                <w:sz w:val="18"/>
                <w:szCs w:val="18"/>
              </w:rPr>
            </w:pPr>
            <w:r>
              <w:rPr>
                <w:rFonts w:ascii="Calibri" w:hAnsi="Calibri" w:cs="Calibri"/>
                <w:sz w:val="18"/>
                <w:szCs w:val="18"/>
              </w:rPr>
              <w:t>To learn about the activities programs and providers engage in as part of the partnerships, and the factors that may contribute to</w:t>
            </w:r>
            <w:r w:rsidR="00856EFF">
              <w:rPr>
                <w:rFonts w:ascii="Calibri" w:hAnsi="Calibri" w:cs="Calibri"/>
                <w:sz w:val="18"/>
                <w:szCs w:val="18"/>
              </w:rPr>
              <w:t xml:space="preserve"> or hinder</w:t>
            </w:r>
            <w:r>
              <w:rPr>
                <w:rFonts w:ascii="Calibri" w:hAnsi="Calibri" w:cs="Calibri"/>
                <w:sz w:val="18"/>
                <w:szCs w:val="18"/>
              </w:rPr>
              <w:t xml:space="preserve"> their sustainability.</w:t>
            </w:r>
            <w:r w:rsidR="00856EFF">
              <w:rPr>
                <w:rFonts w:ascii="Calibri" w:hAnsi="Calibri" w:cs="Calibri"/>
                <w:sz w:val="18"/>
                <w:szCs w:val="18"/>
              </w:rPr>
              <w:t xml:space="preserve"> The survey will also help identify respondents for the semi-structured interviews.</w:t>
            </w:r>
          </w:p>
        </w:tc>
        <w:tc>
          <w:tcPr>
            <w:tcW w:w="2430" w:type="dxa"/>
          </w:tcPr>
          <w:p w:rsidRPr="000A34FA" w:rsidR="001A63B4" w:rsidP="00C401B6" w:rsidRDefault="001A63B4" w14:paraId="4F09D85C" w14:textId="173460CB">
            <w:pPr>
              <w:rPr>
                <w:rFonts w:ascii="Calibri" w:hAnsi="Calibri" w:cs="Calibri"/>
                <w:sz w:val="18"/>
                <w:szCs w:val="18"/>
              </w:rPr>
            </w:pPr>
            <w:r w:rsidRPr="000A34FA">
              <w:rPr>
                <w:rFonts w:ascii="Calibri" w:hAnsi="Calibri" w:cs="Calibri"/>
                <w:b/>
                <w:sz w:val="18"/>
                <w:szCs w:val="18"/>
              </w:rPr>
              <w:t>Mode</w:t>
            </w:r>
            <w:r w:rsidRPr="000A34FA">
              <w:rPr>
                <w:rFonts w:ascii="Calibri" w:hAnsi="Calibri" w:cs="Calibri"/>
                <w:sz w:val="18"/>
                <w:szCs w:val="18"/>
              </w:rPr>
              <w:t>: web-based with telephone option</w:t>
            </w:r>
          </w:p>
          <w:p w:rsidRPr="000A34FA" w:rsidR="001A63B4" w:rsidP="00C401B6" w:rsidRDefault="001A63B4" w14:paraId="47BE1AD0" w14:textId="77777777">
            <w:pPr>
              <w:rPr>
                <w:rFonts w:ascii="Calibri" w:hAnsi="Calibri" w:cs="Calibri"/>
                <w:sz w:val="18"/>
                <w:szCs w:val="18"/>
              </w:rPr>
            </w:pPr>
          </w:p>
          <w:p w:rsidRPr="000A34FA" w:rsidR="001A63B4" w:rsidP="00C401B6" w:rsidRDefault="001A63B4" w14:paraId="63176BC9" w14:textId="4F72189F">
            <w:pPr>
              <w:rPr>
                <w:rFonts w:ascii="Calibri" w:hAnsi="Calibri" w:cs="Calibri"/>
                <w:sz w:val="18"/>
                <w:szCs w:val="18"/>
              </w:rPr>
            </w:pPr>
            <w:r w:rsidRPr="000A34FA">
              <w:rPr>
                <w:rFonts w:ascii="Calibri" w:hAnsi="Calibri" w:cs="Calibri"/>
                <w:b/>
                <w:sz w:val="18"/>
                <w:szCs w:val="18"/>
              </w:rPr>
              <w:t>Duration</w:t>
            </w:r>
            <w:r w:rsidRPr="000A34FA">
              <w:rPr>
                <w:rFonts w:ascii="Calibri" w:hAnsi="Calibri" w:cs="Calibri"/>
                <w:sz w:val="18"/>
                <w:szCs w:val="18"/>
              </w:rPr>
              <w:t>: 30 minutes</w:t>
            </w:r>
          </w:p>
        </w:tc>
      </w:tr>
      <w:tr w:rsidRPr="000A34FA" w:rsidR="001A63B4" w:rsidTr="00D66C51" w14:paraId="67F3C42B" w14:textId="77777777">
        <w:tc>
          <w:tcPr>
            <w:tcW w:w="1435" w:type="dxa"/>
          </w:tcPr>
          <w:p w:rsidRPr="000A34FA" w:rsidR="001A63B4" w:rsidP="00C401B6" w:rsidRDefault="001A63B4" w14:paraId="4A9F3AB1" w14:textId="65F13AC6">
            <w:pPr>
              <w:rPr>
                <w:rFonts w:ascii="Calibri" w:hAnsi="Calibri" w:cs="Calibri"/>
                <w:sz w:val="18"/>
                <w:szCs w:val="18"/>
              </w:rPr>
            </w:pPr>
            <w:r w:rsidRPr="000A34FA">
              <w:rPr>
                <w:rFonts w:ascii="Calibri" w:hAnsi="Calibri" w:cs="Calibri"/>
                <w:sz w:val="18"/>
                <w:szCs w:val="18"/>
              </w:rPr>
              <w:lastRenderedPageBreak/>
              <w:t>Dissolved Partnership Provider Survey</w:t>
            </w:r>
          </w:p>
        </w:tc>
        <w:tc>
          <w:tcPr>
            <w:tcW w:w="1710" w:type="dxa"/>
          </w:tcPr>
          <w:p w:rsidRPr="000A34FA" w:rsidR="001A63B4" w:rsidP="00C401B6" w:rsidRDefault="001A63B4" w14:paraId="599B792F" w14:textId="210FFBDD">
            <w:pPr>
              <w:rPr>
                <w:rFonts w:ascii="Calibri" w:hAnsi="Calibri" w:cs="Calibri"/>
                <w:sz w:val="18"/>
                <w:szCs w:val="18"/>
              </w:rPr>
            </w:pPr>
            <w:r w:rsidRPr="000A34FA">
              <w:rPr>
                <w:rFonts w:ascii="Calibri" w:hAnsi="Calibri" w:cs="Calibri"/>
                <w:sz w:val="18"/>
                <w:szCs w:val="18"/>
              </w:rPr>
              <w:t>Directors/ managers of providers who were selected to participate in the NDS and whose partnerships have dissolved</w:t>
            </w:r>
          </w:p>
        </w:tc>
        <w:tc>
          <w:tcPr>
            <w:tcW w:w="1800" w:type="dxa"/>
          </w:tcPr>
          <w:p w:rsidRPr="000A34FA" w:rsidR="001A63B4" w:rsidP="00C401B6" w:rsidRDefault="001A63B4" w14:paraId="25A7E6B9" w14:textId="5C88AFB8">
            <w:pPr>
              <w:rPr>
                <w:rFonts w:ascii="Calibri" w:hAnsi="Calibri" w:cs="Calibri"/>
                <w:sz w:val="18"/>
                <w:szCs w:val="18"/>
              </w:rPr>
            </w:pPr>
            <w:r w:rsidRPr="000A34FA">
              <w:rPr>
                <w:rFonts w:ascii="Calibri" w:hAnsi="Calibri" w:cs="Calibri"/>
                <w:sz w:val="18"/>
                <w:szCs w:val="18"/>
              </w:rPr>
              <w:t>We will ask directors/managers about their child care business; the factors that influenced the dissolution of their partnership; and the activities they engage in to support the quality of services provided to children and families.</w:t>
            </w:r>
          </w:p>
        </w:tc>
        <w:tc>
          <w:tcPr>
            <w:tcW w:w="2430" w:type="dxa"/>
          </w:tcPr>
          <w:p w:rsidR="001A63B4" w:rsidP="00C401B6" w:rsidRDefault="001A63B4" w14:paraId="6003F8C1" w14:textId="70137BF6">
            <w:pPr>
              <w:rPr>
                <w:rFonts w:ascii="Calibri" w:hAnsi="Calibri" w:cs="Calibri"/>
                <w:sz w:val="18"/>
                <w:szCs w:val="18"/>
              </w:rPr>
            </w:pPr>
          </w:p>
          <w:p w:rsidRPr="000A34FA" w:rsidR="00BA24A1" w:rsidP="00C401B6" w:rsidRDefault="00BA24A1" w14:paraId="481BA18A" w14:textId="382898E5">
            <w:pPr>
              <w:rPr>
                <w:rFonts w:ascii="Calibri" w:hAnsi="Calibri" w:cs="Calibri"/>
                <w:sz w:val="18"/>
                <w:szCs w:val="18"/>
              </w:rPr>
            </w:pPr>
            <w:r>
              <w:rPr>
                <w:rFonts w:ascii="Calibri" w:hAnsi="Calibri" w:cs="Calibri"/>
                <w:sz w:val="18"/>
                <w:szCs w:val="18"/>
              </w:rPr>
              <w:t xml:space="preserve">To learn about the activities programs and providers engaged in as part of the partnerships, and the factors that may contribute to </w:t>
            </w:r>
            <w:r w:rsidR="00856EFF">
              <w:rPr>
                <w:rFonts w:ascii="Calibri" w:hAnsi="Calibri" w:cs="Calibri"/>
                <w:sz w:val="18"/>
                <w:szCs w:val="18"/>
              </w:rPr>
              <w:t xml:space="preserve">or hinder </w:t>
            </w:r>
            <w:r>
              <w:rPr>
                <w:rFonts w:ascii="Calibri" w:hAnsi="Calibri" w:cs="Calibri"/>
                <w:sz w:val="18"/>
                <w:szCs w:val="18"/>
              </w:rPr>
              <w:t>their sustainability.</w:t>
            </w:r>
            <w:r w:rsidR="00856EFF">
              <w:rPr>
                <w:rFonts w:ascii="Calibri" w:hAnsi="Calibri" w:cs="Calibri"/>
                <w:sz w:val="18"/>
                <w:szCs w:val="18"/>
              </w:rPr>
              <w:t xml:space="preserve"> The survey will also help identify respondents for the semi-structured interviews.</w:t>
            </w:r>
          </w:p>
        </w:tc>
        <w:tc>
          <w:tcPr>
            <w:tcW w:w="2430" w:type="dxa"/>
          </w:tcPr>
          <w:p w:rsidRPr="000A34FA" w:rsidR="001A63B4" w:rsidP="00C401B6" w:rsidRDefault="001A63B4" w14:paraId="671107D1" w14:textId="67277389">
            <w:pPr>
              <w:rPr>
                <w:rFonts w:ascii="Calibri" w:hAnsi="Calibri" w:cs="Calibri"/>
                <w:sz w:val="18"/>
                <w:szCs w:val="18"/>
              </w:rPr>
            </w:pPr>
            <w:r w:rsidRPr="000A34FA">
              <w:rPr>
                <w:rFonts w:ascii="Calibri" w:hAnsi="Calibri" w:cs="Calibri"/>
                <w:b/>
                <w:sz w:val="18"/>
                <w:szCs w:val="18"/>
              </w:rPr>
              <w:t>Mode</w:t>
            </w:r>
            <w:r w:rsidRPr="000A34FA">
              <w:rPr>
                <w:rFonts w:ascii="Calibri" w:hAnsi="Calibri" w:cs="Calibri"/>
                <w:sz w:val="18"/>
                <w:szCs w:val="18"/>
              </w:rPr>
              <w:t>: web-based with telephone option</w:t>
            </w:r>
          </w:p>
          <w:p w:rsidRPr="000A34FA" w:rsidR="001A63B4" w:rsidP="00C401B6" w:rsidRDefault="001A63B4" w14:paraId="1365D138" w14:textId="77777777">
            <w:pPr>
              <w:rPr>
                <w:rFonts w:ascii="Calibri" w:hAnsi="Calibri" w:cs="Calibri"/>
                <w:sz w:val="18"/>
                <w:szCs w:val="18"/>
              </w:rPr>
            </w:pPr>
          </w:p>
          <w:p w:rsidRPr="000A34FA" w:rsidR="001A63B4" w:rsidP="00C401B6" w:rsidRDefault="001A63B4" w14:paraId="44180139" w14:textId="1445589A">
            <w:pPr>
              <w:rPr>
                <w:rFonts w:ascii="Calibri" w:hAnsi="Calibri" w:cs="Calibri"/>
                <w:b/>
                <w:sz w:val="18"/>
                <w:szCs w:val="18"/>
              </w:rPr>
            </w:pPr>
            <w:r w:rsidRPr="000A34FA">
              <w:rPr>
                <w:rFonts w:ascii="Calibri" w:hAnsi="Calibri" w:cs="Calibri"/>
                <w:b/>
                <w:sz w:val="18"/>
                <w:szCs w:val="18"/>
              </w:rPr>
              <w:t>Duration</w:t>
            </w:r>
            <w:r w:rsidRPr="000A34FA">
              <w:rPr>
                <w:rFonts w:ascii="Calibri" w:hAnsi="Calibri" w:cs="Calibri"/>
                <w:sz w:val="18"/>
                <w:szCs w:val="18"/>
              </w:rPr>
              <w:t>: 30 minutes</w:t>
            </w:r>
          </w:p>
        </w:tc>
      </w:tr>
      <w:tr w:rsidRPr="000A34FA" w:rsidR="001A63B4" w:rsidTr="00D66C51" w14:paraId="66337469" w14:textId="77777777">
        <w:tc>
          <w:tcPr>
            <w:tcW w:w="1435" w:type="dxa"/>
          </w:tcPr>
          <w:p w:rsidRPr="000A34FA" w:rsidR="001A63B4" w:rsidP="00C401B6" w:rsidRDefault="001A63B4" w14:paraId="581667E3" w14:textId="3FB04577">
            <w:pPr>
              <w:rPr>
                <w:rFonts w:ascii="Calibri" w:hAnsi="Calibri" w:cs="Calibri"/>
                <w:sz w:val="18"/>
                <w:szCs w:val="18"/>
              </w:rPr>
            </w:pPr>
            <w:r w:rsidRPr="000A34FA">
              <w:rPr>
                <w:rFonts w:ascii="Calibri" w:hAnsi="Calibri" w:cs="Calibri"/>
                <w:sz w:val="18"/>
                <w:szCs w:val="18"/>
              </w:rPr>
              <w:t>Dissolved Partnership Provider Semi-structured Interview Protocol</w:t>
            </w:r>
          </w:p>
        </w:tc>
        <w:tc>
          <w:tcPr>
            <w:tcW w:w="1710" w:type="dxa"/>
          </w:tcPr>
          <w:p w:rsidRPr="000A34FA" w:rsidR="001A63B4" w:rsidP="000A34FA" w:rsidRDefault="001A63B4" w14:paraId="6E9C64CD" w14:textId="71CEAB14">
            <w:pPr>
              <w:rPr>
                <w:rFonts w:ascii="Calibri" w:hAnsi="Calibri" w:cs="Calibri"/>
                <w:sz w:val="18"/>
                <w:szCs w:val="18"/>
              </w:rPr>
            </w:pPr>
            <w:r w:rsidRPr="000A34FA">
              <w:rPr>
                <w:rFonts w:ascii="Calibri" w:hAnsi="Calibri" w:cs="Calibri"/>
                <w:sz w:val="18"/>
                <w:szCs w:val="18"/>
              </w:rPr>
              <w:t>Subsample of directors/ managers of providers who completed the dissolved partnership provider survey</w:t>
            </w:r>
          </w:p>
        </w:tc>
        <w:tc>
          <w:tcPr>
            <w:tcW w:w="1800" w:type="dxa"/>
          </w:tcPr>
          <w:p w:rsidRPr="000A34FA" w:rsidR="001A63B4" w:rsidP="00C401B6" w:rsidRDefault="001A63B4" w14:paraId="1B1D9F1E" w14:textId="0FCA9742">
            <w:pPr>
              <w:rPr>
                <w:rFonts w:ascii="Calibri" w:hAnsi="Calibri" w:cs="Calibri"/>
                <w:sz w:val="18"/>
                <w:szCs w:val="18"/>
              </w:rPr>
            </w:pPr>
            <w:r w:rsidRPr="000A34FA">
              <w:rPr>
                <w:rFonts w:ascii="Calibri" w:hAnsi="Calibri" w:cs="Calibri"/>
                <w:sz w:val="18"/>
                <w:szCs w:val="18"/>
              </w:rPr>
              <w:t xml:space="preserve">We will ask </w:t>
            </w:r>
            <w:r w:rsidR="00BA24A1">
              <w:rPr>
                <w:rFonts w:ascii="Calibri" w:hAnsi="Calibri" w:cs="Calibri"/>
                <w:sz w:val="18"/>
                <w:szCs w:val="18"/>
              </w:rPr>
              <w:t xml:space="preserve">respondents to elaborate on survey responses related to the factors that may have contributed to the dissolution of the partnership and </w:t>
            </w:r>
            <w:r w:rsidRPr="000A34FA">
              <w:rPr>
                <w:rFonts w:ascii="Calibri" w:hAnsi="Calibri" w:cs="Calibri"/>
                <w:sz w:val="18"/>
                <w:szCs w:val="18"/>
              </w:rPr>
              <w:t xml:space="preserve">about changes </w:t>
            </w:r>
            <w:r w:rsidR="00F6289A">
              <w:rPr>
                <w:rFonts w:ascii="Calibri" w:hAnsi="Calibri" w:cs="Calibri"/>
                <w:sz w:val="18"/>
                <w:szCs w:val="18"/>
              </w:rPr>
              <w:t>in operations or services</w:t>
            </w:r>
            <w:r w:rsidRPr="000A34FA">
              <w:rPr>
                <w:rFonts w:ascii="Calibri" w:hAnsi="Calibri" w:cs="Calibri"/>
                <w:sz w:val="18"/>
                <w:szCs w:val="18"/>
              </w:rPr>
              <w:t xml:space="preserve"> occurred </w:t>
            </w:r>
            <w:r w:rsidR="00F6289A">
              <w:rPr>
                <w:rFonts w:ascii="Calibri" w:hAnsi="Calibri" w:cs="Calibri"/>
                <w:sz w:val="18"/>
                <w:szCs w:val="18"/>
              </w:rPr>
              <w:t>after</w:t>
            </w:r>
            <w:r w:rsidRPr="000A34FA">
              <w:rPr>
                <w:rFonts w:ascii="Calibri" w:hAnsi="Calibri" w:cs="Calibri"/>
                <w:sz w:val="18"/>
                <w:szCs w:val="18"/>
              </w:rPr>
              <w:t xml:space="preserve"> the dissolution of the partnership</w:t>
            </w:r>
            <w:r w:rsidR="00BA24A1">
              <w:rPr>
                <w:rFonts w:ascii="Calibri" w:hAnsi="Calibri" w:cs="Calibri"/>
                <w:sz w:val="18"/>
                <w:szCs w:val="18"/>
              </w:rPr>
              <w:t>. We will also ask respondents questions about how their businesses were impacted by the COVID-19 pandemic.</w:t>
            </w:r>
          </w:p>
        </w:tc>
        <w:tc>
          <w:tcPr>
            <w:tcW w:w="2430" w:type="dxa"/>
          </w:tcPr>
          <w:p w:rsidRPr="000A34FA" w:rsidR="001A63B4" w:rsidP="00C401B6" w:rsidRDefault="001A63B4" w14:paraId="00D3F78D" w14:textId="09454D7F">
            <w:pPr>
              <w:rPr>
                <w:rFonts w:ascii="Calibri" w:hAnsi="Calibri" w:cs="Calibri"/>
                <w:sz w:val="18"/>
                <w:szCs w:val="18"/>
              </w:rPr>
            </w:pPr>
            <w:r w:rsidRPr="000A34FA">
              <w:rPr>
                <w:rFonts w:ascii="Calibri" w:hAnsi="Calibri" w:cs="Calibri"/>
                <w:sz w:val="18"/>
                <w:szCs w:val="18"/>
              </w:rPr>
              <w:t xml:space="preserve">The interview will provide greater detail on survey responses to help us understand the factors that contribute to dissolution of a partnership. . Additionally, the interviews will allow us to better understand providers’ experiences during the COVID-19 pandemic. </w:t>
            </w:r>
          </w:p>
        </w:tc>
        <w:tc>
          <w:tcPr>
            <w:tcW w:w="2430" w:type="dxa"/>
          </w:tcPr>
          <w:p w:rsidRPr="000A34FA" w:rsidR="001A63B4" w:rsidP="00C401B6" w:rsidRDefault="001A63B4" w14:paraId="75FA2A98" w14:textId="7805BE20">
            <w:pPr>
              <w:rPr>
                <w:rFonts w:ascii="Calibri" w:hAnsi="Calibri" w:cs="Calibri"/>
                <w:sz w:val="18"/>
                <w:szCs w:val="18"/>
              </w:rPr>
            </w:pPr>
            <w:r w:rsidRPr="000A34FA">
              <w:rPr>
                <w:rFonts w:ascii="Calibri" w:hAnsi="Calibri" w:cs="Calibri"/>
                <w:b/>
                <w:sz w:val="18"/>
                <w:szCs w:val="18"/>
              </w:rPr>
              <w:t>Mode</w:t>
            </w:r>
            <w:r w:rsidRPr="000A34FA">
              <w:rPr>
                <w:rFonts w:ascii="Calibri" w:hAnsi="Calibri" w:cs="Calibri"/>
                <w:sz w:val="18"/>
                <w:szCs w:val="18"/>
              </w:rPr>
              <w:t>: semi-structured telephone interview</w:t>
            </w:r>
          </w:p>
          <w:p w:rsidRPr="000A34FA" w:rsidR="001A63B4" w:rsidP="00C401B6" w:rsidRDefault="001A63B4" w14:paraId="1940F8CA" w14:textId="77777777">
            <w:pPr>
              <w:rPr>
                <w:rFonts w:ascii="Calibri" w:hAnsi="Calibri" w:cs="Calibri"/>
                <w:sz w:val="18"/>
                <w:szCs w:val="18"/>
              </w:rPr>
            </w:pPr>
          </w:p>
          <w:p w:rsidRPr="000A34FA" w:rsidR="001A63B4" w:rsidP="00C401B6" w:rsidRDefault="001A63B4" w14:paraId="5ECC7F10" w14:textId="1BD0F5FA">
            <w:pPr>
              <w:rPr>
                <w:rFonts w:ascii="Calibri" w:hAnsi="Calibri" w:cs="Calibri"/>
                <w:b/>
                <w:sz w:val="18"/>
                <w:szCs w:val="18"/>
              </w:rPr>
            </w:pPr>
            <w:r w:rsidRPr="000A34FA">
              <w:rPr>
                <w:rFonts w:ascii="Calibri" w:hAnsi="Calibri" w:cs="Calibri"/>
                <w:b/>
                <w:sz w:val="18"/>
                <w:szCs w:val="18"/>
              </w:rPr>
              <w:t>Duration</w:t>
            </w:r>
            <w:r w:rsidRPr="000A34FA">
              <w:rPr>
                <w:rFonts w:ascii="Calibri" w:hAnsi="Calibri" w:cs="Calibri"/>
                <w:sz w:val="18"/>
                <w:szCs w:val="18"/>
              </w:rPr>
              <w:t xml:space="preserve">: </w:t>
            </w:r>
            <w:r>
              <w:rPr>
                <w:rFonts w:ascii="Calibri" w:hAnsi="Calibri" w:cs="Calibri"/>
                <w:sz w:val="18"/>
                <w:szCs w:val="18"/>
              </w:rPr>
              <w:t>50</w:t>
            </w:r>
            <w:r w:rsidRPr="000A34FA">
              <w:rPr>
                <w:rFonts w:ascii="Calibri" w:hAnsi="Calibri" w:cs="Calibri"/>
                <w:sz w:val="18"/>
                <w:szCs w:val="18"/>
              </w:rPr>
              <w:t xml:space="preserve"> minutes</w:t>
            </w:r>
          </w:p>
        </w:tc>
      </w:tr>
      <w:tr w:rsidRPr="000A34FA" w:rsidR="001A63B4" w:rsidTr="00D66C51" w14:paraId="61034022" w14:textId="77777777">
        <w:tc>
          <w:tcPr>
            <w:tcW w:w="1435" w:type="dxa"/>
          </w:tcPr>
          <w:p w:rsidRPr="000A34FA" w:rsidR="001A63B4" w:rsidP="00C401B6" w:rsidRDefault="001A63B4" w14:paraId="0F8BAD5D" w14:textId="21116B32">
            <w:pPr>
              <w:rPr>
                <w:rFonts w:ascii="Calibri" w:hAnsi="Calibri" w:cs="Calibri"/>
                <w:sz w:val="18"/>
                <w:szCs w:val="18"/>
              </w:rPr>
            </w:pPr>
            <w:r w:rsidRPr="000A34FA">
              <w:rPr>
                <w:rFonts w:ascii="Calibri" w:hAnsi="Calibri" w:cs="Calibri"/>
                <w:sz w:val="18"/>
                <w:szCs w:val="18"/>
              </w:rPr>
              <w:t>Sustained Partnership Provider Semi-structured Interview Protocol</w:t>
            </w:r>
          </w:p>
        </w:tc>
        <w:tc>
          <w:tcPr>
            <w:tcW w:w="1710" w:type="dxa"/>
          </w:tcPr>
          <w:p w:rsidRPr="000A34FA" w:rsidR="001A63B4" w:rsidP="00C401B6" w:rsidRDefault="001A63B4" w14:paraId="7C8687CC" w14:textId="5DC46346">
            <w:pPr>
              <w:rPr>
                <w:rFonts w:ascii="Calibri" w:hAnsi="Calibri" w:cs="Calibri"/>
                <w:sz w:val="18"/>
                <w:szCs w:val="18"/>
              </w:rPr>
            </w:pPr>
            <w:r w:rsidRPr="000A34FA">
              <w:rPr>
                <w:rFonts w:ascii="Calibri" w:hAnsi="Calibri" w:cs="Calibri"/>
                <w:sz w:val="18"/>
                <w:szCs w:val="18"/>
              </w:rPr>
              <w:t>Subsample of directors/ managers of providers who completed the sustained partnership provider survey</w:t>
            </w:r>
          </w:p>
        </w:tc>
        <w:tc>
          <w:tcPr>
            <w:tcW w:w="1800" w:type="dxa"/>
          </w:tcPr>
          <w:p w:rsidRPr="000A34FA" w:rsidR="001A63B4" w:rsidP="00C401B6" w:rsidRDefault="00BA24A1" w14:paraId="472ED843" w14:textId="24D57EC2">
            <w:pPr>
              <w:rPr>
                <w:rFonts w:ascii="Calibri" w:hAnsi="Calibri" w:cs="Calibri"/>
                <w:sz w:val="18"/>
                <w:szCs w:val="18"/>
              </w:rPr>
            </w:pPr>
            <w:r w:rsidRPr="000A34FA">
              <w:rPr>
                <w:rFonts w:ascii="Calibri" w:hAnsi="Calibri" w:cs="Calibri"/>
                <w:sz w:val="18"/>
                <w:szCs w:val="18"/>
              </w:rPr>
              <w:t xml:space="preserve">We will ask </w:t>
            </w:r>
            <w:r>
              <w:rPr>
                <w:rFonts w:ascii="Calibri" w:hAnsi="Calibri" w:cs="Calibri"/>
                <w:sz w:val="18"/>
                <w:szCs w:val="18"/>
              </w:rPr>
              <w:t xml:space="preserve">respondents to elaborate on survey responses related to the factors that may have contributed to the </w:t>
            </w:r>
            <w:r w:rsidR="00D67ACC">
              <w:rPr>
                <w:rFonts w:ascii="Calibri" w:hAnsi="Calibri" w:cs="Calibri"/>
                <w:sz w:val="18"/>
                <w:szCs w:val="18"/>
              </w:rPr>
              <w:t>sustainment</w:t>
            </w:r>
            <w:r>
              <w:rPr>
                <w:rFonts w:ascii="Calibri" w:hAnsi="Calibri" w:cs="Calibri"/>
                <w:sz w:val="18"/>
                <w:szCs w:val="18"/>
              </w:rPr>
              <w:t xml:space="preserve"> of the partnership. </w:t>
            </w:r>
            <w:r w:rsidRPr="000A34FA" w:rsidR="00896B28">
              <w:rPr>
                <w:rFonts w:ascii="Calibri" w:hAnsi="Calibri" w:cs="Calibri"/>
                <w:sz w:val="18"/>
                <w:szCs w:val="18"/>
              </w:rPr>
              <w:t xml:space="preserve">We will also ask about partnership champions or opinion leaders, staff turnover, and periods without </w:t>
            </w:r>
            <w:r w:rsidR="00F6289A">
              <w:rPr>
                <w:rFonts w:ascii="Calibri" w:hAnsi="Calibri" w:cs="Calibri"/>
                <w:sz w:val="18"/>
                <w:szCs w:val="18"/>
              </w:rPr>
              <w:t xml:space="preserve">partnership </w:t>
            </w:r>
            <w:r w:rsidRPr="000A34FA" w:rsidR="00896B28">
              <w:rPr>
                <w:rFonts w:ascii="Calibri" w:hAnsi="Calibri" w:cs="Calibri"/>
                <w:sz w:val="18"/>
                <w:szCs w:val="18"/>
              </w:rPr>
              <w:t xml:space="preserve">enrollment slots. </w:t>
            </w:r>
            <w:r w:rsidR="00D67ACC">
              <w:rPr>
                <w:rFonts w:ascii="Calibri" w:hAnsi="Calibri" w:cs="Calibri"/>
                <w:sz w:val="18"/>
                <w:szCs w:val="18"/>
              </w:rPr>
              <w:t>Finally, we will also ask respondents questions about how their businesses were impacted by the COVID-19 pandemic.</w:t>
            </w:r>
          </w:p>
        </w:tc>
        <w:tc>
          <w:tcPr>
            <w:tcW w:w="2430" w:type="dxa"/>
          </w:tcPr>
          <w:p w:rsidRPr="000A34FA" w:rsidR="001A63B4" w:rsidP="00C401B6" w:rsidRDefault="001A63B4" w14:paraId="50149418" w14:textId="7F6189C8">
            <w:pPr>
              <w:rPr>
                <w:rFonts w:ascii="Calibri" w:hAnsi="Calibri" w:cs="Calibri"/>
                <w:sz w:val="18"/>
                <w:szCs w:val="18"/>
              </w:rPr>
            </w:pPr>
            <w:r w:rsidRPr="000A34FA">
              <w:rPr>
                <w:rFonts w:ascii="Calibri" w:hAnsi="Calibri" w:cs="Calibri"/>
                <w:sz w:val="18"/>
                <w:szCs w:val="18"/>
              </w:rPr>
              <w:t xml:space="preserve">The interview will provide greater detail on survey responses to help us understand what is working well in sustained partnerships and why. </w:t>
            </w:r>
            <w:r w:rsidRPr="000A34FA" w:rsidDel="00896B28" w:rsidR="00896B28">
              <w:rPr>
                <w:rFonts w:ascii="Calibri" w:hAnsi="Calibri" w:cs="Calibri"/>
                <w:sz w:val="18"/>
                <w:szCs w:val="18"/>
              </w:rPr>
              <w:t xml:space="preserve"> </w:t>
            </w:r>
            <w:r w:rsidRPr="000A34FA">
              <w:rPr>
                <w:rFonts w:ascii="Calibri" w:hAnsi="Calibri" w:cs="Calibri"/>
                <w:sz w:val="18"/>
                <w:szCs w:val="18"/>
              </w:rPr>
              <w:t>Additionally, the interviews will allow us to better understand providers’ experiences during the COVID-19 pandemic.</w:t>
            </w:r>
          </w:p>
        </w:tc>
        <w:tc>
          <w:tcPr>
            <w:tcW w:w="2430" w:type="dxa"/>
          </w:tcPr>
          <w:p w:rsidRPr="000A34FA" w:rsidR="001A63B4" w:rsidP="00C401B6" w:rsidRDefault="001A63B4" w14:paraId="6D47C6FA" w14:textId="5B3833A3">
            <w:pPr>
              <w:rPr>
                <w:rFonts w:ascii="Calibri" w:hAnsi="Calibri" w:cs="Calibri"/>
                <w:sz w:val="18"/>
                <w:szCs w:val="18"/>
              </w:rPr>
            </w:pPr>
            <w:r w:rsidRPr="000A34FA">
              <w:rPr>
                <w:rFonts w:ascii="Calibri" w:hAnsi="Calibri" w:cs="Calibri"/>
                <w:b/>
                <w:sz w:val="18"/>
                <w:szCs w:val="18"/>
              </w:rPr>
              <w:t>Mode</w:t>
            </w:r>
            <w:r w:rsidRPr="000A34FA">
              <w:rPr>
                <w:rFonts w:ascii="Calibri" w:hAnsi="Calibri" w:cs="Calibri"/>
                <w:sz w:val="18"/>
                <w:szCs w:val="18"/>
              </w:rPr>
              <w:t>: semi-structured telephone interview</w:t>
            </w:r>
          </w:p>
          <w:p w:rsidRPr="000A34FA" w:rsidR="001A63B4" w:rsidP="00C401B6" w:rsidRDefault="001A63B4" w14:paraId="75A94C12" w14:textId="77777777">
            <w:pPr>
              <w:rPr>
                <w:rFonts w:ascii="Calibri" w:hAnsi="Calibri" w:cs="Calibri"/>
                <w:sz w:val="18"/>
                <w:szCs w:val="18"/>
              </w:rPr>
            </w:pPr>
          </w:p>
          <w:p w:rsidRPr="000A34FA" w:rsidR="001A63B4" w:rsidP="00C401B6" w:rsidRDefault="001A63B4" w14:paraId="408247A4" w14:textId="55B571D3">
            <w:pPr>
              <w:rPr>
                <w:rFonts w:ascii="Calibri" w:hAnsi="Calibri" w:cs="Calibri"/>
                <w:b/>
                <w:sz w:val="18"/>
                <w:szCs w:val="18"/>
              </w:rPr>
            </w:pPr>
            <w:r w:rsidRPr="000A34FA">
              <w:rPr>
                <w:rFonts w:ascii="Calibri" w:hAnsi="Calibri" w:cs="Calibri"/>
                <w:b/>
                <w:sz w:val="18"/>
                <w:szCs w:val="18"/>
              </w:rPr>
              <w:t>Duration</w:t>
            </w:r>
            <w:r w:rsidRPr="000A34FA">
              <w:rPr>
                <w:rFonts w:ascii="Calibri" w:hAnsi="Calibri" w:cs="Calibri"/>
                <w:sz w:val="18"/>
                <w:szCs w:val="18"/>
              </w:rPr>
              <w:t xml:space="preserve">: </w:t>
            </w:r>
            <w:r>
              <w:rPr>
                <w:rFonts w:ascii="Calibri" w:hAnsi="Calibri" w:cs="Calibri"/>
                <w:sz w:val="18"/>
                <w:szCs w:val="18"/>
              </w:rPr>
              <w:t>50</w:t>
            </w:r>
            <w:r w:rsidRPr="000A34FA">
              <w:rPr>
                <w:rFonts w:ascii="Calibri" w:hAnsi="Calibri" w:cs="Calibri"/>
                <w:sz w:val="18"/>
                <w:szCs w:val="18"/>
              </w:rPr>
              <w:t xml:space="preserve"> minutes</w:t>
            </w:r>
          </w:p>
        </w:tc>
      </w:tr>
    </w:tbl>
    <w:p w:rsidRPr="009139B3" w:rsidR="001D1C73" w:rsidP="001D1C73" w:rsidRDefault="001D1C73" w14:paraId="0DB98502" w14:textId="77777777">
      <w:pPr>
        <w:spacing w:after="0" w:line="240" w:lineRule="auto"/>
        <w:rPr>
          <w:i/>
        </w:rPr>
      </w:pPr>
    </w:p>
    <w:p w:rsidRPr="009139B3" w:rsidR="001D1C73" w:rsidP="00D66C51" w:rsidRDefault="001D1C73" w14:paraId="213059F9" w14:textId="77777777">
      <w:pPr>
        <w:keepNext/>
        <w:keepLines/>
        <w:spacing w:after="60" w:line="240" w:lineRule="auto"/>
        <w:rPr>
          <w:i/>
        </w:rPr>
      </w:pPr>
      <w:r w:rsidRPr="009139B3">
        <w:rPr>
          <w:i/>
        </w:rPr>
        <w:lastRenderedPageBreak/>
        <w:t>Other Data Sources and Uses of Information</w:t>
      </w:r>
    </w:p>
    <w:p w:rsidR="001D1C73" w:rsidP="00CB10DA" w:rsidRDefault="00AA6144" w14:paraId="10B217EA" w14:textId="67537D85">
      <w:pPr>
        <w:pStyle w:val="NormalSS"/>
        <w:keepNext/>
        <w:keepLines/>
        <w:spacing w:after="0"/>
        <w:ind w:firstLine="0"/>
        <w:rPr>
          <w:rFonts w:asciiTheme="minorHAnsi" w:hAnsiTheme="minorHAnsi" w:cstheme="minorHAnsi"/>
          <w:sz w:val="22"/>
          <w:szCs w:val="22"/>
        </w:rPr>
      </w:pPr>
      <w:r>
        <w:rPr>
          <w:rFonts w:asciiTheme="minorHAnsi" w:hAnsiTheme="minorHAnsi" w:cstheme="minorHAnsi"/>
          <w:sz w:val="22"/>
          <w:szCs w:val="22"/>
        </w:rPr>
        <w:t xml:space="preserve">During data analysis, we will incorporate </w:t>
      </w:r>
      <w:r w:rsidRPr="00B9283A">
        <w:rPr>
          <w:rFonts w:asciiTheme="minorHAnsi" w:hAnsiTheme="minorHAnsi" w:cstheme="minorHAnsi"/>
          <w:sz w:val="22"/>
          <w:szCs w:val="22"/>
        </w:rPr>
        <w:t>program characteristic</w:t>
      </w:r>
      <w:r>
        <w:rPr>
          <w:rFonts w:asciiTheme="minorHAnsi" w:hAnsiTheme="minorHAnsi" w:cstheme="minorHAnsi"/>
          <w:sz w:val="22"/>
          <w:szCs w:val="22"/>
        </w:rPr>
        <w:t xml:space="preserve">s </w:t>
      </w:r>
      <w:r w:rsidR="00E510C1">
        <w:rPr>
          <w:rFonts w:asciiTheme="minorHAnsi" w:hAnsiTheme="minorHAnsi" w:cstheme="minorHAnsi"/>
          <w:sz w:val="22"/>
          <w:szCs w:val="22"/>
        </w:rPr>
        <w:t xml:space="preserve">from </w:t>
      </w:r>
      <w:r w:rsidRPr="00B9283A" w:rsidR="00E510C1">
        <w:rPr>
          <w:rFonts w:asciiTheme="minorHAnsi" w:hAnsiTheme="minorHAnsi" w:cstheme="minorHAnsi"/>
          <w:sz w:val="22"/>
          <w:szCs w:val="22"/>
        </w:rPr>
        <w:t>the most recent Head Start Program Information Report (PIR)</w:t>
      </w:r>
      <w:r w:rsidR="00FA1F79">
        <w:rPr>
          <w:rFonts w:asciiTheme="minorHAnsi" w:hAnsiTheme="minorHAnsi" w:cstheme="minorHAnsi"/>
          <w:sz w:val="22"/>
          <w:szCs w:val="22"/>
        </w:rPr>
        <w:t>,</w:t>
      </w:r>
      <w:r w:rsidRPr="00B9283A" w:rsidR="00E510C1">
        <w:rPr>
          <w:rStyle w:val="FootnoteReference"/>
          <w:rFonts w:asciiTheme="minorHAnsi" w:hAnsiTheme="minorHAnsi" w:cstheme="minorHAnsi"/>
          <w:sz w:val="22"/>
          <w:szCs w:val="22"/>
        </w:rPr>
        <w:footnoteReference w:id="1"/>
      </w:r>
      <w:r w:rsidRPr="00B9283A">
        <w:rPr>
          <w:rFonts w:asciiTheme="minorHAnsi" w:hAnsiTheme="minorHAnsi" w:cstheme="minorHAnsi"/>
          <w:sz w:val="22"/>
          <w:szCs w:val="22"/>
        </w:rPr>
        <w:t xml:space="preserve"> including program size, location, </w:t>
      </w:r>
      <w:r w:rsidR="003F32FA">
        <w:rPr>
          <w:rFonts w:asciiTheme="minorHAnsi" w:hAnsiTheme="minorHAnsi" w:cstheme="minorHAnsi"/>
          <w:sz w:val="22"/>
          <w:szCs w:val="22"/>
        </w:rPr>
        <w:t xml:space="preserve">and </w:t>
      </w:r>
      <w:r w:rsidRPr="00B9283A">
        <w:rPr>
          <w:rFonts w:asciiTheme="minorHAnsi" w:hAnsiTheme="minorHAnsi" w:cstheme="minorHAnsi"/>
          <w:sz w:val="22"/>
          <w:szCs w:val="22"/>
        </w:rPr>
        <w:t xml:space="preserve">population served. There is no burden to study participants associated with </w:t>
      </w:r>
      <w:r>
        <w:rPr>
          <w:rFonts w:asciiTheme="minorHAnsi" w:hAnsiTheme="minorHAnsi" w:cstheme="minorHAnsi"/>
          <w:sz w:val="22"/>
          <w:szCs w:val="22"/>
        </w:rPr>
        <w:t xml:space="preserve">using </w:t>
      </w:r>
      <w:r w:rsidRPr="00B9283A">
        <w:rPr>
          <w:rFonts w:asciiTheme="minorHAnsi" w:hAnsiTheme="minorHAnsi" w:cstheme="minorHAnsi"/>
          <w:sz w:val="22"/>
          <w:szCs w:val="22"/>
        </w:rPr>
        <w:t xml:space="preserve">PIR data for </w:t>
      </w:r>
      <w:r w:rsidR="003F32FA">
        <w:rPr>
          <w:rFonts w:asciiTheme="minorHAnsi" w:hAnsiTheme="minorHAnsi" w:cstheme="minorHAnsi"/>
          <w:sz w:val="22"/>
          <w:szCs w:val="22"/>
        </w:rPr>
        <w:t>the Sustainability Study</w:t>
      </w:r>
      <w:r w:rsidRPr="00B9283A">
        <w:rPr>
          <w:rFonts w:asciiTheme="minorHAnsi" w:hAnsiTheme="minorHAnsi" w:cstheme="minorHAnsi"/>
          <w:sz w:val="22"/>
          <w:szCs w:val="22"/>
        </w:rPr>
        <w:t>.</w:t>
      </w:r>
    </w:p>
    <w:p w:rsidRPr="00E510C1" w:rsidR="00CB10DA" w:rsidP="00D66C51" w:rsidRDefault="00CB10DA" w14:paraId="09034850" w14:textId="77777777">
      <w:pPr>
        <w:pStyle w:val="NormalSS"/>
        <w:keepNext/>
        <w:keepLines/>
        <w:spacing w:after="0"/>
        <w:ind w:firstLine="0"/>
        <w:rPr>
          <w:rFonts w:asciiTheme="minorHAnsi" w:hAnsiTheme="minorHAnsi" w:cstheme="minorHAnsi"/>
          <w:sz w:val="22"/>
          <w:szCs w:val="22"/>
        </w:rPr>
      </w:pPr>
    </w:p>
    <w:p w:rsidRPr="009139B3" w:rsidR="001D1C73" w:rsidP="0024795A" w:rsidRDefault="001D1C73" w14:paraId="5174F453" w14:textId="77777777">
      <w:pPr>
        <w:tabs>
          <w:tab w:val="left" w:pos="630"/>
        </w:tabs>
        <w:spacing w:after="120" w:line="240" w:lineRule="auto"/>
        <w:ind w:left="630" w:hanging="630"/>
        <w:rPr>
          <w:b/>
        </w:rPr>
      </w:pPr>
      <w:r w:rsidRPr="009139B3">
        <w:rPr>
          <w:b/>
        </w:rPr>
        <w:t>A3</w:t>
      </w:r>
      <w:r w:rsidRPr="0024795A">
        <w:rPr>
          <w:b/>
        </w:rPr>
        <w:t>.</w:t>
      </w:r>
      <w:r w:rsidRPr="0024795A">
        <w:rPr>
          <w:b/>
        </w:rPr>
        <w:tab/>
      </w:r>
      <w:r w:rsidRPr="009139B3">
        <w:rPr>
          <w:b/>
        </w:rPr>
        <w:t>Use of Information Technology to Reduce Burden</w:t>
      </w:r>
    </w:p>
    <w:p w:rsidR="001D1C73" w:rsidP="00CB10DA" w:rsidRDefault="00AE3341" w14:paraId="0C050866" w14:textId="4EA74F8F">
      <w:pPr>
        <w:pStyle w:val="NormalSS"/>
        <w:spacing w:after="0"/>
        <w:ind w:firstLine="0"/>
        <w:rPr>
          <w:rFonts w:asciiTheme="minorHAnsi" w:hAnsiTheme="minorHAnsi" w:cstheme="minorHAnsi"/>
          <w:sz w:val="22"/>
          <w:szCs w:val="22"/>
        </w:rPr>
      </w:pPr>
      <w:r w:rsidRPr="00B9283A">
        <w:rPr>
          <w:rFonts w:asciiTheme="minorHAnsi" w:hAnsiTheme="minorHAnsi" w:cstheme="minorHAnsi"/>
          <w:sz w:val="22"/>
          <w:szCs w:val="22"/>
        </w:rPr>
        <w:t xml:space="preserve">The data collection will use a variety of information technologies to reduce the burden of participating on respondents. Program director </w:t>
      </w:r>
      <w:r>
        <w:rPr>
          <w:rFonts w:asciiTheme="minorHAnsi" w:hAnsiTheme="minorHAnsi" w:cstheme="minorHAnsi"/>
          <w:sz w:val="22"/>
          <w:szCs w:val="22"/>
        </w:rPr>
        <w:t>surveys</w:t>
      </w:r>
      <w:r w:rsidRPr="00B9283A">
        <w:rPr>
          <w:rFonts w:asciiTheme="minorHAnsi" w:hAnsiTheme="minorHAnsi" w:cstheme="minorHAnsi"/>
          <w:sz w:val="22"/>
          <w:szCs w:val="22"/>
        </w:rPr>
        <w:t xml:space="preserve"> </w:t>
      </w:r>
      <w:r>
        <w:rPr>
          <w:rFonts w:asciiTheme="minorHAnsi" w:hAnsiTheme="minorHAnsi" w:cstheme="minorHAnsi"/>
          <w:sz w:val="22"/>
          <w:szCs w:val="22"/>
        </w:rPr>
        <w:t xml:space="preserve">and </w:t>
      </w:r>
      <w:r w:rsidR="00691078">
        <w:rPr>
          <w:rFonts w:asciiTheme="minorHAnsi" w:hAnsiTheme="minorHAnsi" w:cstheme="minorHAnsi"/>
          <w:sz w:val="22"/>
          <w:szCs w:val="22"/>
        </w:rPr>
        <w:t xml:space="preserve">sustained and dissolved </w:t>
      </w:r>
      <w:r>
        <w:rPr>
          <w:rFonts w:asciiTheme="minorHAnsi" w:hAnsiTheme="minorHAnsi" w:cstheme="minorHAnsi"/>
          <w:sz w:val="22"/>
          <w:szCs w:val="22"/>
        </w:rPr>
        <w:t>partnership provider surveys can be completed as a web-based survey or can be administered</w:t>
      </w:r>
      <w:r w:rsidRPr="00B9283A">
        <w:rPr>
          <w:rFonts w:asciiTheme="minorHAnsi" w:hAnsiTheme="minorHAnsi" w:cstheme="minorHAnsi"/>
          <w:sz w:val="22"/>
          <w:szCs w:val="22"/>
        </w:rPr>
        <w:t xml:space="preserve"> using computer-assisted telephone interviewing</w:t>
      </w:r>
      <w:r>
        <w:rPr>
          <w:rFonts w:asciiTheme="minorHAnsi" w:hAnsiTheme="minorHAnsi" w:cstheme="minorHAnsi"/>
          <w:sz w:val="22"/>
          <w:szCs w:val="22"/>
        </w:rPr>
        <w:t xml:space="preserve"> to reduce respondent burden and data entry errors</w:t>
      </w:r>
      <w:r w:rsidRPr="00B9283A">
        <w:rPr>
          <w:rFonts w:asciiTheme="minorHAnsi" w:hAnsiTheme="minorHAnsi" w:cstheme="minorHAnsi"/>
          <w:sz w:val="22"/>
          <w:szCs w:val="22"/>
        </w:rPr>
        <w:t xml:space="preserve">. </w:t>
      </w:r>
    </w:p>
    <w:p w:rsidRPr="00AE3341" w:rsidR="00CB10DA" w:rsidP="00D66C51" w:rsidRDefault="00CB10DA" w14:paraId="03A4032F" w14:textId="77777777">
      <w:pPr>
        <w:pStyle w:val="NormalSS"/>
        <w:spacing w:after="0"/>
        <w:ind w:firstLine="0"/>
        <w:rPr>
          <w:rFonts w:asciiTheme="minorHAnsi" w:hAnsiTheme="minorHAnsi" w:cstheme="minorHAnsi"/>
          <w:sz w:val="22"/>
          <w:szCs w:val="22"/>
        </w:rPr>
      </w:pPr>
    </w:p>
    <w:p w:rsidRPr="009139B3" w:rsidR="001D1C73" w:rsidP="0024795A" w:rsidRDefault="001D1C73" w14:paraId="3B7ABC79" w14:textId="77777777">
      <w:pPr>
        <w:tabs>
          <w:tab w:val="left" w:pos="630"/>
        </w:tabs>
        <w:spacing w:after="120" w:line="240" w:lineRule="auto"/>
        <w:ind w:left="630" w:hanging="630"/>
        <w:rPr>
          <w:b/>
        </w:rPr>
      </w:pPr>
      <w:r w:rsidRPr="009139B3">
        <w:rPr>
          <w:b/>
        </w:rPr>
        <w:t>A4</w:t>
      </w:r>
      <w:r w:rsidRPr="0024795A">
        <w:rPr>
          <w:b/>
        </w:rPr>
        <w:t>.</w:t>
      </w:r>
      <w:r w:rsidRPr="0024795A">
        <w:rPr>
          <w:b/>
        </w:rPr>
        <w:tab/>
      </w:r>
      <w:r w:rsidRPr="009139B3">
        <w:rPr>
          <w:b/>
        </w:rPr>
        <w:t>Use of Existing Data: Efforts to reduce duplication, minimize burden, and increase utility and government efficiency</w:t>
      </w:r>
    </w:p>
    <w:p w:rsidR="001D1C73" w:rsidP="00CB10DA" w:rsidRDefault="00AE3341" w14:paraId="23E0A2E3" w14:textId="4BCE0EC9">
      <w:pPr>
        <w:pStyle w:val="NormalSS"/>
        <w:spacing w:after="0"/>
        <w:ind w:firstLine="0"/>
        <w:rPr>
          <w:rFonts w:asciiTheme="minorHAnsi" w:hAnsiTheme="minorHAnsi" w:cstheme="minorHAnsi"/>
          <w:sz w:val="22"/>
          <w:szCs w:val="22"/>
        </w:rPr>
      </w:pPr>
      <w:r>
        <w:rPr>
          <w:rFonts w:asciiTheme="minorHAnsi" w:hAnsiTheme="minorHAnsi" w:cstheme="minorHAnsi"/>
          <w:sz w:val="22"/>
          <w:szCs w:val="22"/>
        </w:rPr>
        <w:t xml:space="preserve">Wherever possible, we will use existing administrative information from </w:t>
      </w:r>
      <w:r w:rsidR="0058640B">
        <w:rPr>
          <w:rFonts w:asciiTheme="minorHAnsi" w:hAnsiTheme="minorHAnsi" w:cstheme="minorHAnsi"/>
          <w:sz w:val="22"/>
          <w:szCs w:val="22"/>
        </w:rPr>
        <w:t xml:space="preserve">the </w:t>
      </w:r>
      <w:r>
        <w:rPr>
          <w:rFonts w:asciiTheme="minorHAnsi" w:hAnsiTheme="minorHAnsi" w:cstheme="minorHAnsi"/>
          <w:sz w:val="22"/>
          <w:szCs w:val="22"/>
        </w:rPr>
        <w:t xml:space="preserve">PIR about EHS program characteristics to prevent duplication, minimize burden, and increase efficiency. </w:t>
      </w:r>
      <w:r w:rsidR="00E821B6">
        <w:rPr>
          <w:rFonts w:asciiTheme="minorHAnsi" w:hAnsiTheme="minorHAnsi" w:cstheme="minorHAnsi"/>
          <w:sz w:val="22"/>
          <w:szCs w:val="22"/>
        </w:rPr>
        <w:t>T</w:t>
      </w:r>
      <w:r w:rsidR="00E23F8F">
        <w:rPr>
          <w:rFonts w:asciiTheme="minorHAnsi" w:hAnsiTheme="minorHAnsi" w:cstheme="minorHAnsi"/>
          <w:sz w:val="22"/>
          <w:szCs w:val="22"/>
        </w:rPr>
        <w:t>o</w:t>
      </w:r>
      <w:r w:rsidR="00E821B6">
        <w:rPr>
          <w:rFonts w:asciiTheme="minorHAnsi" w:hAnsiTheme="minorHAnsi" w:cstheme="minorHAnsi"/>
          <w:sz w:val="22"/>
          <w:szCs w:val="22"/>
        </w:rPr>
        <w:t xml:space="preserve"> red</w:t>
      </w:r>
      <w:r w:rsidR="00E23F8F">
        <w:rPr>
          <w:rFonts w:asciiTheme="minorHAnsi" w:hAnsiTheme="minorHAnsi" w:cstheme="minorHAnsi"/>
          <w:sz w:val="22"/>
          <w:szCs w:val="22"/>
        </w:rPr>
        <w:t>u</w:t>
      </w:r>
      <w:r w:rsidR="00E821B6">
        <w:rPr>
          <w:rFonts w:asciiTheme="minorHAnsi" w:hAnsiTheme="minorHAnsi" w:cstheme="minorHAnsi"/>
          <w:sz w:val="22"/>
          <w:szCs w:val="22"/>
        </w:rPr>
        <w:t>ce respondent burden for NDS participants,</w:t>
      </w:r>
      <w:r w:rsidR="00F85648">
        <w:rPr>
          <w:rFonts w:asciiTheme="minorHAnsi" w:hAnsiTheme="minorHAnsi" w:cstheme="minorHAnsi"/>
          <w:sz w:val="22"/>
          <w:szCs w:val="22"/>
        </w:rPr>
        <w:t xml:space="preserve"> we will </w:t>
      </w:r>
      <w:r w:rsidR="00712831">
        <w:rPr>
          <w:rFonts w:asciiTheme="minorHAnsi" w:hAnsiTheme="minorHAnsi" w:cstheme="minorHAnsi"/>
          <w:sz w:val="22"/>
          <w:szCs w:val="22"/>
        </w:rPr>
        <w:t xml:space="preserve">preload </w:t>
      </w:r>
      <w:r w:rsidR="00D00DB5">
        <w:rPr>
          <w:rFonts w:asciiTheme="minorHAnsi" w:hAnsiTheme="minorHAnsi" w:cstheme="minorHAnsi"/>
          <w:sz w:val="22"/>
          <w:szCs w:val="22"/>
        </w:rPr>
        <w:t xml:space="preserve">the </w:t>
      </w:r>
      <w:r w:rsidR="00D66B8E">
        <w:rPr>
          <w:rFonts w:asciiTheme="minorHAnsi" w:hAnsiTheme="minorHAnsi" w:cstheme="minorHAnsi"/>
          <w:sz w:val="22"/>
          <w:szCs w:val="22"/>
        </w:rPr>
        <w:t>provider</w:t>
      </w:r>
      <w:r w:rsidR="00712831">
        <w:rPr>
          <w:rFonts w:asciiTheme="minorHAnsi" w:hAnsiTheme="minorHAnsi" w:cstheme="minorHAnsi"/>
          <w:sz w:val="22"/>
          <w:szCs w:val="22"/>
        </w:rPr>
        <w:t xml:space="preserve"> information they provided in 2016</w:t>
      </w:r>
      <w:r w:rsidR="00CB10DA">
        <w:rPr>
          <w:rFonts w:asciiTheme="minorHAnsi" w:hAnsiTheme="minorHAnsi" w:cstheme="minorHAnsi"/>
          <w:sz w:val="22"/>
          <w:szCs w:val="22"/>
        </w:rPr>
        <w:t xml:space="preserve"> so they only need to confirm or make minor updates</w:t>
      </w:r>
      <w:r w:rsidR="00E821B6">
        <w:rPr>
          <w:rFonts w:asciiTheme="minorHAnsi" w:hAnsiTheme="minorHAnsi" w:cstheme="minorHAnsi"/>
          <w:sz w:val="22"/>
          <w:szCs w:val="22"/>
        </w:rPr>
        <w:t xml:space="preserve">. </w:t>
      </w:r>
      <w:r w:rsidRPr="00B9283A">
        <w:rPr>
          <w:rFonts w:asciiTheme="minorHAnsi" w:hAnsiTheme="minorHAnsi" w:cstheme="minorHAnsi"/>
          <w:sz w:val="22"/>
          <w:szCs w:val="22"/>
        </w:rPr>
        <w:t>No</w:t>
      </w:r>
      <w:r>
        <w:rPr>
          <w:rFonts w:asciiTheme="minorHAnsi" w:hAnsiTheme="minorHAnsi" w:cstheme="minorHAnsi"/>
          <w:sz w:val="22"/>
          <w:szCs w:val="22"/>
        </w:rPr>
        <w:t xml:space="preserve"> </w:t>
      </w:r>
      <w:r w:rsidRPr="00B9283A">
        <w:rPr>
          <w:rFonts w:asciiTheme="minorHAnsi" w:hAnsiTheme="minorHAnsi" w:cstheme="minorHAnsi"/>
          <w:sz w:val="22"/>
          <w:szCs w:val="22"/>
        </w:rPr>
        <w:t xml:space="preserve">study instruments ask for information that is available from alternative data sources, including administrative data. </w:t>
      </w:r>
    </w:p>
    <w:p w:rsidRPr="00CF630B" w:rsidR="00CB10DA" w:rsidP="00D66C51" w:rsidRDefault="00CB10DA" w14:paraId="5EA0B745" w14:textId="77777777">
      <w:pPr>
        <w:pStyle w:val="NormalSS"/>
        <w:spacing w:after="0"/>
        <w:ind w:firstLine="0"/>
        <w:rPr>
          <w:rFonts w:asciiTheme="minorHAnsi" w:hAnsiTheme="minorHAnsi" w:cstheme="minorHAnsi"/>
          <w:sz w:val="22"/>
          <w:szCs w:val="22"/>
        </w:rPr>
      </w:pPr>
    </w:p>
    <w:p w:rsidRPr="0024795A" w:rsidR="001D1C73" w:rsidP="0024795A" w:rsidRDefault="001D1C73" w14:paraId="4BED94FB" w14:textId="77777777">
      <w:pPr>
        <w:tabs>
          <w:tab w:val="left" w:pos="630"/>
        </w:tabs>
        <w:spacing w:after="120" w:line="240" w:lineRule="auto"/>
        <w:ind w:left="630" w:hanging="630"/>
        <w:rPr>
          <w:b/>
        </w:rPr>
      </w:pPr>
      <w:r w:rsidRPr="009139B3">
        <w:rPr>
          <w:b/>
        </w:rPr>
        <w:t>A5</w:t>
      </w:r>
      <w:r w:rsidRPr="0024795A">
        <w:rPr>
          <w:b/>
        </w:rPr>
        <w:t>.</w:t>
      </w:r>
      <w:r w:rsidRPr="0024795A">
        <w:rPr>
          <w:b/>
        </w:rPr>
        <w:tab/>
      </w:r>
      <w:r w:rsidRPr="009139B3">
        <w:rPr>
          <w:b/>
        </w:rPr>
        <w:t>Impact on Small Businesses</w:t>
      </w:r>
      <w:r w:rsidRPr="0024795A">
        <w:rPr>
          <w:b/>
        </w:rPr>
        <w:t xml:space="preserve"> </w:t>
      </w:r>
    </w:p>
    <w:p w:rsidR="00CF630B" w:rsidP="00CB10DA" w:rsidRDefault="00CF630B" w14:paraId="34AD5CBF" w14:textId="26218C9D">
      <w:pPr>
        <w:pStyle w:val="NormalSS"/>
        <w:spacing w:after="0"/>
        <w:ind w:firstLine="0"/>
        <w:rPr>
          <w:rFonts w:asciiTheme="minorHAnsi" w:hAnsiTheme="minorHAnsi" w:cstheme="minorHAnsi"/>
          <w:sz w:val="22"/>
          <w:szCs w:val="22"/>
        </w:rPr>
      </w:pPr>
      <w:r w:rsidRPr="00B9283A">
        <w:rPr>
          <w:rFonts w:asciiTheme="minorHAnsi" w:hAnsiTheme="minorHAnsi" w:cstheme="minorHAnsi"/>
          <w:sz w:val="22"/>
          <w:szCs w:val="22"/>
        </w:rPr>
        <w:t xml:space="preserve">Most of the </w:t>
      </w:r>
      <w:r w:rsidR="00F27710">
        <w:rPr>
          <w:rFonts w:asciiTheme="minorHAnsi" w:hAnsiTheme="minorHAnsi" w:cstheme="minorHAnsi"/>
          <w:sz w:val="22"/>
          <w:szCs w:val="22"/>
        </w:rPr>
        <w:t>EHS</w:t>
      </w:r>
      <w:r w:rsidRPr="00B9283A" w:rsidR="00295C08">
        <w:rPr>
          <w:rFonts w:asciiTheme="minorHAnsi" w:hAnsiTheme="minorHAnsi" w:cstheme="minorHAnsi"/>
          <w:sz w:val="22"/>
          <w:szCs w:val="22"/>
        </w:rPr>
        <w:t xml:space="preserve"> </w:t>
      </w:r>
      <w:r w:rsidRPr="00B9283A">
        <w:rPr>
          <w:rFonts w:asciiTheme="minorHAnsi" w:hAnsiTheme="minorHAnsi" w:cstheme="minorHAnsi"/>
          <w:sz w:val="22"/>
          <w:szCs w:val="22"/>
        </w:rPr>
        <w:t xml:space="preserve">programs and child care </w:t>
      </w:r>
      <w:r w:rsidR="00691078">
        <w:rPr>
          <w:rFonts w:asciiTheme="minorHAnsi" w:hAnsiTheme="minorHAnsi" w:cstheme="minorHAnsi"/>
          <w:sz w:val="22"/>
          <w:szCs w:val="22"/>
        </w:rPr>
        <w:t>providers</w:t>
      </w:r>
      <w:r w:rsidRPr="00B9283A" w:rsidR="00691078">
        <w:rPr>
          <w:rFonts w:asciiTheme="minorHAnsi" w:hAnsiTheme="minorHAnsi" w:cstheme="minorHAnsi"/>
          <w:sz w:val="22"/>
          <w:szCs w:val="22"/>
        </w:rPr>
        <w:t xml:space="preserve"> </w:t>
      </w:r>
      <w:r w:rsidRPr="00B9283A">
        <w:rPr>
          <w:rFonts w:asciiTheme="minorHAnsi" w:hAnsiTheme="minorHAnsi" w:cstheme="minorHAnsi"/>
          <w:sz w:val="22"/>
          <w:szCs w:val="22"/>
        </w:rPr>
        <w:t>in the study will be small organizations, including community-based organizations and other nonprofits</w:t>
      </w:r>
      <w:r w:rsidR="00691078">
        <w:rPr>
          <w:rFonts w:asciiTheme="minorHAnsi" w:hAnsiTheme="minorHAnsi" w:cstheme="minorHAnsi"/>
          <w:sz w:val="22"/>
          <w:szCs w:val="22"/>
        </w:rPr>
        <w:t>, as well as small businesses</w:t>
      </w:r>
      <w:r w:rsidRPr="00B9283A">
        <w:rPr>
          <w:rFonts w:asciiTheme="minorHAnsi" w:hAnsiTheme="minorHAnsi" w:cstheme="minorHAnsi"/>
          <w:sz w:val="22"/>
          <w:szCs w:val="22"/>
        </w:rPr>
        <w:t xml:space="preserve">. We will minimize burden for respondents by restricting the length of </w:t>
      </w:r>
      <w:r>
        <w:rPr>
          <w:rFonts w:asciiTheme="minorHAnsi" w:hAnsiTheme="minorHAnsi" w:cstheme="minorHAnsi"/>
          <w:sz w:val="22"/>
          <w:szCs w:val="22"/>
        </w:rPr>
        <w:t xml:space="preserve">the </w:t>
      </w:r>
      <w:r w:rsidRPr="00B9283A">
        <w:rPr>
          <w:rFonts w:asciiTheme="minorHAnsi" w:hAnsiTheme="minorHAnsi" w:cstheme="minorHAnsi"/>
          <w:sz w:val="22"/>
          <w:szCs w:val="22"/>
        </w:rPr>
        <w:t>survey</w:t>
      </w:r>
      <w:r>
        <w:rPr>
          <w:rFonts w:asciiTheme="minorHAnsi" w:hAnsiTheme="minorHAnsi" w:cstheme="minorHAnsi"/>
          <w:sz w:val="22"/>
          <w:szCs w:val="22"/>
        </w:rPr>
        <w:t>s</w:t>
      </w:r>
      <w:r w:rsidRPr="00B9283A">
        <w:rPr>
          <w:rFonts w:asciiTheme="minorHAnsi" w:hAnsiTheme="minorHAnsi" w:cstheme="minorHAnsi"/>
          <w:sz w:val="22"/>
          <w:szCs w:val="22"/>
        </w:rPr>
        <w:t xml:space="preserve"> </w:t>
      </w:r>
      <w:r w:rsidR="00D67ACC">
        <w:rPr>
          <w:rFonts w:asciiTheme="minorHAnsi" w:hAnsiTheme="minorHAnsi" w:cstheme="minorHAnsi"/>
          <w:sz w:val="22"/>
          <w:szCs w:val="22"/>
        </w:rPr>
        <w:t xml:space="preserve">and interviews </w:t>
      </w:r>
      <w:r w:rsidRPr="00B9283A">
        <w:rPr>
          <w:rFonts w:asciiTheme="minorHAnsi" w:hAnsiTheme="minorHAnsi" w:cstheme="minorHAnsi"/>
          <w:sz w:val="22"/>
          <w:szCs w:val="22"/>
        </w:rPr>
        <w:t xml:space="preserve">as </w:t>
      </w:r>
      <w:r w:rsidR="00636544">
        <w:rPr>
          <w:rFonts w:asciiTheme="minorHAnsi" w:hAnsiTheme="minorHAnsi" w:cstheme="minorHAnsi"/>
          <w:sz w:val="22"/>
          <w:szCs w:val="22"/>
        </w:rPr>
        <w:t xml:space="preserve">much as </w:t>
      </w:r>
      <w:r w:rsidRPr="00B9283A">
        <w:rPr>
          <w:rFonts w:asciiTheme="minorHAnsi" w:hAnsiTheme="minorHAnsi" w:cstheme="minorHAnsi"/>
          <w:sz w:val="22"/>
          <w:szCs w:val="22"/>
        </w:rPr>
        <w:t>possible</w:t>
      </w:r>
      <w:r w:rsidR="00101AEC">
        <w:rPr>
          <w:rFonts w:asciiTheme="minorHAnsi" w:hAnsiTheme="minorHAnsi" w:cstheme="minorHAnsi"/>
          <w:sz w:val="22"/>
          <w:szCs w:val="22"/>
        </w:rPr>
        <w:t>;</w:t>
      </w:r>
      <w:r w:rsidRPr="00B9283A">
        <w:rPr>
          <w:rFonts w:asciiTheme="minorHAnsi" w:hAnsiTheme="minorHAnsi" w:cstheme="minorHAnsi"/>
          <w:sz w:val="22"/>
          <w:szCs w:val="22"/>
        </w:rPr>
        <w:t xml:space="preserve"> </w:t>
      </w:r>
      <w:r w:rsidRPr="00B9283A" w:rsidR="00E25BB3">
        <w:rPr>
          <w:rFonts w:asciiTheme="minorHAnsi" w:hAnsiTheme="minorHAnsi" w:cstheme="minorHAnsi"/>
          <w:sz w:val="22"/>
          <w:szCs w:val="22"/>
        </w:rPr>
        <w:t>providing instruments in a web-based format</w:t>
      </w:r>
      <w:r w:rsidR="00E25BB3">
        <w:rPr>
          <w:rFonts w:asciiTheme="minorHAnsi" w:hAnsiTheme="minorHAnsi" w:cstheme="minorHAnsi"/>
          <w:sz w:val="22"/>
          <w:szCs w:val="22"/>
        </w:rPr>
        <w:t>; and</w:t>
      </w:r>
      <w:r w:rsidRPr="00B9283A" w:rsidR="00E25BB3">
        <w:rPr>
          <w:rFonts w:asciiTheme="minorHAnsi" w:hAnsiTheme="minorHAnsi" w:cstheme="minorHAnsi"/>
          <w:sz w:val="22"/>
          <w:szCs w:val="22"/>
        </w:rPr>
        <w:t xml:space="preserve"> </w:t>
      </w:r>
      <w:r w:rsidRPr="00B9283A">
        <w:rPr>
          <w:rFonts w:asciiTheme="minorHAnsi" w:hAnsiTheme="minorHAnsi" w:cstheme="minorHAnsi"/>
          <w:sz w:val="22"/>
          <w:szCs w:val="22"/>
        </w:rPr>
        <w:t>conducting survey interviews</w:t>
      </w:r>
      <w:r w:rsidR="00E25BB3">
        <w:rPr>
          <w:rFonts w:asciiTheme="minorHAnsi" w:hAnsiTheme="minorHAnsi" w:cstheme="minorHAnsi"/>
          <w:sz w:val="22"/>
          <w:szCs w:val="22"/>
        </w:rPr>
        <w:t xml:space="preserve"> (if requested)</w:t>
      </w:r>
      <w:r w:rsidRPr="00B9283A">
        <w:rPr>
          <w:rFonts w:asciiTheme="minorHAnsi" w:hAnsiTheme="minorHAnsi" w:cstheme="minorHAnsi"/>
          <w:sz w:val="22"/>
          <w:szCs w:val="22"/>
        </w:rPr>
        <w:t xml:space="preserve"> </w:t>
      </w:r>
      <w:r w:rsidR="00E510C1">
        <w:rPr>
          <w:rFonts w:asciiTheme="minorHAnsi" w:hAnsiTheme="minorHAnsi" w:cstheme="minorHAnsi"/>
          <w:sz w:val="22"/>
          <w:szCs w:val="22"/>
        </w:rPr>
        <w:t xml:space="preserve">and semi-structured interviews </w:t>
      </w:r>
      <w:r w:rsidRPr="00B9283A">
        <w:rPr>
          <w:rFonts w:asciiTheme="minorHAnsi" w:hAnsiTheme="minorHAnsi" w:cstheme="minorHAnsi"/>
          <w:sz w:val="22"/>
          <w:szCs w:val="22"/>
        </w:rPr>
        <w:t>via telephone</w:t>
      </w:r>
      <w:r>
        <w:rPr>
          <w:rFonts w:asciiTheme="minorHAnsi" w:hAnsiTheme="minorHAnsi" w:cstheme="minorHAnsi"/>
          <w:sz w:val="22"/>
          <w:szCs w:val="22"/>
        </w:rPr>
        <w:t xml:space="preserve"> </w:t>
      </w:r>
      <w:r w:rsidRPr="00B9283A">
        <w:rPr>
          <w:rFonts w:asciiTheme="minorHAnsi" w:hAnsiTheme="minorHAnsi" w:cstheme="minorHAnsi"/>
          <w:sz w:val="22"/>
          <w:szCs w:val="22"/>
        </w:rPr>
        <w:t>at times that are convenient to the respondent.</w:t>
      </w:r>
    </w:p>
    <w:p w:rsidRPr="00B9283A" w:rsidR="00CB10DA" w:rsidP="00D66C51" w:rsidRDefault="00CB10DA" w14:paraId="2CB08909" w14:textId="77777777">
      <w:pPr>
        <w:pStyle w:val="NormalSS"/>
        <w:spacing w:after="0"/>
        <w:ind w:firstLine="0"/>
        <w:rPr>
          <w:rFonts w:asciiTheme="minorHAnsi" w:hAnsiTheme="minorHAnsi" w:cstheme="minorHAnsi"/>
          <w:sz w:val="22"/>
          <w:szCs w:val="22"/>
        </w:rPr>
      </w:pPr>
    </w:p>
    <w:p w:rsidRPr="0024795A" w:rsidR="001D1C73" w:rsidP="0024795A" w:rsidRDefault="001D1C73" w14:paraId="190C1007" w14:textId="77777777">
      <w:pPr>
        <w:tabs>
          <w:tab w:val="left" w:pos="630"/>
        </w:tabs>
        <w:spacing w:after="120" w:line="240" w:lineRule="auto"/>
        <w:ind w:left="630" w:hanging="630"/>
        <w:rPr>
          <w:b/>
        </w:rPr>
      </w:pPr>
      <w:r w:rsidRPr="009139B3">
        <w:rPr>
          <w:b/>
        </w:rPr>
        <w:t>A6</w:t>
      </w:r>
      <w:r w:rsidRPr="0024795A">
        <w:rPr>
          <w:b/>
        </w:rPr>
        <w:t>.</w:t>
      </w:r>
      <w:r w:rsidRPr="0024795A">
        <w:rPr>
          <w:b/>
        </w:rPr>
        <w:tab/>
      </w:r>
      <w:r w:rsidRPr="009139B3">
        <w:rPr>
          <w:b/>
        </w:rPr>
        <w:t>Consequences of Less Frequent Collection</w:t>
      </w:r>
      <w:r w:rsidRPr="0024795A">
        <w:rPr>
          <w:b/>
        </w:rPr>
        <w:t xml:space="preserve">  </w:t>
      </w:r>
    </w:p>
    <w:p w:rsidR="001D1C73" w:rsidP="00CB10DA" w:rsidRDefault="00CF630B" w14:paraId="460558B7" w14:textId="2AA64323">
      <w:pPr>
        <w:pStyle w:val="NormalSS"/>
        <w:spacing w:after="0"/>
        <w:ind w:firstLine="0"/>
        <w:rPr>
          <w:rFonts w:asciiTheme="minorHAnsi" w:hAnsiTheme="minorHAnsi" w:cstheme="minorHAnsi"/>
          <w:sz w:val="22"/>
          <w:szCs w:val="22"/>
        </w:rPr>
      </w:pPr>
      <w:r w:rsidRPr="00B9283A">
        <w:rPr>
          <w:rFonts w:asciiTheme="minorHAnsi" w:hAnsiTheme="minorHAnsi" w:cstheme="minorHAnsi"/>
          <w:sz w:val="22"/>
          <w:szCs w:val="22"/>
        </w:rPr>
        <w:t xml:space="preserve">No </w:t>
      </w:r>
      <w:r w:rsidR="00295C08">
        <w:rPr>
          <w:rFonts w:asciiTheme="minorHAnsi" w:hAnsiTheme="minorHAnsi" w:cstheme="minorHAnsi"/>
          <w:sz w:val="22"/>
          <w:szCs w:val="22"/>
        </w:rPr>
        <w:t xml:space="preserve">comprehensive </w:t>
      </w:r>
      <w:r w:rsidRPr="00B9283A">
        <w:rPr>
          <w:rFonts w:asciiTheme="minorHAnsi" w:hAnsiTheme="minorHAnsi" w:cstheme="minorHAnsi"/>
          <w:sz w:val="22"/>
          <w:szCs w:val="22"/>
        </w:rPr>
        <w:t xml:space="preserve">information has been collected on </w:t>
      </w:r>
      <w:r w:rsidR="00B93A7C">
        <w:rPr>
          <w:rFonts w:asciiTheme="minorHAnsi" w:hAnsiTheme="minorHAnsi" w:cstheme="minorHAnsi"/>
          <w:sz w:val="22"/>
          <w:szCs w:val="22"/>
        </w:rPr>
        <w:t>EHS</w:t>
      </w:r>
      <w:r w:rsidRPr="00CF630B">
        <w:rPr>
          <w:rFonts w:asciiTheme="minorHAnsi" w:hAnsiTheme="minorHAnsi" w:cstheme="minorHAnsi"/>
          <w:sz w:val="22"/>
          <w:szCs w:val="22"/>
        </w:rPr>
        <w:t xml:space="preserve"> programs and child care providers </w:t>
      </w:r>
      <w:r w:rsidRPr="00B9283A">
        <w:rPr>
          <w:rFonts w:asciiTheme="minorHAnsi" w:hAnsiTheme="minorHAnsi" w:cstheme="minorHAnsi"/>
          <w:sz w:val="22"/>
          <w:szCs w:val="22"/>
        </w:rPr>
        <w:t xml:space="preserve">since the conclusion of </w:t>
      </w:r>
      <w:r>
        <w:rPr>
          <w:rFonts w:asciiTheme="minorHAnsi" w:hAnsiTheme="minorHAnsi" w:cstheme="minorHAnsi"/>
          <w:sz w:val="22"/>
          <w:szCs w:val="22"/>
        </w:rPr>
        <w:t>the NDS</w:t>
      </w:r>
      <w:r w:rsidRPr="00B9283A">
        <w:rPr>
          <w:rFonts w:asciiTheme="minorHAnsi" w:hAnsiTheme="minorHAnsi" w:cstheme="minorHAnsi"/>
          <w:sz w:val="22"/>
          <w:szCs w:val="22"/>
        </w:rPr>
        <w:t xml:space="preserve">. </w:t>
      </w:r>
      <w:r>
        <w:rPr>
          <w:rFonts w:asciiTheme="minorHAnsi" w:hAnsiTheme="minorHAnsi" w:cstheme="minorHAnsi"/>
          <w:sz w:val="22"/>
          <w:szCs w:val="22"/>
        </w:rPr>
        <w:t>This data collection would provide valuable information on how the partnerships have fared since</w:t>
      </w:r>
      <w:r w:rsidR="00E2392D">
        <w:rPr>
          <w:rFonts w:asciiTheme="minorHAnsi" w:hAnsiTheme="minorHAnsi" w:cstheme="minorHAnsi"/>
          <w:sz w:val="22"/>
          <w:szCs w:val="22"/>
        </w:rPr>
        <w:t xml:space="preserve"> the NDS collected survey data in</w:t>
      </w:r>
      <w:r>
        <w:rPr>
          <w:rFonts w:asciiTheme="minorHAnsi" w:hAnsiTheme="minorHAnsi" w:cstheme="minorHAnsi"/>
          <w:sz w:val="22"/>
          <w:szCs w:val="22"/>
        </w:rPr>
        <w:t xml:space="preserve"> </w:t>
      </w:r>
      <w:r w:rsidR="00E2392D">
        <w:rPr>
          <w:rFonts w:asciiTheme="minorHAnsi" w:hAnsiTheme="minorHAnsi" w:cstheme="minorHAnsi"/>
          <w:sz w:val="22"/>
          <w:szCs w:val="22"/>
        </w:rPr>
        <w:t>2016</w:t>
      </w:r>
      <w:r>
        <w:rPr>
          <w:rFonts w:asciiTheme="minorHAnsi" w:hAnsiTheme="minorHAnsi" w:cstheme="minorHAnsi"/>
          <w:sz w:val="22"/>
          <w:szCs w:val="22"/>
        </w:rPr>
        <w:t xml:space="preserve">. </w:t>
      </w:r>
    </w:p>
    <w:p w:rsidRPr="00CF630B" w:rsidR="00CB10DA" w:rsidP="00D66C51" w:rsidRDefault="00CB10DA" w14:paraId="476A59F9" w14:textId="77777777">
      <w:pPr>
        <w:pStyle w:val="NormalSS"/>
        <w:spacing w:after="0"/>
        <w:ind w:firstLine="0"/>
        <w:rPr>
          <w:rFonts w:asciiTheme="minorHAnsi" w:hAnsiTheme="minorHAnsi" w:cstheme="minorHAnsi"/>
          <w:sz w:val="22"/>
          <w:szCs w:val="22"/>
        </w:rPr>
      </w:pPr>
    </w:p>
    <w:p w:rsidRPr="009139B3" w:rsidR="001D1C73" w:rsidP="0024795A" w:rsidRDefault="001D1C73" w14:paraId="08FD8DCF" w14:textId="022AA0D3">
      <w:pPr>
        <w:tabs>
          <w:tab w:val="left" w:pos="630"/>
        </w:tabs>
        <w:spacing w:after="120" w:line="240" w:lineRule="auto"/>
        <w:ind w:left="630" w:hanging="630"/>
        <w:rPr>
          <w:b/>
        </w:rPr>
      </w:pPr>
      <w:r w:rsidRPr="009139B3">
        <w:rPr>
          <w:b/>
        </w:rPr>
        <w:t>A7</w:t>
      </w:r>
      <w:r w:rsidRPr="0024795A">
        <w:rPr>
          <w:b/>
        </w:rPr>
        <w:t>.</w:t>
      </w:r>
      <w:r w:rsidRPr="0024795A">
        <w:rPr>
          <w:b/>
        </w:rPr>
        <w:tab/>
      </w:r>
      <w:r w:rsidRPr="009139B3">
        <w:rPr>
          <w:b/>
        </w:rPr>
        <w:t>Now subsumed under 2(b) above and 10 (below)</w:t>
      </w:r>
    </w:p>
    <w:p w:rsidR="00E510C1" w:rsidP="001D1C73" w:rsidRDefault="00E510C1" w14:paraId="71E151F4" w14:textId="77777777">
      <w:pPr>
        <w:spacing w:after="120"/>
        <w:rPr>
          <w:b/>
        </w:rPr>
      </w:pPr>
    </w:p>
    <w:p w:rsidRPr="009139B3" w:rsidR="001D1C73" w:rsidP="0024795A" w:rsidRDefault="001D1C73" w14:paraId="68912205" w14:textId="10DC637C">
      <w:pPr>
        <w:tabs>
          <w:tab w:val="left" w:pos="630"/>
        </w:tabs>
        <w:spacing w:after="120" w:line="240" w:lineRule="auto"/>
        <w:ind w:left="630" w:hanging="630"/>
        <w:rPr>
          <w:b/>
        </w:rPr>
      </w:pPr>
      <w:r w:rsidRPr="009139B3">
        <w:rPr>
          <w:b/>
        </w:rPr>
        <w:t>A8</w:t>
      </w:r>
      <w:r w:rsidRPr="0024795A">
        <w:rPr>
          <w:b/>
        </w:rPr>
        <w:t>.</w:t>
      </w:r>
      <w:r w:rsidRPr="0024795A">
        <w:rPr>
          <w:b/>
        </w:rPr>
        <w:tab/>
      </w:r>
      <w:r w:rsidRPr="009139B3">
        <w:rPr>
          <w:b/>
        </w:rPr>
        <w:t>Consultation</w:t>
      </w:r>
    </w:p>
    <w:p w:rsidRPr="009139B3" w:rsidR="001D1C73" w:rsidP="000A34FA" w:rsidRDefault="001D1C73" w14:paraId="22D30DBC" w14:textId="77777777">
      <w:pPr>
        <w:spacing w:after="120"/>
        <w:rPr>
          <w:i/>
        </w:rPr>
      </w:pPr>
      <w:r w:rsidRPr="00636544">
        <w:rPr>
          <w:i/>
        </w:rPr>
        <w:t>Federal Register</w:t>
      </w:r>
      <w:r w:rsidRPr="009139B3">
        <w:rPr>
          <w:i/>
        </w:rPr>
        <w:t xml:space="preserve"> Notice and Comments</w:t>
      </w:r>
    </w:p>
    <w:p w:rsidR="001D1C73" w:rsidP="001D1C73" w:rsidRDefault="001D1C73" w14:paraId="15C2AFB4" w14:textId="3D0C8D47">
      <w:pPr>
        <w:spacing w:after="0"/>
      </w:pPr>
      <w:r w:rsidRPr="009139B3">
        <w:t xml:space="preserve">In accordance with the Paperwork Reduction Act of 1995 (Pub. L. 104-13) and Office of Management and Budget (OMB) regulations at 5 CFR Part 1320 (60 FR 44978, August 29, 1995), ACF published a notice in the </w:t>
      </w:r>
      <w:r w:rsidRPr="00636544">
        <w:t>Federal Register</w:t>
      </w:r>
      <w:r w:rsidRPr="009139B3">
        <w:t xml:space="preserve"> announcing the agency’s intention to request an OMB review of this information collection activity.  This notice was </w:t>
      </w:r>
      <w:r w:rsidRPr="00EB37A1">
        <w:t xml:space="preserve">published on </w:t>
      </w:r>
      <w:r w:rsidRPr="00D66C51" w:rsidR="008D7A4A">
        <w:t>April 21, 2021</w:t>
      </w:r>
      <w:r w:rsidRPr="00D66C51">
        <w:t xml:space="preserve">, Volume </w:t>
      </w:r>
      <w:r w:rsidRPr="00D66C51" w:rsidR="0004701A">
        <w:t>86</w:t>
      </w:r>
      <w:r w:rsidRPr="00D66C51">
        <w:t xml:space="preserve">, Number </w:t>
      </w:r>
      <w:r w:rsidRPr="00D66C51" w:rsidR="0004701A">
        <w:t>75</w:t>
      </w:r>
      <w:r w:rsidRPr="00D66C51">
        <w:t xml:space="preserve">, </w:t>
      </w:r>
      <w:r w:rsidRPr="00D66C51">
        <w:lastRenderedPageBreak/>
        <w:t xml:space="preserve">page </w:t>
      </w:r>
      <w:r w:rsidRPr="00D66C51" w:rsidR="0004701A">
        <w:t>20,699-2</w:t>
      </w:r>
      <w:r w:rsidRPr="00D66C51" w:rsidR="00EB37A1">
        <w:t>0</w:t>
      </w:r>
      <w:r w:rsidRPr="00D66C51" w:rsidR="0004701A">
        <w:t>,</w:t>
      </w:r>
      <w:r w:rsidRPr="00D66C51" w:rsidR="00EB37A1">
        <w:t>700</w:t>
      </w:r>
      <w:r w:rsidRPr="00D66C51">
        <w:t>,</w:t>
      </w:r>
      <w:r w:rsidRPr="00EB37A1">
        <w:t xml:space="preserve"> and provided a sixty-day period</w:t>
      </w:r>
      <w:r w:rsidRPr="009139B3">
        <w:t xml:space="preserve"> for public comment.  During the notice and comment period, </w:t>
      </w:r>
      <w:r w:rsidR="00892F3A">
        <w:t>one</w:t>
      </w:r>
      <w:r w:rsidRPr="009139B3" w:rsidR="00892F3A">
        <w:t xml:space="preserve"> </w:t>
      </w:r>
      <w:r w:rsidRPr="009139B3">
        <w:t>comment was received,</w:t>
      </w:r>
      <w:r w:rsidR="00892F3A">
        <w:t xml:space="preserve"> from Start Early. The comment</w:t>
      </w:r>
      <w:r w:rsidRPr="009139B3">
        <w:t xml:space="preserve"> is attached</w:t>
      </w:r>
      <w:r w:rsidR="00522BA1">
        <w:t xml:space="preserve"> as Appendix A</w:t>
      </w:r>
      <w:r w:rsidRPr="009139B3">
        <w:t xml:space="preserve">. </w:t>
      </w:r>
    </w:p>
    <w:p w:rsidR="00892F3A" w:rsidP="001D1C73" w:rsidRDefault="00892F3A" w14:paraId="66342BBE" w14:textId="325D19BC">
      <w:pPr>
        <w:spacing w:after="0"/>
      </w:pPr>
      <w:r>
        <w:t xml:space="preserve">Start Early’s comments focused on </w:t>
      </w:r>
      <w:r w:rsidR="00A63FE2">
        <w:t>strengths of the partnerships,</w:t>
      </w:r>
      <w:r>
        <w:t xml:space="preserve"> workforce development, impacts of the COVID-19 pandemic, </w:t>
      </w:r>
      <w:r w:rsidR="00A63FE2">
        <w:t xml:space="preserve">inclusive language to refer to parental leave, and provider data that </w:t>
      </w:r>
      <w:r w:rsidR="007A059B">
        <w:t>EHS</w:t>
      </w:r>
      <w:r w:rsidR="00A63FE2">
        <w:t xml:space="preserve"> programs already collect. We gave careful consideration to these important topics and found that many were outside the scope of the Sustainability Study</w:t>
      </w:r>
      <w:r w:rsidR="007A059B">
        <w:t>, or might be better addressed by another study (for example, Baby FACES</w:t>
      </w:r>
      <w:r w:rsidR="00EB37A1">
        <w:rPr>
          <w:rStyle w:val="FootnoteReference"/>
        </w:rPr>
        <w:footnoteReference w:id="2"/>
      </w:r>
      <w:r w:rsidR="003F3D75">
        <w:t xml:space="preserve"> includes a</w:t>
      </w:r>
      <w:r w:rsidR="007A059B">
        <w:t xml:space="preserve"> nationally representative sample of EHS programs). Some comments, such as those on highlighting successes and strengths, can likely be addressed in analysis and reporting from this study.</w:t>
      </w:r>
    </w:p>
    <w:p w:rsidR="007A059B" w:rsidP="003F3D75" w:rsidRDefault="007A059B" w14:paraId="7B273E5F" w14:textId="2B90C3FD">
      <w:pPr>
        <w:spacing w:after="0" w:line="240" w:lineRule="auto"/>
      </w:pPr>
    </w:p>
    <w:p w:rsidR="007A059B" w:rsidP="001D1C73" w:rsidRDefault="007A059B" w14:paraId="6BBB95F4" w14:textId="1AC2C1BB">
      <w:pPr>
        <w:spacing w:after="0"/>
      </w:pPr>
      <w:r>
        <w:t xml:space="preserve">We did incorporate </w:t>
      </w:r>
      <w:r w:rsidR="006A763E">
        <w:t>two updates</w:t>
      </w:r>
      <w:r>
        <w:t xml:space="preserve"> in response to these comments.</w:t>
      </w:r>
    </w:p>
    <w:p w:rsidR="007A059B" w:rsidP="007A059B" w:rsidRDefault="007A059B" w14:paraId="5850F11D" w14:textId="3C8EF08F">
      <w:pPr>
        <w:pStyle w:val="ListParagraph"/>
        <w:numPr>
          <w:ilvl w:val="0"/>
          <w:numId w:val="50"/>
        </w:numPr>
        <w:spacing w:after="0"/>
      </w:pPr>
      <w:r>
        <w:t>We changed language from “maternity leave” to “parental leave” across instruments.</w:t>
      </w:r>
    </w:p>
    <w:p w:rsidRPr="009139B3" w:rsidR="007A059B" w:rsidP="007A059B" w:rsidRDefault="006A763E" w14:paraId="2E3059D2" w14:textId="4072F244">
      <w:pPr>
        <w:pStyle w:val="ListParagraph"/>
        <w:numPr>
          <w:ilvl w:val="0"/>
          <w:numId w:val="50"/>
        </w:numPr>
        <w:spacing w:after="0"/>
      </w:pPr>
      <w:r>
        <w:t>In the Sustained Partnership Provider survey, we updated an item on professional development to include less formal professional growth opportunities.</w:t>
      </w:r>
      <w:r w:rsidR="007A059B">
        <w:t xml:space="preserve"> </w:t>
      </w:r>
    </w:p>
    <w:p w:rsidR="003F3D75" w:rsidP="00D66C51" w:rsidRDefault="003F3D75" w14:paraId="5F0FB568" w14:textId="77777777">
      <w:pPr>
        <w:spacing w:after="0" w:line="240" w:lineRule="auto"/>
        <w:rPr>
          <w:iCs/>
        </w:rPr>
      </w:pPr>
    </w:p>
    <w:p w:rsidR="00A63FE2" w:rsidP="00EB37A1" w:rsidRDefault="003F3D75" w14:paraId="7DBB8C71" w14:textId="690EAF34">
      <w:pPr>
        <w:spacing w:after="0"/>
        <w:rPr>
          <w:iCs/>
        </w:rPr>
      </w:pPr>
      <w:r>
        <w:rPr>
          <w:iCs/>
        </w:rPr>
        <w:t>These updates will make the study more inclusive of all parents, and of the range of professional growth opportunities providers might have.</w:t>
      </w:r>
    </w:p>
    <w:p w:rsidRPr="003F3D75" w:rsidR="00EB37A1" w:rsidP="00D66C51" w:rsidRDefault="00EB37A1" w14:paraId="73643DA5" w14:textId="77777777">
      <w:pPr>
        <w:spacing w:after="0"/>
        <w:rPr>
          <w:iCs/>
        </w:rPr>
      </w:pPr>
    </w:p>
    <w:p w:rsidRPr="00216226" w:rsidR="001D1C73" w:rsidP="00D66C51" w:rsidRDefault="001D1C73" w14:paraId="404D40E1" w14:textId="447954EB">
      <w:pPr>
        <w:spacing w:after="60"/>
        <w:rPr>
          <w:i/>
        </w:rPr>
      </w:pPr>
      <w:r w:rsidRPr="00216226">
        <w:rPr>
          <w:i/>
        </w:rPr>
        <w:t>Consultation with Experts Outside of the Study</w:t>
      </w:r>
    </w:p>
    <w:p w:rsidRPr="00216226" w:rsidR="00216226" w:rsidP="00863F9A" w:rsidRDefault="00216226" w14:paraId="1E12D517" w14:textId="5C1A37D5">
      <w:pPr>
        <w:spacing w:after="240"/>
      </w:pPr>
      <w:r w:rsidRPr="00506FEF">
        <w:t xml:space="preserve">We consulted with experts to complement our team’s knowledge and experience (Table A.2). Consultants included researchers with expertise in </w:t>
      </w:r>
      <w:r w:rsidR="00B93A7C">
        <w:t>EHS</w:t>
      </w:r>
      <w:r w:rsidRPr="00506FEF" w:rsidR="00295C08">
        <w:t xml:space="preserve"> </w:t>
      </w:r>
      <w:r w:rsidRPr="00506FEF">
        <w:t xml:space="preserve">and child care, child development, family engagement, and classroom and </w:t>
      </w:r>
      <w:r w:rsidRPr="00506FEF" w:rsidR="00295C08">
        <w:t>family child care</w:t>
      </w:r>
      <w:r w:rsidRPr="00506FEF">
        <w:t xml:space="preserve"> processes. We also engaged experts with specialized knowledge and skills in the areas of </w:t>
      </w:r>
      <w:r w:rsidRPr="00506FEF" w:rsidR="00295C08">
        <w:t>partnership and collaboration among early care and education providers</w:t>
      </w:r>
      <w:r w:rsidRPr="00506FEF">
        <w:t>.</w:t>
      </w:r>
    </w:p>
    <w:p w:rsidRPr="00E510C1" w:rsidR="000B5498" w:rsidP="000B5498" w:rsidRDefault="000B5498" w14:paraId="6077B163" w14:textId="62F332C7">
      <w:pPr>
        <w:pStyle w:val="MarkforTableTitle"/>
        <w:rPr>
          <w:rFonts w:asciiTheme="minorHAnsi" w:hAnsiTheme="minorHAnsi" w:cstheme="minorHAnsi"/>
          <w:b/>
          <w:bCs/>
          <w:szCs w:val="22"/>
        </w:rPr>
      </w:pPr>
      <w:r w:rsidRPr="00E510C1">
        <w:rPr>
          <w:rFonts w:asciiTheme="minorHAnsi" w:hAnsiTheme="minorHAnsi" w:cstheme="minorHAnsi"/>
          <w:b/>
          <w:bCs/>
          <w:szCs w:val="22"/>
        </w:rPr>
        <w:t xml:space="preserve">Table A.2. </w:t>
      </w:r>
      <w:r w:rsidR="00E510C1">
        <w:rPr>
          <w:rFonts w:asciiTheme="minorHAnsi" w:hAnsiTheme="minorHAnsi" w:cstheme="minorHAnsi"/>
          <w:b/>
          <w:bCs/>
          <w:szCs w:val="22"/>
        </w:rPr>
        <w:t>EHS-CCP Sustainability Study consultation with outside experts</w:t>
      </w:r>
    </w:p>
    <w:tbl>
      <w:tblPr>
        <w:tblW w:w="5000" w:type="pct"/>
        <w:tblLayout w:type="fixed"/>
        <w:tblLook w:val="0620" w:firstRow="1" w:lastRow="0" w:firstColumn="0" w:lastColumn="0" w:noHBand="1" w:noVBand="1"/>
      </w:tblPr>
      <w:tblGrid>
        <w:gridCol w:w="2250"/>
        <w:gridCol w:w="7110"/>
      </w:tblGrid>
      <w:tr w:rsidRPr="00863F9A" w:rsidR="000B5498" w:rsidTr="00863F9A" w14:paraId="737114E8" w14:textId="77777777">
        <w:trPr>
          <w:tblHeader/>
        </w:trPr>
        <w:tc>
          <w:tcPr>
            <w:tcW w:w="1202" w:type="pct"/>
            <w:tcBorders>
              <w:top w:val="single" w:color="FFFFFF" w:sz="8" w:space="0"/>
            </w:tcBorders>
            <w:shd w:val="clear" w:color="auto" w:fill="6C6F70"/>
          </w:tcPr>
          <w:p w:rsidRPr="00863F9A" w:rsidR="000B5498" w:rsidP="00863F9A" w:rsidRDefault="000B5498" w14:paraId="6ADD1288" w14:textId="77777777">
            <w:pPr>
              <w:pStyle w:val="TableHeaderLeft"/>
              <w:spacing w:before="60"/>
              <w:rPr>
                <w:rFonts w:asciiTheme="minorHAnsi" w:hAnsiTheme="minorHAnsi" w:cstheme="minorHAnsi"/>
                <w:sz w:val="20"/>
              </w:rPr>
            </w:pPr>
            <w:r w:rsidRPr="00863F9A">
              <w:rPr>
                <w:rFonts w:asciiTheme="minorHAnsi" w:hAnsiTheme="minorHAnsi" w:cstheme="minorHAnsi"/>
                <w:sz w:val="20"/>
              </w:rPr>
              <w:t>Name</w:t>
            </w:r>
          </w:p>
        </w:tc>
        <w:tc>
          <w:tcPr>
            <w:tcW w:w="3798" w:type="pct"/>
            <w:tcBorders>
              <w:top w:val="single" w:color="FFFFFF" w:sz="8" w:space="0"/>
            </w:tcBorders>
            <w:shd w:val="clear" w:color="auto" w:fill="6C6F70"/>
          </w:tcPr>
          <w:p w:rsidRPr="00863F9A" w:rsidR="000B5498" w:rsidP="00863F9A" w:rsidRDefault="000B5498" w14:paraId="3E1CD701" w14:textId="77777777">
            <w:pPr>
              <w:pStyle w:val="TableHeaderCenter"/>
              <w:spacing w:before="60"/>
              <w:rPr>
                <w:rFonts w:asciiTheme="minorHAnsi" w:hAnsiTheme="minorHAnsi" w:cstheme="minorHAnsi"/>
                <w:sz w:val="20"/>
              </w:rPr>
            </w:pPr>
            <w:r w:rsidRPr="00863F9A">
              <w:rPr>
                <w:rFonts w:asciiTheme="minorHAnsi" w:hAnsiTheme="minorHAnsi" w:cstheme="minorHAnsi"/>
                <w:sz w:val="20"/>
              </w:rPr>
              <w:t>Affiliation</w:t>
            </w:r>
          </w:p>
        </w:tc>
      </w:tr>
      <w:tr w:rsidRPr="00863F9A" w:rsidR="00EA6D51" w:rsidTr="00863F9A" w14:paraId="775F74C8" w14:textId="77777777">
        <w:tc>
          <w:tcPr>
            <w:tcW w:w="1202" w:type="pct"/>
            <w:shd w:val="clear" w:color="auto" w:fill="auto"/>
          </w:tcPr>
          <w:p w:rsidRPr="00863F9A" w:rsidR="00EA6D51" w:rsidP="00863F9A" w:rsidRDefault="00EA6D51" w14:paraId="2E7F96C9" w14:textId="4D7F370B">
            <w:pPr>
              <w:pStyle w:val="TableText"/>
              <w:spacing w:before="40" w:after="40"/>
              <w:rPr>
                <w:rFonts w:asciiTheme="minorHAnsi" w:hAnsiTheme="minorHAnsi" w:cstheme="minorHAnsi"/>
                <w:sz w:val="20"/>
              </w:rPr>
            </w:pPr>
            <w:r w:rsidRPr="00863F9A">
              <w:rPr>
                <w:rFonts w:asciiTheme="minorHAnsi" w:hAnsiTheme="minorHAnsi" w:cstheme="minorHAnsi"/>
                <w:sz w:val="20"/>
              </w:rPr>
              <w:t>Catherine Ayoub</w:t>
            </w:r>
          </w:p>
        </w:tc>
        <w:tc>
          <w:tcPr>
            <w:tcW w:w="3798" w:type="pct"/>
            <w:shd w:val="clear" w:color="auto" w:fill="auto"/>
          </w:tcPr>
          <w:p w:rsidRPr="00863F9A" w:rsidR="00EA6D51" w:rsidP="00863F9A" w:rsidRDefault="00EA6D51" w14:paraId="6FC86F37" w14:textId="571AC9D2">
            <w:pPr>
              <w:pStyle w:val="TableText"/>
              <w:spacing w:before="40" w:after="40"/>
              <w:rPr>
                <w:rFonts w:asciiTheme="minorHAnsi" w:hAnsiTheme="minorHAnsi" w:cstheme="minorHAnsi"/>
                <w:color w:val="000000"/>
                <w:sz w:val="20"/>
              </w:rPr>
            </w:pPr>
            <w:r w:rsidRPr="00863F9A">
              <w:rPr>
                <w:rFonts w:asciiTheme="minorHAnsi" w:hAnsiTheme="minorHAnsi" w:cstheme="minorHAnsi"/>
                <w:color w:val="000000"/>
                <w:sz w:val="20"/>
              </w:rPr>
              <w:t>Brazelton Touchpoints Center</w:t>
            </w:r>
          </w:p>
        </w:tc>
      </w:tr>
      <w:tr w:rsidRPr="00863F9A" w:rsidR="00EA6D51" w:rsidTr="00863F9A" w14:paraId="5481F184" w14:textId="77777777">
        <w:tc>
          <w:tcPr>
            <w:tcW w:w="1202" w:type="pct"/>
            <w:shd w:val="clear" w:color="auto" w:fill="auto"/>
          </w:tcPr>
          <w:p w:rsidRPr="00863F9A" w:rsidR="00EA6D51" w:rsidP="00863F9A" w:rsidRDefault="00EA6D51" w14:paraId="30D5629C" w14:textId="78651AC8">
            <w:pPr>
              <w:pStyle w:val="TableText"/>
              <w:spacing w:before="40" w:after="40"/>
              <w:rPr>
                <w:rFonts w:asciiTheme="minorHAnsi" w:hAnsiTheme="minorHAnsi" w:cstheme="minorHAnsi"/>
                <w:sz w:val="20"/>
              </w:rPr>
            </w:pPr>
            <w:r w:rsidRPr="00863F9A">
              <w:rPr>
                <w:rFonts w:asciiTheme="minorHAnsi" w:hAnsiTheme="minorHAnsi" w:cstheme="minorHAnsi"/>
                <w:sz w:val="20"/>
              </w:rPr>
              <w:t>Gina Adams</w:t>
            </w:r>
          </w:p>
        </w:tc>
        <w:tc>
          <w:tcPr>
            <w:tcW w:w="3798" w:type="pct"/>
            <w:shd w:val="clear" w:color="auto" w:fill="auto"/>
          </w:tcPr>
          <w:p w:rsidRPr="00863F9A" w:rsidR="00EA6D51" w:rsidP="00863F9A" w:rsidRDefault="00EA6D51" w14:paraId="0534C54E" w14:textId="6658F74E">
            <w:pPr>
              <w:pStyle w:val="TableText"/>
              <w:spacing w:before="40" w:after="40"/>
              <w:rPr>
                <w:rFonts w:asciiTheme="minorHAnsi" w:hAnsiTheme="minorHAnsi" w:cstheme="minorHAnsi"/>
                <w:color w:val="000000"/>
                <w:sz w:val="20"/>
              </w:rPr>
            </w:pPr>
            <w:r w:rsidRPr="00863F9A">
              <w:rPr>
                <w:rFonts w:asciiTheme="minorHAnsi" w:hAnsiTheme="minorHAnsi" w:cstheme="minorHAnsi"/>
                <w:color w:val="000000"/>
                <w:sz w:val="20"/>
              </w:rPr>
              <w:t>Urban Institute</w:t>
            </w:r>
          </w:p>
        </w:tc>
      </w:tr>
      <w:tr w:rsidRPr="00863F9A" w:rsidR="000B5498" w:rsidTr="00863F9A" w14:paraId="3B7AD253" w14:textId="77777777">
        <w:tc>
          <w:tcPr>
            <w:tcW w:w="1202" w:type="pct"/>
            <w:shd w:val="clear" w:color="auto" w:fill="auto"/>
          </w:tcPr>
          <w:p w:rsidRPr="00863F9A" w:rsidR="000B5498" w:rsidP="00863F9A" w:rsidRDefault="000B5498" w14:paraId="543BF66D" w14:textId="77777777">
            <w:pPr>
              <w:pStyle w:val="TableText"/>
              <w:spacing w:before="40" w:after="40"/>
              <w:rPr>
                <w:rFonts w:asciiTheme="minorHAnsi" w:hAnsiTheme="minorHAnsi" w:cstheme="minorHAnsi"/>
                <w:sz w:val="20"/>
              </w:rPr>
            </w:pPr>
            <w:r w:rsidRPr="00863F9A">
              <w:rPr>
                <w:rFonts w:asciiTheme="minorHAnsi" w:hAnsiTheme="minorHAnsi" w:cstheme="minorHAnsi"/>
                <w:sz w:val="20"/>
              </w:rPr>
              <w:t>Rachel Chazan Cohen</w:t>
            </w:r>
          </w:p>
        </w:tc>
        <w:tc>
          <w:tcPr>
            <w:tcW w:w="3798" w:type="pct"/>
            <w:shd w:val="clear" w:color="auto" w:fill="auto"/>
          </w:tcPr>
          <w:p w:rsidRPr="00863F9A" w:rsidR="000B5498" w:rsidP="00863F9A" w:rsidRDefault="000B5498" w14:paraId="1B698E0A" w14:textId="5BC52A86">
            <w:pPr>
              <w:pStyle w:val="TableText"/>
              <w:spacing w:before="40" w:after="40"/>
              <w:rPr>
                <w:rFonts w:asciiTheme="minorHAnsi" w:hAnsiTheme="minorHAnsi" w:cstheme="minorHAnsi"/>
                <w:color w:val="000000"/>
                <w:sz w:val="20"/>
                <w:vertAlign w:val="superscript"/>
              </w:rPr>
            </w:pPr>
            <w:r w:rsidRPr="00863F9A">
              <w:rPr>
                <w:rFonts w:asciiTheme="minorHAnsi" w:hAnsiTheme="minorHAnsi" w:cstheme="minorHAnsi"/>
                <w:color w:val="000000"/>
                <w:sz w:val="20"/>
              </w:rPr>
              <w:t xml:space="preserve">Department of </w:t>
            </w:r>
            <w:r w:rsidRPr="00863F9A" w:rsidR="006E6159">
              <w:rPr>
                <w:rFonts w:asciiTheme="minorHAnsi" w:hAnsiTheme="minorHAnsi" w:cstheme="minorHAnsi"/>
                <w:color w:val="000000"/>
                <w:sz w:val="20"/>
              </w:rPr>
              <w:t>Human Development and Family Sciences</w:t>
            </w:r>
            <w:r w:rsidRPr="00863F9A">
              <w:rPr>
                <w:rFonts w:asciiTheme="minorHAnsi" w:hAnsiTheme="minorHAnsi" w:cstheme="minorHAnsi"/>
                <w:color w:val="000000"/>
                <w:sz w:val="20"/>
              </w:rPr>
              <w:t xml:space="preserve">, University of </w:t>
            </w:r>
            <w:r w:rsidRPr="00863F9A" w:rsidR="006E6159">
              <w:rPr>
                <w:rFonts w:asciiTheme="minorHAnsi" w:hAnsiTheme="minorHAnsi" w:cstheme="minorHAnsi"/>
                <w:color w:val="000000"/>
                <w:sz w:val="20"/>
              </w:rPr>
              <w:t>Connecticut</w:t>
            </w:r>
            <w:r w:rsidRPr="00863F9A" w:rsidR="002E6C85">
              <w:rPr>
                <w:rFonts w:asciiTheme="minorHAnsi" w:hAnsiTheme="minorHAnsi" w:cstheme="minorHAnsi"/>
                <w:color w:val="000000"/>
                <w:sz w:val="20"/>
                <w:vertAlign w:val="superscript"/>
              </w:rPr>
              <w:t>a</w:t>
            </w:r>
          </w:p>
        </w:tc>
      </w:tr>
      <w:tr w:rsidRPr="00863F9A" w:rsidR="00EA6D51" w:rsidTr="00863F9A" w14:paraId="4941EBEA" w14:textId="77777777">
        <w:tc>
          <w:tcPr>
            <w:tcW w:w="1202" w:type="pct"/>
            <w:shd w:val="clear" w:color="auto" w:fill="auto"/>
          </w:tcPr>
          <w:p w:rsidRPr="00863F9A" w:rsidR="00EA6D51" w:rsidP="00863F9A" w:rsidRDefault="00EA6D51" w14:paraId="38446BDB" w14:textId="32BB62E7">
            <w:pPr>
              <w:pStyle w:val="TableText"/>
              <w:spacing w:before="40" w:after="40"/>
              <w:rPr>
                <w:rFonts w:asciiTheme="minorHAnsi" w:hAnsiTheme="minorHAnsi" w:cstheme="minorHAnsi"/>
                <w:sz w:val="20"/>
              </w:rPr>
            </w:pPr>
            <w:r w:rsidRPr="00863F9A">
              <w:rPr>
                <w:rFonts w:asciiTheme="minorHAnsi" w:hAnsiTheme="minorHAnsi" w:cstheme="minorHAnsi"/>
                <w:sz w:val="20"/>
              </w:rPr>
              <w:t>Tamara Hall</w:t>
            </w:r>
          </w:p>
        </w:tc>
        <w:tc>
          <w:tcPr>
            <w:tcW w:w="3798" w:type="pct"/>
            <w:shd w:val="clear" w:color="auto" w:fill="auto"/>
          </w:tcPr>
          <w:p w:rsidRPr="00863F9A" w:rsidR="00EA6D51" w:rsidP="00863F9A" w:rsidRDefault="00EA6D51" w14:paraId="33EA9424" w14:textId="68B4FD37">
            <w:pPr>
              <w:pStyle w:val="TableText"/>
              <w:spacing w:before="40" w:after="40"/>
              <w:rPr>
                <w:rFonts w:asciiTheme="minorHAnsi" w:hAnsiTheme="minorHAnsi" w:cstheme="minorHAnsi"/>
                <w:color w:val="000000"/>
                <w:sz w:val="20"/>
              </w:rPr>
            </w:pPr>
            <w:r w:rsidRPr="00863F9A">
              <w:rPr>
                <w:rFonts w:asciiTheme="minorHAnsi" w:hAnsiTheme="minorHAnsi" w:cstheme="minorHAnsi"/>
                <w:color w:val="000000"/>
                <w:sz w:val="20"/>
              </w:rPr>
              <w:t>Child Trends</w:t>
            </w:r>
          </w:p>
        </w:tc>
      </w:tr>
      <w:tr w:rsidRPr="00863F9A" w:rsidR="00EA6D51" w:rsidTr="00863F9A" w14:paraId="1D252457" w14:textId="77777777">
        <w:tc>
          <w:tcPr>
            <w:tcW w:w="1202" w:type="pct"/>
            <w:shd w:val="clear" w:color="auto" w:fill="auto"/>
          </w:tcPr>
          <w:p w:rsidRPr="00863F9A" w:rsidR="00EA6D51" w:rsidP="00863F9A" w:rsidRDefault="00EA6D51" w14:paraId="271651A4" w14:textId="4B0BB41D">
            <w:pPr>
              <w:pStyle w:val="TableText"/>
              <w:spacing w:before="40" w:after="40"/>
              <w:rPr>
                <w:rFonts w:asciiTheme="minorHAnsi" w:hAnsiTheme="minorHAnsi" w:cstheme="minorHAnsi"/>
                <w:sz w:val="20"/>
              </w:rPr>
            </w:pPr>
            <w:r w:rsidRPr="00863F9A">
              <w:rPr>
                <w:rFonts w:asciiTheme="minorHAnsi" w:hAnsiTheme="minorHAnsi" w:cstheme="minorHAnsi"/>
                <w:sz w:val="20"/>
              </w:rPr>
              <w:t>Toni Porter</w:t>
            </w:r>
          </w:p>
        </w:tc>
        <w:tc>
          <w:tcPr>
            <w:tcW w:w="3798" w:type="pct"/>
            <w:shd w:val="clear" w:color="auto" w:fill="auto"/>
          </w:tcPr>
          <w:p w:rsidRPr="00863F9A" w:rsidR="00EA6D51" w:rsidP="00863F9A" w:rsidRDefault="00EA6D51" w14:paraId="1E46CCA2" w14:textId="708CFC12">
            <w:pPr>
              <w:pStyle w:val="TableText"/>
              <w:spacing w:before="40" w:after="40"/>
              <w:rPr>
                <w:rFonts w:asciiTheme="minorHAnsi" w:hAnsiTheme="minorHAnsi" w:cstheme="minorHAnsi"/>
                <w:color w:val="000000"/>
                <w:sz w:val="20"/>
              </w:rPr>
            </w:pPr>
            <w:r w:rsidRPr="00863F9A">
              <w:rPr>
                <w:rFonts w:asciiTheme="minorHAnsi" w:hAnsiTheme="minorHAnsi" w:cstheme="minorHAnsi"/>
                <w:color w:val="000000"/>
                <w:sz w:val="20"/>
              </w:rPr>
              <w:t>Early Care and Education Consultant</w:t>
            </w:r>
          </w:p>
        </w:tc>
      </w:tr>
      <w:tr w:rsidRPr="00863F9A" w:rsidR="000B5498" w:rsidTr="00863F9A" w14:paraId="2B4EEF16" w14:textId="77777777">
        <w:tc>
          <w:tcPr>
            <w:tcW w:w="1202" w:type="pct"/>
            <w:tcBorders>
              <w:bottom w:val="single" w:color="auto" w:sz="2" w:space="0"/>
            </w:tcBorders>
            <w:shd w:val="clear" w:color="auto" w:fill="auto"/>
          </w:tcPr>
          <w:p w:rsidRPr="00863F9A" w:rsidR="000B5498" w:rsidP="00863F9A" w:rsidRDefault="00B40F8C" w14:paraId="405DBF30" w14:textId="72649FE6">
            <w:pPr>
              <w:pStyle w:val="TableText"/>
              <w:spacing w:before="40" w:after="40"/>
              <w:rPr>
                <w:rFonts w:asciiTheme="minorHAnsi" w:hAnsiTheme="minorHAnsi" w:cstheme="minorHAnsi"/>
                <w:sz w:val="20"/>
              </w:rPr>
            </w:pPr>
            <w:r w:rsidRPr="00863F9A">
              <w:rPr>
                <w:rFonts w:asciiTheme="minorHAnsi" w:hAnsiTheme="minorHAnsi" w:cstheme="minorHAnsi"/>
                <w:sz w:val="20"/>
              </w:rPr>
              <w:t>Diane Schilder</w:t>
            </w:r>
          </w:p>
        </w:tc>
        <w:tc>
          <w:tcPr>
            <w:tcW w:w="3798" w:type="pct"/>
            <w:tcBorders>
              <w:bottom w:val="single" w:color="auto" w:sz="2" w:space="0"/>
            </w:tcBorders>
            <w:shd w:val="clear" w:color="auto" w:fill="auto"/>
          </w:tcPr>
          <w:p w:rsidRPr="00863F9A" w:rsidR="000B5498" w:rsidP="00863F9A" w:rsidRDefault="002E6C85" w14:paraId="677C6C2D" w14:textId="36EAB032">
            <w:pPr>
              <w:pStyle w:val="TableText"/>
              <w:spacing w:before="40" w:after="40"/>
              <w:rPr>
                <w:rFonts w:asciiTheme="minorHAnsi" w:hAnsiTheme="minorHAnsi" w:cstheme="minorHAnsi"/>
                <w:color w:val="000000"/>
                <w:sz w:val="20"/>
              </w:rPr>
            </w:pPr>
            <w:r w:rsidRPr="00863F9A">
              <w:rPr>
                <w:rFonts w:asciiTheme="minorHAnsi" w:hAnsiTheme="minorHAnsi" w:cstheme="minorHAnsi"/>
                <w:color w:val="000000"/>
                <w:sz w:val="20"/>
              </w:rPr>
              <w:t>Urban Institute</w:t>
            </w:r>
            <w:r w:rsidRPr="00863F9A">
              <w:rPr>
                <w:rFonts w:asciiTheme="minorHAnsi" w:hAnsiTheme="minorHAnsi" w:cstheme="minorHAnsi"/>
                <w:color w:val="000000"/>
                <w:sz w:val="20"/>
                <w:vertAlign w:val="superscript"/>
              </w:rPr>
              <w:t>b</w:t>
            </w:r>
          </w:p>
        </w:tc>
      </w:tr>
    </w:tbl>
    <w:p w:rsidRPr="00863F9A" w:rsidR="00216226" w:rsidP="001D1C73" w:rsidRDefault="006E6159" w14:paraId="24C46992" w14:textId="6DD32A30">
      <w:pPr>
        <w:spacing w:after="0"/>
        <w:rPr>
          <w:sz w:val="20"/>
          <w:szCs w:val="20"/>
        </w:rPr>
      </w:pPr>
      <w:r w:rsidRPr="00863F9A">
        <w:rPr>
          <w:sz w:val="20"/>
          <w:szCs w:val="20"/>
          <w:vertAlign w:val="superscript"/>
        </w:rPr>
        <w:t>a</w:t>
      </w:r>
      <w:r w:rsidRPr="00863F9A">
        <w:rPr>
          <w:sz w:val="20"/>
          <w:szCs w:val="20"/>
        </w:rPr>
        <w:t xml:space="preserve"> Rachel Chazan Cohen was </w:t>
      </w:r>
      <w:r w:rsidRPr="00863F9A" w:rsidR="00AE26CD">
        <w:rPr>
          <w:sz w:val="20"/>
          <w:szCs w:val="20"/>
        </w:rPr>
        <w:t xml:space="preserve">formerly </w:t>
      </w:r>
      <w:r w:rsidRPr="00863F9A">
        <w:rPr>
          <w:sz w:val="20"/>
          <w:szCs w:val="20"/>
        </w:rPr>
        <w:t>affiliated with the Department of Curriculum and Instruction, College of Education and Human Development, University of Massachusetts Boston</w:t>
      </w:r>
      <w:r w:rsidRPr="00863F9A" w:rsidR="005E74A3">
        <w:rPr>
          <w:sz w:val="20"/>
          <w:szCs w:val="20"/>
        </w:rPr>
        <w:t>.</w:t>
      </w:r>
    </w:p>
    <w:p w:rsidRPr="00863F9A" w:rsidR="002E6C85" w:rsidP="001D1C73" w:rsidRDefault="002E6C85" w14:paraId="4149304B" w14:textId="5906730A">
      <w:pPr>
        <w:spacing w:after="0"/>
        <w:rPr>
          <w:sz w:val="20"/>
          <w:szCs w:val="20"/>
        </w:rPr>
      </w:pPr>
      <w:r w:rsidRPr="00863F9A">
        <w:rPr>
          <w:sz w:val="20"/>
          <w:szCs w:val="20"/>
          <w:vertAlign w:val="superscript"/>
        </w:rPr>
        <w:t>b</w:t>
      </w:r>
      <w:r w:rsidRPr="00863F9A">
        <w:rPr>
          <w:sz w:val="20"/>
          <w:szCs w:val="20"/>
        </w:rPr>
        <w:t xml:space="preserve"> Diane Schilder was </w:t>
      </w:r>
      <w:r w:rsidRPr="00863F9A" w:rsidR="00AE26CD">
        <w:rPr>
          <w:sz w:val="20"/>
          <w:szCs w:val="20"/>
        </w:rPr>
        <w:t xml:space="preserve">formerly </w:t>
      </w:r>
      <w:r w:rsidRPr="00863F9A">
        <w:rPr>
          <w:sz w:val="20"/>
          <w:szCs w:val="20"/>
        </w:rPr>
        <w:t>affiliated with the Education Development Center</w:t>
      </w:r>
      <w:r w:rsidRPr="00863F9A" w:rsidR="005E74A3">
        <w:rPr>
          <w:sz w:val="20"/>
          <w:szCs w:val="20"/>
        </w:rPr>
        <w:t>.</w:t>
      </w:r>
    </w:p>
    <w:p w:rsidR="001D1C73" w:rsidP="001D1C73" w:rsidRDefault="001D1C73" w14:paraId="27AC2143" w14:textId="7EA7C633">
      <w:pPr>
        <w:spacing w:after="0"/>
      </w:pPr>
    </w:p>
    <w:p w:rsidR="00D85249" w:rsidP="001D1C73" w:rsidRDefault="00D85249" w14:paraId="056B9847" w14:textId="0BBD981D">
      <w:pPr>
        <w:spacing w:after="0"/>
      </w:pPr>
    </w:p>
    <w:p w:rsidRPr="009139B3" w:rsidR="00D85249" w:rsidP="001D1C73" w:rsidRDefault="00D85249" w14:paraId="03814C7B" w14:textId="77777777">
      <w:pPr>
        <w:spacing w:after="0"/>
      </w:pPr>
    </w:p>
    <w:p w:rsidRPr="0024795A" w:rsidR="001D1C73" w:rsidP="0024795A" w:rsidRDefault="001D1C73" w14:paraId="2DA362B8" w14:textId="77777777">
      <w:pPr>
        <w:tabs>
          <w:tab w:val="left" w:pos="630"/>
        </w:tabs>
        <w:spacing w:after="120" w:line="240" w:lineRule="auto"/>
        <w:ind w:left="630" w:hanging="630"/>
        <w:rPr>
          <w:b/>
        </w:rPr>
      </w:pPr>
      <w:r w:rsidRPr="009139B3">
        <w:rPr>
          <w:b/>
        </w:rPr>
        <w:lastRenderedPageBreak/>
        <w:t>A9</w:t>
      </w:r>
      <w:r w:rsidRPr="0024795A">
        <w:rPr>
          <w:b/>
        </w:rPr>
        <w:t>.</w:t>
      </w:r>
      <w:r w:rsidRPr="0024795A">
        <w:rPr>
          <w:b/>
        </w:rPr>
        <w:tab/>
      </w:r>
      <w:r w:rsidRPr="009139B3">
        <w:rPr>
          <w:b/>
        </w:rPr>
        <w:t>Tokens of Appreciation</w:t>
      </w:r>
    </w:p>
    <w:p w:rsidR="00A065A9" w:rsidP="00D66C51" w:rsidRDefault="009A6992" w14:paraId="4306584F" w14:textId="56B34510">
      <w:pPr>
        <w:spacing w:after="240"/>
      </w:pPr>
      <w:r w:rsidRPr="009A6992">
        <w:t xml:space="preserve">Participation in </w:t>
      </w:r>
      <w:r>
        <w:t xml:space="preserve">the Sustainability </w:t>
      </w:r>
      <w:r w:rsidR="00A63FE2">
        <w:t>S</w:t>
      </w:r>
      <w:r>
        <w:t>tudy</w:t>
      </w:r>
      <w:r w:rsidRPr="009A6992">
        <w:t xml:space="preserve"> will place some burden on </w:t>
      </w:r>
      <w:r>
        <w:t>respondents</w:t>
      </w:r>
      <w:r w:rsidRPr="009A6992">
        <w:t>. To offset this and to acknowledge respondents’ efforts in a respectful way, the study team requests nominal tokens of appreciation for respondents.</w:t>
      </w:r>
      <w:r>
        <w:t xml:space="preserve"> </w:t>
      </w:r>
      <w:r w:rsidR="00556E60">
        <w:rPr>
          <w:rFonts w:cstheme="minorHAnsi"/>
          <w:szCs w:val="18"/>
        </w:rPr>
        <w:t>R</w:t>
      </w:r>
      <w:r w:rsidRPr="008E4FAE" w:rsidR="00A065A9">
        <w:rPr>
          <w:rFonts w:cstheme="minorHAnsi"/>
          <w:szCs w:val="18"/>
        </w:rPr>
        <w:t>espondents</w:t>
      </w:r>
      <w:r w:rsidR="00556E60">
        <w:rPr>
          <w:rFonts w:cstheme="minorHAnsi"/>
          <w:szCs w:val="18"/>
        </w:rPr>
        <w:t>’ participation</w:t>
      </w:r>
      <w:r w:rsidRPr="008E4FAE" w:rsidR="00A065A9">
        <w:rPr>
          <w:rFonts w:cstheme="minorHAnsi"/>
          <w:szCs w:val="18"/>
        </w:rPr>
        <w:t xml:space="preserve"> in the study activities is key to ensuring the quality of the information gathered. </w:t>
      </w:r>
      <w:r w:rsidR="00F6289A">
        <w:rPr>
          <w:rFonts w:cstheme="minorHAnsi"/>
          <w:szCs w:val="18"/>
        </w:rPr>
        <w:t>Because</w:t>
      </w:r>
      <w:r w:rsidR="00D67ACC">
        <w:rPr>
          <w:rFonts w:cstheme="minorHAnsi"/>
          <w:szCs w:val="18"/>
        </w:rPr>
        <w:t xml:space="preserve"> this is a longitudinal study </w:t>
      </w:r>
      <w:r w:rsidR="00D67ACC">
        <w:t>follow</w:t>
      </w:r>
      <w:r w:rsidR="00F6289A">
        <w:t xml:space="preserve">ing </w:t>
      </w:r>
      <w:r w:rsidR="00D67ACC">
        <w:t xml:space="preserve">up </w:t>
      </w:r>
      <w:r w:rsidR="00F6289A">
        <w:t>on</w:t>
      </w:r>
      <w:r w:rsidR="00D67ACC">
        <w:t xml:space="preserve"> the 2016 NDS of Early Head Start–Child Care Partnerships, it is </w:t>
      </w:r>
      <w:r w:rsidR="00F6289A">
        <w:t xml:space="preserve">vital to </w:t>
      </w:r>
      <w:r w:rsidR="00BE1673">
        <w:t>encourage the participation</w:t>
      </w:r>
      <w:r w:rsidR="00D67ACC">
        <w:t xml:space="preserve"> of the </w:t>
      </w:r>
      <w:r w:rsidR="00BE1673">
        <w:t xml:space="preserve">same </w:t>
      </w:r>
      <w:r w:rsidR="00D67ACC">
        <w:t xml:space="preserve">Early Head Start (EHS) programs, community-based child care centers, and family child care providers that participated in the NDS. </w:t>
      </w:r>
      <w:r w:rsidR="00D67ACC">
        <w:rPr>
          <w:rFonts w:cstheme="minorHAnsi"/>
          <w:szCs w:val="18"/>
        </w:rPr>
        <w:t xml:space="preserve"> </w:t>
      </w:r>
      <w:r w:rsidRPr="008E4FAE" w:rsidR="00A065A9">
        <w:rPr>
          <w:rFonts w:cstheme="minorHAnsi"/>
          <w:szCs w:val="18"/>
        </w:rPr>
        <w:t xml:space="preserve">The target population of partnership </w:t>
      </w:r>
      <w:r w:rsidR="00A065A9">
        <w:rPr>
          <w:rFonts w:cstheme="minorHAnsi"/>
          <w:szCs w:val="18"/>
        </w:rPr>
        <w:t>program</w:t>
      </w:r>
      <w:r w:rsidRPr="008E4FAE" w:rsidR="00A065A9">
        <w:rPr>
          <w:rFonts w:cstheme="minorHAnsi"/>
          <w:szCs w:val="18"/>
        </w:rPr>
        <w:t>s</w:t>
      </w:r>
      <w:r w:rsidR="00A065A9">
        <w:rPr>
          <w:rFonts w:cstheme="minorHAnsi"/>
          <w:szCs w:val="18"/>
        </w:rPr>
        <w:t xml:space="preserve"> and providers</w:t>
      </w:r>
      <w:r w:rsidRPr="008E4FAE" w:rsidR="00A065A9">
        <w:rPr>
          <w:rFonts w:cstheme="minorHAnsi"/>
          <w:szCs w:val="18"/>
        </w:rPr>
        <w:t xml:space="preserve"> under this </w:t>
      </w:r>
      <w:r w:rsidR="00BE1673">
        <w:rPr>
          <w:rFonts w:cstheme="minorHAnsi"/>
          <w:szCs w:val="18"/>
        </w:rPr>
        <w:t>longitudinal study</w:t>
      </w:r>
      <w:r w:rsidRPr="008E4FAE" w:rsidR="00BE1673">
        <w:rPr>
          <w:rFonts w:cstheme="minorHAnsi"/>
          <w:szCs w:val="18"/>
        </w:rPr>
        <w:t xml:space="preserve"> </w:t>
      </w:r>
      <w:r w:rsidRPr="008E4FAE" w:rsidR="00A065A9">
        <w:rPr>
          <w:rFonts w:cstheme="minorHAnsi"/>
          <w:szCs w:val="18"/>
        </w:rPr>
        <w:t xml:space="preserve">is </w:t>
      </w:r>
      <w:r w:rsidR="00A065A9">
        <w:rPr>
          <w:rFonts w:cstheme="minorHAnsi"/>
          <w:szCs w:val="18"/>
        </w:rPr>
        <w:t>finite</w:t>
      </w:r>
      <w:r w:rsidRPr="008E4FAE" w:rsidR="00A065A9">
        <w:rPr>
          <w:rFonts w:cstheme="minorHAnsi"/>
          <w:szCs w:val="18"/>
        </w:rPr>
        <w:t xml:space="preserve">, and the lack of participation in the data collection activities </w:t>
      </w:r>
      <w:r w:rsidR="004813B2">
        <w:rPr>
          <w:rFonts w:cstheme="minorHAnsi"/>
          <w:szCs w:val="18"/>
        </w:rPr>
        <w:t>c</w:t>
      </w:r>
      <w:r w:rsidRPr="008E4FAE" w:rsidR="00A065A9">
        <w:rPr>
          <w:rFonts w:cstheme="minorHAnsi"/>
          <w:szCs w:val="18"/>
        </w:rPr>
        <w:t xml:space="preserve">ould jeopardize the study’s goal of </w:t>
      </w:r>
      <w:r w:rsidR="00A065A9">
        <w:rPr>
          <w:rFonts w:cstheme="minorHAnsi"/>
          <w:szCs w:val="18"/>
        </w:rPr>
        <w:t>understanding the factors that supported or impeded sustainability</w:t>
      </w:r>
      <w:r w:rsidR="00556E60">
        <w:rPr>
          <w:rFonts w:cstheme="minorHAnsi"/>
          <w:szCs w:val="18"/>
        </w:rPr>
        <w:t xml:space="preserve"> in a representative sample of partnerships</w:t>
      </w:r>
      <w:r w:rsidRPr="008E4FAE" w:rsidR="00A065A9">
        <w:rPr>
          <w:rFonts w:cstheme="minorHAnsi"/>
          <w:szCs w:val="18"/>
        </w:rPr>
        <w:t xml:space="preserve">. Furthermore, </w:t>
      </w:r>
      <w:r w:rsidR="00A065A9">
        <w:rPr>
          <w:rFonts w:cstheme="minorHAnsi"/>
          <w:szCs w:val="18"/>
        </w:rPr>
        <w:t>EHS program directors</w:t>
      </w:r>
      <w:r w:rsidR="00556E60">
        <w:rPr>
          <w:rFonts w:cstheme="minorHAnsi"/>
          <w:szCs w:val="18"/>
        </w:rPr>
        <w:t>’ survey completion</w:t>
      </w:r>
      <w:r w:rsidRPr="008E4FAE" w:rsidR="00A065A9">
        <w:rPr>
          <w:rFonts w:cstheme="minorHAnsi"/>
          <w:szCs w:val="18"/>
        </w:rPr>
        <w:t xml:space="preserve"> is</w:t>
      </w:r>
      <w:r w:rsidR="00A065A9">
        <w:rPr>
          <w:rFonts w:cstheme="minorHAnsi"/>
          <w:szCs w:val="18"/>
        </w:rPr>
        <w:t xml:space="preserve"> </w:t>
      </w:r>
      <w:r w:rsidR="004813B2">
        <w:rPr>
          <w:rFonts w:cstheme="minorHAnsi"/>
          <w:szCs w:val="18"/>
        </w:rPr>
        <w:t>critical</w:t>
      </w:r>
      <w:r w:rsidR="00A065A9">
        <w:rPr>
          <w:rFonts w:cstheme="minorHAnsi"/>
          <w:szCs w:val="18"/>
        </w:rPr>
        <w:t xml:space="preserve"> for obtaining</w:t>
      </w:r>
      <w:r w:rsidRPr="008E4FAE" w:rsidR="00A065A9">
        <w:rPr>
          <w:rFonts w:cstheme="minorHAnsi"/>
          <w:szCs w:val="18"/>
        </w:rPr>
        <w:t xml:space="preserve"> </w:t>
      </w:r>
      <w:r w:rsidR="00556E60">
        <w:rPr>
          <w:rFonts w:cstheme="minorHAnsi"/>
          <w:szCs w:val="18"/>
        </w:rPr>
        <w:t xml:space="preserve">updated </w:t>
      </w:r>
      <w:r w:rsidR="00A065A9">
        <w:rPr>
          <w:rFonts w:cstheme="minorHAnsi"/>
          <w:szCs w:val="18"/>
        </w:rPr>
        <w:t xml:space="preserve">contact information for providers. </w:t>
      </w:r>
      <w:r w:rsidR="00A065A9">
        <w:t>In addition to the proposed tokens of appreciation,</w:t>
      </w:r>
      <w:r w:rsidRPr="009A6992" w:rsidR="00A065A9">
        <w:t xml:space="preserve"> the team is taking other steps to address nonresponse bias</w:t>
      </w:r>
      <w:r w:rsidR="00A065A9">
        <w:t xml:space="preserve"> and encourage participation (see B.5).</w:t>
      </w:r>
    </w:p>
    <w:p w:rsidR="00641B52" w:rsidRDefault="00A065A9" w14:paraId="1906EAA0" w14:textId="366D634F">
      <w:pPr>
        <w:pStyle w:val="NumberedBullet"/>
        <w:keepLines/>
        <w:tabs>
          <w:tab w:val="clear" w:pos="432"/>
          <w:tab w:val="clear" w:pos="792"/>
        </w:tabs>
        <w:spacing w:after="240"/>
        <w:ind w:left="0" w:right="144" w:firstLine="0"/>
        <w:rPr>
          <w:rFonts w:asciiTheme="minorHAnsi" w:hAnsiTheme="minorHAnsi" w:cstheme="minorHAnsi"/>
          <w:sz w:val="22"/>
          <w:szCs w:val="22"/>
        </w:rPr>
      </w:pPr>
      <w:r w:rsidRPr="00A63FE2">
        <w:rPr>
          <w:rFonts w:asciiTheme="minorHAnsi" w:hAnsiTheme="minorHAnsi" w:cstheme="minorHAnsi"/>
          <w:sz w:val="22"/>
          <w:szCs w:val="22"/>
        </w:rPr>
        <w:t xml:space="preserve">Along with mail </w:t>
      </w:r>
      <w:r w:rsidR="00641B52">
        <w:rPr>
          <w:rFonts w:asciiTheme="minorHAnsi" w:hAnsiTheme="minorHAnsi" w:cstheme="minorHAnsi"/>
          <w:sz w:val="22"/>
          <w:szCs w:val="22"/>
        </w:rPr>
        <w:t xml:space="preserve">survey </w:t>
      </w:r>
      <w:r w:rsidRPr="00A63FE2">
        <w:rPr>
          <w:rFonts w:asciiTheme="minorHAnsi" w:hAnsiTheme="minorHAnsi" w:cstheme="minorHAnsi"/>
          <w:sz w:val="22"/>
          <w:szCs w:val="22"/>
        </w:rPr>
        <w:t>invitations, we will include a small non-monetary gift for respondents.</w:t>
      </w:r>
      <w:r w:rsidRPr="00A63FE2" w:rsidR="00311EBF">
        <w:rPr>
          <w:rFonts w:asciiTheme="minorHAnsi" w:hAnsiTheme="minorHAnsi" w:cstheme="minorHAnsi"/>
          <w:sz w:val="22"/>
          <w:szCs w:val="22"/>
        </w:rPr>
        <w:t xml:space="preserve"> Then, at completion of the surveys,</w:t>
      </w:r>
      <w:r w:rsidRPr="00A63FE2" w:rsidR="00556E60">
        <w:rPr>
          <w:rFonts w:asciiTheme="minorHAnsi" w:hAnsiTheme="minorHAnsi" w:cstheme="minorHAnsi"/>
          <w:sz w:val="22"/>
          <w:szCs w:val="22"/>
        </w:rPr>
        <w:t xml:space="preserve"> </w:t>
      </w:r>
      <w:r w:rsidRPr="00A63FE2" w:rsidR="00311EBF">
        <w:rPr>
          <w:rFonts w:asciiTheme="minorHAnsi" w:hAnsiTheme="minorHAnsi" w:cstheme="minorHAnsi"/>
          <w:sz w:val="22"/>
          <w:szCs w:val="22"/>
        </w:rPr>
        <w:t>w</w:t>
      </w:r>
      <w:r w:rsidRPr="00A63FE2" w:rsidR="008E72C6">
        <w:rPr>
          <w:rFonts w:asciiTheme="minorHAnsi" w:hAnsiTheme="minorHAnsi" w:cstheme="minorHAnsi"/>
          <w:sz w:val="22"/>
          <w:szCs w:val="22"/>
        </w:rPr>
        <w:t xml:space="preserve">e will offer </w:t>
      </w:r>
      <w:r w:rsidR="00641B52">
        <w:rPr>
          <w:rFonts w:asciiTheme="minorHAnsi" w:hAnsiTheme="minorHAnsi" w:cstheme="minorHAnsi"/>
          <w:sz w:val="22"/>
          <w:szCs w:val="22"/>
        </w:rPr>
        <w:t xml:space="preserve">respondents a gift card. We will </w:t>
      </w:r>
      <w:r w:rsidR="008C7278">
        <w:rPr>
          <w:rFonts w:asciiTheme="minorHAnsi" w:hAnsiTheme="minorHAnsi" w:cstheme="minorHAnsi"/>
          <w:sz w:val="22"/>
          <w:szCs w:val="22"/>
        </w:rPr>
        <w:t>offer</w:t>
      </w:r>
      <w:r w:rsidR="00641B52">
        <w:rPr>
          <w:rFonts w:asciiTheme="minorHAnsi" w:hAnsiTheme="minorHAnsi" w:cstheme="minorHAnsi"/>
          <w:sz w:val="22"/>
          <w:szCs w:val="22"/>
        </w:rPr>
        <w:t>:</w:t>
      </w:r>
    </w:p>
    <w:p w:rsidR="008C7278" w:rsidP="00641B52" w:rsidRDefault="00A61AA4" w14:paraId="61C70CD2" w14:textId="5031495A">
      <w:pPr>
        <w:pStyle w:val="NumberedBullet"/>
        <w:keepLines/>
        <w:numPr>
          <w:ilvl w:val="0"/>
          <w:numId w:val="51"/>
        </w:numPr>
        <w:tabs>
          <w:tab w:val="clear" w:pos="432"/>
        </w:tabs>
        <w:spacing w:after="240"/>
        <w:ind w:right="144"/>
        <w:rPr>
          <w:rFonts w:asciiTheme="minorHAnsi" w:hAnsiTheme="minorHAnsi" w:cstheme="minorHAnsi"/>
          <w:sz w:val="22"/>
          <w:szCs w:val="22"/>
        </w:rPr>
      </w:pPr>
      <w:r w:rsidRPr="00A63FE2">
        <w:rPr>
          <w:rFonts w:asciiTheme="minorHAnsi" w:hAnsiTheme="minorHAnsi" w:cstheme="minorHAnsi"/>
          <w:sz w:val="22"/>
          <w:szCs w:val="22"/>
        </w:rPr>
        <w:t xml:space="preserve"> </w:t>
      </w:r>
      <w:r w:rsidR="008C7278">
        <w:rPr>
          <w:rFonts w:asciiTheme="minorHAnsi" w:hAnsiTheme="minorHAnsi" w:cstheme="minorHAnsi"/>
          <w:sz w:val="22"/>
          <w:szCs w:val="22"/>
        </w:rPr>
        <w:t xml:space="preserve">A </w:t>
      </w:r>
      <w:r w:rsidRPr="00A63FE2">
        <w:rPr>
          <w:rFonts w:asciiTheme="minorHAnsi" w:hAnsiTheme="minorHAnsi" w:cstheme="minorHAnsi"/>
          <w:sz w:val="22"/>
          <w:szCs w:val="22"/>
        </w:rPr>
        <w:t xml:space="preserve">$20 gift card to </w:t>
      </w:r>
      <w:r w:rsidRPr="00A63FE2" w:rsidR="008E72C6">
        <w:rPr>
          <w:rFonts w:asciiTheme="minorHAnsi" w:hAnsiTheme="minorHAnsi" w:cstheme="minorHAnsi"/>
          <w:sz w:val="22"/>
          <w:szCs w:val="22"/>
        </w:rPr>
        <w:t>participants</w:t>
      </w:r>
      <w:r w:rsidRPr="00A63FE2" w:rsidR="00223380">
        <w:rPr>
          <w:rFonts w:asciiTheme="minorHAnsi" w:hAnsiTheme="minorHAnsi" w:cstheme="minorHAnsi"/>
          <w:sz w:val="22"/>
          <w:szCs w:val="22"/>
        </w:rPr>
        <w:t xml:space="preserve"> </w:t>
      </w:r>
      <w:r w:rsidRPr="00A63FE2" w:rsidR="00D15DA0">
        <w:rPr>
          <w:rFonts w:asciiTheme="minorHAnsi" w:hAnsiTheme="minorHAnsi" w:cstheme="minorHAnsi"/>
          <w:sz w:val="22"/>
          <w:szCs w:val="22"/>
        </w:rPr>
        <w:t>who complete</w:t>
      </w:r>
      <w:r w:rsidRPr="00A63FE2">
        <w:rPr>
          <w:rFonts w:asciiTheme="minorHAnsi" w:hAnsiTheme="minorHAnsi" w:cstheme="minorHAnsi"/>
          <w:sz w:val="22"/>
          <w:szCs w:val="22"/>
        </w:rPr>
        <w:t xml:space="preserve"> </w:t>
      </w:r>
      <w:r w:rsidRPr="00A63FE2" w:rsidR="00223380">
        <w:rPr>
          <w:rFonts w:asciiTheme="minorHAnsi" w:hAnsiTheme="minorHAnsi" w:cstheme="minorHAnsi"/>
          <w:sz w:val="22"/>
          <w:szCs w:val="22"/>
        </w:rPr>
        <w:t>the EHS program director survey</w:t>
      </w:r>
      <w:r w:rsidR="00BE1673">
        <w:rPr>
          <w:rFonts w:asciiTheme="minorHAnsi" w:hAnsiTheme="minorHAnsi" w:cstheme="minorHAnsi"/>
          <w:sz w:val="22"/>
          <w:szCs w:val="22"/>
        </w:rPr>
        <w:t>.</w:t>
      </w:r>
      <w:r w:rsidRPr="00A63FE2" w:rsidR="00FA7CC4">
        <w:rPr>
          <w:rFonts w:asciiTheme="minorHAnsi" w:hAnsiTheme="minorHAnsi" w:cstheme="minorHAnsi"/>
          <w:sz w:val="22"/>
          <w:szCs w:val="22"/>
        </w:rPr>
        <w:t xml:space="preserve"> </w:t>
      </w:r>
    </w:p>
    <w:p w:rsidR="008C7278" w:rsidP="00641B52" w:rsidRDefault="008C7278" w14:paraId="3CB40871" w14:textId="6E3FE8E7">
      <w:pPr>
        <w:pStyle w:val="NumberedBullet"/>
        <w:keepLines/>
        <w:numPr>
          <w:ilvl w:val="0"/>
          <w:numId w:val="51"/>
        </w:numPr>
        <w:tabs>
          <w:tab w:val="clear" w:pos="432"/>
        </w:tabs>
        <w:spacing w:after="240"/>
        <w:ind w:right="144"/>
        <w:rPr>
          <w:rFonts w:asciiTheme="minorHAnsi" w:hAnsiTheme="minorHAnsi" w:cstheme="minorHAnsi"/>
          <w:sz w:val="22"/>
          <w:szCs w:val="22"/>
        </w:rPr>
      </w:pPr>
      <w:r>
        <w:rPr>
          <w:rFonts w:asciiTheme="minorHAnsi" w:hAnsiTheme="minorHAnsi" w:cstheme="minorHAnsi"/>
          <w:sz w:val="22"/>
          <w:szCs w:val="22"/>
        </w:rPr>
        <w:t xml:space="preserve">A $20 gift card to </w:t>
      </w:r>
      <w:r w:rsidRPr="00A63FE2">
        <w:rPr>
          <w:rFonts w:asciiTheme="minorHAnsi" w:hAnsiTheme="minorHAnsi" w:cstheme="minorHAnsi"/>
          <w:sz w:val="22"/>
          <w:szCs w:val="22"/>
        </w:rPr>
        <w:t xml:space="preserve">participants who complete </w:t>
      </w:r>
      <w:r>
        <w:rPr>
          <w:rFonts w:asciiTheme="minorHAnsi" w:hAnsiTheme="minorHAnsi" w:cstheme="minorHAnsi"/>
          <w:sz w:val="22"/>
          <w:szCs w:val="22"/>
        </w:rPr>
        <w:t xml:space="preserve">the </w:t>
      </w:r>
      <w:r w:rsidRPr="00A63FE2" w:rsidR="00223380">
        <w:rPr>
          <w:rFonts w:asciiTheme="minorHAnsi" w:hAnsiTheme="minorHAnsi" w:cstheme="minorHAnsi"/>
          <w:sz w:val="22"/>
          <w:szCs w:val="22"/>
        </w:rPr>
        <w:t>sustained partnership provider survey</w:t>
      </w:r>
      <w:r w:rsidR="00641B52">
        <w:rPr>
          <w:rFonts w:asciiTheme="minorHAnsi" w:hAnsiTheme="minorHAnsi" w:cstheme="minorHAnsi"/>
          <w:sz w:val="22"/>
          <w:szCs w:val="22"/>
        </w:rPr>
        <w:t>.</w:t>
      </w:r>
      <w:r w:rsidRPr="00A63FE2" w:rsidR="00641B52">
        <w:rPr>
          <w:rFonts w:asciiTheme="minorHAnsi" w:hAnsiTheme="minorHAnsi" w:cstheme="minorHAnsi"/>
          <w:sz w:val="22"/>
          <w:szCs w:val="22"/>
        </w:rPr>
        <w:t xml:space="preserve"> </w:t>
      </w:r>
    </w:p>
    <w:p w:rsidR="00641B52" w:rsidP="00D66C51" w:rsidRDefault="00BE1673" w14:paraId="5146370C" w14:textId="385C29FD">
      <w:pPr>
        <w:pStyle w:val="NumberedBullet"/>
        <w:keepLines/>
        <w:numPr>
          <w:ilvl w:val="0"/>
          <w:numId w:val="51"/>
        </w:numPr>
        <w:tabs>
          <w:tab w:val="clear" w:pos="432"/>
        </w:tabs>
        <w:spacing w:after="240"/>
        <w:ind w:right="144"/>
        <w:rPr>
          <w:rFonts w:asciiTheme="minorHAnsi" w:hAnsiTheme="minorHAnsi" w:cstheme="minorHAnsi"/>
          <w:sz w:val="22"/>
          <w:szCs w:val="22"/>
        </w:rPr>
      </w:pPr>
      <w:r>
        <w:rPr>
          <w:rFonts w:asciiTheme="minorHAnsi" w:hAnsiTheme="minorHAnsi" w:cstheme="minorHAnsi"/>
          <w:sz w:val="22"/>
          <w:szCs w:val="22"/>
        </w:rPr>
        <w:t>A $40 gift card to participants who complete the dissolved partnership provider survey. We plan to offer a larger</w:t>
      </w:r>
      <w:r w:rsidR="006A1D41">
        <w:rPr>
          <w:rFonts w:asciiTheme="minorHAnsi" w:hAnsiTheme="minorHAnsi" w:cstheme="minorHAnsi"/>
          <w:sz w:val="22"/>
          <w:szCs w:val="22"/>
        </w:rPr>
        <w:t xml:space="preserve"> token of appreciation for these</w:t>
      </w:r>
      <w:r w:rsidRPr="00A63FE2" w:rsidR="00641B52">
        <w:rPr>
          <w:rFonts w:asciiTheme="minorHAnsi" w:hAnsiTheme="minorHAnsi" w:cstheme="minorHAnsi"/>
          <w:sz w:val="22"/>
          <w:szCs w:val="22"/>
        </w:rPr>
        <w:t xml:space="preserve"> providers—who may no longer have a</w:t>
      </w:r>
      <w:r w:rsidR="006A1D41">
        <w:rPr>
          <w:rFonts w:asciiTheme="minorHAnsi" w:hAnsiTheme="minorHAnsi" w:cstheme="minorHAnsi"/>
          <w:sz w:val="22"/>
          <w:szCs w:val="22"/>
        </w:rPr>
        <w:t>ny</w:t>
      </w:r>
      <w:r w:rsidRPr="00A63FE2" w:rsidR="00641B52">
        <w:rPr>
          <w:rFonts w:asciiTheme="minorHAnsi" w:hAnsiTheme="minorHAnsi" w:cstheme="minorHAnsi"/>
          <w:sz w:val="22"/>
          <w:szCs w:val="22"/>
        </w:rPr>
        <w:t xml:space="preserve"> connection to Early Head Start or the partnership programs</w:t>
      </w:r>
      <w:r w:rsidR="006A1D41">
        <w:rPr>
          <w:rFonts w:asciiTheme="minorHAnsi" w:hAnsiTheme="minorHAnsi" w:cstheme="minorHAnsi"/>
          <w:sz w:val="22"/>
          <w:szCs w:val="22"/>
        </w:rPr>
        <w:t xml:space="preserve"> (and who might not even be in business)</w:t>
      </w:r>
      <w:r w:rsidRPr="00A63FE2" w:rsidR="00641B52">
        <w:rPr>
          <w:rFonts w:asciiTheme="minorHAnsi" w:hAnsiTheme="minorHAnsi" w:cstheme="minorHAnsi"/>
          <w:sz w:val="22"/>
          <w:szCs w:val="22"/>
        </w:rPr>
        <w:t>—</w:t>
      </w:r>
      <w:r w:rsidR="006A1D41">
        <w:rPr>
          <w:rFonts w:asciiTheme="minorHAnsi" w:hAnsiTheme="minorHAnsi" w:cstheme="minorHAnsi"/>
          <w:sz w:val="22"/>
          <w:szCs w:val="22"/>
        </w:rPr>
        <w:t xml:space="preserve">because we expect they </w:t>
      </w:r>
      <w:r w:rsidRPr="00A63FE2" w:rsidR="00641B52">
        <w:rPr>
          <w:rFonts w:asciiTheme="minorHAnsi" w:hAnsiTheme="minorHAnsi" w:cstheme="minorHAnsi"/>
          <w:sz w:val="22"/>
          <w:szCs w:val="22"/>
        </w:rPr>
        <w:t xml:space="preserve">will be more difficult to recruit. </w:t>
      </w:r>
    </w:p>
    <w:p w:rsidR="008C7278" w:rsidRDefault="00641B52" w14:paraId="3C3D96DD" w14:textId="6C4C0F23">
      <w:pPr>
        <w:pStyle w:val="NumberedBullet"/>
        <w:keepLines/>
        <w:tabs>
          <w:tab w:val="clear" w:pos="432"/>
          <w:tab w:val="clear" w:pos="792"/>
        </w:tabs>
        <w:spacing w:after="240"/>
        <w:ind w:left="0" w:right="144" w:firstLine="0"/>
        <w:rPr>
          <w:rFonts w:asciiTheme="minorHAnsi" w:hAnsiTheme="minorHAnsi" w:cstheme="minorHAnsi"/>
          <w:sz w:val="22"/>
          <w:szCs w:val="22"/>
        </w:rPr>
      </w:pPr>
      <w:r>
        <w:rPr>
          <w:rFonts w:asciiTheme="minorHAnsi" w:hAnsiTheme="minorHAnsi" w:cstheme="minorHAnsi"/>
          <w:sz w:val="22"/>
          <w:szCs w:val="22"/>
        </w:rPr>
        <w:t>W</w:t>
      </w:r>
      <w:r w:rsidRPr="00A63FE2">
        <w:rPr>
          <w:rFonts w:asciiTheme="minorHAnsi" w:hAnsiTheme="minorHAnsi" w:cstheme="minorHAnsi"/>
          <w:sz w:val="22"/>
          <w:szCs w:val="22"/>
        </w:rPr>
        <w:t xml:space="preserve">e </w:t>
      </w:r>
      <w:r w:rsidRPr="00A63FE2" w:rsidR="008E72C6">
        <w:rPr>
          <w:rFonts w:asciiTheme="minorHAnsi" w:hAnsiTheme="minorHAnsi" w:cstheme="minorHAnsi"/>
          <w:sz w:val="22"/>
          <w:szCs w:val="22"/>
        </w:rPr>
        <w:t xml:space="preserve">will offer </w:t>
      </w:r>
      <w:r w:rsidRPr="00A63FE2" w:rsidR="00D15DA0">
        <w:rPr>
          <w:rFonts w:asciiTheme="minorHAnsi" w:hAnsiTheme="minorHAnsi" w:cstheme="minorHAnsi"/>
          <w:sz w:val="22"/>
          <w:szCs w:val="22"/>
        </w:rPr>
        <w:t xml:space="preserve">an additional </w:t>
      </w:r>
      <w:r>
        <w:rPr>
          <w:rFonts w:asciiTheme="minorHAnsi" w:hAnsiTheme="minorHAnsi" w:cstheme="minorHAnsi"/>
          <w:sz w:val="22"/>
          <w:szCs w:val="22"/>
        </w:rPr>
        <w:t xml:space="preserve">token of appreciation to providers that participate in the semi-structured interviews. </w:t>
      </w:r>
      <w:r w:rsidR="008C7278">
        <w:rPr>
          <w:rFonts w:asciiTheme="minorHAnsi" w:hAnsiTheme="minorHAnsi" w:cstheme="minorHAnsi"/>
          <w:sz w:val="22"/>
          <w:szCs w:val="22"/>
        </w:rPr>
        <w:t xml:space="preserve">We will offer: </w:t>
      </w:r>
    </w:p>
    <w:p w:rsidR="006A1D41" w:rsidRDefault="008C7278" w14:paraId="5A286A5A" w14:textId="7CD954BC">
      <w:pPr>
        <w:pStyle w:val="NumberedBullet"/>
        <w:keepLines/>
        <w:numPr>
          <w:ilvl w:val="0"/>
          <w:numId w:val="52"/>
        </w:numPr>
        <w:tabs>
          <w:tab w:val="clear" w:pos="432"/>
        </w:tabs>
        <w:spacing w:after="240"/>
        <w:ind w:right="144"/>
        <w:rPr>
          <w:rFonts w:asciiTheme="minorHAnsi" w:hAnsiTheme="minorHAnsi" w:cstheme="minorHAnsi"/>
          <w:sz w:val="22"/>
          <w:szCs w:val="22"/>
        </w:rPr>
      </w:pPr>
      <w:r>
        <w:rPr>
          <w:rFonts w:asciiTheme="minorHAnsi" w:hAnsiTheme="minorHAnsi" w:cstheme="minorHAnsi"/>
          <w:sz w:val="22"/>
          <w:szCs w:val="22"/>
        </w:rPr>
        <w:t xml:space="preserve">A </w:t>
      </w:r>
      <w:r w:rsidRPr="00A63FE2" w:rsidR="003F3A44">
        <w:rPr>
          <w:rFonts w:asciiTheme="minorHAnsi" w:hAnsiTheme="minorHAnsi" w:cstheme="minorHAnsi"/>
          <w:sz w:val="22"/>
          <w:szCs w:val="22"/>
        </w:rPr>
        <w:t xml:space="preserve">$20 gift card for </w:t>
      </w:r>
      <w:r w:rsidRPr="00A63FE2" w:rsidR="00223380">
        <w:rPr>
          <w:rFonts w:asciiTheme="minorHAnsi" w:hAnsiTheme="minorHAnsi" w:cstheme="minorHAnsi"/>
          <w:sz w:val="22"/>
          <w:szCs w:val="22"/>
        </w:rPr>
        <w:t>sustained partnership provider</w:t>
      </w:r>
      <w:r w:rsidRPr="00A63FE2" w:rsidR="00633951">
        <w:rPr>
          <w:rFonts w:asciiTheme="minorHAnsi" w:hAnsiTheme="minorHAnsi" w:cstheme="minorHAnsi"/>
          <w:sz w:val="22"/>
          <w:szCs w:val="22"/>
        </w:rPr>
        <w:t>s</w:t>
      </w:r>
      <w:r w:rsidRPr="00A63FE2" w:rsidR="008E72C6">
        <w:rPr>
          <w:rFonts w:asciiTheme="minorHAnsi" w:hAnsiTheme="minorHAnsi" w:cstheme="minorHAnsi"/>
          <w:sz w:val="22"/>
          <w:szCs w:val="22"/>
        </w:rPr>
        <w:t xml:space="preserve">. </w:t>
      </w:r>
    </w:p>
    <w:p w:rsidRPr="00D85249" w:rsidR="00936868" w:rsidP="00D85249" w:rsidRDefault="006A1D41" w14:paraId="0466CCD8" w14:textId="66BE5936">
      <w:pPr>
        <w:pStyle w:val="NumberedBullet"/>
        <w:keepLines/>
        <w:numPr>
          <w:ilvl w:val="0"/>
          <w:numId w:val="52"/>
        </w:numPr>
        <w:tabs>
          <w:tab w:val="clear" w:pos="432"/>
        </w:tabs>
        <w:spacing w:after="0"/>
        <w:ind w:right="144"/>
      </w:pPr>
      <w:r>
        <w:rPr>
          <w:rFonts w:asciiTheme="minorHAnsi" w:hAnsiTheme="minorHAnsi" w:cstheme="minorHAnsi"/>
          <w:sz w:val="22"/>
          <w:szCs w:val="22"/>
        </w:rPr>
        <w:t xml:space="preserve">A </w:t>
      </w:r>
      <w:r w:rsidRPr="00A63FE2">
        <w:rPr>
          <w:rFonts w:asciiTheme="minorHAnsi" w:hAnsiTheme="minorHAnsi" w:cstheme="minorHAnsi"/>
          <w:sz w:val="22"/>
          <w:szCs w:val="22"/>
        </w:rPr>
        <w:t>$40 gift card to participants in the semi-structured interviews for dissolved partnership providers</w:t>
      </w:r>
      <w:r>
        <w:rPr>
          <w:rFonts w:asciiTheme="minorHAnsi" w:hAnsiTheme="minorHAnsi" w:cstheme="minorHAnsi"/>
          <w:sz w:val="22"/>
          <w:szCs w:val="22"/>
        </w:rPr>
        <w:t>.</w:t>
      </w:r>
    </w:p>
    <w:p w:rsidR="00D85249" w:rsidP="00D85249" w:rsidRDefault="00D85249" w14:paraId="20D60B6C" w14:textId="77777777">
      <w:pPr>
        <w:spacing w:after="0"/>
      </w:pPr>
    </w:p>
    <w:p w:rsidRPr="00A63FE2" w:rsidR="009A6992" w:rsidP="00D85249" w:rsidRDefault="003F3A44" w14:paraId="048D56DE" w14:textId="003232DD">
      <w:r w:rsidRPr="00A63FE2">
        <w:t xml:space="preserve">We use a base of a $20 gift card </w:t>
      </w:r>
      <w:r w:rsidRPr="00A63FE2" w:rsidR="004813B2">
        <w:t xml:space="preserve">(for EHS program directors and sustained partnership providers) </w:t>
      </w:r>
      <w:r w:rsidRPr="00A63FE2">
        <w:t xml:space="preserve">because the NDS provided the same amount to respondents in 2016 and, given we anticipate significant overlap in respondents, we assume respondents might recall and expect a similar token of appreciation for participating in the follow-up. </w:t>
      </w:r>
      <w:r w:rsidRPr="00A63FE2" w:rsidR="005A3D47">
        <w:t xml:space="preserve">Further, there are two subgroups among the Sustainability </w:t>
      </w:r>
      <w:r w:rsidR="00A63FE2">
        <w:t>S</w:t>
      </w:r>
      <w:r w:rsidRPr="00A63FE2" w:rsidR="005A3D47">
        <w:t xml:space="preserve">tudy sample that we expect will be more difficult to reach and are at risk of completing the surveys and interviews in smaller numbers. First, there will be family child care providers in both the sustained and dissolved partnership provider surveys. Typically, family child care providers are harder to reach and have lower response rates than center-based providers, including in the NDS (see B.5). Second, whereas EHS program directors and sustained partnership providers will be active participants in the </w:t>
      </w:r>
      <w:r w:rsidRPr="00A63FE2" w:rsidR="005A3D47">
        <w:lastRenderedPageBreak/>
        <w:t xml:space="preserve">partnerships, likely with an interest in their continued success, dissolved partnership providers will have no connection </w:t>
      </w:r>
      <w:r w:rsidRPr="00A63FE2" w:rsidR="00380835">
        <w:t xml:space="preserve">to the partnerships. It is </w:t>
      </w:r>
      <w:r w:rsidRPr="00A63FE2" w:rsidR="004813B2">
        <w:t>likely</w:t>
      </w:r>
      <w:r w:rsidRPr="00A63FE2" w:rsidR="00380835">
        <w:t xml:space="preserve"> that </w:t>
      </w:r>
      <w:r w:rsidRPr="00A63FE2" w:rsidR="004813B2">
        <w:t xml:space="preserve">some </w:t>
      </w:r>
      <w:r w:rsidRPr="00A63FE2" w:rsidR="00380835">
        <w:t xml:space="preserve">dissolved partnership providers might have gone out of business by the time of Sustainability </w:t>
      </w:r>
      <w:r w:rsidR="00A63FE2">
        <w:t>S</w:t>
      </w:r>
      <w:r w:rsidRPr="00A63FE2" w:rsidR="00380835">
        <w:t>tudy data collection, making the study even less salient to them.</w:t>
      </w:r>
      <w:r w:rsidRPr="00A63FE2" w:rsidR="00062B4A">
        <w:t xml:space="preserve"> </w:t>
      </w:r>
    </w:p>
    <w:p w:rsidRPr="0024795A" w:rsidR="001D1C73" w:rsidP="0024795A" w:rsidRDefault="001D1C73" w14:paraId="63D44C93" w14:textId="73EE5F30">
      <w:pPr>
        <w:tabs>
          <w:tab w:val="left" w:pos="630"/>
        </w:tabs>
        <w:spacing w:after="120" w:line="240" w:lineRule="auto"/>
        <w:ind w:left="630" w:hanging="630"/>
        <w:rPr>
          <w:b/>
        </w:rPr>
      </w:pPr>
      <w:r w:rsidRPr="001B4BE8">
        <w:rPr>
          <w:b/>
        </w:rPr>
        <w:t>A10</w:t>
      </w:r>
      <w:r w:rsidRPr="0024795A">
        <w:rPr>
          <w:b/>
        </w:rPr>
        <w:t>.</w:t>
      </w:r>
      <w:r w:rsidRPr="0024795A">
        <w:rPr>
          <w:b/>
        </w:rPr>
        <w:tab/>
      </w:r>
      <w:r w:rsidRPr="001B4BE8">
        <w:rPr>
          <w:b/>
        </w:rPr>
        <w:t>Privacy:  Procedures to protect privacy of information, while maximizing data sharing</w:t>
      </w:r>
    </w:p>
    <w:p w:rsidRPr="009139B3" w:rsidR="001D1C73" w:rsidP="00D66C51" w:rsidRDefault="001D1C73" w14:paraId="628A8123" w14:textId="77777777">
      <w:pPr>
        <w:spacing w:after="60" w:line="240" w:lineRule="auto"/>
        <w:rPr>
          <w:i/>
        </w:rPr>
      </w:pPr>
      <w:r w:rsidRPr="009139B3">
        <w:rPr>
          <w:i/>
        </w:rPr>
        <w:t>Personally Identifiable Information</w:t>
      </w:r>
    </w:p>
    <w:p w:rsidRPr="004178D8" w:rsidR="001B4BE8" w:rsidP="00D66C51" w:rsidRDefault="001B4BE8" w14:paraId="773342B5" w14:textId="5E116C32">
      <w:pPr>
        <w:pStyle w:val="ListParagraph"/>
        <w:spacing w:after="240" w:line="240" w:lineRule="auto"/>
        <w:ind w:left="0"/>
        <w:contextualSpacing w:val="0"/>
        <w:rPr>
          <w:szCs w:val="24"/>
        </w:rPr>
      </w:pPr>
      <w:r w:rsidRPr="005B29A4">
        <w:rPr>
          <w:rFonts w:cstheme="minorHAnsi"/>
        </w:rPr>
        <w:t xml:space="preserve">This collection requests personally identifiable information (PII) such as name and contact information. </w:t>
      </w:r>
      <w:r w:rsidRPr="008C7278" w:rsidR="008C7278">
        <w:rPr>
          <w:rFonts w:cstheme="minorHAnsi"/>
        </w:rPr>
        <w:t xml:space="preserve"> </w:t>
      </w:r>
      <w:r w:rsidR="008C7278">
        <w:rPr>
          <w:rFonts w:cstheme="minorHAnsi"/>
        </w:rPr>
        <w:t xml:space="preserve">We will ask </w:t>
      </w:r>
      <w:r w:rsidRPr="00A63FE2" w:rsidR="008C7278">
        <w:rPr>
          <w:rFonts w:cstheme="minorHAnsi"/>
        </w:rPr>
        <w:t>EHS program director</w:t>
      </w:r>
      <w:r w:rsidR="008C7278">
        <w:rPr>
          <w:rFonts w:cstheme="minorHAnsi"/>
        </w:rPr>
        <w:t xml:space="preserve">s to confirm the names and contact information for their </w:t>
      </w:r>
      <w:r w:rsidR="00D4502D">
        <w:rPr>
          <w:rFonts w:cstheme="minorHAnsi"/>
        </w:rPr>
        <w:t>partnership providers from the NDS</w:t>
      </w:r>
      <w:r w:rsidR="008C7278">
        <w:rPr>
          <w:rFonts w:cstheme="minorHAnsi"/>
        </w:rPr>
        <w:t xml:space="preserve"> to help us identify the right respondents for the provider surveys and interviews. We will ask all respondents to confirm their names and contact information in order to distribute their tokens of appreciation.</w:t>
      </w:r>
      <w:r w:rsidRPr="00A63FE2" w:rsidR="008C7278">
        <w:rPr>
          <w:rFonts w:cstheme="minorHAnsi"/>
        </w:rPr>
        <w:t xml:space="preserve"> </w:t>
      </w:r>
    </w:p>
    <w:p w:rsidRPr="009139B3" w:rsidR="001D1C73" w:rsidP="00384BFC" w:rsidRDefault="001D1C73" w14:paraId="7688FE78" w14:textId="1D2D309F">
      <w:pPr>
        <w:spacing w:after="240" w:line="240" w:lineRule="auto"/>
        <w:rPr>
          <w:i/>
        </w:rPr>
      </w:pPr>
      <w:r w:rsidRPr="009139B3">
        <w:rPr>
          <w:rFonts w:cstheme="minorHAnsi"/>
        </w:rPr>
        <w:t>Information will not be maintained in a paper or electronic system from which data are actually or directly retrieved by an individuals’ personal identifier.</w:t>
      </w:r>
    </w:p>
    <w:p w:rsidRPr="009139B3" w:rsidR="001D1C73" w:rsidP="00D66C51" w:rsidRDefault="001D1C73" w14:paraId="4254686E" w14:textId="77777777">
      <w:pPr>
        <w:spacing w:after="60" w:line="240" w:lineRule="auto"/>
        <w:rPr>
          <w:i/>
        </w:rPr>
      </w:pPr>
      <w:r w:rsidRPr="009139B3">
        <w:rPr>
          <w:i/>
        </w:rPr>
        <w:t>Assurances of Privacy</w:t>
      </w:r>
    </w:p>
    <w:p w:rsidRPr="005B29A4" w:rsidR="001B4BE8" w:rsidP="00D66C51" w:rsidRDefault="001B4BE8" w14:paraId="44847F5C" w14:textId="4F103707">
      <w:pPr>
        <w:pStyle w:val="NormalSS"/>
        <w:ind w:firstLine="0"/>
        <w:rPr>
          <w:rFonts w:asciiTheme="minorHAnsi" w:hAnsiTheme="minorHAnsi" w:cstheme="minorHAnsi"/>
          <w:sz w:val="22"/>
          <w:szCs w:val="22"/>
        </w:rPr>
      </w:pPr>
      <w:r w:rsidRPr="004178D8">
        <w:rPr>
          <w:rFonts w:asciiTheme="minorHAnsi" w:hAnsiTheme="minorHAnsi" w:cstheme="minorHAnsi"/>
          <w:sz w:val="22"/>
          <w:szCs w:val="22"/>
        </w:rPr>
        <w:t xml:space="preserve">Information collected will be kept private to the extent permitted by law. Respondents will be informed of all planned uses of data, that their participation is voluntary, </w:t>
      </w:r>
      <w:r w:rsidRPr="005B29A4">
        <w:rPr>
          <w:rFonts w:asciiTheme="minorHAnsi" w:hAnsiTheme="minorHAnsi" w:cstheme="minorHAnsi"/>
          <w:sz w:val="22"/>
          <w:szCs w:val="22"/>
        </w:rPr>
        <w:t>and that their information will be kept private to the extent permitted by law. The consent statement that all study participants will receive provides assurances that the research team will protect the privacy of respondents to the fullest extent possible under the law, that respondents’ participation is voluntary, and that they may withdraw their consent at any time without any negative consequences.</w:t>
      </w:r>
    </w:p>
    <w:p w:rsidRPr="005B29A4" w:rsidR="001B4BE8" w:rsidP="00D66C51" w:rsidRDefault="001B4BE8" w14:paraId="2A16D59F" w14:textId="6B9AED0C">
      <w:pPr>
        <w:pStyle w:val="NormalSS"/>
        <w:ind w:firstLine="0"/>
        <w:rPr>
          <w:rFonts w:asciiTheme="minorHAnsi" w:hAnsiTheme="minorHAnsi" w:cstheme="minorHAnsi"/>
          <w:sz w:val="22"/>
          <w:szCs w:val="22"/>
        </w:rPr>
      </w:pPr>
      <w:r w:rsidRPr="004A7ED3">
        <w:rPr>
          <w:rFonts w:asciiTheme="minorHAnsi" w:hAnsiTheme="minorHAnsi" w:cstheme="minorHAnsi"/>
          <w:sz w:val="22"/>
          <w:szCs w:val="22"/>
        </w:rPr>
        <w:t xml:space="preserve">As specified in the contract signed by ACF and Mathematica (referred to as the Contractor in this section), the Contractor shall protect respondent privacy to the extent permitted by law and will comply with all Federal and Departmental regulations for private information. The Contractor </w:t>
      </w:r>
      <w:r w:rsidRPr="004A7ED3" w:rsidR="0033791F">
        <w:rPr>
          <w:rFonts w:asciiTheme="minorHAnsi" w:hAnsiTheme="minorHAnsi" w:cstheme="minorHAnsi"/>
          <w:sz w:val="22"/>
          <w:szCs w:val="22"/>
        </w:rPr>
        <w:t>will develop</w:t>
      </w:r>
      <w:r w:rsidRPr="004A7ED3">
        <w:rPr>
          <w:rFonts w:asciiTheme="minorHAnsi" w:hAnsiTheme="minorHAnsi" w:cstheme="minorHAnsi"/>
          <w:sz w:val="22"/>
          <w:szCs w:val="22"/>
        </w:rPr>
        <w:t xml:space="preserve"> a Data Safety Plan that assesses all protections of respondents’ PII and </w:t>
      </w:r>
      <w:r w:rsidRPr="004A7ED3" w:rsidR="0033791F">
        <w:rPr>
          <w:rFonts w:asciiTheme="minorHAnsi" w:hAnsiTheme="minorHAnsi" w:cstheme="minorHAnsi"/>
          <w:sz w:val="22"/>
          <w:szCs w:val="22"/>
        </w:rPr>
        <w:t>will submit</w:t>
      </w:r>
      <w:r w:rsidRPr="004A7ED3">
        <w:rPr>
          <w:rFonts w:asciiTheme="minorHAnsi" w:hAnsiTheme="minorHAnsi" w:cstheme="minorHAnsi"/>
          <w:sz w:val="22"/>
          <w:szCs w:val="22"/>
        </w:rPr>
        <w:t xml:space="preserve"> it to ACF </w:t>
      </w:r>
      <w:r w:rsidRPr="00215C97" w:rsidR="0033791F">
        <w:rPr>
          <w:rFonts w:asciiTheme="minorHAnsi" w:hAnsiTheme="minorHAnsi" w:cstheme="minorHAnsi"/>
          <w:sz w:val="22"/>
          <w:szCs w:val="22"/>
        </w:rPr>
        <w:t xml:space="preserve">by </w:t>
      </w:r>
      <w:r w:rsidR="00037CB4">
        <w:rPr>
          <w:rFonts w:asciiTheme="minorHAnsi" w:hAnsiTheme="minorHAnsi" w:cstheme="minorHAnsi"/>
          <w:sz w:val="22"/>
          <w:szCs w:val="22"/>
        </w:rPr>
        <w:t>July</w:t>
      </w:r>
      <w:r w:rsidRPr="00215C97" w:rsidR="00215C97">
        <w:rPr>
          <w:rFonts w:asciiTheme="minorHAnsi" w:hAnsiTheme="minorHAnsi" w:cstheme="minorHAnsi"/>
          <w:sz w:val="22"/>
          <w:szCs w:val="22"/>
        </w:rPr>
        <w:t xml:space="preserve"> 2021</w:t>
      </w:r>
      <w:r w:rsidRPr="00215C97">
        <w:rPr>
          <w:rFonts w:asciiTheme="minorHAnsi" w:hAnsiTheme="minorHAnsi" w:cstheme="minorHAnsi"/>
          <w:sz w:val="22"/>
          <w:szCs w:val="22"/>
        </w:rPr>
        <w:t>.</w:t>
      </w:r>
      <w:r w:rsidRPr="004A7ED3">
        <w:rPr>
          <w:rFonts w:asciiTheme="minorHAnsi" w:hAnsiTheme="minorHAnsi" w:cstheme="minorHAnsi"/>
          <w:sz w:val="22"/>
          <w:szCs w:val="22"/>
        </w:rPr>
        <w:t xml:space="preserve"> The Contractor shall ensure that all of its employees, subcontractors (at all tiers), and employees of each subcontractor who perform work under this contract/subcontract are trained on data privacy issues and comply with the above requirements. All of the Contractor’s staff sign the Contractor’s confidentiality agreement when they are hired.</w:t>
      </w:r>
    </w:p>
    <w:p w:rsidRPr="009139B3" w:rsidR="001D1C73" w:rsidP="00863F9A" w:rsidRDefault="001D1C73" w14:paraId="4F8CC7BF" w14:textId="421DDD22">
      <w:pPr>
        <w:spacing w:after="240" w:line="240" w:lineRule="auto"/>
        <w:rPr>
          <w:rFonts w:eastAsia="Times New Roman" w:cstheme="minorHAnsi"/>
        </w:rPr>
      </w:pPr>
      <w:r w:rsidRPr="009139B3">
        <w:rPr>
          <w:rFonts w:eastAsia="Times New Roman" w:cstheme="minorHAnsi"/>
        </w:rPr>
        <w:t xml:space="preserve">Due to the sensitive nature of this research (see A11 for more information), the evaluation will obtain a Certificate of Confidentiality. The study team has applied for this Certificate and will provide it to OMB once it is received. The Certificate of Confidentiality helps to assure participants that their information will be kept private to the fullest extent permitted by law. </w:t>
      </w:r>
      <w:r w:rsidRPr="001B4BE8" w:rsidR="001B4BE8">
        <w:rPr>
          <w:rFonts w:cstheme="minorHAnsi"/>
        </w:rPr>
        <w:t xml:space="preserve"> </w:t>
      </w:r>
      <w:r w:rsidRPr="005B29A4" w:rsidR="001B4BE8">
        <w:rPr>
          <w:rFonts w:cstheme="minorHAnsi"/>
        </w:rPr>
        <w:t>Further, all materials to be used with respondents as part of this information collection, including consent statements and instruments, will be submitted to the Health Media Lab Institutional Review Board (the Contractor’s IRB) for approval.</w:t>
      </w:r>
    </w:p>
    <w:p w:rsidRPr="009139B3" w:rsidR="001D1C73" w:rsidP="00D66C51" w:rsidRDefault="001D1C73" w14:paraId="013EB7D6" w14:textId="77777777">
      <w:pPr>
        <w:spacing w:after="60" w:line="240" w:lineRule="auto"/>
        <w:rPr>
          <w:rFonts w:cstheme="minorHAnsi"/>
          <w:i/>
        </w:rPr>
      </w:pPr>
      <w:r w:rsidRPr="009139B3">
        <w:rPr>
          <w:rFonts w:cstheme="minorHAnsi"/>
          <w:i/>
        </w:rPr>
        <w:t>Data Security and Monitoring</w:t>
      </w:r>
    </w:p>
    <w:p w:rsidR="001D1C73" w:rsidP="00863F9A" w:rsidRDefault="001B4BE8" w14:paraId="39D379A1" w14:textId="77233D67">
      <w:pPr>
        <w:pStyle w:val="NormalSS"/>
        <w:spacing w:after="120"/>
        <w:ind w:firstLine="0"/>
        <w:rPr>
          <w:rFonts w:asciiTheme="minorHAnsi" w:hAnsiTheme="minorHAnsi" w:cstheme="minorHAnsi"/>
          <w:sz w:val="22"/>
          <w:szCs w:val="22"/>
        </w:rPr>
      </w:pPr>
      <w:r w:rsidRPr="005B29A4">
        <w:rPr>
          <w:rFonts w:asciiTheme="minorHAnsi" w:hAnsiTheme="minorHAnsi" w:cstheme="minorHAnsi"/>
          <w:sz w:val="22"/>
          <w:szCs w:val="22"/>
        </w:rPr>
        <w:t xml:space="preserve">As specified in the evaluator’s contract, the Contractor shall use Federal Information Processing Standard (currently, FIPS 140-2)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and establish a </w:t>
      </w:r>
      <w:r w:rsidRPr="005B29A4">
        <w:rPr>
          <w:rFonts w:asciiTheme="minorHAnsi" w:hAnsiTheme="minorHAnsi" w:cstheme="minorHAnsi"/>
          <w:sz w:val="22"/>
          <w:szCs w:val="22"/>
        </w:rPr>
        <w:lastRenderedPageBreak/>
        <w:t>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data or PII, ensuring secure storage and limits on access.</w:t>
      </w:r>
      <w:r>
        <w:rPr>
          <w:rFonts w:asciiTheme="minorHAnsi" w:hAnsiTheme="minorHAnsi" w:cstheme="minorHAnsi"/>
          <w:sz w:val="22"/>
          <w:szCs w:val="22"/>
        </w:rPr>
        <w:t xml:space="preserve"> </w:t>
      </w:r>
    </w:p>
    <w:p w:rsidRPr="004178D8" w:rsidR="00D4502D" w:rsidP="00D4502D" w:rsidRDefault="00D4502D" w14:paraId="2081311E" w14:textId="77777777">
      <w:pPr>
        <w:pStyle w:val="ListParagraph"/>
        <w:spacing w:after="240" w:line="240" w:lineRule="auto"/>
        <w:ind w:left="0"/>
        <w:contextualSpacing w:val="0"/>
        <w:rPr>
          <w:szCs w:val="24"/>
        </w:rPr>
      </w:pPr>
      <w:r w:rsidRPr="004178D8">
        <w:rPr>
          <w:szCs w:val="24"/>
        </w:rPr>
        <w:t xml:space="preserve">All electronic data will be stored on a secure network drive at Mathematica offices and never in possession of ACF; data will be backed up on our secure servers for 60 days for disaster recovery purposes. Sixty days after the primary data files are securely deleted, the backed-up data will be automatically and securely deleted, as required by our contract (i.e., “The Contractor shall dispose of the primary data and files created during the course of the study in accordance with specifications provided by ACF”). These plans are described in more detail in a data security plan, also required by the contract. Systems will be accessible only by staff working on the project through individual passwords and logins. </w:t>
      </w:r>
    </w:p>
    <w:p w:rsidRPr="004178D8" w:rsidR="00D4502D" w:rsidP="00D4502D" w:rsidRDefault="00D4502D" w14:paraId="17460E4A" w14:textId="77777777">
      <w:pPr>
        <w:pStyle w:val="ListParagraph"/>
        <w:spacing w:after="240" w:line="240" w:lineRule="auto"/>
        <w:ind w:left="0"/>
        <w:rPr>
          <w:szCs w:val="24"/>
        </w:rPr>
      </w:pPr>
      <w:r w:rsidRPr="004178D8">
        <w:rPr>
          <w:szCs w:val="24"/>
        </w:rPr>
        <w:t>Following data collection, we will remove all PII from the instruments and the de-identified data will be exported for analysis. Neither analysis staff nor ACF will have access to any PII; only de-identified data will be available. Once the analysis is complete all electronic databases will be deleted, and as mentioned above, after 60 days the data will no longer be able to be retrieved.</w:t>
      </w:r>
    </w:p>
    <w:p w:rsidRPr="001B4BE8" w:rsidR="001B4BE8" w:rsidP="00D66C51" w:rsidRDefault="001B4BE8" w14:paraId="58386907" w14:textId="0B71E344">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We will </w:t>
      </w:r>
      <w:r w:rsidR="00D4502D">
        <w:rPr>
          <w:rFonts w:asciiTheme="minorHAnsi" w:hAnsiTheme="minorHAnsi" w:cstheme="minorHAnsi"/>
          <w:sz w:val="22"/>
          <w:szCs w:val="22"/>
        </w:rPr>
        <w:t xml:space="preserve">also </w:t>
      </w:r>
      <w:r>
        <w:rPr>
          <w:rFonts w:asciiTheme="minorHAnsi" w:hAnsiTheme="minorHAnsi" w:cstheme="minorHAnsi"/>
          <w:sz w:val="22"/>
          <w:szCs w:val="22"/>
        </w:rPr>
        <w:t>create a de-identified restricted use data file and a data user’s guide to inform and assist researchers who would like to use the data in future analyses.</w:t>
      </w:r>
    </w:p>
    <w:p w:rsidRPr="0024795A" w:rsidR="001D1C73" w:rsidP="0024795A" w:rsidRDefault="001D1C73" w14:paraId="40B5F5B3" w14:textId="41414798">
      <w:pPr>
        <w:tabs>
          <w:tab w:val="left" w:pos="630"/>
        </w:tabs>
        <w:spacing w:after="120" w:line="240" w:lineRule="auto"/>
        <w:ind w:left="630" w:hanging="630"/>
        <w:rPr>
          <w:b/>
        </w:rPr>
      </w:pPr>
      <w:r w:rsidRPr="009139B3">
        <w:rPr>
          <w:b/>
        </w:rPr>
        <w:t>A11</w:t>
      </w:r>
      <w:r w:rsidRPr="0024795A">
        <w:rPr>
          <w:b/>
        </w:rPr>
        <w:t>.</w:t>
      </w:r>
      <w:r w:rsidRPr="0024795A">
        <w:rPr>
          <w:b/>
        </w:rPr>
        <w:tab/>
      </w:r>
      <w:r w:rsidRPr="009139B3">
        <w:rPr>
          <w:b/>
        </w:rPr>
        <w:t>Sensitive Information</w:t>
      </w:r>
      <w:r w:rsidRPr="0024795A">
        <w:rPr>
          <w:b/>
        </w:rPr>
        <w:t xml:space="preserve"> </w:t>
      </w:r>
    </w:p>
    <w:p w:rsidR="00A07D25" w:rsidP="00D66C51" w:rsidRDefault="00703FB3" w14:paraId="235181C7" w14:textId="359C7D0B">
      <w:pPr>
        <w:spacing w:after="240" w:line="240" w:lineRule="auto"/>
        <w:rPr>
          <w:b/>
        </w:rPr>
      </w:pPr>
      <w:r w:rsidRPr="00703FB3">
        <w:rPr>
          <w:rFonts w:cstheme="minorHAnsi"/>
        </w:rPr>
        <w:t xml:space="preserve">To understand what factors supported and impeded the sustainability of partnerships, we ask child care providers sensitive questions about their relationship with their grantee. These questions include reporting on the barriers to sustaining their partnership with the grantee and supports the grantee may have or may not have provided. The invitation to participate in the study will inform child care providers that the survey will ask these questions, that they do not have to answer any questions that make them uncomfortable, and that the responses they provide will not be reported to program staff. </w:t>
      </w:r>
      <w:r w:rsidDel="006D73C4" w:rsidR="006D73C4">
        <w:rPr>
          <w:iCs/>
        </w:rPr>
        <w:t xml:space="preserve"> </w:t>
      </w:r>
    </w:p>
    <w:p w:rsidRPr="009139B3" w:rsidR="001D1C73" w:rsidP="0024795A" w:rsidRDefault="001D1C73" w14:paraId="62ADEB38" w14:textId="1DF7940D">
      <w:pPr>
        <w:tabs>
          <w:tab w:val="left" w:pos="630"/>
        </w:tabs>
        <w:spacing w:after="120" w:line="240" w:lineRule="auto"/>
        <w:ind w:left="630" w:hanging="630"/>
        <w:rPr>
          <w:b/>
        </w:rPr>
      </w:pPr>
      <w:r w:rsidRPr="009139B3">
        <w:rPr>
          <w:b/>
        </w:rPr>
        <w:t>A12</w:t>
      </w:r>
      <w:r w:rsidRPr="0024795A">
        <w:rPr>
          <w:b/>
        </w:rPr>
        <w:t>.</w:t>
      </w:r>
      <w:r w:rsidRPr="0024795A">
        <w:rPr>
          <w:b/>
        </w:rPr>
        <w:tab/>
      </w:r>
      <w:r w:rsidRPr="009139B3">
        <w:rPr>
          <w:b/>
        </w:rPr>
        <w:t>Burden</w:t>
      </w:r>
    </w:p>
    <w:p w:rsidRPr="009139B3" w:rsidR="001D1C73" w:rsidP="001D1C73" w:rsidRDefault="001D1C73" w14:paraId="4525B6CF" w14:textId="77777777">
      <w:pPr>
        <w:spacing w:after="60" w:line="240" w:lineRule="auto"/>
        <w:rPr>
          <w:i/>
        </w:rPr>
      </w:pPr>
      <w:r w:rsidRPr="009139B3">
        <w:rPr>
          <w:i/>
        </w:rPr>
        <w:t>Explanation of Burden Estimates</w:t>
      </w:r>
    </w:p>
    <w:p w:rsidRPr="005B29A4" w:rsidR="00055722" w:rsidP="00055722" w:rsidRDefault="00055722" w14:paraId="275AC33D" w14:textId="0193B51D">
      <w:pPr>
        <w:pStyle w:val="NormalSS"/>
        <w:ind w:firstLine="0"/>
        <w:rPr>
          <w:rFonts w:asciiTheme="minorHAnsi" w:hAnsiTheme="minorHAnsi" w:cstheme="minorHAnsi"/>
          <w:sz w:val="22"/>
          <w:szCs w:val="22"/>
        </w:rPr>
      </w:pPr>
      <w:r w:rsidRPr="005E6B8D">
        <w:rPr>
          <w:rFonts w:asciiTheme="minorHAnsi" w:hAnsiTheme="minorHAnsi" w:cstheme="minorHAnsi"/>
          <w:sz w:val="22"/>
          <w:szCs w:val="22"/>
        </w:rPr>
        <w:t>Table A.</w:t>
      </w:r>
      <w:r w:rsidRPr="005E6B8D" w:rsidR="0033791F">
        <w:rPr>
          <w:rFonts w:asciiTheme="minorHAnsi" w:hAnsiTheme="minorHAnsi" w:cstheme="minorHAnsi"/>
          <w:sz w:val="22"/>
          <w:szCs w:val="22"/>
        </w:rPr>
        <w:t>3</w:t>
      </w:r>
      <w:r w:rsidRPr="005E6B8D">
        <w:rPr>
          <w:rFonts w:asciiTheme="minorHAnsi" w:hAnsiTheme="minorHAnsi" w:cstheme="minorHAnsi"/>
          <w:sz w:val="22"/>
          <w:szCs w:val="22"/>
        </w:rPr>
        <w:t xml:space="preserve"> presents the current request for data collection activities. </w:t>
      </w:r>
      <w:r w:rsidRPr="005E6B8D" w:rsidR="005E6B8D">
        <w:rPr>
          <w:rFonts w:asciiTheme="minorHAnsi" w:hAnsiTheme="minorHAnsi" w:cstheme="minorHAnsi"/>
          <w:sz w:val="22"/>
          <w:szCs w:val="22"/>
        </w:rPr>
        <w:t xml:space="preserve">Section B.2 in Supporting Statement B discusses the anticipated response rates, but for burden estimate purposes, we have provided estimates for the maximum possible number of anticipated completes. </w:t>
      </w:r>
      <w:r w:rsidRPr="005E6B8D">
        <w:rPr>
          <w:rFonts w:asciiTheme="minorHAnsi" w:hAnsiTheme="minorHAnsi" w:cstheme="minorHAnsi"/>
          <w:sz w:val="22"/>
          <w:szCs w:val="22"/>
        </w:rPr>
        <w:t>The estimates include time for respondents to review instructions, search data sources, complete and review the responses, and transmit or disclose information. This information collection reque</w:t>
      </w:r>
      <w:r w:rsidRPr="00FB13A2">
        <w:rPr>
          <w:rFonts w:asciiTheme="minorHAnsi" w:hAnsiTheme="minorHAnsi" w:cstheme="minorHAnsi"/>
          <w:sz w:val="22"/>
          <w:szCs w:val="22"/>
        </w:rPr>
        <w:t xml:space="preserve">st covers a period of </w:t>
      </w:r>
      <w:r w:rsidRPr="00FB13A2" w:rsidR="0033791F">
        <w:rPr>
          <w:rFonts w:asciiTheme="minorHAnsi" w:hAnsiTheme="minorHAnsi" w:cstheme="minorHAnsi"/>
          <w:sz w:val="22"/>
          <w:szCs w:val="22"/>
        </w:rPr>
        <w:t>three</w:t>
      </w:r>
      <w:r w:rsidRPr="00C21FF7">
        <w:rPr>
          <w:rFonts w:asciiTheme="minorHAnsi" w:hAnsiTheme="minorHAnsi" w:cstheme="minorHAnsi"/>
          <w:sz w:val="22"/>
          <w:szCs w:val="22"/>
        </w:rPr>
        <w:t xml:space="preserve"> years. We expect the total annual burden to be </w:t>
      </w:r>
      <w:r w:rsidRPr="005E6B8D" w:rsidR="0088211E">
        <w:rPr>
          <w:rFonts w:asciiTheme="minorHAnsi" w:hAnsiTheme="minorHAnsi" w:cstheme="minorHAnsi"/>
          <w:sz w:val="22"/>
          <w:szCs w:val="22"/>
        </w:rPr>
        <w:t>1</w:t>
      </w:r>
      <w:r w:rsidRPr="005E6B8D" w:rsidR="00056CAA">
        <w:rPr>
          <w:rFonts w:asciiTheme="minorHAnsi" w:hAnsiTheme="minorHAnsi" w:cstheme="minorHAnsi"/>
          <w:sz w:val="22"/>
          <w:szCs w:val="22"/>
        </w:rPr>
        <w:t>72</w:t>
      </w:r>
      <w:r w:rsidRPr="005E6B8D">
        <w:rPr>
          <w:rFonts w:asciiTheme="minorHAnsi" w:hAnsiTheme="minorHAnsi" w:cstheme="minorHAnsi"/>
          <w:sz w:val="22"/>
          <w:szCs w:val="22"/>
        </w:rPr>
        <w:t xml:space="preserve"> hours for all of the instruments in </w:t>
      </w:r>
      <w:r w:rsidRPr="005E6B8D" w:rsidR="00E80181">
        <w:rPr>
          <w:rFonts w:asciiTheme="minorHAnsi" w:hAnsiTheme="minorHAnsi" w:cstheme="minorHAnsi"/>
          <w:sz w:val="22"/>
          <w:szCs w:val="22"/>
        </w:rPr>
        <w:t>this</w:t>
      </w:r>
      <w:r w:rsidRPr="005B29A4">
        <w:rPr>
          <w:rFonts w:asciiTheme="minorHAnsi" w:hAnsiTheme="minorHAnsi" w:cstheme="minorHAnsi"/>
          <w:sz w:val="22"/>
          <w:szCs w:val="22"/>
        </w:rPr>
        <w:t xml:space="preserve"> information collection request.</w:t>
      </w:r>
    </w:p>
    <w:p w:rsidRPr="005B29A4" w:rsidR="0088211E" w:rsidP="00863F9A" w:rsidRDefault="00F36738" w14:paraId="69A1D0B6" w14:textId="68062EBC">
      <w:pPr>
        <w:pStyle w:val="Bullet"/>
      </w:pPr>
      <w:r>
        <w:rPr>
          <w:b/>
        </w:rPr>
        <w:t>EHS Program Director Survey</w:t>
      </w:r>
      <w:r w:rsidRPr="005B29A4" w:rsidR="0088211E">
        <w:rPr>
          <w:b/>
        </w:rPr>
        <w:t xml:space="preserve"> (Instrument </w:t>
      </w:r>
      <w:r w:rsidR="0088211E">
        <w:rPr>
          <w:b/>
        </w:rPr>
        <w:t>1</w:t>
      </w:r>
      <w:r w:rsidRPr="005B29A4" w:rsidR="0088211E">
        <w:rPr>
          <w:b/>
        </w:rPr>
        <w:t>).</w:t>
      </w:r>
      <w:r w:rsidRPr="005B29A4" w:rsidR="0088211E">
        <w:t xml:space="preserve"> </w:t>
      </w:r>
      <w:r w:rsidR="0088211E">
        <w:t xml:space="preserve">We will ask </w:t>
      </w:r>
      <w:r>
        <w:t>EHS program directors to complete a web-based survey. We assumed there would be 3</w:t>
      </w:r>
      <w:r w:rsidR="00787E66">
        <w:t>3</w:t>
      </w:r>
      <w:r>
        <w:t>5 respondents and the survey would take 3</w:t>
      </w:r>
      <w:r w:rsidR="00751DE8">
        <w:t>5</w:t>
      </w:r>
      <w:r>
        <w:t xml:space="preserve"> minutes to complete. </w:t>
      </w:r>
    </w:p>
    <w:p w:rsidRPr="005B29A4" w:rsidR="00F36738" w:rsidP="00863F9A" w:rsidRDefault="00F36738" w14:paraId="24EAFBA1" w14:textId="36EB48EE">
      <w:pPr>
        <w:pStyle w:val="Bullet"/>
      </w:pPr>
      <w:r w:rsidRPr="00F36738">
        <w:rPr>
          <w:b/>
        </w:rPr>
        <w:lastRenderedPageBreak/>
        <w:t>Sustained Partnership Provider Survey</w:t>
      </w:r>
      <w:r w:rsidRPr="00F36738" w:rsidR="0088211E">
        <w:rPr>
          <w:b/>
        </w:rPr>
        <w:t xml:space="preserve"> (Instrument 2</w:t>
      </w:r>
      <w:r w:rsidR="00A034E0">
        <w:rPr>
          <w:b/>
        </w:rPr>
        <w:t>a</w:t>
      </w:r>
      <w:r w:rsidRPr="00F36738" w:rsidR="0088211E">
        <w:rPr>
          <w:b/>
        </w:rPr>
        <w:t>).</w:t>
      </w:r>
      <w:r w:rsidRPr="00F36738" w:rsidR="0088211E">
        <w:t xml:space="preserve"> </w:t>
      </w:r>
      <w:r>
        <w:t xml:space="preserve">We will ask sustained partnership providers to complete a survey on the web or </w:t>
      </w:r>
      <w:r w:rsidR="009E3C56">
        <w:t xml:space="preserve">by </w:t>
      </w:r>
      <w:r>
        <w:t>telephone. We assumed there would be 330 respondents and</w:t>
      </w:r>
      <w:r w:rsidR="00F17B83">
        <w:t xml:space="preserve"> that</w:t>
      </w:r>
      <w:r>
        <w:t xml:space="preserve"> the survey would take </w:t>
      </w:r>
      <w:r w:rsidR="00751DE8">
        <w:t>30</w:t>
      </w:r>
      <w:r>
        <w:t xml:space="preserve"> minutes to complete. </w:t>
      </w:r>
    </w:p>
    <w:p w:rsidRPr="005B29A4" w:rsidR="00F36738" w:rsidP="00863F9A" w:rsidRDefault="00F36738" w14:paraId="332A1DEC" w14:textId="23762CDE">
      <w:pPr>
        <w:pStyle w:val="Bullet"/>
      </w:pPr>
      <w:r w:rsidRPr="00F36738">
        <w:rPr>
          <w:b/>
        </w:rPr>
        <w:t>Dissolved</w:t>
      </w:r>
      <w:r w:rsidRPr="00F36738" w:rsidR="0088211E">
        <w:rPr>
          <w:b/>
        </w:rPr>
        <w:t xml:space="preserve"> </w:t>
      </w:r>
      <w:r w:rsidRPr="00F36738">
        <w:rPr>
          <w:b/>
        </w:rPr>
        <w:t xml:space="preserve">Partnership Provider Survey </w:t>
      </w:r>
      <w:r w:rsidRPr="00F36738" w:rsidR="0088211E">
        <w:rPr>
          <w:b/>
        </w:rPr>
        <w:t xml:space="preserve">(Instrument </w:t>
      </w:r>
      <w:r w:rsidR="00A034E0">
        <w:rPr>
          <w:b/>
        </w:rPr>
        <w:t>2b</w:t>
      </w:r>
      <w:r w:rsidRPr="00F36738" w:rsidR="0088211E">
        <w:rPr>
          <w:b/>
        </w:rPr>
        <w:t>).</w:t>
      </w:r>
      <w:r w:rsidRPr="00F36738" w:rsidR="0088211E">
        <w:t xml:space="preserve"> </w:t>
      </w:r>
      <w:r w:rsidR="009E3C56">
        <w:t xml:space="preserve">We will ask dissolved partnership providers to complete a survey on the web or by telephone. We assumed there would be </w:t>
      </w:r>
      <w:r w:rsidR="0090205C">
        <w:t>1</w:t>
      </w:r>
      <w:r w:rsidR="009E3C56">
        <w:t xml:space="preserve">40 respondents and </w:t>
      </w:r>
      <w:r w:rsidR="00F17B83">
        <w:t xml:space="preserve">that </w:t>
      </w:r>
      <w:r w:rsidR="009E3C56">
        <w:t>the survey would take 30 minutes to complete.</w:t>
      </w:r>
    </w:p>
    <w:p w:rsidRPr="00F36738" w:rsidR="0088211E" w:rsidP="00863F9A" w:rsidRDefault="00F36738" w14:paraId="3C6E4AB4" w14:textId="07A3FCAB">
      <w:pPr>
        <w:pStyle w:val="Bullet"/>
      </w:pPr>
      <w:r w:rsidRPr="00F36738">
        <w:rPr>
          <w:b/>
        </w:rPr>
        <w:t>Dissolved Partnership Provider Semi-structured Interview</w:t>
      </w:r>
      <w:r w:rsidR="00847B5D">
        <w:rPr>
          <w:b/>
        </w:rPr>
        <w:t xml:space="preserve"> Protocol</w:t>
      </w:r>
      <w:r w:rsidRPr="00F36738">
        <w:rPr>
          <w:b/>
        </w:rPr>
        <w:t xml:space="preserve"> </w:t>
      </w:r>
      <w:r w:rsidRPr="00F36738" w:rsidR="0088211E">
        <w:rPr>
          <w:b/>
        </w:rPr>
        <w:t xml:space="preserve">(Instrument </w:t>
      </w:r>
      <w:r w:rsidR="00A034E0">
        <w:rPr>
          <w:b/>
        </w:rPr>
        <w:t>3</w:t>
      </w:r>
      <w:r w:rsidRPr="00F36738" w:rsidR="0088211E">
        <w:rPr>
          <w:b/>
        </w:rPr>
        <w:t>).</w:t>
      </w:r>
      <w:r w:rsidRPr="00F36738" w:rsidR="0088211E">
        <w:t xml:space="preserve"> </w:t>
      </w:r>
      <w:r>
        <w:t xml:space="preserve">We will </w:t>
      </w:r>
      <w:r w:rsidR="009E3C56">
        <w:t>ask dissolved partnership providers to participate in semi-structured interviews</w:t>
      </w:r>
      <w:r>
        <w:t xml:space="preserve">. We assumed there would be </w:t>
      </w:r>
      <w:r w:rsidR="00632B58">
        <w:t xml:space="preserve">48 </w:t>
      </w:r>
      <w:r>
        <w:t xml:space="preserve">respondents and </w:t>
      </w:r>
      <w:r w:rsidR="00FD2FA9">
        <w:t xml:space="preserve">that </w:t>
      </w:r>
      <w:r>
        <w:t xml:space="preserve">the </w:t>
      </w:r>
      <w:r w:rsidR="009E3C56">
        <w:t xml:space="preserve">interview would take </w:t>
      </w:r>
      <w:r w:rsidR="00B84FED">
        <w:t>5</w:t>
      </w:r>
      <w:r w:rsidR="009E3C56">
        <w:t>0 minutes to complete</w:t>
      </w:r>
      <w:r>
        <w:t>.</w:t>
      </w:r>
    </w:p>
    <w:p w:rsidRPr="00A07D25" w:rsidR="0033791F" w:rsidP="00863F9A" w:rsidRDefault="00F36738" w14:paraId="73119664" w14:textId="3920F28E">
      <w:pPr>
        <w:pStyle w:val="Bullet"/>
        <w:spacing w:after="240"/>
      </w:pPr>
      <w:r>
        <w:rPr>
          <w:b/>
        </w:rPr>
        <w:t>Sustained Partnership Provider</w:t>
      </w:r>
      <w:r w:rsidRPr="005B29A4">
        <w:rPr>
          <w:b/>
        </w:rPr>
        <w:t xml:space="preserve"> </w:t>
      </w:r>
      <w:r>
        <w:rPr>
          <w:b/>
        </w:rPr>
        <w:t>Semi-structured Interview</w:t>
      </w:r>
      <w:r w:rsidR="00847B5D">
        <w:rPr>
          <w:b/>
        </w:rPr>
        <w:t xml:space="preserve"> Protocol</w:t>
      </w:r>
      <w:r>
        <w:rPr>
          <w:b/>
        </w:rPr>
        <w:t xml:space="preserve"> </w:t>
      </w:r>
      <w:r w:rsidRPr="005B29A4" w:rsidR="0088211E">
        <w:rPr>
          <w:b/>
        </w:rPr>
        <w:t xml:space="preserve">(Instrument </w:t>
      </w:r>
      <w:r w:rsidR="00A034E0">
        <w:rPr>
          <w:b/>
        </w:rPr>
        <w:t>4</w:t>
      </w:r>
      <w:r w:rsidRPr="005B29A4" w:rsidR="0088211E">
        <w:rPr>
          <w:b/>
        </w:rPr>
        <w:t>).</w:t>
      </w:r>
      <w:r w:rsidRPr="005B29A4" w:rsidR="0088211E">
        <w:t xml:space="preserve"> </w:t>
      </w:r>
      <w:r w:rsidR="009E3C56">
        <w:t xml:space="preserve">We will ask sustained partnership providers to participate in semi-structured interviews. We assumed there would be 24 respondents and </w:t>
      </w:r>
      <w:r w:rsidR="0019184F">
        <w:t xml:space="preserve">that </w:t>
      </w:r>
      <w:r w:rsidR="009E3C56">
        <w:t xml:space="preserve">the interview would take </w:t>
      </w:r>
      <w:r w:rsidR="00B84FED">
        <w:t>5</w:t>
      </w:r>
      <w:r w:rsidR="009E3C56">
        <w:t>0 minutes to complete.</w:t>
      </w:r>
    </w:p>
    <w:p w:rsidRPr="0033791F" w:rsidR="0033791F" w:rsidP="0033791F" w:rsidRDefault="0033791F" w14:paraId="5A8B41CA" w14:textId="405A89C6">
      <w:pPr>
        <w:pStyle w:val="MarkforTableTitle"/>
        <w:rPr>
          <w:rFonts w:asciiTheme="minorHAnsi" w:hAnsiTheme="minorHAnsi" w:cstheme="minorHAnsi"/>
          <w:b/>
          <w:bCs/>
          <w:szCs w:val="22"/>
        </w:rPr>
      </w:pPr>
      <w:r w:rsidRPr="00E510C1">
        <w:rPr>
          <w:rFonts w:asciiTheme="minorHAnsi" w:hAnsiTheme="minorHAnsi" w:cstheme="minorHAnsi"/>
          <w:b/>
          <w:bCs/>
          <w:szCs w:val="22"/>
        </w:rPr>
        <w:t>Table A.</w:t>
      </w:r>
      <w:r>
        <w:rPr>
          <w:rFonts w:asciiTheme="minorHAnsi" w:hAnsiTheme="minorHAnsi" w:cstheme="minorHAnsi"/>
          <w:b/>
          <w:bCs/>
          <w:szCs w:val="22"/>
        </w:rPr>
        <w:t>3</w:t>
      </w:r>
      <w:r w:rsidRPr="00E510C1">
        <w:rPr>
          <w:rFonts w:asciiTheme="minorHAnsi" w:hAnsiTheme="minorHAnsi" w:cstheme="minorHAnsi"/>
          <w:b/>
          <w:bCs/>
          <w:szCs w:val="22"/>
        </w:rPr>
        <w:t xml:space="preserve">. </w:t>
      </w:r>
      <w:r>
        <w:rPr>
          <w:rFonts w:asciiTheme="minorHAnsi" w:hAnsiTheme="minorHAnsi" w:cstheme="minorHAnsi"/>
          <w:b/>
          <w:bCs/>
          <w:szCs w:val="22"/>
        </w:rPr>
        <w:t>Total burden requested under this information collection</w:t>
      </w:r>
    </w:p>
    <w:tbl>
      <w:tblPr>
        <w:tblStyle w:val="TableGrid"/>
        <w:tblW w:w="9653" w:type="dxa"/>
        <w:tblInd w:w="0" w:type="dxa"/>
        <w:tblLayout w:type="fixed"/>
        <w:tblLook w:val="01E0" w:firstRow="1" w:lastRow="1" w:firstColumn="1" w:lastColumn="1" w:noHBand="0" w:noVBand="0"/>
      </w:tblPr>
      <w:tblGrid>
        <w:gridCol w:w="2065"/>
        <w:gridCol w:w="1170"/>
        <w:gridCol w:w="1260"/>
        <w:gridCol w:w="1080"/>
        <w:gridCol w:w="990"/>
        <w:gridCol w:w="990"/>
        <w:gridCol w:w="990"/>
        <w:gridCol w:w="1108"/>
      </w:tblGrid>
      <w:tr w:rsidRPr="00863F9A" w:rsidR="0088211E" w:rsidTr="005C6BFE" w14:paraId="71C58BC9" w14:textId="77777777">
        <w:tc>
          <w:tcPr>
            <w:tcW w:w="2065" w:type="dxa"/>
            <w:tcBorders>
              <w:top w:val="single" w:color="auto" w:sz="4" w:space="0"/>
              <w:left w:val="single" w:color="auto" w:sz="4" w:space="0"/>
              <w:bottom w:val="single" w:color="auto" w:sz="4" w:space="0"/>
              <w:right w:val="single" w:color="auto" w:sz="4" w:space="0"/>
            </w:tcBorders>
            <w:shd w:val="clear" w:color="auto" w:fill="6C6F70"/>
            <w:vAlign w:val="bottom"/>
            <w:hideMark/>
          </w:tcPr>
          <w:p w:rsidRPr="00863F9A" w:rsidR="0088211E" w:rsidP="00863F9A" w:rsidRDefault="0088211E" w14:paraId="3355A3BA" w14:textId="79D59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color w:val="FFFFFF" w:themeColor="background1"/>
                <w:sz w:val="18"/>
                <w:szCs w:val="18"/>
              </w:rPr>
            </w:pPr>
            <w:r w:rsidRPr="00863F9A">
              <w:rPr>
                <w:rFonts w:ascii="Calibri" w:hAnsi="Calibri" w:cs="Calibri"/>
                <w:b/>
                <w:color w:val="FFFFFF" w:themeColor="background1"/>
                <w:sz w:val="18"/>
                <w:szCs w:val="18"/>
              </w:rPr>
              <w:t>Instrument</w:t>
            </w:r>
          </w:p>
        </w:tc>
        <w:tc>
          <w:tcPr>
            <w:tcW w:w="1170" w:type="dxa"/>
            <w:tcBorders>
              <w:top w:val="single" w:color="auto" w:sz="4" w:space="0"/>
              <w:left w:val="single" w:color="auto" w:sz="4" w:space="0"/>
              <w:bottom w:val="single" w:color="auto" w:sz="4" w:space="0"/>
              <w:right w:val="single" w:color="auto" w:sz="4" w:space="0"/>
            </w:tcBorders>
            <w:shd w:val="clear" w:color="auto" w:fill="6C6F70"/>
            <w:vAlign w:val="bottom"/>
            <w:hideMark/>
          </w:tcPr>
          <w:p w:rsidRPr="00863F9A" w:rsidR="0088211E" w:rsidP="005C6BFE" w:rsidRDefault="0088211E" w14:paraId="7776EFA8" w14:textId="21A15A6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5" w:right="-127"/>
              <w:jc w:val="center"/>
              <w:rPr>
                <w:rFonts w:ascii="Calibri" w:hAnsi="Calibri" w:cs="Calibri"/>
                <w:b/>
                <w:color w:val="FFFFFF" w:themeColor="background1"/>
                <w:sz w:val="18"/>
                <w:szCs w:val="18"/>
              </w:rPr>
            </w:pPr>
            <w:r w:rsidRPr="00863F9A">
              <w:rPr>
                <w:rFonts w:ascii="Calibri" w:hAnsi="Calibri" w:cs="Calibri"/>
                <w:b/>
                <w:color w:val="FFFFFF" w:themeColor="background1"/>
                <w:sz w:val="18"/>
                <w:szCs w:val="18"/>
              </w:rPr>
              <w:t>No. of Respondents (total over request period)</w:t>
            </w:r>
          </w:p>
        </w:tc>
        <w:tc>
          <w:tcPr>
            <w:tcW w:w="1260" w:type="dxa"/>
            <w:tcBorders>
              <w:top w:val="single" w:color="auto" w:sz="4" w:space="0"/>
              <w:left w:val="single" w:color="auto" w:sz="4" w:space="0"/>
              <w:bottom w:val="single" w:color="auto" w:sz="4" w:space="0"/>
              <w:right w:val="single" w:color="auto" w:sz="4" w:space="0"/>
            </w:tcBorders>
            <w:shd w:val="clear" w:color="auto" w:fill="6C6F70"/>
            <w:vAlign w:val="bottom"/>
            <w:hideMark/>
          </w:tcPr>
          <w:p w:rsidRPr="00863F9A" w:rsidR="0088211E" w:rsidP="005C6BFE" w:rsidRDefault="0088211E" w14:paraId="28D4FF1D" w14:textId="4614E49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5" w:right="-127"/>
              <w:jc w:val="center"/>
              <w:rPr>
                <w:rFonts w:ascii="Calibri" w:hAnsi="Calibri" w:cs="Calibri"/>
                <w:b/>
                <w:color w:val="FFFFFF" w:themeColor="background1"/>
                <w:sz w:val="18"/>
                <w:szCs w:val="18"/>
              </w:rPr>
            </w:pPr>
            <w:r w:rsidRPr="00863F9A">
              <w:rPr>
                <w:rFonts w:ascii="Calibri" w:hAnsi="Calibri" w:cs="Calibri"/>
                <w:b/>
                <w:color w:val="FFFFFF" w:themeColor="background1"/>
                <w:sz w:val="18"/>
                <w:szCs w:val="18"/>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shd w:val="clear" w:color="auto" w:fill="6C6F70"/>
            <w:vAlign w:val="bottom"/>
            <w:hideMark/>
          </w:tcPr>
          <w:p w:rsidRPr="00863F9A" w:rsidR="0088211E" w:rsidP="00863F9A" w:rsidRDefault="0088211E" w14:paraId="0E4BB169" w14:textId="56E83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color w:val="FFFFFF" w:themeColor="background1"/>
                <w:sz w:val="18"/>
                <w:szCs w:val="18"/>
              </w:rPr>
            </w:pPr>
            <w:r w:rsidRPr="00863F9A">
              <w:rPr>
                <w:rFonts w:ascii="Calibri" w:hAnsi="Calibri" w:cs="Calibri"/>
                <w:b/>
                <w:color w:val="FFFFFF" w:themeColor="background1"/>
                <w:sz w:val="18"/>
                <w:szCs w:val="18"/>
              </w:rPr>
              <w:t>Avg. Burden per Response (in hours)</w:t>
            </w:r>
          </w:p>
        </w:tc>
        <w:tc>
          <w:tcPr>
            <w:tcW w:w="990" w:type="dxa"/>
            <w:tcBorders>
              <w:top w:val="single" w:color="auto" w:sz="4" w:space="0"/>
              <w:left w:val="single" w:color="auto" w:sz="4" w:space="0"/>
              <w:bottom w:val="single" w:color="auto" w:sz="4" w:space="0"/>
              <w:right w:val="single" w:color="auto" w:sz="4" w:space="0"/>
            </w:tcBorders>
            <w:shd w:val="clear" w:color="auto" w:fill="6C6F70"/>
            <w:vAlign w:val="bottom"/>
          </w:tcPr>
          <w:p w:rsidRPr="00863F9A" w:rsidR="0088211E" w:rsidP="00863F9A" w:rsidRDefault="0088211E" w14:paraId="08E1D3A0" w14:textId="26AB91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color w:val="FFFFFF" w:themeColor="background1"/>
                <w:sz w:val="18"/>
                <w:szCs w:val="18"/>
              </w:rPr>
            </w:pPr>
            <w:r w:rsidRPr="00863F9A">
              <w:rPr>
                <w:rFonts w:ascii="Calibri" w:hAnsi="Calibri" w:cs="Calibri"/>
                <w:b/>
                <w:color w:val="FFFFFF" w:themeColor="background1"/>
                <w:sz w:val="18"/>
                <w:szCs w:val="18"/>
              </w:rPr>
              <w:t>Total Burden (in hours)</w:t>
            </w:r>
          </w:p>
        </w:tc>
        <w:tc>
          <w:tcPr>
            <w:tcW w:w="990" w:type="dxa"/>
            <w:tcBorders>
              <w:top w:val="single" w:color="auto" w:sz="4" w:space="0"/>
              <w:left w:val="single" w:color="auto" w:sz="4" w:space="0"/>
              <w:bottom w:val="single" w:color="auto" w:sz="4" w:space="0"/>
              <w:right w:val="single" w:color="auto" w:sz="4" w:space="0"/>
            </w:tcBorders>
            <w:shd w:val="clear" w:color="auto" w:fill="6C6F70"/>
            <w:vAlign w:val="bottom"/>
            <w:hideMark/>
          </w:tcPr>
          <w:p w:rsidRPr="00863F9A" w:rsidR="0088211E" w:rsidP="00863F9A" w:rsidRDefault="0088211E" w14:paraId="5A8069BB" w14:textId="1F054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color w:val="FFFFFF" w:themeColor="background1"/>
                <w:sz w:val="18"/>
                <w:szCs w:val="18"/>
              </w:rPr>
            </w:pPr>
            <w:r w:rsidRPr="00863F9A">
              <w:rPr>
                <w:rFonts w:ascii="Calibri" w:hAnsi="Calibri" w:cs="Calibri"/>
                <w:b/>
                <w:color w:val="FFFFFF" w:themeColor="background1"/>
                <w:sz w:val="18"/>
                <w:szCs w:val="18"/>
              </w:rPr>
              <w:t>Annual Burden (in hours)</w:t>
            </w:r>
          </w:p>
        </w:tc>
        <w:tc>
          <w:tcPr>
            <w:tcW w:w="990" w:type="dxa"/>
            <w:tcBorders>
              <w:top w:val="single" w:color="auto" w:sz="4" w:space="0"/>
              <w:left w:val="single" w:color="auto" w:sz="4" w:space="0"/>
              <w:bottom w:val="single" w:color="auto" w:sz="4" w:space="0"/>
              <w:right w:val="single" w:color="auto" w:sz="4" w:space="0"/>
            </w:tcBorders>
            <w:shd w:val="clear" w:color="auto" w:fill="6C6F70"/>
            <w:vAlign w:val="bottom"/>
            <w:hideMark/>
          </w:tcPr>
          <w:p w:rsidRPr="00863F9A" w:rsidR="0088211E" w:rsidP="00863F9A" w:rsidRDefault="0088211E" w14:paraId="0B650527" w14:textId="248E0A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color w:val="FFFFFF" w:themeColor="background1"/>
                <w:sz w:val="18"/>
                <w:szCs w:val="18"/>
              </w:rPr>
            </w:pPr>
            <w:r w:rsidRPr="00863F9A">
              <w:rPr>
                <w:rFonts w:ascii="Calibri" w:hAnsi="Calibri" w:cs="Calibri"/>
                <w:b/>
                <w:color w:val="FFFFFF" w:themeColor="background1"/>
                <w:sz w:val="18"/>
                <w:szCs w:val="18"/>
              </w:rPr>
              <w:t>Average Hourly Wage Rate</w:t>
            </w:r>
          </w:p>
        </w:tc>
        <w:tc>
          <w:tcPr>
            <w:tcW w:w="1108" w:type="dxa"/>
            <w:tcBorders>
              <w:top w:val="single" w:color="auto" w:sz="4" w:space="0"/>
              <w:left w:val="single" w:color="auto" w:sz="4" w:space="0"/>
              <w:bottom w:val="single" w:color="auto" w:sz="4" w:space="0"/>
              <w:right w:val="single" w:color="auto" w:sz="4" w:space="0"/>
            </w:tcBorders>
            <w:shd w:val="clear" w:color="auto" w:fill="6C6F70"/>
            <w:vAlign w:val="bottom"/>
            <w:hideMark/>
          </w:tcPr>
          <w:p w:rsidRPr="00863F9A" w:rsidR="0088211E" w:rsidP="005C6BFE" w:rsidRDefault="0088211E" w14:paraId="3D8350F5" w14:textId="49AB62F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5" w:right="-127"/>
              <w:jc w:val="center"/>
              <w:rPr>
                <w:rFonts w:ascii="Calibri" w:hAnsi="Calibri" w:cs="Calibri"/>
                <w:b/>
                <w:color w:val="FFFFFF" w:themeColor="background1"/>
                <w:sz w:val="18"/>
                <w:szCs w:val="18"/>
              </w:rPr>
            </w:pPr>
            <w:r w:rsidRPr="00863F9A">
              <w:rPr>
                <w:rFonts w:ascii="Calibri" w:hAnsi="Calibri" w:cs="Calibri"/>
                <w:b/>
                <w:color w:val="FFFFFF" w:themeColor="background1"/>
                <w:sz w:val="18"/>
                <w:szCs w:val="18"/>
              </w:rPr>
              <w:t>Total Annual Respondent Cost</w:t>
            </w:r>
          </w:p>
        </w:tc>
      </w:tr>
      <w:tr w:rsidRPr="00863F9A" w:rsidR="0088211E" w:rsidTr="005C6BFE" w14:paraId="2BD0B9A0" w14:textId="77777777">
        <w:tc>
          <w:tcPr>
            <w:tcW w:w="2065" w:type="dxa"/>
            <w:tcBorders>
              <w:top w:val="single" w:color="auto" w:sz="4" w:space="0"/>
              <w:left w:val="single" w:color="auto" w:sz="4" w:space="0"/>
              <w:bottom w:val="single" w:color="auto" w:sz="4" w:space="0"/>
              <w:right w:val="single" w:color="auto" w:sz="4" w:space="0"/>
            </w:tcBorders>
          </w:tcPr>
          <w:p w:rsidRPr="00863F9A" w:rsidR="0088211E" w:rsidP="00863F9A" w:rsidRDefault="0088211E" w14:paraId="4290947B" w14:textId="162966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18"/>
                <w:szCs w:val="18"/>
              </w:rPr>
            </w:pPr>
            <w:r w:rsidRPr="00863F9A">
              <w:rPr>
                <w:rFonts w:ascii="Calibri" w:hAnsi="Calibri" w:cs="Calibri"/>
                <w:bCs/>
                <w:sz w:val="18"/>
                <w:szCs w:val="18"/>
              </w:rPr>
              <w:t>EHS Program Director Survey</w:t>
            </w:r>
          </w:p>
        </w:tc>
        <w:tc>
          <w:tcPr>
            <w:tcW w:w="1170" w:type="dxa"/>
            <w:tcBorders>
              <w:top w:val="single" w:color="auto" w:sz="4" w:space="0"/>
              <w:left w:val="single" w:color="auto" w:sz="4" w:space="0"/>
              <w:bottom w:val="single" w:color="auto" w:sz="4" w:space="0"/>
              <w:right w:val="single" w:color="auto" w:sz="4" w:space="0"/>
            </w:tcBorders>
          </w:tcPr>
          <w:p w:rsidRPr="00863F9A" w:rsidR="0088211E" w:rsidP="00863F9A" w:rsidRDefault="0088211E" w14:paraId="3F9D1344" w14:textId="4D5EF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18"/>
                <w:szCs w:val="18"/>
              </w:rPr>
            </w:pPr>
            <w:r w:rsidRPr="00863F9A">
              <w:rPr>
                <w:rFonts w:ascii="Calibri" w:hAnsi="Calibri" w:cs="Calibri"/>
                <w:bCs/>
                <w:sz w:val="18"/>
                <w:szCs w:val="18"/>
              </w:rPr>
              <w:t>3</w:t>
            </w:r>
            <w:r w:rsidRPr="00863F9A" w:rsidR="00041FF4">
              <w:rPr>
                <w:rFonts w:ascii="Calibri" w:hAnsi="Calibri" w:cs="Calibri"/>
                <w:bCs/>
                <w:sz w:val="18"/>
                <w:szCs w:val="18"/>
              </w:rPr>
              <w:t>3</w:t>
            </w:r>
            <w:r w:rsidRPr="00863F9A">
              <w:rPr>
                <w:rFonts w:ascii="Calibri" w:hAnsi="Calibri" w:cs="Calibri"/>
                <w:bCs/>
                <w:sz w:val="18"/>
                <w:szCs w:val="18"/>
              </w:rPr>
              <w:t>5</w:t>
            </w:r>
          </w:p>
        </w:tc>
        <w:tc>
          <w:tcPr>
            <w:tcW w:w="1260" w:type="dxa"/>
            <w:tcBorders>
              <w:top w:val="single" w:color="auto" w:sz="4" w:space="0"/>
              <w:left w:val="single" w:color="auto" w:sz="4" w:space="0"/>
              <w:bottom w:val="single" w:color="auto" w:sz="4" w:space="0"/>
              <w:right w:val="single" w:color="auto" w:sz="4" w:space="0"/>
            </w:tcBorders>
          </w:tcPr>
          <w:p w:rsidRPr="00863F9A" w:rsidR="0088211E" w:rsidP="00863F9A" w:rsidRDefault="0088211E" w14:paraId="07F8F6B7" w14:textId="1AE133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18"/>
                <w:szCs w:val="18"/>
              </w:rPr>
            </w:pPr>
            <w:r w:rsidRPr="00863F9A">
              <w:rPr>
                <w:rFonts w:ascii="Calibri" w:hAnsi="Calibri" w:cs="Calibri"/>
                <w:bCs/>
                <w:sz w:val="18"/>
                <w:szCs w:val="18"/>
              </w:rPr>
              <w:t>1</w:t>
            </w:r>
          </w:p>
        </w:tc>
        <w:tc>
          <w:tcPr>
            <w:tcW w:w="1080" w:type="dxa"/>
            <w:tcBorders>
              <w:top w:val="single" w:color="auto" w:sz="4" w:space="0"/>
              <w:left w:val="single" w:color="auto" w:sz="4" w:space="0"/>
              <w:bottom w:val="single" w:color="auto" w:sz="4" w:space="0"/>
              <w:right w:val="single" w:color="auto" w:sz="4" w:space="0"/>
            </w:tcBorders>
          </w:tcPr>
          <w:p w:rsidRPr="00863F9A" w:rsidR="0088211E" w:rsidP="00863F9A" w:rsidRDefault="0088211E" w14:paraId="751D8A3E" w14:textId="1D7148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18"/>
                <w:szCs w:val="18"/>
              </w:rPr>
            </w:pPr>
            <w:r w:rsidRPr="00863F9A">
              <w:rPr>
                <w:rFonts w:ascii="Calibri" w:hAnsi="Calibri" w:cs="Calibri"/>
                <w:bCs/>
                <w:sz w:val="18"/>
                <w:szCs w:val="18"/>
              </w:rPr>
              <w:t>.5</w:t>
            </w:r>
            <w:r w:rsidRPr="00863F9A" w:rsidR="00AD56A2">
              <w:rPr>
                <w:rFonts w:ascii="Calibri" w:hAnsi="Calibri" w:cs="Calibri"/>
                <w:bCs/>
                <w:sz w:val="18"/>
                <w:szCs w:val="18"/>
              </w:rPr>
              <w:t>8</w:t>
            </w:r>
          </w:p>
        </w:tc>
        <w:tc>
          <w:tcPr>
            <w:tcW w:w="990" w:type="dxa"/>
            <w:tcBorders>
              <w:top w:val="single" w:color="auto" w:sz="4" w:space="0"/>
              <w:left w:val="single" w:color="auto" w:sz="4" w:space="0"/>
              <w:bottom w:val="single" w:color="auto" w:sz="4" w:space="0"/>
              <w:right w:val="single" w:color="auto" w:sz="4" w:space="0"/>
            </w:tcBorders>
          </w:tcPr>
          <w:p w:rsidRPr="00863F9A" w:rsidR="0088211E" w:rsidP="00863F9A" w:rsidRDefault="0088211E" w14:paraId="094D5C78" w14:textId="16E9E0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18"/>
                <w:szCs w:val="18"/>
              </w:rPr>
            </w:pPr>
            <w:r w:rsidRPr="00863F9A">
              <w:rPr>
                <w:rFonts w:ascii="Calibri" w:hAnsi="Calibri" w:cs="Calibri"/>
                <w:bCs/>
                <w:sz w:val="18"/>
                <w:szCs w:val="18"/>
              </w:rPr>
              <w:t>1</w:t>
            </w:r>
            <w:r w:rsidRPr="00863F9A" w:rsidR="0073396B">
              <w:rPr>
                <w:rFonts w:ascii="Calibri" w:hAnsi="Calibri" w:cs="Calibri"/>
                <w:bCs/>
                <w:sz w:val="18"/>
                <w:szCs w:val="18"/>
              </w:rPr>
              <w:t>9</w:t>
            </w:r>
            <w:r w:rsidR="00767E4A">
              <w:rPr>
                <w:rFonts w:ascii="Calibri" w:hAnsi="Calibri" w:cs="Calibri"/>
                <w:bCs/>
                <w:sz w:val="18"/>
                <w:szCs w:val="18"/>
              </w:rPr>
              <w:t>4</w:t>
            </w:r>
          </w:p>
        </w:tc>
        <w:tc>
          <w:tcPr>
            <w:tcW w:w="990" w:type="dxa"/>
            <w:tcBorders>
              <w:top w:val="single" w:color="auto" w:sz="4" w:space="0"/>
              <w:left w:val="single" w:color="auto" w:sz="4" w:space="0"/>
              <w:bottom w:val="single" w:color="auto" w:sz="4" w:space="0"/>
              <w:right w:val="single" w:color="auto" w:sz="4" w:space="0"/>
            </w:tcBorders>
          </w:tcPr>
          <w:p w:rsidRPr="00863F9A" w:rsidR="0088211E" w:rsidP="00863F9A" w:rsidRDefault="004A738C" w14:paraId="77E12974" w14:textId="53E449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18"/>
                <w:szCs w:val="18"/>
              </w:rPr>
            </w:pPr>
            <w:r w:rsidRPr="00863F9A">
              <w:rPr>
                <w:rFonts w:ascii="Calibri" w:hAnsi="Calibri" w:cs="Calibri"/>
                <w:bCs/>
                <w:sz w:val="18"/>
                <w:szCs w:val="18"/>
              </w:rPr>
              <w:t>65</w:t>
            </w:r>
          </w:p>
        </w:tc>
        <w:tc>
          <w:tcPr>
            <w:tcW w:w="990" w:type="dxa"/>
            <w:tcBorders>
              <w:top w:val="single" w:color="auto" w:sz="4" w:space="0"/>
              <w:left w:val="single" w:color="auto" w:sz="4" w:space="0"/>
              <w:bottom w:val="single" w:color="auto" w:sz="4" w:space="0"/>
              <w:right w:val="single" w:color="auto" w:sz="4" w:space="0"/>
            </w:tcBorders>
            <w:hideMark/>
          </w:tcPr>
          <w:p w:rsidRPr="00863F9A" w:rsidR="0088211E" w:rsidP="00863F9A" w:rsidRDefault="0088211E" w14:paraId="14003A62" w14:textId="5D299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18"/>
                <w:szCs w:val="18"/>
              </w:rPr>
            </w:pPr>
            <w:r w:rsidRPr="00863F9A">
              <w:rPr>
                <w:rFonts w:ascii="Calibri" w:hAnsi="Calibri" w:cs="Calibri"/>
                <w:bCs/>
                <w:sz w:val="18"/>
                <w:szCs w:val="18"/>
              </w:rPr>
              <w:t>$</w:t>
            </w:r>
            <w:r w:rsidRPr="00863F9A" w:rsidR="00DE4B5D">
              <w:rPr>
                <w:rFonts w:ascii="Calibri" w:hAnsi="Calibri" w:cs="Calibri"/>
                <w:bCs/>
                <w:sz w:val="18"/>
                <w:szCs w:val="18"/>
              </w:rPr>
              <w:t>3</w:t>
            </w:r>
            <w:r w:rsidR="00767E4A">
              <w:rPr>
                <w:rFonts w:ascii="Calibri" w:hAnsi="Calibri" w:cs="Calibri"/>
                <w:bCs/>
                <w:sz w:val="18"/>
                <w:szCs w:val="18"/>
              </w:rPr>
              <w:t>5.65</w:t>
            </w:r>
          </w:p>
        </w:tc>
        <w:tc>
          <w:tcPr>
            <w:tcW w:w="1108" w:type="dxa"/>
            <w:tcBorders>
              <w:top w:val="single" w:color="auto" w:sz="4" w:space="0"/>
              <w:left w:val="single" w:color="auto" w:sz="4" w:space="0"/>
              <w:bottom w:val="single" w:color="auto" w:sz="4" w:space="0"/>
              <w:right w:val="single" w:color="auto" w:sz="4" w:space="0"/>
            </w:tcBorders>
            <w:hideMark/>
          </w:tcPr>
          <w:p w:rsidRPr="00863F9A" w:rsidR="0088211E" w:rsidP="00863F9A" w:rsidRDefault="0088211E" w14:paraId="67CC8329" w14:textId="6054A5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18"/>
                <w:szCs w:val="18"/>
              </w:rPr>
            </w:pPr>
            <w:r w:rsidRPr="00863F9A">
              <w:rPr>
                <w:rFonts w:ascii="Calibri" w:hAnsi="Calibri" w:cs="Calibri"/>
                <w:bCs/>
                <w:sz w:val="18"/>
                <w:szCs w:val="18"/>
              </w:rPr>
              <w:t>$</w:t>
            </w:r>
            <w:r w:rsidRPr="00863F9A" w:rsidR="00AD56A2">
              <w:rPr>
                <w:rFonts w:ascii="Calibri" w:hAnsi="Calibri" w:cs="Calibri"/>
                <w:bCs/>
                <w:sz w:val="18"/>
                <w:szCs w:val="18"/>
              </w:rPr>
              <w:t>2,</w:t>
            </w:r>
            <w:r w:rsidRPr="00863F9A" w:rsidR="00216482">
              <w:rPr>
                <w:rFonts w:ascii="Calibri" w:hAnsi="Calibri" w:cs="Calibri"/>
                <w:bCs/>
                <w:sz w:val="18"/>
                <w:szCs w:val="18"/>
              </w:rPr>
              <w:t>3</w:t>
            </w:r>
            <w:r w:rsidR="00767E4A">
              <w:rPr>
                <w:rFonts w:ascii="Calibri" w:hAnsi="Calibri" w:cs="Calibri"/>
                <w:bCs/>
                <w:sz w:val="18"/>
                <w:szCs w:val="18"/>
              </w:rPr>
              <w:t>17.25</w:t>
            </w:r>
          </w:p>
        </w:tc>
      </w:tr>
      <w:tr w:rsidRPr="00863F9A" w:rsidR="0088211E" w:rsidTr="005C6BFE" w14:paraId="4E0C400D" w14:textId="77777777">
        <w:tc>
          <w:tcPr>
            <w:tcW w:w="2065" w:type="dxa"/>
            <w:tcBorders>
              <w:top w:val="single" w:color="auto" w:sz="4" w:space="0"/>
              <w:left w:val="single" w:color="auto" w:sz="4" w:space="0"/>
              <w:bottom w:val="single" w:color="auto" w:sz="4" w:space="0"/>
              <w:right w:val="single" w:color="auto" w:sz="4" w:space="0"/>
            </w:tcBorders>
          </w:tcPr>
          <w:p w:rsidRPr="00863F9A" w:rsidR="0088211E" w:rsidP="00863F9A" w:rsidRDefault="0088211E" w14:paraId="6CB79871" w14:textId="40060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18"/>
                <w:szCs w:val="18"/>
              </w:rPr>
            </w:pPr>
            <w:r w:rsidRPr="00863F9A">
              <w:rPr>
                <w:rFonts w:ascii="Calibri" w:hAnsi="Calibri" w:cs="Calibri"/>
                <w:bCs/>
                <w:sz w:val="18"/>
                <w:szCs w:val="18"/>
              </w:rPr>
              <w:t>Provider Survey</w:t>
            </w:r>
            <w:r w:rsidR="00C247CF">
              <w:rPr>
                <w:rFonts w:ascii="Calibri" w:hAnsi="Calibri" w:cs="Calibri"/>
                <w:bCs/>
                <w:sz w:val="18"/>
                <w:szCs w:val="18"/>
              </w:rPr>
              <w:t xml:space="preserve"> (Sustained Partnership Provider Survey and Dissolved Partnership Provider Survey)</w:t>
            </w:r>
          </w:p>
        </w:tc>
        <w:tc>
          <w:tcPr>
            <w:tcW w:w="1170" w:type="dxa"/>
            <w:tcBorders>
              <w:top w:val="single" w:color="auto" w:sz="4" w:space="0"/>
              <w:left w:val="single" w:color="auto" w:sz="4" w:space="0"/>
              <w:bottom w:val="single" w:color="auto" w:sz="4" w:space="0"/>
              <w:right w:val="single" w:color="auto" w:sz="4" w:space="0"/>
            </w:tcBorders>
          </w:tcPr>
          <w:p w:rsidRPr="00863F9A" w:rsidR="0088211E" w:rsidP="00863F9A" w:rsidRDefault="00C247CF" w14:paraId="5A60126C" w14:textId="4175B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18"/>
                <w:szCs w:val="18"/>
              </w:rPr>
            </w:pPr>
            <w:r>
              <w:rPr>
                <w:rFonts w:ascii="Calibri" w:hAnsi="Calibri" w:cs="Calibri"/>
                <w:bCs/>
                <w:sz w:val="18"/>
                <w:szCs w:val="18"/>
              </w:rPr>
              <w:t>470</w:t>
            </w:r>
          </w:p>
        </w:tc>
        <w:tc>
          <w:tcPr>
            <w:tcW w:w="1260" w:type="dxa"/>
            <w:tcBorders>
              <w:top w:val="single" w:color="auto" w:sz="4" w:space="0"/>
              <w:left w:val="single" w:color="auto" w:sz="4" w:space="0"/>
              <w:bottom w:val="single" w:color="auto" w:sz="4" w:space="0"/>
              <w:right w:val="single" w:color="auto" w:sz="4" w:space="0"/>
            </w:tcBorders>
          </w:tcPr>
          <w:p w:rsidRPr="00863F9A" w:rsidR="0088211E" w:rsidP="00863F9A" w:rsidRDefault="0088211E" w14:paraId="32AF9E50" w14:textId="322424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18"/>
                <w:szCs w:val="18"/>
              </w:rPr>
            </w:pPr>
            <w:r w:rsidRPr="00863F9A">
              <w:rPr>
                <w:rFonts w:ascii="Calibri" w:hAnsi="Calibri" w:cs="Calibri"/>
                <w:bCs/>
                <w:sz w:val="18"/>
                <w:szCs w:val="18"/>
              </w:rPr>
              <w:t>1</w:t>
            </w:r>
          </w:p>
        </w:tc>
        <w:tc>
          <w:tcPr>
            <w:tcW w:w="1080" w:type="dxa"/>
            <w:tcBorders>
              <w:top w:val="single" w:color="auto" w:sz="4" w:space="0"/>
              <w:left w:val="single" w:color="auto" w:sz="4" w:space="0"/>
              <w:bottom w:val="single" w:color="auto" w:sz="4" w:space="0"/>
              <w:right w:val="single" w:color="auto" w:sz="4" w:space="0"/>
            </w:tcBorders>
          </w:tcPr>
          <w:p w:rsidRPr="00863F9A" w:rsidR="0088211E" w:rsidP="00863F9A" w:rsidRDefault="0088211E" w14:paraId="16593E2E" w14:textId="2D7FC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18"/>
                <w:szCs w:val="18"/>
              </w:rPr>
            </w:pPr>
            <w:r w:rsidRPr="00863F9A">
              <w:rPr>
                <w:rFonts w:ascii="Calibri" w:hAnsi="Calibri" w:cs="Calibri"/>
                <w:bCs/>
                <w:sz w:val="18"/>
                <w:szCs w:val="18"/>
              </w:rPr>
              <w:t>.5</w:t>
            </w:r>
            <w:r w:rsidR="00CB10DA">
              <w:rPr>
                <w:rFonts w:ascii="Calibri" w:hAnsi="Calibri" w:cs="Calibri"/>
                <w:bCs/>
                <w:sz w:val="18"/>
                <w:szCs w:val="18"/>
              </w:rPr>
              <w:t>0</w:t>
            </w:r>
          </w:p>
        </w:tc>
        <w:tc>
          <w:tcPr>
            <w:tcW w:w="990" w:type="dxa"/>
            <w:tcBorders>
              <w:top w:val="single" w:color="auto" w:sz="4" w:space="0"/>
              <w:left w:val="single" w:color="auto" w:sz="4" w:space="0"/>
              <w:bottom w:val="single" w:color="auto" w:sz="4" w:space="0"/>
              <w:right w:val="single" w:color="auto" w:sz="4" w:space="0"/>
            </w:tcBorders>
          </w:tcPr>
          <w:p w:rsidRPr="00863F9A" w:rsidR="0088211E" w:rsidP="00863F9A" w:rsidRDefault="00C247CF" w14:paraId="78B31963" w14:textId="5C0764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18"/>
                <w:szCs w:val="18"/>
              </w:rPr>
            </w:pPr>
            <w:r>
              <w:rPr>
                <w:rFonts w:ascii="Calibri" w:hAnsi="Calibri" w:cs="Calibri"/>
                <w:bCs/>
                <w:sz w:val="18"/>
                <w:szCs w:val="18"/>
              </w:rPr>
              <w:t>235</w:t>
            </w:r>
          </w:p>
        </w:tc>
        <w:tc>
          <w:tcPr>
            <w:tcW w:w="990" w:type="dxa"/>
            <w:tcBorders>
              <w:top w:val="single" w:color="auto" w:sz="4" w:space="0"/>
              <w:left w:val="single" w:color="auto" w:sz="4" w:space="0"/>
              <w:bottom w:val="single" w:color="auto" w:sz="4" w:space="0"/>
              <w:right w:val="single" w:color="auto" w:sz="4" w:space="0"/>
            </w:tcBorders>
          </w:tcPr>
          <w:p w:rsidRPr="00863F9A" w:rsidR="0088211E" w:rsidP="00863F9A" w:rsidRDefault="00C247CF" w14:paraId="09E1F164" w14:textId="6C6438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18"/>
                <w:szCs w:val="18"/>
              </w:rPr>
            </w:pPr>
            <w:r>
              <w:rPr>
                <w:rFonts w:ascii="Calibri" w:hAnsi="Calibri" w:cs="Calibri"/>
                <w:bCs/>
                <w:sz w:val="18"/>
                <w:szCs w:val="18"/>
              </w:rPr>
              <w:t>7</w:t>
            </w:r>
            <w:r w:rsidR="00923845">
              <w:rPr>
                <w:rFonts w:ascii="Calibri" w:hAnsi="Calibri" w:cs="Calibri"/>
                <w:bCs/>
                <w:sz w:val="18"/>
                <w:szCs w:val="18"/>
              </w:rPr>
              <w:t>8</w:t>
            </w:r>
          </w:p>
        </w:tc>
        <w:tc>
          <w:tcPr>
            <w:tcW w:w="990" w:type="dxa"/>
            <w:tcBorders>
              <w:top w:val="single" w:color="auto" w:sz="4" w:space="0"/>
              <w:left w:val="single" w:color="auto" w:sz="4" w:space="0"/>
              <w:bottom w:val="single" w:color="auto" w:sz="4" w:space="0"/>
              <w:right w:val="single" w:color="auto" w:sz="4" w:space="0"/>
            </w:tcBorders>
          </w:tcPr>
          <w:p w:rsidRPr="00863F9A" w:rsidR="0088211E" w:rsidP="00863F9A" w:rsidRDefault="00767E4A" w14:paraId="3BF637B6" w14:textId="784DA2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18"/>
                <w:szCs w:val="18"/>
              </w:rPr>
            </w:pPr>
            <w:r w:rsidRPr="00863F9A">
              <w:rPr>
                <w:rFonts w:ascii="Calibri" w:hAnsi="Calibri" w:cs="Calibri"/>
                <w:bCs/>
                <w:sz w:val="18"/>
                <w:szCs w:val="18"/>
              </w:rPr>
              <w:t>$3</w:t>
            </w:r>
            <w:r>
              <w:rPr>
                <w:rFonts w:ascii="Calibri" w:hAnsi="Calibri" w:cs="Calibri"/>
                <w:bCs/>
                <w:sz w:val="18"/>
                <w:szCs w:val="18"/>
              </w:rPr>
              <w:t>5.65</w:t>
            </w:r>
          </w:p>
        </w:tc>
        <w:tc>
          <w:tcPr>
            <w:tcW w:w="1108" w:type="dxa"/>
            <w:tcBorders>
              <w:top w:val="single" w:color="auto" w:sz="4" w:space="0"/>
              <w:left w:val="single" w:color="auto" w:sz="4" w:space="0"/>
              <w:bottom w:val="single" w:color="auto" w:sz="4" w:space="0"/>
              <w:right w:val="single" w:color="auto" w:sz="4" w:space="0"/>
            </w:tcBorders>
          </w:tcPr>
          <w:p w:rsidRPr="00863F9A" w:rsidR="0088211E" w:rsidP="00863F9A" w:rsidRDefault="00DE4B5D" w14:paraId="6FC4054D" w14:textId="5BE35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18"/>
                <w:szCs w:val="18"/>
              </w:rPr>
            </w:pPr>
            <w:r w:rsidRPr="00863F9A">
              <w:rPr>
                <w:rFonts w:ascii="Calibri" w:hAnsi="Calibri" w:cs="Calibri"/>
                <w:bCs/>
                <w:sz w:val="18"/>
                <w:szCs w:val="18"/>
              </w:rPr>
              <w:t>$</w:t>
            </w:r>
            <w:r w:rsidR="00923845">
              <w:rPr>
                <w:rFonts w:ascii="Calibri" w:hAnsi="Calibri" w:cs="Calibri"/>
                <w:bCs/>
                <w:sz w:val="18"/>
                <w:szCs w:val="18"/>
              </w:rPr>
              <w:t>2,780.7</w:t>
            </w:r>
          </w:p>
        </w:tc>
      </w:tr>
      <w:tr w:rsidRPr="00863F9A" w:rsidR="0088211E" w:rsidTr="005C6BFE" w14:paraId="2A7EBBA1" w14:textId="77777777">
        <w:tc>
          <w:tcPr>
            <w:tcW w:w="2065" w:type="dxa"/>
            <w:tcBorders>
              <w:top w:val="single" w:color="auto" w:sz="4" w:space="0"/>
              <w:left w:val="single" w:color="auto" w:sz="4" w:space="0"/>
              <w:bottom w:val="single" w:color="auto" w:sz="4" w:space="0"/>
              <w:right w:val="single" w:color="auto" w:sz="4" w:space="0"/>
            </w:tcBorders>
          </w:tcPr>
          <w:p w:rsidRPr="00863F9A" w:rsidR="0088211E" w:rsidP="00863F9A" w:rsidRDefault="0088211E" w14:paraId="5155D482" w14:textId="679F8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18"/>
                <w:szCs w:val="18"/>
              </w:rPr>
            </w:pPr>
            <w:r w:rsidRPr="00863F9A">
              <w:rPr>
                <w:rFonts w:ascii="Calibri" w:hAnsi="Calibri" w:cs="Calibri"/>
                <w:bCs/>
                <w:sz w:val="18"/>
                <w:szCs w:val="18"/>
              </w:rPr>
              <w:t>Dissolved Partnership Provider Semi-structured Interview</w:t>
            </w:r>
            <w:r w:rsidRPr="00863F9A" w:rsidR="001107D7">
              <w:rPr>
                <w:rFonts w:ascii="Calibri" w:hAnsi="Calibri" w:cs="Calibri"/>
                <w:bCs/>
                <w:sz w:val="18"/>
                <w:szCs w:val="18"/>
              </w:rPr>
              <w:t xml:space="preserve"> Protocol</w:t>
            </w:r>
          </w:p>
        </w:tc>
        <w:tc>
          <w:tcPr>
            <w:tcW w:w="1170" w:type="dxa"/>
            <w:tcBorders>
              <w:top w:val="single" w:color="auto" w:sz="4" w:space="0"/>
              <w:left w:val="single" w:color="auto" w:sz="4" w:space="0"/>
              <w:bottom w:val="single" w:color="auto" w:sz="4" w:space="0"/>
              <w:right w:val="single" w:color="auto" w:sz="4" w:space="0"/>
            </w:tcBorders>
          </w:tcPr>
          <w:p w:rsidRPr="00863F9A" w:rsidR="0088211E" w:rsidP="00863F9A" w:rsidRDefault="00632B58" w14:paraId="64C672C4" w14:textId="565E7D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18"/>
                <w:szCs w:val="18"/>
              </w:rPr>
            </w:pPr>
            <w:r w:rsidRPr="00863F9A">
              <w:rPr>
                <w:rFonts w:ascii="Calibri" w:hAnsi="Calibri" w:cs="Calibri"/>
                <w:bCs/>
                <w:sz w:val="18"/>
                <w:szCs w:val="18"/>
              </w:rPr>
              <w:t>48</w:t>
            </w:r>
          </w:p>
        </w:tc>
        <w:tc>
          <w:tcPr>
            <w:tcW w:w="1260" w:type="dxa"/>
            <w:tcBorders>
              <w:top w:val="single" w:color="auto" w:sz="4" w:space="0"/>
              <w:left w:val="single" w:color="auto" w:sz="4" w:space="0"/>
              <w:bottom w:val="single" w:color="auto" w:sz="4" w:space="0"/>
              <w:right w:val="single" w:color="auto" w:sz="4" w:space="0"/>
            </w:tcBorders>
          </w:tcPr>
          <w:p w:rsidRPr="00863F9A" w:rsidR="0088211E" w:rsidP="00863F9A" w:rsidRDefault="0088211E" w14:paraId="2C2DA67E" w14:textId="1EBAF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18"/>
                <w:szCs w:val="18"/>
              </w:rPr>
            </w:pPr>
            <w:r w:rsidRPr="00863F9A">
              <w:rPr>
                <w:rFonts w:ascii="Calibri" w:hAnsi="Calibri" w:cs="Calibri"/>
                <w:bCs/>
                <w:sz w:val="18"/>
                <w:szCs w:val="18"/>
              </w:rPr>
              <w:t>1</w:t>
            </w:r>
          </w:p>
        </w:tc>
        <w:tc>
          <w:tcPr>
            <w:tcW w:w="1080" w:type="dxa"/>
            <w:tcBorders>
              <w:top w:val="single" w:color="auto" w:sz="4" w:space="0"/>
              <w:left w:val="single" w:color="auto" w:sz="4" w:space="0"/>
              <w:bottom w:val="single" w:color="auto" w:sz="4" w:space="0"/>
              <w:right w:val="single" w:color="auto" w:sz="4" w:space="0"/>
            </w:tcBorders>
          </w:tcPr>
          <w:p w:rsidRPr="00863F9A" w:rsidR="0088211E" w:rsidP="00863F9A" w:rsidRDefault="0088211E" w14:paraId="6E58E8B7" w14:textId="652DF9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18"/>
                <w:szCs w:val="18"/>
              </w:rPr>
            </w:pPr>
            <w:r w:rsidRPr="00863F9A">
              <w:rPr>
                <w:rFonts w:ascii="Calibri" w:hAnsi="Calibri" w:cs="Calibri"/>
                <w:bCs/>
                <w:sz w:val="18"/>
                <w:szCs w:val="18"/>
              </w:rPr>
              <w:t>.</w:t>
            </w:r>
            <w:r w:rsidR="00957DA2">
              <w:rPr>
                <w:rFonts w:ascii="Calibri" w:hAnsi="Calibri" w:cs="Calibri"/>
                <w:bCs/>
                <w:sz w:val="18"/>
                <w:szCs w:val="18"/>
              </w:rPr>
              <w:t>8</w:t>
            </w:r>
            <w:r w:rsidR="00CB10DA">
              <w:rPr>
                <w:rFonts w:ascii="Calibri" w:hAnsi="Calibri" w:cs="Calibri"/>
                <w:bCs/>
                <w:sz w:val="18"/>
                <w:szCs w:val="18"/>
              </w:rPr>
              <w:t>3</w:t>
            </w:r>
          </w:p>
        </w:tc>
        <w:tc>
          <w:tcPr>
            <w:tcW w:w="990" w:type="dxa"/>
            <w:tcBorders>
              <w:top w:val="single" w:color="auto" w:sz="4" w:space="0"/>
              <w:left w:val="single" w:color="auto" w:sz="4" w:space="0"/>
              <w:bottom w:val="single" w:color="auto" w:sz="4" w:space="0"/>
              <w:right w:val="single" w:color="auto" w:sz="4" w:space="0"/>
            </w:tcBorders>
          </w:tcPr>
          <w:p w:rsidRPr="00863F9A" w:rsidR="0088211E" w:rsidP="00863F9A" w:rsidRDefault="00923845" w14:paraId="63E4B67B" w14:textId="3BBE6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18"/>
                <w:szCs w:val="18"/>
              </w:rPr>
            </w:pPr>
            <w:r>
              <w:rPr>
                <w:rFonts w:ascii="Calibri" w:hAnsi="Calibri" w:cs="Calibri"/>
                <w:bCs/>
                <w:sz w:val="18"/>
                <w:szCs w:val="18"/>
              </w:rPr>
              <w:t>40</w:t>
            </w:r>
          </w:p>
        </w:tc>
        <w:tc>
          <w:tcPr>
            <w:tcW w:w="990" w:type="dxa"/>
            <w:tcBorders>
              <w:top w:val="single" w:color="auto" w:sz="4" w:space="0"/>
              <w:left w:val="single" w:color="auto" w:sz="4" w:space="0"/>
              <w:bottom w:val="single" w:color="auto" w:sz="4" w:space="0"/>
              <w:right w:val="single" w:color="auto" w:sz="4" w:space="0"/>
            </w:tcBorders>
          </w:tcPr>
          <w:p w:rsidRPr="00863F9A" w:rsidR="0088211E" w:rsidP="00863F9A" w:rsidRDefault="00957DA2" w14:paraId="58396C37" w14:textId="4CF4F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18"/>
                <w:szCs w:val="18"/>
              </w:rPr>
            </w:pPr>
            <w:r>
              <w:rPr>
                <w:rFonts w:ascii="Calibri" w:hAnsi="Calibri" w:cs="Calibri"/>
                <w:bCs/>
                <w:sz w:val="18"/>
                <w:szCs w:val="18"/>
              </w:rPr>
              <w:t>13</w:t>
            </w:r>
          </w:p>
        </w:tc>
        <w:tc>
          <w:tcPr>
            <w:tcW w:w="990" w:type="dxa"/>
            <w:tcBorders>
              <w:top w:val="single" w:color="auto" w:sz="4" w:space="0"/>
              <w:left w:val="single" w:color="auto" w:sz="4" w:space="0"/>
              <w:bottom w:val="single" w:color="auto" w:sz="4" w:space="0"/>
              <w:right w:val="single" w:color="auto" w:sz="4" w:space="0"/>
            </w:tcBorders>
          </w:tcPr>
          <w:p w:rsidRPr="00863F9A" w:rsidR="0088211E" w:rsidP="00863F9A" w:rsidRDefault="00767E4A" w14:paraId="2DF96A86" w14:textId="77D71A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18"/>
                <w:szCs w:val="18"/>
              </w:rPr>
            </w:pPr>
            <w:r w:rsidRPr="00863F9A">
              <w:rPr>
                <w:rFonts w:ascii="Calibri" w:hAnsi="Calibri" w:cs="Calibri"/>
                <w:bCs/>
                <w:sz w:val="18"/>
                <w:szCs w:val="18"/>
              </w:rPr>
              <w:t>$3</w:t>
            </w:r>
            <w:r>
              <w:rPr>
                <w:rFonts w:ascii="Calibri" w:hAnsi="Calibri" w:cs="Calibri"/>
                <w:bCs/>
                <w:sz w:val="18"/>
                <w:szCs w:val="18"/>
              </w:rPr>
              <w:t>5.65</w:t>
            </w:r>
          </w:p>
        </w:tc>
        <w:tc>
          <w:tcPr>
            <w:tcW w:w="1108" w:type="dxa"/>
            <w:tcBorders>
              <w:top w:val="single" w:color="auto" w:sz="4" w:space="0"/>
              <w:left w:val="single" w:color="auto" w:sz="4" w:space="0"/>
              <w:bottom w:val="single" w:color="auto" w:sz="4" w:space="0"/>
              <w:right w:val="single" w:color="auto" w:sz="4" w:space="0"/>
            </w:tcBorders>
          </w:tcPr>
          <w:p w:rsidRPr="00863F9A" w:rsidR="0088211E" w:rsidP="00863F9A" w:rsidRDefault="00DE4B5D" w14:paraId="547869C6" w14:textId="12155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18"/>
                <w:szCs w:val="18"/>
              </w:rPr>
            </w:pPr>
            <w:r w:rsidRPr="00863F9A">
              <w:rPr>
                <w:rFonts w:ascii="Calibri" w:hAnsi="Calibri" w:cs="Calibri"/>
                <w:bCs/>
                <w:sz w:val="18"/>
                <w:szCs w:val="18"/>
              </w:rPr>
              <w:t>$</w:t>
            </w:r>
            <w:r w:rsidR="00767E4A">
              <w:rPr>
                <w:rFonts w:ascii="Calibri" w:hAnsi="Calibri" w:cs="Calibri"/>
                <w:bCs/>
                <w:sz w:val="18"/>
                <w:szCs w:val="18"/>
              </w:rPr>
              <w:t>463.45</w:t>
            </w:r>
          </w:p>
        </w:tc>
      </w:tr>
      <w:tr w:rsidRPr="00863F9A" w:rsidR="0088211E" w:rsidTr="005C6BFE" w14:paraId="06095D58" w14:textId="77777777">
        <w:tc>
          <w:tcPr>
            <w:tcW w:w="2065" w:type="dxa"/>
            <w:tcBorders>
              <w:top w:val="single" w:color="auto" w:sz="4" w:space="0"/>
              <w:left w:val="single" w:color="auto" w:sz="4" w:space="0"/>
              <w:bottom w:val="single" w:color="auto" w:sz="4" w:space="0"/>
              <w:right w:val="single" w:color="auto" w:sz="4" w:space="0"/>
            </w:tcBorders>
          </w:tcPr>
          <w:p w:rsidRPr="00863F9A" w:rsidR="0088211E" w:rsidP="00863F9A" w:rsidRDefault="0088211E" w14:paraId="19ABBC00" w14:textId="5E0F0F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18"/>
                <w:szCs w:val="18"/>
              </w:rPr>
            </w:pPr>
            <w:r w:rsidRPr="00863F9A">
              <w:rPr>
                <w:rFonts w:ascii="Calibri" w:hAnsi="Calibri" w:cs="Calibri"/>
                <w:bCs/>
                <w:sz w:val="18"/>
                <w:szCs w:val="18"/>
              </w:rPr>
              <w:t>Sustained Partnership Provider Semi-structured Interview</w:t>
            </w:r>
            <w:r w:rsidRPr="00863F9A" w:rsidR="001107D7">
              <w:rPr>
                <w:rFonts w:ascii="Calibri" w:hAnsi="Calibri" w:cs="Calibri"/>
                <w:bCs/>
                <w:sz w:val="18"/>
                <w:szCs w:val="18"/>
              </w:rPr>
              <w:t xml:space="preserve"> Protocol</w:t>
            </w:r>
          </w:p>
        </w:tc>
        <w:tc>
          <w:tcPr>
            <w:tcW w:w="1170" w:type="dxa"/>
            <w:tcBorders>
              <w:top w:val="single" w:color="auto" w:sz="4" w:space="0"/>
              <w:left w:val="single" w:color="auto" w:sz="4" w:space="0"/>
              <w:bottom w:val="single" w:color="auto" w:sz="4" w:space="0"/>
              <w:right w:val="single" w:color="auto" w:sz="4" w:space="0"/>
            </w:tcBorders>
          </w:tcPr>
          <w:p w:rsidRPr="00863F9A" w:rsidR="0088211E" w:rsidP="00863F9A" w:rsidRDefault="0088211E" w14:paraId="6C58046B" w14:textId="51076D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18"/>
                <w:szCs w:val="18"/>
              </w:rPr>
            </w:pPr>
            <w:r w:rsidRPr="00863F9A">
              <w:rPr>
                <w:rFonts w:ascii="Calibri" w:hAnsi="Calibri" w:cs="Calibri"/>
                <w:bCs/>
                <w:sz w:val="18"/>
                <w:szCs w:val="18"/>
              </w:rPr>
              <w:t>24</w:t>
            </w:r>
          </w:p>
        </w:tc>
        <w:tc>
          <w:tcPr>
            <w:tcW w:w="1260" w:type="dxa"/>
            <w:tcBorders>
              <w:top w:val="single" w:color="auto" w:sz="4" w:space="0"/>
              <w:left w:val="single" w:color="auto" w:sz="4" w:space="0"/>
              <w:bottom w:val="single" w:color="auto" w:sz="4" w:space="0"/>
              <w:right w:val="single" w:color="auto" w:sz="4" w:space="0"/>
            </w:tcBorders>
          </w:tcPr>
          <w:p w:rsidRPr="00863F9A" w:rsidR="0088211E" w:rsidP="00863F9A" w:rsidRDefault="0088211E" w14:paraId="07AE7476" w14:textId="250AA0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18"/>
                <w:szCs w:val="18"/>
              </w:rPr>
            </w:pPr>
            <w:r w:rsidRPr="00863F9A">
              <w:rPr>
                <w:rFonts w:ascii="Calibri" w:hAnsi="Calibri" w:cs="Calibri"/>
                <w:bCs/>
                <w:sz w:val="18"/>
                <w:szCs w:val="18"/>
              </w:rPr>
              <w:t>1</w:t>
            </w:r>
          </w:p>
        </w:tc>
        <w:tc>
          <w:tcPr>
            <w:tcW w:w="1080" w:type="dxa"/>
            <w:tcBorders>
              <w:top w:val="single" w:color="auto" w:sz="4" w:space="0"/>
              <w:left w:val="single" w:color="auto" w:sz="4" w:space="0"/>
              <w:bottom w:val="single" w:color="auto" w:sz="4" w:space="0"/>
              <w:right w:val="single" w:color="auto" w:sz="4" w:space="0"/>
            </w:tcBorders>
          </w:tcPr>
          <w:p w:rsidRPr="00863F9A" w:rsidR="0088211E" w:rsidP="00863F9A" w:rsidRDefault="0088211E" w14:paraId="4AB68272" w14:textId="2FC4D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18"/>
                <w:szCs w:val="18"/>
              </w:rPr>
            </w:pPr>
            <w:r w:rsidRPr="00863F9A">
              <w:rPr>
                <w:rFonts w:ascii="Calibri" w:hAnsi="Calibri" w:cs="Calibri"/>
                <w:bCs/>
                <w:sz w:val="18"/>
                <w:szCs w:val="18"/>
              </w:rPr>
              <w:t>.</w:t>
            </w:r>
            <w:r w:rsidR="00957DA2">
              <w:rPr>
                <w:rFonts w:ascii="Calibri" w:hAnsi="Calibri" w:cs="Calibri"/>
                <w:bCs/>
                <w:sz w:val="18"/>
                <w:szCs w:val="18"/>
              </w:rPr>
              <w:t>8</w:t>
            </w:r>
            <w:r w:rsidR="00CB10DA">
              <w:rPr>
                <w:rFonts w:ascii="Calibri" w:hAnsi="Calibri" w:cs="Calibri"/>
                <w:bCs/>
                <w:sz w:val="18"/>
                <w:szCs w:val="18"/>
              </w:rPr>
              <w:t>3</w:t>
            </w:r>
          </w:p>
        </w:tc>
        <w:tc>
          <w:tcPr>
            <w:tcW w:w="990" w:type="dxa"/>
            <w:tcBorders>
              <w:top w:val="single" w:color="auto" w:sz="4" w:space="0"/>
              <w:left w:val="single" w:color="auto" w:sz="4" w:space="0"/>
              <w:bottom w:val="single" w:color="auto" w:sz="4" w:space="0"/>
              <w:right w:val="single" w:color="auto" w:sz="4" w:space="0"/>
            </w:tcBorders>
          </w:tcPr>
          <w:p w:rsidRPr="00863F9A" w:rsidR="0088211E" w:rsidP="00863F9A" w:rsidRDefault="00923845" w14:paraId="56B7365D" w14:textId="512D87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18"/>
                <w:szCs w:val="18"/>
              </w:rPr>
            </w:pPr>
            <w:r>
              <w:rPr>
                <w:rFonts w:ascii="Calibri" w:hAnsi="Calibri" w:cs="Calibri"/>
                <w:bCs/>
                <w:sz w:val="18"/>
                <w:szCs w:val="18"/>
              </w:rPr>
              <w:t>20</w:t>
            </w:r>
          </w:p>
        </w:tc>
        <w:tc>
          <w:tcPr>
            <w:tcW w:w="990" w:type="dxa"/>
            <w:tcBorders>
              <w:top w:val="single" w:color="auto" w:sz="4" w:space="0"/>
              <w:left w:val="single" w:color="auto" w:sz="4" w:space="0"/>
              <w:bottom w:val="single" w:color="auto" w:sz="4" w:space="0"/>
              <w:right w:val="single" w:color="auto" w:sz="4" w:space="0"/>
            </w:tcBorders>
          </w:tcPr>
          <w:p w:rsidRPr="00863F9A" w:rsidR="0088211E" w:rsidP="00863F9A" w:rsidRDefault="00767E4A" w14:paraId="4DAD7DA7" w14:textId="61E2A0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18"/>
                <w:szCs w:val="18"/>
              </w:rPr>
            </w:pPr>
            <w:r>
              <w:rPr>
                <w:rFonts w:ascii="Calibri" w:hAnsi="Calibri" w:cs="Calibri"/>
                <w:bCs/>
                <w:sz w:val="18"/>
                <w:szCs w:val="18"/>
              </w:rPr>
              <w:t>6</w:t>
            </w:r>
          </w:p>
        </w:tc>
        <w:tc>
          <w:tcPr>
            <w:tcW w:w="990" w:type="dxa"/>
            <w:tcBorders>
              <w:top w:val="single" w:color="auto" w:sz="4" w:space="0"/>
              <w:left w:val="single" w:color="auto" w:sz="4" w:space="0"/>
              <w:bottom w:val="single" w:color="auto" w:sz="4" w:space="0"/>
              <w:right w:val="single" w:color="auto" w:sz="4" w:space="0"/>
            </w:tcBorders>
          </w:tcPr>
          <w:p w:rsidRPr="00863F9A" w:rsidR="0088211E" w:rsidP="00863F9A" w:rsidRDefault="00767E4A" w14:paraId="13BA50C7" w14:textId="4A3B1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18"/>
                <w:szCs w:val="18"/>
              </w:rPr>
            </w:pPr>
            <w:r w:rsidRPr="00863F9A">
              <w:rPr>
                <w:rFonts w:ascii="Calibri" w:hAnsi="Calibri" w:cs="Calibri"/>
                <w:bCs/>
                <w:sz w:val="18"/>
                <w:szCs w:val="18"/>
              </w:rPr>
              <w:t>$3</w:t>
            </w:r>
            <w:r>
              <w:rPr>
                <w:rFonts w:ascii="Calibri" w:hAnsi="Calibri" w:cs="Calibri"/>
                <w:bCs/>
                <w:sz w:val="18"/>
                <w:szCs w:val="18"/>
              </w:rPr>
              <w:t>5.65</w:t>
            </w:r>
          </w:p>
        </w:tc>
        <w:tc>
          <w:tcPr>
            <w:tcW w:w="1108" w:type="dxa"/>
            <w:tcBorders>
              <w:top w:val="single" w:color="auto" w:sz="4" w:space="0"/>
              <w:left w:val="single" w:color="auto" w:sz="4" w:space="0"/>
              <w:bottom w:val="single" w:color="auto" w:sz="4" w:space="0"/>
              <w:right w:val="single" w:color="auto" w:sz="4" w:space="0"/>
            </w:tcBorders>
          </w:tcPr>
          <w:p w:rsidRPr="00863F9A" w:rsidR="0088211E" w:rsidP="00863F9A" w:rsidRDefault="00DE4B5D" w14:paraId="6DB9A55A" w14:textId="7CE738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18"/>
                <w:szCs w:val="18"/>
              </w:rPr>
            </w:pPr>
            <w:r w:rsidRPr="00863F9A">
              <w:rPr>
                <w:rFonts w:ascii="Calibri" w:hAnsi="Calibri" w:cs="Calibri"/>
                <w:bCs/>
                <w:sz w:val="18"/>
                <w:szCs w:val="18"/>
              </w:rPr>
              <w:t>$</w:t>
            </w:r>
            <w:r w:rsidR="005174EC">
              <w:rPr>
                <w:rFonts w:ascii="Calibri" w:hAnsi="Calibri" w:cs="Calibri"/>
                <w:bCs/>
                <w:sz w:val="18"/>
                <w:szCs w:val="18"/>
              </w:rPr>
              <w:t>213.90</w:t>
            </w:r>
          </w:p>
        </w:tc>
      </w:tr>
      <w:tr w:rsidRPr="00863F9A" w:rsidR="0088211E" w:rsidTr="005C6BFE" w14:paraId="72212BB1" w14:textId="77777777">
        <w:tc>
          <w:tcPr>
            <w:tcW w:w="2065" w:type="dxa"/>
            <w:tcBorders>
              <w:top w:val="single" w:color="auto" w:sz="4" w:space="0"/>
              <w:left w:val="single" w:color="auto" w:sz="4" w:space="0"/>
              <w:bottom w:val="single" w:color="auto" w:sz="4" w:space="0"/>
              <w:right w:val="single" w:color="auto" w:sz="4" w:space="0"/>
            </w:tcBorders>
            <w:hideMark/>
          </w:tcPr>
          <w:p w:rsidRPr="00863F9A" w:rsidR="0088211E" w:rsidP="00863F9A" w:rsidRDefault="0088211E" w14:paraId="016E01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18"/>
                <w:szCs w:val="18"/>
              </w:rPr>
            </w:pPr>
            <w:r w:rsidRPr="00863F9A">
              <w:rPr>
                <w:rFonts w:ascii="Calibri" w:hAnsi="Calibri" w:cs="Calibri"/>
                <w:bCs/>
                <w:sz w:val="18"/>
                <w:szCs w:val="18"/>
              </w:rPr>
              <w:t>Total</w:t>
            </w:r>
          </w:p>
        </w:tc>
        <w:tc>
          <w:tcPr>
            <w:tcW w:w="1170" w:type="dxa"/>
            <w:tcBorders>
              <w:top w:val="single" w:color="auto" w:sz="4" w:space="0"/>
              <w:left w:val="single" w:color="auto" w:sz="4" w:space="0"/>
              <w:bottom w:val="single" w:color="auto" w:sz="4" w:space="0"/>
              <w:right w:val="single" w:color="auto" w:sz="4" w:space="0"/>
            </w:tcBorders>
          </w:tcPr>
          <w:p w:rsidRPr="00863F9A" w:rsidR="0088211E" w:rsidP="00863F9A" w:rsidRDefault="0088211E" w14:paraId="742A0B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18"/>
                <w:szCs w:val="18"/>
              </w:rPr>
            </w:pPr>
          </w:p>
        </w:tc>
        <w:tc>
          <w:tcPr>
            <w:tcW w:w="1260" w:type="dxa"/>
            <w:tcBorders>
              <w:top w:val="single" w:color="auto" w:sz="4" w:space="0"/>
              <w:left w:val="single" w:color="auto" w:sz="4" w:space="0"/>
              <w:bottom w:val="single" w:color="auto" w:sz="4" w:space="0"/>
              <w:right w:val="single" w:color="auto" w:sz="4" w:space="0"/>
            </w:tcBorders>
          </w:tcPr>
          <w:p w:rsidRPr="00863F9A" w:rsidR="0088211E" w:rsidP="00863F9A" w:rsidRDefault="0088211E" w14:paraId="0BF919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18"/>
                <w:szCs w:val="18"/>
              </w:rPr>
            </w:pPr>
          </w:p>
        </w:tc>
        <w:tc>
          <w:tcPr>
            <w:tcW w:w="1080" w:type="dxa"/>
            <w:tcBorders>
              <w:top w:val="single" w:color="auto" w:sz="4" w:space="0"/>
              <w:left w:val="single" w:color="auto" w:sz="4" w:space="0"/>
              <w:bottom w:val="single" w:color="auto" w:sz="4" w:space="0"/>
              <w:right w:val="single" w:color="auto" w:sz="4" w:space="0"/>
            </w:tcBorders>
          </w:tcPr>
          <w:p w:rsidRPr="00863F9A" w:rsidR="0088211E" w:rsidP="00863F9A" w:rsidRDefault="0088211E" w14:paraId="6E5036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18"/>
                <w:szCs w:val="18"/>
              </w:rPr>
            </w:pPr>
          </w:p>
        </w:tc>
        <w:tc>
          <w:tcPr>
            <w:tcW w:w="990" w:type="dxa"/>
            <w:tcBorders>
              <w:top w:val="single" w:color="auto" w:sz="4" w:space="0"/>
              <w:left w:val="single" w:color="auto" w:sz="4" w:space="0"/>
              <w:bottom w:val="single" w:color="auto" w:sz="4" w:space="0"/>
              <w:right w:val="single" w:color="auto" w:sz="4" w:space="0"/>
            </w:tcBorders>
          </w:tcPr>
          <w:p w:rsidRPr="00863F9A" w:rsidR="0088211E" w:rsidP="00863F9A" w:rsidRDefault="0088211E" w14:paraId="164960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18"/>
                <w:szCs w:val="18"/>
              </w:rPr>
            </w:pPr>
          </w:p>
        </w:tc>
        <w:tc>
          <w:tcPr>
            <w:tcW w:w="990" w:type="dxa"/>
            <w:tcBorders>
              <w:top w:val="single" w:color="auto" w:sz="4" w:space="0"/>
              <w:left w:val="single" w:color="auto" w:sz="4" w:space="0"/>
              <w:bottom w:val="single" w:color="auto" w:sz="4" w:space="0"/>
              <w:right w:val="single" w:color="auto" w:sz="4" w:space="0"/>
            </w:tcBorders>
          </w:tcPr>
          <w:p w:rsidRPr="00863F9A" w:rsidR="0088211E" w:rsidP="00863F9A" w:rsidRDefault="00F36738" w14:paraId="17FC0EA5" w14:textId="5ABDC0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18"/>
                <w:szCs w:val="18"/>
              </w:rPr>
            </w:pPr>
            <w:r w:rsidRPr="00863F9A">
              <w:rPr>
                <w:rFonts w:ascii="Calibri" w:hAnsi="Calibri" w:cs="Calibri"/>
                <w:bCs/>
                <w:sz w:val="18"/>
                <w:szCs w:val="18"/>
              </w:rPr>
              <w:t>1</w:t>
            </w:r>
            <w:r w:rsidR="005174EC">
              <w:rPr>
                <w:rFonts w:ascii="Calibri" w:hAnsi="Calibri" w:cs="Calibri"/>
                <w:bCs/>
                <w:sz w:val="18"/>
                <w:szCs w:val="18"/>
              </w:rPr>
              <w:t>6</w:t>
            </w:r>
            <w:r w:rsidR="00923845">
              <w:rPr>
                <w:rFonts w:ascii="Calibri" w:hAnsi="Calibri" w:cs="Calibri"/>
                <w:bCs/>
                <w:sz w:val="18"/>
                <w:szCs w:val="18"/>
              </w:rPr>
              <w:t>2</w:t>
            </w:r>
          </w:p>
        </w:tc>
        <w:tc>
          <w:tcPr>
            <w:tcW w:w="990" w:type="dxa"/>
            <w:tcBorders>
              <w:top w:val="single" w:color="auto" w:sz="4" w:space="0"/>
              <w:left w:val="single" w:color="auto" w:sz="4" w:space="0"/>
              <w:bottom w:val="single" w:color="auto" w:sz="4" w:space="0"/>
              <w:right w:val="single" w:color="auto" w:sz="4" w:space="0"/>
            </w:tcBorders>
            <w:hideMark/>
          </w:tcPr>
          <w:p w:rsidRPr="00863F9A" w:rsidR="0088211E" w:rsidP="00863F9A" w:rsidRDefault="0088211E" w14:paraId="3BCA976C" w14:textId="1D3C1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18"/>
                <w:szCs w:val="18"/>
              </w:rPr>
            </w:pPr>
          </w:p>
        </w:tc>
        <w:tc>
          <w:tcPr>
            <w:tcW w:w="1108" w:type="dxa"/>
            <w:tcBorders>
              <w:top w:val="single" w:color="auto" w:sz="4" w:space="0"/>
              <w:left w:val="single" w:color="auto" w:sz="4" w:space="0"/>
              <w:bottom w:val="single" w:color="auto" w:sz="4" w:space="0"/>
              <w:right w:val="single" w:color="auto" w:sz="4" w:space="0"/>
            </w:tcBorders>
            <w:hideMark/>
          </w:tcPr>
          <w:p w:rsidRPr="00863F9A" w:rsidR="0088211E" w:rsidP="00863F9A" w:rsidRDefault="0088211E" w14:paraId="661FEF03" w14:textId="09D34D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18"/>
                <w:szCs w:val="18"/>
              </w:rPr>
            </w:pPr>
            <w:r w:rsidRPr="00863F9A">
              <w:rPr>
                <w:rFonts w:ascii="Calibri" w:hAnsi="Calibri" w:cs="Calibri"/>
                <w:bCs/>
                <w:sz w:val="18"/>
                <w:szCs w:val="18"/>
              </w:rPr>
              <w:t>$</w:t>
            </w:r>
            <w:r w:rsidR="00433893">
              <w:rPr>
                <w:rFonts w:ascii="Calibri" w:hAnsi="Calibri" w:cs="Calibri"/>
                <w:bCs/>
                <w:sz w:val="18"/>
                <w:szCs w:val="18"/>
              </w:rPr>
              <w:t>5,775.30</w:t>
            </w:r>
          </w:p>
        </w:tc>
      </w:tr>
    </w:tbl>
    <w:p w:rsidRPr="009139B3" w:rsidR="001D1C73" w:rsidP="001D1C73" w:rsidRDefault="001D1C73" w14:paraId="3C662ADD" w14:textId="77777777">
      <w:pPr>
        <w:spacing w:after="0" w:line="240" w:lineRule="auto"/>
      </w:pPr>
    </w:p>
    <w:p w:rsidRPr="009139B3" w:rsidR="001D1C73" w:rsidP="00D66C51" w:rsidRDefault="001D1C73" w14:paraId="36874344" w14:textId="77777777">
      <w:pPr>
        <w:spacing w:after="60" w:line="240" w:lineRule="auto"/>
        <w:rPr>
          <w:i/>
        </w:rPr>
      </w:pPr>
      <w:r w:rsidRPr="009139B3">
        <w:rPr>
          <w:i/>
        </w:rPr>
        <w:t>Estimated Annualized Cost to Respondents</w:t>
      </w:r>
    </w:p>
    <w:p w:rsidRPr="005B29A4" w:rsidR="00BC415C" w:rsidP="00D66C51" w:rsidRDefault="00BC415C" w14:paraId="22508269" w14:textId="18FB128C">
      <w:pPr>
        <w:pStyle w:val="NormalSS"/>
        <w:ind w:firstLine="0"/>
        <w:rPr>
          <w:rFonts w:asciiTheme="minorHAnsi" w:hAnsiTheme="minorHAnsi" w:cstheme="minorHAnsi"/>
          <w:sz w:val="22"/>
          <w:szCs w:val="22"/>
        </w:rPr>
      </w:pPr>
      <w:r w:rsidRPr="00DE4B5D">
        <w:rPr>
          <w:rFonts w:asciiTheme="minorHAnsi" w:hAnsiTheme="minorHAnsi" w:cstheme="minorHAnsi"/>
          <w:sz w:val="22"/>
          <w:szCs w:val="22"/>
        </w:rPr>
        <w:t>We expect the total annual cost to be $</w:t>
      </w:r>
      <w:r w:rsidR="00433893">
        <w:rPr>
          <w:rFonts w:asciiTheme="minorHAnsi" w:hAnsiTheme="minorHAnsi" w:cstheme="minorHAnsi"/>
          <w:sz w:val="22"/>
          <w:szCs w:val="22"/>
        </w:rPr>
        <w:t>5,775.30</w:t>
      </w:r>
      <w:r w:rsidRPr="00DE4B5D">
        <w:rPr>
          <w:rFonts w:asciiTheme="minorHAnsi" w:hAnsiTheme="minorHAnsi" w:cstheme="minorHAnsi"/>
          <w:sz w:val="22"/>
          <w:szCs w:val="22"/>
        </w:rPr>
        <w:t xml:space="preserve"> for all of the instruments in the current information</w:t>
      </w:r>
      <w:r w:rsidRPr="005B29A4">
        <w:rPr>
          <w:rFonts w:asciiTheme="minorHAnsi" w:hAnsiTheme="minorHAnsi" w:cstheme="minorHAnsi"/>
          <w:sz w:val="22"/>
          <w:szCs w:val="22"/>
        </w:rPr>
        <w:t xml:space="preserve"> collection request.</w:t>
      </w:r>
    </w:p>
    <w:p w:rsidRPr="005B29A4" w:rsidR="00BC415C" w:rsidP="00D66C51" w:rsidRDefault="00BC415C" w14:paraId="05A7BF94" w14:textId="370A629A">
      <w:pPr>
        <w:pStyle w:val="NormalSS"/>
        <w:ind w:firstLine="0"/>
        <w:rPr>
          <w:rFonts w:asciiTheme="minorHAnsi" w:hAnsiTheme="minorHAnsi" w:cstheme="minorHAnsi"/>
          <w:sz w:val="22"/>
          <w:szCs w:val="22"/>
        </w:rPr>
      </w:pPr>
      <w:r w:rsidRPr="005B29A4">
        <w:rPr>
          <w:rFonts w:asciiTheme="minorHAnsi" w:hAnsiTheme="minorHAnsi" w:cstheme="minorHAnsi"/>
          <w:sz w:val="22"/>
          <w:szCs w:val="22"/>
        </w:rPr>
        <w:t xml:space="preserve">Average hourly wage estimates for deriving total annual costs are based on Current Population Survey data for the </w:t>
      </w:r>
      <w:r w:rsidR="00957DA2">
        <w:rPr>
          <w:rFonts w:asciiTheme="minorHAnsi" w:hAnsiTheme="minorHAnsi" w:cstheme="minorHAnsi"/>
          <w:sz w:val="22"/>
          <w:szCs w:val="22"/>
        </w:rPr>
        <w:t>first</w:t>
      </w:r>
      <w:r w:rsidRPr="005B29A4" w:rsidR="00957DA2">
        <w:rPr>
          <w:rFonts w:asciiTheme="minorHAnsi" w:hAnsiTheme="minorHAnsi" w:cstheme="minorHAnsi"/>
          <w:sz w:val="22"/>
          <w:szCs w:val="22"/>
        </w:rPr>
        <w:t xml:space="preserve"> </w:t>
      </w:r>
      <w:r w:rsidRPr="005B29A4">
        <w:rPr>
          <w:rFonts w:asciiTheme="minorHAnsi" w:hAnsiTheme="minorHAnsi" w:cstheme="minorHAnsi"/>
          <w:sz w:val="22"/>
          <w:szCs w:val="22"/>
        </w:rPr>
        <w:t xml:space="preserve">quarter of </w:t>
      </w:r>
      <w:r w:rsidR="0032109D">
        <w:rPr>
          <w:rFonts w:asciiTheme="minorHAnsi" w:hAnsiTheme="minorHAnsi" w:cstheme="minorHAnsi"/>
          <w:sz w:val="22"/>
          <w:szCs w:val="22"/>
        </w:rPr>
        <w:t>202</w:t>
      </w:r>
      <w:r w:rsidR="00957DA2">
        <w:rPr>
          <w:rFonts w:asciiTheme="minorHAnsi" w:hAnsiTheme="minorHAnsi" w:cstheme="minorHAnsi"/>
          <w:sz w:val="22"/>
          <w:szCs w:val="22"/>
        </w:rPr>
        <w:t>1</w:t>
      </w:r>
      <w:r w:rsidRPr="005B29A4">
        <w:rPr>
          <w:rFonts w:asciiTheme="minorHAnsi" w:hAnsiTheme="minorHAnsi" w:cstheme="minorHAnsi"/>
          <w:sz w:val="22"/>
          <w:szCs w:val="22"/>
        </w:rPr>
        <w:t xml:space="preserve"> (Bureau of Labor Statistics </w:t>
      </w:r>
      <w:r w:rsidR="0032109D">
        <w:rPr>
          <w:rFonts w:asciiTheme="minorHAnsi" w:hAnsiTheme="minorHAnsi" w:cstheme="minorHAnsi"/>
          <w:sz w:val="22"/>
          <w:szCs w:val="22"/>
        </w:rPr>
        <w:t>202</w:t>
      </w:r>
      <w:r w:rsidR="00957DA2">
        <w:rPr>
          <w:rFonts w:asciiTheme="minorHAnsi" w:hAnsiTheme="minorHAnsi" w:cstheme="minorHAnsi"/>
          <w:sz w:val="22"/>
          <w:szCs w:val="22"/>
        </w:rPr>
        <w:t>1</w:t>
      </w:r>
      <w:r w:rsidRPr="005B29A4">
        <w:rPr>
          <w:rFonts w:asciiTheme="minorHAnsi" w:hAnsiTheme="minorHAnsi" w:cstheme="minorHAnsi"/>
          <w:sz w:val="22"/>
          <w:szCs w:val="22"/>
        </w:rPr>
        <w:t>). For each instrument included in Table A.</w:t>
      </w:r>
      <w:r w:rsidR="00A07D25">
        <w:rPr>
          <w:rFonts w:asciiTheme="minorHAnsi" w:hAnsiTheme="minorHAnsi" w:cstheme="minorHAnsi"/>
          <w:sz w:val="22"/>
          <w:szCs w:val="22"/>
        </w:rPr>
        <w:t>3</w:t>
      </w:r>
      <w:r w:rsidRPr="005B29A4">
        <w:rPr>
          <w:rFonts w:asciiTheme="minorHAnsi" w:hAnsiTheme="minorHAnsi" w:cstheme="minorHAnsi"/>
          <w:sz w:val="22"/>
          <w:szCs w:val="22"/>
        </w:rPr>
        <w:t xml:space="preserve">, we calculated the total annual cost by multiplying the </w:t>
      </w:r>
      <w:r w:rsidR="00AA3698">
        <w:rPr>
          <w:rFonts w:asciiTheme="minorHAnsi" w:hAnsiTheme="minorHAnsi" w:cstheme="minorHAnsi"/>
          <w:sz w:val="22"/>
          <w:szCs w:val="22"/>
        </w:rPr>
        <w:t xml:space="preserve">number of </w:t>
      </w:r>
      <w:r w:rsidRPr="005B29A4">
        <w:rPr>
          <w:rFonts w:asciiTheme="minorHAnsi" w:hAnsiTheme="minorHAnsi" w:cstheme="minorHAnsi"/>
          <w:sz w:val="22"/>
          <w:szCs w:val="22"/>
        </w:rPr>
        <w:t xml:space="preserve">annual burden hours </w:t>
      </w:r>
      <w:r w:rsidR="00AA3698">
        <w:rPr>
          <w:rFonts w:asciiTheme="minorHAnsi" w:hAnsiTheme="minorHAnsi" w:cstheme="minorHAnsi"/>
          <w:sz w:val="22"/>
          <w:szCs w:val="22"/>
        </w:rPr>
        <w:t>by</w:t>
      </w:r>
      <w:r w:rsidRPr="005B29A4" w:rsidR="00AA3698">
        <w:rPr>
          <w:rFonts w:asciiTheme="minorHAnsi" w:hAnsiTheme="minorHAnsi" w:cstheme="minorHAnsi"/>
          <w:sz w:val="22"/>
          <w:szCs w:val="22"/>
        </w:rPr>
        <w:t xml:space="preserve"> </w:t>
      </w:r>
      <w:r w:rsidRPr="005B29A4">
        <w:rPr>
          <w:rFonts w:asciiTheme="minorHAnsi" w:hAnsiTheme="minorHAnsi" w:cstheme="minorHAnsi"/>
          <w:sz w:val="22"/>
          <w:szCs w:val="22"/>
        </w:rPr>
        <w:t>the average hourly wage.</w:t>
      </w:r>
    </w:p>
    <w:p w:rsidRPr="00DE4B5D" w:rsidR="001D1C73" w:rsidP="00D66C51" w:rsidRDefault="00BC415C" w14:paraId="1DA4EFA8" w14:textId="4A1EB3F0">
      <w:pPr>
        <w:pStyle w:val="NormalSS"/>
        <w:ind w:firstLine="0"/>
        <w:rPr>
          <w:rFonts w:asciiTheme="minorHAnsi" w:hAnsiTheme="minorHAnsi" w:cstheme="minorHAnsi"/>
          <w:sz w:val="22"/>
          <w:szCs w:val="22"/>
        </w:rPr>
      </w:pPr>
      <w:r w:rsidRPr="005B29A4">
        <w:rPr>
          <w:rFonts w:asciiTheme="minorHAnsi" w:hAnsiTheme="minorHAnsi" w:cstheme="minorHAnsi"/>
          <w:sz w:val="22"/>
          <w:szCs w:val="22"/>
        </w:rPr>
        <w:t xml:space="preserve">For program directors </w:t>
      </w:r>
      <w:r w:rsidR="00DE4B5D">
        <w:rPr>
          <w:rFonts w:asciiTheme="minorHAnsi" w:hAnsiTheme="minorHAnsi" w:cstheme="minorHAnsi"/>
          <w:sz w:val="22"/>
          <w:szCs w:val="22"/>
        </w:rPr>
        <w:t>and partnership provider staff</w:t>
      </w:r>
      <w:r w:rsidRPr="005B29A4">
        <w:rPr>
          <w:rFonts w:asciiTheme="minorHAnsi" w:hAnsiTheme="minorHAnsi" w:cstheme="minorHAnsi"/>
          <w:sz w:val="22"/>
          <w:szCs w:val="22"/>
        </w:rPr>
        <w:t>, we used the median usual weekly earnings for full-time wage and salary workers age 25 and older with a bachelor’s degree or higher</w:t>
      </w:r>
      <w:r w:rsidR="003F1809">
        <w:rPr>
          <w:rFonts w:asciiTheme="minorHAnsi" w:hAnsiTheme="minorHAnsi" w:cstheme="minorHAnsi"/>
          <w:sz w:val="22"/>
          <w:szCs w:val="22"/>
        </w:rPr>
        <w:t>.</w:t>
      </w:r>
      <w:r w:rsidRPr="005B29A4">
        <w:rPr>
          <w:rFonts w:asciiTheme="minorHAnsi" w:hAnsiTheme="minorHAnsi" w:cstheme="minorHAnsi"/>
          <w:sz w:val="22"/>
          <w:szCs w:val="22"/>
        </w:rPr>
        <w:t xml:space="preserve"> We divided weekly earnings by 40 hours to calculate hourly wages</w:t>
      </w:r>
      <w:r w:rsidR="003F1809">
        <w:rPr>
          <w:rFonts w:asciiTheme="minorHAnsi" w:hAnsiTheme="minorHAnsi" w:cstheme="minorHAnsi"/>
          <w:sz w:val="22"/>
          <w:szCs w:val="22"/>
        </w:rPr>
        <w:t xml:space="preserve"> </w:t>
      </w:r>
      <w:r w:rsidRPr="005B29A4" w:rsidR="003F1809">
        <w:rPr>
          <w:rFonts w:asciiTheme="minorHAnsi" w:hAnsiTheme="minorHAnsi" w:cstheme="minorHAnsi"/>
          <w:sz w:val="22"/>
          <w:szCs w:val="22"/>
        </w:rPr>
        <w:t>($</w:t>
      </w:r>
      <w:r w:rsidR="003F1809">
        <w:rPr>
          <w:rFonts w:asciiTheme="minorHAnsi" w:hAnsiTheme="minorHAnsi" w:cstheme="minorHAnsi"/>
          <w:sz w:val="22"/>
          <w:szCs w:val="22"/>
        </w:rPr>
        <w:t>3</w:t>
      </w:r>
      <w:r w:rsidR="00767E4A">
        <w:rPr>
          <w:rFonts w:asciiTheme="minorHAnsi" w:hAnsiTheme="minorHAnsi" w:cstheme="minorHAnsi"/>
          <w:sz w:val="22"/>
          <w:szCs w:val="22"/>
        </w:rPr>
        <w:t>5.65</w:t>
      </w:r>
      <w:r w:rsidRPr="005B29A4" w:rsidR="003F1809">
        <w:rPr>
          <w:rFonts w:asciiTheme="minorHAnsi" w:hAnsiTheme="minorHAnsi" w:cstheme="minorHAnsi"/>
          <w:sz w:val="22"/>
          <w:szCs w:val="22"/>
        </w:rPr>
        <w:t xml:space="preserve"> per hour). </w:t>
      </w:r>
    </w:p>
    <w:p w:rsidRPr="0024795A" w:rsidR="001D1C73" w:rsidP="005C6BFE" w:rsidRDefault="001D1C73" w14:paraId="730F9427" w14:textId="77777777">
      <w:pPr>
        <w:tabs>
          <w:tab w:val="left" w:pos="630"/>
        </w:tabs>
        <w:spacing w:after="120" w:line="240" w:lineRule="auto"/>
        <w:ind w:left="630" w:hanging="630"/>
        <w:rPr>
          <w:b/>
        </w:rPr>
      </w:pPr>
      <w:r w:rsidRPr="0024795A">
        <w:rPr>
          <w:b/>
        </w:rPr>
        <w:t>A13.</w:t>
      </w:r>
      <w:r w:rsidRPr="0024795A">
        <w:rPr>
          <w:b/>
        </w:rPr>
        <w:tab/>
        <w:t>Costs</w:t>
      </w:r>
    </w:p>
    <w:p w:rsidRPr="009139B3" w:rsidR="001D1C73" w:rsidP="00D66C51" w:rsidRDefault="003F1809" w14:paraId="01ADACD0" w14:textId="506A0105">
      <w:pPr>
        <w:autoSpaceDE w:val="0"/>
        <w:autoSpaceDN w:val="0"/>
        <w:adjustRightInd w:val="0"/>
        <w:spacing w:after="240" w:line="240" w:lineRule="auto"/>
        <w:rPr>
          <w:rFonts w:cstheme="minorHAnsi"/>
        </w:rPr>
      </w:pPr>
      <w:r w:rsidRPr="003F1809">
        <w:rPr>
          <w:rFonts w:cstheme="minorHAnsi"/>
        </w:rPr>
        <w:t>There are no start-up costs for respondents</w:t>
      </w:r>
      <w:r w:rsidR="00DE4B5D">
        <w:rPr>
          <w:rFonts w:cstheme="minorHAnsi"/>
        </w:rPr>
        <w:t xml:space="preserve">. </w:t>
      </w:r>
    </w:p>
    <w:p w:rsidR="005C6BFE" w:rsidP="00D66C51" w:rsidRDefault="001D1C73" w14:paraId="58A5BFF2" w14:textId="60AE6938">
      <w:pPr>
        <w:tabs>
          <w:tab w:val="left" w:pos="630"/>
        </w:tabs>
        <w:spacing w:after="120" w:line="240" w:lineRule="auto"/>
        <w:ind w:left="630" w:hanging="630"/>
        <w:rPr>
          <w:rFonts w:cstheme="minorHAnsi"/>
          <w:b/>
          <w:bCs/>
        </w:rPr>
      </w:pPr>
      <w:r w:rsidRPr="0024795A">
        <w:rPr>
          <w:b/>
        </w:rPr>
        <w:lastRenderedPageBreak/>
        <w:t>A14.</w:t>
      </w:r>
      <w:r w:rsidRPr="0024795A">
        <w:rPr>
          <w:b/>
        </w:rPr>
        <w:tab/>
        <w:t xml:space="preserve">Estimated Annualized Costs to the Federal Government </w:t>
      </w:r>
    </w:p>
    <w:p w:rsidRPr="009139B3" w:rsidR="001D1C73" w:rsidP="001D1C73" w:rsidRDefault="005621AA" w14:paraId="30A9FAE4" w14:textId="164E65D8">
      <w:pPr>
        <w:spacing w:after="0"/>
      </w:pPr>
      <w:bookmarkStart w:name="_Hlk73438598" w:id="1"/>
      <w:r w:rsidRPr="00E510C1">
        <w:rPr>
          <w:rFonts w:cstheme="minorHAnsi"/>
          <w:b/>
          <w:bCs/>
        </w:rPr>
        <w:t>Table A.</w:t>
      </w:r>
      <w:r>
        <w:rPr>
          <w:rFonts w:cstheme="minorHAnsi"/>
          <w:b/>
          <w:bCs/>
        </w:rPr>
        <w:t>4</w:t>
      </w:r>
      <w:r w:rsidRPr="00E510C1">
        <w:rPr>
          <w:rFonts w:cstheme="minorHAnsi"/>
          <w:b/>
          <w:bCs/>
        </w:rPr>
        <w:t xml:space="preserve">. </w:t>
      </w:r>
      <w:r w:rsidRPr="005621AA">
        <w:rPr>
          <w:rFonts w:cstheme="minorHAnsi"/>
          <w:b/>
          <w:bCs/>
        </w:rPr>
        <w:t>Estimated Annualized Costs to the Federal Government</w:t>
      </w:r>
    </w:p>
    <w:tbl>
      <w:tblPr>
        <w:tblW w:w="0" w:type="auto"/>
        <w:tblCellMar>
          <w:left w:w="0" w:type="dxa"/>
          <w:right w:w="0" w:type="dxa"/>
        </w:tblCellMar>
        <w:tblLook w:val="04A0" w:firstRow="1" w:lastRow="0" w:firstColumn="1" w:lastColumn="0" w:noHBand="0" w:noVBand="1"/>
      </w:tblPr>
      <w:tblGrid>
        <w:gridCol w:w="4878"/>
        <w:gridCol w:w="2250"/>
      </w:tblGrid>
      <w:tr w:rsidRPr="005C6BFE" w:rsidR="005C6BFE" w:rsidTr="005C6BFE" w14:paraId="03A6925A" w14:textId="77777777">
        <w:tc>
          <w:tcPr>
            <w:tcW w:w="4878" w:type="dxa"/>
            <w:tcBorders>
              <w:top w:val="single" w:color="auto" w:sz="8" w:space="0"/>
              <w:left w:val="single" w:color="auto" w:sz="8" w:space="0"/>
              <w:bottom w:val="single" w:color="auto" w:sz="8" w:space="0"/>
              <w:right w:val="single" w:color="auto" w:sz="8" w:space="0"/>
            </w:tcBorders>
            <w:shd w:val="clear" w:color="auto" w:fill="6C6F70"/>
            <w:tcMar>
              <w:top w:w="0" w:type="dxa"/>
              <w:left w:w="108" w:type="dxa"/>
              <w:bottom w:w="0" w:type="dxa"/>
              <w:right w:w="108" w:type="dxa"/>
            </w:tcMar>
            <w:hideMark/>
          </w:tcPr>
          <w:p w:rsidRPr="005C6BFE" w:rsidR="001D1C73" w:rsidP="005035D1" w:rsidRDefault="001D1C73" w14:paraId="040ACCEE" w14:textId="405C41D3">
            <w:pPr>
              <w:spacing w:after="0"/>
              <w:rPr>
                <w:b/>
                <w:bCs/>
                <w:color w:val="FFFFFF" w:themeColor="background1"/>
                <w:sz w:val="20"/>
              </w:rPr>
            </w:pPr>
            <w:r w:rsidRPr="005C6BFE">
              <w:rPr>
                <w:b/>
                <w:bCs/>
                <w:color w:val="FFFFFF" w:themeColor="background1"/>
                <w:sz w:val="20"/>
              </w:rPr>
              <w:t xml:space="preserve">Cost </w:t>
            </w:r>
            <w:r w:rsidRPr="005C6BFE" w:rsidR="00A6672D">
              <w:rPr>
                <w:b/>
                <w:bCs/>
                <w:color w:val="FFFFFF" w:themeColor="background1"/>
                <w:sz w:val="20"/>
              </w:rPr>
              <w:t>c</w:t>
            </w:r>
            <w:r w:rsidRPr="005C6BFE">
              <w:rPr>
                <w:b/>
                <w:bCs/>
                <w:color w:val="FFFFFF" w:themeColor="background1"/>
                <w:sz w:val="20"/>
              </w:rPr>
              <w:t>ategory</w:t>
            </w:r>
          </w:p>
        </w:tc>
        <w:tc>
          <w:tcPr>
            <w:tcW w:w="2250" w:type="dxa"/>
            <w:tcBorders>
              <w:top w:val="single" w:color="auto" w:sz="8" w:space="0"/>
              <w:left w:val="nil"/>
              <w:bottom w:val="single" w:color="auto" w:sz="8" w:space="0"/>
              <w:right w:val="single" w:color="auto" w:sz="8" w:space="0"/>
            </w:tcBorders>
            <w:shd w:val="clear" w:color="auto" w:fill="6C6F70"/>
            <w:tcMar>
              <w:top w:w="0" w:type="dxa"/>
              <w:left w:w="108" w:type="dxa"/>
              <w:bottom w:w="0" w:type="dxa"/>
              <w:right w:w="108" w:type="dxa"/>
            </w:tcMar>
            <w:hideMark/>
          </w:tcPr>
          <w:p w:rsidRPr="005C6BFE" w:rsidR="001D1C73" w:rsidP="005035D1" w:rsidRDefault="001D1C73" w14:paraId="2D64809B" w14:textId="2E560DDA">
            <w:pPr>
              <w:spacing w:after="0"/>
              <w:jc w:val="center"/>
              <w:rPr>
                <w:b/>
                <w:bCs/>
                <w:color w:val="FFFFFF" w:themeColor="background1"/>
                <w:sz w:val="20"/>
              </w:rPr>
            </w:pPr>
            <w:r w:rsidRPr="005C6BFE">
              <w:rPr>
                <w:b/>
                <w:bCs/>
                <w:color w:val="FFFFFF" w:themeColor="background1"/>
                <w:sz w:val="20"/>
              </w:rPr>
              <w:t xml:space="preserve">Estimated </w:t>
            </w:r>
            <w:r w:rsidRPr="005C6BFE" w:rsidR="00A6672D">
              <w:rPr>
                <w:b/>
                <w:bCs/>
                <w:color w:val="FFFFFF" w:themeColor="background1"/>
                <w:sz w:val="20"/>
              </w:rPr>
              <w:t>c</w:t>
            </w:r>
            <w:r w:rsidRPr="005C6BFE">
              <w:rPr>
                <w:b/>
                <w:bCs/>
                <w:color w:val="FFFFFF" w:themeColor="background1"/>
                <w:sz w:val="20"/>
              </w:rPr>
              <w:t>osts</w:t>
            </w:r>
          </w:p>
        </w:tc>
      </w:tr>
      <w:tr w:rsidRPr="009139B3" w:rsidR="001D1C73" w:rsidTr="005035D1" w14:paraId="20564B7A"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1D1C73" w:rsidP="005035D1" w:rsidRDefault="001D1C73" w14:paraId="28494A95" w14:textId="77777777">
            <w:pPr>
              <w:spacing w:after="0"/>
              <w:rPr>
                <w:sz w:val="20"/>
              </w:rPr>
            </w:pPr>
            <w:r w:rsidRPr="009139B3">
              <w:rPr>
                <w:sz w:val="20"/>
              </w:rP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1D1C73" w:rsidP="005035D1" w:rsidRDefault="001D1C73" w14:paraId="1EBEFF56" w14:textId="3C02044A">
            <w:pPr>
              <w:spacing w:after="0"/>
              <w:jc w:val="center"/>
              <w:rPr>
                <w:sz w:val="20"/>
              </w:rPr>
            </w:pPr>
            <w:r w:rsidRPr="009139B3">
              <w:rPr>
                <w:sz w:val="20"/>
              </w:rPr>
              <w:t>$</w:t>
            </w:r>
            <w:r w:rsidR="001B3688">
              <w:rPr>
                <w:sz w:val="20"/>
              </w:rPr>
              <w:t>22</w:t>
            </w:r>
            <w:r w:rsidR="00F90D5E">
              <w:rPr>
                <w:sz w:val="20"/>
              </w:rPr>
              <w:t>9</w:t>
            </w:r>
            <w:r w:rsidR="001B3688">
              <w:rPr>
                <w:sz w:val="20"/>
              </w:rPr>
              <w:t>,</w:t>
            </w:r>
            <w:r w:rsidR="00F90D5E">
              <w:rPr>
                <w:sz w:val="20"/>
              </w:rPr>
              <w:t>403</w:t>
            </w:r>
          </w:p>
        </w:tc>
      </w:tr>
      <w:tr w:rsidRPr="009139B3" w:rsidR="001D1C73" w:rsidTr="005035D1" w14:paraId="15425C4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1D1C73" w:rsidP="005035D1" w:rsidRDefault="001D1C73" w14:paraId="299A5ADE" w14:textId="77777777">
            <w:pPr>
              <w:spacing w:after="0"/>
              <w:rPr>
                <w:rFonts w:ascii="Calibri" w:hAnsi="Calibri" w:eastAsia="Calibri" w:cs="Calibri"/>
                <w:sz w:val="20"/>
              </w:rPr>
            </w:pPr>
            <w:r w:rsidRPr="009139B3">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1D1C73" w:rsidP="005035D1" w:rsidRDefault="001D1C73" w14:paraId="219CBE6F" w14:textId="095C28AD">
            <w:pPr>
              <w:spacing w:after="0"/>
              <w:jc w:val="center"/>
              <w:rPr>
                <w:sz w:val="20"/>
              </w:rPr>
            </w:pPr>
            <w:r w:rsidRPr="009139B3">
              <w:rPr>
                <w:sz w:val="20"/>
              </w:rPr>
              <w:t>$</w:t>
            </w:r>
            <w:r w:rsidR="001B3688">
              <w:rPr>
                <w:sz w:val="20"/>
              </w:rPr>
              <w:t>5</w:t>
            </w:r>
            <w:r w:rsidR="00F90D5E">
              <w:rPr>
                <w:sz w:val="20"/>
              </w:rPr>
              <w:t>51</w:t>
            </w:r>
            <w:r w:rsidR="001B3688">
              <w:rPr>
                <w:sz w:val="20"/>
              </w:rPr>
              <w:t>,</w:t>
            </w:r>
            <w:r w:rsidR="00F90D5E">
              <w:rPr>
                <w:sz w:val="20"/>
              </w:rPr>
              <w:t>733</w:t>
            </w:r>
          </w:p>
        </w:tc>
      </w:tr>
      <w:tr w:rsidRPr="009139B3" w:rsidR="001D1C73" w:rsidTr="005035D1" w14:paraId="71F20FD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1D1C73" w:rsidP="005035D1" w:rsidRDefault="001D1C73" w14:paraId="2DD9D85F" w14:textId="77777777">
            <w:pPr>
              <w:spacing w:after="0"/>
              <w:rPr>
                <w:sz w:val="20"/>
              </w:rPr>
            </w:pPr>
            <w:r w:rsidRPr="009139B3">
              <w:rPr>
                <w:sz w:val="20"/>
              </w:rPr>
              <w:t>Analysis</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1D1C73" w:rsidP="005035D1" w:rsidRDefault="001D1C73" w14:paraId="194E752D" w14:textId="74DDB9CC">
            <w:pPr>
              <w:spacing w:after="0"/>
              <w:jc w:val="center"/>
              <w:rPr>
                <w:sz w:val="20"/>
              </w:rPr>
            </w:pPr>
            <w:r w:rsidRPr="009139B3">
              <w:rPr>
                <w:sz w:val="20"/>
              </w:rPr>
              <w:t>$</w:t>
            </w:r>
            <w:r w:rsidR="001B3688">
              <w:rPr>
                <w:sz w:val="20"/>
              </w:rPr>
              <w:t>3</w:t>
            </w:r>
            <w:r w:rsidR="00F90D5E">
              <w:rPr>
                <w:sz w:val="20"/>
              </w:rPr>
              <w:t>17,210</w:t>
            </w:r>
          </w:p>
        </w:tc>
      </w:tr>
      <w:tr w:rsidRPr="009139B3" w:rsidR="001D1C73" w:rsidTr="005035D1" w14:paraId="19E4F024"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9139B3" w:rsidR="001D1C73" w:rsidP="005035D1" w:rsidRDefault="001D1C73" w14:paraId="6E55C846" w14:textId="77777777">
            <w:pPr>
              <w:spacing w:after="0"/>
              <w:rPr>
                <w:rFonts w:ascii="Calibri" w:hAnsi="Calibri" w:eastAsia="Calibri" w:cs="Calibri"/>
                <w:sz w:val="20"/>
              </w:rPr>
            </w:pPr>
            <w:r w:rsidRPr="009139B3">
              <w:rPr>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9139B3" w:rsidR="001D1C73" w:rsidP="005035D1" w:rsidRDefault="001D1C73" w14:paraId="6BF10F4D" w14:textId="419E4169">
            <w:pPr>
              <w:spacing w:after="0"/>
              <w:jc w:val="center"/>
              <w:rPr>
                <w:sz w:val="20"/>
              </w:rPr>
            </w:pPr>
            <w:r w:rsidRPr="009139B3">
              <w:rPr>
                <w:sz w:val="20"/>
              </w:rPr>
              <w:t>$</w:t>
            </w:r>
            <w:r w:rsidR="001B3688">
              <w:rPr>
                <w:sz w:val="20"/>
              </w:rPr>
              <w:t>19</w:t>
            </w:r>
            <w:r w:rsidR="00F90D5E">
              <w:rPr>
                <w:sz w:val="20"/>
              </w:rPr>
              <w:t>9</w:t>
            </w:r>
            <w:r w:rsidR="001B3688">
              <w:rPr>
                <w:sz w:val="20"/>
              </w:rPr>
              <w:t>,</w:t>
            </w:r>
            <w:r w:rsidR="00F90D5E">
              <w:rPr>
                <w:sz w:val="20"/>
              </w:rPr>
              <w:t>151</w:t>
            </w:r>
          </w:p>
        </w:tc>
      </w:tr>
      <w:tr w:rsidRPr="009139B3" w:rsidR="001D1C73" w:rsidTr="005035D1" w14:paraId="35F03C17"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5035D1" w:rsidRDefault="001D1C73" w14:paraId="7EDD4F98" w14:textId="77777777">
            <w:pPr>
              <w:spacing w:after="0"/>
              <w:jc w:val="right"/>
              <w:rPr>
                <w:rFonts w:ascii="Calibri" w:hAnsi="Calibri" w:eastAsia="Calibri" w:cs="Calibri"/>
                <w:b/>
                <w:bCs/>
                <w:sz w:val="20"/>
              </w:rPr>
            </w:pPr>
            <w:r w:rsidRPr="009139B3">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5035D1" w:rsidRDefault="001D1C73" w14:paraId="0B43751B" w14:textId="10FF5183">
            <w:pPr>
              <w:spacing w:after="0"/>
              <w:jc w:val="center"/>
              <w:rPr>
                <w:b/>
                <w:bCs/>
                <w:sz w:val="20"/>
              </w:rPr>
            </w:pPr>
            <w:r w:rsidRPr="009139B3">
              <w:rPr>
                <w:sz w:val="20"/>
              </w:rPr>
              <w:t>$</w:t>
            </w:r>
            <w:r w:rsidR="004138FC">
              <w:rPr>
                <w:sz w:val="20"/>
              </w:rPr>
              <w:t>1,297,497</w:t>
            </w:r>
          </w:p>
        </w:tc>
      </w:tr>
      <w:tr w:rsidRPr="009139B3" w:rsidR="001D1C73" w:rsidTr="005035D1" w14:paraId="4590F9AC"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1D1C73" w:rsidP="005035D1" w:rsidRDefault="001D1C73" w14:paraId="5C3E096F" w14:textId="77777777">
            <w:pPr>
              <w:spacing w:after="0"/>
              <w:jc w:val="right"/>
              <w:rPr>
                <w:b/>
                <w:bCs/>
                <w:sz w:val="20"/>
              </w:rPr>
            </w:pPr>
            <w:r w:rsidRPr="009139B3">
              <w:rPr>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1D1C73" w:rsidP="005035D1" w:rsidRDefault="001D1C73" w14:paraId="52FCC150" w14:textId="363DF6B0">
            <w:pPr>
              <w:spacing w:after="0"/>
              <w:jc w:val="center"/>
              <w:rPr>
                <w:b/>
                <w:bCs/>
                <w:sz w:val="20"/>
              </w:rPr>
            </w:pPr>
            <w:r w:rsidRPr="009139B3">
              <w:rPr>
                <w:sz w:val="20"/>
              </w:rPr>
              <w:t>$</w:t>
            </w:r>
            <w:r w:rsidR="004138FC">
              <w:rPr>
                <w:sz w:val="20"/>
              </w:rPr>
              <w:t>432,499</w:t>
            </w:r>
          </w:p>
        </w:tc>
      </w:tr>
      <w:bookmarkEnd w:id="1"/>
    </w:tbl>
    <w:p w:rsidRPr="009139B3" w:rsidR="001D1C73" w:rsidP="001D1C73" w:rsidRDefault="001D1C73" w14:paraId="628BD691" w14:textId="77777777">
      <w:pPr>
        <w:spacing w:after="0"/>
        <w:rPr>
          <w:rFonts w:ascii="Calibri" w:hAnsi="Calibri" w:eastAsia="Calibri" w:cs="Calibri"/>
          <w:color w:val="1F497D"/>
        </w:rPr>
      </w:pPr>
    </w:p>
    <w:p w:rsidRPr="0024795A" w:rsidR="001D1C73" w:rsidP="0024795A" w:rsidRDefault="001D1C73" w14:paraId="766F8004" w14:textId="4CEA1598">
      <w:pPr>
        <w:tabs>
          <w:tab w:val="left" w:pos="630"/>
        </w:tabs>
        <w:spacing w:after="120" w:line="240" w:lineRule="auto"/>
        <w:ind w:left="630" w:hanging="630"/>
        <w:rPr>
          <w:b/>
        </w:rPr>
      </w:pPr>
      <w:r w:rsidRPr="0024795A">
        <w:rPr>
          <w:b/>
        </w:rPr>
        <w:t>A15.</w:t>
      </w:r>
      <w:r w:rsidRPr="0024795A">
        <w:rPr>
          <w:b/>
        </w:rPr>
        <w:tab/>
        <w:t xml:space="preserve">Reasons for changes in burden </w:t>
      </w:r>
    </w:p>
    <w:p w:rsidRPr="00E52555" w:rsidR="001D1C73" w:rsidP="00D66C51" w:rsidRDefault="00E52555" w14:paraId="40BE8BE3" w14:textId="5B53D039">
      <w:pPr>
        <w:pStyle w:val="NormalSS"/>
        <w:ind w:firstLine="0"/>
        <w:rPr>
          <w:rFonts w:asciiTheme="minorHAnsi" w:hAnsiTheme="minorHAnsi" w:cstheme="minorHAnsi"/>
          <w:sz w:val="22"/>
          <w:szCs w:val="22"/>
        </w:rPr>
      </w:pPr>
      <w:r w:rsidRPr="005B29A4">
        <w:rPr>
          <w:rFonts w:asciiTheme="minorHAnsi" w:hAnsiTheme="minorHAnsi" w:cstheme="minorHAnsi"/>
          <w:sz w:val="22"/>
          <w:szCs w:val="22"/>
        </w:rPr>
        <w:t>This is an additional information collection request under OMB control number 0970-0</w:t>
      </w:r>
      <w:r w:rsidR="009143FE">
        <w:rPr>
          <w:rFonts w:asciiTheme="minorHAnsi" w:hAnsiTheme="minorHAnsi" w:cstheme="minorHAnsi"/>
          <w:sz w:val="22"/>
          <w:szCs w:val="22"/>
        </w:rPr>
        <w:t>471</w:t>
      </w:r>
      <w:r w:rsidRPr="005B29A4">
        <w:rPr>
          <w:rFonts w:asciiTheme="minorHAnsi" w:hAnsiTheme="minorHAnsi" w:cstheme="minorHAnsi"/>
          <w:sz w:val="22"/>
          <w:szCs w:val="22"/>
        </w:rPr>
        <w:t>.</w:t>
      </w:r>
    </w:p>
    <w:p w:rsidRPr="0024795A" w:rsidR="001D1C73" w:rsidP="00D66C51" w:rsidRDefault="001D1C73" w14:paraId="69096039" w14:textId="77777777">
      <w:pPr>
        <w:tabs>
          <w:tab w:val="left" w:pos="630"/>
          <w:tab w:val="left" w:pos="2790"/>
        </w:tabs>
        <w:spacing w:after="120" w:line="240" w:lineRule="auto"/>
        <w:ind w:left="630" w:hanging="630"/>
        <w:rPr>
          <w:b/>
        </w:rPr>
      </w:pPr>
      <w:r w:rsidRPr="0024795A">
        <w:rPr>
          <w:b/>
        </w:rPr>
        <w:t>A16.</w:t>
      </w:r>
      <w:r w:rsidRPr="0024795A">
        <w:rPr>
          <w:b/>
        </w:rPr>
        <w:tab/>
        <w:t>Timeline</w:t>
      </w:r>
    </w:p>
    <w:p w:rsidRPr="005B29A4" w:rsidR="00E52555" w:rsidP="00D66C51" w:rsidRDefault="00E52555" w14:paraId="036ABCD2" w14:textId="15185EC9">
      <w:pPr>
        <w:pStyle w:val="NormalSS"/>
        <w:spacing w:after="120"/>
        <w:ind w:firstLine="0"/>
      </w:pPr>
      <w:r w:rsidRPr="005B29A4">
        <w:rPr>
          <w:rFonts w:asciiTheme="minorHAnsi" w:hAnsiTheme="minorHAnsi" w:cstheme="minorHAnsi"/>
          <w:sz w:val="22"/>
          <w:szCs w:val="22"/>
        </w:rPr>
        <w:t xml:space="preserve">Table A.5 contains the timeline for the data collection and reporting activities. Data collection is expected to occur </w:t>
      </w:r>
      <w:r w:rsidR="00490AED">
        <w:rPr>
          <w:rFonts w:asciiTheme="minorHAnsi" w:hAnsiTheme="minorHAnsi" w:cstheme="minorHAnsi"/>
          <w:sz w:val="22"/>
          <w:szCs w:val="22"/>
        </w:rPr>
        <w:t>during the summer and fall of 2021</w:t>
      </w:r>
      <w:r w:rsidRPr="005B29A4">
        <w:rPr>
          <w:rFonts w:asciiTheme="minorHAnsi" w:hAnsiTheme="minorHAnsi" w:cstheme="minorHAnsi"/>
          <w:sz w:val="22"/>
          <w:szCs w:val="22"/>
        </w:rPr>
        <w:t xml:space="preserve">. </w:t>
      </w:r>
      <w:bookmarkStart w:name="_Hlk76579860" w:id="2"/>
    </w:p>
    <w:p w:rsidRPr="00DE084B" w:rsidR="00D27280" w:rsidP="00D27280" w:rsidRDefault="00D27280" w14:paraId="4E290010" w14:textId="2F362D82">
      <w:pPr>
        <w:pStyle w:val="MarkforTableTitle"/>
        <w:rPr>
          <w:rFonts w:asciiTheme="minorHAnsi" w:hAnsiTheme="minorHAnsi" w:cstheme="minorHAnsi"/>
          <w:b/>
          <w:bCs/>
        </w:rPr>
      </w:pPr>
      <w:bookmarkStart w:name="_Toc487729342" w:id="3"/>
      <w:bookmarkEnd w:id="2"/>
      <w:r w:rsidRPr="00DE084B">
        <w:rPr>
          <w:rFonts w:asciiTheme="minorHAnsi" w:hAnsiTheme="minorHAnsi" w:cstheme="minorHAnsi"/>
          <w:b/>
          <w:bCs/>
        </w:rPr>
        <w:t xml:space="preserve">Table A.5. Schedule for </w:t>
      </w:r>
      <w:r w:rsidR="00DE084B">
        <w:rPr>
          <w:rFonts w:asciiTheme="minorHAnsi" w:hAnsiTheme="minorHAnsi" w:cstheme="minorHAnsi"/>
          <w:b/>
          <w:bCs/>
        </w:rPr>
        <w:t>Sustainability Study</w:t>
      </w:r>
      <w:r w:rsidRPr="00DE084B">
        <w:rPr>
          <w:rFonts w:asciiTheme="minorHAnsi" w:hAnsiTheme="minorHAnsi" w:cstheme="minorHAnsi"/>
          <w:b/>
          <w:bCs/>
        </w:rPr>
        <w:t xml:space="preserve"> data </w:t>
      </w:r>
      <w:r w:rsidR="005621AA">
        <w:rPr>
          <w:rFonts w:asciiTheme="minorHAnsi" w:hAnsiTheme="minorHAnsi" w:cstheme="minorHAnsi"/>
          <w:b/>
          <w:bCs/>
        </w:rPr>
        <w:t>C</w:t>
      </w:r>
      <w:r w:rsidRPr="00DE084B">
        <w:rPr>
          <w:rFonts w:asciiTheme="minorHAnsi" w:hAnsiTheme="minorHAnsi" w:cstheme="minorHAnsi"/>
          <w:b/>
          <w:bCs/>
        </w:rPr>
        <w:t>ollection</w:t>
      </w:r>
      <w:bookmarkEnd w:id="3"/>
      <w:r w:rsidRPr="00DE084B">
        <w:rPr>
          <w:rFonts w:asciiTheme="minorHAnsi" w:hAnsiTheme="minorHAnsi" w:cstheme="minorHAnsi"/>
          <w:b/>
          <w:bCs/>
        </w:rPr>
        <w:t xml:space="preserve"> and </w:t>
      </w:r>
      <w:r w:rsidR="005621AA">
        <w:rPr>
          <w:rFonts w:asciiTheme="minorHAnsi" w:hAnsiTheme="minorHAnsi" w:cstheme="minorHAnsi"/>
          <w:b/>
          <w:bCs/>
        </w:rPr>
        <w:t>R</w:t>
      </w:r>
      <w:r w:rsidRPr="00DE084B">
        <w:rPr>
          <w:rFonts w:asciiTheme="minorHAnsi" w:hAnsiTheme="minorHAnsi" w:cstheme="minorHAnsi"/>
          <w:b/>
          <w:bCs/>
        </w:rPr>
        <w:t>eporting</w:t>
      </w:r>
    </w:p>
    <w:tbl>
      <w:tblPr>
        <w:tblW w:w="5000" w:type="pct"/>
        <w:tblLook w:val="0620" w:firstRow="1" w:lastRow="0" w:firstColumn="0" w:lastColumn="0" w:noHBand="1" w:noVBand="1"/>
      </w:tblPr>
      <w:tblGrid>
        <w:gridCol w:w="6299"/>
        <w:gridCol w:w="3061"/>
      </w:tblGrid>
      <w:tr w:rsidRPr="005C6BFE" w:rsidR="00D27280" w:rsidTr="001548A8" w14:paraId="0C411A19" w14:textId="77777777">
        <w:trPr>
          <w:tblHeader/>
        </w:trPr>
        <w:tc>
          <w:tcPr>
            <w:tcW w:w="3365" w:type="pct"/>
            <w:tcBorders>
              <w:top w:val="single" w:color="FFFFFF" w:sz="8" w:space="0"/>
            </w:tcBorders>
            <w:shd w:val="clear" w:color="auto" w:fill="6C6F70"/>
            <w:vAlign w:val="bottom"/>
          </w:tcPr>
          <w:p w:rsidRPr="005C6BFE" w:rsidR="00D27280" w:rsidP="001548A8" w:rsidRDefault="00D27280" w14:paraId="15F44D4B" w14:textId="77777777">
            <w:pPr>
              <w:pStyle w:val="TableHeaderLeft"/>
              <w:rPr>
                <w:rFonts w:asciiTheme="minorHAnsi" w:hAnsiTheme="minorHAnsi" w:cstheme="minorHAnsi"/>
                <w:b w:val="0"/>
                <w:bCs/>
                <w:sz w:val="20"/>
                <w:lang w:bidi="en-US"/>
              </w:rPr>
            </w:pPr>
            <w:r w:rsidRPr="005C6BFE">
              <w:rPr>
                <w:rFonts w:asciiTheme="minorHAnsi" w:hAnsiTheme="minorHAnsi" w:cstheme="minorHAnsi"/>
                <w:bCs/>
                <w:sz w:val="20"/>
                <w:lang w:bidi="en-US"/>
              </w:rPr>
              <w:t>Activity</w:t>
            </w:r>
          </w:p>
        </w:tc>
        <w:tc>
          <w:tcPr>
            <w:tcW w:w="1635" w:type="pct"/>
            <w:tcBorders>
              <w:top w:val="single" w:color="FFFFFF" w:sz="8" w:space="0"/>
            </w:tcBorders>
            <w:shd w:val="clear" w:color="auto" w:fill="6C6F70"/>
            <w:vAlign w:val="bottom"/>
          </w:tcPr>
          <w:p w:rsidRPr="005C6BFE" w:rsidR="00D27280" w:rsidP="001548A8" w:rsidRDefault="00B23797" w14:paraId="5845E3CD" w14:textId="496CC10E">
            <w:pPr>
              <w:pStyle w:val="TableHeaderCenter"/>
              <w:rPr>
                <w:rFonts w:asciiTheme="minorHAnsi" w:hAnsiTheme="minorHAnsi" w:cstheme="minorHAnsi"/>
                <w:b w:val="0"/>
                <w:bCs/>
                <w:sz w:val="20"/>
                <w:vertAlign w:val="superscript"/>
                <w:lang w:bidi="en-US"/>
              </w:rPr>
            </w:pPr>
            <w:r>
              <w:rPr>
                <w:rFonts w:asciiTheme="minorHAnsi" w:hAnsiTheme="minorHAnsi" w:cstheme="minorHAnsi"/>
                <w:bCs/>
                <w:sz w:val="20"/>
                <w:lang w:bidi="en-US"/>
              </w:rPr>
              <w:t>Start date</w:t>
            </w:r>
          </w:p>
        </w:tc>
      </w:tr>
      <w:tr w:rsidRPr="005C6BFE" w:rsidR="00D27280" w:rsidTr="001548A8" w14:paraId="4F0C3566" w14:textId="77777777">
        <w:tc>
          <w:tcPr>
            <w:tcW w:w="3365" w:type="pct"/>
            <w:shd w:val="clear" w:color="auto" w:fill="D9D9D9" w:themeFill="background1" w:themeFillShade="D9"/>
          </w:tcPr>
          <w:p w:rsidRPr="005C6BFE" w:rsidR="00D27280" w:rsidP="001548A8" w:rsidRDefault="00D27280" w14:paraId="12E2AF90" w14:textId="77777777">
            <w:pPr>
              <w:pStyle w:val="TableHeaderLeft"/>
              <w:spacing w:before="20" w:after="20"/>
              <w:rPr>
                <w:rFonts w:asciiTheme="minorHAnsi" w:hAnsiTheme="minorHAnsi" w:cstheme="minorHAnsi"/>
                <w:color w:val="auto"/>
                <w:sz w:val="20"/>
                <w:lang w:bidi="en-US"/>
              </w:rPr>
            </w:pPr>
            <w:r w:rsidRPr="005C6BFE">
              <w:rPr>
                <w:rFonts w:asciiTheme="minorHAnsi" w:hAnsiTheme="minorHAnsi" w:cstheme="minorHAnsi"/>
                <w:color w:val="auto"/>
                <w:sz w:val="20"/>
                <w:lang w:bidi="en-US"/>
              </w:rPr>
              <w:t>Data collection</w:t>
            </w:r>
          </w:p>
        </w:tc>
        <w:tc>
          <w:tcPr>
            <w:tcW w:w="1635" w:type="pct"/>
            <w:shd w:val="clear" w:color="auto" w:fill="D9D9D9" w:themeFill="background1" w:themeFillShade="D9"/>
          </w:tcPr>
          <w:p w:rsidRPr="005C6BFE" w:rsidR="00D27280" w:rsidP="001548A8" w:rsidRDefault="00D27280" w14:paraId="1D75E62E" w14:textId="77777777">
            <w:pPr>
              <w:pStyle w:val="TableHeaderLeft"/>
              <w:spacing w:before="20" w:after="20"/>
              <w:rPr>
                <w:rFonts w:asciiTheme="minorHAnsi" w:hAnsiTheme="minorHAnsi" w:cstheme="minorHAnsi"/>
                <w:color w:val="auto"/>
                <w:sz w:val="20"/>
                <w:lang w:bidi="en-US"/>
              </w:rPr>
            </w:pPr>
          </w:p>
        </w:tc>
      </w:tr>
      <w:tr w:rsidRPr="005C6BFE" w:rsidR="00D27280" w:rsidTr="001548A8" w14:paraId="365313B3" w14:textId="77777777">
        <w:tc>
          <w:tcPr>
            <w:tcW w:w="3365" w:type="pct"/>
            <w:shd w:val="clear" w:color="auto" w:fill="auto"/>
          </w:tcPr>
          <w:p w:rsidRPr="005C6BFE" w:rsidR="00D27280" w:rsidP="001548A8" w:rsidRDefault="007D62B2" w14:paraId="226956DC" w14:textId="74BBBDD9">
            <w:pPr>
              <w:pStyle w:val="TableText"/>
              <w:spacing w:before="20" w:after="20"/>
              <w:ind w:left="162"/>
              <w:rPr>
                <w:rFonts w:asciiTheme="minorHAnsi" w:hAnsiTheme="minorHAnsi" w:cstheme="minorHAnsi"/>
                <w:sz w:val="20"/>
                <w:lang w:bidi="en-US"/>
              </w:rPr>
            </w:pPr>
            <w:r w:rsidRPr="005C6BFE">
              <w:rPr>
                <w:rFonts w:asciiTheme="minorHAnsi" w:hAnsiTheme="minorHAnsi" w:cstheme="minorHAnsi"/>
                <w:sz w:val="20"/>
                <w:lang w:bidi="en-US"/>
              </w:rPr>
              <w:t>EHS program director survey</w:t>
            </w:r>
          </w:p>
        </w:tc>
        <w:tc>
          <w:tcPr>
            <w:tcW w:w="1635" w:type="pct"/>
            <w:shd w:val="clear" w:color="auto" w:fill="auto"/>
          </w:tcPr>
          <w:p w:rsidRPr="005C6BFE" w:rsidR="00D27280" w:rsidP="005C6BFE" w:rsidRDefault="00E106BE" w14:paraId="3E35F05E" w14:textId="193F53B1">
            <w:pPr>
              <w:pStyle w:val="TableText"/>
              <w:spacing w:before="20" w:after="20"/>
              <w:jc w:val="center"/>
              <w:rPr>
                <w:rFonts w:asciiTheme="minorHAnsi" w:hAnsiTheme="minorHAnsi" w:cstheme="minorHAnsi"/>
                <w:sz w:val="20"/>
                <w:lang w:bidi="en-US"/>
              </w:rPr>
            </w:pPr>
            <w:r>
              <w:rPr>
                <w:rFonts w:asciiTheme="minorHAnsi" w:hAnsiTheme="minorHAnsi" w:cstheme="minorHAnsi"/>
                <w:sz w:val="20"/>
                <w:lang w:bidi="en-US"/>
              </w:rPr>
              <w:t>Upon OMB approval</w:t>
            </w:r>
          </w:p>
        </w:tc>
      </w:tr>
      <w:tr w:rsidRPr="005C6BFE" w:rsidR="00FA0865" w:rsidTr="001548A8" w14:paraId="736E2249" w14:textId="77777777">
        <w:tc>
          <w:tcPr>
            <w:tcW w:w="3365" w:type="pct"/>
            <w:shd w:val="clear" w:color="auto" w:fill="auto"/>
          </w:tcPr>
          <w:p w:rsidRPr="005C6BFE" w:rsidR="00FA0865" w:rsidP="00FA0865" w:rsidRDefault="00FA0865" w14:paraId="2C2793CB" w14:textId="618E000E">
            <w:pPr>
              <w:pStyle w:val="TableText"/>
              <w:spacing w:before="20" w:after="20"/>
              <w:ind w:left="162"/>
              <w:rPr>
                <w:rFonts w:asciiTheme="minorHAnsi" w:hAnsiTheme="minorHAnsi" w:cstheme="minorHAnsi"/>
                <w:sz w:val="20"/>
                <w:lang w:bidi="en-US"/>
              </w:rPr>
            </w:pPr>
            <w:r w:rsidRPr="005C6BFE">
              <w:rPr>
                <w:rFonts w:asciiTheme="minorHAnsi" w:hAnsiTheme="minorHAnsi" w:cstheme="minorHAnsi"/>
                <w:sz w:val="20"/>
                <w:lang w:bidi="en-US"/>
              </w:rPr>
              <w:t>Provider surveys</w:t>
            </w:r>
          </w:p>
        </w:tc>
        <w:tc>
          <w:tcPr>
            <w:tcW w:w="1635" w:type="pct"/>
            <w:shd w:val="clear" w:color="auto" w:fill="auto"/>
          </w:tcPr>
          <w:p w:rsidRPr="005C6BFE" w:rsidR="00FA0865" w:rsidP="005C6BFE" w:rsidRDefault="00E106BE" w14:paraId="055D9D74" w14:textId="2D7A7336">
            <w:pPr>
              <w:pStyle w:val="TableText"/>
              <w:spacing w:before="20" w:after="20"/>
              <w:jc w:val="center"/>
              <w:rPr>
                <w:rFonts w:asciiTheme="minorHAnsi" w:hAnsiTheme="minorHAnsi" w:cstheme="minorHAnsi"/>
                <w:sz w:val="20"/>
                <w:lang w:bidi="en-US"/>
              </w:rPr>
            </w:pPr>
            <w:r>
              <w:rPr>
                <w:rFonts w:asciiTheme="minorHAnsi" w:hAnsiTheme="minorHAnsi" w:cstheme="minorHAnsi"/>
                <w:sz w:val="20"/>
                <w:lang w:bidi="en-US"/>
              </w:rPr>
              <w:t xml:space="preserve">One month after </w:t>
            </w:r>
            <w:r w:rsidR="00B23797">
              <w:rPr>
                <w:rFonts w:asciiTheme="minorHAnsi" w:hAnsiTheme="minorHAnsi" w:cstheme="minorHAnsi"/>
                <w:sz w:val="20"/>
                <w:lang w:bidi="en-US"/>
              </w:rPr>
              <w:t>start of EHS program director survey</w:t>
            </w:r>
          </w:p>
        </w:tc>
      </w:tr>
      <w:tr w:rsidRPr="005C6BFE" w:rsidR="00FA0865" w:rsidTr="001548A8" w14:paraId="013DA158" w14:textId="77777777">
        <w:tc>
          <w:tcPr>
            <w:tcW w:w="3365" w:type="pct"/>
            <w:shd w:val="clear" w:color="auto" w:fill="auto"/>
          </w:tcPr>
          <w:p w:rsidRPr="005C6BFE" w:rsidR="00FA0865" w:rsidP="00FA0865" w:rsidRDefault="00FA0865" w14:paraId="66C8DF92" w14:textId="703A45A8">
            <w:pPr>
              <w:pStyle w:val="TableText"/>
              <w:spacing w:before="20" w:after="20"/>
              <w:ind w:left="162"/>
              <w:rPr>
                <w:rFonts w:asciiTheme="minorHAnsi" w:hAnsiTheme="minorHAnsi" w:cstheme="minorHAnsi"/>
                <w:sz w:val="20"/>
                <w:lang w:bidi="en-US"/>
              </w:rPr>
            </w:pPr>
            <w:r w:rsidRPr="005C6BFE">
              <w:rPr>
                <w:rFonts w:asciiTheme="minorHAnsi" w:hAnsiTheme="minorHAnsi" w:cstheme="minorHAnsi"/>
                <w:sz w:val="20"/>
                <w:lang w:bidi="en-US"/>
              </w:rPr>
              <w:t>Dissolved and sustained partnership provider interviews</w:t>
            </w:r>
          </w:p>
        </w:tc>
        <w:tc>
          <w:tcPr>
            <w:tcW w:w="1635" w:type="pct"/>
            <w:shd w:val="clear" w:color="auto" w:fill="auto"/>
          </w:tcPr>
          <w:p w:rsidRPr="005C6BFE" w:rsidR="00FA0865" w:rsidP="005C6BFE" w:rsidRDefault="00E106BE" w14:paraId="4335C7C5" w14:textId="4DA2A426">
            <w:pPr>
              <w:pStyle w:val="TableText"/>
              <w:spacing w:before="20" w:after="20"/>
              <w:jc w:val="center"/>
              <w:rPr>
                <w:rFonts w:asciiTheme="minorHAnsi" w:hAnsiTheme="minorHAnsi" w:cstheme="minorHAnsi"/>
                <w:sz w:val="20"/>
                <w:lang w:bidi="en-US"/>
              </w:rPr>
            </w:pPr>
            <w:r>
              <w:rPr>
                <w:rFonts w:asciiTheme="minorHAnsi" w:hAnsiTheme="minorHAnsi" w:cstheme="minorHAnsi"/>
                <w:sz w:val="20"/>
                <w:lang w:bidi="en-US"/>
              </w:rPr>
              <w:t xml:space="preserve">Two months after </w:t>
            </w:r>
            <w:r w:rsidR="00B23797">
              <w:rPr>
                <w:rFonts w:asciiTheme="minorHAnsi" w:hAnsiTheme="minorHAnsi" w:cstheme="minorHAnsi"/>
                <w:sz w:val="20"/>
                <w:lang w:bidi="en-US"/>
              </w:rPr>
              <w:t>start of EHS program director survey</w:t>
            </w:r>
          </w:p>
        </w:tc>
      </w:tr>
      <w:tr w:rsidRPr="005C6BFE" w:rsidR="00FA0865" w:rsidTr="001548A8" w14:paraId="0A7CE80C" w14:textId="77777777">
        <w:tc>
          <w:tcPr>
            <w:tcW w:w="3365" w:type="pct"/>
            <w:shd w:val="clear" w:color="auto" w:fill="D9D9D9" w:themeFill="background1" w:themeFillShade="D9"/>
          </w:tcPr>
          <w:p w:rsidRPr="005C6BFE" w:rsidR="00FA0865" w:rsidP="00FA0865" w:rsidRDefault="00FA0865" w14:paraId="10D1CE82" w14:textId="77777777">
            <w:pPr>
              <w:pStyle w:val="TableHeaderLeft"/>
              <w:spacing w:before="20" w:after="20"/>
              <w:rPr>
                <w:rFonts w:asciiTheme="minorHAnsi" w:hAnsiTheme="minorHAnsi" w:cstheme="minorHAnsi"/>
                <w:color w:val="auto"/>
                <w:sz w:val="20"/>
                <w:lang w:bidi="en-US"/>
              </w:rPr>
            </w:pPr>
            <w:r w:rsidRPr="005C6BFE">
              <w:rPr>
                <w:rFonts w:asciiTheme="minorHAnsi" w:hAnsiTheme="minorHAnsi" w:cstheme="minorHAnsi"/>
                <w:color w:val="auto"/>
                <w:sz w:val="20"/>
                <w:lang w:bidi="en-US"/>
              </w:rPr>
              <w:t>Analysis</w:t>
            </w:r>
          </w:p>
        </w:tc>
        <w:tc>
          <w:tcPr>
            <w:tcW w:w="1635" w:type="pct"/>
            <w:shd w:val="clear" w:color="auto" w:fill="D9D9D9" w:themeFill="background1" w:themeFillShade="D9"/>
          </w:tcPr>
          <w:p w:rsidRPr="005C6BFE" w:rsidR="00FA0865" w:rsidP="005C6BFE" w:rsidRDefault="00FA0865" w14:paraId="5BEC120A" w14:textId="77777777">
            <w:pPr>
              <w:pStyle w:val="TableHeaderLeft"/>
              <w:spacing w:before="20" w:after="20"/>
              <w:jc w:val="center"/>
              <w:rPr>
                <w:rFonts w:asciiTheme="minorHAnsi" w:hAnsiTheme="minorHAnsi" w:cstheme="minorHAnsi"/>
                <w:color w:val="auto"/>
                <w:sz w:val="20"/>
                <w:lang w:bidi="en-US"/>
              </w:rPr>
            </w:pPr>
          </w:p>
        </w:tc>
      </w:tr>
      <w:tr w:rsidRPr="005C6BFE" w:rsidR="00FA0865" w:rsidTr="001548A8" w14:paraId="0E3E517C" w14:textId="77777777">
        <w:tc>
          <w:tcPr>
            <w:tcW w:w="3365" w:type="pct"/>
            <w:shd w:val="clear" w:color="auto" w:fill="auto"/>
          </w:tcPr>
          <w:p w:rsidRPr="005C6BFE" w:rsidR="00FA0865" w:rsidP="00FA0865" w:rsidRDefault="00FA0865" w14:paraId="74DEC2BD" w14:textId="77777777">
            <w:pPr>
              <w:pStyle w:val="TableText"/>
              <w:spacing w:before="20" w:after="20"/>
              <w:ind w:left="162"/>
              <w:rPr>
                <w:rFonts w:asciiTheme="minorHAnsi" w:hAnsiTheme="minorHAnsi" w:cstheme="minorHAnsi"/>
                <w:sz w:val="20"/>
                <w:lang w:bidi="en-US"/>
              </w:rPr>
            </w:pPr>
            <w:r w:rsidRPr="005C6BFE">
              <w:rPr>
                <w:rFonts w:asciiTheme="minorHAnsi" w:hAnsiTheme="minorHAnsi" w:cstheme="minorHAnsi"/>
                <w:sz w:val="20"/>
                <w:lang w:bidi="en-US"/>
              </w:rPr>
              <w:t>Data processing and analysis for data tables</w:t>
            </w:r>
          </w:p>
        </w:tc>
        <w:tc>
          <w:tcPr>
            <w:tcW w:w="1635" w:type="pct"/>
            <w:shd w:val="clear" w:color="auto" w:fill="auto"/>
          </w:tcPr>
          <w:p w:rsidRPr="005C6BFE" w:rsidR="00FA0865" w:rsidP="005C6BFE" w:rsidRDefault="008536D4" w14:paraId="20E1B736" w14:textId="73803538">
            <w:pPr>
              <w:pStyle w:val="TableText"/>
              <w:spacing w:before="20" w:after="20"/>
              <w:jc w:val="center"/>
              <w:rPr>
                <w:rFonts w:asciiTheme="minorHAnsi" w:hAnsiTheme="minorHAnsi" w:cstheme="minorHAnsi"/>
                <w:sz w:val="20"/>
                <w:lang w:bidi="en-US"/>
              </w:rPr>
            </w:pPr>
            <w:r>
              <w:rPr>
                <w:rFonts w:asciiTheme="minorHAnsi" w:hAnsiTheme="minorHAnsi" w:cstheme="minorHAnsi"/>
                <w:sz w:val="20"/>
                <w:lang w:bidi="en-US"/>
              </w:rPr>
              <w:t>Two months after the end of data collection</w:t>
            </w:r>
          </w:p>
        </w:tc>
      </w:tr>
      <w:tr w:rsidRPr="005C6BFE" w:rsidR="00FA0865" w:rsidTr="001548A8" w14:paraId="1F3EF8E4" w14:textId="77777777">
        <w:tc>
          <w:tcPr>
            <w:tcW w:w="3365" w:type="pct"/>
            <w:shd w:val="clear" w:color="auto" w:fill="auto"/>
          </w:tcPr>
          <w:p w:rsidRPr="005C6BFE" w:rsidR="00FA0865" w:rsidP="00FA0865" w:rsidRDefault="00FA0865" w14:paraId="07C8C4BD" w14:textId="77777777">
            <w:pPr>
              <w:pStyle w:val="TableText"/>
              <w:spacing w:before="20" w:after="20"/>
              <w:ind w:left="162"/>
              <w:rPr>
                <w:rFonts w:asciiTheme="minorHAnsi" w:hAnsiTheme="minorHAnsi" w:cstheme="minorHAnsi"/>
                <w:sz w:val="20"/>
                <w:lang w:bidi="en-US"/>
              </w:rPr>
            </w:pPr>
            <w:r w:rsidRPr="005C6BFE">
              <w:rPr>
                <w:rFonts w:asciiTheme="minorHAnsi" w:hAnsiTheme="minorHAnsi" w:cstheme="minorHAnsi"/>
                <w:sz w:val="20"/>
                <w:lang w:bidi="en-US"/>
              </w:rPr>
              <w:t>Data processing and analysis for final report</w:t>
            </w:r>
          </w:p>
        </w:tc>
        <w:tc>
          <w:tcPr>
            <w:tcW w:w="1635" w:type="pct"/>
            <w:shd w:val="clear" w:color="auto" w:fill="auto"/>
          </w:tcPr>
          <w:p w:rsidRPr="005C6BFE" w:rsidR="00FA0865" w:rsidP="005C6BFE" w:rsidRDefault="008536D4" w14:paraId="3C302D19" w14:textId="1886A95F">
            <w:pPr>
              <w:pStyle w:val="TableText"/>
              <w:spacing w:before="20" w:after="20"/>
              <w:jc w:val="center"/>
              <w:rPr>
                <w:rFonts w:asciiTheme="minorHAnsi" w:hAnsiTheme="minorHAnsi" w:cstheme="minorHAnsi"/>
                <w:sz w:val="20"/>
                <w:lang w:bidi="en-US"/>
              </w:rPr>
            </w:pPr>
            <w:r>
              <w:rPr>
                <w:rFonts w:asciiTheme="minorHAnsi" w:hAnsiTheme="minorHAnsi" w:cstheme="minorHAnsi"/>
                <w:sz w:val="20"/>
                <w:lang w:bidi="en-US"/>
              </w:rPr>
              <w:t>Two months after the end of data collection</w:t>
            </w:r>
          </w:p>
        </w:tc>
      </w:tr>
      <w:tr w:rsidRPr="005C6BFE" w:rsidR="00FA0865" w:rsidTr="001548A8" w14:paraId="47A57811" w14:textId="77777777">
        <w:tc>
          <w:tcPr>
            <w:tcW w:w="3365" w:type="pct"/>
            <w:shd w:val="clear" w:color="auto" w:fill="D9D9D9" w:themeFill="background1" w:themeFillShade="D9"/>
          </w:tcPr>
          <w:p w:rsidRPr="005C6BFE" w:rsidR="00FA0865" w:rsidP="00FA0865" w:rsidRDefault="00FA0865" w14:paraId="4DDF1061" w14:textId="77777777">
            <w:pPr>
              <w:pStyle w:val="TableHeaderLeft"/>
              <w:spacing w:before="20" w:after="20"/>
              <w:rPr>
                <w:rFonts w:asciiTheme="minorHAnsi" w:hAnsiTheme="minorHAnsi" w:cstheme="minorHAnsi"/>
                <w:color w:val="auto"/>
                <w:sz w:val="20"/>
                <w:lang w:bidi="en-US"/>
              </w:rPr>
            </w:pPr>
            <w:r w:rsidRPr="005C6BFE">
              <w:rPr>
                <w:rFonts w:asciiTheme="minorHAnsi" w:hAnsiTheme="minorHAnsi" w:cstheme="minorHAnsi"/>
                <w:color w:val="auto"/>
                <w:sz w:val="20"/>
                <w:lang w:bidi="en-US"/>
              </w:rPr>
              <w:t>Reporting</w:t>
            </w:r>
          </w:p>
        </w:tc>
        <w:tc>
          <w:tcPr>
            <w:tcW w:w="1635" w:type="pct"/>
            <w:shd w:val="clear" w:color="auto" w:fill="D9D9D9" w:themeFill="background1" w:themeFillShade="D9"/>
          </w:tcPr>
          <w:p w:rsidRPr="005C6BFE" w:rsidR="00FA0865" w:rsidP="005C6BFE" w:rsidRDefault="00FA0865" w14:paraId="01843302" w14:textId="77777777">
            <w:pPr>
              <w:pStyle w:val="TableHeaderLeft"/>
              <w:spacing w:before="20" w:after="20"/>
              <w:jc w:val="center"/>
              <w:rPr>
                <w:rFonts w:asciiTheme="minorHAnsi" w:hAnsiTheme="minorHAnsi" w:cstheme="minorHAnsi"/>
                <w:color w:val="auto"/>
                <w:sz w:val="20"/>
                <w:lang w:bidi="en-US"/>
              </w:rPr>
            </w:pPr>
          </w:p>
        </w:tc>
      </w:tr>
      <w:tr w:rsidRPr="005C6BFE" w:rsidR="00FA0865" w:rsidTr="001548A8" w14:paraId="556602DE" w14:textId="77777777">
        <w:tc>
          <w:tcPr>
            <w:tcW w:w="3365" w:type="pct"/>
            <w:shd w:val="clear" w:color="auto" w:fill="auto"/>
          </w:tcPr>
          <w:p w:rsidRPr="005C6BFE" w:rsidR="00FA0865" w:rsidP="00FA0865" w:rsidRDefault="00FA0865" w14:paraId="31FC01B0" w14:textId="77777777">
            <w:pPr>
              <w:pStyle w:val="TableText"/>
              <w:spacing w:before="20" w:after="20"/>
              <w:ind w:left="162"/>
              <w:rPr>
                <w:rFonts w:asciiTheme="minorHAnsi" w:hAnsiTheme="minorHAnsi" w:cstheme="minorHAnsi"/>
                <w:sz w:val="20"/>
                <w:lang w:bidi="en-US"/>
              </w:rPr>
            </w:pPr>
            <w:r w:rsidRPr="005C6BFE">
              <w:rPr>
                <w:rFonts w:asciiTheme="minorHAnsi" w:hAnsiTheme="minorHAnsi" w:cstheme="minorHAnsi"/>
                <w:sz w:val="20"/>
                <w:lang w:bidi="en-US"/>
              </w:rPr>
              <w:t>Data tables</w:t>
            </w:r>
          </w:p>
        </w:tc>
        <w:tc>
          <w:tcPr>
            <w:tcW w:w="1635" w:type="pct"/>
            <w:shd w:val="clear" w:color="auto" w:fill="auto"/>
          </w:tcPr>
          <w:p w:rsidRPr="005C6BFE" w:rsidR="00FA0865" w:rsidP="005C6BFE" w:rsidRDefault="008536D4" w14:paraId="2BD99641" w14:textId="011C5717">
            <w:pPr>
              <w:pStyle w:val="TableText"/>
              <w:spacing w:before="20" w:after="20"/>
              <w:jc w:val="center"/>
              <w:rPr>
                <w:rFonts w:asciiTheme="minorHAnsi" w:hAnsiTheme="minorHAnsi" w:cstheme="minorHAnsi"/>
                <w:sz w:val="20"/>
                <w:lang w:bidi="en-US"/>
              </w:rPr>
            </w:pPr>
            <w:r>
              <w:rPr>
                <w:rFonts w:asciiTheme="minorHAnsi" w:hAnsiTheme="minorHAnsi" w:cstheme="minorHAnsi"/>
                <w:sz w:val="20"/>
                <w:lang w:bidi="en-US"/>
              </w:rPr>
              <w:t>One month after analysis begins</w:t>
            </w:r>
          </w:p>
        </w:tc>
      </w:tr>
      <w:tr w:rsidRPr="005C6BFE" w:rsidR="002D2FBC" w:rsidTr="001548A8" w14:paraId="2E9C9495" w14:textId="77777777">
        <w:tc>
          <w:tcPr>
            <w:tcW w:w="3365" w:type="pct"/>
            <w:shd w:val="clear" w:color="auto" w:fill="auto"/>
          </w:tcPr>
          <w:p w:rsidRPr="005C6BFE" w:rsidR="002D2FBC" w:rsidP="002D2FBC" w:rsidRDefault="002D2FBC" w14:paraId="4588F4E3" w14:textId="6CA722F0">
            <w:pPr>
              <w:pStyle w:val="TableText"/>
              <w:spacing w:before="20" w:after="20"/>
              <w:ind w:left="162"/>
              <w:rPr>
                <w:rFonts w:asciiTheme="minorHAnsi" w:hAnsiTheme="minorHAnsi" w:cstheme="minorHAnsi"/>
                <w:sz w:val="20"/>
                <w:lang w:bidi="en-US"/>
              </w:rPr>
            </w:pPr>
            <w:r w:rsidRPr="005C6BFE">
              <w:rPr>
                <w:rFonts w:asciiTheme="minorHAnsi" w:hAnsiTheme="minorHAnsi" w:cstheme="minorHAnsi"/>
                <w:sz w:val="20"/>
                <w:lang w:bidi="en-US"/>
              </w:rPr>
              <w:t xml:space="preserve">Final report </w:t>
            </w:r>
          </w:p>
        </w:tc>
        <w:tc>
          <w:tcPr>
            <w:tcW w:w="1635" w:type="pct"/>
            <w:shd w:val="clear" w:color="auto" w:fill="auto"/>
          </w:tcPr>
          <w:p w:rsidRPr="005C6BFE" w:rsidR="002D2FBC" w:rsidP="002D2FBC" w:rsidRDefault="008536D4" w14:paraId="32277412" w14:textId="3745BBF6">
            <w:pPr>
              <w:pStyle w:val="TableText"/>
              <w:spacing w:before="20" w:after="20"/>
              <w:jc w:val="center"/>
              <w:rPr>
                <w:rFonts w:asciiTheme="minorHAnsi" w:hAnsiTheme="minorHAnsi" w:cstheme="minorHAnsi"/>
                <w:sz w:val="20"/>
                <w:lang w:bidi="en-US"/>
              </w:rPr>
            </w:pPr>
            <w:r>
              <w:rPr>
                <w:rFonts w:asciiTheme="minorHAnsi" w:hAnsiTheme="minorHAnsi" w:cstheme="minorHAnsi"/>
                <w:sz w:val="20"/>
                <w:lang w:bidi="en-US"/>
              </w:rPr>
              <w:t>One month after analysis begins</w:t>
            </w:r>
          </w:p>
        </w:tc>
      </w:tr>
      <w:tr w:rsidRPr="005C6BFE" w:rsidR="002D2FBC" w:rsidTr="001548A8" w14:paraId="4D633A45" w14:textId="77777777">
        <w:tc>
          <w:tcPr>
            <w:tcW w:w="3365" w:type="pct"/>
            <w:shd w:val="clear" w:color="auto" w:fill="auto"/>
          </w:tcPr>
          <w:p w:rsidRPr="005C6BFE" w:rsidR="002D2FBC" w:rsidP="002D2FBC" w:rsidRDefault="002D2FBC" w14:paraId="47FCDAE4" w14:textId="77777777">
            <w:pPr>
              <w:pStyle w:val="TableText"/>
              <w:spacing w:before="20" w:after="20"/>
              <w:ind w:left="162"/>
              <w:rPr>
                <w:rFonts w:asciiTheme="minorHAnsi" w:hAnsiTheme="minorHAnsi" w:cstheme="minorHAnsi"/>
                <w:sz w:val="20"/>
                <w:lang w:bidi="en-US"/>
              </w:rPr>
            </w:pPr>
            <w:r w:rsidRPr="005C6BFE">
              <w:rPr>
                <w:rFonts w:asciiTheme="minorHAnsi" w:hAnsiTheme="minorHAnsi" w:cstheme="minorHAnsi"/>
                <w:sz w:val="20"/>
                <w:lang w:bidi="en-US"/>
              </w:rPr>
              <w:t>Briefs on specific topics</w:t>
            </w:r>
          </w:p>
        </w:tc>
        <w:tc>
          <w:tcPr>
            <w:tcW w:w="1635" w:type="pct"/>
            <w:shd w:val="clear" w:color="auto" w:fill="auto"/>
          </w:tcPr>
          <w:p w:rsidRPr="005C6BFE" w:rsidR="002D2FBC" w:rsidP="002D2FBC" w:rsidRDefault="008536D4" w14:paraId="4A663099" w14:textId="0948A576">
            <w:pPr>
              <w:pStyle w:val="TableText"/>
              <w:spacing w:before="20" w:after="20"/>
              <w:jc w:val="center"/>
              <w:rPr>
                <w:rFonts w:asciiTheme="minorHAnsi" w:hAnsiTheme="minorHAnsi" w:cstheme="minorHAnsi"/>
                <w:sz w:val="20"/>
                <w:lang w:bidi="en-US"/>
              </w:rPr>
            </w:pPr>
            <w:r>
              <w:rPr>
                <w:rFonts w:asciiTheme="minorHAnsi" w:hAnsiTheme="minorHAnsi" w:cstheme="minorHAnsi"/>
                <w:sz w:val="20"/>
                <w:lang w:bidi="en-US"/>
              </w:rPr>
              <w:t>One month after analysis begins</w:t>
            </w:r>
          </w:p>
        </w:tc>
      </w:tr>
      <w:tr w:rsidRPr="005C6BFE" w:rsidR="002D2FBC" w:rsidTr="001548A8" w14:paraId="17C1987E" w14:textId="77777777">
        <w:tc>
          <w:tcPr>
            <w:tcW w:w="3365" w:type="pct"/>
            <w:tcBorders>
              <w:bottom w:val="single" w:color="auto" w:sz="4" w:space="0"/>
            </w:tcBorders>
            <w:shd w:val="clear" w:color="auto" w:fill="auto"/>
          </w:tcPr>
          <w:p w:rsidRPr="005C6BFE" w:rsidR="002D2FBC" w:rsidP="002D2FBC" w:rsidRDefault="002D2FBC" w14:paraId="72BF36FD" w14:textId="77777777">
            <w:pPr>
              <w:pStyle w:val="TableText"/>
              <w:spacing w:before="20" w:after="20"/>
              <w:ind w:left="162"/>
              <w:rPr>
                <w:rFonts w:asciiTheme="minorHAnsi" w:hAnsiTheme="minorHAnsi" w:cstheme="minorHAnsi"/>
                <w:sz w:val="20"/>
                <w:lang w:bidi="en-US"/>
              </w:rPr>
            </w:pPr>
            <w:r w:rsidRPr="005C6BFE">
              <w:rPr>
                <w:rFonts w:asciiTheme="minorHAnsi" w:hAnsiTheme="minorHAnsi" w:cstheme="minorHAnsi"/>
                <w:sz w:val="20"/>
                <w:lang w:bidi="en-US"/>
              </w:rPr>
              <w:t>Restricted-use data file</w:t>
            </w:r>
          </w:p>
        </w:tc>
        <w:tc>
          <w:tcPr>
            <w:tcW w:w="1635" w:type="pct"/>
            <w:tcBorders>
              <w:bottom w:val="single" w:color="auto" w:sz="4" w:space="0"/>
            </w:tcBorders>
            <w:shd w:val="clear" w:color="auto" w:fill="auto"/>
          </w:tcPr>
          <w:p w:rsidRPr="005C6BFE" w:rsidR="002D2FBC" w:rsidP="002D2FBC" w:rsidRDefault="008536D4" w14:paraId="2CAD8484" w14:textId="43005DAF">
            <w:pPr>
              <w:pStyle w:val="TableText"/>
              <w:spacing w:before="20" w:after="20"/>
              <w:jc w:val="center"/>
              <w:rPr>
                <w:rFonts w:asciiTheme="minorHAnsi" w:hAnsiTheme="minorHAnsi" w:cstheme="minorHAnsi"/>
                <w:sz w:val="20"/>
                <w:lang w:bidi="en-US"/>
              </w:rPr>
            </w:pPr>
            <w:r>
              <w:rPr>
                <w:rFonts w:asciiTheme="minorHAnsi" w:hAnsiTheme="minorHAnsi" w:cstheme="minorHAnsi"/>
                <w:sz w:val="20"/>
                <w:lang w:bidi="en-US"/>
              </w:rPr>
              <w:t>One month after analysis begins</w:t>
            </w:r>
          </w:p>
        </w:tc>
      </w:tr>
    </w:tbl>
    <w:p w:rsidRPr="009139B3" w:rsidR="001D1C73" w:rsidP="001D1C73" w:rsidRDefault="001D1C73" w14:paraId="27BD65F7" w14:textId="77777777">
      <w:pPr>
        <w:spacing w:after="0" w:line="240" w:lineRule="auto"/>
        <w:rPr>
          <w:rFonts w:cstheme="minorHAnsi"/>
        </w:rPr>
      </w:pPr>
    </w:p>
    <w:p w:rsidRPr="0024795A" w:rsidR="001D1C73" w:rsidP="0024795A" w:rsidRDefault="001D1C73" w14:paraId="48C4ACC5" w14:textId="42ED794A">
      <w:pPr>
        <w:tabs>
          <w:tab w:val="left" w:pos="630"/>
        </w:tabs>
        <w:spacing w:after="120" w:line="240" w:lineRule="auto"/>
        <w:ind w:left="630" w:hanging="630"/>
        <w:rPr>
          <w:b/>
        </w:rPr>
      </w:pPr>
      <w:r w:rsidRPr="0024795A">
        <w:rPr>
          <w:b/>
        </w:rPr>
        <w:t>A17.</w:t>
      </w:r>
      <w:r w:rsidRPr="0024795A">
        <w:rPr>
          <w:b/>
        </w:rPr>
        <w:tab/>
        <w:t>Exceptions</w:t>
      </w:r>
    </w:p>
    <w:p w:rsidRPr="009139B3" w:rsidR="001D1C73" w:rsidP="001D1C73" w:rsidRDefault="001D1C73" w14:paraId="3C24CF91" w14:textId="77777777">
      <w:pPr>
        <w:spacing w:after="0"/>
      </w:pPr>
      <w:r w:rsidRPr="009139B3">
        <w:t>No exceptions are necessary for this information collection.</w:t>
      </w:r>
    </w:p>
    <w:p w:rsidR="007D2C5F" w:rsidRDefault="007D2C5F" w14:paraId="6D4E87BC" w14:textId="77777777">
      <w:pPr>
        <w:rPr>
          <w:b/>
        </w:rPr>
      </w:pPr>
      <w:r>
        <w:rPr>
          <w:b/>
        </w:rPr>
        <w:br w:type="page"/>
      </w:r>
    </w:p>
    <w:p w:rsidR="001D1C73" w:rsidP="001D1C73" w:rsidRDefault="001D1C73" w14:paraId="7BED44AA" w14:textId="1FEE9AB8">
      <w:pPr>
        <w:spacing w:after="120" w:line="240" w:lineRule="auto"/>
        <w:rPr>
          <w:b/>
        </w:rPr>
      </w:pPr>
      <w:r w:rsidRPr="009139B3">
        <w:rPr>
          <w:b/>
        </w:rPr>
        <w:lastRenderedPageBreak/>
        <w:t>Attachments</w:t>
      </w:r>
    </w:p>
    <w:p w:rsidRPr="0032109D" w:rsidR="00083227" w:rsidP="005C6BFE" w:rsidRDefault="0032109D" w14:paraId="1E574BF6" w14:textId="60407E0A">
      <w:pPr>
        <w:spacing w:after="120"/>
        <w:rPr>
          <w:b/>
          <w:bCs/>
        </w:rPr>
      </w:pPr>
      <w:bookmarkStart w:name="_Hlk53343222" w:id="4"/>
      <w:r w:rsidRPr="0032109D">
        <w:rPr>
          <w:b/>
          <w:bCs/>
        </w:rPr>
        <w:t>Instruments</w:t>
      </w:r>
    </w:p>
    <w:p w:rsidR="0032109D" w:rsidP="005C6BFE" w:rsidRDefault="0032109D" w14:paraId="253020E6" w14:textId="7121E024">
      <w:pPr>
        <w:spacing w:after="0"/>
      </w:pPr>
      <w:r>
        <w:t>Instrument 1. EHS Program Director Survey</w:t>
      </w:r>
    </w:p>
    <w:p w:rsidR="0032109D" w:rsidP="005C6BFE" w:rsidRDefault="0032109D" w14:paraId="11B3DC5D" w14:textId="211F13F1">
      <w:pPr>
        <w:spacing w:after="0"/>
      </w:pPr>
      <w:r>
        <w:t>Instrument 2. Sustained Partnership Provider Survey</w:t>
      </w:r>
    </w:p>
    <w:p w:rsidR="0032109D" w:rsidP="005C6BFE" w:rsidRDefault="0032109D" w14:paraId="26602022" w14:textId="5F641ADA">
      <w:pPr>
        <w:spacing w:after="0"/>
      </w:pPr>
      <w:r>
        <w:t>Instrument 3. Dissolved Partnership Provider Survey</w:t>
      </w:r>
    </w:p>
    <w:p w:rsidR="0032109D" w:rsidP="005C6BFE" w:rsidRDefault="0032109D" w14:paraId="33CAA079" w14:textId="730B18CE">
      <w:pPr>
        <w:spacing w:after="0"/>
      </w:pPr>
      <w:r>
        <w:t>Instrument 4. Dissolved Partnership Provider Semi-structured Interview</w:t>
      </w:r>
      <w:r w:rsidR="001107D7">
        <w:t xml:space="preserve"> Protocol</w:t>
      </w:r>
    </w:p>
    <w:p w:rsidR="0032109D" w:rsidP="0032109D" w:rsidRDefault="0032109D" w14:paraId="781C0052" w14:textId="66A36DB0">
      <w:r>
        <w:t>Instrument 5. Sustained Partnership Provider Semi-structured Interview</w:t>
      </w:r>
      <w:r w:rsidR="001107D7">
        <w:t xml:space="preserve"> Protocol</w:t>
      </w:r>
    </w:p>
    <w:p w:rsidRPr="0032109D" w:rsidR="0032109D" w:rsidP="005C6BFE" w:rsidRDefault="0032109D" w14:paraId="52F755F7" w14:textId="3DF7A34C">
      <w:pPr>
        <w:spacing w:after="120"/>
        <w:rPr>
          <w:b/>
          <w:bCs/>
        </w:rPr>
      </w:pPr>
      <w:r w:rsidRPr="0032109D">
        <w:rPr>
          <w:b/>
          <w:bCs/>
        </w:rPr>
        <w:t>Appendices</w:t>
      </w:r>
    </w:p>
    <w:bookmarkEnd w:id="4"/>
    <w:p w:rsidR="00174A9F" w:rsidP="005C6BFE" w:rsidRDefault="00174A9F" w14:paraId="39563EA0" w14:textId="324A6505">
      <w:pPr>
        <w:spacing w:after="0"/>
      </w:pPr>
      <w:r>
        <w:t xml:space="preserve">Appendix </w:t>
      </w:r>
      <w:r w:rsidR="00C97D12">
        <w:t>A</w:t>
      </w:r>
      <w:r w:rsidR="009F55B6">
        <w:t>.</w:t>
      </w:r>
      <w:r>
        <w:t xml:space="preserve"> </w:t>
      </w:r>
      <w:r w:rsidRPr="00174A9F">
        <w:t xml:space="preserve">Comments Received on 60-Day </w:t>
      </w:r>
      <w:r w:rsidRPr="00787E66">
        <w:rPr>
          <w:i/>
        </w:rPr>
        <w:t>Federal Register</w:t>
      </w:r>
      <w:r w:rsidRPr="00174A9F">
        <w:t xml:space="preserve"> Notice</w:t>
      </w:r>
    </w:p>
    <w:p w:rsidR="00A203F3" w:rsidP="005C6BFE" w:rsidRDefault="00A203F3" w14:paraId="7D3EB66A" w14:textId="362053B7">
      <w:pPr>
        <w:spacing w:after="0"/>
      </w:pPr>
      <w:r>
        <w:t xml:space="preserve">Appendix </w:t>
      </w:r>
      <w:r w:rsidR="00C97D12">
        <w:t>B</w:t>
      </w:r>
      <w:r w:rsidR="009F55B6">
        <w:t>.</w:t>
      </w:r>
      <w:r>
        <w:t xml:space="preserve"> Supplemental materials for </w:t>
      </w:r>
      <w:r w:rsidR="00643EDB">
        <w:t>surveys</w:t>
      </w:r>
    </w:p>
    <w:p w:rsidR="00FE2931" w:rsidP="005C6BFE" w:rsidRDefault="00A203F3" w14:paraId="482B4B95" w14:textId="22BF66A9">
      <w:pPr>
        <w:spacing w:after="0"/>
      </w:pPr>
      <w:r>
        <w:t xml:space="preserve">Appendix </w:t>
      </w:r>
      <w:r w:rsidR="00C97D12">
        <w:t>C</w:t>
      </w:r>
      <w:r w:rsidR="009F55B6">
        <w:t>.</w:t>
      </w:r>
      <w:r>
        <w:t xml:space="preserve"> Supplemental materials for provider </w:t>
      </w:r>
      <w:r w:rsidR="00F005E7">
        <w:t>interview</w:t>
      </w:r>
      <w:r w:rsidR="003F2FB4">
        <w:t>s</w:t>
      </w:r>
    </w:p>
    <w:p w:rsidR="00FE2931" w:rsidP="005C6BFE" w:rsidRDefault="00FE2931" w14:paraId="3DBD7432" w14:textId="2199902F">
      <w:pPr>
        <w:spacing w:after="0"/>
      </w:pPr>
      <w:r>
        <w:t>Appendix D. Joint Office of Head Start and Office of Child Care letter of support</w:t>
      </w:r>
    </w:p>
    <w:p w:rsidR="0098180A" w:rsidP="005C6BFE" w:rsidRDefault="0098180A" w14:paraId="1B3D281A" w14:textId="77777777">
      <w:pPr>
        <w:spacing w:after="0"/>
      </w:pPr>
    </w:p>
    <w:p w:rsidRPr="001371B4" w:rsidR="0032109D" w:rsidP="005C6BFE" w:rsidRDefault="0032109D" w14:paraId="0E355F13" w14:textId="77777777">
      <w:pPr>
        <w:pStyle w:val="References"/>
        <w:spacing w:after="120"/>
        <w:rPr>
          <w:rFonts w:asciiTheme="minorHAnsi" w:hAnsiTheme="minorHAnsi" w:cstheme="minorHAnsi"/>
          <w:b/>
          <w:sz w:val="22"/>
          <w:szCs w:val="22"/>
        </w:rPr>
      </w:pPr>
      <w:r w:rsidRPr="001371B4">
        <w:rPr>
          <w:rFonts w:asciiTheme="minorHAnsi" w:hAnsiTheme="minorHAnsi" w:cstheme="minorHAnsi"/>
          <w:b/>
          <w:sz w:val="22"/>
          <w:szCs w:val="22"/>
        </w:rPr>
        <w:t>References</w:t>
      </w:r>
    </w:p>
    <w:p w:rsidRPr="00067A62" w:rsidR="0032109D" w:rsidP="005C6BFE" w:rsidRDefault="0032109D" w14:paraId="308D27A8" w14:textId="7202E93F">
      <w:pPr>
        <w:pStyle w:val="References"/>
        <w:spacing w:after="120"/>
        <w:rPr>
          <w:rFonts w:asciiTheme="minorHAnsi" w:hAnsiTheme="minorHAnsi" w:cstheme="minorHAnsi"/>
          <w:sz w:val="22"/>
          <w:szCs w:val="22"/>
        </w:rPr>
      </w:pPr>
      <w:r w:rsidRPr="00067A62">
        <w:rPr>
          <w:rFonts w:asciiTheme="minorHAnsi" w:hAnsiTheme="minorHAnsi" w:cstheme="minorHAnsi"/>
          <w:sz w:val="22"/>
          <w:szCs w:val="22"/>
        </w:rPr>
        <w:t xml:space="preserve">Bureau of Labor Statistics. “Usual Weekly Earnings of Wage and Salary Workers: </w:t>
      </w:r>
      <w:r w:rsidR="00973ECC">
        <w:rPr>
          <w:rFonts w:asciiTheme="minorHAnsi" w:hAnsiTheme="minorHAnsi" w:cstheme="minorHAnsi"/>
          <w:sz w:val="22"/>
          <w:szCs w:val="22"/>
        </w:rPr>
        <w:t>First</w:t>
      </w:r>
      <w:r w:rsidRPr="00067A62">
        <w:rPr>
          <w:rFonts w:asciiTheme="minorHAnsi" w:hAnsiTheme="minorHAnsi" w:cstheme="minorHAnsi"/>
          <w:sz w:val="22"/>
          <w:szCs w:val="22"/>
        </w:rPr>
        <w:t xml:space="preserve"> Quarter </w:t>
      </w:r>
      <w:r w:rsidR="00067A62">
        <w:rPr>
          <w:rFonts w:asciiTheme="minorHAnsi" w:hAnsiTheme="minorHAnsi" w:cstheme="minorHAnsi"/>
          <w:sz w:val="22"/>
          <w:szCs w:val="22"/>
        </w:rPr>
        <w:t>202</w:t>
      </w:r>
      <w:r w:rsidR="00973ECC">
        <w:rPr>
          <w:rFonts w:asciiTheme="minorHAnsi" w:hAnsiTheme="minorHAnsi" w:cstheme="minorHAnsi"/>
          <w:sz w:val="22"/>
          <w:szCs w:val="22"/>
        </w:rPr>
        <w:t>1</w:t>
      </w:r>
      <w:r w:rsidRPr="00067A62">
        <w:rPr>
          <w:rFonts w:asciiTheme="minorHAnsi" w:hAnsiTheme="minorHAnsi" w:cstheme="minorHAnsi"/>
          <w:sz w:val="22"/>
          <w:szCs w:val="22"/>
        </w:rPr>
        <w:t>.” USDL-</w:t>
      </w:r>
      <w:r w:rsidR="00067A62">
        <w:rPr>
          <w:rFonts w:asciiTheme="minorHAnsi" w:hAnsiTheme="minorHAnsi" w:cstheme="minorHAnsi"/>
          <w:sz w:val="22"/>
          <w:szCs w:val="22"/>
        </w:rPr>
        <w:t>2</w:t>
      </w:r>
      <w:r w:rsidR="00973ECC">
        <w:rPr>
          <w:rFonts w:asciiTheme="minorHAnsi" w:hAnsiTheme="minorHAnsi" w:cstheme="minorHAnsi"/>
          <w:sz w:val="22"/>
          <w:szCs w:val="22"/>
        </w:rPr>
        <w:t>1</w:t>
      </w:r>
      <w:r w:rsidRPr="00067A62">
        <w:rPr>
          <w:rFonts w:asciiTheme="minorHAnsi" w:hAnsiTheme="minorHAnsi" w:cstheme="minorHAnsi"/>
          <w:sz w:val="22"/>
          <w:szCs w:val="22"/>
        </w:rPr>
        <w:t>-</w:t>
      </w:r>
      <w:r w:rsidR="00973ECC">
        <w:rPr>
          <w:rFonts w:asciiTheme="minorHAnsi" w:hAnsiTheme="minorHAnsi" w:cstheme="minorHAnsi"/>
          <w:sz w:val="22"/>
          <w:szCs w:val="22"/>
        </w:rPr>
        <w:t>0655</w:t>
      </w:r>
      <w:r w:rsidRPr="00067A62">
        <w:rPr>
          <w:rFonts w:asciiTheme="minorHAnsi" w:hAnsiTheme="minorHAnsi" w:cstheme="minorHAnsi"/>
          <w:sz w:val="22"/>
          <w:szCs w:val="22"/>
        </w:rPr>
        <w:t xml:space="preserve">. Washington, DC: Bureau of Labor Statistics, </w:t>
      </w:r>
      <w:r w:rsidR="00973ECC">
        <w:rPr>
          <w:rFonts w:asciiTheme="minorHAnsi" w:hAnsiTheme="minorHAnsi" w:cstheme="minorHAnsi"/>
          <w:sz w:val="22"/>
          <w:szCs w:val="22"/>
        </w:rPr>
        <w:t xml:space="preserve">April </w:t>
      </w:r>
      <w:r w:rsidR="00067A62">
        <w:rPr>
          <w:rFonts w:asciiTheme="minorHAnsi" w:hAnsiTheme="minorHAnsi" w:cstheme="minorHAnsi"/>
          <w:sz w:val="22"/>
          <w:szCs w:val="22"/>
        </w:rPr>
        <w:t>1</w:t>
      </w:r>
      <w:r w:rsidR="00910C56">
        <w:rPr>
          <w:rFonts w:asciiTheme="minorHAnsi" w:hAnsiTheme="minorHAnsi" w:cstheme="minorHAnsi"/>
          <w:sz w:val="22"/>
          <w:szCs w:val="22"/>
        </w:rPr>
        <w:t>6</w:t>
      </w:r>
      <w:r w:rsidR="00067A62">
        <w:rPr>
          <w:rFonts w:asciiTheme="minorHAnsi" w:hAnsiTheme="minorHAnsi" w:cstheme="minorHAnsi"/>
          <w:sz w:val="22"/>
          <w:szCs w:val="22"/>
        </w:rPr>
        <w:t>, 202</w:t>
      </w:r>
      <w:r w:rsidR="00973ECC">
        <w:rPr>
          <w:rFonts w:asciiTheme="minorHAnsi" w:hAnsiTheme="minorHAnsi" w:cstheme="minorHAnsi"/>
          <w:sz w:val="22"/>
          <w:szCs w:val="22"/>
        </w:rPr>
        <w:t>1</w:t>
      </w:r>
      <w:r w:rsidRPr="00067A62">
        <w:rPr>
          <w:rFonts w:asciiTheme="minorHAnsi" w:hAnsiTheme="minorHAnsi" w:cstheme="minorHAnsi"/>
          <w:sz w:val="22"/>
          <w:szCs w:val="22"/>
        </w:rPr>
        <w:t>.</w:t>
      </w:r>
    </w:p>
    <w:p w:rsidRPr="001371B4" w:rsidR="0032109D" w:rsidP="005C6BFE" w:rsidRDefault="0032109D" w14:paraId="16983A74" w14:textId="1CB2E546">
      <w:pPr>
        <w:pStyle w:val="References"/>
        <w:spacing w:after="120"/>
        <w:rPr>
          <w:rFonts w:asciiTheme="minorHAnsi" w:hAnsiTheme="minorHAnsi" w:cstheme="minorHAnsi"/>
          <w:sz w:val="22"/>
          <w:szCs w:val="22"/>
        </w:rPr>
      </w:pPr>
    </w:p>
    <w:sectPr w:rsidRPr="001371B4" w:rsidR="0032109D"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2863EC" w14:textId="77777777" w:rsidR="008C7278" w:rsidRDefault="008C7278" w:rsidP="0004063C">
      <w:pPr>
        <w:spacing w:after="0" w:line="240" w:lineRule="auto"/>
      </w:pPr>
      <w:r>
        <w:separator/>
      </w:r>
    </w:p>
  </w:endnote>
  <w:endnote w:type="continuationSeparator" w:id="0">
    <w:p w14:paraId="7EBAFBD1" w14:textId="77777777" w:rsidR="008C7278" w:rsidRDefault="008C7278"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39D989D1" w:rsidR="008C7278" w:rsidRDefault="008C7278">
        <w:pPr>
          <w:pStyle w:val="Footer"/>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88DE0" w14:textId="77777777" w:rsidR="008C7278" w:rsidRDefault="008C7278" w:rsidP="0004063C">
      <w:pPr>
        <w:spacing w:after="0" w:line="240" w:lineRule="auto"/>
      </w:pPr>
      <w:r>
        <w:separator/>
      </w:r>
    </w:p>
  </w:footnote>
  <w:footnote w:type="continuationSeparator" w:id="0">
    <w:p w14:paraId="05D12976" w14:textId="77777777" w:rsidR="008C7278" w:rsidRDefault="008C7278" w:rsidP="0004063C">
      <w:pPr>
        <w:spacing w:after="0" w:line="240" w:lineRule="auto"/>
      </w:pPr>
      <w:r>
        <w:continuationSeparator/>
      </w:r>
    </w:p>
  </w:footnote>
  <w:footnote w:id="1">
    <w:p w14:paraId="3109F291" w14:textId="619DCF19" w:rsidR="008C7278" w:rsidRPr="00D52D67" w:rsidRDefault="008C7278" w:rsidP="00E510C1">
      <w:pPr>
        <w:pStyle w:val="FootnoteText"/>
        <w:rPr>
          <w:rFonts w:cstheme="minorHAnsi"/>
        </w:rPr>
      </w:pPr>
      <w:r w:rsidRPr="00D52D67">
        <w:rPr>
          <w:rStyle w:val="FootnoteReference"/>
          <w:rFonts w:cstheme="minorHAnsi"/>
        </w:rPr>
        <w:footnoteRef/>
      </w:r>
      <w:r w:rsidRPr="00D52D67">
        <w:rPr>
          <w:rFonts w:cstheme="minorHAnsi"/>
        </w:rPr>
        <w:t xml:space="preserve"> The PIR is an administrative data system for the Head Start program as a whole</w:t>
      </w:r>
      <w:r>
        <w:rPr>
          <w:rFonts w:cstheme="minorHAnsi"/>
        </w:rPr>
        <w:t>,</w:t>
      </w:r>
      <w:r w:rsidRPr="00D52D67">
        <w:rPr>
          <w:rFonts w:cstheme="minorHAnsi"/>
        </w:rPr>
        <w:t xml:space="preserve"> </w:t>
      </w:r>
      <w:r>
        <w:rPr>
          <w:rFonts w:cstheme="minorHAnsi"/>
        </w:rPr>
        <w:t>which</w:t>
      </w:r>
      <w:r w:rsidRPr="00D52D67">
        <w:rPr>
          <w:rFonts w:cstheme="minorHAnsi"/>
        </w:rPr>
        <w:t xml:space="preserve"> includes data collected annually from all programs. Head Start programs collect the information as approved under OMB control number 0970-0427.</w:t>
      </w:r>
    </w:p>
  </w:footnote>
  <w:footnote w:id="2">
    <w:p w14:paraId="38B1101F" w14:textId="12307BEB" w:rsidR="008C7278" w:rsidRDefault="008C7278">
      <w:pPr>
        <w:pStyle w:val="FootnoteText"/>
      </w:pPr>
      <w:r>
        <w:rPr>
          <w:rStyle w:val="FootnoteReference"/>
        </w:rPr>
        <w:footnoteRef/>
      </w:r>
      <w:r>
        <w:t xml:space="preserve"> The </w:t>
      </w:r>
      <w:r>
        <w:rPr>
          <w:rFonts w:eastAsia="Arial Unicode MS" w:cstheme="minorHAnsi"/>
          <w:noProof/>
        </w:rPr>
        <w:t xml:space="preserve">Early Head Start Family and Child Experiences Survey (Baby FACES) is approved under OMB #0970-0354.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86F04" w14:textId="77777777" w:rsidR="008C7278" w:rsidRPr="000D7D44" w:rsidRDefault="008C7278"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8C7278" w:rsidRPr="001D1C73" w:rsidRDefault="008C7278"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26B18"/>
    <w:multiLevelType w:val="hybridMultilevel"/>
    <w:tmpl w:val="931C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280C0D"/>
    <w:multiLevelType w:val="hybridMultilevel"/>
    <w:tmpl w:val="1F623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D17B9B"/>
    <w:multiLevelType w:val="hybridMultilevel"/>
    <w:tmpl w:val="6772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3" w15:restartNumberingAfterBreak="0">
    <w:nsid w:val="396340BB"/>
    <w:multiLevelType w:val="hybridMultilevel"/>
    <w:tmpl w:val="0B14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C6048B"/>
    <w:multiLevelType w:val="singleLevel"/>
    <w:tmpl w:val="0409000F"/>
    <w:lvl w:ilvl="0">
      <w:start w:val="1"/>
      <w:numFmt w:val="decimal"/>
      <w:lvlText w:val="%1."/>
      <w:lvlJc w:val="left"/>
      <w:pPr>
        <w:ind w:left="792" w:hanging="360"/>
      </w:pPr>
      <w:rPr>
        <w:rFonts w:hint="default"/>
      </w:rPr>
    </w:lvl>
  </w:abstractNum>
  <w:abstractNum w:abstractNumId="31"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F47111A"/>
    <w:multiLevelType w:val="hybridMultilevel"/>
    <w:tmpl w:val="47A62E3E"/>
    <w:lvl w:ilvl="0" w:tplc="0E6CB3D4">
      <w:start w:val="1"/>
      <w:numFmt w:val="decimal"/>
      <w:lvlText w:val="%1."/>
      <w:lvlJc w:val="left"/>
      <w:pPr>
        <w:tabs>
          <w:tab w:val="num" w:pos="990"/>
        </w:tabs>
        <w:ind w:left="99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85624A"/>
    <w:multiLevelType w:val="hybridMultilevel"/>
    <w:tmpl w:val="4732B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EF2967"/>
    <w:multiLevelType w:val="multilevel"/>
    <w:tmpl w:val="0A9A09EC"/>
    <w:lvl w:ilvl="0">
      <w:start w:val="1"/>
      <w:numFmt w:val="decimal"/>
      <w:pStyle w:val="List"/>
      <w:lvlText w:val="%1."/>
      <w:lvlJc w:val="left"/>
      <w:pPr>
        <w:ind w:left="360" w:hanging="360"/>
      </w:pPr>
      <w:rPr>
        <w:rFonts w:hint="default"/>
        <w:b w:val="0"/>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20478C"/>
    <w:multiLevelType w:val="hybridMultilevel"/>
    <w:tmpl w:val="11646BD0"/>
    <w:lvl w:ilvl="0" w:tplc="8A2EA6CA">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1027D1"/>
    <w:multiLevelType w:val="hybridMultilevel"/>
    <w:tmpl w:val="951AA5AC"/>
    <w:lvl w:ilvl="0" w:tplc="CAE2D352">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1"/>
  </w:num>
  <w:num w:numId="3">
    <w:abstractNumId w:val="6"/>
  </w:num>
  <w:num w:numId="4">
    <w:abstractNumId w:val="38"/>
  </w:num>
  <w:num w:numId="5">
    <w:abstractNumId w:val="22"/>
  </w:num>
  <w:num w:numId="6">
    <w:abstractNumId w:val="49"/>
  </w:num>
  <w:num w:numId="7">
    <w:abstractNumId w:val="4"/>
  </w:num>
  <w:num w:numId="8">
    <w:abstractNumId w:val="14"/>
  </w:num>
  <w:num w:numId="9">
    <w:abstractNumId w:val="21"/>
  </w:num>
  <w:num w:numId="10">
    <w:abstractNumId w:val="47"/>
  </w:num>
  <w:num w:numId="11">
    <w:abstractNumId w:val="50"/>
  </w:num>
  <w:num w:numId="12">
    <w:abstractNumId w:val="43"/>
  </w:num>
  <w:num w:numId="13">
    <w:abstractNumId w:val="36"/>
  </w:num>
  <w:num w:numId="14">
    <w:abstractNumId w:val="46"/>
  </w:num>
  <w:num w:numId="15">
    <w:abstractNumId w:val="25"/>
  </w:num>
  <w:num w:numId="16">
    <w:abstractNumId w:val="35"/>
  </w:num>
  <w:num w:numId="17">
    <w:abstractNumId w:val="20"/>
  </w:num>
  <w:num w:numId="18">
    <w:abstractNumId w:val="11"/>
  </w:num>
  <w:num w:numId="19">
    <w:abstractNumId w:val="10"/>
  </w:num>
  <w:num w:numId="20">
    <w:abstractNumId w:val="34"/>
  </w:num>
  <w:num w:numId="21">
    <w:abstractNumId w:val="0"/>
  </w:num>
  <w:num w:numId="22">
    <w:abstractNumId w:val="1"/>
  </w:num>
  <w:num w:numId="23">
    <w:abstractNumId w:val="26"/>
  </w:num>
  <w:num w:numId="24">
    <w:abstractNumId w:val="2"/>
  </w:num>
  <w:num w:numId="25">
    <w:abstractNumId w:val="16"/>
  </w:num>
  <w:num w:numId="26">
    <w:abstractNumId w:val="44"/>
  </w:num>
  <w:num w:numId="27">
    <w:abstractNumId w:val="18"/>
  </w:num>
  <w:num w:numId="28">
    <w:abstractNumId w:val="17"/>
  </w:num>
  <w:num w:numId="29">
    <w:abstractNumId w:val="3"/>
  </w:num>
  <w:num w:numId="30">
    <w:abstractNumId w:val="27"/>
  </w:num>
  <w:num w:numId="31">
    <w:abstractNumId w:val="39"/>
  </w:num>
  <w:num w:numId="32">
    <w:abstractNumId w:val="15"/>
  </w:num>
  <w:num w:numId="33">
    <w:abstractNumId w:val="24"/>
  </w:num>
  <w:num w:numId="34">
    <w:abstractNumId w:val="19"/>
  </w:num>
  <w:num w:numId="35">
    <w:abstractNumId w:val="40"/>
  </w:num>
  <w:num w:numId="36">
    <w:abstractNumId w:val="28"/>
  </w:num>
  <w:num w:numId="37">
    <w:abstractNumId w:val="9"/>
  </w:num>
  <w:num w:numId="38">
    <w:abstractNumId w:val="48"/>
  </w:num>
  <w:num w:numId="39">
    <w:abstractNumId w:val="41"/>
  </w:num>
  <w:num w:numId="40">
    <w:abstractNumId w:val="12"/>
  </w:num>
  <w:num w:numId="41">
    <w:abstractNumId w:val="29"/>
  </w:num>
  <w:num w:numId="42">
    <w:abstractNumId w:val="37"/>
  </w:num>
  <w:num w:numId="43">
    <w:abstractNumId w:val="30"/>
  </w:num>
  <w:num w:numId="44">
    <w:abstractNumId w:val="32"/>
  </w:num>
  <w:num w:numId="45">
    <w:abstractNumId w:val="32"/>
    <w:lvlOverride w:ilvl="0">
      <w:startOverride w:val="1"/>
    </w:lvlOverride>
  </w:num>
  <w:num w:numId="46">
    <w:abstractNumId w:val="7"/>
  </w:num>
  <w:num w:numId="47">
    <w:abstractNumId w:val="42"/>
  </w:num>
  <w:num w:numId="48">
    <w:abstractNumId w:val="33"/>
  </w:num>
  <w:num w:numId="49">
    <w:abstractNumId w:val="45"/>
  </w:num>
  <w:num w:numId="50">
    <w:abstractNumId w:val="5"/>
  </w:num>
  <w:num w:numId="51">
    <w:abstractNumId w:val="23"/>
  </w:num>
  <w:num w:numId="52">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2820"/>
    <w:rsid w:val="0000530F"/>
    <w:rsid w:val="00010DB7"/>
    <w:rsid w:val="0001255D"/>
    <w:rsid w:val="00012EE9"/>
    <w:rsid w:val="00013BC4"/>
    <w:rsid w:val="00015DD0"/>
    <w:rsid w:val="00020293"/>
    <w:rsid w:val="00023109"/>
    <w:rsid w:val="00023EBE"/>
    <w:rsid w:val="00027E79"/>
    <w:rsid w:val="000337F3"/>
    <w:rsid w:val="00035176"/>
    <w:rsid w:val="00036D01"/>
    <w:rsid w:val="00037CB4"/>
    <w:rsid w:val="0004063C"/>
    <w:rsid w:val="00040EF6"/>
    <w:rsid w:val="0004165A"/>
    <w:rsid w:val="00041FF4"/>
    <w:rsid w:val="0004247F"/>
    <w:rsid w:val="0004336E"/>
    <w:rsid w:val="00045F6B"/>
    <w:rsid w:val="0004701A"/>
    <w:rsid w:val="000475B2"/>
    <w:rsid w:val="00055722"/>
    <w:rsid w:val="00056CAA"/>
    <w:rsid w:val="00062AFB"/>
    <w:rsid w:val="00062B4A"/>
    <w:rsid w:val="000655DD"/>
    <w:rsid w:val="00066E6A"/>
    <w:rsid w:val="00067A62"/>
    <w:rsid w:val="00071F79"/>
    <w:rsid w:val="0007251B"/>
    <w:rsid w:val="0007337C"/>
    <w:rsid w:val="000733A5"/>
    <w:rsid w:val="00082C5B"/>
    <w:rsid w:val="00083227"/>
    <w:rsid w:val="000866DB"/>
    <w:rsid w:val="00086CBE"/>
    <w:rsid w:val="00090201"/>
    <w:rsid w:val="00090812"/>
    <w:rsid w:val="000921F0"/>
    <w:rsid w:val="000945DD"/>
    <w:rsid w:val="000A012A"/>
    <w:rsid w:val="000A1BF4"/>
    <w:rsid w:val="000A34FA"/>
    <w:rsid w:val="000A4284"/>
    <w:rsid w:val="000A68B6"/>
    <w:rsid w:val="000B0CCF"/>
    <w:rsid w:val="000B5498"/>
    <w:rsid w:val="000C3D61"/>
    <w:rsid w:val="000C3E06"/>
    <w:rsid w:val="000D34D2"/>
    <w:rsid w:val="000D46AA"/>
    <w:rsid w:val="000D4E9A"/>
    <w:rsid w:val="000D6F56"/>
    <w:rsid w:val="000D7D44"/>
    <w:rsid w:val="000E0A07"/>
    <w:rsid w:val="000F1E4A"/>
    <w:rsid w:val="000F4578"/>
    <w:rsid w:val="00100627"/>
    <w:rsid w:val="00100D34"/>
    <w:rsid w:val="00101958"/>
    <w:rsid w:val="00101AEC"/>
    <w:rsid w:val="00101CDA"/>
    <w:rsid w:val="00103EFD"/>
    <w:rsid w:val="00104F41"/>
    <w:rsid w:val="00107D87"/>
    <w:rsid w:val="001107D7"/>
    <w:rsid w:val="001164BF"/>
    <w:rsid w:val="001253F4"/>
    <w:rsid w:val="00125C6D"/>
    <w:rsid w:val="00126CC2"/>
    <w:rsid w:val="00127C21"/>
    <w:rsid w:val="0013188A"/>
    <w:rsid w:val="00133391"/>
    <w:rsid w:val="00134305"/>
    <w:rsid w:val="00136E5D"/>
    <w:rsid w:val="00137BC5"/>
    <w:rsid w:val="00140659"/>
    <w:rsid w:val="00140D0C"/>
    <w:rsid w:val="001427FC"/>
    <w:rsid w:val="00150DB5"/>
    <w:rsid w:val="00153599"/>
    <w:rsid w:val="001548A8"/>
    <w:rsid w:val="00157482"/>
    <w:rsid w:val="00162B65"/>
    <w:rsid w:val="001707D8"/>
    <w:rsid w:val="0017173B"/>
    <w:rsid w:val="00172552"/>
    <w:rsid w:val="001731EB"/>
    <w:rsid w:val="001742B0"/>
    <w:rsid w:val="00174A9F"/>
    <w:rsid w:val="00176B0A"/>
    <w:rsid w:val="00180140"/>
    <w:rsid w:val="001837E9"/>
    <w:rsid w:val="0019184F"/>
    <w:rsid w:val="00195492"/>
    <w:rsid w:val="001A0DFB"/>
    <w:rsid w:val="001A5B60"/>
    <w:rsid w:val="001A63B4"/>
    <w:rsid w:val="001B0A76"/>
    <w:rsid w:val="001B3688"/>
    <w:rsid w:val="001B4BE8"/>
    <w:rsid w:val="001C4BFC"/>
    <w:rsid w:val="001D1C73"/>
    <w:rsid w:val="001D7139"/>
    <w:rsid w:val="001D7412"/>
    <w:rsid w:val="001E043C"/>
    <w:rsid w:val="001E22FF"/>
    <w:rsid w:val="001E6861"/>
    <w:rsid w:val="001F3546"/>
    <w:rsid w:val="001F5027"/>
    <w:rsid w:val="001F57F5"/>
    <w:rsid w:val="001F7955"/>
    <w:rsid w:val="0020391F"/>
    <w:rsid w:val="0020401C"/>
    <w:rsid w:val="0020450C"/>
    <w:rsid w:val="0020629A"/>
    <w:rsid w:val="00206E11"/>
    <w:rsid w:val="00206FE3"/>
    <w:rsid w:val="00207554"/>
    <w:rsid w:val="00211261"/>
    <w:rsid w:val="00215C97"/>
    <w:rsid w:val="00216226"/>
    <w:rsid w:val="00216482"/>
    <w:rsid w:val="00223380"/>
    <w:rsid w:val="00230E80"/>
    <w:rsid w:val="00243D4C"/>
    <w:rsid w:val="0024465F"/>
    <w:rsid w:val="0024758E"/>
    <w:rsid w:val="0024795A"/>
    <w:rsid w:val="002504C3"/>
    <w:rsid w:val="002517BB"/>
    <w:rsid w:val="00254055"/>
    <w:rsid w:val="00256E24"/>
    <w:rsid w:val="002574AC"/>
    <w:rsid w:val="00261663"/>
    <w:rsid w:val="00265491"/>
    <w:rsid w:val="00270EEE"/>
    <w:rsid w:val="00274B78"/>
    <w:rsid w:val="00275526"/>
    <w:rsid w:val="00276CE2"/>
    <w:rsid w:val="002775BD"/>
    <w:rsid w:val="00287AF1"/>
    <w:rsid w:val="00295C08"/>
    <w:rsid w:val="00297AA1"/>
    <w:rsid w:val="002A41C6"/>
    <w:rsid w:val="002A60D2"/>
    <w:rsid w:val="002A6962"/>
    <w:rsid w:val="002A77DD"/>
    <w:rsid w:val="002B0504"/>
    <w:rsid w:val="002B09A1"/>
    <w:rsid w:val="002B5AE8"/>
    <w:rsid w:val="002B785B"/>
    <w:rsid w:val="002C1209"/>
    <w:rsid w:val="002C3A83"/>
    <w:rsid w:val="002C6F8F"/>
    <w:rsid w:val="002C7E62"/>
    <w:rsid w:val="002C7F84"/>
    <w:rsid w:val="002D2FBC"/>
    <w:rsid w:val="002E6C85"/>
    <w:rsid w:val="002E6CCF"/>
    <w:rsid w:val="002F04F4"/>
    <w:rsid w:val="002F33D0"/>
    <w:rsid w:val="002F71D3"/>
    <w:rsid w:val="00300722"/>
    <w:rsid w:val="0030316D"/>
    <w:rsid w:val="00310C64"/>
    <w:rsid w:val="00311EBF"/>
    <w:rsid w:val="00317C54"/>
    <w:rsid w:val="00317D45"/>
    <w:rsid w:val="00321046"/>
    <w:rsid w:val="0032109D"/>
    <w:rsid w:val="00321295"/>
    <w:rsid w:val="0033178B"/>
    <w:rsid w:val="00334E19"/>
    <w:rsid w:val="0033791F"/>
    <w:rsid w:val="00343E86"/>
    <w:rsid w:val="0034580E"/>
    <w:rsid w:val="00350A3C"/>
    <w:rsid w:val="00356E65"/>
    <w:rsid w:val="00363E78"/>
    <w:rsid w:val="00373D2F"/>
    <w:rsid w:val="00380835"/>
    <w:rsid w:val="00384BFC"/>
    <w:rsid w:val="00386822"/>
    <w:rsid w:val="00387267"/>
    <w:rsid w:val="003941AE"/>
    <w:rsid w:val="003A7774"/>
    <w:rsid w:val="003B66FB"/>
    <w:rsid w:val="003C0D10"/>
    <w:rsid w:val="003C4B49"/>
    <w:rsid w:val="003C6888"/>
    <w:rsid w:val="003C7358"/>
    <w:rsid w:val="003C7785"/>
    <w:rsid w:val="003E1A04"/>
    <w:rsid w:val="003E5064"/>
    <w:rsid w:val="003E61F6"/>
    <w:rsid w:val="003F1809"/>
    <w:rsid w:val="003F2FB4"/>
    <w:rsid w:val="003F32FA"/>
    <w:rsid w:val="003F3A44"/>
    <w:rsid w:val="003F3D75"/>
    <w:rsid w:val="003F6F13"/>
    <w:rsid w:val="003F7AC5"/>
    <w:rsid w:val="00400980"/>
    <w:rsid w:val="00402A81"/>
    <w:rsid w:val="00403D8E"/>
    <w:rsid w:val="00405AD3"/>
    <w:rsid w:val="00407537"/>
    <w:rsid w:val="004138D2"/>
    <w:rsid w:val="004138FC"/>
    <w:rsid w:val="00413F90"/>
    <w:rsid w:val="004165BD"/>
    <w:rsid w:val="004172BD"/>
    <w:rsid w:val="00420141"/>
    <w:rsid w:val="0042220D"/>
    <w:rsid w:val="0042514E"/>
    <w:rsid w:val="0043377A"/>
    <w:rsid w:val="00433893"/>
    <w:rsid w:val="004379B6"/>
    <w:rsid w:val="0044428E"/>
    <w:rsid w:val="00446465"/>
    <w:rsid w:val="0044690D"/>
    <w:rsid w:val="00446B43"/>
    <w:rsid w:val="00450767"/>
    <w:rsid w:val="00452207"/>
    <w:rsid w:val="00453193"/>
    <w:rsid w:val="00460760"/>
    <w:rsid w:val="00460D54"/>
    <w:rsid w:val="00461D3E"/>
    <w:rsid w:val="0046538E"/>
    <w:rsid w:val="00467495"/>
    <w:rsid w:val="004706CC"/>
    <w:rsid w:val="00470A5B"/>
    <w:rsid w:val="0048086B"/>
    <w:rsid w:val="004813B2"/>
    <w:rsid w:val="00483031"/>
    <w:rsid w:val="00490AED"/>
    <w:rsid w:val="00490DBC"/>
    <w:rsid w:val="00493C72"/>
    <w:rsid w:val="0049628C"/>
    <w:rsid w:val="004A565F"/>
    <w:rsid w:val="004A738C"/>
    <w:rsid w:val="004A7ED3"/>
    <w:rsid w:val="004B015E"/>
    <w:rsid w:val="004B4EB3"/>
    <w:rsid w:val="004B75AC"/>
    <w:rsid w:val="004C3644"/>
    <w:rsid w:val="004D12DD"/>
    <w:rsid w:val="004D410B"/>
    <w:rsid w:val="004D546A"/>
    <w:rsid w:val="004D572E"/>
    <w:rsid w:val="004D7212"/>
    <w:rsid w:val="004E5778"/>
    <w:rsid w:val="004E6E05"/>
    <w:rsid w:val="004E7ED8"/>
    <w:rsid w:val="004F0EA8"/>
    <w:rsid w:val="004F79D6"/>
    <w:rsid w:val="005006C7"/>
    <w:rsid w:val="005035D1"/>
    <w:rsid w:val="0050376D"/>
    <w:rsid w:val="005051F7"/>
    <w:rsid w:val="00506FEF"/>
    <w:rsid w:val="00512C25"/>
    <w:rsid w:val="00514E29"/>
    <w:rsid w:val="0051591C"/>
    <w:rsid w:val="005174EC"/>
    <w:rsid w:val="00522BA1"/>
    <w:rsid w:val="005232AF"/>
    <w:rsid w:val="005276BB"/>
    <w:rsid w:val="005302CB"/>
    <w:rsid w:val="00530ED1"/>
    <w:rsid w:val="005313E2"/>
    <w:rsid w:val="00531682"/>
    <w:rsid w:val="005410AD"/>
    <w:rsid w:val="00542C51"/>
    <w:rsid w:val="00552766"/>
    <w:rsid w:val="0055434C"/>
    <w:rsid w:val="00556E60"/>
    <w:rsid w:val="005621AA"/>
    <w:rsid w:val="00562EAE"/>
    <w:rsid w:val="00563997"/>
    <w:rsid w:val="005663FA"/>
    <w:rsid w:val="00567752"/>
    <w:rsid w:val="0057334D"/>
    <w:rsid w:val="005739A0"/>
    <w:rsid w:val="005741E8"/>
    <w:rsid w:val="0057622A"/>
    <w:rsid w:val="0058640B"/>
    <w:rsid w:val="00591283"/>
    <w:rsid w:val="005A1510"/>
    <w:rsid w:val="005A3D47"/>
    <w:rsid w:val="005A61CE"/>
    <w:rsid w:val="005A73B9"/>
    <w:rsid w:val="005A7E5A"/>
    <w:rsid w:val="005B1285"/>
    <w:rsid w:val="005B1410"/>
    <w:rsid w:val="005B3692"/>
    <w:rsid w:val="005C3FF4"/>
    <w:rsid w:val="005C66A9"/>
    <w:rsid w:val="005C6BFE"/>
    <w:rsid w:val="005D4130"/>
    <w:rsid w:val="005D4A35"/>
    <w:rsid w:val="005D4A40"/>
    <w:rsid w:val="005E493B"/>
    <w:rsid w:val="005E6B8D"/>
    <w:rsid w:val="005E6DC0"/>
    <w:rsid w:val="005E74A3"/>
    <w:rsid w:val="005E7DEE"/>
    <w:rsid w:val="005F2951"/>
    <w:rsid w:val="0060625D"/>
    <w:rsid w:val="00612DE4"/>
    <w:rsid w:val="00613D2D"/>
    <w:rsid w:val="00621C7E"/>
    <w:rsid w:val="00624DDC"/>
    <w:rsid w:val="006253B6"/>
    <w:rsid w:val="006257ED"/>
    <w:rsid w:val="0062686E"/>
    <w:rsid w:val="00630B30"/>
    <w:rsid w:val="00632B58"/>
    <w:rsid w:val="00633951"/>
    <w:rsid w:val="00636544"/>
    <w:rsid w:val="00641B52"/>
    <w:rsid w:val="00641E6A"/>
    <w:rsid w:val="00643EDB"/>
    <w:rsid w:val="00644564"/>
    <w:rsid w:val="00646186"/>
    <w:rsid w:val="00651FF6"/>
    <w:rsid w:val="006538DF"/>
    <w:rsid w:val="00656750"/>
    <w:rsid w:val="00656822"/>
    <w:rsid w:val="00657DD6"/>
    <w:rsid w:val="006607D8"/>
    <w:rsid w:val="00664575"/>
    <w:rsid w:val="00664EBC"/>
    <w:rsid w:val="006676B0"/>
    <w:rsid w:val="0068303E"/>
    <w:rsid w:val="0068383E"/>
    <w:rsid w:val="00684770"/>
    <w:rsid w:val="00684AAF"/>
    <w:rsid w:val="00687D63"/>
    <w:rsid w:val="00691078"/>
    <w:rsid w:val="006914A0"/>
    <w:rsid w:val="006973C0"/>
    <w:rsid w:val="00697501"/>
    <w:rsid w:val="0069790B"/>
    <w:rsid w:val="00697ABA"/>
    <w:rsid w:val="006A0B91"/>
    <w:rsid w:val="006A1D41"/>
    <w:rsid w:val="006A2043"/>
    <w:rsid w:val="006A34DC"/>
    <w:rsid w:val="006A4D02"/>
    <w:rsid w:val="006A5365"/>
    <w:rsid w:val="006A763E"/>
    <w:rsid w:val="006B172E"/>
    <w:rsid w:val="006B1BF9"/>
    <w:rsid w:val="006B31DA"/>
    <w:rsid w:val="006B53F1"/>
    <w:rsid w:val="006B6037"/>
    <w:rsid w:val="006B7DA0"/>
    <w:rsid w:val="006C0E56"/>
    <w:rsid w:val="006C17F9"/>
    <w:rsid w:val="006C1908"/>
    <w:rsid w:val="006C5AA0"/>
    <w:rsid w:val="006D6157"/>
    <w:rsid w:val="006D73C4"/>
    <w:rsid w:val="006D761A"/>
    <w:rsid w:val="006E2A34"/>
    <w:rsid w:val="006E4F82"/>
    <w:rsid w:val="006E6159"/>
    <w:rsid w:val="006F24FA"/>
    <w:rsid w:val="00701E70"/>
    <w:rsid w:val="00703FB3"/>
    <w:rsid w:val="00710660"/>
    <w:rsid w:val="00710703"/>
    <w:rsid w:val="00711629"/>
    <w:rsid w:val="007127C9"/>
    <w:rsid w:val="00712831"/>
    <w:rsid w:val="00713E53"/>
    <w:rsid w:val="00714EB2"/>
    <w:rsid w:val="00717BDC"/>
    <w:rsid w:val="007210C2"/>
    <w:rsid w:val="00723A28"/>
    <w:rsid w:val="0072572C"/>
    <w:rsid w:val="0073396B"/>
    <w:rsid w:val="007365B2"/>
    <w:rsid w:val="00736B62"/>
    <w:rsid w:val="00736EB1"/>
    <w:rsid w:val="00750C7C"/>
    <w:rsid w:val="00751DE8"/>
    <w:rsid w:val="00752E2D"/>
    <w:rsid w:val="00764C85"/>
    <w:rsid w:val="007656B7"/>
    <w:rsid w:val="00767E4A"/>
    <w:rsid w:val="007816EB"/>
    <w:rsid w:val="00786DB8"/>
    <w:rsid w:val="00787E66"/>
    <w:rsid w:val="00793E3E"/>
    <w:rsid w:val="007A059B"/>
    <w:rsid w:val="007A29C5"/>
    <w:rsid w:val="007B1016"/>
    <w:rsid w:val="007B2435"/>
    <w:rsid w:val="007B7D68"/>
    <w:rsid w:val="007C00E5"/>
    <w:rsid w:val="007C4249"/>
    <w:rsid w:val="007C5C3B"/>
    <w:rsid w:val="007C6E14"/>
    <w:rsid w:val="007C7B4B"/>
    <w:rsid w:val="007D2C5F"/>
    <w:rsid w:val="007D62B2"/>
    <w:rsid w:val="007E6017"/>
    <w:rsid w:val="007F1B38"/>
    <w:rsid w:val="007F41B2"/>
    <w:rsid w:val="0080035A"/>
    <w:rsid w:val="00803C3F"/>
    <w:rsid w:val="0080606E"/>
    <w:rsid w:val="00823428"/>
    <w:rsid w:val="00824148"/>
    <w:rsid w:val="0082512D"/>
    <w:rsid w:val="00836173"/>
    <w:rsid w:val="008369BA"/>
    <w:rsid w:val="008404DC"/>
    <w:rsid w:val="00840D32"/>
    <w:rsid w:val="00843222"/>
    <w:rsid w:val="00843933"/>
    <w:rsid w:val="00847B5D"/>
    <w:rsid w:val="008536D4"/>
    <w:rsid w:val="00855413"/>
    <w:rsid w:val="00855C97"/>
    <w:rsid w:val="00855D83"/>
    <w:rsid w:val="00856EFF"/>
    <w:rsid w:val="00863F9A"/>
    <w:rsid w:val="00864C1F"/>
    <w:rsid w:val="00865F74"/>
    <w:rsid w:val="00870FA1"/>
    <w:rsid w:val="00873AB4"/>
    <w:rsid w:val="00875220"/>
    <w:rsid w:val="0088211E"/>
    <w:rsid w:val="008823DB"/>
    <w:rsid w:val="008841A8"/>
    <w:rsid w:val="00884F8D"/>
    <w:rsid w:val="00887B8E"/>
    <w:rsid w:val="00891CD9"/>
    <w:rsid w:val="00892F3A"/>
    <w:rsid w:val="00896B28"/>
    <w:rsid w:val="008A1858"/>
    <w:rsid w:val="008A2111"/>
    <w:rsid w:val="008A25E9"/>
    <w:rsid w:val="008A6F2E"/>
    <w:rsid w:val="008A72CF"/>
    <w:rsid w:val="008C3763"/>
    <w:rsid w:val="008C4294"/>
    <w:rsid w:val="008C7278"/>
    <w:rsid w:val="008D575C"/>
    <w:rsid w:val="008D7A4A"/>
    <w:rsid w:val="008E0239"/>
    <w:rsid w:val="008E15E8"/>
    <w:rsid w:val="008E3569"/>
    <w:rsid w:val="008E4718"/>
    <w:rsid w:val="008E4FAE"/>
    <w:rsid w:val="008E72C6"/>
    <w:rsid w:val="008F182C"/>
    <w:rsid w:val="008F2446"/>
    <w:rsid w:val="008F736A"/>
    <w:rsid w:val="00901040"/>
    <w:rsid w:val="0090205C"/>
    <w:rsid w:val="009022D0"/>
    <w:rsid w:val="00910C56"/>
    <w:rsid w:val="009113AA"/>
    <w:rsid w:val="009139B3"/>
    <w:rsid w:val="009143FE"/>
    <w:rsid w:val="0091704B"/>
    <w:rsid w:val="00921BEE"/>
    <w:rsid w:val="00923845"/>
    <w:rsid w:val="00923F25"/>
    <w:rsid w:val="00926724"/>
    <w:rsid w:val="00935A4D"/>
    <w:rsid w:val="00936868"/>
    <w:rsid w:val="00937486"/>
    <w:rsid w:val="00944B25"/>
    <w:rsid w:val="00946A69"/>
    <w:rsid w:val="00947689"/>
    <w:rsid w:val="00950071"/>
    <w:rsid w:val="009531AB"/>
    <w:rsid w:val="009562ED"/>
    <w:rsid w:val="00957DA2"/>
    <w:rsid w:val="00961304"/>
    <w:rsid w:val="00963503"/>
    <w:rsid w:val="00965DBD"/>
    <w:rsid w:val="00966059"/>
    <w:rsid w:val="00967D99"/>
    <w:rsid w:val="00971944"/>
    <w:rsid w:val="00973ECC"/>
    <w:rsid w:val="009759EC"/>
    <w:rsid w:val="00980106"/>
    <w:rsid w:val="009815C6"/>
    <w:rsid w:val="0098180A"/>
    <w:rsid w:val="00984036"/>
    <w:rsid w:val="00993304"/>
    <w:rsid w:val="00994F5C"/>
    <w:rsid w:val="009959C5"/>
    <w:rsid w:val="00996201"/>
    <w:rsid w:val="009A39E1"/>
    <w:rsid w:val="009A3AD8"/>
    <w:rsid w:val="009A6992"/>
    <w:rsid w:val="009A6EE8"/>
    <w:rsid w:val="009A7C2E"/>
    <w:rsid w:val="009B0F58"/>
    <w:rsid w:val="009C3380"/>
    <w:rsid w:val="009D07D8"/>
    <w:rsid w:val="009D2F9E"/>
    <w:rsid w:val="009D3E05"/>
    <w:rsid w:val="009D535A"/>
    <w:rsid w:val="009E3C56"/>
    <w:rsid w:val="009E4E80"/>
    <w:rsid w:val="009E7E38"/>
    <w:rsid w:val="009F0937"/>
    <w:rsid w:val="009F265B"/>
    <w:rsid w:val="009F482C"/>
    <w:rsid w:val="009F55B6"/>
    <w:rsid w:val="009F68DB"/>
    <w:rsid w:val="00A031B5"/>
    <w:rsid w:val="00A034E0"/>
    <w:rsid w:val="00A03E3F"/>
    <w:rsid w:val="00A05710"/>
    <w:rsid w:val="00A065A9"/>
    <w:rsid w:val="00A07D25"/>
    <w:rsid w:val="00A1108E"/>
    <w:rsid w:val="00A13C64"/>
    <w:rsid w:val="00A203F3"/>
    <w:rsid w:val="00A21E5B"/>
    <w:rsid w:val="00A241FB"/>
    <w:rsid w:val="00A27CD0"/>
    <w:rsid w:val="00A342E7"/>
    <w:rsid w:val="00A362B6"/>
    <w:rsid w:val="00A37AFA"/>
    <w:rsid w:val="00A41890"/>
    <w:rsid w:val="00A44679"/>
    <w:rsid w:val="00A6197D"/>
    <w:rsid w:val="00A61AA4"/>
    <w:rsid w:val="00A63FE2"/>
    <w:rsid w:val="00A6672D"/>
    <w:rsid w:val="00A67DFF"/>
    <w:rsid w:val="00A71475"/>
    <w:rsid w:val="00A714DC"/>
    <w:rsid w:val="00A7179C"/>
    <w:rsid w:val="00A72BB0"/>
    <w:rsid w:val="00A761CB"/>
    <w:rsid w:val="00A85701"/>
    <w:rsid w:val="00A86A4D"/>
    <w:rsid w:val="00A9224B"/>
    <w:rsid w:val="00A93035"/>
    <w:rsid w:val="00A977EA"/>
    <w:rsid w:val="00A97FD0"/>
    <w:rsid w:val="00AA3698"/>
    <w:rsid w:val="00AA6144"/>
    <w:rsid w:val="00AA7D56"/>
    <w:rsid w:val="00AB1C41"/>
    <w:rsid w:val="00AB4030"/>
    <w:rsid w:val="00AC4282"/>
    <w:rsid w:val="00AD0B84"/>
    <w:rsid w:val="00AD3261"/>
    <w:rsid w:val="00AD4355"/>
    <w:rsid w:val="00AD56A2"/>
    <w:rsid w:val="00AE26CD"/>
    <w:rsid w:val="00AE3341"/>
    <w:rsid w:val="00AE3D5F"/>
    <w:rsid w:val="00AE3F5F"/>
    <w:rsid w:val="00AE4E03"/>
    <w:rsid w:val="00AF1B93"/>
    <w:rsid w:val="00AF5549"/>
    <w:rsid w:val="00AF7ACC"/>
    <w:rsid w:val="00B00903"/>
    <w:rsid w:val="00B068C9"/>
    <w:rsid w:val="00B13DC4"/>
    <w:rsid w:val="00B13E5B"/>
    <w:rsid w:val="00B17B7C"/>
    <w:rsid w:val="00B2232F"/>
    <w:rsid w:val="00B23277"/>
    <w:rsid w:val="00B23797"/>
    <w:rsid w:val="00B245AD"/>
    <w:rsid w:val="00B27FC0"/>
    <w:rsid w:val="00B31E0E"/>
    <w:rsid w:val="00B336CF"/>
    <w:rsid w:val="00B33BB1"/>
    <w:rsid w:val="00B34EC1"/>
    <w:rsid w:val="00B36028"/>
    <w:rsid w:val="00B3663A"/>
    <w:rsid w:val="00B37524"/>
    <w:rsid w:val="00B40F8C"/>
    <w:rsid w:val="00B4182B"/>
    <w:rsid w:val="00B43290"/>
    <w:rsid w:val="00B43458"/>
    <w:rsid w:val="00B55E54"/>
    <w:rsid w:val="00B56589"/>
    <w:rsid w:val="00B60E29"/>
    <w:rsid w:val="00B6121C"/>
    <w:rsid w:val="00B614F6"/>
    <w:rsid w:val="00B64055"/>
    <w:rsid w:val="00B64D05"/>
    <w:rsid w:val="00B70460"/>
    <w:rsid w:val="00B70DD6"/>
    <w:rsid w:val="00B84FED"/>
    <w:rsid w:val="00B8628B"/>
    <w:rsid w:val="00B93A7C"/>
    <w:rsid w:val="00B9441B"/>
    <w:rsid w:val="00B95D0A"/>
    <w:rsid w:val="00BA24A1"/>
    <w:rsid w:val="00BA45D1"/>
    <w:rsid w:val="00BA5034"/>
    <w:rsid w:val="00BA70B9"/>
    <w:rsid w:val="00BB4873"/>
    <w:rsid w:val="00BB4BF8"/>
    <w:rsid w:val="00BC415C"/>
    <w:rsid w:val="00BC4F09"/>
    <w:rsid w:val="00BD2480"/>
    <w:rsid w:val="00BD3748"/>
    <w:rsid w:val="00BD6407"/>
    <w:rsid w:val="00BD6927"/>
    <w:rsid w:val="00BD702B"/>
    <w:rsid w:val="00BD7B78"/>
    <w:rsid w:val="00BD7DB9"/>
    <w:rsid w:val="00BE1673"/>
    <w:rsid w:val="00BE773B"/>
    <w:rsid w:val="00BF2DE4"/>
    <w:rsid w:val="00BF62C6"/>
    <w:rsid w:val="00C014A1"/>
    <w:rsid w:val="00C03857"/>
    <w:rsid w:val="00C0409E"/>
    <w:rsid w:val="00C05352"/>
    <w:rsid w:val="00C057C6"/>
    <w:rsid w:val="00C05833"/>
    <w:rsid w:val="00C05C58"/>
    <w:rsid w:val="00C20632"/>
    <w:rsid w:val="00C21FF7"/>
    <w:rsid w:val="00C247CF"/>
    <w:rsid w:val="00C24F2D"/>
    <w:rsid w:val="00C262C8"/>
    <w:rsid w:val="00C32404"/>
    <w:rsid w:val="00C32EA1"/>
    <w:rsid w:val="00C401B6"/>
    <w:rsid w:val="00C424CB"/>
    <w:rsid w:val="00C62388"/>
    <w:rsid w:val="00C62A96"/>
    <w:rsid w:val="00C67F4E"/>
    <w:rsid w:val="00C718D5"/>
    <w:rsid w:val="00C73360"/>
    <w:rsid w:val="00C83FE8"/>
    <w:rsid w:val="00C86786"/>
    <w:rsid w:val="00C86CB2"/>
    <w:rsid w:val="00C91C71"/>
    <w:rsid w:val="00C9302A"/>
    <w:rsid w:val="00C95126"/>
    <w:rsid w:val="00C96B6A"/>
    <w:rsid w:val="00C97D12"/>
    <w:rsid w:val="00CA72A5"/>
    <w:rsid w:val="00CB10DA"/>
    <w:rsid w:val="00CB57AD"/>
    <w:rsid w:val="00CC07BF"/>
    <w:rsid w:val="00CC4651"/>
    <w:rsid w:val="00CC6927"/>
    <w:rsid w:val="00CD30A1"/>
    <w:rsid w:val="00CD4601"/>
    <w:rsid w:val="00CD5295"/>
    <w:rsid w:val="00CD731B"/>
    <w:rsid w:val="00CE018E"/>
    <w:rsid w:val="00CE7A4A"/>
    <w:rsid w:val="00CF23C3"/>
    <w:rsid w:val="00CF29F7"/>
    <w:rsid w:val="00CF3F76"/>
    <w:rsid w:val="00CF630B"/>
    <w:rsid w:val="00D004AB"/>
    <w:rsid w:val="00D007D6"/>
    <w:rsid w:val="00D00DB5"/>
    <w:rsid w:val="00D066CF"/>
    <w:rsid w:val="00D06C21"/>
    <w:rsid w:val="00D12317"/>
    <w:rsid w:val="00D1343F"/>
    <w:rsid w:val="00D13AA8"/>
    <w:rsid w:val="00D15DA0"/>
    <w:rsid w:val="00D20B6C"/>
    <w:rsid w:val="00D239B5"/>
    <w:rsid w:val="00D25C94"/>
    <w:rsid w:val="00D27280"/>
    <w:rsid w:val="00D326F4"/>
    <w:rsid w:val="00D32B72"/>
    <w:rsid w:val="00D35162"/>
    <w:rsid w:val="00D36A5B"/>
    <w:rsid w:val="00D4033C"/>
    <w:rsid w:val="00D41399"/>
    <w:rsid w:val="00D4502D"/>
    <w:rsid w:val="00D45504"/>
    <w:rsid w:val="00D5346A"/>
    <w:rsid w:val="00D53B7B"/>
    <w:rsid w:val="00D55767"/>
    <w:rsid w:val="00D63B23"/>
    <w:rsid w:val="00D66B8E"/>
    <w:rsid w:val="00D66C51"/>
    <w:rsid w:val="00D67ACC"/>
    <w:rsid w:val="00D71BA0"/>
    <w:rsid w:val="00D749DF"/>
    <w:rsid w:val="00D75437"/>
    <w:rsid w:val="00D82755"/>
    <w:rsid w:val="00D82E67"/>
    <w:rsid w:val="00D82F01"/>
    <w:rsid w:val="00D831AC"/>
    <w:rsid w:val="00D84238"/>
    <w:rsid w:val="00D85249"/>
    <w:rsid w:val="00D85E4B"/>
    <w:rsid w:val="00D97926"/>
    <w:rsid w:val="00DA0D73"/>
    <w:rsid w:val="00DA3557"/>
    <w:rsid w:val="00DA3FC7"/>
    <w:rsid w:val="00DA4701"/>
    <w:rsid w:val="00DA5BDF"/>
    <w:rsid w:val="00DB29DC"/>
    <w:rsid w:val="00DB2A49"/>
    <w:rsid w:val="00DB40DE"/>
    <w:rsid w:val="00DB5445"/>
    <w:rsid w:val="00DB56F6"/>
    <w:rsid w:val="00DC65F2"/>
    <w:rsid w:val="00DC7876"/>
    <w:rsid w:val="00DC7DD5"/>
    <w:rsid w:val="00DE084B"/>
    <w:rsid w:val="00DE3ED7"/>
    <w:rsid w:val="00DE4B5D"/>
    <w:rsid w:val="00DF0C16"/>
    <w:rsid w:val="00DF1291"/>
    <w:rsid w:val="00DF2A4F"/>
    <w:rsid w:val="00DF300F"/>
    <w:rsid w:val="00DF3CF1"/>
    <w:rsid w:val="00DF65F7"/>
    <w:rsid w:val="00E009EE"/>
    <w:rsid w:val="00E01ED7"/>
    <w:rsid w:val="00E02949"/>
    <w:rsid w:val="00E05049"/>
    <w:rsid w:val="00E060C1"/>
    <w:rsid w:val="00E07B52"/>
    <w:rsid w:val="00E106BE"/>
    <w:rsid w:val="00E1392C"/>
    <w:rsid w:val="00E14EEA"/>
    <w:rsid w:val="00E17329"/>
    <w:rsid w:val="00E22AC6"/>
    <w:rsid w:val="00E23371"/>
    <w:rsid w:val="00E2392D"/>
    <w:rsid w:val="00E23F8F"/>
    <w:rsid w:val="00E24830"/>
    <w:rsid w:val="00E25BB3"/>
    <w:rsid w:val="00E318A6"/>
    <w:rsid w:val="00E333EF"/>
    <w:rsid w:val="00E4182C"/>
    <w:rsid w:val="00E41B7A"/>
    <w:rsid w:val="00E41C62"/>
    <w:rsid w:val="00E41EE9"/>
    <w:rsid w:val="00E4493E"/>
    <w:rsid w:val="00E461D4"/>
    <w:rsid w:val="00E510C1"/>
    <w:rsid w:val="00E52555"/>
    <w:rsid w:val="00E52593"/>
    <w:rsid w:val="00E5306C"/>
    <w:rsid w:val="00E53C0E"/>
    <w:rsid w:val="00E62285"/>
    <w:rsid w:val="00E62819"/>
    <w:rsid w:val="00E70B05"/>
    <w:rsid w:val="00E7146B"/>
    <w:rsid w:val="00E71E25"/>
    <w:rsid w:val="00E74817"/>
    <w:rsid w:val="00E7592D"/>
    <w:rsid w:val="00E80181"/>
    <w:rsid w:val="00E821B6"/>
    <w:rsid w:val="00E9045F"/>
    <w:rsid w:val="00E91751"/>
    <w:rsid w:val="00EA0D4F"/>
    <w:rsid w:val="00EA405B"/>
    <w:rsid w:val="00EA6423"/>
    <w:rsid w:val="00EA69FF"/>
    <w:rsid w:val="00EA6D51"/>
    <w:rsid w:val="00EB37A1"/>
    <w:rsid w:val="00EB4C26"/>
    <w:rsid w:val="00EB6134"/>
    <w:rsid w:val="00EC1A6C"/>
    <w:rsid w:val="00EC7639"/>
    <w:rsid w:val="00EC77C1"/>
    <w:rsid w:val="00ED1F26"/>
    <w:rsid w:val="00ED7509"/>
    <w:rsid w:val="00EE38AF"/>
    <w:rsid w:val="00EE71C6"/>
    <w:rsid w:val="00EF254B"/>
    <w:rsid w:val="00EF4FF2"/>
    <w:rsid w:val="00EF604B"/>
    <w:rsid w:val="00F005E7"/>
    <w:rsid w:val="00F071DE"/>
    <w:rsid w:val="00F13A68"/>
    <w:rsid w:val="00F17998"/>
    <w:rsid w:val="00F17B83"/>
    <w:rsid w:val="00F23D09"/>
    <w:rsid w:val="00F27028"/>
    <w:rsid w:val="00F27710"/>
    <w:rsid w:val="00F27BE6"/>
    <w:rsid w:val="00F323FE"/>
    <w:rsid w:val="00F33098"/>
    <w:rsid w:val="00F35D12"/>
    <w:rsid w:val="00F36738"/>
    <w:rsid w:val="00F409E2"/>
    <w:rsid w:val="00F42246"/>
    <w:rsid w:val="00F440A5"/>
    <w:rsid w:val="00F6289A"/>
    <w:rsid w:val="00F67162"/>
    <w:rsid w:val="00F74630"/>
    <w:rsid w:val="00F85648"/>
    <w:rsid w:val="00F86769"/>
    <w:rsid w:val="00F90657"/>
    <w:rsid w:val="00F90D5E"/>
    <w:rsid w:val="00F9122A"/>
    <w:rsid w:val="00F96775"/>
    <w:rsid w:val="00F972D5"/>
    <w:rsid w:val="00FA0865"/>
    <w:rsid w:val="00FA0C8C"/>
    <w:rsid w:val="00FA1F79"/>
    <w:rsid w:val="00FA2D14"/>
    <w:rsid w:val="00FA6D2C"/>
    <w:rsid w:val="00FA7CC4"/>
    <w:rsid w:val="00FB0417"/>
    <w:rsid w:val="00FB13A2"/>
    <w:rsid w:val="00FB238F"/>
    <w:rsid w:val="00FB5BF6"/>
    <w:rsid w:val="00FC779A"/>
    <w:rsid w:val="00FD16F7"/>
    <w:rsid w:val="00FD2FA9"/>
    <w:rsid w:val="00FE2931"/>
    <w:rsid w:val="00FE7E9E"/>
    <w:rsid w:val="00FF15CB"/>
    <w:rsid w:val="00FF2047"/>
    <w:rsid w:val="00FF5C51"/>
    <w:rsid w:val="00FF5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43A651"/>
  <w15:docId w15:val="{3E84F90E-2B95-44A0-BF6D-497CAD23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qFormat/>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rsid w:val="00B55E54"/>
    <w:rPr>
      <w:sz w:val="20"/>
      <w:szCs w:val="20"/>
    </w:rPr>
  </w:style>
  <w:style w:type="character" w:styleId="FootnoteReference">
    <w:name w:val="footnote reference"/>
    <w:aliases w:val="fr"/>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qFormat/>
    <w:rsid w:val="00013BC4"/>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rsid w:val="00013BC4"/>
    <w:rPr>
      <w:rFonts w:ascii="Times New Roman" w:eastAsia="Times New Roman" w:hAnsi="Times New Roman" w:cs="Times New Roman"/>
      <w:sz w:val="24"/>
      <w:szCs w:val="20"/>
    </w:rPr>
  </w:style>
  <w:style w:type="paragraph" w:customStyle="1" w:styleId="ParagraphContinued">
    <w:name w:val="Paragraph Continued"/>
    <w:basedOn w:val="Normal"/>
    <w:next w:val="Normal"/>
    <w:qFormat/>
    <w:rsid w:val="006973C0"/>
    <w:pPr>
      <w:spacing w:before="240" w:after="240" w:line="290" w:lineRule="exact"/>
    </w:pPr>
    <w:rPr>
      <w:rFonts w:eastAsia="Times New Roman" w:cs="Times New Roman"/>
      <w:sz w:val="24"/>
      <w:szCs w:val="20"/>
    </w:rPr>
  </w:style>
  <w:style w:type="paragraph" w:styleId="List">
    <w:name w:val="List"/>
    <w:basedOn w:val="Normal"/>
    <w:unhideWhenUsed/>
    <w:rsid w:val="006973C0"/>
    <w:pPr>
      <w:numPr>
        <w:numId w:val="42"/>
      </w:numPr>
      <w:spacing w:before="120" w:after="120" w:line="290" w:lineRule="exact"/>
    </w:pPr>
    <w:rPr>
      <w:rFonts w:eastAsia="Times New Roman" w:cs="Times New Roman"/>
      <w:sz w:val="24"/>
      <w:szCs w:val="20"/>
    </w:rPr>
  </w:style>
  <w:style w:type="paragraph" w:styleId="List2">
    <w:name w:val="List 2"/>
    <w:basedOn w:val="Normal"/>
    <w:unhideWhenUsed/>
    <w:rsid w:val="006973C0"/>
    <w:pPr>
      <w:numPr>
        <w:ilvl w:val="1"/>
        <w:numId w:val="42"/>
      </w:numPr>
      <w:spacing w:before="120" w:after="120" w:line="290" w:lineRule="exact"/>
    </w:pPr>
    <w:rPr>
      <w:rFonts w:eastAsia="Times New Roman" w:cs="Times New Roman"/>
      <w:sz w:val="24"/>
      <w:szCs w:val="20"/>
    </w:rPr>
  </w:style>
  <w:style w:type="paragraph" w:styleId="List3">
    <w:name w:val="List 3"/>
    <w:basedOn w:val="Normal"/>
    <w:unhideWhenUsed/>
    <w:rsid w:val="006973C0"/>
    <w:pPr>
      <w:numPr>
        <w:ilvl w:val="2"/>
        <w:numId w:val="42"/>
      </w:numPr>
      <w:spacing w:before="120" w:after="120" w:line="290" w:lineRule="exact"/>
    </w:pPr>
    <w:rPr>
      <w:rFonts w:eastAsia="Times New Roman" w:cs="Times New Roman"/>
      <w:sz w:val="24"/>
      <w:szCs w:val="20"/>
    </w:rPr>
  </w:style>
  <w:style w:type="paragraph" w:styleId="List4">
    <w:name w:val="List 4"/>
    <w:basedOn w:val="Normal"/>
    <w:unhideWhenUsed/>
    <w:rsid w:val="006973C0"/>
    <w:pPr>
      <w:numPr>
        <w:ilvl w:val="3"/>
        <w:numId w:val="42"/>
      </w:numPr>
      <w:spacing w:before="120" w:after="120" w:line="290" w:lineRule="exact"/>
      <w:contextualSpacing/>
    </w:pPr>
    <w:rPr>
      <w:rFonts w:eastAsia="Times New Roman" w:cs="Times New Roman"/>
      <w:sz w:val="24"/>
      <w:szCs w:val="20"/>
    </w:rPr>
  </w:style>
  <w:style w:type="paragraph" w:styleId="List5">
    <w:name w:val="List 5"/>
    <w:basedOn w:val="Normal"/>
    <w:unhideWhenUsed/>
    <w:rsid w:val="006973C0"/>
    <w:pPr>
      <w:numPr>
        <w:ilvl w:val="4"/>
        <w:numId w:val="42"/>
      </w:numPr>
      <w:spacing w:after="240" w:line="290" w:lineRule="exact"/>
      <w:contextualSpacing/>
    </w:pPr>
    <w:rPr>
      <w:rFonts w:eastAsia="Times New Roman" w:cs="Times New Roman"/>
      <w:sz w:val="24"/>
      <w:szCs w:val="20"/>
    </w:rPr>
  </w:style>
  <w:style w:type="paragraph" w:customStyle="1" w:styleId="MarkforTableTitle">
    <w:name w:val="Mark for Table Title"/>
    <w:basedOn w:val="Normal"/>
    <w:next w:val="NormalSS"/>
    <w:qFormat/>
    <w:rsid w:val="000B5498"/>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TableText"/>
    <w:next w:val="TableText"/>
    <w:qFormat/>
    <w:rsid w:val="000B5498"/>
    <w:pPr>
      <w:spacing w:before="120" w:after="60"/>
    </w:pPr>
    <w:rPr>
      <w:b/>
      <w:color w:val="FFFFFF" w:themeColor="background1"/>
    </w:rPr>
  </w:style>
  <w:style w:type="paragraph" w:customStyle="1" w:styleId="TableHeaderCenter">
    <w:name w:val="Table Header Center"/>
    <w:basedOn w:val="TableHeaderLeft"/>
    <w:qFormat/>
    <w:rsid w:val="000B5498"/>
    <w:pPr>
      <w:jc w:val="center"/>
    </w:pPr>
  </w:style>
  <w:style w:type="paragraph" w:customStyle="1" w:styleId="TableText">
    <w:name w:val="Table Text"/>
    <w:basedOn w:val="Normal"/>
    <w:qFormat/>
    <w:rsid w:val="000B5498"/>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387267"/>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NumberedBullet">
    <w:name w:val="Numbered Bullet"/>
    <w:basedOn w:val="Normal"/>
    <w:link w:val="NumberedBulletChar"/>
    <w:qFormat/>
    <w:rsid w:val="008E72C6"/>
    <w:pPr>
      <w:tabs>
        <w:tab w:val="left" w:pos="432"/>
        <w:tab w:val="num" w:pos="792"/>
      </w:tabs>
      <w:spacing w:after="120" w:line="240" w:lineRule="auto"/>
      <w:ind w:left="792" w:hanging="360"/>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8E72C6"/>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090201"/>
    <w:rPr>
      <w:color w:val="605E5C"/>
      <w:shd w:val="clear" w:color="auto" w:fill="E1DFDD"/>
    </w:rPr>
  </w:style>
  <w:style w:type="paragraph" w:customStyle="1" w:styleId="Bullet">
    <w:name w:val="Bullet"/>
    <w:basedOn w:val="Normal"/>
    <w:qFormat/>
    <w:rsid w:val="0024795A"/>
    <w:pPr>
      <w:numPr>
        <w:numId w:val="47"/>
      </w:numPr>
      <w:spacing w:after="80" w:line="240" w:lineRule="auto"/>
      <w:ind w:left="360"/>
    </w:pPr>
    <w:rPr>
      <w:rFonts w:ascii="Calibri" w:eastAsia="Times New Roman" w:hAnsi="Calibri" w:cs="Calibri"/>
      <w:bCs/>
    </w:rPr>
  </w:style>
  <w:style w:type="paragraph" w:customStyle="1" w:styleId="References">
    <w:name w:val="References"/>
    <w:basedOn w:val="Normal"/>
    <w:qFormat/>
    <w:rsid w:val="0032109D"/>
    <w:pPr>
      <w:keepLines/>
      <w:spacing w:after="240" w:line="240" w:lineRule="auto"/>
      <w:ind w:left="432" w:hanging="432"/>
    </w:pPr>
    <w:rPr>
      <w:rFonts w:ascii="Times New Roman" w:eastAsia="Times New Roman" w:hAnsi="Times New Roman" w:cs="Times New Roman"/>
      <w:sz w:val="24"/>
      <w:szCs w:val="20"/>
    </w:rPr>
  </w:style>
  <w:style w:type="paragraph" w:customStyle="1" w:styleId="TableFootnoteCaption">
    <w:name w:val="Table Footnote_Caption"/>
    <w:qFormat/>
    <w:rsid w:val="00D27280"/>
    <w:pPr>
      <w:tabs>
        <w:tab w:val="left" w:pos="1080"/>
      </w:tabs>
      <w:spacing w:before="60" w:after="0" w:line="240" w:lineRule="auto"/>
    </w:pPr>
    <w:rPr>
      <w:rFonts w:ascii="Arial" w:eastAsia="Times New Roman" w:hAnsi="Arial" w:cs="Times New Roman"/>
      <w:sz w:val="18"/>
      <w:szCs w:val="20"/>
    </w:rPr>
  </w:style>
  <w:style w:type="paragraph" w:customStyle="1" w:styleId="NormalSScontinued">
    <w:name w:val="NormalSS (continued)"/>
    <w:basedOn w:val="NormalSS"/>
    <w:next w:val="NormalSS"/>
    <w:qFormat/>
    <w:rsid w:val="007365B2"/>
    <w:pPr>
      <w:ind w:firstLine="0"/>
    </w:pPr>
  </w:style>
  <w:style w:type="character" w:styleId="FollowedHyperlink">
    <w:name w:val="FollowedHyperlink"/>
    <w:basedOn w:val="DefaultParagraphFont"/>
    <w:uiPriority w:val="99"/>
    <w:semiHidden/>
    <w:unhideWhenUsed/>
    <w:rsid w:val="006E6159"/>
    <w:rPr>
      <w:color w:val="800080" w:themeColor="followedHyperlink"/>
      <w:u w:val="single"/>
    </w:rPr>
  </w:style>
  <w:style w:type="paragraph" w:customStyle="1" w:styleId="Paragraph">
    <w:name w:val="Paragraph"/>
    <w:basedOn w:val="Normal"/>
    <w:qFormat/>
    <w:rsid w:val="00B43458"/>
    <w:pPr>
      <w:spacing w:after="240" w:line="290" w:lineRule="exact"/>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252490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51449483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1A2CB12B25204695DB11987B142F12" ma:contentTypeVersion="10" ma:contentTypeDescription="Create a new document." ma:contentTypeScope="" ma:versionID="c656d5a3e75e9ae1bbfacea46271f5d0">
  <xsd:schema xmlns:xsd="http://www.w3.org/2001/XMLSchema" xmlns:xs="http://www.w3.org/2001/XMLSchema" xmlns:p="http://schemas.microsoft.com/office/2006/metadata/properties" xmlns:ns3="cfa2e401-468b-4b25-a968-cb70173cd5e1" targetNamespace="http://schemas.microsoft.com/office/2006/metadata/properties" ma:root="true" ma:fieldsID="00113866bc3bbeda878550631dae1a12" ns3:_="">
    <xsd:import namespace="cfa2e401-468b-4b25-a968-cb70173cd5e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2e401-468b-4b25-a968-cb70173cd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8BA83C-71A8-41B6-B8C2-FAE3F21C4702}">
  <ds:schemaRefs>
    <ds:schemaRef ds:uri="http://schemas.openxmlformats.org/officeDocument/2006/bibliography"/>
  </ds:schemaRefs>
</ds:datastoreItem>
</file>

<file path=customXml/itemProps2.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3.xml><?xml version="1.0" encoding="utf-8"?>
<ds:datastoreItem xmlns:ds="http://schemas.openxmlformats.org/officeDocument/2006/customXml" ds:itemID="{B9A479CC-25A5-46B8-99F1-6FAB8FBD1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2e401-468b-4b25-a968-cb70173cd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13</Pages>
  <Words>4556</Words>
  <Characters>25973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Madigan, Amy (ACF)</dc:creator>
  <cp:keywords/>
  <dc:description/>
  <cp:lastModifiedBy>Jones, Molly (ACF)</cp:lastModifiedBy>
  <cp:revision>20</cp:revision>
  <cp:lastPrinted>2020-10-30T14:37:00Z</cp:lastPrinted>
  <dcterms:created xsi:type="dcterms:W3CDTF">2021-06-30T16:18:00Z</dcterms:created>
  <dcterms:modified xsi:type="dcterms:W3CDTF">2021-07-15T15:01:00Z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0x010100BD1A2CB12B25204695DB11987B142F12</vt:lpwstr>
  </property>
</Properties>
</file>