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59B6" w:rsidR="00A42C71" w:rsidP="00A42C71" w:rsidRDefault="00A42C71" w14:paraId="70CFD577" w14:textId="77777777">
      <w:pPr>
        <w:spacing w:after="0"/>
        <w:rPr>
          <w:rFonts w:cstheme="minorHAnsi"/>
          <w:b/>
        </w:rPr>
      </w:pPr>
    </w:p>
    <w:p w:rsidRPr="001A59B6" w:rsidR="00A42C71" w:rsidP="00A42C71" w:rsidRDefault="00A42C71" w14:paraId="703D208D" w14:textId="77777777">
      <w:pPr>
        <w:spacing w:after="0"/>
        <w:jc w:val="center"/>
        <w:rPr>
          <w:rFonts w:cstheme="minorHAnsi"/>
          <w:b/>
          <w:sz w:val="40"/>
          <w:highlight w:val="yellow"/>
        </w:rPr>
      </w:pPr>
    </w:p>
    <w:p w:rsidRPr="001A59B6" w:rsidR="00A42C71" w:rsidP="00A42C71" w:rsidRDefault="006F3173" w14:paraId="7CB5189A" w14:textId="3E8D4867">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Early Head Start</w:t>
      </w:r>
      <w:r w:rsidR="00B52211">
        <w:rPr>
          <w:rFonts w:ascii="Arial" w:hAnsi="Arial" w:eastAsia="Arial Unicode MS" w:cs="Arial"/>
          <w:noProof/>
          <w:color w:val="auto"/>
        </w:rPr>
        <w:t>-</w:t>
      </w:r>
      <w:r>
        <w:rPr>
          <w:rFonts w:eastAsia="Arial Unicode MS" w:asciiTheme="minorHAnsi" w:hAnsiTheme="minorHAnsi" w:cstheme="minorHAnsi"/>
          <w:noProof/>
          <w:color w:val="auto"/>
        </w:rPr>
        <w:t xml:space="preserve">Child Care Partnerships Sustainability </w:t>
      </w:r>
      <w:r w:rsidRPr="001A59B6" w:rsidR="00A42C71">
        <w:rPr>
          <w:rFonts w:eastAsia="Arial Unicode MS" w:asciiTheme="minorHAnsi" w:hAnsiTheme="minorHAnsi" w:cstheme="minorHAnsi"/>
          <w:noProof/>
          <w:color w:val="auto"/>
        </w:rPr>
        <w:t>Study</w:t>
      </w:r>
    </w:p>
    <w:p w:rsidRPr="001A59B6" w:rsidR="00A42C71" w:rsidP="00A42C71" w:rsidRDefault="00A42C71" w14:paraId="4A7DBF2F" w14:textId="77777777">
      <w:pPr>
        <w:pStyle w:val="ReportCover-Title"/>
        <w:rPr>
          <w:rFonts w:asciiTheme="minorHAnsi" w:hAnsiTheme="minorHAnsi" w:cstheme="minorHAnsi"/>
          <w:color w:val="auto"/>
        </w:rPr>
      </w:pP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A42C71" w14:paraId="3F6C890C" w14:textId="48D8D334">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0970-</w:t>
      </w:r>
      <w:r w:rsidR="00162F8E">
        <w:rPr>
          <w:rFonts w:asciiTheme="minorHAnsi" w:hAnsiTheme="minorHAnsi" w:cstheme="minorHAnsi"/>
          <w:color w:val="auto"/>
          <w:sz w:val="32"/>
          <w:szCs w:val="32"/>
        </w:rPr>
        <w:t>0471</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D84CED" w14:paraId="10D3ADE5" w14:textId="0E35C092">
      <w:pPr>
        <w:pStyle w:val="ReportCover-Date"/>
        <w:spacing w:after="0"/>
        <w:jc w:val="center"/>
        <w:rPr>
          <w:rFonts w:asciiTheme="minorHAnsi" w:hAnsiTheme="minorHAnsi" w:cstheme="minorHAnsi"/>
          <w:color w:val="auto"/>
        </w:rPr>
      </w:pPr>
      <w:r>
        <w:rPr>
          <w:rFonts w:asciiTheme="minorHAnsi" w:hAnsiTheme="minorHAnsi" w:cstheme="minorHAnsi"/>
          <w:color w:val="auto"/>
        </w:rPr>
        <w:t xml:space="preserve">July </w:t>
      </w:r>
      <w:r w:rsidR="00CF13D3">
        <w:rPr>
          <w:rFonts w:asciiTheme="minorHAnsi" w:hAnsiTheme="minorHAnsi" w:cstheme="minorHAnsi"/>
          <w:color w:val="auto"/>
        </w:rPr>
        <w:t>2021</w:t>
      </w:r>
    </w:p>
    <w:p w:rsidRPr="001A59B6" w:rsidR="00A42C71" w:rsidP="00A42C71" w:rsidRDefault="00A42C71" w14:paraId="23C2EED4"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715DE65F" w14:textId="77777777">
      <w:pPr>
        <w:pStyle w:val="ReportCover-Date"/>
        <w:spacing w:after="0"/>
        <w:jc w:val="center"/>
        <w:rPr>
          <w:rFonts w:asciiTheme="minorHAnsi" w:hAnsiTheme="minorHAnsi" w:cstheme="minorHAnsi"/>
          <w:color w:val="auto"/>
        </w:rPr>
      </w:pPr>
    </w:p>
    <w:p w:rsidRPr="001A59B6" w:rsidR="00A42C71" w:rsidP="00A42C71" w:rsidRDefault="00A42C71" w14:paraId="3A5BBBCE" w14:textId="77777777">
      <w:pPr>
        <w:pStyle w:val="ReportCover-Date"/>
        <w:spacing w:after="0"/>
        <w:jc w:val="center"/>
        <w:rPr>
          <w:rFonts w:asciiTheme="minorHAnsi" w:hAnsiTheme="minorHAnsi" w:cstheme="minorHAnsi"/>
          <w:color w:val="auto"/>
        </w:rPr>
      </w:pPr>
    </w:p>
    <w:p w:rsidRPr="001A59B6" w:rsidR="00A42C71" w:rsidP="00A42C71" w:rsidRDefault="00A42C71" w14:paraId="6C4099E3" w14:textId="77777777">
      <w:pPr>
        <w:pStyle w:val="ReportCover-Date"/>
        <w:spacing w:after="0"/>
        <w:jc w:val="center"/>
        <w:rPr>
          <w:rFonts w:asciiTheme="minorHAnsi" w:hAnsiTheme="minorHAnsi" w:cstheme="minorHAnsi"/>
          <w:color w:val="auto"/>
        </w:rPr>
      </w:pPr>
    </w:p>
    <w:p w:rsidRPr="001A59B6" w:rsidR="00A42C71" w:rsidP="00A42C71" w:rsidRDefault="00A42C71" w14:paraId="055C8152" w14:textId="77777777">
      <w:pPr>
        <w:pStyle w:val="ReportCover-Date"/>
        <w:spacing w:after="0"/>
        <w:jc w:val="center"/>
        <w:rPr>
          <w:rFonts w:asciiTheme="minorHAnsi" w:hAnsiTheme="minorHAnsi" w:cstheme="minorHAnsi"/>
          <w:color w:val="auto"/>
        </w:rPr>
      </w:pPr>
    </w:p>
    <w:p w:rsidRPr="001A59B6" w:rsidR="00A42C71" w:rsidP="00A42C71" w:rsidRDefault="00A42C71" w14:paraId="48D9D0F9" w14:textId="77777777">
      <w:pPr>
        <w:pStyle w:val="ReportCover-Date"/>
        <w:spacing w:after="0"/>
        <w:jc w:val="center"/>
        <w:rPr>
          <w:rFonts w:asciiTheme="minorHAnsi" w:hAnsiTheme="minorHAnsi" w:cstheme="minorHAnsi"/>
          <w:color w:val="auto"/>
        </w:rPr>
      </w:pPr>
    </w:p>
    <w:p w:rsidRPr="001A59B6" w:rsidR="00A42C71" w:rsidP="00A42C71" w:rsidRDefault="00A42C71" w14:paraId="6732C469" w14:textId="77777777">
      <w:pPr>
        <w:pStyle w:val="ReportCover-Date"/>
        <w:spacing w:after="0"/>
        <w:jc w:val="center"/>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24D4A3EC">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Pr="001A59B6" w:rsidR="00A42C71" w:rsidP="00A42C71" w:rsidRDefault="00A42C71" w14:paraId="16C3B2D5" w14:textId="764D13D0">
      <w:pPr>
        <w:spacing w:after="0" w:line="240" w:lineRule="auto"/>
        <w:jc w:val="center"/>
        <w:rPr>
          <w:rFonts w:cstheme="minorHAnsi"/>
        </w:rPr>
      </w:pPr>
      <w:r w:rsidRPr="001A59B6">
        <w:rPr>
          <w:rFonts w:cstheme="minorHAnsi"/>
        </w:rPr>
        <w:t>Project Officers:</w:t>
      </w:r>
      <w:r w:rsidR="000A06C2">
        <w:rPr>
          <w:rFonts w:cstheme="minorHAnsi"/>
        </w:rPr>
        <w:t xml:space="preserve"> </w:t>
      </w:r>
      <w:r w:rsidRPr="000A06C2" w:rsidR="000A06C2">
        <w:t xml:space="preserve"> </w:t>
      </w:r>
      <w:r w:rsidRPr="000A06C2" w:rsidR="000A06C2">
        <w:rPr>
          <w:rFonts w:cstheme="minorHAnsi"/>
        </w:rPr>
        <w:t>Christine Fortunato, Amy Madigan, Sarah Blankenship, and Jenessa Malin</w:t>
      </w: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3D580A57">
      <w:pPr>
        <w:spacing w:after="0"/>
        <w:jc w:val="center"/>
        <w:rPr>
          <w:rFonts w:cstheme="minorHAnsi"/>
          <w:b/>
          <w:sz w:val="32"/>
          <w:szCs w:val="32"/>
        </w:rPr>
      </w:pPr>
      <w:r w:rsidRPr="001A59B6">
        <w:rPr>
          <w:rFonts w:cstheme="minorHAnsi"/>
          <w:b/>
          <w:sz w:val="32"/>
          <w:szCs w:val="32"/>
        </w:rPr>
        <w:lastRenderedPageBreak/>
        <w:t>Part B</w:t>
      </w:r>
    </w:p>
    <w:p w:rsidRPr="00444D5F" w:rsidR="00A42C71" w:rsidP="00444D5F" w:rsidRDefault="00A42C71" w14:paraId="6D9C455E" w14:textId="77777777">
      <w:pPr>
        <w:keepNext/>
        <w:keepLines/>
        <w:tabs>
          <w:tab w:val="left" w:pos="450"/>
        </w:tabs>
        <w:autoSpaceDE w:val="0"/>
        <w:autoSpaceDN w:val="0"/>
        <w:adjustRightInd w:val="0"/>
        <w:spacing w:after="120" w:line="240" w:lineRule="atLeast"/>
        <w:rPr>
          <w:rFonts w:eastAsia="Times New Roman" w:cstheme="minorHAnsi"/>
          <w:b/>
          <w:bCs/>
          <w:color w:val="000000"/>
        </w:rPr>
      </w:pPr>
      <w:r w:rsidRPr="00444D5F">
        <w:rPr>
          <w:rFonts w:eastAsia="Times New Roman" w:cstheme="minorHAnsi"/>
          <w:b/>
          <w:bCs/>
          <w:color w:val="000000"/>
        </w:rPr>
        <w:t>B1.</w:t>
      </w:r>
      <w:r w:rsidRPr="00444D5F">
        <w:rPr>
          <w:rFonts w:eastAsia="Times New Roman" w:cstheme="minorHAnsi"/>
          <w:b/>
          <w:bCs/>
          <w:color w:val="000000"/>
        </w:rPr>
        <w:tab/>
        <w:t>Objectives</w:t>
      </w:r>
    </w:p>
    <w:p w:rsidR="00D51A1A" w:rsidP="007840BD" w:rsidRDefault="00A42C71" w14:paraId="1294E01B" w14:textId="7466366F">
      <w:pPr>
        <w:spacing w:after="120" w:line="240" w:lineRule="auto"/>
        <w:rPr>
          <w:rFonts w:cstheme="minorHAnsi"/>
          <w:i/>
        </w:rPr>
      </w:pPr>
      <w:r w:rsidRPr="00D51A1A">
        <w:rPr>
          <w:rFonts w:cstheme="minorHAnsi"/>
          <w:i/>
        </w:rPr>
        <w:t>Study Objectives</w:t>
      </w:r>
    </w:p>
    <w:p w:rsidRPr="001A59B6" w:rsidR="00A42C71" w:rsidP="007840BD" w:rsidRDefault="007E12CA" w14:paraId="5329D960" w14:textId="3F295783">
      <w:pPr>
        <w:spacing w:after="240" w:line="240" w:lineRule="auto"/>
        <w:rPr>
          <w:rFonts w:cstheme="minorHAnsi"/>
        </w:rPr>
      </w:pPr>
      <w:r w:rsidRPr="0004165A">
        <w:rPr>
          <w:rFonts w:cstheme="minorHAnsi"/>
          <w:bCs/>
        </w:rPr>
        <w:t>T</w:t>
      </w:r>
      <w:r w:rsidRPr="0004165A">
        <w:rPr>
          <w:rFonts w:cstheme="minorHAnsi"/>
        </w:rPr>
        <w:t xml:space="preserve">he Early Head Start–Child Care Partnerships Sustainability Study </w:t>
      </w:r>
      <w:r w:rsidRPr="0004165A">
        <w:t xml:space="preserve">(“the Sustainability Study”) </w:t>
      </w:r>
      <w:r w:rsidRPr="0004165A" w:rsidDel="00AA7D56">
        <w:rPr>
          <w:rFonts w:cstheme="minorHAnsi"/>
          <w:bCs/>
        </w:rPr>
        <w:t xml:space="preserve"> </w:t>
      </w:r>
      <w:r w:rsidR="00757DFF">
        <w:t xml:space="preserve">is designed to </w:t>
      </w:r>
      <w:r w:rsidR="00C059A5">
        <w:t>show</w:t>
      </w:r>
      <w:r w:rsidRPr="00D51A1A" w:rsidR="00D51A1A">
        <w:t xml:space="preserve"> whether and how </w:t>
      </w:r>
      <w:r w:rsidR="00AC33BD">
        <w:t xml:space="preserve">partnerships between </w:t>
      </w:r>
      <w:r w:rsidR="00D51A1A">
        <w:rPr>
          <w:rFonts w:eastAsia="Times New Roman" w:cstheme="minorHAnsi"/>
          <w:color w:val="000000"/>
        </w:rPr>
        <w:t>Early Head Start</w:t>
      </w:r>
      <w:r w:rsidR="004421E8">
        <w:rPr>
          <w:rFonts w:eastAsia="Times New Roman" w:cstheme="minorHAnsi"/>
          <w:color w:val="000000"/>
        </w:rPr>
        <w:t xml:space="preserve"> (EHS)</w:t>
      </w:r>
      <w:r w:rsidR="00D51A1A">
        <w:rPr>
          <w:rFonts w:eastAsia="Times New Roman" w:cstheme="minorHAnsi"/>
          <w:color w:val="000000"/>
        </w:rPr>
        <w:t xml:space="preserve"> and child care </w:t>
      </w:r>
      <w:r w:rsidR="00AC33BD">
        <w:rPr>
          <w:rFonts w:eastAsia="Times New Roman" w:cstheme="minorHAnsi"/>
          <w:color w:val="000000"/>
        </w:rPr>
        <w:t xml:space="preserve">providers </w:t>
      </w:r>
      <w:r w:rsidR="00D51A1A">
        <w:rPr>
          <w:rFonts w:eastAsia="Times New Roman" w:cstheme="minorHAnsi"/>
          <w:color w:val="000000"/>
        </w:rPr>
        <w:t>(referred to as “partnerships”</w:t>
      </w:r>
      <w:r w:rsidR="00D51A1A">
        <w:t>)</w:t>
      </w:r>
      <w:r w:rsidRPr="00D51A1A" w:rsidR="00D51A1A">
        <w:t xml:space="preserve"> have been sustained and which features of </w:t>
      </w:r>
      <w:r w:rsidR="00C059A5">
        <w:t xml:space="preserve">the </w:t>
      </w:r>
      <w:r w:rsidRPr="00D51A1A" w:rsidR="00D51A1A">
        <w:t xml:space="preserve">partnerships support sustainability. </w:t>
      </w:r>
      <w:r w:rsidR="00F001EA">
        <w:t>Specifically, t</w:t>
      </w:r>
      <w:r w:rsidRPr="00D51A1A" w:rsidR="00D51A1A">
        <w:t>he study will examine how partnerships from the</w:t>
      </w:r>
      <w:r w:rsidR="005E7592">
        <w:t xml:space="preserve"> </w:t>
      </w:r>
      <w:r w:rsidRPr="005E7592" w:rsidR="005E7592">
        <w:t xml:space="preserve">2016 National Descriptive Study (NDS) of Early Head Start-Child Care </w:t>
      </w:r>
      <w:r w:rsidRPr="005E7592" w:rsidR="001A3FB5">
        <w:t xml:space="preserve">Partnerships </w:t>
      </w:r>
      <w:r w:rsidR="00757DFF">
        <w:t>(EHS-CC</w:t>
      </w:r>
      <w:r w:rsidR="001A3FB5">
        <w:t>P</w:t>
      </w:r>
      <w:r w:rsidR="00A24D81">
        <w:t>s</w:t>
      </w:r>
      <w:r w:rsidR="00757DFF">
        <w:t xml:space="preserve">) </w:t>
      </w:r>
      <w:r w:rsidRPr="00D51A1A" w:rsidR="00D51A1A">
        <w:t xml:space="preserve">are faring and </w:t>
      </w:r>
      <w:r w:rsidR="00B53053">
        <w:t xml:space="preserve">describe </w:t>
      </w:r>
      <w:r w:rsidR="00757DFF">
        <w:t xml:space="preserve">the </w:t>
      </w:r>
      <w:r w:rsidR="00C059A5">
        <w:t>characteristics</w:t>
      </w:r>
      <w:r w:rsidRPr="00D51A1A" w:rsidR="00C059A5">
        <w:t xml:space="preserve"> </w:t>
      </w:r>
      <w:r w:rsidRPr="00D51A1A" w:rsidR="00D51A1A">
        <w:t xml:space="preserve">of current partnerships (including those </w:t>
      </w:r>
      <w:r w:rsidR="00C059A5">
        <w:t>formed</w:t>
      </w:r>
      <w:r w:rsidRPr="00D51A1A" w:rsidR="00D51A1A">
        <w:t xml:space="preserve"> since the </w:t>
      </w:r>
      <w:r w:rsidR="005929DB">
        <w:rPr>
          <w:rFonts w:eastAsia="Times New Roman" w:cstheme="minorHAnsi"/>
          <w:color w:val="000000"/>
        </w:rPr>
        <w:t>NDS</w:t>
      </w:r>
      <w:r w:rsidR="002238DA">
        <w:rPr>
          <w:rFonts w:eastAsia="Times New Roman" w:cstheme="minorHAnsi"/>
          <w:color w:val="000000"/>
        </w:rPr>
        <w:t xml:space="preserve"> was fielded</w:t>
      </w:r>
      <w:r w:rsidR="00C059A5">
        <w:rPr>
          <w:rFonts w:eastAsia="Times New Roman" w:cstheme="minorHAnsi"/>
          <w:color w:val="000000"/>
        </w:rPr>
        <w:t>,</w:t>
      </w:r>
      <w:r w:rsidRPr="00D51A1A" w:rsidR="00D51A1A">
        <w:t xml:space="preserve"> regardless of whether they are funded through an EHS-C</w:t>
      </w:r>
      <w:r w:rsidR="00D51A1A">
        <w:t>C</w:t>
      </w:r>
      <w:r w:rsidR="001A3FB5">
        <w:t>P</w:t>
      </w:r>
      <w:r w:rsidRPr="00D51A1A" w:rsidR="00786896">
        <w:t xml:space="preserve"> </w:t>
      </w:r>
      <w:r w:rsidRPr="00D51A1A" w:rsidR="00D51A1A">
        <w:t>grant).</w:t>
      </w:r>
    </w:p>
    <w:p w:rsidRPr="00305125" w:rsidR="0028236A" w:rsidP="0085039E" w:rsidRDefault="00A42C71" w14:paraId="6EAFC846" w14:textId="77777777">
      <w:pPr>
        <w:spacing w:after="60" w:line="240" w:lineRule="auto"/>
        <w:rPr>
          <w:rFonts w:cstheme="minorHAnsi"/>
        </w:rPr>
      </w:pPr>
      <w:r w:rsidRPr="00305125">
        <w:rPr>
          <w:rFonts w:cstheme="minorHAnsi"/>
          <w:i/>
        </w:rPr>
        <w:t xml:space="preserve">Generalizability of Results </w:t>
      </w:r>
    </w:p>
    <w:p w:rsidRPr="0028236A" w:rsidR="0028236A" w:rsidP="007840BD" w:rsidRDefault="0028236A" w14:paraId="57B57091" w14:textId="76629776">
      <w:pPr>
        <w:spacing w:after="240" w:line="240" w:lineRule="auto"/>
        <w:rPr>
          <w:rFonts w:eastAsia="Times New Roman" w:cstheme="minorHAnsi"/>
          <w:color w:val="000000"/>
        </w:rPr>
      </w:pPr>
      <w:r w:rsidRPr="00305125">
        <w:t xml:space="preserve">This study has two components: web-based surveys and </w:t>
      </w:r>
      <w:r w:rsidRPr="00305125" w:rsidR="00AC33BD">
        <w:t xml:space="preserve">semi-structured </w:t>
      </w:r>
      <w:r w:rsidRPr="00305125">
        <w:t xml:space="preserve">interviews. </w:t>
      </w:r>
      <w:r w:rsidR="002D4FCC">
        <w:t>EHS program director and child care provider responses to the</w:t>
      </w:r>
      <w:r w:rsidRPr="00305125" w:rsidR="002D4FCC">
        <w:t xml:space="preserve"> </w:t>
      </w:r>
      <w:r w:rsidRPr="00305125">
        <w:t xml:space="preserve">web-based surveys </w:t>
      </w:r>
      <w:r w:rsidR="002D4FCC">
        <w:t>will</w:t>
      </w:r>
      <w:r w:rsidRPr="00305125">
        <w:t xml:space="preserve"> </w:t>
      </w:r>
      <w:r w:rsidR="00596C02">
        <w:t>be</w:t>
      </w:r>
      <w:r w:rsidRPr="00305125" w:rsidR="00596C02">
        <w:t xml:space="preserve"> </w:t>
      </w:r>
      <w:r w:rsidR="00596C02">
        <w:t xml:space="preserve">weighted to be </w:t>
      </w:r>
      <w:r w:rsidRPr="00305125">
        <w:t>nationally</w:t>
      </w:r>
      <w:r w:rsidRPr="00D81877" w:rsidR="00DB324A">
        <w:t xml:space="preserve"> </w:t>
      </w:r>
      <w:r w:rsidRPr="00305125">
        <w:t xml:space="preserve">representative of </w:t>
      </w:r>
      <w:r w:rsidR="00596C02">
        <w:t xml:space="preserve">all </w:t>
      </w:r>
      <w:r w:rsidR="00CB131D">
        <w:t xml:space="preserve">EHS </w:t>
      </w:r>
      <w:r w:rsidRPr="00305125">
        <w:rPr>
          <w:rFonts w:eastAsia="Times New Roman" w:cstheme="minorHAnsi"/>
          <w:color w:val="000000"/>
        </w:rPr>
        <w:t xml:space="preserve">program directors and </w:t>
      </w:r>
      <w:r w:rsidRPr="00305125" w:rsidR="00AC33BD">
        <w:rPr>
          <w:rFonts w:eastAsia="Times New Roman" w:cstheme="minorHAnsi"/>
          <w:color w:val="000000"/>
        </w:rPr>
        <w:t xml:space="preserve">child care </w:t>
      </w:r>
      <w:r w:rsidRPr="00305125">
        <w:rPr>
          <w:rFonts w:eastAsia="Times New Roman" w:cstheme="minorHAnsi"/>
          <w:color w:val="000000"/>
        </w:rPr>
        <w:t>providers</w:t>
      </w:r>
      <w:r w:rsidRPr="00305125" w:rsidR="00AD59FC">
        <w:rPr>
          <w:rFonts w:eastAsia="Times New Roman" w:cstheme="minorHAnsi"/>
          <w:color w:val="000000"/>
        </w:rPr>
        <w:t xml:space="preserve"> funded through the first wave of EHS-CCP</w:t>
      </w:r>
      <w:r w:rsidRPr="00305125" w:rsidR="00786896">
        <w:rPr>
          <w:rFonts w:eastAsia="Times New Roman" w:cstheme="minorHAnsi"/>
          <w:color w:val="000000"/>
        </w:rPr>
        <w:t xml:space="preserve"> </w:t>
      </w:r>
      <w:r w:rsidRPr="00305125" w:rsidR="00AD59FC">
        <w:rPr>
          <w:rFonts w:eastAsia="Times New Roman" w:cstheme="minorHAnsi"/>
          <w:color w:val="000000"/>
        </w:rPr>
        <w:t>grants in 2015</w:t>
      </w:r>
      <w:r w:rsidRPr="00305125">
        <w:t xml:space="preserve">. </w:t>
      </w:r>
      <w:r w:rsidRPr="00305125">
        <w:rPr>
          <w:rFonts w:eastAsia="Times New Roman" w:cstheme="minorHAnsi"/>
          <w:color w:val="000000"/>
        </w:rPr>
        <w:t>The interviews</w:t>
      </w:r>
      <w:r w:rsidRPr="00305125" w:rsidR="00AC33BD">
        <w:rPr>
          <w:rFonts w:eastAsia="Times New Roman" w:cstheme="minorHAnsi"/>
          <w:color w:val="000000"/>
        </w:rPr>
        <w:t xml:space="preserve"> are</w:t>
      </w:r>
      <w:r w:rsidRPr="00305125">
        <w:rPr>
          <w:rFonts w:eastAsia="Times New Roman" w:cstheme="minorHAnsi"/>
          <w:color w:val="000000"/>
        </w:rPr>
        <w:t xml:space="preserve"> </w:t>
      </w:r>
      <w:r w:rsidRPr="00305125">
        <w:t>intended to present internally</w:t>
      </w:r>
      <w:r w:rsidRPr="00305125" w:rsidR="00305125">
        <w:t xml:space="preserve"> </w:t>
      </w:r>
      <w:r w:rsidRPr="00305125">
        <w:t>valid description</w:t>
      </w:r>
      <w:r w:rsidRPr="00305125" w:rsidR="00AC33BD">
        <w:t>s</w:t>
      </w:r>
      <w:r w:rsidRPr="00305125">
        <w:t xml:space="preserve"> of </w:t>
      </w:r>
      <w:r w:rsidRPr="00305125">
        <w:rPr>
          <w:rFonts w:eastAsia="Times New Roman" w:cstheme="minorHAnsi"/>
          <w:color w:val="000000"/>
        </w:rPr>
        <w:t>child care providers</w:t>
      </w:r>
      <w:r w:rsidRPr="00305125">
        <w:t xml:space="preserve"> whose partnerships </w:t>
      </w:r>
      <w:r w:rsidRPr="00305125" w:rsidR="00AC33BD">
        <w:t>with EHS</w:t>
      </w:r>
      <w:r w:rsidR="00AC33BD">
        <w:t xml:space="preserve"> programs </w:t>
      </w:r>
      <w:r>
        <w:t xml:space="preserve">have dissolved or </w:t>
      </w:r>
      <w:r w:rsidR="00305125">
        <w:t xml:space="preserve">been </w:t>
      </w:r>
      <w:r>
        <w:t>sustained over time</w:t>
      </w:r>
      <w:r w:rsidRPr="007733D5">
        <w:t>, not to promote statistical generalization to other sites or populations.</w:t>
      </w:r>
    </w:p>
    <w:p w:rsidRPr="001A59B6" w:rsidR="00A42C71" w:rsidP="0085039E" w:rsidRDefault="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Pr="001A59B6" w:rsidR="00A42C71" w:rsidP="007840BD" w:rsidRDefault="00A42C71" w14:paraId="21886270" w14:textId="72D52BBD">
      <w:pPr>
        <w:pStyle w:val="NormalWeb"/>
        <w:spacing w:before="0" w:beforeAutospacing="0" w:after="240" w:afterAutospacing="0"/>
        <w:rPr>
          <w:rFonts w:asciiTheme="minorHAnsi" w:hAnsiTheme="minorHAnsi" w:cstheme="minorHAnsi"/>
          <w:b/>
          <w:i/>
          <w:strike/>
          <w:sz w:val="22"/>
          <w:szCs w:val="22"/>
        </w:rPr>
      </w:pPr>
      <w:r w:rsidRPr="001A59B6">
        <w:rPr>
          <w:rFonts w:asciiTheme="minorHAnsi" w:hAnsiTheme="minorHAnsi" w:cstheme="minorHAnsi"/>
          <w:sz w:val="22"/>
          <w:szCs w:val="22"/>
        </w:rPr>
        <w:t>As noted in Supporting Statement A</w:t>
      </w:r>
      <w:r w:rsidR="003F2EB0">
        <w:rPr>
          <w:rFonts w:asciiTheme="minorHAnsi" w:hAnsiTheme="minorHAnsi" w:cstheme="minorHAnsi"/>
          <w:sz w:val="22"/>
          <w:szCs w:val="22"/>
        </w:rPr>
        <w:t xml:space="preserve"> (SSA)</w:t>
      </w:r>
      <w:r w:rsidRPr="001A59B6">
        <w:rPr>
          <w:rFonts w:asciiTheme="minorHAnsi" w:hAnsiTheme="minorHAnsi" w:cstheme="minorHAnsi"/>
          <w:sz w:val="22"/>
          <w:szCs w:val="22"/>
        </w:rPr>
        <w:t xml:space="preserve">, this information is not intended to be used as the principal basis for public policy decisions and is not expected to meet the threshold of influential or highly influential scientific information.  </w:t>
      </w:r>
    </w:p>
    <w:p w:rsidRPr="00444D5F" w:rsidR="00A42C71" w:rsidP="00444D5F" w:rsidRDefault="00A42C71" w14:paraId="0A71D7FD" w14:textId="77777777">
      <w:pPr>
        <w:keepNext/>
        <w:keepLines/>
        <w:tabs>
          <w:tab w:val="left" w:pos="450"/>
        </w:tabs>
        <w:autoSpaceDE w:val="0"/>
        <w:autoSpaceDN w:val="0"/>
        <w:adjustRightInd w:val="0"/>
        <w:spacing w:after="120" w:line="240" w:lineRule="atLeast"/>
        <w:rPr>
          <w:rFonts w:eastAsia="Times New Roman" w:cstheme="minorHAnsi"/>
          <w:b/>
          <w:bCs/>
          <w:color w:val="000000"/>
        </w:rPr>
      </w:pPr>
      <w:r w:rsidRPr="00444D5F">
        <w:rPr>
          <w:rFonts w:eastAsia="Times New Roman" w:cstheme="minorHAnsi"/>
          <w:b/>
          <w:bCs/>
          <w:color w:val="000000"/>
        </w:rPr>
        <w:t>B2.</w:t>
      </w:r>
      <w:r w:rsidRPr="00444D5F">
        <w:rPr>
          <w:rFonts w:eastAsia="Times New Roman" w:cstheme="minorHAnsi"/>
          <w:b/>
          <w:bCs/>
          <w:color w:val="000000"/>
        </w:rPr>
        <w:tab/>
      </w:r>
      <w:r w:rsidRPr="001A59B6">
        <w:rPr>
          <w:rFonts w:eastAsia="Times New Roman" w:cstheme="minorHAnsi"/>
          <w:b/>
          <w:bCs/>
          <w:color w:val="000000"/>
        </w:rPr>
        <w:t>Methods and Design</w:t>
      </w:r>
    </w:p>
    <w:p w:rsidRPr="00137D10" w:rsidR="00A42C71" w:rsidP="0085039E" w:rsidRDefault="00A42C71" w14:paraId="4C77B3BD" w14:textId="77777777">
      <w:pPr>
        <w:autoSpaceDE w:val="0"/>
        <w:autoSpaceDN w:val="0"/>
        <w:adjustRightInd w:val="0"/>
        <w:spacing w:after="60" w:line="240" w:lineRule="atLeast"/>
        <w:rPr>
          <w:rFonts w:eastAsia="Times New Roman" w:cstheme="minorHAnsi"/>
          <w:color w:val="000000"/>
        </w:rPr>
      </w:pPr>
      <w:r w:rsidRPr="00137D10">
        <w:rPr>
          <w:rFonts w:eastAsia="Times New Roman" w:cstheme="minorHAnsi"/>
          <w:i/>
          <w:color w:val="000000"/>
        </w:rPr>
        <w:t xml:space="preserve">Target Population </w:t>
      </w:r>
      <w:r w:rsidRPr="00137D10">
        <w:rPr>
          <w:rFonts w:eastAsia="Times New Roman" w:cstheme="minorHAnsi"/>
          <w:color w:val="000000"/>
        </w:rPr>
        <w:t xml:space="preserve"> </w:t>
      </w:r>
    </w:p>
    <w:p w:rsidR="00332A65" w:rsidP="0085039E" w:rsidRDefault="00332A65" w14:paraId="34A87516" w14:textId="63007170">
      <w:pPr>
        <w:autoSpaceDE w:val="0"/>
        <w:autoSpaceDN w:val="0"/>
        <w:adjustRightInd w:val="0"/>
        <w:spacing w:after="240" w:line="240" w:lineRule="atLeast"/>
        <w:rPr>
          <w:rFonts w:eastAsia="Times New Roman" w:cstheme="minorHAnsi"/>
          <w:color w:val="000000"/>
        </w:rPr>
      </w:pPr>
      <w:r w:rsidRPr="00137D10">
        <w:rPr>
          <w:rFonts w:eastAsia="Times New Roman" w:cstheme="minorHAnsi"/>
          <w:color w:val="000000"/>
        </w:rPr>
        <w:t>The target population for the web-based surveys is the universe of</w:t>
      </w:r>
      <w:r w:rsidRPr="00137D10" w:rsidR="00162F8E">
        <w:rPr>
          <w:rFonts w:eastAsia="Times New Roman" w:cstheme="minorHAnsi"/>
          <w:color w:val="000000"/>
        </w:rPr>
        <w:t xml:space="preserve"> </w:t>
      </w:r>
      <w:r w:rsidRPr="00D81877" w:rsidR="00137D10">
        <w:rPr>
          <w:rFonts w:eastAsia="Times New Roman" w:cstheme="minorHAnsi"/>
          <w:color w:val="000000"/>
        </w:rPr>
        <w:t>EHS</w:t>
      </w:r>
      <w:r w:rsidRPr="00137D10">
        <w:rPr>
          <w:rFonts w:eastAsia="Times New Roman" w:cstheme="minorHAnsi"/>
          <w:color w:val="000000"/>
        </w:rPr>
        <w:t xml:space="preserve"> </w:t>
      </w:r>
      <w:r w:rsidRPr="00137D10" w:rsidR="000A06C2">
        <w:rPr>
          <w:rFonts w:eastAsia="Times New Roman" w:cstheme="minorHAnsi"/>
          <w:color w:val="000000"/>
        </w:rPr>
        <w:t xml:space="preserve">programs that received 2015 </w:t>
      </w:r>
      <w:r w:rsidR="003F3469">
        <w:rPr>
          <w:rFonts w:eastAsia="Times New Roman" w:cstheme="minorHAnsi"/>
          <w:color w:val="000000"/>
        </w:rPr>
        <w:t>EHS-CCP</w:t>
      </w:r>
      <w:r w:rsidRPr="00137D10" w:rsidR="000A06C2">
        <w:rPr>
          <w:rFonts w:eastAsia="Times New Roman" w:cstheme="minorHAnsi"/>
          <w:color w:val="000000"/>
        </w:rPr>
        <w:t xml:space="preserve"> grants</w:t>
      </w:r>
      <w:r w:rsidRPr="00137D10" w:rsidR="00446B1D">
        <w:rPr>
          <w:rFonts w:eastAsia="Times New Roman" w:cstheme="minorHAnsi"/>
          <w:color w:val="000000"/>
        </w:rPr>
        <w:t xml:space="preserve"> and a sample of child care provider</w:t>
      </w:r>
      <w:r w:rsidR="00CB131D">
        <w:rPr>
          <w:rFonts w:eastAsia="Times New Roman" w:cstheme="minorHAnsi"/>
          <w:color w:val="000000"/>
        </w:rPr>
        <w:t>s</w:t>
      </w:r>
      <w:r w:rsidRPr="00137D10" w:rsidR="006B0411">
        <w:rPr>
          <w:rFonts w:eastAsia="Times New Roman" w:cstheme="minorHAnsi"/>
          <w:color w:val="000000"/>
        </w:rPr>
        <w:t xml:space="preserve">. </w:t>
      </w:r>
      <w:r w:rsidRPr="00137D10" w:rsidR="00446B1D">
        <w:rPr>
          <w:rFonts w:eastAsia="Times New Roman" w:cstheme="minorHAnsi"/>
          <w:color w:val="000000"/>
        </w:rPr>
        <w:t xml:space="preserve">We </w:t>
      </w:r>
      <w:r w:rsidRPr="00137D10" w:rsidR="00137D10">
        <w:rPr>
          <w:rFonts w:eastAsia="Times New Roman" w:cstheme="minorHAnsi"/>
          <w:color w:val="000000"/>
        </w:rPr>
        <w:t xml:space="preserve">will </w:t>
      </w:r>
      <w:r w:rsidRPr="00137D10" w:rsidR="00446B1D">
        <w:rPr>
          <w:rFonts w:eastAsia="Times New Roman" w:cstheme="minorHAnsi"/>
          <w:color w:val="000000"/>
        </w:rPr>
        <w:t>survey the universe of programs in order to have a longitudinal design w</w:t>
      </w:r>
      <w:r w:rsidR="003F3469">
        <w:rPr>
          <w:rFonts w:eastAsia="Times New Roman" w:cstheme="minorHAnsi"/>
          <w:color w:val="000000"/>
        </w:rPr>
        <w:t>hen</w:t>
      </w:r>
      <w:r w:rsidRPr="00137D10" w:rsidR="00446B1D">
        <w:rPr>
          <w:rFonts w:eastAsia="Times New Roman" w:cstheme="minorHAnsi"/>
          <w:color w:val="000000"/>
        </w:rPr>
        <w:t xml:space="preserve"> </w:t>
      </w:r>
      <w:r w:rsidR="003F3469">
        <w:rPr>
          <w:rFonts w:eastAsia="Times New Roman" w:cstheme="minorHAnsi"/>
          <w:color w:val="000000"/>
        </w:rPr>
        <w:t xml:space="preserve">combined with </w:t>
      </w:r>
      <w:r w:rsidRPr="00137D10" w:rsidR="00446B1D">
        <w:rPr>
          <w:rFonts w:eastAsia="Times New Roman" w:cstheme="minorHAnsi"/>
          <w:color w:val="000000"/>
        </w:rPr>
        <w:t xml:space="preserve">the NDS, which also surveyed the universe of programs; completions at two time points </w:t>
      </w:r>
      <w:r w:rsidRPr="00137D10" w:rsidR="00137D10">
        <w:rPr>
          <w:rFonts w:eastAsia="Times New Roman" w:cstheme="minorHAnsi"/>
          <w:color w:val="000000"/>
        </w:rPr>
        <w:t>will enable</w:t>
      </w:r>
      <w:r w:rsidRPr="00137D10" w:rsidR="00446B1D">
        <w:rPr>
          <w:rFonts w:eastAsia="Times New Roman" w:cstheme="minorHAnsi"/>
          <w:color w:val="000000"/>
        </w:rPr>
        <w:t xml:space="preserve"> us to conduct longitudinal analyses. </w:t>
      </w:r>
      <w:r w:rsidRPr="00137D10" w:rsidR="006B0411">
        <w:rPr>
          <w:rFonts w:eastAsia="Times New Roman" w:cstheme="minorHAnsi"/>
          <w:color w:val="000000"/>
        </w:rPr>
        <w:t xml:space="preserve">As described in more detail below, </w:t>
      </w:r>
      <w:r w:rsidRPr="00137D10" w:rsidR="005929DB">
        <w:rPr>
          <w:rFonts w:eastAsia="Times New Roman" w:cstheme="minorHAnsi"/>
          <w:color w:val="000000"/>
        </w:rPr>
        <w:t xml:space="preserve">child care providers </w:t>
      </w:r>
      <w:r w:rsidRPr="00137D10" w:rsidR="006B0411">
        <w:rPr>
          <w:rFonts w:eastAsia="Times New Roman" w:cstheme="minorHAnsi"/>
          <w:color w:val="000000"/>
        </w:rPr>
        <w:t xml:space="preserve">selected for </w:t>
      </w:r>
      <w:r w:rsidRPr="00137D10" w:rsidR="00EF607D">
        <w:rPr>
          <w:rFonts w:eastAsia="Times New Roman" w:cstheme="minorHAnsi"/>
          <w:color w:val="000000"/>
        </w:rPr>
        <w:t>interviews</w:t>
      </w:r>
      <w:r w:rsidRPr="00137D10" w:rsidR="006B0411">
        <w:rPr>
          <w:rFonts w:eastAsia="Times New Roman" w:cstheme="minorHAnsi"/>
          <w:color w:val="000000"/>
        </w:rPr>
        <w:t xml:space="preserve"> will be chosen to illustrate</w:t>
      </w:r>
      <w:r w:rsidR="006B0411">
        <w:rPr>
          <w:rFonts w:eastAsia="Times New Roman" w:cstheme="minorHAnsi"/>
          <w:color w:val="000000"/>
        </w:rPr>
        <w:t xml:space="preserve"> partnerships that have been dissolved </w:t>
      </w:r>
      <w:r w:rsidR="00137D10">
        <w:rPr>
          <w:rFonts w:eastAsia="Times New Roman" w:cstheme="minorHAnsi"/>
          <w:color w:val="000000"/>
        </w:rPr>
        <w:t>or</w:t>
      </w:r>
      <w:r w:rsidR="006B0411">
        <w:rPr>
          <w:rFonts w:eastAsia="Times New Roman" w:cstheme="minorHAnsi"/>
          <w:color w:val="000000"/>
        </w:rPr>
        <w:t xml:space="preserve"> sustained over time and are not </w:t>
      </w:r>
      <w:r w:rsidR="00137D10">
        <w:rPr>
          <w:rFonts w:eastAsia="Times New Roman" w:cstheme="minorHAnsi"/>
          <w:color w:val="000000"/>
        </w:rPr>
        <w:t xml:space="preserve">meant </w:t>
      </w:r>
      <w:r w:rsidR="006B0411">
        <w:rPr>
          <w:rFonts w:eastAsia="Times New Roman" w:cstheme="minorHAnsi"/>
          <w:color w:val="000000"/>
        </w:rPr>
        <w:t xml:space="preserve">to be representative of the population of </w:t>
      </w:r>
      <w:r w:rsidR="005929DB">
        <w:rPr>
          <w:rFonts w:eastAsia="Times New Roman" w:cstheme="minorHAnsi"/>
          <w:color w:val="000000"/>
        </w:rPr>
        <w:t>child care providers</w:t>
      </w:r>
      <w:r w:rsidR="006B0411">
        <w:rPr>
          <w:rFonts w:eastAsia="Times New Roman" w:cstheme="minorHAnsi"/>
          <w:color w:val="000000"/>
        </w:rPr>
        <w:t>.</w:t>
      </w:r>
    </w:p>
    <w:p w:rsidRPr="00F83D2F" w:rsidR="00A42C71" w:rsidP="0085039E" w:rsidRDefault="00A42C71" w14:paraId="242D83A5" w14:textId="075C93C1">
      <w:pPr>
        <w:autoSpaceDE w:val="0"/>
        <w:autoSpaceDN w:val="0"/>
        <w:adjustRightInd w:val="0"/>
        <w:spacing w:after="60" w:line="240" w:lineRule="atLeast"/>
        <w:rPr>
          <w:rFonts w:eastAsia="Times New Roman" w:cstheme="minorHAnsi"/>
          <w:i/>
          <w:color w:val="000000"/>
        </w:rPr>
      </w:pPr>
      <w:r w:rsidRPr="00F83D2F">
        <w:rPr>
          <w:rFonts w:eastAsia="Times New Roman" w:cstheme="minorHAnsi"/>
          <w:i/>
          <w:color w:val="000000"/>
        </w:rPr>
        <w:t xml:space="preserve">Sampling </w:t>
      </w:r>
    </w:p>
    <w:p w:rsidR="00F83D2F" w:rsidP="0085039E" w:rsidRDefault="006B0411" w14:paraId="6288C536" w14:textId="69DBDD3B">
      <w:pPr>
        <w:autoSpaceDE w:val="0"/>
        <w:autoSpaceDN w:val="0"/>
        <w:adjustRightInd w:val="0"/>
        <w:spacing w:after="240" w:line="240" w:lineRule="atLeast"/>
        <w:rPr>
          <w:rFonts w:eastAsia="Times New Roman" w:cstheme="minorHAnsi"/>
          <w:color w:val="000000"/>
        </w:rPr>
      </w:pPr>
      <w:r w:rsidRPr="00F83D2F">
        <w:rPr>
          <w:rFonts w:eastAsia="Times New Roman" w:cstheme="minorHAnsi"/>
          <w:b/>
          <w:bCs/>
          <w:color w:val="000000"/>
        </w:rPr>
        <w:t xml:space="preserve">Web-based surveys. </w:t>
      </w:r>
      <w:r w:rsidRPr="00F83D2F" w:rsidR="00EF607D">
        <w:rPr>
          <w:rFonts w:eastAsia="Times New Roman" w:cstheme="minorHAnsi"/>
          <w:color w:val="000000"/>
        </w:rPr>
        <w:t>We will conduct a</w:t>
      </w:r>
      <w:r w:rsidRPr="00F83D2F">
        <w:rPr>
          <w:rFonts w:eastAsia="Times New Roman" w:cstheme="minorHAnsi"/>
          <w:color w:val="000000"/>
        </w:rPr>
        <w:t xml:space="preserve"> web-based survey of </w:t>
      </w:r>
      <w:r w:rsidRPr="00D81877" w:rsidR="00137D10">
        <w:rPr>
          <w:rFonts w:eastAsia="Times New Roman" w:cstheme="minorHAnsi"/>
          <w:color w:val="000000"/>
        </w:rPr>
        <w:t>EHS</w:t>
      </w:r>
      <w:r w:rsidRPr="00F83D2F">
        <w:rPr>
          <w:rFonts w:eastAsia="Times New Roman" w:cstheme="minorHAnsi"/>
          <w:color w:val="000000"/>
        </w:rPr>
        <w:t xml:space="preserve"> program directors</w:t>
      </w:r>
      <w:r w:rsidRPr="00D81877" w:rsidR="00F83D2F">
        <w:rPr>
          <w:rFonts w:eastAsia="Times New Roman" w:cstheme="minorHAnsi"/>
          <w:color w:val="000000"/>
        </w:rPr>
        <w:t>,</w:t>
      </w:r>
      <w:r w:rsidRPr="00F83D2F" w:rsidR="00EF607D">
        <w:rPr>
          <w:rFonts w:eastAsia="Times New Roman" w:cstheme="minorHAnsi"/>
          <w:color w:val="000000"/>
        </w:rPr>
        <w:t xml:space="preserve"> using</w:t>
      </w:r>
      <w:r w:rsidRPr="00F83D2F">
        <w:rPr>
          <w:rFonts w:eastAsia="Times New Roman" w:cstheme="minorHAnsi"/>
          <w:color w:val="000000"/>
        </w:rPr>
        <w:t xml:space="preserve"> the universe of directors </w:t>
      </w:r>
      <w:r w:rsidR="00D84CED">
        <w:rPr>
          <w:rFonts w:eastAsia="Times New Roman" w:cstheme="minorHAnsi"/>
          <w:color w:val="000000"/>
        </w:rPr>
        <w:t>or director delegates from</w:t>
      </w:r>
      <w:r w:rsidRPr="00F83D2F" w:rsidR="00D84CED">
        <w:rPr>
          <w:rFonts w:eastAsia="Times New Roman" w:cstheme="minorHAnsi"/>
          <w:color w:val="000000"/>
        </w:rPr>
        <w:t xml:space="preserve"> </w:t>
      </w:r>
      <w:r w:rsidRPr="00D81877" w:rsidR="00F83D2F">
        <w:rPr>
          <w:rFonts w:eastAsia="Times New Roman" w:cstheme="minorHAnsi"/>
          <w:color w:val="000000"/>
        </w:rPr>
        <w:t xml:space="preserve">the </w:t>
      </w:r>
      <w:r w:rsidR="00D84CED">
        <w:rPr>
          <w:rFonts w:eastAsia="Times New Roman" w:cstheme="minorHAnsi"/>
          <w:color w:val="000000"/>
        </w:rPr>
        <w:t xml:space="preserve">250 </w:t>
      </w:r>
      <w:r w:rsidRPr="00F83D2F">
        <w:rPr>
          <w:rFonts w:eastAsia="Times New Roman" w:cstheme="minorHAnsi"/>
          <w:color w:val="000000"/>
        </w:rPr>
        <w:t xml:space="preserve">2015 </w:t>
      </w:r>
      <w:r w:rsidRPr="00F83D2F" w:rsidR="00EF607D">
        <w:rPr>
          <w:rFonts w:eastAsia="Times New Roman" w:cstheme="minorHAnsi"/>
          <w:color w:val="000000"/>
        </w:rPr>
        <w:t>EHS-CC</w:t>
      </w:r>
      <w:r w:rsidR="001A3FB5">
        <w:rPr>
          <w:rFonts w:eastAsia="Times New Roman" w:cstheme="minorHAnsi"/>
          <w:color w:val="000000"/>
        </w:rPr>
        <w:t>Ps</w:t>
      </w:r>
      <w:r w:rsidRPr="00F83D2F" w:rsidR="00EF607D">
        <w:rPr>
          <w:rFonts w:eastAsia="Times New Roman" w:cstheme="minorHAnsi"/>
          <w:color w:val="000000"/>
        </w:rPr>
        <w:t xml:space="preserve"> </w:t>
      </w:r>
      <w:r w:rsidR="00E24345">
        <w:rPr>
          <w:rFonts w:eastAsia="Times New Roman" w:cstheme="minorHAnsi"/>
          <w:color w:val="000000"/>
        </w:rPr>
        <w:t>as</w:t>
      </w:r>
      <w:r w:rsidRPr="00F83D2F" w:rsidR="00E24345">
        <w:rPr>
          <w:rFonts w:eastAsia="Times New Roman" w:cstheme="minorHAnsi"/>
          <w:color w:val="000000"/>
        </w:rPr>
        <w:t xml:space="preserve"> </w:t>
      </w:r>
      <w:r w:rsidRPr="00F83D2F">
        <w:rPr>
          <w:rFonts w:eastAsia="Times New Roman" w:cstheme="minorHAnsi"/>
          <w:color w:val="000000"/>
        </w:rPr>
        <w:t>participa</w:t>
      </w:r>
      <w:r w:rsidR="00E24345">
        <w:rPr>
          <w:rFonts w:eastAsia="Times New Roman" w:cstheme="minorHAnsi"/>
          <w:color w:val="000000"/>
        </w:rPr>
        <w:t>nts</w:t>
      </w:r>
      <w:r w:rsidRPr="00F83D2F">
        <w:rPr>
          <w:rFonts w:eastAsia="Times New Roman" w:cstheme="minorHAnsi"/>
          <w:color w:val="000000"/>
        </w:rPr>
        <w:t>.</w:t>
      </w:r>
      <w:r w:rsidRPr="00F83D2F" w:rsidR="00BB0C35">
        <w:rPr>
          <w:rFonts w:eastAsia="Times New Roman" w:cstheme="minorHAnsi"/>
          <w:color w:val="000000"/>
        </w:rPr>
        <w:t xml:space="preserve"> From those </w:t>
      </w:r>
      <w:r w:rsidR="00BD65EB">
        <w:rPr>
          <w:rFonts w:eastAsia="Times New Roman" w:cstheme="minorHAnsi"/>
          <w:color w:val="000000"/>
        </w:rPr>
        <w:t>programs</w:t>
      </w:r>
      <w:r w:rsidRPr="00F83D2F" w:rsidR="00BB0C35">
        <w:rPr>
          <w:rFonts w:eastAsia="Times New Roman" w:cstheme="minorHAnsi"/>
          <w:color w:val="000000"/>
        </w:rPr>
        <w:t xml:space="preserve">, we expect that there </w:t>
      </w:r>
      <w:r w:rsidRPr="00D81877" w:rsidR="00F83D2F">
        <w:rPr>
          <w:rFonts w:eastAsia="Times New Roman" w:cstheme="minorHAnsi"/>
          <w:color w:val="000000"/>
        </w:rPr>
        <w:t>will be</w:t>
      </w:r>
      <w:r w:rsidRPr="00F83D2F" w:rsidR="00F83D2F">
        <w:rPr>
          <w:rFonts w:eastAsia="Times New Roman" w:cstheme="minorHAnsi"/>
          <w:color w:val="000000"/>
        </w:rPr>
        <w:t xml:space="preserve"> </w:t>
      </w:r>
      <w:r w:rsidRPr="00F83D2F" w:rsidR="00BB0C35">
        <w:rPr>
          <w:rFonts w:eastAsia="Times New Roman" w:cstheme="minorHAnsi"/>
          <w:color w:val="000000"/>
        </w:rPr>
        <w:t>335 directors to survey</w:t>
      </w:r>
      <w:r w:rsidRPr="00F83D2F" w:rsidR="00F83D2F">
        <w:rPr>
          <w:rFonts w:eastAsia="Times New Roman" w:cstheme="minorHAnsi"/>
          <w:color w:val="000000"/>
        </w:rPr>
        <w:t>, as</w:t>
      </w:r>
      <w:r w:rsidRPr="00F83D2F" w:rsidR="00446B1D">
        <w:rPr>
          <w:rFonts w:eastAsia="Times New Roman" w:cstheme="minorHAnsi"/>
          <w:color w:val="000000"/>
        </w:rPr>
        <w:t xml:space="preserve"> some of the </w:t>
      </w:r>
      <w:r w:rsidR="00BD65EB">
        <w:rPr>
          <w:rFonts w:eastAsia="Times New Roman" w:cstheme="minorHAnsi"/>
          <w:color w:val="000000"/>
        </w:rPr>
        <w:t>programs</w:t>
      </w:r>
      <w:r w:rsidRPr="00F83D2F" w:rsidR="00BD65EB">
        <w:rPr>
          <w:rFonts w:eastAsia="Times New Roman" w:cstheme="minorHAnsi"/>
          <w:color w:val="000000"/>
        </w:rPr>
        <w:t xml:space="preserve"> </w:t>
      </w:r>
      <w:r w:rsidRPr="00F83D2F" w:rsidR="00920F1A">
        <w:rPr>
          <w:rFonts w:eastAsia="Times New Roman" w:cstheme="minorHAnsi"/>
          <w:color w:val="000000"/>
        </w:rPr>
        <w:t xml:space="preserve">with delegates will require multiple respondents; </w:t>
      </w:r>
      <w:r w:rsidRPr="00F83D2F" w:rsidR="00F83D2F">
        <w:rPr>
          <w:rFonts w:eastAsia="Times New Roman" w:cstheme="minorHAnsi"/>
          <w:color w:val="000000"/>
        </w:rPr>
        <w:t>however</w:t>
      </w:r>
      <w:r w:rsidR="00F83D2F">
        <w:rPr>
          <w:rFonts w:eastAsia="Times New Roman" w:cstheme="minorHAnsi"/>
          <w:color w:val="000000"/>
        </w:rPr>
        <w:t xml:space="preserve">, </w:t>
      </w:r>
      <w:r w:rsidR="00920F1A">
        <w:rPr>
          <w:rFonts w:eastAsia="Times New Roman" w:cstheme="minorHAnsi"/>
          <w:color w:val="000000"/>
        </w:rPr>
        <w:t>ou</w:t>
      </w:r>
      <w:r w:rsidR="00F83D2F">
        <w:rPr>
          <w:rFonts w:eastAsia="Times New Roman" w:cstheme="minorHAnsi"/>
          <w:color w:val="000000"/>
        </w:rPr>
        <w:t>r</w:t>
      </w:r>
      <w:r w:rsidR="00920F1A">
        <w:rPr>
          <w:rFonts w:eastAsia="Times New Roman" w:cstheme="minorHAnsi"/>
          <w:color w:val="000000"/>
        </w:rPr>
        <w:t xml:space="preserve"> analysis will be conducted at the </w:t>
      </w:r>
      <w:r w:rsidR="00BD65EB">
        <w:rPr>
          <w:rFonts w:eastAsia="Times New Roman" w:cstheme="minorHAnsi"/>
          <w:color w:val="000000"/>
        </w:rPr>
        <w:t xml:space="preserve">program </w:t>
      </w:r>
      <w:r w:rsidR="00920F1A">
        <w:rPr>
          <w:rFonts w:eastAsia="Times New Roman" w:cstheme="minorHAnsi"/>
          <w:color w:val="000000"/>
        </w:rPr>
        <w:t xml:space="preserve">level (n = 250). </w:t>
      </w:r>
      <w:r w:rsidR="00F83D2F">
        <w:rPr>
          <w:rFonts w:eastAsia="Times New Roman" w:cstheme="minorHAnsi"/>
          <w:color w:val="000000"/>
        </w:rPr>
        <w:t>Of the 335 directors, we expect that 2</w:t>
      </w:r>
      <w:r w:rsidR="00C70014">
        <w:rPr>
          <w:rFonts w:eastAsia="Times New Roman" w:cstheme="minorHAnsi"/>
          <w:color w:val="000000"/>
        </w:rPr>
        <w:t>20</w:t>
      </w:r>
      <w:r w:rsidR="00F83D2F">
        <w:rPr>
          <w:rFonts w:eastAsia="Times New Roman" w:cstheme="minorHAnsi"/>
          <w:color w:val="000000"/>
        </w:rPr>
        <w:t xml:space="preserve"> will respond. </w:t>
      </w:r>
    </w:p>
    <w:p w:rsidR="000C539D" w:rsidP="0085039E" w:rsidRDefault="00EF607D" w14:paraId="0478B1EE" w14:textId="0C713786">
      <w:pPr>
        <w:autoSpaceDE w:val="0"/>
        <w:autoSpaceDN w:val="0"/>
        <w:adjustRightInd w:val="0"/>
        <w:spacing w:after="240" w:line="240" w:lineRule="atLeast"/>
        <w:rPr>
          <w:rFonts w:eastAsia="Times New Roman" w:cstheme="minorHAnsi"/>
          <w:color w:val="000000"/>
        </w:rPr>
      </w:pPr>
      <w:r>
        <w:rPr>
          <w:rFonts w:eastAsia="Times New Roman" w:cstheme="minorHAnsi"/>
          <w:color w:val="000000"/>
        </w:rPr>
        <w:t>Th</w:t>
      </w:r>
      <w:r w:rsidR="00E34D1A">
        <w:rPr>
          <w:rFonts w:eastAsia="Times New Roman" w:cstheme="minorHAnsi"/>
          <w:color w:val="000000"/>
        </w:rPr>
        <w:t>e</w:t>
      </w:r>
      <w:r>
        <w:rPr>
          <w:rFonts w:eastAsia="Times New Roman" w:cstheme="minorHAnsi"/>
          <w:color w:val="000000"/>
        </w:rPr>
        <w:t xml:space="preserve"> survey will ask directors about partnerships, and we will use this information to determine whether </w:t>
      </w:r>
      <w:r w:rsidR="005E7592">
        <w:rPr>
          <w:rFonts w:eastAsia="Times New Roman" w:cstheme="minorHAnsi"/>
          <w:color w:val="000000"/>
        </w:rPr>
        <w:t>child care providers</w:t>
      </w:r>
      <w:r w:rsidR="00BF73D5">
        <w:rPr>
          <w:rFonts w:eastAsia="Times New Roman" w:cstheme="minorHAnsi"/>
          <w:color w:val="000000"/>
        </w:rPr>
        <w:t xml:space="preserve"> (including both center-based providers and family child care providers)</w:t>
      </w:r>
      <w:r w:rsidR="005E7592">
        <w:rPr>
          <w:rFonts w:eastAsia="Times New Roman" w:cstheme="minorHAnsi"/>
          <w:color w:val="000000"/>
        </w:rPr>
        <w:t xml:space="preserve"> </w:t>
      </w:r>
      <w:r>
        <w:rPr>
          <w:rFonts w:eastAsia="Times New Roman" w:cstheme="minorHAnsi"/>
          <w:color w:val="000000"/>
        </w:rPr>
        <w:t xml:space="preserve">will receive a survey for </w:t>
      </w:r>
      <w:r w:rsidR="00214DB8">
        <w:rPr>
          <w:rFonts w:eastAsia="Times New Roman" w:cstheme="minorHAnsi"/>
          <w:color w:val="000000"/>
        </w:rPr>
        <w:t xml:space="preserve">providers </w:t>
      </w:r>
      <w:r>
        <w:rPr>
          <w:rFonts w:eastAsia="Times New Roman" w:cstheme="minorHAnsi"/>
          <w:color w:val="000000"/>
        </w:rPr>
        <w:t xml:space="preserve">in dissolved partnerships </w:t>
      </w:r>
      <w:r w:rsidR="00E34D1A">
        <w:rPr>
          <w:rFonts w:eastAsia="Times New Roman" w:cstheme="minorHAnsi"/>
          <w:color w:val="000000"/>
        </w:rPr>
        <w:t>versus</w:t>
      </w:r>
      <w:r>
        <w:rPr>
          <w:rFonts w:eastAsia="Times New Roman" w:cstheme="minorHAnsi"/>
          <w:color w:val="000000"/>
        </w:rPr>
        <w:t xml:space="preserve"> sustained partnerships</w:t>
      </w:r>
      <w:r w:rsidR="00C501F7">
        <w:rPr>
          <w:rFonts w:eastAsia="Times New Roman" w:cstheme="minorHAnsi"/>
          <w:color w:val="000000"/>
        </w:rPr>
        <w:t xml:space="preserve"> (herein </w:t>
      </w:r>
      <w:r w:rsidRPr="00641E6A" w:rsidR="00C501F7">
        <w:t>sustained partnership providers</w:t>
      </w:r>
      <w:r w:rsidR="00C501F7">
        <w:t xml:space="preserve"> and </w:t>
      </w:r>
      <w:r w:rsidRPr="00641E6A" w:rsidR="00C501F7">
        <w:t>dissolved partnership providers</w:t>
      </w:r>
      <w:r w:rsidR="00C501F7">
        <w:t>)</w:t>
      </w:r>
      <w:r>
        <w:rPr>
          <w:rFonts w:eastAsia="Times New Roman" w:cstheme="minorHAnsi"/>
          <w:color w:val="000000"/>
        </w:rPr>
        <w:t xml:space="preserve">. </w:t>
      </w:r>
      <w:r w:rsidR="00E34D1A">
        <w:rPr>
          <w:rFonts w:eastAsia="Times New Roman" w:cstheme="minorHAnsi"/>
          <w:color w:val="000000"/>
        </w:rPr>
        <w:t>We will invite p</w:t>
      </w:r>
      <w:r w:rsidR="00BF73D5">
        <w:rPr>
          <w:rFonts w:eastAsia="Times New Roman" w:cstheme="minorHAnsi"/>
          <w:color w:val="000000"/>
        </w:rPr>
        <w:t xml:space="preserve">roviders to participate in the </w:t>
      </w:r>
      <w:r w:rsidR="00BF73D5">
        <w:rPr>
          <w:rFonts w:eastAsia="Times New Roman" w:cstheme="minorHAnsi"/>
          <w:color w:val="000000"/>
        </w:rPr>
        <w:lastRenderedPageBreak/>
        <w:t xml:space="preserve">survey on a rolling basis </w:t>
      </w:r>
      <w:r w:rsidR="00F71952">
        <w:rPr>
          <w:rFonts w:eastAsia="Times New Roman" w:cstheme="minorHAnsi"/>
          <w:color w:val="000000"/>
        </w:rPr>
        <w:t xml:space="preserve">after we learn from the </w:t>
      </w:r>
      <w:r w:rsidR="00B53053">
        <w:rPr>
          <w:rFonts w:eastAsia="Times New Roman" w:cstheme="minorHAnsi"/>
          <w:color w:val="000000"/>
        </w:rPr>
        <w:t xml:space="preserve">EHS program </w:t>
      </w:r>
      <w:r w:rsidR="00F71952">
        <w:rPr>
          <w:rFonts w:eastAsia="Times New Roman" w:cstheme="minorHAnsi"/>
          <w:color w:val="000000"/>
        </w:rPr>
        <w:t xml:space="preserve">directors which type of survey each provider should receive. </w:t>
      </w:r>
      <w:r>
        <w:rPr>
          <w:rFonts w:eastAsia="Times New Roman" w:cstheme="minorHAnsi"/>
          <w:color w:val="000000"/>
        </w:rPr>
        <w:t xml:space="preserve">This </w:t>
      </w:r>
      <w:r w:rsidR="006B0411">
        <w:rPr>
          <w:rFonts w:eastAsia="Times New Roman" w:cstheme="minorHAnsi"/>
          <w:color w:val="000000"/>
        </w:rPr>
        <w:t xml:space="preserve">web-based survey </w:t>
      </w:r>
      <w:r>
        <w:rPr>
          <w:rFonts w:eastAsia="Times New Roman" w:cstheme="minorHAnsi"/>
          <w:color w:val="000000"/>
        </w:rPr>
        <w:t>will include the universe of</w:t>
      </w:r>
      <w:r w:rsidR="006B0411">
        <w:rPr>
          <w:rFonts w:eastAsia="Times New Roman" w:cstheme="minorHAnsi"/>
          <w:color w:val="000000"/>
        </w:rPr>
        <w:t xml:space="preserve"> </w:t>
      </w:r>
      <w:r w:rsidR="008B2E2A">
        <w:rPr>
          <w:rFonts w:eastAsia="Times New Roman" w:cstheme="minorHAnsi"/>
          <w:color w:val="000000"/>
        </w:rPr>
        <w:t>provider</w:t>
      </w:r>
      <w:r w:rsidR="00E34D1A">
        <w:rPr>
          <w:rFonts w:eastAsia="Times New Roman" w:cstheme="minorHAnsi"/>
          <w:color w:val="000000"/>
        </w:rPr>
        <w:t>s</w:t>
      </w:r>
      <w:r w:rsidR="008B2E2A">
        <w:rPr>
          <w:rFonts w:eastAsia="Times New Roman" w:cstheme="minorHAnsi"/>
          <w:color w:val="000000"/>
        </w:rPr>
        <w:t xml:space="preserve"> sampled for</w:t>
      </w:r>
      <w:r w:rsidR="006B0411">
        <w:rPr>
          <w:rFonts w:eastAsia="Times New Roman" w:cstheme="minorHAnsi"/>
          <w:color w:val="000000"/>
        </w:rPr>
        <w:t xml:space="preserve"> the NDS</w:t>
      </w:r>
      <w:r w:rsidR="005929DB">
        <w:rPr>
          <w:rFonts w:eastAsia="Times New Roman" w:cstheme="minorHAnsi"/>
          <w:color w:val="000000"/>
        </w:rPr>
        <w:t>;</w:t>
      </w:r>
      <w:r>
        <w:rPr>
          <w:rFonts w:eastAsia="Times New Roman" w:cstheme="minorHAnsi"/>
          <w:color w:val="000000"/>
        </w:rPr>
        <w:t xml:space="preserve"> we </w:t>
      </w:r>
      <w:r w:rsidR="006B0411">
        <w:rPr>
          <w:rFonts w:eastAsia="Times New Roman" w:cstheme="minorHAnsi"/>
          <w:color w:val="000000"/>
        </w:rPr>
        <w:t xml:space="preserve">will ask </w:t>
      </w:r>
      <w:r>
        <w:rPr>
          <w:rFonts w:eastAsia="Times New Roman" w:cstheme="minorHAnsi"/>
          <w:color w:val="000000"/>
        </w:rPr>
        <w:t>all</w:t>
      </w:r>
      <w:r w:rsidR="006B0411">
        <w:rPr>
          <w:rFonts w:eastAsia="Times New Roman" w:cstheme="minorHAnsi"/>
          <w:color w:val="000000"/>
        </w:rPr>
        <w:t xml:space="preserve"> providers who were selected to participate in the NDS to participate in our survey.</w:t>
      </w:r>
      <w:r>
        <w:rPr>
          <w:rFonts w:eastAsia="Times New Roman" w:cstheme="minorHAnsi"/>
          <w:color w:val="000000"/>
        </w:rPr>
        <w:t xml:space="preserve"> </w:t>
      </w:r>
    </w:p>
    <w:p w:rsidR="00EF607D" w:rsidP="0085039E" w:rsidRDefault="00EF607D" w14:paraId="5D833647" w14:textId="7752AA20">
      <w:pPr>
        <w:autoSpaceDE w:val="0"/>
        <w:autoSpaceDN w:val="0"/>
        <w:adjustRightInd w:val="0"/>
        <w:spacing w:after="240" w:line="240" w:lineRule="atLeast"/>
        <w:rPr>
          <w:rFonts w:eastAsia="Times New Roman" w:cstheme="minorHAnsi"/>
          <w:color w:val="000000"/>
        </w:rPr>
      </w:pPr>
      <w:r w:rsidRPr="0074630D">
        <w:rPr>
          <w:rFonts w:eastAsia="Times New Roman" w:cstheme="minorHAnsi"/>
          <w:color w:val="000000"/>
        </w:rPr>
        <w:t>The NDS</w:t>
      </w:r>
      <w:r w:rsidRPr="0074630D" w:rsidR="00F748E2">
        <w:rPr>
          <w:rFonts w:eastAsia="Times New Roman" w:cstheme="minorHAnsi"/>
          <w:color w:val="000000"/>
        </w:rPr>
        <w:t xml:space="preserve">, which </w:t>
      </w:r>
      <w:r w:rsidRPr="0074630D" w:rsidR="000C539D">
        <w:rPr>
          <w:rFonts w:eastAsia="Times New Roman" w:cstheme="minorHAnsi"/>
          <w:color w:val="000000"/>
        </w:rPr>
        <w:t>surveyed child care providers from February through November 2016</w:t>
      </w:r>
      <w:r w:rsidRPr="0074630D" w:rsidR="00F748E2">
        <w:rPr>
          <w:rFonts w:eastAsia="Times New Roman" w:cstheme="minorHAnsi"/>
          <w:color w:val="000000"/>
        </w:rPr>
        <w:t>, had an 8</w:t>
      </w:r>
      <w:r w:rsidRPr="0074630D" w:rsidR="000C539D">
        <w:rPr>
          <w:rFonts w:eastAsia="Times New Roman" w:cstheme="minorHAnsi"/>
          <w:color w:val="000000"/>
        </w:rPr>
        <w:t>2</w:t>
      </w:r>
      <w:r w:rsidRPr="0074630D" w:rsidR="00F748E2">
        <w:rPr>
          <w:rFonts w:eastAsia="Times New Roman" w:cstheme="minorHAnsi"/>
          <w:color w:val="000000"/>
        </w:rPr>
        <w:t xml:space="preserve"> percent response rate from </w:t>
      </w:r>
      <w:r w:rsidRPr="0074630D" w:rsidR="00E662FE">
        <w:rPr>
          <w:rFonts w:eastAsia="Times New Roman" w:cstheme="minorHAnsi"/>
          <w:color w:val="000000"/>
        </w:rPr>
        <w:t>providers and an 88 percent response rate from EHS program directors</w:t>
      </w:r>
      <w:r w:rsidRPr="0074630D" w:rsidR="000C539D">
        <w:rPr>
          <w:rFonts w:eastAsia="Times New Roman" w:cstheme="minorHAnsi"/>
          <w:color w:val="000000"/>
        </w:rPr>
        <w:t xml:space="preserve">. </w:t>
      </w:r>
      <w:r w:rsidRPr="0074630D" w:rsidR="00C37FE5">
        <w:rPr>
          <w:rFonts w:eastAsia="Times New Roman" w:cstheme="minorHAnsi"/>
          <w:color w:val="000000"/>
        </w:rPr>
        <w:t>Providers were randomly sampled from a list of child care partners provided by EHS program directors. This resulted in a sample of 470 child care providers (302 center</w:t>
      </w:r>
      <w:r w:rsidRPr="0074630D" w:rsidR="00D92B83">
        <w:rPr>
          <w:rFonts w:eastAsia="Times New Roman" w:cstheme="minorHAnsi"/>
          <w:color w:val="000000"/>
        </w:rPr>
        <w:t>-based</w:t>
      </w:r>
      <w:r w:rsidRPr="0074630D" w:rsidR="00C37FE5">
        <w:rPr>
          <w:rFonts w:eastAsia="Times New Roman" w:cstheme="minorHAnsi"/>
          <w:color w:val="000000"/>
        </w:rPr>
        <w:t xml:space="preserve"> providers and 168 family child care providers). The sampl</w:t>
      </w:r>
      <w:r w:rsidRPr="0074630D" w:rsidR="00146F9D">
        <w:rPr>
          <w:rFonts w:eastAsia="Times New Roman" w:cstheme="minorHAnsi"/>
          <w:color w:val="000000"/>
        </w:rPr>
        <w:t>ing</w:t>
      </w:r>
      <w:r w:rsidRPr="0074630D" w:rsidR="00C37FE5">
        <w:rPr>
          <w:rFonts w:eastAsia="Times New Roman" w:cstheme="minorHAnsi"/>
          <w:color w:val="000000"/>
        </w:rPr>
        <w:t xml:space="preserve"> was done separately by provider type </w:t>
      </w:r>
      <w:r w:rsidRPr="0074630D" w:rsidR="007D0A22">
        <w:rPr>
          <w:rFonts w:eastAsia="Times New Roman" w:cstheme="minorHAnsi"/>
          <w:color w:val="000000"/>
        </w:rPr>
        <w:t xml:space="preserve">to </w:t>
      </w:r>
      <w:r w:rsidRPr="0074630D" w:rsidR="00C37FE5">
        <w:rPr>
          <w:rFonts w:eastAsia="Times New Roman" w:cstheme="minorHAnsi"/>
          <w:color w:val="000000"/>
        </w:rPr>
        <w:t xml:space="preserve">ensure </w:t>
      </w:r>
      <w:r w:rsidRPr="0074630D" w:rsidR="007D0A22">
        <w:rPr>
          <w:rFonts w:eastAsia="Times New Roman" w:cstheme="minorHAnsi"/>
          <w:color w:val="000000"/>
        </w:rPr>
        <w:t xml:space="preserve">a </w:t>
      </w:r>
      <w:r w:rsidRPr="0074630D" w:rsidR="00C37FE5">
        <w:rPr>
          <w:rFonts w:eastAsia="Times New Roman" w:cstheme="minorHAnsi"/>
          <w:color w:val="000000"/>
        </w:rPr>
        <w:t xml:space="preserve">robust </w:t>
      </w:r>
      <w:r w:rsidRPr="0074630D" w:rsidR="007D0A22">
        <w:rPr>
          <w:rFonts w:eastAsia="Times New Roman" w:cstheme="minorHAnsi"/>
          <w:color w:val="000000"/>
        </w:rPr>
        <w:t xml:space="preserve">sample </w:t>
      </w:r>
      <w:r w:rsidRPr="0074630D" w:rsidR="0057360D">
        <w:rPr>
          <w:rFonts w:eastAsia="Times New Roman" w:cstheme="minorHAnsi"/>
          <w:color w:val="000000"/>
        </w:rPr>
        <w:t>of</w:t>
      </w:r>
      <w:r w:rsidRPr="0074630D" w:rsidR="007D0A22">
        <w:rPr>
          <w:rFonts w:eastAsia="Times New Roman" w:cstheme="minorHAnsi"/>
          <w:color w:val="000000"/>
        </w:rPr>
        <w:t xml:space="preserve"> </w:t>
      </w:r>
      <w:r w:rsidRPr="0074630D" w:rsidR="00C37FE5">
        <w:rPr>
          <w:rFonts w:eastAsia="Times New Roman" w:cstheme="minorHAnsi"/>
          <w:color w:val="000000"/>
        </w:rPr>
        <w:t>family</w:t>
      </w:r>
      <w:r w:rsidR="00C37FE5">
        <w:rPr>
          <w:rFonts w:eastAsia="Times New Roman" w:cstheme="minorHAnsi"/>
          <w:color w:val="000000"/>
        </w:rPr>
        <w:t xml:space="preserve"> child care provider</w:t>
      </w:r>
      <w:r w:rsidR="007D0A22">
        <w:rPr>
          <w:rFonts w:eastAsia="Times New Roman" w:cstheme="minorHAnsi"/>
          <w:color w:val="000000"/>
        </w:rPr>
        <w:t>s</w:t>
      </w:r>
      <w:r w:rsidR="00C37FE5">
        <w:rPr>
          <w:rFonts w:eastAsia="Times New Roman" w:cstheme="minorHAnsi"/>
          <w:color w:val="000000"/>
        </w:rPr>
        <w:t xml:space="preserve">, as most </w:t>
      </w:r>
      <w:r w:rsidR="00D53C67">
        <w:rPr>
          <w:rFonts w:eastAsia="Times New Roman" w:cstheme="minorHAnsi"/>
          <w:color w:val="000000"/>
        </w:rPr>
        <w:t xml:space="preserve">EHS programs </w:t>
      </w:r>
      <w:r w:rsidR="00C37FE5">
        <w:rPr>
          <w:rFonts w:eastAsia="Times New Roman" w:cstheme="minorHAnsi"/>
          <w:color w:val="000000"/>
        </w:rPr>
        <w:t>had only center</w:t>
      </w:r>
      <w:r w:rsidR="007D0A22">
        <w:rPr>
          <w:rFonts w:eastAsia="Times New Roman" w:cstheme="minorHAnsi"/>
          <w:color w:val="000000"/>
        </w:rPr>
        <w:t>-based</w:t>
      </w:r>
      <w:r w:rsidR="00C37FE5">
        <w:rPr>
          <w:rFonts w:eastAsia="Times New Roman" w:cstheme="minorHAnsi"/>
          <w:color w:val="000000"/>
        </w:rPr>
        <w:t xml:space="preserve"> provider partners. Of the 470 providers asked to participate in the survey, 386 completed the survey (255 center</w:t>
      </w:r>
      <w:r w:rsidR="009879F6">
        <w:rPr>
          <w:rFonts w:eastAsia="Times New Roman" w:cstheme="minorHAnsi"/>
          <w:color w:val="000000"/>
        </w:rPr>
        <w:t>-based</w:t>
      </w:r>
      <w:r w:rsidR="00C37FE5">
        <w:rPr>
          <w:rFonts w:eastAsia="Times New Roman" w:cstheme="minorHAnsi"/>
          <w:color w:val="000000"/>
        </w:rPr>
        <w:t xml:space="preserve"> providers and </w:t>
      </w:r>
      <w:r w:rsidR="00124FD7">
        <w:rPr>
          <w:rFonts w:eastAsia="Times New Roman" w:cstheme="minorHAnsi"/>
          <w:color w:val="000000"/>
        </w:rPr>
        <w:t>131 family child care providers).</w:t>
      </w:r>
      <w:r w:rsidR="007E3175">
        <w:rPr>
          <w:rFonts w:eastAsia="Times New Roman" w:cstheme="minorHAnsi"/>
          <w:color w:val="000000"/>
        </w:rPr>
        <w:t xml:space="preserve"> Information </w:t>
      </w:r>
      <w:r w:rsidR="008B2E2A">
        <w:rPr>
          <w:rFonts w:eastAsia="Times New Roman" w:cstheme="minorHAnsi"/>
          <w:color w:val="000000"/>
        </w:rPr>
        <w:t>from the NDS</w:t>
      </w:r>
      <w:r w:rsidR="007E3175">
        <w:rPr>
          <w:rFonts w:eastAsia="Times New Roman" w:cstheme="minorHAnsi"/>
          <w:color w:val="000000"/>
        </w:rPr>
        <w:t xml:space="preserve"> is national</w:t>
      </w:r>
      <w:r w:rsidR="008B2E2A">
        <w:rPr>
          <w:rFonts w:eastAsia="Times New Roman" w:cstheme="minorHAnsi"/>
          <w:color w:val="000000"/>
        </w:rPr>
        <w:t>ly</w:t>
      </w:r>
      <w:r w:rsidR="007E3175">
        <w:rPr>
          <w:rFonts w:eastAsia="Times New Roman" w:cstheme="minorHAnsi"/>
          <w:color w:val="000000"/>
        </w:rPr>
        <w:t xml:space="preserve"> representative of partnership providers when weighted. </w:t>
      </w:r>
      <w:r w:rsidR="001644CE">
        <w:rPr>
          <w:rFonts w:eastAsia="Times New Roman" w:cstheme="minorHAnsi"/>
          <w:color w:val="000000"/>
        </w:rPr>
        <w:t xml:space="preserve">Given that </w:t>
      </w:r>
      <w:r w:rsidR="00DB0207">
        <w:rPr>
          <w:rFonts w:eastAsia="Times New Roman" w:cstheme="minorHAnsi"/>
          <w:color w:val="000000"/>
        </w:rPr>
        <w:t xml:space="preserve">the response rate was </w:t>
      </w:r>
      <w:r w:rsidR="006C5B40">
        <w:rPr>
          <w:rFonts w:eastAsia="Times New Roman" w:cstheme="minorHAnsi"/>
          <w:color w:val="000000"/>
        </w:rPr>
        <w:t xml:space="preserve">over </w:t>
      </w:r>
      <w:r w:rsidR="00DB0207">
        <w:rPr>
          <w:rFonts w:eastAsia="Times New Roman" w:cstheme="minorHAnsi"/>
          <w:color w:val="000000"/>
        </w:rPr>
        <w:t xml:space="preserve">80 percent, a nonresponse bias analysis was not conducted, in accordance with </w:t>
      </w:r>
      <w:r w:rsidR="001644CE">
        <w:rPr>
          <w:rFonts w:eastAsia="Times New Roman" w:cstheme="minorHAnsi"/>
          <w:color w:val="000000"/>
        </w:rPr>
        <w:t>the Office of Management and Budget’s</w:t>
      </w:r>
      <w:r w:rsidR="00DB0207">
        <w:rPr>
          <w:rFonts w:eastAsia="Times New Roman" w:cstheme="minorHAnsi"/>
          <w:color w:val="000000"/>
        </w:rPr>
        <w:t xml:space="preserve"> guidelines.</w:t>
      </w:r>
      <w:r w:rsidDel="00DB6BA4" w:rsidR="00DB6BA4">
        <w:rPr>
          <w:rFonts w:eastAsia="Times New Roman" w:cstheme="minorHAnsi"/>
          <w:color w:val="000000"/>
        </w:rPr>
        <w:t xml:space="preserve"> </w:t>
      </w:r>
    </w:p>
    <w:p w:rsidR="00343B6C" w:rsidP="00F96CED" w:rsidRDefault="00343B6C" w14:paraId="53089ADB" w14:textId="3549B834">
      <w:pPr>
        <w:autoSpaceDE w:val="0"/>
        <w:autoSpaceDN w:val="0"/>
        <w:adjustRightInd w:val="0"/>
        <w:spacing w:after="120" w:line="240" w:lineRule="atLeast"/>
        <w:rPr>
          <w:rFonts w:eastAsia="Times New Roman" w:cstheme="minorHAnsi"/>
          <w:color w:val="000000"/>
        </w:rPr>
      </w:pPr>
      <w:r>
        <w:rPr>
          <w:rFonts w:eastAsia="Times New Roman" w:cstheme="minorHAnsi"/>
          <w:color w:val="000000"/>
        </w:rPr>
        <w:t xml:space="preserve">Our expected sample size </w:t>
      </w:r>
      <w:r w:rsidR="008B6CC6">
        <w:rPr>
          <w:rFonts w:eastAsia="Times New Roman" w:cstheme="minorHAnsi"/>
          <w:color w:val="000000"/>
        </w:rPr>
        <w:t xml:space="preserve">(Table </w:t>
      </w:r>
      <w:r w:rsidR="005D36EE">
        <w:rPr>
          <w:rFonts w:eastAsia="Times New Roman" w:cstheme="minorHAnsi"/>
          <w:color w:val="000000"/>
        </w:rPr>
        <w:t>B.</w:t>
      </w:r>
      <w:r w:rsidR="008B6CC6">
        <w:rPr>
          <w:rFonts w:eastAsia="Times New Roman" w:cstheme="minorHAnsi"/>
          <w:color w:val="000000"/>
        </w:rPr>
        <w:t xml:space="preserve">2) </w:t>
      </w:r>
      <w:r>
        <w:rPr>
          <w:rFonts w:eastAsia="Times New Roman" w:cstheme="minorHAnsi"/>
          <w:color w:val="000000"/>
        </w:rPr>
        <w:t>provides sufficient power to detect effects</w:t>
      </w:r>
      <w:r w:rsidR="00633A6F">
        <w:rPr>
          <w:rStyle w:val="FootnoteReference"/>
          <w:rFonts w:eastAsia="Times New Roman" w:cstheme="minorHAnsi"/>
          <w:color w:val="000000"/>
        </w:rPr>
        <w:footnoteReference w:id="1"/>
      </w:r>
      <w:r>
        <w:rPr>
          <w:rFonts w:eastAsia="Times New Roman" w:cstheme="minorHAnsi"/>
          <w:color w:val="000000"/>
        </w:rPr>
        <w:t>.</w:t>
      </w:r>
    </w:p>
    <w:p w:rsidRPr="004367E2" w:rsidR="00EF052B" w:rsidP="00F96CED" w:rsidRDefault="00EF052B" w14:paraId="4997EF8F" w14:textId="68612C2B">
      <w:pPr>
        <w:pStyle w:val="ListParagraph"/>
        <w:numPr>
          <w:ilvl w:val="0"/>
          <w:numId w:val="35"/>
        </w:numPr>
        <w:autoSpaceDE w:val="0"/>
        <w:autoSpaceDN w:val="0"/>
        <w:adjustRightInd w:val="0"/>
        <w:spacing w:after="80" w:line="240" w:lineRule="atLeast"/>
        <w:ind w:left="360"/>
        <w:contextualSpacing w:val="0"/>
      </w:pPr>
      <w:r w:rsidRPr="00D00282">
        <w:rPr>
          <w:rFonts w:eastAsia="Times New Roman" w:cstheme="minorHAnsi"/>
          <w:color w:val="000000"/>
        </w:rPr>
        <w:t xml:space="preserve">For the survey of </w:t>
      </w:r>
      <w:r w:rsidRPr="00D00282" w:rsidR="00137D10">
        <w:rPr>
          <w:rFonts w:eastAsia="Times New Roman" w:cstheme="minorHAnsi"/>
          <w:color w:val="000000"/>
        </w:rPr>
        <w:t>EHS</w:t>
      </w:r>
      <w:r w:rsidRPr="00D00282">
        <w:rPr>
          <w:rFonts w:eastAsia="Times New Roman" w:cstheme="minorHAnsi"/>
          <w:color w:val="000000"/>
        </w:rPr>
        <w:t xml:space="preserve"> program directors</w:t>
      </w:r>
      <w:r w:rsidRPr="00D00282" w:rsidR="00343B6C">
        <w:rPr>
          <w:rFonts w:eastAsia="Times New Roman" w:cstheme="minorHAnsi"/>
          <w:color w:val="000000"/>
        </w:rPr>
        <w:t xml:space="preserve">, </w:t>
      </w:r>
      <w:r w:rsidRPr="00D00282" w:rsidR="00343B6C">
        <w:t xml:space="preserve">a sample size of about 220 programs </w:t>
      </w:r>
      <w:r w:rsidRPr="00D81877" w:rsidR="001B0C74">
        <w:t>will enable</w:t>
      </w:r>
      <w:r w:rsidRPr="00D00282" w:rsidR="001B0C74">
        <w:t xml:space="preserve"> </w:t>
      </w:r>
      <w:r w:rsidRPr="00D00282" w:rsidR="00343B6C">
        <w:t>us to detect changes of 0.13 standard deviations or larger</w:t>
      </w:r>
      <w:r w:rsidRPr="00D81877" w:rsidR="00FD3682">
        <w:t xml:space="preserve"> over time</w:t>
      </w:r>
      <w:r w:rsidRPr="00D00282" w:rsidR="00343B6C">
        <w:t xml:space="preserve">. To put this minimum detectable change into context, on average, EHS programs reported having 7.6 partners in the 2016 survey, with </w:t>
      </w:r>
      <w:r w:rsidRPr="004367E2" w:rsidR="00343B6C">
        <w:t xml:space="preserve">a standard deviation of 8.8. With an expected sample size of 220 programs, we could detect a change of 1.2 </w:t>
      </w:r>
      <w:r w:rsidRPr="004367E2" w:rsidR="00F753C8">
        <w:t>partnership providers</w:t>
      </w:r>
      <w:r w:rsidRPr="004367E2" w:rsidR="00343B6C">
        <w:t>.</w:t>
      </w:r>
    </w:p>
    <w:p w:rsidRPr="005B4688" w:rsidR="008B6CC6" w:rsidP="00F96CED" w:rsidRDefault="00343B6C" w14:paraId="20A8382A" w14:textId="5ED920EE">
      <w:pPr>
        <w:pStyle w:val="ListParagraph"/>
        <w:numPr>
          <w:ilvl w:val="0"/>
          <w:numId w:val="35"/>
        </w:numPr>
        <w:autoSpaceDE w:val="0"/>
        <w:autoSpaceDN w:val="0"/>
        <w:adjustRightInd w:val="0"/>
        <w:spacing w:after="80" w:line="240" w:lineRule="atLeast"/>
        <w:ind w:left="360"/>
        <w:contextualSpacing w:val="0"/>
        <w:rPr>
          <w:rFonts w:cstheme="minorHAnsi"/>
        </w:rPr>
      </w:pPr>
      <w:r w:rsidRPr="004367E2">
        <w:t>For child care providers in sustained partnerships, a sample size of 271 is large enough to detect changes of 0.12 standard deviations or larger</w:t>
      </w:r>
      <w:r w:rsidRPr="00D81877" w:rsidR="00523783">
        <w:t xml:space="preserve"> over time</w:t>
      </w:r>
      <w:r w:rsidRPr="004367E2">
        <w:t xml:space="preserve">. </w:t>
      </w:r>
      <w:r w:rsidRPr="004367E2">
        <w:rPr>
          <w:rFonts w:cstheme="minorHAnsi"/>
        </w:rPr>
        <w:t>For dissolved partnership</w:t>
      </w:r>
      <w:r w:rsidRPr="004367E2" w:rsidR="00CA6BFA">
        <w:rPr>
          <w:rFonts w:cstheme="minorHAnsi"/>
        </w:rPr>
        <w:t xml:space="preserve"> providers</w:t>
      </w:r>
      <w:r w:rsidRPr="004367E2">
        <w:rPr>
          <w:rFonts w:cstheme="minorHAnsi"/>
        </w:rPr>
        <w:t>, a sample size of 105 is large enough to detect changes of 0.19 standard deviations or larger</w:t>
      </w:r>
      <w:r w:rsidRPr="004367E2" w:rsidR="004367E2">
        <w:rPr>
          <w:rFonts w:cstheme="minorHAnsi"/>
        </w:rPr>
        <w:t xml:space="preserve"> </w:t>
      </w:r>
      <w:r w:rsidRPr="00D81877" w:rsidR="004367E2">
        <w:rPr>
          <w:rFonts w:cstheme="minorHAnsi"/>
        </w:rPr>
        <w:t>over time</w:t>
      </w:r>
      <w:r w:rsidRPr="004367E2">
        <w:rPr>
          <w:rFonts w:cstheme="minorHAnsi"/>
        </w:rPr>
        <w:t>. In 2016, child care providers reported a total enrollment of children age</w:t>
      </w:r>
      <w:r w:rsidR="00F80A00">
        <w:rPr>
          <w:rFonts w:cstheme="minorHAnsi"/>
        </w:rPr>
        <w:t>s</w:t>
      </w:r>
      <w:r w:rsidRPr="004367E2">
        <w:rPr>
          <w:rFonts w:cstheme="minorHAnsi"/>
        </w:rPr>
        <w:t xml:space="preserve"> 3 or younger that was</w:t>
      </w:r>
      <w:r w:rsidRPr="008B6CC6">
        <w:rPr>
          <w:rFonts w:cstheme="minorHAnsi"/>
        </w:rPr>
        <w:t xml:space="preserve">, on average, 21.9 children, with a standard deviation of 23.1. With an expected sample size of 271 sustained </w:t>
      </w:r>
      <w:r w:rsidR="004421E8">
        <w:rPr>
          <w:rFonts w:cstheme="minorHAnsi"/>
        </w:rPr>
        <w:t>partnership</w:t>
      </w:r>
      <w:r w:rsidR="00860810">
        <w:rPr>
          <w:rFonts w:cstheme="minorHAnsi"/>
        </w:rPr>
        <w:t xml:space="preserve"> providers</w:t>
      </w:r>
      <w:r w:rsidRPr="008B6CC6">
        <w:rPr>
          <w:rFonts w:cstheme="minorHAnsi"/>
        </w:rPr>
        <w:t xml:space="preserve">, we could detect a change in enrollment of 2.8 children for this group. With </w:t>
      </w:r>
      <w:r w:rsidRPr="005B4688">
        <w:rPr>
          <w:rFonts w:cstheme="minorHAnsi"/>
        </w:rPr>
        <w:t>an expected sample size of 105 dissolved partnership</w:t>
      </w:r>
      <w:r w:rsidRPr="005B4688" w:rsidR="001302C5">
        <w:rPr>
          <w:rFonts w:cstheme="minorHAnsi"/>
        </w:rPr>
        <w:t xml:space="preserve"> providers</w:t>
      </w:r>
      <w:r w:rsidRPr="005B4688">
        <w:rPr>
          <w:rFonts w:cstheme="minorHAnsi"/>
        </w:rPr>
        <w:t>, we could detect a change in enrollment of 4.5 children for this group.</w:t>
      </w:r>
    </w:p>
    <w:p w:rsidRPr="00435ECB" w:rsidR="008B6CC6" w:rsidP="00F96CED" w:rsidRDefault="008B6CC6" w14:paraId="1BE07D8A" w14:textId="2CFF577C">
      <w:pPr>
        <w:pStyle w:val="ListParagraph"/>
        <w:numPr>
          <w:ilvl w:val="0"/>
          <w:numId w:val="35"/>
        </w:numPr>
        <w:autoSpaceDE w:val="0"/>
        <w:autoSpaceDN w:val="0"/>
        <w:adjustRightInd w:val="0"/>
        <w:spacing w:after="80" w:line="240" w:lineRule="atLeast"/>
        <w:ind w:left="360"/>
        <w:contextualSpacing w:val="0"/>
        <w:rPr>
          <w:rFonts w:cstheme="minorHAnsi"/>
        </w:rPr>
      </w:pPr>
      <w:r w:rsidRPr="005B4688">
        <w:rPr>
          <w:rFonts w:cstheme="minorHAnsi"/>
        </w:rPr>
        <w:t xml:space="preserve">We </w:t>
      </w:r>
      <w:r w:rsidRPr="00435ECB">
        <w:rPr>
          <w:rFonts w:cstheme="minorHAnsi"/>
        </w:rPr>
        <w:t xml:space="preserve">will also analyze subgroup differences in point-in-time estimates by using t-tests to compare average responses across subgroups, including sustained </w:t>
      </w:r>
      <w:r w:rsidRPr="00D81877" w:rsidR="00EF22F3">
        <w:rPr>
          <w:rFonts w:cstheme="minorHAnsi"/>
        </w:rPr>
        <w:t>versus</w:t>
      </w:r>
      <w:r w:rsidRPr="00435ECB" w:rsidR="00EF22F3">
        <w:rPr>
          <w:rFonts w:cstheme="minorHAnsi"/>
        </w:rPr>
        <w:t xml:space="preserve"> </w:t>
      </w:r>
      <w:r w:rsidRPr="00435ECB">
        <w:rPr>
          <w:rFonts w:cstheme="minorHAnsi"/>
        </w:rPr>
        <w:t>dissolved partnership</w:t>
      </w:r>
      <w:r w:rsidRPr="00435ECB" w:rsidR="00CA6BFA">
        <w:rPr>
          <w:rFonts w:cstheme="minorHAnsi"/>
        </w:rPr>
        <w:t xml:space="preserve"> providers</w:t>
      </w:r>
      <w:r w:rsidRPr="00435ECB">
        <w:rPr>
          <w:rFonts w:cstheme="minorHAnsi"/>
        </w:rPr>
        <w:t xml:space="preserve"> and family child care providers </w:t>
      </w:r>
      <w:r w:rsidRPr="00D81877" w:rsidR="00EF22F3">
        <w:rPr>
          <w:rFonts w:cstheme="minorHAnsi"/>
        </w:rPr>
        <w:t>versus</w:t>
      </w:r>
      <w:r w:rsidRPr="00435ECB" w:rsidR="00EF22F3">
        <w:rPr>
          <w:rFonts w:cstheme="minorHAnsi"/>
        </w:rPr>
        <w:t xml:space="preserve"> </w:t>
      </w:r>
      <w:r w:rsidRPr="00435ECB">
        <w:rPr>
          <w:rFonts w:cstheme="minorHAnsi"/>
        </w:rPr>
        <w:t>center-based providers. We could compare family child care and center</w:t>
      </w:r>
      <w:r w:rsidRPr="00D81877" w:rsidR="000F76D4">
        <w:rPr>
          <w:rFonts w:cstheme="minorHAnsi"/>
        </w:rPr>
        <w:t>-based</w:t>
      </w:r>
      <w:r w:rsidRPr="00435ECB">
        <w:rPr>
          <w:rFonts w:cstheme="minorHAnsi"/>
        </w:rPr>
        <w:t xml:space="preserve"> providers within both sustained and dissolved partnership</w:t>
      </w:r>
      <w:r w:rsidRPr="00435ECB" w:rsidR="00CA6BFA">
        <w:rPr>
          <w:rFonts w:cstheme="minorHAnsi"/>
        </w:rPr>
        <w:t xml:space="preserve"> providers</w:t>
      </w:r>
      <w:r w:rsidRPr="00435ECB">
        <w:rPr>
          <w:rFonts w:cstheme="minorHAnsi"/>
        </w:rPr>
        <w:t xml:space="preserve">. For example, we could examine whether the number of services </w:t>
      </w:r>
      <w:r w:rsidRPr="00D81877" w:rsidR="00F76A7C">
        <w:rPr>
          <w:rFonts w:cstheme="minorHAnsi"/>
        </w:rPr>
        <w:t xml:space="preserve">that </w:t>
      </w:r>
      <w:r w:rsidRPr="00435ECB">
        <w:rPr>
          <w:rFonts w:cstheme="minorHAnsi"/>
        </w:rPr>
        <w:t xml:space="preserve">these </w:t>
      </w:r>
      <w:r w:rsidRPr="00435ECB" w:rsidR="001302C5">
        <w:rPr>
          <w:rFonts w:cstheme="minorHAnsi"/>
        </w:rPr>
        <w:t xml:space="preserve">providers </w:t>
      </w:r>
      <w:r w:rsidRPr="00435ECB">
        <w:rPr>
          <w:rFonts w:cstheme="minorHAnsi"/>
        </w:rPr>
        <w:t xml:space="preserve">are currently </w:t>
      </w:r>
      <w:r w:rsidRPr="00435ECB" w:rsidR="007B1667">
        <w:rPr>
          <w:rFonts w:cstheme="minorHAnsi"/>
        </w:rPr>
        <w:t xml:space="preserve">offering </w:t>
      </w:r>
      <w:r w:rsidRPr="00435ECB">
        <w:rPr>
          <w:rFonts w:cstheme="minorHAnsi"/>
        </w:rPr>
        <w:t xml:space="preserve">differ. With an expected sample size of 376 </w:t>
      </w:r>
      <w:r w:rsidRPr="00435ECB" w:rsidR="00212C9F">
        <w:rPr>
          <w:rFonts w:cstheme="minorHAnsi"/>
        </w:rPr>
        <w:t>child care providers</w:t>
      </w:r>
      <w:r w:rsidRPr="00435ECB">
        <w:rPr>
          <w:rFonts w:cstheme="minorHAnsi"/>
        </w:rPr>
        <w:t>, we expect 154 (36 percent) to be family child care providers (Del Grosso et al. 2018). Therefore, we could detect differences of 0.31 standard deviations or larger</w:t>
      </w:r>
      <w:r w:rsidRPr="00435ECB" w:rsidR="009718E6">
        <w:rPr>
          <w:rFonts w:cstheme="minorHAnsi"/>
        </w:rPr>
        <w:t xml:space="preserve"> in the number of services</w:t>
      </w:r>
      <w:r w:rsidRPr="00435ECB">
        <w:rPr>
          <w:rFonts w:cstheme="minorHAnsi"/>
        </w:rPr>
        <w:t>.</w:t>
      </w:r>
      <w:r w:rsidRPr="00435ECB">
        <w:rPr>
          <w:rStyle w:val="FootnoteReference"/>
          <w:rFonts w:cstheme="minorHAnsi"/>
        </w:rPr>
        <w:footnoteReference w:id="2"/>
      </w:r>
      <w:r w:rsidRPr="00435ECB">
        <w:rPr>
          <w:rFonts w:cstheme="minorHAnsi"/>
        </w:rPr>
        <w:t xml:space="preserve"> </w:t>
      </w:r>
    </w:p>
    <w:p w:rsidRPr="008B6CC6" w:rsidR="00343B6C" w:rsidP="00816F60" w:rsidRDefault="008B6CC6" w14:paraId="6FB3D830" w14:textId="1D081ED5">
      <w:pPr>
        <w:pStyle w:val="ListParagraph"/>
        <w:numPr>
          <w:ilvl w:val="0"/>
          <w:numId w:val="35"/>
        </w:numPr>
        <w:spacing w:after="240" w:line="240" w:lineRule="auto"/>
        <w:ind w:left="360"/>
        <w:contextualSpacing w:val="0"/>
        <w:rPr>
          <w:rFonts w:cstheme="minorHAnsi"/>
        </w:rPr>
      </w:pPr>
      <w:r w:rsidRPr="00435ECB">
        <w:rPr>
          <w:rFonts w:cstheme="minorHAnsi"/>
        </w:rPr>
        <w:t>We could also compare</w:t>
      </w:r>
      <w:r w:rsidRPr="008B6CC6">
        <w:rPr>
          <w:rFonts w:cstheme="minorHAnsi"/>
        </w:rPr>
        <w:t xml:space="preserve"> sustained </w:t>
      </w:r>
      <w:r w:rsidR="00EE33BE">
        <w:rPr>
          <w:rFonts w:cstheme="minorHAnsi"/>
        </w:rPr>
        <w:t>versus</w:t>
      </w:r>
      <w:r w:rsidRPr="008B6CC6" w:rsidR="00EE33BE">
        <w:rPr>
          <w:rFonts w:cstheme="minorHAnsi"/>
        </w:rPr>
        <w:t xml:space="preserve"> </w:t>
      </w:r>
      <w:r w:rsidRPr="008B6CC6">
        <w:rPr>
          <w:rFonts w:cstheme="minorHAnsi"/>
        </w:rPr>
        <w:t>dissolved partnership</w:t>
      </w:r>
      <w:r w:rsidR="00CA6BFA">
        <w:rPr>
          <w:rFonts w:cstheme="minorHAnsi"/>
        </w:rPr>
        <w:t xml:space="preserve"> providers</w:t>
      </w:r>
      <w:r w:rsidRPr="008B6CC6">
        <w:rPr>
          <w:rFonts w:cstheme="minorHAnsi"/>
        </w:rPr>
        <w:t xml:space="preserve">. For example, we could examine differences in </w:t>
      </w:r>
      <w:r w:rsidR="00212C9F">
        <w:rPr>
          <w:rFonts w:cstheme="minorHAnsi"/>
        </w:rPr>
        <w:t>child care providers</w:t>
      </w:r>
      <w:r w:rsidRPr="008B6CC6" w:rsidR="00212C9F">
        <w:rPr>
          <w:rFonts w:cstheme="minorHAnsi"/>
        </w:rPr>
        <w:t xml:space="preserve">’ </w:t>
      </w:r>
      <w:r w:rsidRPr="008B6CC6">
        <w:rPr>
          <w:rFonts w:cstheme="minorHAnsi"/>
        </w:rPr>
        <w:t>reports of partnership quality</w:t>
      </w:r>
      <w:r w:rsidR="007B0DD0">
        <w:rPr>
          <w:rFonts w:cstheme="minorHAnsi"/>
        </w:rPr>
        <w:t>, based on</w:t>
      </w:r>
      <w:r w:rsidRPr="008B6CC6">
        <w:rPr>
          <w:rFonts w:cstheme="minorHAnsi"/>
        </w:rPr>
        <w:t xml:space="preserve"> whether the </w:t>
      </w:r>
      <w:r w:rsidRPr="008B6CC6">
        <w:rPr>
          <w:rFonts w:cstheme="minorHAnsi"/>
        </w:rPr>
        <w:lastRenderedPageBreak/>
        <w:t xml:space="preserve">partnership was sustained or dissolved. A sample size of 376 </w:t>
      </w:r>
      <w:r w:rsidR="00212C9F">
        <w:rPr>
          <w:rFonts w:cstheme="minorHAnsi"/>
        </w:rPr>
        <w:t>child care providers</w:t>
      </w:r>
      <w:r w:rsidRPr="008B6CC6" w:rsidR="00212C9F">
        <w:rPr>
          <w:rFonts w:cstheme="minorHAnsi"/>
        </w:rPr>
        <w:t xml:space="preserve"> </w:t>
      </w:r>
      <w:r w:rsidRPr="008B6CC6">
        <w:rPr>
          <w:rFonts w:cstheme="minorHAnsi"/>
        </w:rPr>
        <w:t xml:space="preserve">would </w:t>
      </w:r>
      <w:r w:rsidR="007B0DD0">
        <w:rPr>
          <w:rFonts w:cstheme="minorHAnsi"/>
        </w:rPr>
        <w:t>enable</w:t>
      </w:r>
      <w:r w:rsidRPr="008B6CC6" w:rsidR="007B0DD0">
        <w:rPr>
          <w:rFonts w:cstheme="minorHAnsi"/>
        </w:rPr>
        <w:t xml:space="preserve"> </w:t>
      </w:r>
      <w:r w:rsidRPr="008B6CC6">
        <w:rPr>
          <w:rFonts w:cstheme="minorHAnsi"/>
        </w:rPr>
        <w:t>us to detect difference</w:t>
      </w:r>
      <w:r w:rsidR="007B0DD0">
        <w:rPr>
          <w:rFonts w:cstheme="minorHAnsi"/>
        </w:rPr>
        <w:t>s</w:t>
      </w:r>
      <w:r w:rsidRPr="008B6CC6">
        <w:rPr>
          <w:rFonts w:cstheme="minorHAnsi"/>
        </w:rPr>
        <w:t xml:space="preserve"> of 0.32 standard deviations or larger. </w:t>
      </w:r>
    </w:p>
    <w:p w:rsidRPr="00B33916" w:rsidR="006B0411" w:rsidP="0085039E" w:rsidRDefault="00697ABA" w14:paraId="51E6A6AD" w14:textId="51F512AD">
      <w:pPr>
        <w:autoSpaceDE w:val="0"/>
        <w:autoSpaceDN w:val="0"/>
        <w:adjustRightInd w:val="0"/>
        <w:spacing w:after="240" w:line="240" w:lineRule="atLeast"/>
        <w:rPr>
          <w:rFonts w:eastAsia="Times New Roman" w:cstheme="minorHAnsi"/>
          <w:color w:val="000000"/>
        </w:rPr>
      </w:pPr>
      <w:r w:rsidRPr="00CD7E7A">
        <w:rPr>
          <w:rFonts w:eastAsia="Times New Roman" w:cstheme="minorHAnsi"/>
          <w:b/>
          <w:bCs/>
          <w:color w:val="000000"/>
        </w:rPr>
        <w:t>Semi-structured i</w:t>
      </w:r>
      <w:r w:rsidRPr="00CD7E7A" w:rsidR="006B0411">
        <w:rPr>
          <w:rFonts w:eastAsia="Times New Roman" w:cstheme="minorHAnsi"/>
          <w:b/>
          <w:bCs/>
          <w:color w:val="000000"/>
        </w:rPr>
        <w:t xml:space="preserve">nterviews. </w:t>
      </w:r>
      <w:r w:rsidRPr="00CD7E7A" w:rsidR="006B0411">
        <w:rPr>
          <w:rFonts w:eastAsia="Times New Roman" w:cstheme="minorHAnsi"/>
          <w:color w:val="000000"/>
        </w:rPr>
        <w:t xml:space="preserve">The sampling frame for </w:t>
      </w:r>
      <w:r w:rsidRPr="00CD7E7A" w:rsidR="00212C9F">
        <w:rPr>
          <w:rFonts w:eastAsia="Times New Roman" w:cstheme="minorHAnsi"/>
          <w:color w:val="000000"/>
        </w:rPr>
        <w:t xml:space="preserve">semi-structured </w:t>
      </w:r>
      <w:r w:rsidRPr="00CD7E7A" w:rsidR="006B0411">
        <w:rPr>
          <w:rFonts w:eastAsia="Times New Roman" w:cstheme="minorHAnsi"/>
          <w:color w:val="000000"/>
        </w:rPr>
        <w:t>interviews with child care provider</w:t>
      </w:r>
      <w:r w:rsidR="004756B2">
        <w:rPr>
          <w:rFonts w:eastAsia="Times New Roman" w:cstheme="minorHAnsi"/>
          <w:color w:val="000000"/>
        </w:rPr>
        <w:t>s</w:t>
      </w:r>
      <w:r w:rsidRPr="00CD7E7A" w:rsidR="006B0411">
        <w:rPr>
          <w:rFonts w:eastAsia="Times New Roman" w:cstheme="minorHAnsi"/>
          <w:color w:val="000000"/>
        </w:rPr>
        <w:t xml:space="preserve"> whose partnerships have dissolved will be providers who respond to the </w:t>
      </w:r>
      <w:r w:rsidRPr="00CD7E7A" w:rsidR="00212C9F">
        <w:rPr>
          <w:rFonts w:eastAsia="Times New Roman" w:cstheme="minorHAnsi"/>
          <w:color w:val="000000"/>
        </w:rPr>
        <w:t xml:space="preserve">dissolved partnership provider </w:t>
      </w:r>
      <w:r w:rsidRPr="00CD7E7A" w:rsidR="006B0411">
        <w:rPr>
          <w:rFonts w:eastAsia="Times New Roman" w:cstheme="minorHAnsi"/>
          <w:color w:val="000000"/>
        </w:rPr>
        <w:t xml:space="preserve">survey. The sampling frame for interviews with those in sustained partnerships will be providers who respond to the </w:t>
      </w:r>
      <w:r w:rsidRPr="00CD7E7A" w:rsidR="00212C9F">
        <w:rPr>
          <w:rFonts w:eastAsia="Times New Roman" w:cstheme="minorHAnsi"/>
          <w:color w:val="000000"/>
        </w:rPr>
        <w:t xml:space="preserve">sustained partnership provider </w:t>
      </w:r>
      <w:r w:rsidRPr="00CD7E7A" w:rsidR="006B0411">
        <w:rPr>
          <w:rFonts w:eastAsia="Times New Roman" w:cstheme="minorHAnsi"/>
          <w:color w:val="000000"/>
        </w:rPr>
        <w:t xml:space="preserve">survey. For both sets of interviews, we will use a nonprobability, purposive sample from the survey to identify potential respondents. This type of sampling will not result in a sample that is representative of the population of </w:t>
      </w:r>
      <w:r w:rsidRPr="00CD7E7A" w:rsidR="007F49CF">
        <w:rPr>
          <w:rFonts w:eastAsia="Times New Roman" w:cstheme="minorHAnsi"/>
          <w:color w:val="000000"/>
        </w:rPr>
        <w:t>child care provider</w:t>
      </w:r>
      <w:r w:rsidR="004756B2">
        <w:rPr>
          <w:rFonts w:eastAsia="Times New Roman" w:cstheme="minorHAnsi"/>
          <w:color w:val="000000"/>
        </w:rPr>
        <w:t>s</w:t>
      </w:r>
      <w:r w:rsidRPr="00B33916" w:rsidR="006B0411">
        <w:rPr>
          <w:rFonts w:eastAsia="Times New Roman" w:cstheme="minorHAnsi"/>
          <w:color w:val="000000"/>
        </w:rPr>
        <w:t xml:space="preserve"> in dissolved or sustained partnerships. Rather, we </w:t>
      </w:r>
      <w:r w:rsidRPr="00B33916" w:rsidR="00CD7E7A">
        <w:rPr>
          <w:rFonts w:eastAsia="Times New Roman" w:cstheme="minorHAnsi"/>
          <w:color w:val="000000"/>
        </w:rPr>
        <w:t xml:space="preserve">seek </w:t>
      </w:r>
      <w:r w:rsidRPr="00B33916" w:rsidR="006B0411">
        <w:rPr>
          <w:rFonts w:eastAsia="Times New Roman" w:cstheme="minorHAnsi"/>
          <w:color w:val="000000"/>
        </w:rPr>
        <w:t>to identify a sample with variation on key characteristics.</w:t>
      </w:r>
    </w:p>
    <w:p w:rsidRPr="001A59B6" w:rsidR="007346E0" w:rsidP="00F96CED" w:rsidRDefault="00F86B4C" w14:paraId="77474036" w14:textId="243B8DA0">
      <w:pPr>
        <w:autoSpaceDE w:val="0"/>
        <w:autoSpaceDN w:val="0"/>
        <w:adjustRightInd w:val="0"/>
        <w:spacing w:after="240" w:line="240" w:lineRule="atLeast"/>
        <w:rPr>
          <w:rFonts w:eastAsia="Times New Roman" w:cstheme="minorHAnsi"/>
          <w:color w:val="000000"/>
        </w:rPr>
      </w:pPr>
      <w:r w:rsidRPr="00B33916">
        <w:rPr>
          <w:rFonts w:eastAsia="Times New Roman" w:cstheme="minorHAnsi"/>
          <w:color w:val="000000"/>
        </w:rPr>
        <w:t xml:space="preserve">Respondents for </w:t>
      </w:r>
      <w:r w:rsidRPr="00D81877" w:rsidR="001F14C9">
        <w:rPr>
          <w:rFonts w:eastAsia="Times New Roman" w:cstheme="minorHAnsi"/>
          <w:color w:val="000000"/>
        </w:rPr>
        <w:t xml:space="preserve">the </w:t>
      </w:r>
      <w:r w:rsidRPr="00B33916" w:rsidR="00D13904">
        <w:rPr>
          <w:rFonts w:eastAsia="Times New Roman" w:cstheme="minorHAnsi"/>
          <w:color w:val="000000"/>
        </w:rPr>
        <w:t xml:space="preserve">semi-structured </w:t>
      </w:r>
      <w:r w:rsidRPr="00B33916">
        <w:rPr>
          <w:rFonts w:eastAsia="Times New Roman" w:cstheme="minorHAnsi"/>
          <w:color w:val="000000"/>
        </w:rPr>
        <w:t xml:space="preserve">interviews will be </w:t>
      </w:r>
      <w:r w:rsidR="009F7D42">
        <w:rPr>
          <w:rFonts w:eastAsia="Times New Roman" w:cstheme="minorHAnsi"/>
          <w:color w:val="000000"/>
        </w:rPr>
        <w:t>selected</w:t>
      </w:r>
      <w:r w:rsidRPr="00B33916" w:rsidR="009F7D42">
        <w:rPr>
          <w:rFonts w:eastAsia="Times New Roman" w:cstheme="minorHAnsi"/>
          <w:color w:val="000000"/>
        </w:rPr>
        <w:t xml:space="preserve"> </w:t>
      </w:r>
      <w:r w:rsidRPr="00B33916" w:rsidR="00FC19CA">
        <w:rPr>
          <w:rFonts w:eastAsia="Times New Roman" w:cstheme="minorHAnsi"/>
          <w:color w:val="000000"/>
        </w:rPr>
        <w:t xml:space="preserve">using data from the </w:t>
      </w:r>
      <w:r w:rsidRPr="00B33916" w:rsidR="00137D10">
        <w:rPr>
          <w:rFonts w:eastAsia="Times New Roman" w:cstheme="minorHAnsi"/>
          <w:color w:val="000000"/>
        </w:rPr>
        <w:t xml:space="preserve">EHS </w:t>
      </w:r>
      <w:r w:rsidRPr="00B33916" w:rsidR="00FC19CA">
        <w:rPr>
          <w:rFonts w:eastAsia="Times New Roman" w:cstheme="minorHAnsi"/>
          <w:color w:val="000000"/>
        </w:rPr>
        <w:t>program director survey</w:t>
      </w:r>
      <w:r w:rsidR="0092787D">
        <w:rPr>
          <w:rFonts w:eastAsia="Times New Roman" w:cstheme="minorHAnsi"/>
          <w:color w:val="000000"/>
        </w:rPr>
        <w:t xml:space="preserve"> and the provider surveys</w:t>
      </w:r>
      <w:r w:rsidRPr="00B33916" w:rsidR="00A5708F">
        <w:rPr>
          <w:rFonts w:eastAsia="Times New Roman" w:cstheme="minorHAnsi"/>
          <w:color w:val="000000"/>
        </w:rPr>
        <w:t>. We will select providers from</w:t>
      </w:r>
      <w:r w:rsidR="009F7D42">
        <w:rPr>
          <w:rFonts w:eastAsia="Times New Roman" w:cstheme="minorHAnsi"/>
          <w:color w:val="000000"/>
        </w:rPr>
        <w:t xml:space="preserve"> program director</w:t>
      </w:r>
      <w:r w:rsidRPr="00B33916" w:rsidR="00A5708F">
        <w:rPr>
          <w:rFonts w:eastAsia="Times New Roman" w:cstheme="minorHAnsi"/>
          <w:color w:val="000000"/>
        </w:rPr>
        <w:t xml:space="preserve"> surveys that are completed early in the recruitment process. </w:t>
      </w:r>
      <w:r w:rsidR="008A1A39">
        <w:rPr>
          <w:rFonts w:eastAsia="Times New Roman" w:cstheme="minorHAnsi"/>
          <w:color w:val="000000"/>
        </w:rPr>
        <w:t xml:space="preserve">We will pair each </w:t>
      </w:r>
      <w:r w:rsidRPr="00B33916" w:rsidR="00A5708F">
        <w:rPr>
          <w:rFonts w:eastAsia="Times New Roman" w:cstheme="minorHAnsi"/>
          <w:color w:val="000000"/>
        </w:rPr>
        <w:t xml:space="preserve">selected provider </w:t>
      </w:r>
      <w:r w:rsidR="008A1A39">
        <w:rPr>
          <w:rFonts w:eastAsia="Times New Roman" w:cstheme="minorHAnsi"/>
          <w:color w:val="000000"/>
        </w:rPr>
        <w:t>with a</w:t>
      </w:r>
      <w:r w:rsidRPr="00B33916" w:rsidR="00A5708F">
        <w:rPr>
          <w:rFonts w:eastAsia="Times New Roman" w:cstheme="minorHAnsi"/>
          <w:color w:val="000000"/>
        </w:rPr>
        <w:t xml:space="preserve"> backup.</w:t>
      </w:r>
      <w:r w:rsidRPr="00B33916" w:rsidR="00FC19CA">
        <w:rPr>
          <w:rFonts w:eastAsia="Times New Roman" w:cstheme="minorHAnsi"/>
          <w:color w:val="000000"/>
        </w:rPr>
        <w:t xml:space="preserve"> We will interview </w:t>
      </w:r>
      <w:r w:rsidR="009F7D42">
        <w:rPr>
          <w:rFonts w:eastAsia="Times New Roman" w:cstheme="minorHAnsi"/>
          <w:color w:val="000000"/>
        </w:rPr>
        <w:t>48</w:t>
      </w:r>
      <w:r w:rsidRPr="00B33916" w:rsidR="009F7D42">
        <w:rPr>
          <w:rFonts w:eastAsia="Times New Roman" w:cstheme="minorHAnsi"/>
          <w:color w:val="000000"/>
        </w:rPr>
        <w:t xml:space="preserve"> </w:t>
      </w:r>
      <w:r w:rsidRPr="00B33916" w:rsidR="00FC19CA">
        <w:rPr>
          <w:rFonts w:eastAsia="Times New Roman" w:cstheme="minorHAnsi"/>
          <w:color w:val="000000"/>
        </w:rPr>
        <w:t>providers</w:t>
      </w:r>
      <w:r w:rsidR="00FC19CA">
        <w:rPr>
          <w:rFonts w:eastAsia="Times New Roman" w:cstheme="minorHAnsi"/>
          <w:color w:val="000000"/>
        </w:rPr>
        <w:t xml:space="preserve"> in dissolved partnership</w:t>
      </w:r>
      <w:r w:rsidR="00DA16CD">
        <w:rPr>
          <w:rFonts w:eastAsia="Times New Roman" w:cstheme="minorHAnsi"/>
          <w:color w:val="000000"/>
        </w:rPr>
        <w:t>s</w:t>
      </w:r>
      <w:r w:rsidR="00CA6BFA">
        <w:rPr>
          <w:rFonts w:eastAsia="Times New Roman" w:cstheme="minorHAnsi"/>
          <w:color w:val="000000"/>
        </w:rPr>
        <w:t xml:space="preserve"> </w:t>
      </w:r>
      <w:r w:rsidR="00FC19CA">
        <w:rPr>
          <w:rFonts w:eastAsia="Times New Roman" w:cstheme="minorHAnsi"/>
          <w:color w:val="000000"/>
        </w:rPr>
        <w:t xml:space="preserve">to allow for variation in provider type </w:t>
      </w:r>
      <w:r w:rsidR="00C63437">
        <w:rPr>
          <w:rFonts w:eastAsia="Times New Roman" w:cstheme="minorHAnsi"/>
          <w:color w:val="000000"/>
        </w:rPr>
        <w:t xml:space="preserve">and in </w:t>
      </w:r>
      <w:r w:rsidR="0077770D">
        <w:rPr>
          <w:rFonts w:eastAsia="Times New Roman" w:cstheme="minorHAnsi"/>
          <w:color w:val="000000"/>
        </w:rPr>
        <w:t xml:space="preserve">the </w:t>
      </w:r>
      <w:r w:rsidR="00FC19CA">
        <w:rPr>
          <w:rFonts w:eastAsia="Times New Roman" w:cstheme="minorHAnsi"/>
          <w:color w:val="000000"/>
        </w:rPr>
        <w:t>proportion of infant/toddler slots that were</w:t>
      </w:r>
      <w:r w:rsidR="00D13904">
        <w:rPr>
          <w:rFonts w:eastAsia="Times New Roman" w:cstheme="minorHAnsi"/>
          <w:color w:val="000000"/>
        </w:rPr>
        <w:t xml:space="preserve"> funded</w:t>
      </w:r>
      <w:r w:rsidR="00FC19CA">
        <w:rPr>
          <w:rFonts w:eastAsia="Times New Roman" w:cstheme="minorHAnsi"/>
          <w:color w:val="000000"/>
        </w:rPr>
        <w:t xml:space="preserve"> through the partnership</w:t>
      </w:r>
      <w:r w:rsidR="00C63437">
        <w:rPr>
          <w:rFonts w:eastAsia="Times New Roman" w:cstheme="minorHAnsi"/>
          <w:color w:val="000000"/>
        </w:rPr>
        <w:t xml:space="preserve"> at the time </w:t>
      </w:r>
      <w:r w:rsidR="00FC19CA">
        <w:rPr>
          <w:rFonts w:eastAsia="Times New Roman" w:cstheme="minorHAnsi"/>
          <w:color w:val="000000"/>
        </w:rPr>
        <w:t>of dissolution</w:t>
      </w:r>
      <w:r w:rsidR="00920F1A">
        <w:rPr>
          <w:rFonts w:eastAsia="Times New Roman" w:cstheme="minorHAnsi"/>
          <w:color w:val="000000"/>
        </w:rPr>
        <w:t xml:space="preserve"> (we will collect this information from the dissolved partner provider survey)</w:t>
      </w:r>
      <w:r w:rsidR="00FC19CA">
        <w:rPr>
          <w:rFonts w:eastAsia="Times New Roman" w:cstheme="minorHAnsi"/>
          <w:color w:val="000000"/>
        </w:rPr>
        <w:t xml:space="preserve">. </w:t>
      </w:r>
      <w:r w:rsidR="009F7D42">
        <w:rPr>
          <w:rFonts w:eastAsia="Times New Roman" w:cstheme="minorHAnsi"/>
          <w:color w:val="000000"/>
        </w:rPr>
        <w:t>W</w:t>
      </w:r>
      <w:r w:rsidR="00FC19CA">
        <w:rPr>
          <w:rFonts w:eastAsia="Times New Roman" w:cstheme="minorHAnsi"/>
          <w:color w:val="000000"/>
        </w:rPr>
        <w:t xml:space="preserve">e will interview 24 providers in sustained partnerships to allow for variation in provider type </w:t>
      </w:r>
      <w:r w:rsidR="00C63437">
        <w:rPr>
          <w:rFonts w:eastAsia="Times New Roman" w:cstheme="minorHAnsi"/>
          <w:color w:val="000000"/>
        </w:rPr>
        <w:t xml:space="preserve">and </w:t>
      </w:r>
      <w:r w:rsidR="00FC19CA">
        <w:rPr>
          <w:rFonts w:eastAsia="Times New Roman" w:cstheme="minorHAnsi"/>
          <w:color w:val="000000"/>
        </w:rPr>
        <w:t>proportion of infant</w:t>
      </w:r>
      <w:r w:rsidR="00CB131D">
        <w:rPr>
          <w:rFonts w:eastAsia="Times New Roman" w:cstheme="minorHAnsi"/>
          <w:color w:val="000000"/>
        </w:rPr>
        <w:t xml:space="preserve"> and </w:t>
      </w:r>
      <w:r w:rsidR="00FC19CA">
        <w:rPr>
          <w:rFonts w:eastAsia="Times New Roman" w:cstheme="minorHAnsi"/>
          <w:color w:val="000000"/>
        </w:rPr>
        <w:t>toddler slots funded through the partnership.</w:t>
      </w:r>
      <w:r w:rsidR="00500B6E">
        <w:rPr>
          <w:rFonts w:eastAsia="Times New Roman" w:cstheme="minorHAnsi"/>
          <w:color w:val="000000"/>
        </w:rPr>
        <w:t xml:space="preserve"> </w:t>
      </w:r>
      <w:r w:rsidR="00DA16CD">
        <w:rPr>
          <w:rFonts w:eastAsia="Times New Roman" w:cstheme="minorHAnsi"/>
          <w:color w:val="000000"/>
        </w:rPr>
        <w:t>We will interview more providers in dissolved partnerships than in sustained partnerships because we expect a lower rate of survey response for those in dissolved partnerships and want to ensure th</w:t>
      </w:r>
      <w:r w:rsidR="00BB4F30">
        <w:rPr>
          <w:rFonts w:eastAsia="Times New Roman" w:cstheme="minorHAnsi"/>
          <w:color w:val="000000"/>
        </w:rPr>
        <w:t xml:space="preserve">e experiences and perspectives of dissolved partnership providers are reflected. </w:t>
      </w:r>
      <w:r w:rsidR="00500B6E">
        <w:rPr>
          <w:rFonts w:eastAsia="Times New Roman" w:cstheme="minorHAnsi"/>
          <w:color w:val="000000"/>
        </w:rPr>
        <w:t xml:space="preserve">For both </w:t>
      </w:r>
      <w:r w:rsidRPr="009E1AC7" w:rsidR="00500B6E">
        <w:rPr>
          <w:rFonts w:eastAsia="Times New Roman" w:cstheme="minorHAnsi"/>
          <w:color w:val="000000"/>
        </w:rPr>
        <w:t xml:space="preserve">the dissolved and sustained </w:t>
      </w:r>
      <w:r w:rsidRPr="009E1AC7" w:rsidR="00CA6BFA">
        <w:rPr>
          <w:rFonts w:eastAsia="Times New Roman" w:cstheme="minorHAnsi"/>
          <w:color w:val="000000"/>
        </w:rPr>
        <w:t>partnership providers</w:t>
      </w:r>
      <w:r w:rsidR="00500B6E">
        <w:rPr>
          <w:rFonts w:eastAsia="Times New Roman" w:cstheme="minorHAnsi"/>
          <w:color w:val="000000"/>
        </w:rPr>
        <w:t xml:space="preserve"> we recruit, we will select </w:t>
      </w:r>
      <w:r w:rsidR="00F62710">
        <w:rPr>
          <w:rFonts w:eastAsia="Times New Roman" w:cstheme="minorHAnsi"/>
          <w:color w:val="000000"/>
        </w:rPr>
        <w:t>enough</w:t>
      </w:r>
      <w:r w:rsidR="00C90589">
        <w:rPr>
          <w:rFonts w:eastAsia="Times New Roman" w:cstheme="minorHAnsi"/>
          <w:color w:val="000000"/>
        </w:rPr>
        <w:t xml:space="preserve"> center-based providers and </w:t>
      </w:r>
      <w:r w:rsidR="007B6AEE">
        <w:rPr>
          <w:rFonts w:eastAsia="Times New Roman" w:cstheme="minorHAnsi"/>
          <w:color w:val="000000"/>
        </w:rPr>
        <w:t>family child care</w:t>
      </w:r>
      <w:r w:rsidR="00C90589">
        <w:rPr>
          <w:rFonts w:eastAsia="Times New Roman" w:cstheme="minorHAnsi"/>
          <w:color w:val="000000"/>
        </w:rPr>
        <w:t xml:space="preserve"> providers such that we can complete interviews with an equal number of each type of provider.</w:t>
      </w:r>
      <w:r w:rsidR="009F7D42">
        <w:rPr>
          <w:rFonts w:eastAsia="Times New Roman" w:cstheme="minorHAnsi"/>
          <w:color w:val="000000"/>
        </w:rPr>
        <w:t xml:space="preserve"> </w:t>
      </w:r>
    </w:p>
    <w:p w:rsidRPr="00444D5F" w:rsidR="00A42C71" w:rsidP="00444D5F" w:rsidRDefault="00A42C71" w14:paraId="39D4A6AF" w14:textId="77777777">
      <w:pPr>
        <w:keepNext/>
        <w:keepLines/>
        <w:tabs>
          <w:tab w:val="left" w:pos="450"/>
        </w:tabs>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F96CED" w:rsidRDefault="00A42C71" w14:paraId="2E0B6BE8" w14:textId="68375AF0">
      <w:pPr>
        <w:autoSpaceDE w:val="0"/>
        <w:autoSpaceDN w:val="0"/>
        <w:adjustRightInd w:val="0"/>
        <w:spacing w:after="120" w:line="240" w:lineRule="atLeast"/>
        <w:rPr>
          <w:rFonts w:eastAsia="Times New Roman" w:cstheme="minorHAnsi"/>
          <w:i/>
          <w:color w:val="000000"/>
        </w:rPr>
      </w:pPr>
      <w:r w:rsidRPr="001A59B6">
        <w:rPr>
          <w:rFonts w:eastAsia="Times New Roman" w:cstheme="minorHAnsi"/>
          <w:i/>
          <w:color w:val="000000"/>
        </w:rPr>
        <w:t>Development of Data Collection Instrument</w:t>
      </w:r>
    </w:p>
    <w:p w:rsidRPr="00567458" w:rsidR="00D51A1A" w:rsidP="0085039E" w:rsidRDefault="00567458" w14:paraId="466ACE4A" w14:textId="78CDC394">
      <w:pPr>
        <w:pStyle w:val="Paragraph"/>
        <w:rPr>
          <w:sz w:val="22"/>
          <w:szCs w:val="22"/>
        </w:rPr>
      </w:pPr>
      <w:r>
        <w:rPr>
          <w:b/>
          <w:bCs/>
          <w:sz w:val="22"/>
          <w:szCs w:val="22"/>
        </w:rPr>
        <w:t>Web-based surveys</w:t>
      </w:r>
      <w:r w:rsidRPr="00E8615D">
        <w:rPr>
          <w:b/>
          <w:bCs/>
          <w:sz w:val="22"/>
          <w:szCs w:val="22"/>
        </w:rPr>
        <w:t xml:space="preserve">. </w:t>
      </w:r>
      <w:r w:rsidRPr="00E8615D" w:rsidR="00D51A1A">
        <w:rPr>
          <w:sz w:val="22"/>
          <w:szCs w:val="22"/>
        </w:rPr>
        <w:t xml:space="preserve">Before measurement planning, we developed the five research questions listed in SSA Section A2. We then specified </w:t>
      </w:r>
      <w:r w:rsidRPr="00D81877" w:rsidR="00F30DE3">
        <w:rPr>
          <w:sz w:val="22"/>
          <w:szCs w:val="22"/>
        </w:rPr>
        <w:t>the</w:t>
      </w:r>
      <w:r w:rsidRPr="00E8615D" w:rsidR="00D51A1A">
        <w:rPr>
          <w:sz w:val="22"/>
          <w:szCs w:val="22"/>
        </w:rPr>
        <w:t xml:space="preserve"> constructs and subconstructs needed to </w:t>
      </w:r>
      <w:r w:rsidRPr="00D81877" w:rsidR="00F30DE3">
        <w:rPr>
          <w:sz w:val="22"/>
          <w:szCs w:val="22"/>
        </w:rPr>
        <w:t>answer</w:t>
      </w:r>
      <w:r w:rsidRPr="00E8615D" w:rsidR="00F30DE3">
        <w:rPr>
          <w:sz w:val="22"/>
          <w:szCs w:val="22"/>
        </w:rPr>
        <w:t xml:space="preserve"> </w:t>
      </w:r>
      <w:r w:rsidRPr="00E8615D" w:rsidR="00D51A1A">
        <w:rPr>
          <w:sz w:val="22"/>
          <w:szCs w:val="22"/>
        </w:rPr>
        <w:t xml:space="preserve">each research question. Because of the longitudinal nature of our research questions and design, we began to map items from the NDS to these constructs and subconstructs. To the extent possible, we </w:t>
      </w:r>
      <w:r w:rsidRPr="00E8615D" w:rsidR="00D13904">
        <w:rPr>
          <w:sz w:val="22"/>
          <w:szCs w:val="22"/>
        </w:rPr>
        <w:t>used</w:t>
      </w:r>
      <w:r w:rsidRPr="00E8615D" w:rsidR="00D51A1A">
        <w:rPr>
          <w:sz w:val="22"/>
          <w:szCs w:val="22"/>
        </w:rPr>
        <w:t xml:space="preserve"> the same items fielded in the NDS, with some items reworded or reframed. For example, questions about </w:t>
      </w:r>
      <w:r w:rsidRPr="00E8615D" w:rsidR="00DA2B35">
        <w:rPr>
          <w:sz w:val="22"/>
          <w:szCs w:val="22"/>
        </w:rPr>
        <w:t xml:space="preserve">comprehensive </w:t>
      </w:r>
      <w:r w:rsidR="00F41DB9">
        <w:rPr>
          <w:sz w:val="22"/>
          <w:szCs w:val="22"/>
        </w:rPr>
        <w:t xml:space="preserve">EHS </w:t>
      </w:r>
      <w:r w:rsidRPr="00E8615D" w:rsidR="00DA2B35">
        <w:rPr>
          <w:sz w:val="22"/>
          <w:szCs w:val="22"/>
        </w:rPr>
        <w:t xml:space="preserve">services </w:t>
      </w:r>
      <w:r w:rsidR="00F41DB9">
        <w:rPr>
          <w:sz w:val="22"/>
          <w:szCs w:val="22"/>
        </w:rPr>
        <w:t>provided to</w:t>
      </w:r>
      <w:r w:rsidRPr="00E8615D" w:rsidR="00E8615D">
        <w:rPr>
          <w:sz w:val="22"/>
          <w:szCs w:val="22"/>
        </w:rPr>
        <w:t xml:space="preserve"> </w:t>
      </w:r>
      <w:r w:rsidRPr="00E8615D" w:rsidR="00DA2B35">
        <w:rPr>
          <w:sz w:val="22"/>
          <w:szCs w:val="22"/>
        </w:rPr>
        <w:t>children and families</w:t>
      </w:r>
      <w:r w:rsidRPr="00E8615D" w:rsidR="00D51A1A">
        <w:rPr>
          <w:sz w:val="22"/>
          <w:szCs w:val="22"/>
        </w:rPr>
        <w:t xml:space="preserve"> will not be relevant to providers who are no longer </w:t>
      </w:r>
      <w:r w:rsidRPr="00567458" w:rsidR="00D51A1A">
        <w:rPr>
          <w:sz w:val="22"/>
          <w:szCs w:val="22"/>
        </w:rPr>
        <w:t>partner</w:t>
      </w:r>
      <w:r w:rsidR="00F41DB9">
        <w:rPr>
          <w:sz w:val="22"/>
          <w:szCs w:val="22"/>
        </w:rPr>
        <w:t>ing</w:t>
      </w:r>
      <w:r w:rsidRPr="00567458" w:rsidR="00D51A1A">
        <w:rPr>
          <w:sz w:val="22"/>
          <w:szCs w:val="22"/>
        </w:rPr>
        <w:t xml:space="preserve"> with the program. But we can ask a similarly structured question about </w:t>
      </w:r>
      <w:r w:rsidR="00DA2B35">
        <w:rPr>
          <w:sz w:val="22"/>
          <w:szCs w:val="22"/>
        </w:rPr>
        <w:t>whether the center or family child care provides the same services</w:t>
      </w:r>
      <w:r w:rsidR="00F41DB9">
        <w:rPr>
          <w:sz w:val="22"/>
          <w:szCs w:val="22"/>
        </w:rPr>
        <w:t>,</w:t>
      </w:r>
      <w:r w:rsidR="00DA2B35">
        <w:rPr>
          <w:sz w:val="22"/>
          <w:szCs w:val="22"/>
        </w:rPr>
        <w:t xml:space="preserve"> either directly or through referrals to a community agency</w:t>
      </w:r>
      <w:r w:rsidRPr="00567458" w:rsidR="00D51A1A">
        <w:rPr>
          <w:sz w:val="22"/>
          <w:szCs w:val="22"/>
        </w:rPr>
        <w:t>.</w:t>
      </w:r>
    </w:p>
    <w:p w:rsidR="00567458" w:rsidP="0085039E" w:rsidRDefault="00567458" w14:paraId="3E0C3419" w14:textId="5B939018">
      <w:pPr>
        <w:pStyle w:val="Paragraph"/>
        <w:rPr>
          <w:sz w:val="22"/>
          <w:szCs w:val="22"/>
        </w:rPr>
      </w:pPr>
      <w:r w:rsidRPr="00A60B13">
        <w:rPr>
          <w:sz w:val="22"/>
          <w:szCs w:val="22"/>
        </w:rPr>
        <w:t>When we could not use existing items from the NDS to measure a construct, we looked to other publicly available items (for example, from the National Survey of Early Care and Education</w:t>
      </w:r>
      <w:r w:rsidRPr="00A60B13" w:rsidR="00CD5F7B">
        <w:rPr>
          <w:sz w:val="22"/>
          <w:szCs w:val="22"/>
        </w:rPr>
        <w:t>, OMB# 0970-0391</w:t>
      </w:r>
      <w:r w:rsidRPr="00D81877" w:rsidR="00A60B13">
        <w:rPr>
          <w:sz w:val="22"/>
          <w:szCs w:val="22"/>
        </w:rPr>
        <w:t>,</w:t>
      </w:r>
      <w:r w:rsidRPr="00A60B13" w:rsidR="006E636C">
        <w:rPr>
          <w:sz w:val="22"/>
          <w:szCs w:val="22"/>
        </w:rPr>
        <w:t xml:space="preserve"> and the </w:t>
      </w:r>
      <w:r w:rsidR="005A5527">
        <w:rPr>
          <w:sz w:val="22"/>
          <w:szCs w:val="22"/>
        </w:rPr>
        <w:t xml:space="preserve">Head Start </w:t>
      </w:r>
      <w:r w:rsidRPr="00A60B13" w:rsidR="006E636C">
        <w:rPr>
          <w:sz w:val="22"/>
          <w:szCs w:val="22"/>
        </w:rPr>
        <w:t>Family and Child Experiences Survey, OMB# 0970-0151</w:t>
      </w:r>
      <w:r w:rsidRPr="00A60B13">
        <w:rPr>
          <w:sz w:val="22"/>
          <w:szCs w:val="22"/>
        </w:rPr>
        <w:t xml:space="preserve">). If we could not find an existing item for a construct, we worked to develop a new item. New items </w:t>
      </w:r>
      <w:r w:rsidR="0092787D">
        <w:rPr>
          <w:sz w:val="22"/>
          <w:szCs w:val="22"/>
        </w:rPr>
        <w:t>we</w:t>
      </w:r>
      <w:r w:rsidRPr="00A60B13">
        <w:rPr>
          <w:sz w:val="22"/>
          <w:szCs w:val="22"/>
        </w:rPr>
        <w:t>re a primary focus</w:t>
      </w:r>
      <w:r w:rsidRPr="00567458">
        <w:rPr>
          <w:sz w:val="22"/>
          <w:szCs w:val="22"/>
        </w:rPr>
        <w:t xml:space="preserve"> of our pre-test.</w:t>
      </w:r>
    </w:p>
    <w:p w:rsidRPr="00BF5B1E" w:rsidR="009759AF" w:rsidP="0085039E" w:rsidRDefault="009759AF" w14:paraId="4341CCE9" w14:textId="5B92B96E">
      <w:pPr>
        <w:pStyle w:val="Feature1ListHead"/>
        <w:keepNext w:val="0"/>
        <w:spacing w:before="0" w:after="240"/>
        <w:ind w:left="0" w:firstLine="0"/>
        <w:rPr>
          <w:b w:val="0"/>
          <w:bCs/>
          <w:sz w:val="22"/>
          <w:szCs w:val="22"/>
        </w:rPr>
      </w:pPr>
      <w:r w:rsidRPr="009759AF">
        <w:rPr>
          <w:b w:val="0"/>
          <w:bCs/>
          <w:sz w:val="22"/>
          <w:szCs w:val="22"/>
        </w:rPr>
        <w:t xml:space="preserve">We </w:t>
      </w:r>
      <w:r w:rsidR="00D13904">
        <w:rPr>
          <w:b w:val="0"/>
          <w:bCs/>
          <w:sz w:val="22"/>
          <w:szCs w:val="22"/>
        </w:rPr>
        <w:t>pre</w:t>
      </w:r>
      <w:r w:rsidR="00A60B13">
        <w:rPr>
          <w:b w:val="0"/>
          <w:bCs/>
          <w:sz w:val="22"/>
          <w:szCs w:val="22"/>
        </w:rPr>
        <w:t>-</w:t>
      </w:r>
      <w:r w:rsidR="00D13904">
        <w:rPr>
          <w:b w:val="0"/>
          <w:bCs/>
          <w:sz w:val="22"/>
          <w:szCs w:val="22"/>
        </w:rPr>
        <w:t>tested</w:t>
      </w:r>
      <w:r w:rsidRPr="009759AF">
        <w:rPr>
          <w:b w:val="0"/>
          <w:bCs/>
          <w:sz w:val="22"/>
          <w:szCs w:val="22"/>
        </w:rPr>
        <w:t xml:space="preserve"> the </w:t>
      </w:r>
      <w:r w:rsidR="00D634B4">
        <w:rPr>
          <w:b w:val="0"/>
          <w:bCs/>
          <w:sz w:val="22"/>
          <w:szCs w:val="22"/>
        </w:rPr>
        <w:t xml:space="preserve">program director survey </w:t>
      </w:r>
      <w:r w:rsidRPr="00137D10">
        <w:rPr>
          <w:b w:val="0"/>
          <w:bCs/>
          <w:sz w:val="22"/>
          <w:szCs w:val="22"/>
        </w:rPr>
        <w:t xml:space="preserve">with </w:t>
      </w:r>
      <w:r w:rsidR="00A60B13">
        <w:rPr>
          <w:b w:val="0"/>
          <w:bCs/>
          <w:sz w:val="22"/>
          <w:szCs w:val="22"/>
        </w:rPr>
        <w:t>five</w:t>
      </w:r>
      <w:r w:rsidRPr="00137D10">
        <w:rPr>
          <w:b w:val="0"/>
          <w:bCs/>
          <w:sz w:val="22"/>
          <w:szCs w:val="22"/>
        </w:rPr>
        <w:t xml:space="preserve"> </w:t>
      </w:r>
      <w:r w:rsidRPr="00414180" w:rsidR="00137D10">
        <w:rPr>
          <w:rFonts w:cstheme="minorHAnsi"/>
          <w:b w:val="0"/>
          <w:bCs/>
          <w:color w:val="000000"/>
          <w:sz w:val="22"/>
          <w:szCs w:val="22"/>
        </w:rPr>
        <w:t>EHS</w:t>
      </w:r>
      <w:r w:rsidRPr="00D81877" w:rsidR="00137D10">
        <w:rPr>
          <w:rFonts w:cstheme="minorHAnsi"/>
          <w:b w:val="0"/>
          <w:bCs/>
          <w:color w:val="000000"/>
        </w:rPr>
        <w:t xml:space="preserve"> </w:t>
      </w:r>
      <w:r w:rsidRPr="00137D10">
        <w:rPr>
          <w:b w:val="0"/>
          <w:bCs/>
          <w:sz w:val="22"/>
          <w:szCs w:val="22"/>
        </w:rPr>
        <w:t>program</w:t>
      </w:r>
      <w:r w:rsidRPr="009759AF">
        <w:rPr>
          <w:b w:val="0"/>
          <w:bCs/>
          <w:sz w:val="22"/>
          <w:szCs w:val="22"/>
        </w:rPr>
        <w:t xml:space="preserve"> directors and </w:t>
      </w:r>
      <w:r w:rsidR="00D634B4">
        <w:rPr>
          <w:b w:val="0"/>
          <w:bCs/>
          <w:sz w:val="22"/>
          <w:szCs w:val="22"/>
        </w:rPr>
        <w:t xml:space="preserve">the provider surveys with </w:t>
      </w:r>
      <w:r w:rsidR="0092787D">
        <w:rPr>
          <w:b w:val="0"/>
          <w:bCs/>
          <w:sz w:val="22"/>
          <w:szCs w:val="22"/>
        </w:rPr>
        <w:t>eight</w:t>
      </w:r>
      <w:r w:rsidRPr="009759AF" w:rsidR="0092787D">
        <w:rPr>
          <w:b w:val="0"/>
          <w:bCs/>
          <w:sz w:val="22"/>
          <w:szCs w:val="22"/>
        </w:rPr>
        <w:t xml:space="preserve"> </w:t>
      </w:r>
      <w:r w:rsidRPr="009759AF">
        <w:rPr>
          <w:b w:val="0"/>
          <w:bCs/>
          <w:sz w:val="22"/>
          <w:szCs w:val="22"/>
        </w:rPr>
        <w:t>child care providers</w:t>
      </w:r>
      <w:r w:rsidR="00414180">
        <w:rPr>
          <w:b w:val="0"/>
          <w:bCs/>
          <w:sz w:val="22"/>
          <w:szCs w:val="22"/>
        </w:rPr>
        <w:t xml:space="preserve"> (six sustained partnership providers and </w:t>
      </w:r>
      <w:r w:rsidR="0092787D">
        <w:rPr>
          <w:b w:val="0"/>
          <w:bCs/>
          <w:sz w:val="22"/>
          <w:szCs w:val="22"/>
        </w:rPr>
        <w:t xml:space="preserve">two </w:t>
      </w:r>
      <w:r w:rsidR="00414180">
        <w:rPr>
          <w:b w:val="0"/>
          <w:bCs/>
          <w:sz w:val="22"/>
          <w:szCs w:val="22"/>
        </w:rPr>
        <w:t xml:space="preserve">dissolved partnership </w:t>
      </w:r>
      <w:r w:rsidR="00414180">
        <w:rPr>
          <w:b w:val="0"/>
          <w:bCs/>
          <w:sz w:val="22"/>
          <w:szCs w:val="22"/>
        </w:rPr>
        <w:lastRenderedPageBreak/>
        <w:t>providers)</w:t>
      </w:r>
      <w:r w:rsidRPr="009759AF">
        <w:rPr>
          <w:b w:val="0"/>
          <w:bCs/>
          <w:sz w:val="22"/>
          <w:szCs w:val="22"/>
        </w:rPr>
        <w:t xml:space="preserve">. For items that appear in multiple surveys, we </w:t>
      </w:r>
      <w:r w:rsidR="00D13904">
        <w:rPr>
          <w:b w:val="0"/>
          <w:bCs/>
          <w:sz w:val="22"/>
          <w:szCs w:val="22"/>
        </w:rPr>
        <w:t>used</w:t>
      </w:r>
      <w:r w:rsidRPr="009759AF">
        <w:rPr>
          <w:b w:val="0"/>
          <w:bCs/>
          <w:sz w:val="22"/>
          <w:szCs w:val="22"/>
        </w:rPr>
        <w:t xml:space="preserve"> a tracking document to </w:t>
      </w:r>
      <w:r w:rsidR="00A60B13">
        <w:rPr>
          <w:b w:val="0"/>
          <w:bCs/>
          <w:sz w:val="22"/>
          <w:szCs w:val="22"/>
        </w:rPr>
        <w:t>en</w:t>
      </w:r>
      <w:r w:rsidRPr="009759AF">
        <w:rPr>
          <w:b w:val="0"/>
          <w:bCs/>
          <w:sz w:val="22"/>
          <w:szCs w:val="22"/>
        </w:rPr>
        <w:t xml:space="preserve">sure that a single item </w:t>
      </w:r>
      <w:r w:rsidR="00D13904">
        <w:rPr>
          <w:b w:val="0"/>
          <w:bCs/>
          <w:sz w:val="22"/>
          <w:szCs w:val="22"/>
        </w:rPr>
        <w:t>was</w:t>
      </w:r>
      <w:r w:rsidRPr="009759AF">
        <w:rPr>
          <w:b w:val="0"/>
          <w:bCs/>
          <w:sz w:val="22"/>
          <w:szCs w:val="22"/>
        </w:rPr>
        <w:t xml:space="preserve"> not pre</w:t>
      </w:r>
      <w:r w:rsidR="00A60B13">
        <w:rPr>
          <w:b w:val="0"/>
          <w:bCs/>
          <w:sz w:val="22"/>
          <w:szCs w:val="22"/>
        </w:rPr>
        <w:t>-</w:t>
      </w:r>
      <w:r w:rsidRPr="009759AF">
        <w:rPr>
          <w:b w:val="0"/>
          <w:bCs/>
          <w:sz w:val="22"/>
          <w:szCs w:val="22"/>
        </w:rPr>
        <w:t xml:space="preserve">tested with more than </w:t>
      </w:r>
      <w:r w:rsidR="00A60B13">
        <w:rPr>
          <w:b w:val="0"/>
          <w:bCs/>
          <w:sz w:val="22"/>
          <w:szCs w:val="22"/>
        </w:rPr>
        <w:t>nine</w:t>
      </w:r>
      <w:r w:rsidRPr="009759AF">
        <w:rPr>
          <w:b w:val="0"/>
          <w:bCs/>
          <w:sz w:val="22"/>
          <w:szCs w:val="22"/>
        </w:rPr>
        <w:t xml:space="preserve"> respondents. The </w:t>
      </w:r>
      <w:r w:rsidR="00C6055C">
        <w:rPr>
          <w:b w:val="0"/>
          <w:bCs/>
          <w:sz w:val="22"/>
          <w:szCs w:val="22"/>
        </w:rPr>
        <w:t>main</w:t>
      </w:r>
      <w:r w:rsidRPr="009759AF" w:rsidR="00C6055C">
        <w:rPr>
          <w:b w:val="0"/>
          <w:bCs/>
          <w:sz w:val="22"/>
          <w:szCs w:val="22"/>
        </w:rPr>
        <w:t xml:space="preserve"> </w:t>
      </w:r>
      <w:r w:rsidRPr="009759AF">
        <w:rPr>
          <w:b w:val="0"/>
          <w:bCs/>
          <w:sz w:val="22"/>
          <w:szCs w:val="22"/>
        </w:rPr>
        <w:t>objective</w:t>
      </w:r>
      <w:r w:rsidR="002D5233">
        <w:rPr>
          <w:b w:val="0"/>
          <w:bCs/>
          <w:sz w:val="22"/>
          <w:szCs w:val="22"/>
        </w:rPr>
        <w:t>s</w:t>
      </w:r>
      <w:r w:rsidRPr="009759AF">
        <w:rPr>
          <w:b w:val="0"/>
          <w:bCs/>
          <w:sz w:val="22"/>
          <w:szCs w:val="22"/>
        </w:rPr>
        <w:t xml:space="preserve"> for the pre</w:t>
      </w:r>
      <w:r w:rsidR="00C6055C">
        <w:rPr>
          <w:b w:val="0"/>
          <w:bCs/>
          <w:sz w:val="22"/>
          <w:szCs w:val="22"/>
        </w:rPr>
        <w:t>-</w:t>
      </w:r>
      <w:r w:rsidRPr="009759AF">
        <w:rPr>
          <w:b w:val="0"/>
          <w:bCs/>
          <w:sz w:val="22"/>
          <w:szCs w:val="22"/>
        </w:rPr>
        <w:t xml:space="preserve">test </w:t>
      </w:r>
      <w:r w:rsidR="002D5233">
        <w:rPr>
          <w:b w:val="0"/>
          <w:bCs/>
          <w:sz w:val="22"/>
          <w:szCs w:val="22"/>
        </w:rPr>
        <w:t>were</w:t>
      </w:r>
      <w:r w:rsidRPr="009759AF" w:rsidR="002D5233">
        <w:rPr>
          <w:b w:val="0"/>
          <w:bCs/>
          <w:sz w:val="22"/>
          <w:szCs w:val="22"/>
        </w:rPr>
        <w:t xml:space="preserve"> </w:t>
      </w:r>
      <w:r w:rsidRPr="009759AF">
        <w:rPr>
          <w:b w:val="0"/>
          <w:bCs/>
          <w:sz w:val="22"/>
          <w:szCs w:val="22"/>
        </w:rPr>
        <w:t>to test participants’ ability to answer questions requiring recall</w:t>
      </w:r>
      <w:r w:rsidRPr="001C7B36">
        <w:rPr>
          <w:b w:val="0"/>
          <w:bCs/>
          <w:sz w:val="22"/>
          <w:szCs w:val="22"/>
        </w:rPr>
        <w:t xml:space="preserve">, </w:t>
      </w:r>
      <w:r w:rsidRPr="009759AF">
        <w:rPr>
          <w:b w:val="0"/>
          <w:bCs/>
          <w:sz w:val="22"/>
          <w:szCs w:val="22"/>
        </w:rPr>
        <w:t>program director</w:t>
      </w:r>
      <w:r w:rsidR="00C6055C">
        <w:rPr>
          <w:b w:val="0"/>
          <w:bCs/>
          <w:sz w:val="22"/>
          <w:szCs w:val="22"/>
        </w:rPr>
        <w:t>s’</w:t>
      </w:r>
      <w:r w:rsidRPr="009759AF">
        <w:rPr>
          <w:b w:val="0"/>
          <w:bCs/>
          <w:sz w:val="22"/>
          <w:szCs w:val="22"/>
        </w:rPr>
        <w:t xml:space="preserve"> understanding of and ability to report separately on different partnership types, </w:t>
      </w:r>
      <w:r w:rsidR="00C6055C">
        <w:rPr>
          <w:b w:val="0"/>
          <w:bCs/>
          <w:sz w:val="22"/>
          <w:szCs w:val="22"/>
        </w:rPr>
        <w:t xml:space="preserve">the </w:t>
      </w:r>
      <w:r w:rsidRPr="009759AF">
        <w:rPr>
          <w:b w:val="0"/>
          <w:bCs/>
          <w:sz w:val="22"/>
          <w:szCs w:val="22"/>
        </w:rPr>
        <w:t xml:space="preserve">clarity of new questions (and continued relevance and clarity of NDS items), </w:t>
      </w:r>
      <w:r w:rsidR="002D5233">
        <w:rPr>
          <w:b w:val="0"/>
          <w:bCs/>
          <w:sz w:val="22"/>
          <w:szCs w:val="22"/>
        </w:rPr>
        <w:t xml:space="preserve">how questions functioned differently in the context of the COVID-19 pandemic, </w:t>
      </w:r>
      <w:r w:rsidRPr="009759AF">
        <w:rPr>
          <w:b w:val="0"/>
          <w:bCs/>
          <w:sz w:val="22"/>
          <w:szCs w:val="22"/>
        </w:rPr>
        <w:t xml:space="preserve">and overall survey flow. Beginning in </w:t>
      </w:r>
      <w:r w:rsidR="00BB4022">
        <w:rPr>
          <w:b w:val="0"/>
          <w:bCs/>
          <w:sz w:val="22"/>
          <w:szCs w:val="22"/>
        </w:rPr>
        <w:t>September</w:t>
      </w:r>
      <w:r w:rsidRPr="009759AF" w:rsidR="00BB4022">
        <w:rPr>
          <w:b w:val="0"/>
          <w:bCs/>
          <w:sz w:val="22"/>
          <w:szCs w:val="22"/>
        </w:rPr>
        <w:t xml:space="preserve"> </w:t>
      </w:r>
      <w:r w:rsidRPr="009759AF">
        <w:rPr>
          <w:b w:val="0"/>
          <w:bCs/>
          <w:sz w:val="22"/>
          <w:szCs w:val="22"/>
        </w:rPr>
        <w:t xml:space="preserve">2020, we </w:t>
      </w:r>
      <w:r w:rsidRPr="009759AF" w:rsidR="00BB4022">
        <w:rPr>
          <w:b w:val="0"/>
          <w:bCs/>
          <w:sz w:val="22"/>
          <w:szCs w:val="22"/>
        </w:rPr>
        <w:t>identif</w:t>
      </w:r>
      <w:r w:rsidR="00BB4022">
        <w:rPr>
          <w:b w:val="0"/>
          <w:bCs/>
          <w:sz w:val="22"/>
          <w:szCs w:val="22"/>
        </w:rPr>
        <w:t>ied</w:t>
      </w:r>
      <w:r w:rsidRPr="009759AF" w:rsidR="00BB4022">
        <w:rPr>
          <w:b w:val="0"/>
          <w:bCs/>
          <w:sz w:val="22"/>
          <w:szCs w:val="22"/>
        </w:rPr>
        <w:t xml:space="preserve"> </w:t>
      </w:r>
      <w:r w:rsidRPr="009759AF">
        <w:rPr>
          <w:b w:val="0"/>
          <w:bCs/>
          <w:sz w:val="22"/>
          <w:szCs w:val="22"/>
        </w:rPr>
        <w:t>EHS program director</w:t>
      </w:r>
      <w:r w:rsidR="001E7CE1">
        <w:rPr>
          <w:b w:val="0"/>
          <w:bCs/>
          <w:sz w:val="22"/>
          <w:szCs w:val="22"/>
        </w:rPr>
        <w:t>s</w:t>
      </w:r>
      <w:r w:rsidRPr="009759AF">
        <w:rPr>
          <w:b w:val="0"/>
          <w:bCs/>
          <w:sz w:val="22"/>
          <w:szCs w:val="22"/>
        </w:rPr>
        <w:t xml:space="preserve"> </w:t>
      </w:r>
      <w:r w:rsidR="001E7CE1">
        <w:rPr>
          <w:b w:val="0"/>
          <w:bCs/>
          <w:sz w:val="22"/>
          <w:szCs w:val="22"/>
        </w:rPr>
        <w:t>to take part in</w:t>
      </w:r>
      <w:r w:rsidRPr="009759AF">
        <w:rPr>
          <w:b w:val="0"/>
          <w:bCs/>
          <w:sz w:val="22"/>
          <w:szCs w:val="22"/>
        </w:rPr>
        <w:t xml:space="preserve"> the pre</w:t>
      </w:r>
      <w:r w:rsidR="001E7CE1">
        <w:rPr>
          <w:b w:val="0"/>
          <w:bCs/>
          <w:sz w:val="22"/>
          <w:szCs w:val="22"/>
        </w:rPr>
        <w:t>-</w:t>
      </w:r>
      <w:r w:rsidRPr="009759AF">
        <w:rPr>
          <w:b w:val="0"/>
          <w:bCs/>
          <w:sz w:val="22"/>
          <w:szCs w:val="22"/>
        </w:rPr>
        <w:t xml:space="preserve">test. We </w:t>
      </w:r>
      <w:r w:rsidR="00FB0F68">
        <w:rPr>
          <w:b w:val="0"/>
          <w:bCs/>
          <w:sz w:val="22"/>
          <w:szCs w:val="22"/>
        </w:rPr>
        <w:t xml:space="preserve">also </w:t>
      </w:r>
      <w:r w:rsidRPr="009759AF">
        <w:rPr>
          <w:b w:val="0"/>
          <w:bCs/>
          <w:sz w:val="22"/>
          <w:szCs w:val="22"/>
        </w:rPr>
        <w:t>use</w:t>
      </w:r>
      <w:r w:rsidR="002D5233">
        <w:rPr>
          <w:b w:val="0"/>
          <w:bCs/>
          <w:sz w:val="22"/>
          <w:szCs w:val="22"/>
        </w:rPr>
        <w:t>d</w:t>
      </w:r>
      <w:r w:rsidRPr="009759AF">
        <w:rPr>
          <w:b w:val="0"/>
          <w:bCs/>
          <w:sz w:val="22"/>
          <w:szCs w:val="22"/>
        </w:rPr>
        <w:t xml:space="preserve"> </w:t>
      </w:r>
      <w:r w:rsidR="0021440E">
        <w:rPr>
          <w:b w:val="0"/>
          <w:bCs/>
          <w:sz w:val="22"/>
          <w:szCs w:val="22"/>
        </w:rPr>
        <w:t>this</w:t>
      </w:r>
      <w:r w:rsidRPr="009759AF">
        <w:rPr>
          <w:b w:val="0"/>
          <w:bCs/>
          <w:sz w:val="22"/>
          <w:szCs w:val="22"/>
        </w:rPr>
        <w:t xml:space="preserve"> </w:t>
      </w:r>
      <w:r w:rsidRPr="00BF5B1E">
        <w:rPr>
          <w:b w:val="0"/>
          <w:bCs/>
          <w:sz w:val="22"/>
          <w:szCs w:val="22"/>
        </w:rPr>
        <w:t xml:space="preserve">recruitment </w:t>
      </w:r>
      <w:r w:rsidRPr="00BF5B1E" w:rsidR="0021440E">
        <w:rPr>
          <w:b w:val="0"/>
          <w:bCs/>
          <w:sz w:val="22"/>
          <w:szCs w:val="22"/>
        </w:rPr>
        <w:t xml:space="preserve">step </w:t>
      </w:r>
      <w:r w:rsidRPr="00BF5B1E">
        <w:rPr>
          <w:b w:val="0"/>
          <w:bCs/>
          <w:sz w:val="22"/>
          <w:szCs w:val="22"/>
        </w:rPr>
        <w:t>to identify pre</w:t>
      </w:r>
      <w:r w:rsidRPr="00BF5B1E" w:rsidR="0021440E">
        <w:rPr>
          <w:b w:val="0"/>
          <w:bCs/>
          <w:sz w:val="22"/>
          <w:szCs w:val="22"/>
        </w:rPr>
        <w:t>-</w:t>
      </w:r>
      <w:r w:rsidRPr="00BF5B1E">
        <w:rPr>
          <w:b w:val="0"/>
          <w:bCs/>
          <w:sz w:val="22"/>
          <w:szCs w:val="22"/>
        </w:rPr>
        <w:t>test participants for the provider surveys</w:t>
      </w:r>
      <w:r w:rsidRPr="00BF5B1E" w:rsidR="000D2629">
        <w:rPr>
          <w:b w:val="0"/>
          <w:bCs/>
          <w:sz w:val="22"/>
          <w:szCs w:val="22"/>
        </w:rPr>
        <w:t xml:space="preserve"> and </w:t>
      </w:r>
      <w:r w:rsidRPr="00BF5B1E">
        <w:rPr>
          <w:b w:val="0"/>
          <w:bCs/>
          <w:sz w:val="22"/>
          <w:szCs w:val="22"/>
        </w:rPr>
        <w:t xml:space="preserve">interview protocol. </w:t>
      </w:r>
    </w:p>
    <w:p w:rsidRPr="004D0171" w:rsidR="009759AF" w:rsidP="0085039E" w:rsidRDefault="0021440E" w14:paraId="506F3A94" w14:textId="5DB5ADE2">
      <w:pPr>
        <w:pStyle w:val="Feature1ListHead"/>
        <w:keepNext w:val="0"/>
        <w:spacing w:before="0" w:after="240"/>
        <w:ind w:left="0" w:firstLine="0"/>
        <w:rPr>
          <w:b w:val="0"/>
          <w:bCs/>
          <w:sz w:val="22"/>
          <w:szCs w:val="22"/>
        </w:rPr>
      </w:pPr>
      <w:r w:rsidRPr="00BF5B1E">
        <w:rPr>
          <w:b w:val="0"/>
          <w:bCs/>
          <w:sz w:val="22"/>
          <w:szCs w:val="22"/>
        </w:rPr>
        <w:t>We conducted t</w:t>
      </w:r>
      <w:r w:rsidRPr="00BF5B1E" w:rsidR="000D2629">
        <w:rPr>
          <w:b w:val="0"/>
          <w:bCs/>
          <w:sz w:val="22"/>
          <w:szCs w:val="22"/>
        </w:rPr>
        <w:t>he pre</w:t>
      </w:r>
      <w:r w:rsidRPr="00BF5B1E">
        <w:rPr>
          <w:b w:val="0"/>
          <w:bCs/>
          <w:sz w:val="22"/>
          <w:szCs w:val="22"/>
        </w:rPr>
        <w:t>-</w:t>
      </w:r>
      <w:r w:rsidRPr="00BF5B1E" w:rsidR="000D2629">
        <w:rPr>
          <w:b w:val="0"/>
          <w:bCs/>
          <w:sz w:val="22"/>
          <w:szCs w:val="22"/>
        </w:rPr>
        <w:t xml:space="preserve">test orally </w:t>
      </w:r>
      <w:r w:rsidRPr="00BF5B1E">
        <w:rPr>
          <w:b w:val="0"/>
          <w:bCs/>
          <w:sz w:val="22"/>
          <w:szCs w:val="22"/>
        </w:rPr>
        <w:t xml:space="preserve">by </w:t>
      </w:r>
      <w:r w:rsidRPr="00BF5B1E" w:rsidR="000D2629">
        <w:rPr>
          <w:b w:val="0"/>
          <w:bCs/>
          <w:sz w:val="22"/>
          <w:szCs w:val="22"/>
        </w:rPr>
        <w:t>phone, with respondents following along with a copy of the survey we sent in advance.</w:t>
      </w:r>
      <w:r w:rsidRPr="00BF5B1E" w:rsidR="009759AF">
        <w:rPr>
          <w:b w:val="0"/>
          <w:bCs/>
          <w:sz w:val="22"/>
          <w:szCs w:val="22"/>
        </w:rPr>
        <w:t xml:space="preserve"> As we move</w:t>
      </w:r>
      <w:r w:rsidRPr="00BF5B1E" w:rsidR="000D2629">
        <w:rPr>
          <w:b w:val="0"/>
          <w:bCs/>
          <w:sz w:val="22"/>
          <w:szCs w:val="22"/>
        </w:rPr>
        <w:t>d</w:t>
      </w:r>
      <w:r w:rsidRPr="00BF5B1E" w:rsidR="009759AF">
        <w:rPr>
          <w:b w:val="0"/>
          <w:bCs/>
          <w:sz w:val="22"/>
          <w:szCs w:val="22"/>
        </w:rPr>
        <w:t xml:space="preserve"> through the survey, we use</w:t>
      </w:r>
      <w:r w:rsidRPr="00BF5B1E" w:rsidR="000D2629">
        <w:rPr>
          <w:b w:val="0"/>
          <w:bCs/>
          <w:sz w:val="22"/>
          <w:szCs w:val="22"/>
        </w:rPr>
        <w:t>d</w:t>
      </w:r>
      <w:r w:rsidRPr="00BF5B1E" w:rsidR="009759AF">
        <w:rPr>
          <w:b w:val="0"/>
          <w:bCs/>
          <w:sz w:val="22"/>
          <w:szCs w:val="22"/>
        </w:rPr>
        <w:t xml:space="preserve"> a protocol to ask questions about the </w:t>
      </w:r>
      <w:r w:rsidRPr="004D0171" w:rsidR="009759AF">
        <w:rPr>
          <w:b w:val="0"/>
          <w:bCs/>
          <w:sz w:val="22"/>
          <w:szCs w:val="22"/>
        </w:rPr>
        <w:t>wording, clarity</w:t>
      </w:r>
      <w:r w:rsidRPr="004D0171" w:rsidR="00BF5B1E">
        <w:rPr>
          <w:b w:val="0"/>
          <w:bCs/>
          <w:sz w:val="22"/>
          <w:szCs w:val="22"/>
        </w:rPr>
        <w:t>,</w:t>
      </w:r>
      <w:r w:rsidRPr="004D0171" w:rsidR="009759AF">
        <w:rPr>
          <w:b w:val="0"/>
          <w:bCs/>
          <w:sz w:val="22"/>
          <w:szCs w:val="22"/>
        </w:rPr>
        <w:t xml:space="preserve"> and overall understanding of the new survey questions we developed.</w:t>
      </w:r>
    </w:p>
    <w:p w:rsidRPr="00D81877" w:rsidR="00A92AAE" w:rsidP="0085039E" w:rsidRDefault="008A2A14" w14:paraId="44142454" w14:textId="08D50246">
      <w:pPr>
        <w:pStyle w:val="Paragraph"/>
        <w:rPr>
          <w:sz w:val="22"/>
          <w:szCs w:val="22"/>
        </w:rPr>
      </w:pPr>
      <w:r w:rsidRPr="004D0171">
        <w:rPr>
          <w:b/>
          <w:bCs/>
          <w:sz w:val="22"/>
          <w:szCs w:val="22"/>
        </w:rPr>
        <w:t>Semi-structured i</w:t>
      </w:r>
      <w:r w:rsidRPr="004D0171" w:rsidR="00567458">
        <w:rPr>
          <w:b/>
          <w:bCs/>
          <w:sz w:val="22"/>
          <w:szCs w:val="22"/>
        </w:rPr>
        <w:t xml:space="preserve">nterviews. </w:t>
      </w:r>
      <w:r w:rsidRPr="004D0171" w:rsidR="00567458">
        <w:rPr>
          <w:sz w:val="22"/>
          <w:szCs w:val="22"/>
        </w:rPr>
        <w:t xml:space="preserve">The qualitative protocols </w:t>
      </w:r>
      <w:r w:rsidRPr="00D81877" w:rsidR="005377BE">
        <w:rPr>
          <w:sz w:val="22"/>
          <w:szCs w:val="22"/>
        </w:rPr>
        <w:t>are designed to help interviewers obtain</w:t>
      </w:r>
      <w:r w:rsidRPr="004D0171" w:rsidR="00D77B09">
        <w:rPr>
          <w:sz w:val="22"/>
          <w:szCs w:val="22"/>
        </w:rPr>
        <w:t xml:space="preserve"> a more robust sense of the stories behind the dissolved and sustained partnership</w:t>
      </w:r>
      <w:r w:rsidRPr="00D81877" w:rsidR="00B21516">
        <w:rPr>
          <w:sz w:val="22"/>
          <w:szCs w:val="22"/>
        </w:rPr>
        <w:t>s</w:t>
      </w:r>
      <w:r w:rsidRPr="004D0171" w:rsidR="00D77B09">
        <w:rPr>
          <w:sz w:val="22"/>
          <w:szCs w:val="22"/>
        </w:rPr>
        <w:t xml:space="preserve">, </w:t>
      </w:r>
      <w:r w:rsidRPr="004D0171" w:rsidR="00567458">
        <w:rPr>
          <w:sz w:val="22"/>
          <w:szCs w:val="22"/>
        </w:rPr>
        <w:t>us</w:t>
      </w:r>
      <w:r w:rsidRPr="004D0171" w:rsidR="00D77B09">
        <w:rPr>
          <w:sz w:val="22"/>
          <w:szCs w:val="22"/>
        </w:rPr>
        <w:t>ing</w:t>
      </w:r>
      <w:r w:rsidRPr="004D0171" w:rsidR="00567458">
        <w:rPr>
          <w:sz w:val="22"/>
          <w:szCs w:val="22"/>
        </w:rPr>
        <w:t xml:space="preserve"> selected survey responses as </w:t>
      </w:r>
      <w:r w:rsidRPr="004D0171" w:rsidR="00EC498A">
        <w:rPr>
          <w:sz w:val="22"/>
          <w:szCs w:val="22"/>
        </w:rPr>
        <w:t>starting</w:t>
      </w:r>
      <w:r w:rsidRPr="004D0171" w:rsidR="00567458">
        <w:rPr>
          <w:sz w:val="22"/>
          <w:szCs w:val="22"/>
        </w:rPr>
        <w:t xml:space="preserve"> point</w:t>
      </w:r>
      <w:r w:rsidRPr="004D0171" w:rsidR="00D77B09">
        <w:rPr>
          <w:sz w:val="22"/>
          <w:szCs w:val="22"/>
        </w:rPr>
        <w:t>s for discussion</w:t>
      </w:r>
      <w:r w:rsidRPr="004D0171" w:rsidR="00567458">
        <w:rPr>
          <w:sz w:val="22"/>
          <w:szCs w:val="22"/>
        </w:rPr>
        <w:t xml:space="preserve">. From the survey, we will </w:t>
      </w:r>
      <w:r w:rsidRPr="004D0171" w:rsidR="00D77B09">
        <w:rPr>
          <w:sz w:val="22"/>
          <w:szCs w:val="22"/>
        </w:rPr>
        <w:t>know</w:t>
      </w:r>
      <w:r w:rsidRPr="004D0171" w:rsidR="00567458">
        <w:rPr>
          <w:sz w:val="22"/>
          <w:szCs w:val="22"/>
        </w:rPr>
        <w:t xml:space="preserve"> the </w:t>
      </w:r>
      <w:r w:rsidRPr="004D0171" w:rsidR="00EC498A">
        <w:rPr>
          <w:sz w:val="22"/>
          <w:szCs w:val="22"/>
        </w:rPr>
        <w:t>main reasons th</w:t>
      </w:r>
      <w:r w:rsidRPr="004D0171" w:rsidR="00B21516">
        <w:rPr>
          <w:sz w:val="22"/>
          <w:szCs w:val="22"/>
        </w:rPr>
        <w:t>at the</w:t>
      </w:r>
      <w:r w:rsidRPr="004D0171" w:rsidR="00EC498A">
        <w:rPr>
          <w:sz w:val="22"/>
          <w:szCs w:val="22"/>
        </w:rPr>
        <w:t xml:space="preserve"> partnership</w:t>
      </w:r>
      <w:r w:rsidRPr="004D0171" w:rsidR="00B21516">
        <w:rPr>
          <w:sz w:val="22"/>
          <w:szCs w:val="22"/>
        </w:rPr>
        <w:t>s</w:t>
      </w:r>
      <w:r w:rsidR="00EC498A">
        <w:rPr>
          <w:sz w:val="22"/>
          <w:szCs w:val="22"/>
        </w:rPr>
        <w:t xml:space="preserve"> dissolved</w:t>
      </w:r>
      <w:r w:rsidRPr="00567458" w:rsidR="00567458">
        <w:rPr>
          <w:sz w:val="22"/>
          <w:szCs w:val="22"/>
        </w:rPr>
        <w:t xml:space="preserve"> and whether </w:t>
      </w:r>
      <w:r w:rsidR="00EC498A">
        <w:rPr>
          <w:sz w:val="22"/>
          <w:szCs w:val="22"/>
        </w:rPr>
        <w:t xml:space="preserve">these reasons were communicated by the </w:t>
      </w:r>
      <w:r w:rsidR="00D53C67">
        <w:rPr>
          <w:sz w:val="22"/>
          <w:szCs w:val="22"/>
        </w:rPr>
        <w:t xml:space="preserve">EHS program </w:t>
      </w:r>
      <w:r w:rsidR="00EC498A">
        <w:rPr>
          <w:sz w:val="22"/>
          <w:szCs w:val="22"/>
        </w:rPr>
        <w:t>and/or provider</w:t>
      </w:r>
      <w:r w:rsidRPr="00567458" w:rsidR="00567458">
        <w:rPr>
          <w:sz w:val="22"/>
          <w:szCs w:val="22"/>
        </w:rPr>
        <w:t>, as well as what is working well in sustained partnership</w:t>
      </w:r>
      <w:r w:rsidR="004D0171">
        <w:rPr>
          <w:sz w:val="22"/>
          <w:szCs w:val="22"/>
        </w:rPr>
        <w:t>s</w:t>
      </w:r>
      <w:r w:rsidR="002E3EAA">
        <w:rPr>
          <w:sz w:val="22"/>
          <w:szCs w:val="22"/>
        </w:rPr>
        <w:t xml:space="preserve"> </w:t>
      </w:r>
      <w:r w:rsidRPr="00567458" w:rsidR="00567458">
        <w:rPr>
          <w:sz w:val="22"/>
          <w:szCs w:val="22"/>
        </w:rPr>
        <w:t xml:space="preserve">and why. The interviews will provide </w:t>
      </w:r>
      <w:r w:rsidR="004D0171">
        <w:rPr>
          <w:sz w:val="22"/>
          <w:szCs w:val="22"/>
        </w:rPr>
        <w:t>more</w:t>
      </w:r>
      <w:r w:rsidRPr="00567458" w:rsidR="004D0171">
        <w:rPr>
          <w:sz w:val="22"/>
          <w:szCs w:val="22"/>
        </w:rPr>
        <w:t xml:space="preserve"> </w:t>
      </w:r>
      <w:r w:rsidRPr="00567458" w:rsidR="00567458">
        <w:rPr>
          <w:sz w:val="22"/>
          <w:szCs w:val="22"/>
        </w:rPr>
        <w:t>detail</w:t>
      </w:r>
      <w:r w:rsidR="00EC498A">
        <w:rPr>
          <w:sz w:val="22"/>
          <w:szCs w:val="22"/>
        </w:rPr>
        <w:t xml:space="preserve"> </w:t>
      </w:r>
      <w:r w:rsidR="004D0171">
        <w:rPr>
          <w:sz w:val="22"/>
          <w:szCs w:val="22"/>
        </w:rPr>
        <w:t xml:space="preserve">on </w:t>
      </w:r>
      <w:r w:rsidR="00EC498A">
        <w:rPr>
          <w:sz w:val="22"/>
          <w:szCs w:val="22"/>
        </w:rPr>
        <w:t xml:space="preserve">the </w:t>
      </w:r>
      <w:r w:rsidR="004D0171">
        <w:rPr>
          <w:sz w:val="22"/>
          <w:szCs w:val="22"/>
        </w:rPr>
        <w:t xml:space="preserve">survey </w:t>
      </w:r>
      <w:r w:rsidR="00EC498A">
        <w:rPr>
          <w:sz w:val="22"/>
          <w:szCs w:val="22"/>
        </w:rPr>
        <w:t>responses. W</w:t>
      </w:r>
      <w:r w:rsidRPr="00567458" w:rsidR="00567458">
        <w:rPr>
          <w:sz w:val="22"/>
          <w:szCs w:val="22"/>
        </w:rPr>
        <w:t xml:space="preserve">e will ask when any issues </w:t>
      </w:r>
      <w:r w:rsidR="00EC498A">
        <w:rPr>
          <w:sz w:val="22"/>
          <w:szCs w:val="22"/>
        </w:rPr>
        <w:t xml:space="preserve">in the partnership </w:t>
      </w:r>
      <w:r w:rsidRPr="00567458" w:rsidR="00567458">
        <w:rPr>
          <w:sz w:val="22"/>
          <w:szCs w:val="22"/>
        </w:rPr>
        <w:t xml:space="preserve">emerged, how </w:t>
      </w:r>
      <w:r w:rsidR="00FC47AB">
        <w:rPr>
          <w:sz w:val="22"/>
          <w:szCs w:val="22"/>
        </w:rPr>
        <w:t xml:space="preserve">child care providers </w:t>
      </w:r>
      <w:r w:rsidRPr="000B74C2" w:rsidR="00FC47AB">
        <w:rPr>
          <w:sz w:val="22"/>
          <w:szCs w:val="22"/>
        </w:rPr>
        <w:t xml:space="preserve">and </w:t>
      </w:r>
      <w:r w:rsidRPr="000B74C2" w:rsidR="00137D10">
        <w:rPr>
          <w:rFonts w:cstheme="minorHAnsi"/>
          <w:color w:val="000000"/>
        </w:rPr>
        <w:t xml:space="preserve">EHS </w:t>
      </w:r>
      <w:r w:rsidRPr="000B74C2" w:rsidR="00FC47AB">
        <w:rPr>
          <w:sz w:val="22"/>
          <w:szCs w:val="22"/>
        </w:rPr>
        <w:t>programs addressed the issues,</w:t>
      </w:r>
      <w:r w:rsidRPr="000B74C2" w:rsidR="00567458">
        <w:rPr>
          <w:sz w:val="22"/>
          <w:szCs w:val="22"/>
        </w:rPr>
        <w:t xml:space="preserve"> who was involved</w:t>
      </w:r>
      <w:r w:rsidRPr="000B74C2" w:rsidR="00EC498A">
        <w:rPr>
          <w:sz w:val="22"/>
          <w:szCs w:val="22"/>
        </w:rPr>
        <w:t xml:space="preserve"> in the process</w:t>
      </w:r>
      <w:r w:rsidRPr="000B74C2" w:rsidR="00567458">
        <w:rPr>
          <w:sz w:val="22"/>
          <w:szCs w:val="22"/>
        </w:rPr>
        <w:t xml:space="preserve">, and similar questions. In addition, the interviews will </w:t>
      </w:r>
      <w:r w:rsidRPr="00D81877" w:rsidR="00416DD9">
        <w:rPr>
          <w:sz w:val="22"/>
          <w:szCs w:val="22"/>
        </w:rPr>
        <w:t>enable</w:t>
      </w:r>
      <w:r w:rsidRPr="000B74C2" w:rsidR="00416DD9">
        <w:rPr>
          <w:sz w:val="22"/>
          <w:szCs w:val="22"/>
        </w:rPr>
        <w:t xml:space="preserve"> </w:t>
      </w:r>
      <w:r w:rsidRPr="000B74C2" w:rsidR="00567458">
        <w:rPr>
          <w:sz w:val="22"/>
          <w:szCs w:val="22"/>
        </w:rPr>
        <w:t xml:space="preserve">us to better understand providers’ experiences during the COVID-19 pandemic. </w:t>
      </w:r>
    </w:p>
    <w:p w:rsidRPr="008B6C3F" w:rsidR="00567458" w:rsidP="0085039E" w:rsidRDefault="00434946" w14:paraId="3D32DC89" w14:textId="1E2B3730">
      <w:pPr>
        <w:pStyle w:val="Paragraph"/>
        <w:rPr>
          <w:sz w:val="22"/>
          <w:szCs w:val="22"/>
        </w:rPr>
      </w:pPr>
      <w:r w:rsidRPr="00D81877">
        <w:rPr>
          <w:sz w:val="22"/>
          <w:szCs w:val="22"/>
        </w:rPr>
        <w:t>In</w:t>
      </w:r>
      <w:r w:rsidRPr="000B74C2">
        <w:rPr>
          <w:sz w:val="22"/>
          <w:szCs w:val="22"/>
        </w:rPr>
        <w:t xml:space="preserve"> </w:t>
      </w:r>
      <w:r w:rsidRPr="000B74C2" w:rsidR="00567458">
        <w:rPr>
          <w:sz w:val="22"/>
          <w:szCs w:val="22"/>
        </w:rPr>
        <w:t xml:space="preserve">the </w:t>
      </w:r>
      <w:r w:rsidRPr="00D81877">
        <w:rPr>
          <w:sz w:val="22"/>
          <w:szCs w:val="22"/>
        </w:rPr>
        <w:t xml:space="preserve">interviews with </w:t>
      </w:r>
      <w:r w:rsidR="00D53C67">
        <w:rPr>
          <w:sz w:val="22"/>
          <w:szCs w:val="22"/>
        </w:rPr>
        <w:t>dissolved partnership providers</w:t>
      </w:r>
      <w:r w:rsidRPr="000B74C2" w:rsidR="00567458">
        <w:rPr>
          <w:sz w:val="22"/>
          <w:szCs w:val="22"/>
        </w:rPr>
        <w:t>, we will also probe on the services providers have continued to or stopped providing</w:t>
      </w:r>
      <w:r w:rsidRPr="000B74C2" w:rsidR="00EC498A">
        <w:rPr>
          <w:sz w:val="22"/>
          <w:szCs w:val="22"/>
        </w:rPr>
        <w:t xml:space="preserve"> since the partnership ended, asking </w:t>
      </w:r>
      <w:r w:rsidRPr="000B74C2" w:rsidR="00D01D37">
        <w:rPr>
          <w:sz w:val="22"/>
          <w:szCs w:val="22"/>
        </w:rPr>
        <w:t>whether any services</w:t>
      </w:r>
      <w:r w:rsidRPr="000B74C2" w:rsidR="00EC498A">
        <w:rPr>
          <w:sz w:val="22"/>
          <w:szCs w:val="22"/>
        </w:rPr>
        <w:t xml:space="preserve"> </w:t>
      </w:r>
      <w:r w:rsidRPr="000B74C2" w:rsidR="00D01D37">
        <w:rPr>
          <w:sz w:val="22"/>
          <w:szCs w:val="22"/>
        </w:rPr>
        <w:t xml:space="preserve">were ended right away or </w:t>
      </w:r>
      <w:r w:rsidRPr="000B74C2" w:rsidR="00EC498A">
        <w:rPr>
          <w:sz w:val="22"/>
          <w:szCs w:val="22"/>
        </w:rPr>
        <w:t>if they tried</w:t>
      </w:r>
      <w:r w:rsidRPr="000B74C2" w:rsidR="00567458">
        <w:rPr>
          <w:sz w:val="22"/>
          <w:szCs w:val="22"/>
        </w:rPr>
        <w:t xml:space="preserve"> to sustain </w:t>
      </w:r>
      <w:r w:rsidRPr="000B74C2" w:rsidR="00563650">
        <w:rPr>
          <w:sz w:val="22"/>
          <w:szCs w:val="22"/>
        </w:rPr>
        <w:t xml:space="preserve">them </w:t>
      </w:r>
      <w:r w:rsidRPr="000B74C2" w:rsidR="00567458">
        <w:rPr>
          <w:sz w:val="22"/>
          <w:szCs w:val="22"/>
        </w:rPr>
        <w:t>for a time</w:t>
      </w:r>
      <w:r w:rsidRPr="000B74C2" w:rsidR="00EC498A">
        <w:rPr>
          <w:sz w:val="22"/>
          <w:szCs w:val="22"/>
        </w:rPr>
        <w:t>.</w:t>
      </w:r>
      <w:r w:rsidRPr="000B74C2" w:rsidR="00567458">
        <w:rPr>
          <w:sz w:val="22"/>
          <w:szCs w:val="22"/>
        </w:rPr>
        <w:t xml:space="preserve"> From the NDS and sustainability surveys</w:t>
      </w:r>
      <w:r w:rsidRPr="000B74C2" w:rsidR="00A92AAE">
        <w:rPr>
          <w:sz w:val="22"/>
          <w:szCs w:val="22"/>
        </w:rPr>
        <w:t>,</w:t>
      </w:r>
      <w:r w:rsidRPr="000B74C2" w:rsidR="00567458">
        <w:rPr>
          <w:sz w:val="22"/>
          <w:szCs w:val="22"/>
        </w:rPr>
        <w:t xml:space="preserve"> we will know </w:t>
      </w:r>
      <w:r w:rsidRPr="00D81877" w:rsidR="00567458">
        <w:rPr>
          <w:sz w:val="22"/>
          <w:szCs w:val="22"/>
        </w:rPr>
        <w:t>that</w:t>
      </w:r>
      <w:r w:rsidRPr="000B74C2" w:rsidR="00567458">
        <w:rPr>
          <w:sz w:val="22"/>
          <w:szCs w:val="22"/>
        </w:rPr>
        <w:t xml:space="preserve"> some things changed (</w:t>
      </w:r>
      <w:r w:rsidRPr="000B74C2" w:rsidR="00563650">
        <w:rPr>
          <w:sz w:val="22"/>
          <w:szCs w:val="22"/>
        </w:rPr>
        <w:t xml:space="preserve">for example, </w:t>
      </w:r>
      <w:r w:rsidRPr="000B74C2" w:rsidR="00567458">
        <w:rPr>
          <w:sz w:val="22"/>
          <w:szCs w:val="22"/>
        </w:rPr>
        <w:t>services</w:t>
      </w:r>
      <w:r w:rsidRPr="000B74C2" w:rsidR="00D77B09">
        <w:rPr>
          <w:sz w:val="22"/>
          <w:szCs w:val="22"/>
        </w:rPr>
        <w:t xml:space="preserve"> for enrolled children and families</w:t>
      </w:r>
      <w:r w:rsidRPr="000B74C2" w:rsidR="00563650">
        <w:rPr>
          <w:sz w:val="22"/>
          <w:szCs w:val="22"/>
        </w:rPr>
        <w:t xml:space="preserve"> and</w:t>
      </w:r>
      <w:r w:rsidRPr="000B74C2" w:rsidR="00567458">
        <w:rPr>
          <w:sz w:val="22"/>
          <w:szCs w:val="22"/>
        </w:rPr>
        <w:t xml:space="preserve"> </w:t>
      </w:r>
      <w:r w:rsidR="007319B3">
        <w:rPr>
          <w:sz w:val="22"/>
          <w:szCs w:val="22"/>
        </w:rPr>
        <w:t>professional development</w:t>
      </w:r>
      <w:r w:rsidR="00414180">
        <w:rPr>
          <w:sz w:val="22"/>
          <w:szCs w:val="22"/>
        </w:rPr>
        <w:t xml:space="preserve"> </w:t>
      </w:r>
      <w:r w:rsidRPr="000B74C2" w:rsidR="00567458">
        <w:rPr>
          <w:sz w:val="22"/>
          <w:szCs w:val="22"/>
        </w:rPr>
        <w:t xml:space="preserve">opportunities) but not as much about </w:t>
      </w:r>
      <w:r w:rsidRPr="000B74C2" w:rsidR="00567458">
        <w:rPr>
          <w:i/>
          <w:iCs/>
          <w:sz w:val="22"/>
          <w:szCs w:val="22"/>
        </w:rPr>
        <w:t>when</w:t>
      </w:r>
      <w:r w:rsidRPr="000B74C2" w:rsidR="00567458">
        <w:rPr>
          <w:sz w:val="22"/>
          <w:szCs w:val="22"/>
        </w:rPr>
        <w:t xml:space="preserve"> </w:t>
      </w:r>
      <w:r w:rsidRPr="000B74C2" w:rsidR="00A92AAE">
        <w:rPr>
          <w:sz w:val="22"/>
          <w:szCs w:val="22"/>
        </w:rPr>
        <w:t xml:space="preserve">things </w:t>
      </w:r>
      <w:r w:rsidRPr="000B74C2" w:rsidR="00567458">
        <w:rPr>
          <w:sz w:val="22"/>
          <w:szCs w:val="22"/>
        </w:rPr>
        <w:t xml:space="preserve">changed relative to the dissolution and </w:t>
      </w:r>
      <w:r w:rsidRPr="000B74C2" w:rsidR="00567458">
        <w:rPr>
          <w:i/>
          <w:iCs/>
          <w:sz w:val="22"/>
          <w:szCs w:val="22"/>
        </w:rPr>
        <w:t>how</w:t>
      </w:r>
      <w:r w:rsidRPr="000B74C2" w:rsidR="00567458">
        <w:rPr>
          <w:sz w:val="22"/>
          <w:szCs w:val="22"/>
        </w:rPr>
        <w:t xml:space="preserve"> th</w:t>
      </w:r>
      <w:r w:rsidRPr="000B74C2" w:rsidR="00A92AAE">
        <w:rPr>
          <w:sz w:val="22"/>
          <w:szCs w:val="22"/>
        </w:rPr>
        <w:t>e</w:t>
      </w:r>
      <w:r w:rsidRPr="000B74C2" w:rsidR="00567458">
        <w:rPr>
          <w:sz w:val="22"/>
          <w:szCs w:val="22"/>
        </w:rPr>
        <w:t xml:space="preserve"> change</w:t>
      </w:r>
      <w:r w:rsidRPr="000B74C2" w:rsidR="00A92AAE">
        <w:rPr>
          <w:sz w:val="22"/>
          <w:szCs w:val="22"/>
        </w:rPr>
        <w:t>s</w:t>
      </w:r>
      <w:r w:rsidRPr="000B74C2" w:rsidR="00567458">
        <w:rPr>
          <w:sz w:val="22"/>
          <w:szCs w:val="22"/>
        </w:rPr>
        <w:t xml:space="preserve"> </w:t>
      </w:r>
      <w:r w:rsidRPr="000B74C2" w:rsidR="00A92AAE">
        <w:rPr>
          <w:sz w:val="22"/>
          <w:szCs w:val="22"/>
        </w:rPr>
        <w:t>were made</w:t>
      </w:r>
      <w:r w:rsidRPr="000B74C2" w:rsidR="00567458">
        <w:rPr>
          <w:sz w:val="22"/>
          <w:szCs w:val="22"/>
        </w:rPr>
        <w:t xml:space="preserve">. The interviews should help us fill out that picture. </w:t>
      </w:r>
      <w:r w:rsidRPr="000B74C2" w:rsidR="00C0470E">
        <w:rPr>
          <w:sz w:val="22"/>
          <w:szCs w:val="22"/>
        </w:rPr>
        <w:t xml:space="preserve">In </w:t>
      </w:r>
      <w:r w:rsidRPr="000B74C2" w:rsidR="00567458">
        <w:rPr>
          <w:sz w:val="22"/>
          <w:szCs w:val="22"/>
        </w:rPr>
        <w:t xml:space="preserve">the </w:t>
      </w:r>
      <w:r w:rsidRPr="000B74C2" w:rsidR="00C0470E">
        <w:rPr>
          <w:sz w:val="22"/>
          <w:szCs w:val="22"/>
        </w:rPr>
        <w:t xml:space="preserve">interviews with providers from </w:t>
      </w:r>
      <w:r w:rsidRPr="000B74C2" w:rsidR="00567458">
        <w:rPr>
          <w:sz w:val="22"/>
          <w:szCs w:val="22"/>
        </w:rPr>
        <w:t>sustained</w:t>
      </w:r>
      <w:r w:rsidRPr="009759AF" w:rsidR="00567458">
        <w:rPr>
          <w:sz w:val="22"/>
          <w:szCs w:val="22"/>
        </w:rPr>
        <w:t xml:space="preserve"> partnership</w:t>
      </w:r>
      <w:r w:rsidR="00C0470E">
        <w:rPr>
          <w:sz w:val="22"/>
          <w:szCs w:val="22"/>
        </w:rPr>
        <w:t>s</w:t>
      </w:r>
      <w:r w:rsidRPr="009759AF" w:rsidR="00567458">
        <w:rPr>
          <w:sz w:val="22"/>
          <w:szCs w:val="22"/>
        </w:rPr>
        <w:t xml:space="preserve">, we will probe on the champions of the </w:t>
      </w:r>
      <w:r w:rsidRPr="008B6C3F" w:rsidR="00567458">
        <w:rPr>
          <w:sz w:val="22"/>
          <w:szCs w:val="22"/>
        </w:rPr>
        <w:t xml:space="preserve">partnership, staff turnover, and periods without enrollment slots. </w:t>
      </w:r>
    </w:p>
    <w:p w:rsidRPr="009759AF" w:rsidR="009759AF" w:rsidP="0085039E" w:rsidRDefault="009759AF" w14:paraId="4609FDC6" w14:textId="63FB68CA">
      <w:pPr>
        <w:pStyle w:val="Paragraph"/>
        <w:rPr>
          <w:sz w:val="22"/>
          <w:szCs w:val="22"/>
        </w:rPr>
      </w:pPr>
      <w:r w:rsidRPr="008B6C3F">
        <w:rPr>
          <w:bCs/>
          <w:sz w:val="22"/>
          <w:szCs w:val="22"/>
        </w:rPr>
        <w:t>We pre</w:t>
      </w:r>
      <w:r w:rsidRPr="008B6C3F" w:rsidR="000B74C2">
        <w:rPr>
          <w:bCs/>
          <w:sz w:val="22"/>
          <w:szCs w:val="22"/>
        </w:rPr>
        <w:t>-</w:t>
      </w:r>
      <w:r w:rsidRPr="008B6C3F">
        <w:rPr>
          <w:bCs/>
          <w:sz w:val="22"/>
          <w:szCs w:val="22"/>
        </w:rPr>
        <w:t>test</w:t>
      </w:r>
      <w:r w:rsidRPr="008B6C3F" w:rsidR="00680387">
        <w:rPr>
          <w:bCs/>
          <w:sz w:val="22"/>
          <w:szCs w:val="22"/>
        </w:rPr>
        <w:t>ed</w:t>
      </w:r>
      <w:r w:rsidRPr="008B6C3F">
        <w:rPr>
          <w:bCs/>
          <w:sz w:val="22"/>
          <w:szCs w:val="22"/>
        </w:rPr>
        <w:t xml:space="preserve"> the interview protocol by asking the interview questions</w:t>
      </w:r>
      <w:r w:rsidRPr="008B6C3F" w:rsidR="000D2629">
        <w:rPr>
          <w:bCs/>
          <w:sz w:val="22"/>
          <w:szCs w:val="22"/>
        </w:rPr>
        <w:t xml:space="preserve"> to the same respondents who participated in the survey pre</w:t>
      </w:r>
      <w:r w:rsidRPr="00D81877" w:rsidR="002E4F67">
        <w:rPr>
          <w:bCs/>
          <w:sz w:val="22"/>
          <w:szCs w:val="22"/>
        </w:rPr>
        <w:t>-</w:t>
      </w:r>
      <w:r w:rsidRPr="008B6C3F" w:rsidR="000D2629">
        <w:rPr>
          <w:bCs/>
          <w:sz w:val="22"/>
          <w:szCs w:val="22"/>
        </w:rPr>
        <w:t>test.</w:t>
      </w:r>
      <w:r w:rsidRPr="008B6C3F">
        <w:rPr>
          <w:bCs/>
          <w:sz w:val="22"/>
          <w:szCs w:val="22"/>
        </w:rPr>
        <w:t xml:space="preserve"> </w:t>
      </w:r>
      <w:r w:rsidRPr="008B6C3F" w:rsidR="000D2629">
        <w:rPr>
          <w:bCs/>
          <w:sz w:val="22"/>
          <w:szCs w:val="22"/>
        </w:rPr>
        <w:t>We</w:t>
      </w:r>
      <w:r w:rsidRPr="008B6C3F">
        <w:rPr>
          <w:bCs/>
          <w:sz w:val="22"/>
          <w:szCs w:val="22"/>
        </w:rPr>
        <w:t xml:space="preserve"> then </w:t>
      </w:r>
      <w:r w:rsidRPr="008B6C3F" w:rsidR="000C166B">
        <w:rPr>
          <w:bCs/>
          <w:sz w:val="22"/>
          <w:szCs w:val="22"/>
        </w:rPr>
        <w:t xml:space="preserve">debriefed </w:t>
      </w:r>
      <w:r w:rsidRPr="008B6C3F">
        <w:rPr>
          <w:bCs/>
          <w:sz w:val="22"/>
          <w:szCs w:val="22"/>
        </w:rPr>
        <w:t xml:space="preserve">to gather input on the questions, probes, and length. </w:t>
      </w:r>
      <w:r w:rsidR="00D634B4">
        <w:rPr>
          <w:bCs/>
          <w:sz w:val="22"/>
          <w:szCs w:val="22"/>
        </w:rPr>
        <w:t>T</w:t>
      </w:r>
      <w:r w:rsidRPr="008B6C3F">
        <w:rPr>
          <w:bCs/>
          <w:sz w:val="22"/>
          <w:szCs w:val="22"/>
        </w:rPr>
        <w:t>he interview pre</w:t>
      </w:r>
      <w:r w:rsidRPr="008B6C3F" w:rsidR="002E4F67">
        <w:rPr>
          <w:bCs/>
          <w:sz w:val="22"/>
          <w:szCs w:val="22"/>
        </w:rPr>
        <w:t>-</w:t>
      </w:r>
      <w:r w:rsidRPr="008B6C3F">
        <w:rPr>
          <w:bCs/>
          <w:sz w:val="22"/>
          <w:szCs w:val="22"/>
        </w:rPr>
        <w:t>test w</w:t>
      </w:r>
      <w:r w:rsidR="00FB0F68">
        <w:rPr>
          <w:bCs/>
          <w:sz w:val="22"/>
          <w:szCs w:val="22"/>
        </w:rPr>
        <w:t>as</w:t>
      </w:r>
      <w:r w:rsidRPr="008B6C3F">
        <w:rPr>
          <w:bCs/>
          <w:sz w:val="22"/>
          <w:szCs w:val="22"/>
        </w:rPr>
        <w:t xml:space="preserve"> conducted </w:t>
      </w:r>
      <w:r w:rsidRPr="008B6C3F" w:rsidR="00F475AA">
        <w:rPr>
          <w:bCs/>
          <w:sz w:val="22"/>
          <w:szCs w:val="22"/>
        </w:rPr>
        <w:t xml:space="preserve">with </w:t>
      </w:r>
      <w:r w:rsidRPr="008B6C3F" w:rsidR="00680387">
        <w:rPr>
          <w:bCs/>
          <w:sz w:val="22"/>
          <w:szCs w:val="22"/>
        </w:rPr>
        <w:t xml:space="preserve">fewer </w:t>
      </w:r>
      <w:r w:rsidR="00D634B4">
        <w:rPr>
          <w:bCs/>
          <w:sz w:val="22"/>
          <w:szCs w:val="22"/>
        </w:rPr>
        <w:t>than ten</w:t>
      </w:r>
      <w:r w:rsidRPr="008B6C3F" w:rsidR="00D634B4">
        <w:rPr>
          <w:bCs/>
          <w:sz w:val="22"/>
          <w:szCs w:val="22"/>
        </w:rPr>
        <w:t xml:space="preserve"> </w:t>
      </w:r>
      <w:r w:rsidRPr="008B6C3F" w:rsidR="00680387">
        <w:rPr>
          <w:bCs/>
          <w:sz w:val="22"/>
          <w:szCs w:val="22"/>
        </w:rPr>
        <w:t>providers</w:t>
      </w:r>
      <w:r w:rsidR="00D634B4">
        <w:rPr>
          <w:bCs/>
          <w:sz w:val="22"/>
          <w:szCs w:val="22"/>
        </w:rPr>
        <w:t>.</w:t>
      </w:r>
    </w:p>
    <w:p w:rsidR="00567458" w:rsidP="0085039E" w:rsidRDefault="00567458" w14:paraId="29F511C5" w14:textId="13CD67BD">
      <w:pPr>
        <w:pStyle w:val="Paragraph"/>
        <w:rPr>
          <w:sz w:val="22"/>
          <w:szCs w:val="22"/>
        </w:rPr>
      </w:pPr>
      <w:r w:rsidRPr="00567458">
        <w:rPr>
          <w:b/>
          <w:bCs/>
          <w:sz w:val="22"/>
          <w:szCs w:val="22"/>
        </w:rPr>
        <w:t xml:space="preserve">Aligning instruments with objectives. </w:t>
      </w:r>
      <w:r w:rsidRPr="00567458">
        <w:rPr>
          <w:sz w:val="22"/>
          <w:szCs w:val="22"/>
        </w:rPr>
        <w:t xml:space="preserve">Table </w:t>
      </w:r>
      <w:r w:rsidR="005D36EE">
        <w:rPr>
          <w:sz w:val="22"/>
          <w:szCs w:val="22"/>
        </w:rPr>
        <w:t>B.</w:t>
      </w:r>
      <w:r w:rsidRPr="00567458">
        <w:rPr>
          <w:sz w:val="22"/>
          <w:szCs w:val="22"/>
        </w:rPr>
        <w:t xml:space="preserve">1 is a matrix </w:t>
      </w:r>
      <w:r w:rsidR="006B07C7">
        <w:rPr>
          <w:sz w:val="22"/>
          <w:szCs w:val="22"/>
        </w:rPr>
        <w:t>that links</w:t>
      </w:r>
      <w:r w:rsidRPr="00567458" w:rsidR="006B07C7">
        <w:rPr>
          <w:sz w:val="22"/>
          <w:szCs w:val="22"/>
        </w:rPr>
        <w:t xml:space="preserve"> </w:t>
      </w:r>
      <w:r w:rsidRPr="00567458">
        <w:rPr>
          <w:sz w:val="22"/>
          <w:szCs w:val="22"/>
        </w:rPr>
        <w:t xml:space="preserve">research questions (as detailed in SSA Section A2), constructs, and data sources. </w:t>
      </w:r>
    </w:p>
    <w:p w:rsidR="008A4619" w:rsidP="00D81877" w:rsidRDefault="00BB4F30" w14:paraId="724733CA" w14:textId="387B391E">
      <w:pPr>
        <w:pStyle w:val="Paragraph"/>
        <w:rPr>
          <w:rFonts w:cstheme="minorHAnsi"/>
          <w:color w:val="000000"/>
        </w:rPr>
      </w:pPr>
      <w:r>
        <w:rPr>
          <w:sz w:val="22"/>
          <w:szCs w:val="22"/>
        </w:rPr>
        <w:t>A check</w:t>
      </w:r>
      <w:r w:rsidRPr="00567458" w:rsidR="00567458">
        <w:rPr>
          <w:sz w:val="22"/>
          <w:szCs w:val="22"/>
        </w:rPr>
        <w:t xml:space="preserve"> in the table denote</w:t>
      </w:r>
      <w:r>
        <w:rPr>
          <w:sz w:val="22"/>
          <w:szCs w:val="22"/>
        </w:rPr>
        <w:t>s</w:t>
      </w:r>
      <w:r w:rsidRPr="00567458" w:rsidR="00567458">
        <w:rPr>
          <w:sz w:val="22"/>
          <w:szCs w:val="22"/>
        </w:rPr>
        <w:t xml:space="preserve"> the source of </w:t>
      </w:r>
      <w:r w:rsidR="00AB3124">
        <w:rPr>
          <w:sz w:val="22"/>
          <w:szCs w:val="22"/>
        </w:rPr>
        <w:t>each</w:t>
      </w:r>
      <w:r w:rsidR="00E80318">
        <w:rPr>
          <w:sz w:val="22"/>
          <w:szCs w:val="22"/>
        </w:rPr>
        <w:t xml:space="preserve"> </w:t>
      </w:r>
      <w:r w:rsidRPr="00567458" w:rsidR="00567458">
        <w:rPr>
          <w:sz w:val="22"/>
          <w:szCs w:val="22"/>
        </w:rPr>
        <w:t>item</w:t>
      </w:r>
      <w:r>
        <w:rPr>
          <w:sz w:val="22"/>
          <w:szCs w:val="22"/>
        </w:rPr>
        <w:t>.</w:t>
      </w:r>
      <w:r w:rsidRPr="00567458">
        <w:rPr>
          <w:sz w:val="22"/>
          <w:szCs w:val="22"/>
        </w:rPr>
        <w:t xml:space="preserve"> </w:t>
      </w:r>
      <w:r w:rsidRPr="00567458" w:rsidR="00567458">
        <w:rPr>
          <w:sz w:val="22"/>
          <w:szCs w:val="22"/>
        </w:rPr>
        <w:t>Research questions 1 and 4 will be addressed by five of our data sources—the EHS program director survey, the</w:t>
      </w:r>
      <w:r w:rsidR="0006069A">
        <w:rPr>
          <w:sz w:val="22"/>
          <w:szCs w:val="22"/>
        </w:rPr>
        <w:t xml:space="preserve"> web-based</w:t>
      </w:r>
      <w:r w:rsidRPr="00567458" w:rsidR="00567458">
        <w:rPr>
          <w:sz w:val="22"/>
          <w:szCs w:val="22"/>
        </w:rPr>
        <w:t xml:space="preserve"> survey of sustained partnership</w:t>
      </w:r>
      <w:r w:rsidR="002E3EAA">
        <w:rPr>
          <w:sz w:val="22"/>
          <w:szCs w:val="22"/>
        </w:rPr>
        <w:t xml:space="preserve"> </w:t>
      </w:r>
      <w:r w:rsidRPr="00D81877" w:rsidR="002E3EAA">
        <w:rPr>
          <w:sz w:val="22"/>
          <w:szCs w:val="22"/>
        </w:rPr>
        <w:t>providers</w:t>
      </w:r>
      <w:r w:rsidRPr="00D81877" w:rsidR="00567458">
        <w:rPr>
          <w:sz w:val="22"/>
          <w:szCs w:val="22"/>
        </w:rPr>
        <w:t xml:space="preserve">, the </w:t>
      </w:r>
      <w:r w:rsidRPr="00D81877" w:rsidR="0006069A">
        <w:rPr>
          <w:sz w:val="22"/>
          <w:szCs w:val="22"/>
        </w:rPr>
        <w:t xml:space="preserve">web-based </w:t>
      </w:r>
      <w:r w:rsidRPr="00D81877" w:rsidR="00567458">
        <w:rPr>
          <w:sz w:val="22"/>
          <w:szCs w:val="22"/>
        </w:rPr>
        <w:t>survey of dissolved partnership</w:t>
      </w:r>
      <w:r w:rsidRPr="00D81877" w:rsidR="002E3EAA">
        <w:rPr>
          <w:sz w:val="22"/>
          <w:szCs w:val="22"/>
        </w:rPr>
        <w:t xml:space="preserve"> providers</w:t>
      </w:r>
      <w:r w:rsidRPr="00D81877" w:rsidR="00567458">
        <w:rPr>
          <w:sz w:val="22"/>
          <w:szCs w:val="22"/>
        </w:rPr>
        <w:t xml:space="preserve">, the semi-structured interviews with </w:t>
      </w:r>
      <w:r w:rsidRPr="00D81877" w:rsidR="0006069A">
        <w:rPr>
          <w:sz w:val="22"/>
          <w:szCs w:val="22"/>
        </w:rPr>
        <w:t xml:space="preserve">sustained </w:t>
      </w:r>
      <w:r w:rsidRPr="00D81877" w:rsidR="00567458">
        <w:rPr>
          <w:sz w:val="22"/>
          <w:szCs w:val="22"/>
        </w:rPr>
        <w:t>partnership</w:t>
      </w:r>
      <w:r w:rsidRPr="00D81877" w:rsidR="002E3EAA">
        <w:rPr>
          <w:sz w:val="22"/>
          <w:szCs w:val="22"/>
        </w:rPr>
        <w:t xml:space="preserve"> providers</w:t>
      </w:r>
      <w:r w:rsidRPr="00D81877" w:rsidR="00567458">
        <w:rPr>
          <w:sz w:val="22"/>
          <w:szCs w:val="22"/>
        </w:rPr>
        <w:t xml:space="preserve">, and the semi-structured interviews with </w:t>
      </w:r>
      <w:r w:rsidRPr="00D81877" w:rsidR="0006069A">
        <w:rPr>
          <w:sz w:val="22"/>
          <w:szCs w:val="22"/>
        </w:rPr>
        <w:t xml:space="preserve">dissolved </w:t>
      </w:r>
      <w:r w:rsidRPr="00D81877" w:rsidR="00567458">
        <w:rPr>
          <w:sz w:val="22"/>
          <w:szCs w:val="22"/>
        </w:rPr>
        <w:t>partnership</w:t>
      </w:r>
      <w:r w:rsidRPr="00D81877" w:rsidR="002E3EAA">
        <w:rPr>
          <w:sz w:val="22"/>
          <w:szCs w:val="22"/>
        </w:rPr>
        <w:t xml:space="preserve"> providers</w:t>
      </w:r>
      <w:r w:rsidRPr="00D81877" w:rsidR="00567458">
        <w:rPr>
          <w:sz w:val="22"/>
          <w:szCs w:val="22"/>
        </w:rPr>
        <w:t xml:space="preserve">. The second research question will be </w:t>
      </w:r>
      <w:r w:rsidRPr="00D81877" w:rsidR="001D51C9">
        <w:rPr>
          <w:sz w:val="22"/>
          <w:szCs w:val="22"/>
        </w:rPr>
        <w:t xml:space="preserve">addressed </w:t>
      </w:r>
      <w:r w:rsidRPr="00D81877" w:rsidR="00567458">
        <w:rPr>
          <w:sz w:val="22"/>
          <w:szCs w:val="22"/>
        </w:rPr>
        <w:t>by the survey of dissolved partnership</w:t>
      </w:r>
      <w:r w:rsidRPr="00D81877" w:rsidR="002E3EAA">
        <w:rPr>
          <w:sz w:val="22"/>
          <w:szCs w:val="22"/>
        </w:rPr>
        <w:t xml:space="preserve"> providers</w:t>
      </w:r>
      <w:r w:rsidRPr="00D81877" w:rsidR="00567458">
        <w:rPr>
          <w:sz w:val="22"/>
          <w:szCs w:val="22"/>
        </w:rPr>
        <w:t xml:space="preserve"> and the semi-structured interviews with a subset of these providers. The </w:t>
      </w:r>
      <w:r w:rsidRPr="00D81877" w:rsidR="00567458">
        <w:rPr>
          <w:sz w:val="22"/>
          <w:szCs w:val="22"/>
        </w:rPr>
        <w:lastRenderedPageBreak/>
        <w:t>sustained partnership</w:t>
      </w:r>
      <w:r w:rsidRPr="00D81877" w:rsidR="00FC47AB">
        <w:rPr>
          <w:sz w:val="22"/>
          <w:szCs w:val="22"/>
        </w:rPr>
        <w:t xml:space="preserve"> provider survey</w:t>
      </w:r>
      <w:r w:rsidR="00AC0DA4">
        <w:rPr>
          <w:sz w:val="22"/>
          <w:szCs w:val="22"/>
        </w:rPr>
        <w:t xml:space="preserve"> and semi-structured interview</w:t>
      </w:r>
      <w:r w:rsidRPr="00D81877" w:rsidR="00567458">
        <w:rPr>
          <w:sz w:val="22"/>
          <w:szCs w:val="22"/>
        </w:rPr>
        <w:t xml:space="preserve">, and to a lesser extent, the </w:t>
      </w:r>
      <w:r w:rsidRPr="00D81877" w:rsidR="00137D10">
        <w:rPr>
          <w:rFonts w:cstheme="minorHAnsi"/>
          <w:color w:val="000000"/>
          <w:sz w:val="22"/>
          <w:szCs w:val="22"/>
        </w:rPr>
        <w:t xml:space="preserve">EHS </w:t>
      </w:r>
      <w:r w:rsidRPr="00D81877" w:rsidR="00567458">
        <w:rPr>
          <w:sz w:val="22"/>
          <w:szCs w:val="22"/>
        </w:rPr>
        <w:t>program director survey</w:t>
      </w:r>
      <w:r w:rsidRPr="00D81877" w:rsidR="00D81877">
        <w:rPr>
          <w:sz w:val="22"/>
          <w:szCs w:val="22"/>
        </w:rPr>
        <w:t>—</w:t>
      </w:r>
      <w:r w:rsidRPr="00D81877" w:rsidR="00567458">
        <w:rPr>
          <w:sz w:val="22"/>
          <w:szCs w:val="22"/>
        </w:rPr>
        <w:t>will address research question 3.</w:t>
      </w:r>
      <w:r w:rsidRPr="00567458" w:rsidR="00567458">
        <w:rPr>
          <w:sz w:val="22"/>
          <w:szCs w:val="22"/>
        </w:rPr>
        <w:t xml:space="preserve"> </w:t>
      </w:r>
    </w:p>
    <w:p w:rsidR="008A4619" w:rsidP="00A42C71" w:rsidRDefault="008A4619" w14:paraId="238BA32D" w14:textId="77777777">
      <w:pPr>
        <w:autoSpaceDE w:val="0"/>
        <w:autoSpaceDN w:val="0"/>
        <w:adjustRightInd w:val="0"/>
        <w:spacing w:after="0" w:line="240" w:lineRule="atLeast"/>
        <w:rPr>
          <w:rFonts w:eastAsia="Times New Roman" w:cstheme="minorHAnsi"/>
          <w:color w:val="000000"/>
        </w:rPr>
        <w:sectPr w:rsidR="008A4619" w:rsidSect="008A4619">
          <w:headerReference w:type="default" r:id="rId11"/>
          <w:footerReference w:type="default" r:id="rId12"/>
          <w:pgSz w:w="12240" w:h="15840"/>
          <w:pgMar w:top="1440" w:right="1440" w:bottom="1440" w:left="1440" w:header="720" w:footer="720" w:gutter="0"/>
          <w:cols w:space="720"/>
          <w:docGrid w:linePitch="360"/>
        </w:sectPr>
      </w:pPr>
    </w:p>
    <w:p w:rsidRPr="008A4619" w:rsidR="008A4619" w:rsidP="008A4619" w:rsidRDefault="008A4619" w14:paraId="4A20B1F1" w14:textId="0E9CF964">
      <w:pPr>
        <w:pStyle w:val="TableTitle"/>
        <w:spacing w:before="0" w:after="0" w:line="240" w:lineRule="auto"/>
        <w:rPr>
          <w:rFonts w:asciiTheme="minorHAnsi" w:hAnsiTheme="minorHAnsi" w:cstheme="minorHAnsi"/>
          <w:caps/>
        </w:rPr>
      </w:pPr>
      <w:r>
        <w:rPr>
          <w:rFonts w:asciiTheme="minorHAnsi" w:hAnsiTheme="minorHAnsi" w:cstheme="minorHAnsi"/>
        </w:rPr>
        <w:lastRenderedPageBreak/>
        <w:t>T</w:t>
      </w:r>
      <w:r w:rsidRPr="008A4619">
        <w:rPr>
          <w:rFonts w:asciiTheme="minorHAnsi" w:hAnsiTheme="minorHAnsi" w:cstheme="minorHAnsi"/>
        </w:rPr>
        <w:t xml:space="preserve">able </w:t>
      </w:r>
      <w:r w:rsidR="005D36EE">
        <w:rPr>
          <w:rFonts w:asciiTheme="minorHAnsi" w:hAnsiTheme="minorHAnsi" w:cstheme="minorHAnsi"/>
        </w:rPr>
        <w:t>B.</w:t>
      </w:r>
      <w:r>
        <w:rPr>
          <w:rFonts w:asciiTheme="minorHAnsi" w:hAnsiTheme="minorHAnsi" w:cstheme="minorHAnsi"/>
        </w:rPr>
        <w:t>1</w:t>
      </w:r>
      <w:r w:rsidRPr="008A4619">
        <w:rPr>
          <w:rFonts w:asciiTheme="minorHAnsi" w:hAnsiTheme="minorHAnsi" w:cstheme="minorHAnsi"/>
        </w:rPr>
        <w:t>. Sustainability research questions, constructs, and data sources</w:t>
      </w:r>
      <w:r w:rsidRPr="008A4619">
        <w:rPr>
          <w:rFonts w:asciiTheme="minorHAnsi" w:hAnsiTheme="minorHAnsi" w:cstheme="minorHAnsi"/>
          <w:sz w:val="18"/>
          <w:szCs w:val="18"/>
        </w:rPr>
        <w:t xml:space="preserve"> </w:t>
      </w:r>
    </w:p>
    <w:tbl>
      <w:tblPr>
        <w:tblStyle w:val="TableGrid"/>
        <w:tblW w:w="132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25"/>
        <w:gridCol w:w="1253"/>
        <w:gridCol w:w="1700"/>
        <w:gridCol w:w="1798"/>
        <w:gridCol w:w="1877"/>
        <w:gridCol w:w="1877"/>
      </w:tblGrid>
      <w:tr w:rsidRPr="008A4619" w:rsidR="006F4B60" w:rsidTr="00133EA5" w14:paraId="3947573D" w14:textId="77777777">
        <w:trPr>
          <w:cantSplit/>
          <w:tblHeader/>
        </w:trPr>
        <w:tc>
          <w:tcPr>
            <w:tcW w:w="4725" w:type="dxa"/>
            <w:shd w:val="clear" w:color="auto" w:fill="046B5C"/>
            <w:vAlign w:val="bottom"/>
            <w:hideMark/>
          </w:tcPr>
          <w:p w:rsidRPr="008A4619" w:rsidR="00625A53" w:rsidP="006825E6" w:rsidRDefault="00625A53" w14:paraId="635734E1" w14:textId="03767973">
            <w:pPr>
              <w:pStyle w:val="TableHeaderCenter"/>
              <w:spacing w:after="60"/>
              <w:jc w:val="left"/>
              <w:rPr>
                <w:rFonts w:asciiTheme="minorHAnsi" w:hAnsiTheme="minorHAnsi" w:cstheme="minorHAnsi"/>
                <w:sz w:val="18"/>
                <w:szCs w:val="18"/>
              </w:rPr>
            </w:pPr>
            <w:r w:rsidRPr="008A4619">
              <w:rPr>
                <w:rFonts w:asciiTheme="minorHAnsi" w:hAnsiTheme="minorHAnsi" w:cstheme="minorHAnsi"/>
                <w:sz w:val="18"/>
                <w:szCs w:val="18"/>
              </w:rPr>
              <w:t>Research questions</w:t>
            </w:r>
            <w:r>
              <w:rPr>
                <w:rFonts w:asciiTheme="minorHAnsi" w:hAnsiTheme="minorHAnsi" w:cstheme="minorHAnsi"/>
                <w:sz w:val="18"/>
                <w:szCs w:val="18"/>
              </w:rPr>
              <w:t xml:space="preserve"> and constructs</w:t>
            </w:r>
          </w:p>
        </w:tc>
        <w:tc>
          <w:tcPr>
            <w:tcW w:w="1253" w:type="dxa"/>
            <w:shd w:val="clear" w:color="auto" w:fill="046B5C"/>
            <w:vAlign w:val="bottom"/>
            <w:hideMark/>
          </w:tcPr>
          <w:p w:rsidRPr="008A4619" w:rsidR="00625A53" w:rsidP="006825E6" w:rsidRDefault="00625A53" w14:paraId="12837406" w14:textId="77777777">
            <w:pPr>
              <w:pStyle w:val="TableHeaderCenter"/>
              <w:spacing w:after="60"/>
              <w:rPr>
                <w:rFonts w:asciiTheme="minorHAnsi" w:hAnsiTheme="minorHAnsi" w:cstheme="minorHAnsi"/>
                <w:sz w:val="18"/>
                <w:szCs w:val="18"/>
              </w:rPr>
            </w:pPr>
            <w:r w:rsidRPr="008A4619">
              <w:rPr>
                <w:rFonts w:asciiTheme="minorHAnsi" w:hAnsiTheme="minorHAnsi" w:cstheme="minorHAnsi"/>
                <w:sz w:val="18"/>
                <w:szCs w:val="18"/>
              </w:rPr>
              <w:t xml:space="preserve">EHS program director </w:t>
            </w:r>
            <w:proofErr w:type="spellStart"/>
            <w:r w:rsidRPr="008A4619">
              <w:rPr>
                <w:rFonts w:asciiTheme="minorHAnsi" w:hAnsiTheme="minorHAnsi" w:cstheme="minorHAnsi"/>
                <w:sz w:val="18"/>
                <w:szCs w:val="18"/>
              </w:rPr>
              <w:t>survey</w:t>
            </w:r>
            <w:r w:rsidRPr="008A4619">
              <w:rPr>
                <w:rFonts w:asciiTheme="minorHAnsi" w:hAnsiTheme="minorHAnsi" w:cstheme="minorHAnsi"/>
                <w:sz w:val="18"/>
                <w:szCs w:val="18"/>
                <w:vertAlign w:val="superscript"/>
              </w:rPr>
              <w:t>a</w:t>
            </w:r>
            <w:proofErr w:type="spellEnd"/>
          </w:p>
        </w:tc>
        <w:tc>
          <w:tcPr>
            <w:tcW w:w="1700" w:type="dxa"/>
            <w:shd w:val="clear" w:color="auto" w:fill="046B5C"/>
            <w:vAlign w:val="bottom"/>
          </w:tcPr>
          <w:p w:rsidRPr="008A4619" w:rsidR="00625A53" w:rsidP="006825E6" w:rsidRDefault="00625A53" w14:paraId="5806D794" w14:textId="0F9D050C">
            <w:pPr>
              <w:pStyle w:val="TableHeaderCenter"/>
              <w:spacing w:after="60"/>
              <w:rPr>
                <w:rFonts w:asciiTheme="minorHAnsi" w:hAnsiTheme="minorHAnsi" w:cstheme="minorHAnsi"/>
                <w:sz w:val="18"/>
                <w:szCs w:val="18"/>
              </w:rPr>
            </w:pPr>
            <w:r w:rsidRPr="008A4619">
              <w:rPr>
                <w:rFonts w:asciiTheme="minorHAnsi" w:hAnsiTheme="minorHAnsi" w:cstheme="minorHAnsi"/>
                <w:sz w:val="18"/>
                <w:szCs w:val="18"/>
              </w:rPr>
              <w:t xml:space="preserve">Survey of </w:t>
            </w:r>
            <w:r w:rsidR="006F4B60">
              <w:rPr>
                <w:rFonts w:asciiTheme="minorHAnsi" w:hAnsiTheme="minorHAnsi" w:cstheme="minorHAnsi"/>
                <w:sz w:val="18"/>
                <w:szCs w:val="18"/>
              </w:rPr>
              <w:t>sustained partnership</w:t>
            </w:r>
            <w:r w:rsidR="00C43D08">
              <w:rPr>
                <w:rFonts w:asciiTheme="minorHAnsi" w:hAnsiTheme="minorHAnsi" w:cstheme="minorHAnsi"/>
                <w:sz w:val="18"/>
                <w:szCs w:val="18"/>
              </w:rPr>
              <w:t xml:space="preserve"> </w:t>
            </w:r>
            <w:r w:rsidRPr="008A4619">
              <w:rPr>
                <w:rFonts w:asciiTheme="minorHAnsi" w:hAnsiTheme="minorHAnsi" w:cstheme="minorHAnsi"/>
                <w:sz w:val="18"/>
                <w:szCs w:val="18"/>
              </w:rPr>
              <w:t xml:space="preserve">providers </w:t>
            </w:r>
            <w:r w:rsidRPr="008A4619">
              <w:rPr>
                <w:rFonts w:asciiTheme="minorHAnsi" w:hAnsiTheme="minorHAnsi" w:cstheme="minorHAnsi"/>
                <w:sz w:val="18"/>
                <w:szCs w:val="18"/>
                <w:vertAlign w:val="superscript"/>
              </w:rPr>
              <w:t>a</w:t>
            </w:r>
          </w:p>
        </w:tc>
        <w:tc>
          <w:tcPr>
            <w:tcW w:w="1798" w:type="dxa"/>
            <w:shd w:val="clear" w:color="auto" w:fill="046B5C"/>
            <w:vAlign w:val="bottom"/>
          </w:tcPr>
          <w:p w:rsidRPr="008A4619" w:rsidR="00625A53" w:rsidP="006825E6" w:rsidRDefault="00625A53" w14:paraId="19893AF6" w14:textId="336E0B47">
            <w:pPr>
              <w:pStyle w:val="TableHeaderCenter"/>
              <w:spacing w:after="60"/>
              <w:rPr>
                <w:rFonts w:asciiTheme="minorHAnsi" w:hAnsiTheme="minorHAnsi" w:cstheme="minorHAnsi"/>
                <w:sz w:val="18"/>
                <w:szCs w:val="18"/>
              </w:rPr>
            </w:pPr>
            <w:r w:rsidRPr="008A4619">
              <w:rPr>
                <w:rFonts w:asciiTheme="minorHAnsi" w:hAnsiTheme="minorHAnsi" w:cstheme="minorHAnsi"/>
                <w:sz w:val="18"/>
                <w:szCs w:val="18"/>
              </w:rPr>
              <w:t xml:space="preserve">Survey of </w:t>
            </w:r>
            <w:r w:rsidR="00816F60">
              <w:rPr>
                <w:rFonts w:asciiTheme="minorHAnsi" w:hAnsiTheme="minorHAnsi" w:cstheme="minorHAnsi"/>
                <w:sz w:val="18"/>
                <w:szCs w:val="18"/>
              </w:rPr>
              <w:t>dissolved partnership</w:t>
            </w:r>
            <w:r w:rsidR="008835A5">
              <w:rPr>
                <w:rFonts w:asciiTheme="minorHAnsi" w:hAnsiTheme="minorHAnsi" w:cstheme="minorHAnsi"/>
                <w:sz w:val="18"/>
                <w:szCs w:val="18"/>
              </w:rPr>
              <w:t xml:space="preserve"> </w:t>
            </w:r>
            <w:r w:rsidRPr="008A4619">
              <w:rPr>
                <w:rFonts w:asciiTheme="minorHAnsi" w:hAnsiTheme="minorHAnsi" w:cstheme="minorHAnsi"/>
                <w:sz w:val="18"/>
                <w:szCs w:val="18"/>
              </w:rPr>
              <w:t xml:space="preserve">providers </w:t>
            </w:r>
            <w:r w:rsidRPr="008A4619">
              <w:rPr>
                <w:rFonts w:asciiTheme="minorHAnsi" w:hAnsiTheme="minorHAnsi" w:cstheme="minorHAnsi"/>
                <w:sz w:val="18"/>
                <w:szCs w:val="18"/>
                <w:vertAlign w:val="superscript"/>
              </w:rPr>
              <w:t>a</w:t>
            </w:r>
          </w:p>
        </w:tc>
        <w:tc>
          <w:tcPr>
            <w:tcW w:w="1877" w:type="dxa"/>
            <w:shd w:val="clear" w:color="auto" w:fill="046B5C"/>
            <w:vAlign w:val="bottom"/>
          </w:tcPr>
          <w:p w:rsidRPr="008A4619" w:rsidR="00625A53" w:rsidP="006825E6" w:rsidRDefault="00625A53" w14:paraId="40A79BF3" w14:textId="5FA4818E">
            <w:pPr>
              <w:pStyle w:val="TableHeaderCenter"/>
              <w:spacing w:after="60"/>
              <w:rPr>
                <w:rFonts w:asciiTheme="minorHAnsi" w:hAnsiTheme="minorHAnsi" w:cstheme="minorHAnsi"/>
                <w:sz w:val="18"/>
                <w:szCs w:val="18"/>
              </w:rPr>
            </w:pPr>
            <w:r w:rsidRPr="008A4619">
              <w:rPr>
                <w:rFonts w:asciiTheme="minorHAnsi" w:hAnsiTheme="minorHAnsi" w:cstheme="minorHAnsi"/>
                <w:sz w:val="18"/>
                <w:szCs w:val="18"/>
              </w:rPr>
              <w:t xml:space="preserve">Semi-structured interviews with </w:t>
            </w:r>
            <w:r w:rsidR="00816F60">
              <w:rPr>
                <w:rFonts w:asciiTheme="minorHAnsi" w:hAnsiTheme="minorHAnsi" w:cstheme="minorHAnsi"/>
                <w:sz w:val="18"/>
                <w:szCs w:val="18"/>
              </w:rPr>
              <w:t>dissolved</w:t>
            </w:r>
            <w:r w:rsidRPr="008A4619">
              <w:rPr>
                <w:rFonts w:asciiTheme="minorHAnsi" w:hAnsiTheme="minorHAnsi" w:cstheme="minorHAnsi"/>
                <w:sz w:val="18"/>
                <w:szCs w:val="18"/>
              </w:rPr>
              <w:t xml:space="preserve"> partnership</w:t>
            </w:r>
            <w:r w:rsidR="00816F60">
              <w:rPr>
                <w:rFonts w:asciiTheme="minorHAnsi" w:hAnsiTheme="minorHAnsi" w:cstheme="minorHAnsi"/>
                <w:sz w:val="18"/>
                <w:szCs w:val="18"/>
              </w:rPr>
              <w:t xml:space="preserve"> </w:t>
            </w:r>
            <w:proofErr w:type="spellStart"/>
            <w:r w:rsidR="00816F60">
              <w:rPr>
                <w:rFonts w:asciiTheme="minorHAnsi" w:hAnsiTheme="minorHAnsi" w:cstheme="minorHAnsi"/>
                <w:sz w:val="18"/>
                <w:szCs w:val="18"/>
              </w:rPr>
              <w:t>providers</w:t>
            </w:r>
            <w:r w:rsidRPr="008A4619">
              <w:rPr>
                <w:rFonts w:asciiTheme="minorHAnsi" w:hAnsiTheme="minorHAnsi" w:cstheme="minorHAnsi"/>
                <w:sz w:val="18"/>
                <w:szCs w:val="18"/>
                <w:vertAlign w:val="superscript"/>
              </w:rPr>
              <w:t>a</w:t>
            </w:r>
            <w:proofErr w:type="spellEnd"/>
          </w:p>
        </w:tc>
        <w:tc>
          <w:tcPr>
            <w:tcW w:w="1877" w:type="dxa"/>
            <w:shd w:val="clear" w:color="auto" w:fill="046B5C"/>
          </w:tcPr>
          <w:p w:rsidRPr="008A4619" w:rsidR="00625A53" w:rsidP="006825E6" w:rsidRDefault="00625A53" w14:paraId="79169609" w14:textId="450B08B1">
            <w:pPr>
              <w:pStyle w:val="TableHeaderCenter"/>
              <w:spacing w:after="60"/>
              <w:rPr>
                <w:rFonts w:asciiTheme="minorHAnsi" w:hAnsiTheme="minorHAnsi" w:cstheme="minorHAnsi"/>
                <w:sz w:val="18"/>
                <w:szCs w:val="18"/>
              </w:rPr>
            </w:pPr>
            <w:r w:rsidRPr="008A4619">
              <w:rPr>
                <w:rFonts w:asciiTheme="minorHAnsi" w:hAnsiTheme="minorHAnsi" w:cstheme="minorHAnsi"/>
                <w:sz w:val="18"/>
                <w:szCs w:val="18"/>
              </w:rPr>
              <w:t xml:space="preserve">Semi-structured interviews with </w:t>
            </w:r>
            <w:r w:rsidR="006F4B60">
              <w:rPr>
                <w:rFonts w:asciiTheme="minorHAnsi" w:hAnsiTheme="minorHAnsi" w:cstheme="minorHAnsi"/>
                <w:sz w:val="18"/>
                <w:szCs w:val="18"/>
              </w:rPr>
              <w:t xml:space="preserve">sustained partnership </w:t>
            </w:r>
            <w:r w:rsidRPr="008A4619">
              <w:rPr>
                <w:rFonts w:asciiTheme="minorHAnsi" w:hAnsiTheme="minorHAnsi" w:cstheme="minorHAnsi"/>
                <w:sz w:val="18"/>
                <w:szCs w:val="18"/>
              </w:rPr>
              <w:t>providers</w:t>
            </w:r>
          </w:p>
        </w:tc>
      </w:tr>
      <w:tr w:rsidRPr="008A4619" w:rsidR="00133EA5" w:rsidTr="00133EA5" w14:paraId="2E7EE63B" w14:textId="77777777">
        <w:trPr>
          <w:cantSplit/>
        </w:trPr>
        <w:tc>
          <w:tcPr>
            <w:tcW w:w="4725" w:type="dxa"/>
            <w:shd w:val="clear" w:color="auto" w:fill="D9D9D9" w:themeFill="background1" w:themeFillShade="D9"/>
          </w:tcPr>
          <w:p w:rsidRPr="00D53F11" w:rsidR="00133EA5" w:rsidP="006825E6" w:rsidRDefault="00133EA5" w14:paraId="793ABDC6" w14:textId="22EAEFC8">
            <w:pPr>
              <w:pStyle w:val="TableTextLeft"/>
              <w:rPr>
                <w:rFonts w:asciiTheme="minorHAnsi" w:hAnsiTheme="minorHAnsi" w:cstheme="minorHAnsi"/>
                <w:b/>
                <w:bCs/>
                <w:sz w:val="18"/>
                <w:szCs w:val="18"/>
              </w:rPr>
            </w:pPr>
            <w:r w:rsidRPr="00D53F11">
              <w:rPr>
                <w:rFonts w:asciiTheme="minorHAnsi" w:hAnsiTheme="minorHAnsi" w:cstheme="minorHAnsi"/>
                <w:b/>
                <w:bCs/>
                <w:sz w:val="18"/>
                <w:szCs w:val="18"/>
              </w:rPr>
              <w:t>1. Are partnerships sustained? How and why do partnerships change over time?</w:t>
            </w:r>
          </w:p>
        </w:tc>
        <w:tc>
          <w:tcPr>
            <w:tcW w:w="1253" w:type="dxa"/>
            <w:shd w:val="clear" w:color="auto" w:fill="D9D9D9" w:themeFill="background1" w:themeFillShade="D9"/>
          </w:tcPr>
          <w:p w:rsidRPr="008A4619" w:rsidR="00133EA5" w:rsidP="006825E6" w:rsidRDefault="00133EA5" w14:paraId="5D8F573A" w14:textId="77777777">
            <w:pPr>
              <w:pStyle w:val="TableTextLeft"/>
              <w:jc w:val="center"/>
              <w:rPr>
                <w:rFonts w:asciiTheme="minorHAnsi" w:hAnsiTheme="minorHAnsi" w:cstheme="minorHAnsi"/>
                <w:sz w:val="24"/>
                <w:szCs w:val="24"/>
              </w:rPr>
            </w:pPr>
          </w:p>
        </w:tc>
        <w:tc>
          <w:tcPr>
            <w:tcW w:w="1700" w:type="dxa"/>
            <w:shd w:val="clear" w:color="auto" w:fill="D9D9D9" w:themeFill="background1" w:themeFillShade="D9"/>
          </w:tcPr>
          <w:p w:rsidRPr="008A4619" w:rsidR="00133EA5" w:rsidP="006825E6" w:rsidRDefault="00133EA5" w14:paraId="5F12477A" w14:textId="77777777">
            <w:pPr>
              <w:pStyle w:val="TableTextLeft"/>
              <w:jc w:val="center"/>
              <w:rPr>
                <w:rFonts w:asciiTheme="minorHAnsi" w:hAnsiTheme="minorHAnsi" w:cstheme="minorHAnsi"/>
                <w:sz w:val="24"/>
                <w:szCs w:val="24"/>
              </w:rPr>
            </w:pPr>
          </w:p>
        </w:tc>
        <w:tc>
          <w:tcPr>
            <w:tcW w:w="1798" w:type="dxa"/>
            <w:shd w:val="clear" w:color="auto" w:fill="D9D9D9" w:themeFill="background1" w:themeFillShade="D9"/>
          </w:tcPr>
          <w:p w:rsidRPr="008A4619" w:rsidR="00133EA5" w:rsidP="006825E6" w:rsidRDefault="00133EA5" w14:paraId="5B4CF361" w14:textId="77777777">
            <w:pPr>
              <w:pStyle w:val="TableTextLeft"/>
              <w:jc w:val="center"/>
              <w:rPr>
                <w:rFonts w:asciiTheme="minorHAnsi" w:hAnsiTheme="minorHAnsi" w:cstheme="minorHAnsi"/>
                <w:sz w:val="24"/>
                <w:szCs w:val="24"/>
              </w:rPr>
            </w:pPr>
          </w:p>
        </w:tc>
        <w:tc>
          <w:tcPr>
            <w:tcW w:w="1877" w:type="dxa"/>
            <w:shd w:val="clear" w:color="auto" w:fill="D9D9D9" w:themeFill="background1" w:themeFillShade="D9"/>
          </w:tcPr>
          <w:p w:rsidRPr="008A4619" w:rsidR="00133EA5" w:rsidP="006825E6" w:rsidRDefault="00133EA5" w14:paraId="3221A4D5" w14:textId="77777777">
            <w:pPr>
              <w:pStyle w:val="TableTextLeft"/>
              <w:jc w:val="center"/>
              <w:rPr>
                <w:rFonts w:asciiTheme="minorHAnsi" w:hAnsiTheme="minorHAnsi" w:cstheme="minorHAnsi"/>
                <w:sz w:val="24"/>
                <w:szCs w:val="24"/>
              </w:rPr>
            </w:pPr>
          </w:p>
        </w:tc>
        <w:tc>
          <w:tcPr>
            <w:tcW w:w="1877" w:type="dxa"/>
            <w:shd w:val="clear" w:color="auto" w:fill="D9D9D9" w:themeFill="background1" w:themeFillShade="D9"/>
          </w:tcPr>
          <w:p w:rsidRPr="008A4619" w:rsidR="00133EA5" w:rsidP="006825E6" w:rsidRDefault="00133EA5" w14:paraId="4FBD5BFD" w14:textId="77777777">
            <w:pPr>
              <w:pStyle w:val="TableTextLeft"/>
              <w:jc w:val="center"/>
              <w:rPr>
                <w:rFonts w:asciiTheme="minorHAnsi" w:hAnsiTheme="minorHAnsi" w:cstheme="minorHAnsi"/>
                <w:b/>
                <w:sz w:val="18"/>
                <w:szCs w:val="18"/>
              </w:rPr>
            </w:pPr>
          </w:p>
        </w:tc>
      </w:tr>
      <w:tr w:rsidRPr="008A4619" w:rsidR="006F4B60" w:rsidTr="00133EA5" w14:paraId="667BAFB3" w14:textId="77777777">
        <w:trPr>
          <w:cantSplit/>
        </w:trPr>
        <w:tc>
          <w:tcPr>
            <w:tcW w:w="4725" w:type="dxa"/>
          </w:tcPr>
          <w:p w:rsidRPr="00D53F11" w:rsidR="00625A53" w:rsidP="006825E6" w:rsidRDefault="00625A53" w14:paraId="00737C84" w14:textId="05497FC4">
            <w:pPr>
              <w:pStyle w:val="TableTextLeft"/>
              <w:rPr>
                <w:rFonts w:asciiTheme="minorHAnsi" w:hAnsiTheme="minorHAnsi" w:cstheme="minorHAnsi"/>
                <w:bCs/>
                <w:sz w:val="18"/>
                <w:szCs w:val="18"/>
              </w:rPr>
            </w:pPr>
            <w:r w:rsidRPr="00D53F11">
              <w:rPr>
                <w:rFonts w:asciiTheme="minorHAnsi" w:hAnsiTheme="minorHAnsi" w:cstheme="minorHAnsi"/>
                <w:bCs/>
                <w:sz w:val="18"/>
                <w:szCs w:val="18"/>
              </w:rPr>
              <w:t>Update on EHS programs’ service offerings (primarily focusing on partnership offerings)</w:t>
            </w:r>
          </w:p>
        </w:tc>
        <w:tc>
          <w:tcPr>
            <w:tcW w:w="1253" w:type="dxa"/>
          </w:tcPr>
          <w:p w:rsidRPr="008A4619" w:rsidR="00625A53" w:rsidP="006825E6" w:rsidRDefault="00625A53" w14:paraId="6850650C" w14:textId="3B0F1595">
            <w:pPr>
              <w:pStyle w:val="TableTextLeft"/>
              <w:jc w:val="center"/>
              <w:rPr>
                <w:rFonts w:asciiTheme="minorHAnsi" w:hAnsiTheme="minorHAnsi" w:cstheme="minorHAnsi"/>
                <w:sz w:val="24"/>
                <w:szCs w:val="24"/>
              </w:rPr>
            </w:pPr>
            <w:r w:rsidRPr="008A4619">
              <w:rPr>
                <w:rFonts w:asciiTheme="minorHAnsi" w:hAnsiTheme="minorHAnsi" w:cstheme="minorHAnsi"/>
                <w:sz w:val="24"/>
                <w:szCs w:val="24"/>
              </w:rPr>
              <w:sym w:font="Wingdings" w:char="F0FC"/>
            </w:r>
          </w:p>
        </w:tc>
        <w:tc>
          <w:tcPr>
            <w:tcW w:w="1700" w:type="dxa"/>
          </w:tcPr>
          <w:p w:rsidRPr="008A4619" w:rsidR="00625A53" w:rsidP="006825E6" w:rsidRDefault="00625A53" w14:paraId="6F416E33" w14:textId="4CBBD230">
            <w:pPr>
              <w:pStyle w:val="TableTextLeft"/>
              <w:jc w:val="center"/>
              <w:rPr>
                <w:rFonts w:asciiTheme="minorHAnsi" w:hAnsiTheme="minorHAnsi" w:cstheme="minorHAnsi"/>
                <w:sz w:val="24"/>
                <w:szCs w:val="24"/>
              </w:rPr>
            </w:pPr>
            <w:r w:rsidRPr="008A4619">
              <w:rPr>
                <w:rFonts w:asciiTheme="minorHAnsi" w:hAnsiTheme="minorHAnsi" w:cstheme="minorHAnsi"/>
                <w:sz w:val="24"/>
                <w:szCs w:val="24"/>
              </w:rPr>
              <w:sym w:font="Wingdings" w:char="F0FC"/>
            </w:r>
          </w:p>
        </w:tc>
        <w:tc>
          <w:tcPr>
            <w:tcW w:w="1798" w:type="dxa"/>
          </w:tcPr>
          <w:p w:rsidRPr="008A4619" w:rsidR="00625A53" w:rsidP="006825E6" w:rsidRDefault="00625A53" w14:paraId="3C2D897F" w14:textId="77777777">
            <w:pPr>
              <w:pStyle w:val="TableTextLeft"/>
              <w:jc w:val="center"/>
              <w:rPr>
                <w:rFonts w:asciiTheme="minorHAnsi" w:hAnsiTheme="minorHAnsi" w:cstheme="minorHAnsi"/>
                <w:sz w:val="24"/>
                <w:szCs w:val="24"/>
              </w:rPr>
            </w:pPr>
          </w:p>
        </w:tc>
        <w:tc>
          <w:tcPr>
            <w:tcW w:w="1877" w:type="dxa"/>
          </w:tcPr>
          <w:p w:rsidRPr="008A4619" w:rsidR="00625A53" w:rsidP="006825E6" w:rsidRDefault="00625A53" w14:paraId="3A00A76D" w14:textId="77777777">
            <w:pPr>
              <w:pStyle w:val="TableTextLeft"/>
              <w:jc w:val="center"/>
              <w:rPr>
                <w:rFonts w:asciiTheme="minorHAnsi" w:hAnsiTheme="minorHAnsi" w:cstheme="minorHAnsi"/>
                <w:sz w:val="24"/>
                <w:szCs w:val="24"/>
              </w:rPr>
            </w:pPr>
          </w:p>
        </w:tc>
        <w:tc>
          <w:tcPr>
            <w:tcW w:w="1877" w:type="dxa"/>
          </w:tcPr>
          <w:p w:rsidRPr="008A4619" w:rsidR="00625A53" w:rsidP="006825E6" w:rsidRDefault="00625A53" w14:paraId="4623D5B7" w14:textId="77777777">
            <w:pPr>
              <w:pStyle w:val="TableTextLeft"/>
              <w:jc w:val="center"/>
              <w:rPr>
                <w:rFonts w:asciiTheme="minorHAnsi" w:hAnsiTheme="minorHAnsi" w:cstheme="minorHAnsi"/>
                <w:b/>
                <w:sz w:val="18"/>
                <w:szCs w:val="18"/>
              </w:rPr>
            </w:pPr>
          </w:p>
        </w:tc>
      </w:tr>
      <w:tr w:rsidRPr="008A4619" w:rsidR="006F4B60" w:rsidTr="00133EA5" w14:paraId="2D99D4D5" w14:textId="77777777">
        <w:trPr>
          <w:cantSplit/>
        </w:trPr>
        <w:tc>
          <w:tcPr>
            <w:tcW w:w="4725" w:type="dxa"/>
            <w:shd w:val="clear" w:color="auto" w:fill="E0D4B5"/>
          </w:tcPr>
          <w:p w:rsidRPr="00D53F11" w:rsidR="00625A53" w:rsidP="00D53F11" w:rsidRDefault="00625A53" w14:paraId="6DDD1107" w14:textId="6C9D1C7A">
            <w:pPr>
              <w:pStyle w:val="TableTextLeft"/>
              <w:rPr>
                <w:rFonts w:asciiTheme="minorHAnsi" w:hAnsiTheme="minorHAnsi" w:cstheme="minorHAnsi"/>
                <w:bCs/>
                <w:sz w:val="18"/>
                <w:szCs w:val="18"/>
              </w:rPr>
            </w:pPr>
            <w:r w:rsidRPr="00D53F11">
              <w:rPr>
                <w:rFonts w:asciiTheme="minorHAnsi" w:hAnsiTheme="minorHAnsi" w:cstheme="minorHAnsi"/>
                <w:bCs/>
                <w:sz w:val="18"/>
                <w:szCs w:val="18"/>
              </w:rPr>
              <w:t>Experiences with partnerships</w:t>
            </w:r>
          </w:p>
        </w:tc>
        <w:tc>
          <w:tcPr>
            <w:tcW w:w="1253" w:type="dxa"/>
            <w:shd w:val="clear" w:color="auto" w:fill="E0D4B5"/>
          </w:tcPr>
          <w:p w:rsidRPr="008A4619" w:rsidR="00625A53" w:rsidP="00D53F11" w:rsidRDefault="00625A53" w14:paraId="5F893FF6" w14:textId="3CB79523">
            <w:pPr>
              <w:pStyle w:val="TableTextLeft"/>
              <w:jc w:val="center"/>
              <w:rPr>
                <w:rFonts w:asciiTheme="minorHAnsi" w:hAnsiTheme="minorHAnsi" w:cstheme="minorHAnsi"/>
                <w:b/>
                <w:sz w:val="24"/>
              </w:rPr>
            </w:pPr>
            <w:r w:rsidRPr="00F515A7">
              <w:rPr>
                <w:rFonts w:asciiTheme="minorHAnsi" w:hAnsiTheme="minorHAnsi" w:cstheme="minorHAnsi"/>
                <w:sz w:val="24"/>
                <w:szCs w:val="24"/>
              </w:rPr>
              <w:sym w:font="Wingdings" w:char="F0FC"/>
            </w:r>
          </w:p>
        </w:tc>
        <w:tc>
          <w:tcPr>
            <w:tcW w:w="1700" w:type="dxa"/>
            <w:shd w:val="clear" w:color="auto" w:fill="E0D4B5"/>
          </w:tcPr>
          <w:p w:rsidRPr="008A4619" w:rsidR="00625A53" w:rsidP="00D53F11" w:rsidRDefault="00625A53" w14:paraId="2F67B03D" w14:textId="7FFC932B">
            <w:pPr>
              <w:pStyle w:val="TableTextLeft"/>
              <w:jc w:val="center"/>
              <w:rPr>
                <w:rFonts w:asciiTheme="minorHAnsi" w:hAnsiTheme="minorHAnsi" w:cstheme="minorHAnsi"/>
                <w:sz w:val="24"/>
                <w:szCs w:val="24"/>
              </w:rPr>
            </w:pPr>
            <w:r w:rsidRPr="00F515A7">
              <w:rPr>
                <w:rFonts w:asciiTheme="minorHAnsi" w:hAnsiTheme="minorHAnsi" w:cstheme="minorHAnsi"/>
                <w:sz w:val="24"/>
                <w:szCs w:val="24"/>
              </w:rPr>
              <w:sym w:font="Wingdings" w:char="F0FC"/>
            </w:r>
          </w:p>
        </w:tc>
        <w:tc>
          <w:tcPr>
            <w:tcW w:w="1798" w:type="dxa"/>
            <w:shd w:val="clear" w:color="auto" w:fill="E0D4B5"/>
          </w:tcPr>
          <w:p w:rsidRPr="008A4619" w:rsidR="00625A53" w:rsidP="00D53F11" w:rsidRDefault="00625A53" w14:paraId="466E5D58" w14:textId="17A6DB86">
            <w:pPr>
              <w:pStyle w:val="TableTextLeft"/>
              <w:jc w:val="center"/>
              <w:rPr>
                <w:rFonts w:asciiTheme="minorHAnsi" w:hAnsiTheme="minorHAnsi" w:cstheme="minorHAnsi"/>
                <w:b/>
                <w:bCs/>
                <w:sz w:val="24"/>
                <w:szCs w:val="24"/>
              </w:rPr>
            </w:pPr>
            <w:r w:rsidRPr="00F515A7">
              <w:rPr>
                <w:rFonts w:asciiTheme="minorHAnsi" w:hAnsiTheme="minorHAnsi" w:cstheme="minorHAnsi"/>
                <w:sz w:val="24"/>
                <w:szCs w:val="24"/>
              </w:rPr>
              <w:sym w:font="Wingdings" w:char="F0FC"/>
            </w:r>
          </w:p>
        </w:tc>
        <w:tc>
          <w:tcPr>
            <w:tcW w:w="1877" w:type="dxa"/>
            <w:shd w:val="clear" w:color="auto" w:fill="E0D4B5"/>
          </w:tcPr>
          <w:p w:rsidRPr="008A4619" w:rsidR="00625A53" w:rsidP="00D53F11" w:rsidRDefault="00625A53" w14:paraId="12FFC240" w14:textId="7C3F5579">
            <w:pPr>
              <w:pStyle w:val="TableTextLeft"/>
              <w:jc w:val="center"/>
              <w:rPr>
                <w:rFonts w:asciiTheme="minorHAnsi" w:hAnsiTheme="minorHAnsi" w:cstheme="minorHAnsi"/>
                <w:sz w:val="24"/>
                <w:szCs w:val="24"/>
              </w:rPr>
            </w:pPr>
            <w:r w:rsidRPr="00F515A7">
              <w:rPr>
                <w:rFonts w:asciiTheme="minorHAnsi" w:hAnsiTheme="minorHAnsi" w:cstheme="minorHAnsi"/>
                <w:sz w:val="24"/>
                <w:szCs w:val="24"/>
              </w:rPr>
              <w:sym w:font="Wingdings" w:char="F0FC"/>
            </w:r>
          </w:p>
        </w:tc>
        <w:tc>
          <w:tcPr>
            <w:tcW w:w="1877" w:type="dxa"/>
            <w:shd w:val="clear" w:color="auto" w:fill="E0D4B5"/>
          </w:tcPr>
          <w:p w:rsidRPr="008A4619" w:rsidR="00625A53" w:rsidP="00D53F11" w:rsidRDefault="00625A53" w14:paraId="78CBDD73" w14:textId="4E989143">
            <w:pPr>
              <w:pStyle w:val="TableTextLeft"/>
              <w:jc w:val="center"/>
              <w:rPr>
                <w:rFonts w:asciiTheme="minorHAnsi" w:hAnsiTheme="minorHAnsi" w:cstheme="minorHAnsi"/>
                <w:b/>
                <w:sz w:val="18"/>
                <w:szCs w:val="18"/>
              </w:rPr>
            </w:pPr>
            <w:r w:rsidRPr="00F515A7">
              <w:rPr>
                <w:rFonts w:asciiTheme="minorHAnsi" w:hAnsiTheme="minorHAnsi" w:cstheme="minorHAnsi"/>
                <w:sz w:val="24"/>
                <w:szCs w:val="24"/>
              </w:rPr>
              <w:sym w:font="Wingdings" w:char="F0FC"/>
            </w:r>
          </w:p>
        </w:tc>
      </w:tr>
      <w:tr w:rsidRPr="008A4619" w:rsidR="006F4B60" w:rsidTr="00133EA5" w14:paraId="6F845BC2" w14:textId="77777777">
        <w:trPr>
          <w:cantSplit/>
        </w:trPr>
        <w:tc>
          <w:tcPr>
            <w:tcW w:w="4725" w:type="dxa"/>
          </w:tcPr>
          <w:p w:rsidRPr="008A4619" w:rsidR="00625A53" w:rsidP="006825E6" w:rsidRDefault="00625A53" w14:paraId="489191F5" w14:textId="1E1D325A">
            <w:pPr>
              <w:pStyle w:val="TableTextLeft"/>
              <w:rPr>
                <w:rFonts w:asciiTheme="minorHAnsi" w:hAnsiTheme="minorHAnsi" w:cstheme="minorHAnsi"/>
                <w:sz w:val="18"/>
                <w:szCs w:val="18"/>
              </w:rPr>
            </w:pPr>
            <w:r w:rsidRPr="00D53F11">
              <w:rPr>
                <w:rFonts w:asciiTheme="minorHAnsi" w:hAnsiTheme="minorHAnsi" w:cstheme="minorHAnsi"/>
                <w:bCs/>
                <w:sz w:val="18"/>
                <w:szCs w:val="18"/>
              </w:rPr>
              <w:t>Update on child care partners from 2016 (active [sustained or new], dissolve</w:t>
            </w:r>
            <w:r>
              <w:rPr>
                <w:rFonts w:asciiTheme="minorHAnsi" w:hAnsiTheme="minorHAnsi" w:cstheme="minorHAnsi"/>
                <w:bCs/>
                <w:sz w:val="18"/>
                <w:szCs w:val="18"/>
              </w:rPr>
              <w:t>d)</w:t>
            </w:r>
          </w:p>
        </w:tc>
        <w:tc>
          <w:tcPr>
            <w:tcW w:w="1253" w:type="dxa"/>
          </w:tcPr>
          <w:p w:rsidRPr="008A4619" w:rsidR="00625A53" w:rsidP="006825E6" w:rsidRDefault="00625A53" w14:paraId="77EF2442" w14:textId="58F194A3">
            <w:pPr>
              <w:pStyle w:val="TableTextLeft"/>
              <w:jc w:val="center"/>
              <w:rPr>
                <w:rFonts w:asciiTheme="minorHAnsi" w:hAnsiTheme="minorHAnsi" w:cstheme="minorHAnsi"/>
                <w:sz w:val="24"/>
                <w:szCs w:val="24"/>
              </w:rPr>
            </w:pPr>
            <w:r w:rsidRPr="008A4619">
              <w:rPr>
                <w:rFonts w:asciiTheme="minorHAnsi" w:hAnsiTheme="minorHAnsi" w:cstheme="minorHAnsi"/>
                <w:sz w:val="24"/>
                <w:szCs w:val="24"/>
              </w:rPr>
              <w:sym w:font="Wingdings" w:char="F0FC"/>
            </w:r>
          </w:p>
        </w:tc>
        <w:tc>
          <w:tcPr>
            <w:tcW w:w="1700" w:type="dxa"/>
          </w:tcPr>
          <w:p w:rsidRPr="008A4619" w:rsidR="00625A53" w:rsidP="006825E6" w:rsidRDefault="00625A53" w14:paraId="2C4F00DF" w14:textId="77777777">
            <w:pPr>
              <w:pStyle w:val="TableTextLeft"/>
              <w:jc w:val="center"/>
              <w:rPr>
                <w:rFonts w:asciiTheme="minorHAnsi" w:hAnsiTheme="minorHAnsi" w:cstheme="minorHAnsi"/>
                <w:sz w:val="24"/>
                <w:szCs w:val="24"/>
              </w:rPr>
            </w:pPr>
          </w:p>
        </w:tc>
        <w:tc>
          <w:tcPr>
            <w:tcW w:w="1798" w:type="dxa"/>
          </w:tcPr>
          <w:p w:rsidRPr="008A4619" w:rsidR="00625A53" w:rsidP="006825E6" w:rsidRDefault="00625A53" w14:paraId="6DE13F74" w14:textId="77777777">
            <w:pPr>
              <w:pStyle w:val="TableTextLeft"/>
              <w:jc w:val="center"/>
              <w:rPr>
                <w:rFonts w:asciiTheme="minorHAnsi" w:hAnsiTheme="minorHAnsi" w:cstheme="minorHAnsi"/>
                <w:sz w:val="24"/>
                <w:szCs w:val="24"/>
              </w:rPr>
            </w:pPr>
          </w:p>
        </w:tc>
        <w:tc>
          <w:tcPr>
            <w:tcW w:w="1877" w:type="dxa"/>
          </w:tcPr>
          <w:p w:rsidRPr="008A4619" w:rsidR="00625A53" w:rsidP="006825E6" w:rsidRDefault="00625A53" w14:paraId="754C3A2D" w14:textId="77777777">
            <w:pPr>
              <w:pStyle w:val="TableTextLeft"/>
              <w:jc w:val="center"/>
              <w:rPr>
                <w:rFonts w:asciiTheme="minorHAnsi" w:hAnsiTheme="minorHAnsi" w:cstheme="minorHAnsi"/>
                <w:sz w:val="24"/>
                <w:szCs w:val="24"/>
              </w:rPr>
            </w:pPr>
          </w:p>
        </w:tc>
        <w:tc>
          <w:tcPr>
            <w:tcW w:w="1877" w:type="dxa"/>
          </w:tcPr>
          <w:p w:rsidRPr="008A4619" w:rsidR="00625A53" w:rsidP="006825E6" w:rsidRDefault="00625A53" w14:paraId="0860C610" w14:textId="77777777">
            <w:pPr>
              <w:pStyle w:val="TableTextLeft"/>
              <w:jc w:val="center"/>
              <w:rPr>
                <w:rFonts w:asciiTheme="minorHAnsi" w:hAnsiTheme="minorHAnsi" w:cstheme="minorHAnsi"/>
                <w:b/>
                <w:sz w:val="18"/>
                <w:szCs w:val="18"/>
              </w:rPr>
            </w:pPr>
          </w:p>
        </w:tc>
      </w:tr>
      <w:tr w:rsidRPr="008A4619" w:rsidR="006F4B60" w:rsidTr="00133EA5" w14:paraId="6A7C3CAB" w14:textId="77777777">
        <w:trPr>
          <w:cantSplit/>
        </w:trPr>
        <w:tc>
          <w:tcPr>
            <w:tcW w:w="4725" w:type="dxa"/>
            <w:shd w:val="clear" w:color="auto" w:fill="E0D4B5"/>
          </w:tcPr>
          <w:p w:rsidRPr="00D53F11" w:rsidR="00625A53" w:rsidP="006825E6" w:rsidRDefault="00625A53" w14:paraId="1BD10EFC" w14:textId="24CFAAA3">
            <w:pPr>
              <w:pStyle w:val="TableTextLeft"/>
              <w:rPr>
                <w:rFonts w:asciiTheme="minorHAnsi" w:hAnsiTheme="minorHAnsi" w:cstheme="minorHAnsi"/>
                <w:bCs/>
                <w:sz w:val="18"/>
                <w:szCs w:val="18"/>
              </w:rPr>
            </w:pPr>
            <w:r w:rsidRPr="00D53F11">
              <w:rPr>
                <w:rFonts w:asciiTheme="minorHAnsi" w:hAnsiTheme="minorHAnsi" w:cstheme="minorHAnsi"/>
                <w:bCs/>
                <w:sz w:val="18"/>
                <w:szCs w:val="18"/>
              </w:rPr>
              <w:t>Factors that helped sustain partnerships</w:t>
            </w:r>
          </w:p>
        </w:tc>
        <w:tc>
          <w:tcPr>
            <w:tcW w:w="1253" w:type="dxa"/>
            <w:shd w:val="clear" w:color="auto" w:fill="E0D4B5"/>
          </w:tcPr>
          <w:p w:rsidRPr="008A4619" w:rsidR="00625A53" w:rsidP="006825E6" w:rsidRDefault="00625A53" w14:paraId="1C9D98CD" w14:textId="0CA15893">
            <w:pPr>
              <w:pStyle w:val="TableTextLeft"/>
              <w:jc w:val="center"/>
              <w:rPr>
                <w:rFonts w:asciiTheme="minorHAnsi" w:hAnsiTheme="minorHAnsi" w:cstheme="minorHAnsi"/>
                <w:sz w:val="24"/>
                <w:szCs w:val="24"/>
              </w:rPr>
            </w:pPr>
            <w:r w:rsidRPr="008A4619">
              <w:rPr>
                <w:rFonts w:asciiTheme="minorHAnsi" w:hAnsiTheme="minorHAnsi" w:cstheme="minorHAnsi"/>
                <w:sz w:val="24"/>
                <w:szCs w:val="24"/>
              </w:rPr>
              <w:sym w:font="Wingdings" w:char="F0FC"/>
            </w:r>
          </w:p>
        </w:tc>
        <w:tc>
          <w:tcPr>
            <w:tcW w:w="1700" w:type="dxa"/>
            <w:shd w:val="clear" w:color="auto" w:fill="E0D4B5"/>
          </w:tcPr>
          <w:p w:rsidRPr="008A4619" w:rsidR="00625A53" w:rsidP="006825E6" w:rsidRDefault="00625A53" w14:paraId="64FBA43F" w14:textId="44B5C708">
            <w:pPr>
              <w:pStyle w:val="TableTextLeft"/>
              <w:jc w:val="center"/>
              <w:rPr>
                <w:rFonts w:asciiTheme="minorHAnsi" w:hAnsiTheme="minorHAnsi" w:cstheme="minorHAnsi"/>
                <w:sz w:val="24"/>
                <w:szCs w:val="24"/>
              </w:rPr>
            </w:pPr>
            <w:r w:rsidRPr="008A4619">
              <w:rPr>
                <w:rFonts w:asciiTheme="minorHAnsi" w:hAnsiTheme="minorHAnsi" w:cstheme="minorHAnsi"/>
                <w:sz w:val="24"/>
                <w:szCs w:val="24"/>
              </w:rPr>
              <w:sym w:font="Wingdings" w:char="F0FC"/>
            </w:r>
          </w:p>
        </w:tc>
        <w:tc>
          <w:tcPr>
            <w:tcW w:w="1798" w:type="dxa"/>
            <w:shd w:val="clear" w:color="auto" w:fill="E0D4B5"/>
          </w:tcPr>
          <w:p w:rsidRPr="008A4619" w:rsidR="00625A53" w:rsidP="006825E6" w:rsidRDefault="00625A53" w14:paraId="24D8F26F" w14:textId="77777777">
            <w:pPr>
              <w:pStyle w:val="TableTextLeft"/>
              <w:jc w:val="center"/>
              <w:rPr>
                <w:rFonts w:asciiTheme="minorHAnsi" w:hAnsiTheme="minorHAnsi" w:cstheme="minorHAnsi"/>
                <w:sz w:val="24"/>
                <w:szCs w:val="24"/>
              </w:rPr>
            </w:pPr>
          </w:p>
        </w:tc>
        <w:tc>
          <w:tcPr>
            <w:tcW w:w="1877" w:type="dxa"/>
            <w:shd w:val="clear" w:color="auto" w:fill="E0D4B5"/>
          </w:tcPr>
          <w:p w:rsidRPr="008A4619" w:rsidR="00625A53" w:rsidP="006825E6" w:rsidRDefault="00625A53" w14:paraId="31D9553B" w14:textId="77777777">
            <w:pPr>
              <w:pStyle w:val="TableTextLeft"/>
              <w:jc w:val="center"/>
              <w:rPr>
                <w:rFonts w:asciiTheme="minorHAnsi" w:hAnsiTheme="minorHAnsi" w:cstheme="minorHAnsi"/>
                <w:sz w:val="24"/>
                <w:szCs w:val="24"/>
              </w:rPr>
            </w:pPr>
          </w:p>
        </w:tc>
        <w:tc>
          <w:tcPr>
            <w:tcW w:w="1877" w:type="dxa"/>
            <w:shd w:val="clear" w:color="auto" w:fill="E0D4B5"/>
          </w:tcPr>
          <w:p w:rsidRPr="008A4619" w:rsidR="00625A53" w:rsidP="006825E6" w:rsidRDefault="00625A53" w14:paraId="79A78827" w14:textId="0A283CEB">
            <w:pPr>
              <w:pStyle w:val="TableTextLeft"/>
              <w:jc w:val="center"/>
              <w:rPr>
                <w:rFonts w:asciiTheme="minorHAnsi" w:hAnsiTheme="minorHAnsi" w:cstheme="minorHAnsi"/>
                <w:sz w:val="24"/>
                <w:szCs w:val="24"/>
              </w:rPr>
            </w:pPr>
            <w:r w:rsidRPr="008A4619">
              <w:rPr>
                <w:rFonts w:asciiTheme="minorHAnsi" w:hAnsiTheme="minorHAnsi" w:cstheme="minorHAnsi"/>
                <w:sz w:val="24"/>
                <w:szCs w:val="24"/>
              </w:rPr>
              <w:sym w:font="Wingdings" w:char="F0FC"/>
            </w:r>
          </w:p>
        </w:tc>
      </w:tr>
      <w:tr w:rsidRPr="008A4619" w:rsidR="006F4B60" w:rsidTr="00133EA5" w14:paraId="39C86F37" w14:textId="77777777">
        <w:trPr>
          <w:cantSplit/>
        </w:trPr>
        <w:tc>
          <w:tcPr>
            <w:tcW w:w="4725" w:type="dxa"/>
          </w:tcPr>
          <w:p w:rsidRPr="00D53F11" w:rsidR="00625A53" w:rsidP="00D53F11" w:rsidRDefault="00625A53" w14:paraId="43F17438" w14:textId="02B7683F">
            <w:pPr>
              <w:pStyle w:val="TableTextLeft"/>
              <w:rPr>
                <w:rFonts w:asciiTheme="minorHAnsi" w:hAnsiTheme="minorHAnsi" w:cstheme="minorHAnsi"/>
                <w:sz w:val="18"/>
                <w:szCs w:val="18"/>
              </w:rPr>
            </w:pPr>
            <w:r w:rsidRPr="00D53F11">
              <w:rPr>
                <w:rFonts w:asciiTheme="minorHAnsi" w:hAnsiTheme="minorHAnsi" w:cstheme="minorHAnsi"/>
                <w:sz w:val="18"/>
                <w:szCs w:val="18"/>
              </w:rPr>
              <w:t>Reasons</w:t>
            </w:r>
            <w:r w:rsidRPr="00D53F11">
              <w:rPr>
                <w:rFonts w:asciiTheme="minorHAnsi" w:hAnsiTheme="minorHAnsi" w:cstheme="minorHAnsi"/>
                <w:sz w:val="18"/>
              </w:rPr>
              <w:t xml:space="preserve"> </w:t>
            </w:r>
            <w:r w:rsidR="005A5CD5">
              <w:rPr>
                <w:rFonts w:asciiTheme="minorHAnsi" w:hAnsiTheme="minorHAnsi" w:cstheme="minorHAnsi"/>
                <w:sz w:val="18"/>
              </w:rPr>
              <w:t xml:space="preserve">that </w:t>
            </w:r>
            <w:r w:rsidRPr="00D53F11">
              <w:rPr>
                <w:rFonts w:asciiTheme="minorHAnsi" w:hAnsiTheme="minorHAnsi" w:cstheme="minorHAnsi"/>
                <w:sz w:val="18"/>
              </w:rPr>
              <w:t>partnerships dissolved</w:t>
            </w:r>
          </w:p>
        </w:tc>
        <w:tc>
          <w:tcPr>
            <w:tcW w:w="1253" w:type="dxa"/>
          </w:tcPr>
          <w:p w:rsidRPr="008A4619" w:rsidR="00625A53" w:rsidP="00D53F11" w:rsidRDefault="00625A53" w14:paraId="428A7BFA" w14:textId="12FF0B9A">
            <w:pPr>
              <w:pStyle w:val="TableTextLeft"/>
              <w:jc w:val="center"/>
              <w:rPr>
                <w:rFonts w:asciiTheme="minorHAnsi" w:hAnsiTheme="minorHAnsi" w:cstheme="minorHAnsi"/>
                <w:sz w:val="24"/>
                <w:szCs w:val="24"/>
              </w:rPr>
            </w:pPr>
            <w:r w:rsidRPr="008A4619">
              <w:rPr>
                <w:rFonts w:asciiTheme="minorHAnsi" w:hAnsiTheme="minorHAnsi" w:cstheme="minorHAnsi"/>
                <w:sz w:val="24"/>
                <w:szCs w:val="24"/>
              </w:rPr>
              <w:sym w:font="Wingdings" w:char="F0FC"/>
            </w:r>
          </w:p>
        </w:tc>
        <w:tc>
          <w:tcPr>
            <w:tcW w:w="1700" w:type="dxa"/>
          </w:tcPr>
          <w:p w:rsidRPr="008A4619" w:rsidR="00625A53" w:rsidP="00D53F11" w:rsidRDefault="00625A53" w14:paraId="55C2F624" w14:textId="77777777">
            <w:pPr>
              <w:pStyle w:val="TableTextLeft"/>
              <w:jc w:val="center"/>
              <w:rPr>
                <w:rFonts w:asciiTheme="minorHAnsi" w:hAnsiTheme="minorHAnsi" w:cstheme="minorHAnsi"/>
                <w:sz w:val="24"/>
                <w:szCs w:val="24"/>
              </w:rPr>
            </w:pPr>
          </w:p>
        </w:tc>
        <w:tc>
          <w:tcPr>
            <w:tcW w:w="1798" w:type="dxa"/>
          </w:tcPr>
          <w:p w:rsidRPr="008A4619" w:rsidR="00625A53" w:rsidP="00D53F11" w:rsidRDefault="00625A53" w14:paraId="3369B87E" w14:textId="4A6154CD">
            <w:pPr>
              <w:pStyle w:val="TableTextLeft"/>
              <w:jc w:val="center"/>
              <w:rPr>
                <w:rFonts w:asciiTheme="minorHAnsi" w:hAnsiTheme="minorHAnsi" w:cstheme="minorHAnsi"/>
                <w:sz w:val="24"/>
                <w:szCs w:val="24"/>
              </w:rPr>
            </w:pPr>
            <w:r w:rsidRPr="008B2DC1">
              <w:rPr>
                <w:rFonts w:asciiTheme="minorHAnsi" w:hAnsiTheme="minorHAnsi" w:cstheme="minorHAnsi"/>
                <w:sz w:val="24"/>
                <w:szCs w:val="24"/>
              </w:rPr>
              <w:sym w:font="Wingdings" w:char="F0FC"/>
            </w:r>
          </w:p>
        </w:tc>
        <w:tc>
          <w:tcPr>
            <w:tcW w:w="1877" w:type="dxa"/>
          </w:tcPr>
          <w:p w:rsidRPr="008A4619" w:rsidR="00625A53" w:rsidP="00D53F11" w:rsidRDefault="00625A53" w14:paraId="79D78573" w14:textId="62A40BB0">
            <w:pPr>
              <w:pStyle w:val="TableTextLeft"/>
              <w:jc w:val="center"/>
              <w:rPr>
                <w:rFonts w:asciiTheme="minorHAnsi" w:hAnsiTheme="minorHAnsi" w:cstheme="minorHAnsi"/>
                <w:sz w:val="24"/>
                <w:szCs w:val="24"/>
              </w:rPr>
            </w:pPr>
            <w:r w:rsidRPr="008B2DC1">
              <w:rPr>
                <w:rFonts w:asciiTheme="minorHAnsi" w:hAnsiTheme="minorHAnsi" w:cstheme="minorHAnsi"/>
                <w:sz w:val="24"/>
                <w:szCs w:val="24"/>
              </w:rPr>
              <w:sym w:font="Wingdings" w:char="F0FC"/>
            </w:r>
          </w:p>
        </w:tc>
        <w:tc>
          <w:tcPr>
            <w:tcW w:w="1877" w:type="dxa"/>
          </w:tcPr>
          <w:p w:rsidRPr="008A4619" w:rsidR="00625A53" w:rsidP="00D53F11" w:rsidRDefault="00625A53" w14:paraId="5C277826" w14:textId="18246447">
            <w:pPr>
              <w:pStyle w:val="TableTextLeft"/>
              <w:jc w:val="center"/>
              <w:rPr>
                <w:rFonts w:asciiTheme="minorHAnsi" w:hAnsiTheme="minorHAnsi" w:cstheme="minorHAnsi"/>
                <w:sz w:val="24"/>
                <w:szCs w:val="24"/>
              </w:rPr>
            </w:pPr>
          </w:p>
        </w:tc>
      </w:tr>
      <w:tr w:rsidRPr="008A4619" w:rsidR="006F4B60" w:rsidTr="00133EA5" w14:paraId="60CF0897" w14:textId="77777777">
        <w:trPr>
          <w:cantSplit/>
          <w:trHeight w:val="63"/>
        </w:trPr>
        <w:tc>
          <w:tcPr>
            <w:tcW w:w="4725" w:type="dxa"/>
            <w:shd w:val="clear" w:color="auto" w:fill="D9D9D9" w:themeFill="background1" w:themeFillShade="D9"/>
          </w:tcPr>
          <w:p w:rsidRPr="006B5C14" w:rsidR="00625A53" w:rsidP="006825E6" w:rsidRDefault="00625A53" w14:paraId="71160A37" w14:textId="481A08C7">
            <w:pPr>
              <w:pStyle w:val="TableTextLeft"/>
              <w:rPr>
                <w:rFonts w:asciiTheme="minorHAnsi" w:hAnsiTheme="minorHAnsi" w:cstheme="minorHAnsi"/>
                <w:b/>
                <w:bCs/>
                <w:sz w:val="18"/>
                <w:szCs w:val="18"/>
              </w:rPr>
            </w:pPr>
            <w:r w:rsidRPr="006B5C14">
              <w:rPr>
                <w:rFonts w:asciiTheme="minorHAnsi" w:hAnsiTheme="minorHAnsi" w:cstheme="minorHAnsi"/>
                <w:b/>
                <w:bCs/>
                <w:sz w:val="18"/>
                <w:szCs w:val="18"/>
              </w:rPr>
              <w:t>2. After partnerships end, what are the characteristics of the child care providers and the services they offer?</w:t>
            </w:r>
          </w:p>
        </w:tc>
        <w:tc>
          <w:tcPr>
            <w:tcW w:w="1253" w:type="dxa"/>
            <w:shd w:val="clear" w:color="auto" w:fill="D9D9D9" w:themeFill="background1" w:themeFillShade="D9"/>
          </w:tcPr>
          <w:p w:rsidRPr="008A4619" w:rsidR="00625A53" w:rsidP="006825E6" w:rsidRDefault="00625A53" w14:paraId="1B708246" w14:textId="77777777">
            <w:pPr>
              <w:pStyle w:val="TableTextLeft"/>
              <w:jc w:val="center"/>
              <w:rPr>
                <w:rFonts w:asciiTheme="minorHAnsi" w:hAnsiTheme="minorHAnsi" w:cstheme="minorHAnsi"/>
                <w:sz w:val="24"/>
              </w:rPr>
            </w:pPr>
          </w:p>
        </w:tc>
        <w:tc>
          <w:tcPr>
            <w:tcW w:w="1700" w:type="dxa"/>
            <w:shd w:val="clear" w:color="auto" w:fill="D9D9D9" w:themeFill="background1" w:themeFillShade="D9"/>
          </w:tcPr>
          <w:p w:rsidRPr="008A4619" w:rsidR="00625A53" w:rsidP="006825E6" w:rsidRDefault="00625A53" w14:paraId="46427A31" w14:textId="77777777">
            <w:pPr>
              <w:pStyle w:val="TableTextLeft"/>
              <w:jc w:val="center"/>
              <w:rPr>
                <w:rFonts w:asciiTheme="minorHAnsi" w:hAnsiTheme="minorHAnsi" w:cstheme="minorHAnsi"/>
                <w:sz w:val="24"/>
                <w:szCs w:val="24"/>
              </w:rPr>
            </w:pPr>
          </w:p>
        </w:tc>
        <w:tc>
          <w:tcPr>
            <w:tcW w:w="1798" w:type="dxa"/>
            <w:shd w:val="clear" w:color="auto" w:fill="D9D9D9" w:themeFill="background1" w:themeFillShade="D9"/>
          </w:tcPr>
          <w:p w:rsidRPr="008A4619" w:rsidR="00625A53" w:rsidP="006825E6" w:rsidRDefault="00625A53" w14:paraId="7F567D91" w14:textId="77777777">
            <w:pPr>
              <w:pStyle w:val="TableTextLeft"/>
              <w:jc w:val="center"/>
              <w:rPr>
                <w:rFonts w:asciiTheme="minorHAnsi" w:hAnsiTheme="minorHAnsi" w:cstheme="minorHAnsi"/>
                <w:sz w:val="24"/>
                <w:szCs w:val="24"/>
              </w:rPr>
            </w:pPr>
          </w:p>
        </w:tc>
        <w:tc>
          <w:tcPr>
            <w:tcW w:w="1877" w:type="dxa"/>
            <w:shd w:val="clear" w:color="auto" w:fill="D9D9D9" w:themeFill="background1" w:themeFillShade="D9"/>
          </w:tcPr>
          <w:p w:rsidRPr="008A4619" w:rsidR="00625A53" w:rsidP="006825E6" w:rsidRDefault="00625A53" w14:paraId="341C26BA" w14:textId="77777777">
            <w:pPr>
              <w:pStyle w:val="TableTextLeft"/>
              <w:jc w:val="center"/>
              <w:rPr>
                <w:rFonts w:asciiTheme="minorHAnsi" w:hAnsiTheme="minorHAnsi" w:cstheme="minorHAnsi"/>
                <w:sz w:val="24"/>
                <w:szCs w:val="24"/>
              </w:rPr>
            </w:pPr>
          </w:p>
        </w:tc>
        <w:tc>
          <w:tcPr>
            <w:tcW w:w="1877" w:type="dxa"/>
            <w:shd w:val="clear" w:color="auto" w:fill="D9D9D9" w:themeFill="background1" w:themeFillShade="D9"/>
          </w:tcPr>
          <w:p w:rsidRPr="008A4619" w:rsidR="00625A53" w:rsidP="006825E6" w:rsidRDefault="00625A53" w14:paraId="37067B92" w14:textId="77777777">
            <w:pPr>
              <w:pStyle w:val="TableTextLeft"/>
              <w:jc w:val="center"/>
              <w:rPr>
                <w:rFonts w:asciiTheme="minorHAnsi" w:hAnsiTheme="minorHAnsi" w:cstheme="minorHAnsi"/>
                <w:b/>
                <w:sz w:val="18"/>
                <w:szCs w:val="18"/>
              </w:rPr>
            </w:pPr>
          </w:p>
        </w:tc>
      </w:tr>
      <w:tr w:rsidRPr="008A4619" w:rsidR="006F4B60" w:rsidTr="00133EA5" w14:paraId="3A6573C9" w14:textId="77777777">
        <w:trPr>
          <w:cantSplit/>
          <w:trHeight w:val="63"/>
        </w:trPr>
        <w:tc>
          <w:tcPr>
            <w:tcW w:w="4725" w:type="dxa"/>
          </w:tcPr>
          <w:p w:rsidRPr="00D53F11" w:rsidR="00625A53" w:rsidP="006825E6" w:rsidRDefault="00625A53" w14:paraId="02334FD4" w14:textId="2BFB1B2E">
            <w:pPr>
              <w:pStyle w:val="TableTextLeft"/>
              <w:rPr>
                <w:rFonts w:asciiTheme="minorHAnsi" w:hAnsiTheme="minorHAnsi" w:cstheme="minorHAnsi"/>
                <w:bCs/>
                <w:sz w:val="18"/>
                <w:szCs w:val="18"/>
              </w:rPr>
            </w:pPr>
            <w:r w:rsidRPr="00D53F11">
              <w:rPr>
                <w:rFonts w:asciiTheme="minorHAnsi" w:hAnsiTheme="minorHAnsi" w:cstheme="minorHAnsi"/>
                <w:bCs/>
                <w:sz w:val="18"/>
                <w:szCs w:val="18"/>
              </w:rPr>
              <w:t>Operation and enrollment status</w:t>
            </w:r>
          </w:p>
        </w:tc>
        <w:tc>
          <w:tcPr>
            <w:tcW w:w="1253" w:type="dxa"/>
          </w:tcPr>
          <w:p w:rsidRPr="008A4619" w:rsidR="00625A53" w:rsidP="006825E6" w:rsidRDefault="00625A53" w14:paraId="213D4C3E" w14:textId="77777777">
            <w:pPr>
              <w:pStyle w:val="TableTextLeft"/>
              <w:jc w:val="center"/>
              <w:rPr>
                <w:rFonts w:asciiTheme="minorHAnsi" w:hAnsiTheme="minorHAnsi" w:cstheme="minorHAnsi"/>
                <w:b/>
                <w:sz w:val="24"/>
              </w:rPr>
            </w:pPr>
          </w:p>
        </w:tc>
        <w:tc>
          <w:tcPr>
            <w:tcW w:w="1700" w:type="dxa"/>
          </w:tcPr>
          <w:p w:rsidRPr="008A4619" w:rsidR="00625A53" w:rsidP="006825E6" w:rsidRDefault="00625A53" w14:paraId="47A2AA8C" w14:textId="77777777">
            <w:pPr>
              <w:pStyle w:val="TableTextLeft"/>
              <w:jc w:val="center"/>
              <w:rPr>
                <w:rFonts w:asciiTheme="minorHAnsi" w:hAnsiTheme="minorHAnsi" w:cstheme="minorHAnsi"/>
                <w:sz w:val="24"/>
                <w:szCs w:val="24"/>
              </w:rPr>
            </w:pPr>
          </w:p>
        </w:tc>
        <w:tc>
          <w:tcPr>
            <w:tcW w:w="1798" w:type="dxa"/>
          </w:tcPr>
          <w:p w:rsidRPr="008A4619" w:rsidR="00625A53" w:rsidP="006825E6" w:rsidRDefault="000C166B" w14:paraId="4675AB1E" w14:textId="4CEFF0F1">
            <w:pPr>
              <w:pStyle w:val="TableTextLeft"/>
              <w:jc w:val="center"/>
              <w:rPr>
                <w:rFonts w:asciiTheme="minorHAnsi" w:hAnsiTheme="minorHAnsi" w:cstheme="minorHAnsi"/>
                <w:sz w:val="24"/>
                <w:szCs w:val="24"/>
              </w:rPr>
            </w:pPr>
            <w:r w:rsidRPr="008A4619">
              <w:rPr>
                <w:rFonts w:asciiTheme="minorHAnsi" w:hAnsiTheme="minorHAnsi" w:cstheme="minorHAnsi"/>
                <w:sz w:val="24"/>
                <w:szCs w:val="24"/>
              </w:rPr>
              <w:sym w:font="Wingdings" w:char="F0FC"/>
            </w:r>
          </w:p>
        </w:tc>
        <w:tc>
          <w:tcPr>
            <w:tcW w:w="1877" w:type="dxa"/>
          </w:tcPr>
          <w:p w:rsidRPr="008A4619" w:rsidR="00625A53" w:rsidP="006825E6" w:rsidRDefault="00625A53" w14:paraId="2B326F6C" w14:textId="77777777">
            <w:pPr>
              <w:pStyle w:val="TableTextLeft"/>
              <w:jc w:val="center"/>
              <w:rPr>
                <w:rFonts w:asciiTheme="minorHAnsi" w:hAnsiTheme="minorHAnsi" w:cstheme="minorHAnsi"/>
                <w:sz w:val="24"/>
                <w:szCs w:val="24"/>
              </w:rPr>
            </w:pPr>
          </w:p>
        </w:tc>
        <w:tc>
          <w:tcPr>
            <w:tcW w:w="1877" w:type="dxa"/>
          </w:tcPr>
          <w:p w:rsidRPr="008A4619" w:rsidR="00625A53" w:rsidP="006825E6" w:rsidRDefault="00625A53" w14:paraId="48E94DB0" w14:textId="77777777">
            <w:pPr>
              <w:pStyle w:val="TableTextLeft"/>
              <w:jc w:val="center"/>
              <w:rPr>
                <w:rFonts w:asciiTheme="minorHAnsi" w:hAnsiTheme="minorHAnsi" w:cstheme="minorHAnsi"/>
                <w:b/>
                <w:sz w:val="18"/>
                <w:szCs w:val="18"/>
              </w:rPr>
            </w:pPr>
          </w:p>
        </w:tc>
      </w:tr>
      <w:tr w:rsidRPr="008A4619" w:rsidR="006F4B60" w:rsidTr="00133EA5" w14:paraId="0E00C700" w14:textId="77777777">
        <w:trPr>
          <w:cantSplit/>
          <w:trHeight w:val="63"/>
        </w:trPr>
        <w:tc>
          <w:tcPr>
            <w:tcW w:w="4725" w:type="dxa"/>
            <w:shd w:val="clear" w:color="auto" w:fill="E0D4B5"/>
          </w:tcPr>
          <w:p w:rsidRPr="00D53F11" w:rsidR="00625A53" w:rsidP="00D53F11" w:rsidRDefault="00625A53" w14:paraId="6D6C4666" w14:textId="6AE1E236">
            <w:pPr>
              <w:pStyle w:val="TableTextLeft"/>
              <w:rPr>
                <w:rFonts w:asciiTheme="minorHAnsi" w:hAnsiTheme="minorHAnsi" w:cstheme="minorHAnsi"/>
                <w:bCs/>
                <w:sz w:val="18"/>
                <w:szCs w:val="18"/>
              </w:rPr>
            </w:pPr>
            <w:r w:rsidRPr="00D53F11">
              <w:rPr>
                <w:rFonts w:asciiTheme="minorHAnsi" w:hAnsiTheme="minorHAnsi" w:cstheme="minorHAnsi"/>
                <w:bCs/>
                <w:sz w:val="18"/>
                <w:szCs w:val="18"/>
              </w:rPr>
              <w:t>Enrollment capacity, group size</w:t>
            </w:r>
          </w:p>
        </w:tc>
        <w:tc>
          <w:tcPr>
            <w:tcW w:w="1253" w:type="dxa"/>
            <w:shd w:val="clear" w:color="auto" w:fill="E0D4B5"/>
          </w:tcPr>
          <w:p w:rsidRPr="008A4619" w:rsidR="00625A53" w:rsidP="00D53F11" w:rsidRDefault="00625A53" w14:paraId="774E3339" w14:textId="77777777">
            <w:pPr>
              <w:pStyle w:val="TableTextLeft"/>
              <w:jc w:val="center"/>
              <w:rPr>
                <w:rFonts w:asciiTheme="minorHAnsi" w:hAnsiTheme="minorHAnsi" w:cstheme="minorHAnsi"/>
                <w:b/>
                <w:sz w:val="24"/>
              </w:rPr>
            </w:pPr>
          </w:p>
        </w:tc>
        <w:tc>
          <w:tcPr>
            <w:tcW w:w="1700" w:type="dxa"/>
            <w:shd w:val="clear" w:color="auto" w:fill="E0D4B5"/>
          </w:tcPr>
          <w:p w:rsidRPr="008A4619" w:rsidR="00625A53" w:rsidP="00D53F11" w:rsidRDefault="00625A53" w14:paraId="0E0FFE82" w14:textId="77777777">
            <w:pPr>
              <w:pStyle w:val="TableTextLeft"/>
              <w:jc w:val="center"/>
              <w:rPr>
                <w:rFonts w:asciiTheme="minorHAnsi" w:hAnsiTheme="minorHAnsi" w:cstheme="minorHAnsi"/>
                <w:sz w:val="24"/>
                <w:szCs w:val="24"/>
              </w:rPr>
            </w:pPr>
          </w:p>
        </w:tc>
        <w:tc>
          <w:tcPr>
            <w:tcW w:w="1798" w:type="dxa"/>
            <w:shd w:val="clear" w:color="auto" w:fill="E0D4B5"/>
          </w:tcPr>
          <w:p w:rsidRPr="008A4619" w:rsidR="00625A53" w:rsidP="00D53F11" w:rsidRDefault="00625A53" w14:paraId="16458023" w14:textId="5B4E6E14">
            <w:pPr>
              <w:pStyle w:val="TableTextLeft"/>
              <w:jc w:val="center"/>
              <w:rPr>
                <w:rFonts w:asciiTheme="minorHAnsi" w:hAnsiTheme="minorHAnsi" w:cstheme="minorHAnsi"/>
                <w:b/>
                <w:bCs/>
                <w:sz w:val="24"/>
                <w:szCs w:val="24"/>
              </w:rPr>
            </w:pPr>
            <w:r w:rsidRPr="00774D1F">
              <w:rPr>
                <w:rFonts w:asciiTheme="minorHAnsi" w:hAnsiTheme="minorHAnsi" w:cstheme="minorHAnsi"/>
                <w:sz w:val="24"/>
                <w:szCs w:val="24"/>
              </w:rPr>
              <w:sym w:font="Wingdings" w:char="F0FC"/>
            </w:r>
          </w:p>
        </w:tc>
        <w:tc>
          <w:tcPr>
            <w:tcW w:w="1877" w:type="dxa"/>
            <w:shd w:val="clear" w:color="auto" w:fill="E0D4B5"/>
          </w:tcPr>
          <w:p w:rsidRPr="008A4619" w:rsidR="00625A53" w:rsidP="00D53F11" w:rsidRDefault="00625A53" w14:paraId="035178A3" w14:textId="77777777">
            <w:pPr>
              <w:pStyle w:val="TableTextLeft"/>
              <w:jc w:val="center"/>
              <w:rPr>
                <w:rFonts w:asciiTheme="minorHAnsi" w:hAnsiTheme="minorHAnsi" w:cstheme="minorHAnsi"/>
                <w:sz w:val="24"/>
                <w:szCs w:val="24"/>
              </w:rPr>
            </w:pPr>
          </w:p>
        </w:tc>
        <w:tc>
          <w:tcPr>
            <w:tcW w:w="1877" w:type="dxa"/>
            <w:shd w:val="clear" w:color="auto" w:fill="E0D4B5"/>
          </w:tcPr>
          <w:p w:rsidRPr="008A4619" w:rsidR="00625A53" w:rsidP="00D53F11" w:rsidRDefault="00625A53" w14:paraId="678DC859" w14:textId="77777777">
            <w:pPr>
              <w:pStyle w:val="TableTextLeft"/>
              <w:jc w:val="center"/>
              <w:rPr>
                <w:rFonts w:asciiTheme="minorHAnsi" w:hAnsiTheme="minorHAnsi" w:cstheme="minorHAnsi"/>
                <w:b/>
                <w:sz w:val="18"/>
                <w:szCs w:val="18"/>
              </w:rPr>
            </w:pPr>
          </w:p>
        </w:tc>
      </w:tr>
      <w:tr w:rsidRPr="008A4619" w:rsidR="006F4B60" w:rsidTr="00133EA5" w14:paraId="49F3EB85" w14:textId="77777777">
        <w:trPr>
          <w:cantSplit/>
          <w:trHeight w:val="63"/>
        </w:trPr>
        <w:tc>
          <w:tcPr>
            <w:tcW w:w="4725" w:type="dxa"/>
          </w:tcPr>
          <w:p w:rsidRPr="00D53F11" w:rsidR="00625A53" w:rsidP="00D53F11" w:rsidRDefault="00625A53" w14:paraId="4EDF11BB" w14:textId="5B4F9244">
            <w:pPr>
              <w:pStyle w:val="TableTextLeft"/>
              <w:rPr>
                <w:rFonts w:asciiTheme="minorHAnsi" w:hAnsiTheme="minorHAnsi" w:cstheme="minorHAnsi"/>
                <w:bCs/>
                <w:sz w:val="18"/>
                <w:szCs w:val="18"/>
              </w:rPr>
            </w:pPr>
            <w:r w:rsidRPr="00D53F11">
              <w:rPr>
                <w:rFonts w:asciiTheme="minorHAnsi" w:hAnsiTheme="minorHAnsi" w:cstheme="minorHAnsi"/>
                <w:bCs/>
                <w:sz w:val="18"/>
                <w:szCs w:val="18"/>
              </w:rPr>
              <w:t>Hours of operation</w:t>
            </w:r>
          </w:p>
        </w:tc>
        <w:tc>
          <w:tcPr>
            <w:tcW w:w="1253" w:type="dxa"/>
          </w:tcPr>
          <w:p w:rsidRPr="008A4619" w:rsidR="00625A53" w:rsidP="00D53F11" w:rsidRDefault="00625A53" w14:paraId="44444EE8" w14:textId="77777777">
            <w:pPr>
              <w:pStyle w:val="TableTextLeft"/>
              <w:jc w:val="center"/>
              <w:rPr>
                <w:rFonts w:asciiTheme="minorHAnsi" w:hAnsiTheme="minorHAnsi" w:cstheme="minorHAnsi"/>
                <w:b/>
                <w:bCs/>
                <w:sz w:val="18"/>
                <w:szCs w:val="18"/>
              </w:rPr>
            </w:pPr>
          </w:p>
        </w:tc>
        <w:tc>
          <w:tcPr>
            <w:tcW w:w="1700" w:type="dxa"/>
          </w:tcPr>
          <w:p w:rsidRPr="008A4619" w:rsidR="00625A53" w:rsidP="00D53F11" w:rsidRDefault="00625A53" w14:paraId="0B93E9DC" w14:textId="77777777">
            <w:pPr>
              <w:pStyle w:val="TableTextLeft"/>
              <w:jc w:val="center"/>
              <w:rPr>
                <w:rFonts w:asciiTheme="minorHAnsi" w:hAnsiTheme="minorHAnsi" w:cstheme="minorHAnsi"/>
                <w:sz w:val="24"/>
                <w:szCs w:val="24"/>
              </w:rPr>
            </w:pPr>
          </w:p>
        </w:tc>
        <w:tc>
          <w:tcPr>
            <w:tcW w:w="1798" w:type="dxa"/>
          </w:tcPr>
          <w:p w:rsidRPr="008A4619" w:rsidR="00625A53" w:rsidP="00D53F11" w:rsidRDefault="00625A53" w14:paraId="447F4CA7" w14:textId="76B00F80">
            <w:pPr>
              <w:pStyle w:val="TableTextLeft"/>
              <w:jc w:val="center"/>
              <w:rPr>
                <w:rFonts w:asciiTheme="minorHAnsi" w:hAnsiTheme="minorHAnsi" w:cstheme="minorHAnsi"/>
                <w:sz w:val="24"/>
                <w:szCs w:val="24"/>
              </w:rPr>
            </w:pPr>
            <w:r w:rsidRPr="00774D1F">
              <w:rPr>
                <w:rFonts w:asciiTheme="minorHAnsi" w:hAnsiTheme="minorHAnsi" w:cstheme="minorHAnsi"/>
                <w:sz w:val="24"/>
                <w:szCs w:val="24"/>
              </w:rPr>
              <w:sym w:font="Wingdings" w:char="F0FC"/>
            </w:r>
          </w:p>
        </w:tc>
        <w:tc>
          <w:tcPr>
            <w:tcW w:w="1877" w:type="dxa"/>
          </w:tcPr>
          <w:p w:rsidRPr="008A4619" w:rsidR="00625A53" w:rsidP="00D53F11" w:rsidRDefault="00625A53" w14:paraId="62AC7131" w14:textId="77777777">
            <w:pPr>
              <w:pStyle w:val="TableTextLeft"/>
              <w:jc w:val="center"/>
              <w:rPr>
                <w:rFonts w:asciiTheme="minorHAnsi" w:hAnsiTheme="minorHAnsi" w:cstheme="minorHAnsi"/>
                <w:sz w:val="24"/>
                <w:szCs w:val="24"/>
              </w:rPr>
            </w:pPr>
          </w:p>
        </w:tc>
        <w:tc>
          <w:tcPr>
            <w:tcW w:w="1877" w:type="dxa"/>
          </w:tcPr>
          <w:p w:rsidRPr="008A4619" w:rsidR="00625A53" w:rsidP="00D53F11" w:rsidRDefault="00625A53" w14:paraId="0C7F4C6E" w14:textId="77777777">
            <w:pPr>
              <w:pStyle w:val="TableTextLeft"/>
              <w:jc w:val="center"/>
              <w:rPr>
                <w:rFonts w:asciiTheme="minorHAnsi" w:hAnsiTheme="minorHAnsi" w:cstheme="minorHAnsi"/>
                <w:b/>
                <w:sz w:val="18"/>
                <w:szCs w:val="18"/>
              </w:rPr>
            </w:pPr>
          </w:p>
        </w:tc>
      </w:tr>
      <w:tr w:rsidRPr="008A4619" w:rsidR="006B5C14" w:rsidTr="00133EA5" w14:paraId="25B333FF" w14:textId="77777777">
        <w:trPr>
          <w:cantSplit/>
        </w:trPr>
        <w:tc>
          <w:tcPr>
            <w:tcW w:w="4725" w:type="dxa"/>
            <w:shd w:val="clear" w:color="auto" w:fill="E0D4B5"/>
          </w:tcPr>
          <w:p w:rsidRPr="00D53F11" w:rsidR="006B5C14" w:rsidP="006B5C14" w:rsidRDefault="006B5C14" w14:paraId="3775C6CF" w14:textId="7A33B5E9">
            <w:pPr>
              <w:pStyle w:val="TableTextLeft"/>
              <w:rPr>
                <w:rFonts w:asciiTheme="minorHAnsi" w:hAnsiTheme="minorHAnsi" w:cstheme="minorHAnsi"/>
                <w:b/>
                <w:bCs/>
                <w:sz w:val="18"/>
                <w:szCs w:val="18"/>
              </w:rPr>
            </w:pPr>
            <w:r w:rsidRPr="00D53F11">
              <w:rPr>
                <w:rFonts w:asciiTheme="minorHAnsi" w:hAnsiTheme="minorHAnsi" w:cstheme="minorHAnsi"/>
                <w:bCs/>
                <w:sz w:val="18"/>
                <w:szCs w:val="18"/>
              </w:rPr>
              <w:t>Staff characteristics and staff supports</w:t>
            </w:r>
          </w:p>
        </w:tc>
        <w:tc>
          <w:tcPr>
            <w:tcW w:w="1253" w:type="dxa"/>
            <w:shd w:val="clear" w:color="auto" w:fill="E0D4B5"/>
          </w:tcPr>
          <w:p w:rsidRPr="008A4619" w:rsidR="006B5C14" w:rsidP="006B5C14" w:rsidRDefault="006B5C14" w14:paraId="350C9253" w14:textId="77777777">
            <w:pPr>
              <w:pStyle w:val="TableTextLeft"/>
              <w:jc w:val="center"/>
              <w:rPr>
                <w:rFonts w:asciiTheme="minorHAnsi" w:hAnsiTheme="minorHAnsi" w:cstheme="minorHAnsi"/>
                <w:sz w:val="18"/>
                <w:szCs w:val="18"/>
              </w:rPr>
            </w:pPr>
          </w:p>
        </w:tc>
        <w:tc>
          <w:tcPr>
            <w:tcW w:w="1700" w:type="dxa"/>
            <w:shd w:val="clear" w:color="auto" w:fill="E0D4B5"/>
          </w:tcPr>
          <w:p w:rsidRPr="008A4619" w:rsidR="006B5C14" w:rsidP="006B5C14" w:rsidRDefault="006B5C14" w14:paraId="3E564681" w14:textId="77777777">
            <w:pPr>
              <w:pStyle w:val="TableTextLeft"/>
              <w:jc w:val="center"/>
              <w:rPr>
                <w:rFonts w:asciiTheme="minorHAnsi" w:hAnsiTheme="minorHAnsi" w:cstheme="minorHAnsi"/>
                <w:sz w:val="24"/>
                <w:szCs w:val="24"/>
              </w:rPr>
            </w:pPr>
          </w:p>
        </w:tc>
        <w:tc>
          <w:tcPr>
            <w:tcW w:w="1798" w:type="dxa"/>
            <w:shd w:val="clear" w:color="auto" w:fill="E0D4B5"/>
          </w:tcPr>
          <w:p w:rsidRPr="008A4619" w:rsidR="006B5C14" w:rsidP="006B5C14" w:rsidRDefault="006B5C14" w14:paraId="0EDBA03A" w14:textId="72645993">
            <w:pPr>
              <w:pStyle w:val="TableTextLeft"/>
              <w:jc w:val="center"/>
              <w:rPr>
                <w:rFonts w:asciiTheme="minorHAnsi" w:hAnsiTheme="minorHAnsi" w:cstheme="minorHAnsi"/>
                <w:sz w:val="24"/>
                <w:szCs w:val="24"/>
              </w:rPr>
            </w:pPr>
            <w:r w:rsidRPr="00B16DB0">
              <w:rPr>
                <w:rFonts w:asciiTheme="minorHAnsi" w:hAnsiTheme="minorHAnsi" w:cstheme="minorHAnsi"/>
                <w:sz w:val="24"/>
                <w:szCs w:val="24"/>
              </w:rPr>
              <w:sym w:font="Wingdings" w:char="F0FC"/>
            </w:r>
          </w:p>
        </w:tc>
        <w:tc>
          <w:tcPr>
            <w:tcW w:w="1877" w:type="dxa"/>
            <w:shd w:val="clear" w:color="auto" w:fill="E0D4B5"/>
          </w:tcPr>
          <w:p w:rsidRPr="008A4619" w:rsidR="006B5C14" w:rsidP="006B5C14" w:rsidRDefault="006B5C14" w14:paraId="1A9E90FD" w14:textId="0ECD58B6">
            <w:pPr>
              <w:pStyle w:val="TableTextLeft"/>
              <w:jc w:val="center"/>
              <w:rPr>
                <w:rFonts w:asciiTheme="minorHAnsi" w:hAnsiTheme="minorHAnsi" w:cstheme="minorHAnsi"/>
                <w:sz w:val="24"/>
                <w:szCs w:val="24"/>
              </w:rPr>
            </w:pPr>
            <w:r w:rsidRPr="00EB7E65">
              <w:rPr>
                <w:rFonts w:asciiTheme="minorHAnsi" w:hAnsiTheme="minorHAnsi" w:cstheme="minorHAnsi"/>
                <w:sz w:val="24"/>
                <w:szCs w:val="24"/>
              </w:rPr>
              <w:sym w:font="Wingdings" w:char="F0FC"/>
            </w:r>
          </w:p>
        </w:tc>
        <w:tc>
          <w:tcPr>
            <w:tcW w:w="1877" w:type="dxa"/>
            <w:shd w:val="clear" w:color="auto" w:fill="E0D4B5"/>
          </w:tcPr>
          <w:p w:rsidRPr="008A4619" w:rsidR="006B5C14" w:rsidP="006B5C14" w:rsidRDefault="006B5C14" w14:paraId="502CEB10" w14:textId="7661E69A">
            <w:pPr>
              <w:pStyle w:val="TableTextLeft"/>
              <w:jc w:val="center"/>
              <w:rPr>
                <w:rFonts w:asciiTheme="minorHAnsi" w:hAnsiTheme="minorHAnsi" w:cstheme="minorHAnsi"/>
                <w:sz w:val="24"/>
                <w:szCs w:val="24"/>
              </w:rPr>
            </w:pPr>
          </w:p>
        </w:tc>
      </w:tr>
      <w:tr w:rsidRPr="008A4619" w:rsidR="006B5C14" w:rsidTr="00133EA5" w14:paraId="3DAB50D0" w14:textId="77777777">
        <w:trPr>
          <w:cantSplit/>
        </w:trPr>
        <w:tc>
          <w:tcPr>
            <w:tcW w:w="4725" w:type="dxa"/>
          </w:tcPr>
          <w:p w:rsidRPr="008A4619" w:rsidR="006B5C14" w:rsidP="006B5C14" w:rsidRDefault="006B5C14" w14:paraId="7E468571" w14:textId="1740654E">
            <w:pPr>
              <w:pStyle w:val="TableTextLeft"/>
              <w:rPr>
                <w:rFonts w:asciiTheme="minorHAnsi" w:hAnsiTheme="minorHAnsi" w:cstheme="minorHAnsi"/>
                <w:sz w:val="18"/>
                <w:szCs w:val="18"/>
              </w:rPr>
            </w:pPr>
            <w:r w:rsidRPr="00D53F11">
              <w:rPr>
                <w:rFonts w:asciiTheme="minorHAnsi" w:hAnsiTheme="minorHAnsi" w:cstheme="minorHAnsi"/>
                <w:bCs/>
                <w:sz w:val="18"/>
                <w:szCs w:val="18"/>
              </w:rPr>
              <w:t>Environment</w:t>
            </w:r>
          </w:p>
        </w:tc>
        <w:tc>
          <w:tcPr>
            <w:tcW w:w="1253" w:type="dxa"/>
          </w:tcPr>
          <w:p w:rsidRPr="008A4619" w:rsidR="006B5C14" w:rsidP="006B5C14" w:rsidRDefault="006B5C14" w14:paraId="4BD9C543" w14:textId="77777777">
            <w:pPr>
              <w:pStyle w:val="TableTextLeft"/>
              <w:jc w:val="center"/>
              <w:rPr>
                <w:rFonts w:asciiTheme="minorHAnsi" w:hAnsiTheme="minorHAnsi" w:cstheme="minorHAnsi"/>
                <w:sz w:val="18"/>
                <w:szCs w:val="18"/>
              </w:rPr>
            </w:pPr>
          </w:p>
        </w:tc>
        <w:tc>
          <w:tcPr>
            <w:tcW w:w="1700" w:type="dxa"/>
          </w:tcPr>
          <w:p w:rsidRPr="008A4619" w:rsidR="006B5C14" w:rsidP="006B5C14" w:rsidRDefault="006B5C14" w14:paraId="7C71892E" w14:textId="77777777">
            <w:pPr>
              <w:pStyle w:val="TableTextLeft"/>
              <w:jc w:val="center"/>
              <w:rPr>
                <w:rFonts w:asciiTheme="minorHAnsi" w:hAnsiTheme="minorHAnsi" w:cstheme="minorHAnsi"/>
                <w:sz w:val="24"/>
                <w:szCs w:val="24"/>
              </w:rPr>
            </w:pPr>
          </w:p>
        </w:tc>
        <w:tc>
          <w:tcPr>
            <w:tcW w:w="1798" w:type="dxa"/>
          </w:tcPr>
          <w:p w:rsidRPr="008A4619" w:rsidR="006B5C14" w:rsidP="006B5C14" w:rsidRDefault="006B5C14" w14:paraId="2AA8B4DB" w14:textId="77777777">
            <w:pPr>
              <w:pStyle w:val="TableTextLeft"/>
              <w:jc w:val="center"/>
              <w:rPr>
                <w:rFonts w:asciiTheme="minorHAnsi" w:hAnsiTheme="minorHAnsi" w:cstheme="minorHAnsi"/>
                <w:sz w:val="24"/>
                <w:szCs w:val="24"/>
              </w:rPr>
            </w:pPr>
          </w:p>
        </w:tc>
        <w:tc>
          <w:tcPr>
            <w:tcW w:w="1877" w:type="dxa"/>
          </w:tcPr>
          <w:p w:rsidRPr="008A4619" w:rsidR="006B5C14" w:rsidP="006B5C14" w:rsidRDefault="006B5C14" w14:paraId="252EF4E0" w14:textId="3F721946">
            <w:pPr>
              <w:pStyle w:val="TableTextLeft"/>
              <w:jc w:val="center"/>
              <w:rPr>
                <w:rFonts w:asciiTheme="minorHAnsi" w:hAnsiTheme="minorHAnsi" w:cstheme="minorHAnsi"/>
                <w:sz w:val="24"/>
                <w:szCs w:val="24"/>
              </w:rPr>
            </w:pPr>
            <w:r w:rsidRPr="00EB7E65">
              <w:rPr>
                <w:rFonts w:asciiTheme="minorHAnsi" w:hAnsiTheme="minorHAnsi" w:cstheme="minorHAnsi"/>
                <w:sz w:val="24"/>
                <w:szCs w:val="24"/>
              </w:rPr>
              <w:sym w:font="Wingdings" w:char="F0FC"/>
            </w:r>
          </w:p>
        </w:tc>
        <w:tc>
          <w:tcPr>
            <w:tcW w:w="1877" w:type="dxa"/>
          </w:tcPr>
          <w:p w:rsidRPr="008A4619" w:rsidR="006B5C14" w:rsidP="006B5C14" w:rsidRDefault="006B5C14" w14:paraId="1574FB83" w14:textId="24D89AE2">
            <w:pPr>
              <w:pStyle w:val="TableTextLeft"/>
              <w:jc w:val="center"/>
              <w:rPr>
                <w:rFonts w:asciiTheme="minorHAnsi" w:hAnsiTheme="minorHAnsi" w:cstheme="minorHAnsi"/>
                <w:b/>
                <w:sz w:val="18"/>
                <w:szCs w:val="18"/>
              </w:rPr>
            </w:pPr>
          </w:p>
        </w:tc>
      </w:tr>
      <w:tr w:rsidRPr="008A4619" w:rsidR="006B5C14" w:rsidTr="00133EA5" w14:paraId="6EE39740" w14:textId="77777777">
        <w:trPr>
          <w:cantSplit/>
        </w:trPr>
        <w:tc>
          <w:tcPr>
            <w:tcW w:w="4725" w:type="dxa"/>
            <w:shd w:val="clear" w:color="auto" w:fill="E0D4B5"/>
          </w:tcPr>
          <w:p w:rsidRPr="008A4619" w:rsidR="006B5C14" w:rsidP="006B5C14" w:rsidRDefault="006B5C14" w14:paraId="70481A58" w14:textId="422E38B7">
            <w:pPr>
              <w:pStyle w:val="TableTextLeft"/>
              <w:rPr>
                <w:rFonts w:asciiTheme="minorHAnsi" w:hAnsiTheme="minorHAnsi" w:cstheme="minorHAnsi"/>
                <w:sz w:val="18"/>
                <w:szCs w:val="18"/>
              </w:rPr>
            </w:pPr>
            <w:r w:rsidRPr="00D53F11">
              <w:rPr>
                <w:rFonts w:asciiTheme="minorHAnsi" w:hAnsiTheme="minorHAnsi" w:cstheme="minorHAnsi"/>
                <w:bCs/>
                <w:sz w:val="18"/>
                <w:szCs w:val="18"/>
              </w:rPr>
              <w:t>Delivery of comprehensive services</w:t>
            </w:r>
          </w:p>
        </w:tc>
        <w:tc>
          <w:tcPr>
            <w:tcW w:w="1253" w:type="dxa"/>
            <w:shd w:val="clear" w:color="auto" w:fill="E0D4B5"/>
          </w:tcPr>
          <w:p w:rsidRPr="008A4619" w:rsidR="006B5C14" w:rsidP="006B5C14" w:rsidRDefault="006B5C14" w14:paraId="1D2EA930" w14:textId="77777777">
            <w:pPr>
              <w:pStyle w:val="TableTextLeft"/>
              <w:jc w:val="center"/>
              <w:rPr>
                <w:rFonts w:asciiTheme="minorHAnsi" w:hAnsiTheme="minorHAnsi" w:cstheme="minorHAnsi"/>
                <w:sz w:val="18"/>
                <w:szCs w:val="18"/>
              </w:rPr>
            </w:pPr>
          </w:p>
        </w:tc>
        <w:tc>
          <w:tcPr>
            <w:tcW w:w="1700" w:type="dxa"/>
            <w:shd w:val="clear" w:color="auto" w:fill="E0D4B5"/>
          </w:tcPr>
          <w:p w:rsidRPr="008A4619" w:rsidR="006B5C14" w:rsidP="006B5C14" w:rsidRDefault="006B5C14" w14:paraId="221D5980" w14:textId="77777777">
            <w:pPr>
              <w:pStyle w:val="TableTextLeft"/>
              <w:jc w:val="center"/>
              <w:rPr>
                <w:rFonts w:asciiTheme="minorHAnsi" w:hAnsiTheme="minorHAnsi" w:cstheme="minorHAnsi"/>
                <w:sz w:val="24"/>
                <w:szCs w:val="24"/>
              </w:rPr>
            </w:pPr>
          </w:p>
        </w:tc>
        <w:tc>
          <w:tcPr>
            <w:tcW w:w="1798" w:type="dxa"/>
            <w:shd w:val="clear" w:color="auto" w:fill="E0D4B5"/>
          </w:tcPr>
          <w:p w:rsidRPr="008A4619" w:rsidR="006B5C14" w:rsidP="006B5C14" w:rsidRDefault="006B5C14" w14:paraId="5AFF4CC7" w14:textId="652B1E17">
            <w:pPr>
              <w:pStyle w:val="TableTextLeft"/>
              <w:jc w:val="center"/>
              <w:rPr>
                <w:rFonts w:asciiTheme="minorHAnsi" w:hAnsiTheme="minorHAnsi" w:cstheme="minorHAnsi"/>
                <w:sz w:val="24"/>
                <w:szCs w:val="24"/>
              </w:rPr>
            </w:pPr>
            <w:r w:rsidRPr="00B16DB0">
              <w:rPr>
                <w:rFonts w:asciiTheme="minorHAnsi" w:hAnsiTheme="minorHAnsi" w:cstheme="minorHAnsi"/>
                <w:sz w:val="24"/>
                <w:szCs w:val="24"/>
              </w:rPr>
              <w:sym w:font="Wingdings" w:char="F0FC"/>
            </w:r>
          </w:p>
        </w:tc>
        <w:tc>
          <w:tcPr>
            <w:tcW w:w="1877" w:type="dxa"/>
            <w:shd w:val="clear" w:color="auto" w:fill="E0D4B5"/>
          </w:tcPr>
          <w:p w:rsidRPr="008A4619" w:rsidR="006B5C14" w:rsidP="006B5C14" w:rsidRDefault="006B5C14" w14:paraId="0F3160DD" w14:textId="383F0838">
            <w:pPr>
              <w:pStyle w:val="TableTextLeft"/>
              <w:jc w:val="center"/>
              <w:rPr>
                <w:rFonts w:asciiTheme="minorHAnsi" w:hAnsiTheme="minorHAnsi" w:cstheme="minorHAnsi"/>
                <w:sz w:val="24"/>
                <w:szCs w:val="24"/>
              </w:rPr>
            </w:pPr>
            <w:r w:rsidRPr="00EB7E65">
              <w:rPr>
                <w:rFonts w:asciiTheme="minorHAnsi" w:hAnsiTheme="minorHAnsi" w:cstheme="minorHAnsi"/>
                <w:sz w:val="24"/>
                <w:szCs w:val="24"/>
              </w:rPr>
              <w:sym w:font="Wingdings" w:char="F0FC"/>
            </w:r>
          </w:p>
        </w:tc>
        <w:tc>
          <w:tcPr>
            <w:tcW w:w="1877" w:type="dxa"/>
            <w:shd w:val="clear" w:color="auto" w:fill="E0D4B5"/>
          </w:tcPr>
          <w:p w:rsidRPr="008A4619" w:rsidR="006B5C14" w:rsidP="006B5C14" w:rsidRDefault="006B5C14" w14:paraId="745DA758" w14:textId="24BA8A2C">
            <w:pPr>
              <w:pStyle w:val="TableTextLeft"/>
              <w:jc w:val="center"/>
              <w:rPr>
                <w:rFonts w:asciiTheme="minorHAnsi" w:hAnsiTheme="minorHAnsi" w:cstheme="minorHAnsi"/>
                <w:b/>
                <w:sz w:val="18"/>
                <w:szCs w:val="18"/>
              </w:rPr>
            </w:pPr>
          </w:p>
        </w:tc>
      </w:tr>
      <w:tr w:rsidRPr="008A4619" w:rsidR="006B5C14" w:rsidTr="00133EA5" w14:paraId="00E39D72" w14:textId="77777777">
        <w:trPr>
          <w:cantSplit/>
        </w:trPr>
        <w:tc>
          <w:tcPr>
            <w:tcW w:w="4725" w:type="dxa"/>
          </w:tcPr>
          <w:p w:rsidRPr="008A4619" w:rsidR="006B5C14" w:rsidP="006B5C14" w:rsidRDefault="006B5C14" w14:paraId="2C2E6019" w14:textId="7D2C5A73">
            <w:pPr>
              <w:pStyle w:val="TableTextLeft"/>
              <w:rPr>
                <w:rFonts w:asciiTheme="minorHAnsi" w:hAnsiTheme="minorHAnsi" w:cstheme="minorHAnsi"/>
                <w:sz w:val="18"/>
                <w:szCs w:val="18"/>
              </w:rPr>
            </w:pPr>
            <w:r w:rsidRPr="00D53F11">
              <w:rPr>
                <w:rFonts w:asciiTheme="minorHAnsi" w:hAnsiTheme="minorHAnsi" w:cstheme="minorHAnsi"/>
                <w:bCs/>
                <w:sz w:val="18"/>
                <w:szCs w:val="18"/>
              </w:rPr>
              <w:t>Sources of funding that support service delivery</w:t>
            </w:r>
          </w:p>
        </w:tc>
        <w:tc>
          <w:tcPr>
            <w:tcW w:w="1253" w:type="dxa"/>
          </w:tcPr>
          <w:p w:rsidRPr="008A4619" w:rsidR="006B5C14" w:rsidP="006B5C14" w:rsidRDefault="006B5C14" w14:paraId="7976EE79" w14:textId="77777777">
            <w:pPr>
              <w:pStyle w:val="TableTextLeft"/>
              <w:jc w:val="center"/>
              <w:rPr>
                <w:rFonts w:asciiTheme="minorHAnsi" w:hAnsiTheme="minorHAnsi" w:cstheme="minorHAnsi"/>
                <w:sz w:val="18"/>
                <w:szCs w:val="18"/>
              </w:rPr>
            </w:pPr>
          </w:p>
        </w:tc>
        <w:tc>
          <w:tcPr>
            <w:tcW w:w="1700" w:type="dxa"/>
          </w:tcPr>
          <w:p w:rsidRPr="008A4619" w:rsidR="006B5C14" w:rsidP="006B5C14" w:rsidRDefault="006B5C14" w14:paraId="62A7A100" w14:textId="77777777">
            <w:pPr>
              <w:pStyle w:val="TableTextLeft"/>
              <w:jc w:val="center"/>
              <w:rPr>
                <w:rFonts w:asciiTheme="minorHAnsi" w:hAnsiTheme="minorHAnsi" w:cstheme="minorHAnsi"/>
                <w:sz w:val="24"/>
                <w:szCs w:val="24"/>
              </w:rPr>
            </w:pPr>
          </w:p>
        </w:tc>
        <w:tc>
          <w:tcPr>
            <w:tcW w:w="1798" w:type="dxa"/>
          </w:tcPr>
          <w:p w:rsidRPr="008A4619" w:rsidR="006B5C14" w:rsidP="006B5C14" w:rsidRDefault="006B5C14" w14:paraId="53D85F61" w14:textId="0E708839">
            <w:pPr>
              <w:pStyle w:val="TableTextLeft"/>
              <w:jc w:val="center"/>
              <w:rPr>
                <w:rFonts w:asciiTheme="minorHAnsi" w:hAnsiTheme="minorHAnsi" w:cstheme="minorHAnsi"/>
                <w:sz w:val="24"/>
                <w:szCs w:val="24"/>
              </w:rPr>
            </w:pPr>
            <w:r w:rsidRPr="00B16DB0">
              <w:rPr>
                <w:rFonts w:asciiTheme="minorHAnsi" w:hAnsiTheme="minorHAnsi" w:cstheme="minorHAnsi"/>
                <w:sz w:val="24"/>
                <w:szCs w:val="24"/>
              </w:rPr>
              <w:sym w:font="Wingdings" w:char="F0FC"/>
            </w:r>
          </w:p>
        </w:tc>
        <w:tc>
          <w:tcPr>
            <w:tcW w:w="1877" w:type="dxa"/>
          </w:tcPr>
          <w:p w:rsidRPr="008A4619" w:rsidR="006B5C14" w:rsidP="006B5C14" w:rsidRDefault="006B5C14" w14:paraId="2ECFF909" w14:textId="4E64DC9E">
            <w:pPr>
              <w:pStyle w:val="TableTextLeft"/>
              <w:jc w:val="center"/>
              <w:rPr>
                <w:rFonts w:asciiTheme="minorHAnsi" w:hAnsiTheme="minorHAnsi" w:cstheme="minorHAnsi"/>
                <w:sz w:val="24"/>
                <w:szCs w:val="24"/>
              </w:rPr>
            </w:pPr>
            <w:r w:rsidRPr="00EB7E65">
              <w:rPr>
                <w:rFonts w:asciiTheme="minorHAnsi" w:hAnsiTheme="minorHAnsi" w:cstheme="minorHAnsi"/>
                <w:sz w:val="24"/>
                <w:szCs w:val="24"/>
              </w:rPr>
              <w:sym w:font="Wingdings" w:char="F0FC"/>
            </w:r>
          </w:p>
        </w:tc>
        <w:tc>
          <w:tcPr>
            <w:tcW w:w="1877" w:type="dxa"/>
          </w:tcPr>
          <w:p w:rsidRPr="008A4619" w:rsidR="006B5C14" w:rsidP="006B5C14" w:rsidRDefault="006B5C14" w14:paraId="7B919E37" w14:textId="23538B0F">
            <w:pPr>
              <w:pStyle w:val="TableTextLeft"/>
              <w:jc w:val="center"/>
              <w:rPr>
                <w:rFonts w:asciiTheme="minorHAnsi" w:hAnsiTheme="minorHAnsi" w:cstheme="minorHAnsi"/>
                <w:b/>
                <w:sz w:val="18"/>
                <w:szCs w:val="18"/>
              </w:rPr>
            </w:pPr>
          </w:p>
        </w:tc>
      </w:tr>
      <w:tr w:rsidRPr="008A4619" w:rsidR="006B5C14" w:rsidTr="00133EA5" w14:paraId="4809169E" w14:textId="77777777">
        <w:trPr>
          <w:cantSplit/>
        </w:trPr>
        <w:tc>
          <w:tcPr>
            <w:tcW w:w="4725" w:type="dxa"/>
            <w:shd w:val="clear" w:color="auto" w:fill="E0D4B5"/>
          </w:tcPr>
          <w:p w:rsidRPr="008A4619" w:rsidR="006B5C14" w:rsidP="006B5C14" w:rsidRDefault="006B5C14" w14:paraId="371BC920" w14:textId="4CBBAA9E">
            <w:pPr>
              <w:pStyle w:val="TableTextLeft"/>
              <w:rPr>
                <w:rFonts w:asciiTheme="minorHAnsi" w:hAnsiTheme="minorHAnsi" w:cstheme="minorHAnsi"/>
                <w:sz w:val="18"/>
                <w:szCs w:val="18"/>
              </w:rPr>
            </w:pPr>
            <w:r w:rsidRPr="00D53F11">
              <w:rPr>
                <w:rFonts w:asciiTheme="minorHAnsi" w:hAnsiTheme="minorHAnsi" w:cstheme="minorHAnsi"/>
                <w:bCs/>
                <w:sz w:val="18"/>
                <w:szCs w:val="18"/>
              </w:rPr>
              <w:t>Participation in quality improvement initiatives</w:t>
            </w:r>
          </w:p>
        </w:tc>
        <w:tc>
          <w:tcPr>
            <w:tcW w:w="1253" w:type="dxa"/>
            <w:shd w:val="clear" w:color="auto" w:fill="E0D4B5"/>
          </w:tcPr>
          <w:p w:rsidRPr="008A4619" w:rsidR="006B5C14" w:rsidP="006B5C14" w:rsidRDefault="006B5C14" w14:paraId="5475998B" w14:textId="77777777">
            <w:pPr>
              <w:pStyle w:val="TableTextLeft"/>
              <w:jc w:val="center"/>
              <w:rPr>
                <w:rFonts w:asciiTheme="minorHAnsi" w:hAnsiTheme="minorHAnsi" w:cstheme="minorHAnsi"/>
                <w:sz w:val="18"/>
                <w:szCs w:val="18"/>
              </w:rPr>
            </w:pPr>
          </w:p>
        </w:tc>
        <w:tc>
          <w:tcPr>
            <w:tcW w:w="1700" w:type="dxa"/>
            <w:shd w:val="clear" w:color="auto" w:fill="E0D4B5"/>
          </w:tcPr>
          <w:p w:rsidRPr="008A4619" w:rsidR="006B5C14" w:rsidP="006B5C14" w:rsidRDefault="006B5C14" w14:paraId="3E9040F0" w14:textId="77777777">
            <w:pPr>
              <w:pStyle w:val="TableTextLeft"/>
              <w:jc w:val="center"/>
              <w:rPr>
                <w:rFonts w:asciiTheme="minorHAnsi" w:hAnsiTheme="minorHAnsi" w:cstheme="minorHAnsi"/>
                <w:sz w:val="24"/>
                <w:szCs w:val="24"/>
              </w:rPr>
            </w:pPr>
          </w:p>
        </w:tc>
        <w:tc>
          <w:tcPr>
            <w:tcW w:w="1798" w:type="dxa"/>
            <w:shd w:val="clear" w:color="auto" w:fill="E0D4B5"/>
          </w:tcPr>
          <w:p w:rsidRPr="008A4619" w:rsidR="006B5C14" w:rsidP="006B5C14" w:rsidRDefault="006B5C14" w14:paraId="3F18100E" w14:textId="434BC46F">
            <w:pPr>
              <w:pStyle w:val="TableTextLeft"/>
              <w:jc w:val="center"/>
              <w:rPr>
                <w:rFonts w:asciiTheme="minorHAnsi" w:hAnsiTheme="minorHAnsi" w:cstheme="minorHAnsi"/>
                <w:sz w:val="24"/>
                <w:szCs w:val="24"/>
              </w:rPr>
            </w:pPr>
            <w:r w:rsidRPr="00B16DB0">
              <w:rPr>
                <w:rFonts w:asciiTheme="minorHAnsi" w:hAnsiTheme="minorHAnsi" w:cstheme="minorHAnsi"/>
                <w:sz w:val="24"/>
                <w:szCs w:val="24"/>
              </w:rPr>
              <w:sym w:font="Wingdings" w:char="F0FC"/>
            </w:r>
          </w:p>
        </w:tc>
        <w:tc>
          <w:tcPr>
            <w:tcW w:w="1877" w:type="dxa"/>
            <w:shd w:val="clear" w:color="auto" w:fill="E0D4B5"/>
          </w:tcPr>
          <w:p w:rsidRPr="008A4619" w:rsidR="006B5C14" w:rsidP="006B5C14" w:rsidRDefault="006B5C14" w14:paraId="192CACE6" w14:textId="1B0FAC25">
            <w:pPr>
              <w:pStyle w:val="TableTextLeft"/>
              <w:jc w:val="center"/>
              <w:rPr>
                <w:rFonts w:asciiTheme="minorHAnsi" w:hAnsiTheme="minorHAnsi" w:cstheme="minorHAnsi"/>
                <w:sz w:val="24"/>
                <w:szCs w:val="24"/>
              </w:rPr>
            </w:pPr>
            <w:r w:rsidRPr="00EB7E65">
              <w:rPr>
                <w:rFonts w:asciiTheme="minorHAnsi" w:hAnsiTheme="minorHAnsi" w:cstheme="minorHAnsi"/>
                <w:sz w:val="24"/>
                <w:szCs w:val="24"/>
              </w:rPr>
              <w:sym w:font="Wingdings" w:char="F0FC"/>
            </w:r>
          </w:p>
        </w:tc>
        <w:tc>
          <w:tcPr>
            <w:tcW w:w="1877" w:type="dxa"/>
            <w:shd w:val="clear" w:color="auto" w:fill="E0D4B5"/>
          </w:tcPr>
          <w:p w:rsidRPr="008A4619" w:rsidR="006B5C14" w:rsidP="006B5C14" w:rsidRDefault="006B5C14" w14:paraId="61F1B5CA" w14:textId="570A8674">
            <w:pPr>
              <w:pStyle w:val="TableTextLeft"/>
              <w:jc w:val="center"/>
              <w:rPr>
                <w:rFonts w:asciiTheme="minorHAnsi" w:hAnsiTheme="minorHAnsi" w:cstheme="minorHAnsi"/>
                <w:b/>
                <w:sz w:val="18"/>
                <w:szCs w:val="18"/>
              </w:rPr>
            </w:pPr>
          </w:p>
        </w:tc>
      </w:tr>
      <w:tr w:rsidRPr="008A4619" w:rsidR="006B5C14" w:rsidTr="00133EA5" w14:paraId="49BA3336" w14:textId="77777777">
        <w:trPr>
          <w:cantSplit/>
        </w:trPr>
        <w:tc>
          <w:tcPr>
            <w:tcW w:w="4725" w:type="dxa"/>
            <w:shd w:val="clear" w:color="auto" w:fill="D9D9D9" w:themeFill="background1" w:themeFillShade="D9"/>
          </w:tcPr>
          <w:p w:rsidRPr="00133EA5" w:rsidR="006B5C14" w:rsidP="006B5C14" w:rsidRDefault="006B5C14" w14:paraId="1FB576B4" w14:textId="77777777">
            <w:pPr>
              <w:pStyle w:val="TableTextLeft"/>
              <w:rPr>
                <w:rFonts w:asciiTheme="minorHAnsi" w:hAnsiTheme="minorHAnsi" w:cstheme="minorHAnsi"/>
                <w:b/>
                <w:bCs/>
                <w:sz w:val="18"/>
                <w:szCs w:val="18"/>
              </w:rPr>
            </w:pPr>
            <w:r w:rsidRPr="00133EA5">
              <w:rPr>
                <w:rFonts w:asciiTheme="minorHAnsi" w:hAnsiTheme="minorHAnsi" w:cstheme="minorHAnsi"/>
                <w:b/>
                <w:bCs/>
                <w:sz w:val="18"/>
                <w:szCs w:val="18"/>
              </w:rPr>
              <w:t>3. For partnerships that are sustained, how do features of the partnerships change over time?</w:t>
            </w:r>
          </w:p>
        </w:tc>
        <w:tc>
          <w:tcPr>
            <w:tcW w:w="1253" w:type="dxa"/>
            <w:shd w:val="clear" w:color="auto" w:fill="D9D9D9" w:themeFill="background1" w:themeFillShade="D9"/>
          </w:tcPr>
          <w:p w:rsidRPr="008A4619" w:rsidR="006B5C14" w:rsidP="006B5C14" w:rsidRDefault="006B5C14" w14:paraId="46DEF3FB" w14:textId="77777777">
            <w:pPr>
              <w:pStyle w:val="TableTextLeft"/>
              <w:jc w:val="center"/>
              <w:rPr>
                <w:rFonts w:asciiTheme="minorHAnsi" w:hAnsiTheme="minorHAnsi" w:cstheme="minorHAnsi"/>
                <w:sz w:val="18"/>
                <w:szCs w:val="18"/>
                <w:highlight w:val="green"/>
              </w:rPr>
            </w:pPr>
          </w:p>
        </w:tc>
        <w:tc>
          <w:tcPr>
            <w:tcW w:w="1700" w:type="dxa"/>
            <w:shd w:val="clear" w:color="auto" w:fill="D9D9D9" w:themeFill="background1" w:themeFillShade="D9"/>
          </w:tcPr>
          <w:p w:rsidRPr="008A4619" w:rsidR="006B5C14" w:rsidP="006B5C14" w:rsidRDefault="006B5C14" w14:paraId="7242B674" w14:textId="77777777">
            <w:pPr>
              <w:pStyle w:val="TableTextLeft"/>
              <w:jc w:val="center"/>
              <w:rPr>
                <w:rFonts w:asciiTheme="minorHAnsi" w:hAnsiTheme="minorHAnsi" w:cstheme="minorHAnsi"/>
                <w:sz w:val="18"/>
                <w:szCs w:val="18"/>
                <w:highlight w:val="green"/>
              </w:rPr>
            </w:pPr>
          </w:p>
        </w:tc>
        <w:tc>
          <w:tcPr>
            <w:tcW w:w="1798" w:type="dxa"/>
            <w:shd w:val="clear" w:color="auto" w:fill="D9D9D9" w:themeFill="background1" w:themeFillShade="D9"/>
          </w:tcPr>
          <w:p w:rsidRPr="008A4619" w:rsidR="006B5C14" w:rsidP="006B5C14" w:rsidRDefault="006B5C14" w14:paraId="045E6AEB" w14:textId="77777777">
            <w:pPr>
              <w:pStyle w:val="TableTextLeft"/>
              <w:jc w:val="center"/>
              <w:rPr>
                <w:rFonts w:asciiTheme="minorHAnsi" w:hAnsiTheme="minorHAnsi" w:cstheme="minorHAnsi"/>
                <w:sz w:val="18"/>
                <w:szCs w:val="18"/>
                <w:highlight w:val="green"/>
              </w:rPr>
            </w:pPr>
          </w:p>
        </w:tc>
        <w:tc>
          <w:tcPr>
            <w:tcW w:w="1877" w:type="dxa"/>
            <w:shd w:val="clear" w:color="auto" w:fill="D9D9D9" w:themeFill="background1" w:themeFillShade="D9"/>
          </w:tcPr>
          <w:p w:rsidRPr="008A4619" w:rsidR="006B5C14" w:rsidP="006B5C14" w:rsidRDefault="006B5C14" w14:paraId="353866B4" w14:textId="77777777">
            <w:pPr>
              <w:pStyle w:val="TableTextLeft"/>
              <w:jc w:val="center"/>
              <w:rPr>
                <w:rFonts w:asciiTheme="minorHAnsi" w:hAnsiTheme="minorHAnsi" w:cstheme="minorHAnsi"/>
                <w:sz w:val="18"/>
                <w:szCs w:val="18"/>
                <w:highlight w:val="green"/>
              </w:rPr>
            </w:pPr>
          </w:p>
        </w:tc>
        <w:tc>
          <w:tcPr>
            <w:tcW w:w="1877" w:type="dxa"/>
            <w:shd w:val="clear" w:color="auto" w:fill="D9D9D9" w:themeFill="background1" w:themeFillShade="D9"/>
          </w:tcPr>
          <w:p w:rsidRPr="008A4619" w:rsidR="006B5C14" w:rsidP="006B5C14" w:rsidRDefault="006B5C14" w14:paraId="4FC8DD1C" w14:textId="77777777">
            <w:pPr>
              <w:pStyle w:val="TableTextLeft"/>
              <w:jc w:val="center"/>
              <w:rPr>
                <w:rFonts w:asciiTheme="minorHAnsi" w:hAnsiTheme="minorHAnsi" w:cstheme="minorHAnsi"/>
                <w:b/>
                <w:sz w:val="18"/>
                <w:szCs w:val="18"/>
                <w:highlight w:val="green"/>
              </w:rPr>
            </w:pPr>
          </w:p>
        </w:tc>
      </w:tr>
      <w:tr w:rsidRPr="008A4619" w:rsidR="006B5C14" w:rsidTr="00133EA5" w14:paraId="4ABCE63C" w14:textId="77777777">
        <w:trPr>
          <w:cantSplit/>
        </w:trPr>
        <w:tc>
          <w:tcPr>
            <w:tcW w:w="4725" w:type="dxa"/>
            <w:shd w:val="clear" w:color="auto" w:fill="E0D4B5"/>
          </w:tcPr>
          <w:p w:rsidRPr="003A68ED" w:rsidR="006B5C14" w:rsidP="006B5C14" w:rsidRDefault="006B5C14" w14:paraId="78E92769" w14:textId="44212E01">
            <w:pPr>
              <w:pStyle w:val="TableTextLeft"/>
              <w:rPr>
                <w:rFonts w:asciiTheme="minorHAnsi" w:hAnsiTheme="minorHAnsi" w:cstheme="minorHAnsi"/>
                <w:bCs/>
                <w:sz w:val="18"/>
                <w:szCs w:val="18"/>
              </w:rPr>
            </w:pPr>
            <w:r w:rsidRPr="003A68ED">
              <w:rPr>
                <w:rFonts w:asciiTheme="minorHAnsi" w:hAnsiTheme="minorHAnsi" w:cstheme="minorHAnsi"/>
                <w:bCs/>
                <w:sz w:val="18"/>
                <w:szCs w:val="18"/>
              </w:rPr>
              <w:t>Funding and resource allocation (changes over time)</w:t>
            </w:r>
          </w:p>
        </w:tc>
        <w:tc>
          <w:tcPr>
            <w:tcW w:w="1253" w:type="dxa"/>
            <w:shd w:val="clear" w:color="auto" w:fill="E0D4B5"/>
          </w:tcPr>
          <w:p w:rsidRPr="008A4619" w:rsidR="006B5C14" w:rsidP="006B5C14" w:rsidRDefault="006B5C14" w14:paraId="5E4DC11E" w14:textId="2D2A9A8B">
            <w:pPr>
              <w:pStyle w:val="TableTextLeft"/>
              <w:jc w:val="center"/>
              <w:rPr>
                <w:rFonts w:asciiTheme="minorHAnsi" w:hAnsiTheme="minorHAnsi" w:cstheme="minorHAnsi"/>
                <w:sz w:val="24"/>
                <w:szCs w:val="24"/>
              </w:rPr>
            </w:pPr>
            <w:r w:rsidRPr="0056173A">
              <w:rPr>
                <w:rFonts w:asciiTheme="minorHAnsi" w:hAnsiTheme="minorHAnsi" w:cstheme="minorHAnsi"/>
                <w:sz w:val="24"/>
                <w:szCs w:val="24"/>
              </w:rPr>
              <w:sym w:font="Wingdings" w:char="F0FC"/>
            </w:r>
          </w:p>
        </w:tc>
        <w:tc>
          <w:tcPr>
            <w:tcW w:w="1700" w:type="dxa"/>
            <w:shd w:val="clear" w:color="auto" w:fill="E0D4B5"/>
          </w:tcPr>
          <w:p w:rsidRPr="008A4619" w:rsidR="006B5C14" w:rsidP="006B5C14" w:rsidRDefault="006B5C14" w14:paraId="67F6858C" w14:textId="131BD0EC">
            <w:pPr>
              <w:pStyle w:val="TableTextLeft"/>
              <w:jc w:val="center"/>
              <w:rPr>
                <w:rFonts w:asciiTheme="minorHAnsi" w:hAnsiTheme="minorHAnsi" w:cstheme="minorHAnsi"/>
                <w:sz w:val="24"/>
                <w:szCs w:val="24"/>
              </w:rPr>
            </w:pPr>
            <w:r w:rsidRPr="0056173A">
              <w:rPr>
                <w:rFonts w:asciiTheme="minorHAnsi" w:hAnsiTheme="minorHAnsi" w:cstheme="minorHAnsi"/>
                <w:sz w:val="24"/>
                <w:szCs w:val="24"/>
              </w:rPr>
              <w:sym w:font="Wingdings" w:char="F0FC"/>
            </w:r>
          </w:p>
        </w:tc>
        <w:tc>
          <w:tcPr>
            <w:tcW w:w="1798" w:type="dxa"/>
            <w:shd w:val="clear" w:color="auto" w:fill="E0D4B5"/>
          </w:tcPr>
          <w:p w:rsidRPr="008A4619" w:rsidR="006B5C14" w:rsidP="006B5C14" w:rsidRDefault="006B5C14" w14:paraId="776E2A0B" w14:textId="77777777">
            <w:pPr>
              <w:pStyle w:val="TableTextLeft"/>
              <w:jc w:val="center"/>
              <w:rPr>
                <w:rFonts w:asciiTheme="minorHAnsi" w:hAnsiTheme="minorHAnsi" w:cstheme="minorHAnsi"/>
                <w:sz w:val="18"/>
                <w:szCs w:val="18"/>
              </w:rPr>
            </w:pPr>
          </w:p>
        </w:tc>
        <w:tc>
          <w:tcPr>
            <w:tcW w:w="1877" w:type="dxa"/>
            <w:shd w:val="clear" w:color="auto" w:fill="E0D4B5"/>
          </w:tcPr>
          <w:p w:rsidRPr="008A4619" w:rsidR="006B5C14" w:rsidP="006B5C14" w:rsidRDefault="006B5C14" w14:paraId="584FCE32" w14:textId="77777777">
            <w:pPr>
              <w:pStyle w:val="TableTextLeft"/>
              <w:jc w:val="center"/>
              <w:rPr>
                <w:rFonts w:asciiTheme="minorHAnsi" w:hAnsiTheme="minorHAnsi" w:cstheme="minorHAnsi"/>
                <w:sz w:val="18"/>
                <w:szCs w:val="18"/>
              </w:rPr>
            </w:pPr>
          </w:p>
        </w:tc>
        <w:tc>
          <w:tcPr>
            <w:tcW w:w="1877" w:type="dxa"/>
            <w:shd w:val="clear" w:color="auto" w:fill="E0D4B5"/>
          </w:tcPr>
          <w:p w:rsidRPr="008A4619" w:rsidR="006B5C14" w:rsidP="006B5C14" w:rsidRDefault="006B5C14" w14:paraId="08A64B14" w14:textId="35798CD0">
            <w:pPr>
              <w:pStyle w:val="TableTextLeft"/>
              <w:jc w:val="center"/>
              <w:rPr>
                <w:rFonts w:asciiTheme="minorHAnsi" w:hAnsiTheme="minorHAnsi" w:cstheme="minorHAnsi"/>
                <w:sz w:val="24"/>
                <w:szCs w:val="24"/>
              </w:rPr>
            </w:pPr>
            <w:r w:rsidRPr="00B16DB0">
              <w:rPr>
                <w:rFonts w:asciiTheme="minorHAnsi" w:hAnsiTheme="minorHAnsi" w:cstheme="minorHAnsi"/>
                <w:sz w:val="24"/>
                <w:szCs w:val="24"/>
              </w:rPr>
              <w:sym w:font="Wingdings" w:char="F0FC"/>
            </w:r>
          </w:p>
        </w:tc>
      </w:tr>
      <w:tr w:rsidRPr="008A4619" w:rsidR="006B5C14" w:rsidTr="00133EA5" w14:paraId="5DD1E4F6" w14:textId="77777777">
        <w:trPr>
          <w:cantSplit/>
        </w:trPr>
        <w:tc>
          <w:tcPr>
            <w:tcW w:w="4725" w:type="dxa"/>
          </w:tcPr>
          <w:p w:rsidRPr="00D53F11" w:rsidR="006B5C14" w:rsidP="006B5C14" w:rsidRDefault="006B5C14" w14:paraId="04C392C3" w14:textId="195D9954">
            <w:pPr>
              <w:pStyle w:val="TableTextLeft"/>
              <w:rPr>
                <w:rFonts w:asciiTheme="minorHAnsi" w:hAnsiTheme="minorHAnsi" w:cstheme="minorHAnsi"/>
                <w:sz w:val="18"/>
                <w:szCs w:val="18"/>
              </w:rPr>
            </w:pPr>
            <w:r w:rsidRPr="00D53F11">
              <w:rPr>
                <w:rFonts w:asciiTheme="minorHAnsi" w:hAnsiTheme="minorHAnsi" w:cstheme="minorHAnsi"/>
                <w:bCs/>
                <w:sz w:val="18"/>
                <w:szCs w:val="18"/>
              </w:rPr>
              <w:t>Enrollment (changes over time)</w:t>
            </w:r>
          </w:p>
        </w:tc>
        <w:tc>
          <w:tcPr>
            <w:tcW w:w="1253" w:type="dxa"/>
          </w:tcPr>
          <w:p w:rsidRPr="008A4619" w:rsidR="006B5C14" w:rsidP="006B5C14" w:rsidRDefault="006B5C14" w14:paraId="0F2B355C" w14:textId="77777777">
            <w:pPr>
              <w:pStyle w:val="TableTextLeft"/>
              <w:jc w:val="center"/>
              <w:rPr>
                <w:rFonts w:asciiTheme="minorHAnsi" w:hAnsiTheme="minorHAnsi" w:cstheme="minorHAnsi"/>
                <w:sz w:val="24"/>
              </w:rPr>
            </w:pPr>
          </w:p>
        </w:tc>
        <w:tc>
          <w:tcPr>
            <w:tcW w:w="1700" w:type="dxa"/>
          </w:tcPr>
          <w:p w:rsidRPr="008A4619" w:rsidR="006B5C14" w:rsidP="006B5C14" w:rsidRDefault="006B5C14" w14:paraId="07AABE93" w14:textId="2AD3C5F2">
            <w:pPr>
              <w:pStyle w:val="TableTextLeft"/>
              <w:jc w:val="center"/>
              <w:rPr>
                <w:rFonts w:asciiTheme="minorHAnsi" w:hAnsiTheme="minorHAnsi" w:cstheme="minorHAnsi"/>
                <w:sz w:val="24"/>
                <w:szCs w:val="24"/>
              </w:rPr>
            </w:pPr>
            <w:r w:rsidRPr="00F17987">
              <w:rPr>
                <w:rFonts w:asciiTheme="minorHAnsi" w:hAnsiTheme="minorHAnsi" w:cstheme="minorHAnsi"/>
                <w:sz w:val="24"/>
                <w:szCs w:val="24"/>
              </w:rPr>
              <w:sym w:font="Wingdings" w:char="F0FC"/>
            </w:r>
          </w:p>
        </w:tc>
        <w:tc>
          <w:tcPr>
            <w:tcW w:w="1798" w:type="dxa"/>
          </w:tcPr>
          <w:p w:rsidRPr="008A4619" w:rsidR="006B5C14" w:rsidP="006B5C14" w:rsidRDefault="006B5C14" w14:paraId="3C5DD110" w14:textId="77777777">
            <w:pPr>
              <w:pStyle w:val="TableTextLeft"/>
              <w:jc w:val="center"/>
              <w:rPr>
                <w:rFonts w:asciiTheme="minorHAnsi" w:hAnsiTheme="minorHAnsi" w:cstheme="minorHAnsi"/>
                <w:sz w:val="18"/>
                <w:szCs w:val="18"/>
              </w:rPr>
            </w:pPr>
          </w:p>
        </w:tc>
        <w:tc>
          <w:tcPr>
            <w:tcW w:w="1877" w:type="dxa"/>
          </w:tcPr>
          <w:p w:rsidRPr="008A4619" w:rsidR="006B5C14" w:rsidP="006B5C14" w:rsidRDefault="006B5C14" w14:paraId="762A2D79" w14:textId="77777777">
            <w:pPr>
              <w:pStyle w:val="TableTextLeft"/>
              <w:jc w:val="center"/>
              <w:rPr>
                <w:rFonts w:asciiTheme="minorHAnsi" w:hAnsiTheme="minorHAnsi" w:cstheme="minorHAnsi"/>
                <w:sz w:val="18"/>
                <w:szCs w:val="18"/>
              </w:rPr>
            </w:pPr>
          </w:p>
        </w:tc>
        <w:tc>
          <w:tcPr>
            <w:tcW w:w="1877" w:type="dxa"/>
          </w:tcPr>
          <w:p w:rsidRPr="008A4619" w:rsidR="006B5C14" w:rsidP="006B5C14" w:rsidRDefault="006B5C14" w14:paraId="4B1F72EB" w14:textId="47EEAF9C">
            <w:pPr>
              <w:pStyle w:val="TableTextLeft"/>
              <w:jc w:val="center"/>
              <w:rPr>
                <w:rFonts w:asciiTheme="minorHAnsi" w:hAnsiTheme="minorHAnsi" w:cstheme="minorHAnsi"/>
                <w:b/>
                <w:sz w:val="18"/>
                <w:szCs w:val="18"/>
              </w:rPr>
            </w:pPr>
            <w:r w:rsidRPr="00B16DB0">
              <w:rPr>
                <w:rFonts w:asciiTheme="minorHAnsi" w:hAnsiTheme="minorHAnsi" w:cstheme="minorHAnsi"/>
                <w:sz w:val="24"/>
                <w:szCs w:val="24"/>
              </w:rPr>
              <w:sym w:font="Wingdings" w:char="F0FC"/>
            </w:r>
          </w:p>
        </w:tc>
      </w:tr>
      <w:tr w:rsidRPr="008A4619" w:rsidR="006B5C14" w:rsidTr="00133EA5" w14:paraId="498770AF" w14:textId="77777777">
        <w:trPr>
          <w:cantSplit/>
        </w:trPr>
        <w:tc>
          <w:tcPr>
            <w:tcW w:w="4725" w:type="dxa"/>
            <w:shd w:val="clear" w:color="auto" w:fill="E0D4B5"/>
          </w:tcPr>
          <w:p w:rsidRPr="008A4619" w:rsidR="006B5C14" w:rsidP="006B5C14" w:rsidRDefault="006B5C14" w14:paraId="58499EFC" w14:textId="5EBBF2AE">
            <w:pPr>
              <w:pStyle w:val="TableTextLeft"/>
              <w:rPr>
                <w:rFonts w:asciiTheme="minorHAnsi" w:hAnsiTheme="minorHAnsi" w:cstheme="minorHAnsi"/>
                <w:sz w:val="18"/>
                <w:szCs w:val="18"/>
              </w:rPr>
            </w:pPr>
            <w:r w:rsidRPr="00D53F11">
              <w:rPr>
                <w:rFonts w:asciiTheme="minorHAnsi" w:hAnsiTheme="minorHAnsi" w:cstheme="minorHAnsi"/>
                <w:bCs/>
                <w:sz w:val="18"/>
                <w:szCs w:val="18"/>
              </w:rPr>
              <w:t>Hours of operation</w:t>
            </w:r>
          </w:p>
        </w:tc>
        <w:tc>
          <w:tcPr>
            <w:tcW w:w="1253" w:type="dxa"/>
            <w:shd w:val="clear" w:color="auto" w:fill="E0D4B5"/>
          </w:tcPr>
          <w:p w:rsidRPr="008A4619" w:rsidR="006B5C14" w:rsidP="006B5C14" w:rsidRDefault="006B5C14" w14:paraId="5827C05F" w14:textId="77777777">
            <w:pPr>
              <w:pStyle w:val="TableTextLeft"/>
              <w:jc w:val="center"/>
              <w:rPr>
                <w:rFonts w:asciiTheme="minorHAnsi" w:hAnsiTheme="minorHAnsi" w:cstheme="minorHAnsi"/>
                <w:sz w:val="24"/>
              </w:rPr>
            </w:pPr>
          </w:p>
        </w:tc>
        <w:tc>
          <w:tcPr>
            <w:tcW w:w="1700" w:type="dxa"/>
            <w:shd w:val="clear" w:color="auto" w:fill="E0D4B5"/>
          </w:tcPr>
          <w:p w:rsidRPr="008A4619" w:rsidR="006B5C14" w:rsidP="006B5C14" w:rsidRDefault="006B5C14" w14:paraId="49984774" w14:textId="36CFD8C6">
            <w:pPr>
              <w:pStyle w:val="TableTextLeft"/>
              <w:jc w:val="center"/>
              <w:rPr>
                <w:rFonts w:asciiTheme="minorHAnsi" w:hAnsiTheme="minorHAnsi" w:cstheme="minorHAnsi"/>
                <w:b/>
                <w:bCs/>
                <w:sz w:val="24"/>
                <w:szCs w:val="24"/>
              </w:rPr>
            </w:pPr>
            <w:r w:rsidRPr="00F17987">
              <w:rPr>
                <w:rFonts w:asciiTheme="minorHAnsi" w:hAnsiTheme="minorHAnsi" w:cstheme="minorHAnsi"/>
                <w:sz w:val="24"/>
                <w:szCs w:val="24"/>
              </w:rPr>
              <w:sym w:font="Wingdings" w:char="F0FC"/>
            </w:r>
          </w:p>
        </w:tc>
        <w:tc>
          <w:tcPr>
            <w:tcW w:w="1798" w:type="dxa"/>
            <w:shd w:val="clear" w:color="auto" w:fill="E0D4B5"/>
          </w:tcPr>
          <w:p w:rsidRPr="008A4619" w:rsidR="006B5C14" w:rsidP="006B5C14" w:rsidRDefault="006B5C14" w14:paraId="71FA0361" w14:textId="77777777">
            <w:pPr>
              <w:pStyle w:val="TableTextLeft"/>
              <w:jc w:val="center"/>
              <w:rPr>
                <w:rFonts w:asciiTheme="minorHAnsi" w:hAnsiTheme="minorHAnsi" w:cstheme="minorHAnsi"/>
                <w:sz w:val="18"/>
                <w:szCs w:val="18"/>
              </w:rPr>
            </w:pPr>
          </w:p>
        </w:tc>
        <w:tc>
          <w:tcPr>
            <w:tcW w:w="1877" w:type="dxa"/>
            <w:shd w:val="clear" w:color="auto" w:fill="E0D4B5"/>
          </w:tcPr>
          <w:p w:rsidRPr="008A4619" w:rsidR="006B5C14" w:rsidP="006B5C14" w:rsidRDefault="006B5C14" w14:paraId="1F60A311" w14:textId="77777777">
            <w:pPr>
              <w:pStyle w:val="TableTextLeft"/>
              <w:jc w:val="center"/>
              <w:rPr>
                <w:rFonts w:asciiTheme="minorHAnsi" w:hAnsiTheme="minorHAnsi" w:cstheme="minorHAnsi"/>
                <w:sz w:val="18"/>
                <w:szCs w:val="18"/>
              </w:rPr>
            </w:pPr>
          </w:p>
        </w:tc>
        <w:tc>
          <w:tcPr>
            <w:tcW w:w="1877" w:type="dxa"/>
            <w:shd w:val="clear" w:color="auto" w:fill="E0D4B5"/>
          </w:tcPr>
          <w:p w:rsidRPr="008A4619" w:rsidR="006B5C14" w:rsidP="006B5C14" w:rsidRDefault="006B5C14" w14:paraId="595C7C58" w14:textId="77777777">
            <w:pPr>
              <w:pStyle w:val="TableTextLeft"/>
              <w:jc w:val="center"/>
              <w:rPr>
                <w:rFonts w:asciiTheme="minorHAnsi" w:hAnsiTheme="minorHAnsi" w:cstheme="minorHAnsi"/>
                <w:b/>
                <w:sz w:val="18"/>
                <w:szCs w:val="18"/>
              </w:rPr>
            </w:pPr>
          </w:p>
        </w:tc>
      </w:tr>
      <w:tr w:rsidRPr="008A4619" w:rsidR="006B5C14" w:rsidTr="00133EA5" w14:paraId="488CCE25" w14:textId="77777777">
        <w:trPr>
          <w:cantSplit/>
        </w:trPr>
        <w:tc>
          <w:tcPr>
            <w:tcW w:w="4725" w:type="dxa"/>
          </w:tcPr>
          <w:p w:rsidRPr="008A4619" w:rsidR="006B5C14" w:rsidP="006B5C14" w:rsidRDefault="006B5C14" w14:paraId="6BFAD445" w14:textId="0B5BBA84">
            <w:pPr>
              <w:pStyle w:val="TableTextLeft"/>
              <w:rPr>
                <w:rFonts w:asciiTheme="minorHAnsi" w:hAnsiTheme="minorHAnsi" w:cstheme="minorHAnsi"/>
                <w:sz w:val="18"/>
                <w:szCs w:val="18"/>
              </w:rPr>
            </w:pPr>
            <w:r w:rsidRPr="00D53F11">
              <w:rPr>
                <w:rFonts w:asciiTheme="minorHAnsi" w:hAnsiTheme="minorHAnsi" w:cstheme="minorHAnsi"/>
                <w:bCs/>
                <w:sz w:val="18"/>
                <w:szCs w:val="18"/>
              </w:rPr>
              <w:t>Staff characteristics and staff supports</w:t>
            </w:r>
          </w:p>
        </w:tc>
        <w:tc>
          <w:tcPr>
            <w:tcW w:w="1253" w:type="dxa"/>
          </w:tcPr>
          <w:p w:rsidRPr="008A4619" w:rsidR="006B5C14" w:rsidP="006B5C14" w:rsidRDefault="006B5C14" w14:paraId="17ED9EF8" w14:textId="77777777">
            <w:pPr>
              <w:pStyle w:val="TableTextLeft"/>
              <w:jc w:val="center"/>
              <w:rPr>
                <w:rFonts w:asciiTheme="minorHAnsi" w:hAnsiTheme="minorHAnsi" w:cstheme="minorHAnsi"/>
                <w:sz w:val="24"/>
              </w:rPr>
            </w:pPr>
          </w:p>
        </w:tc>
        <w:tc>
          <w:tcPr>
            <w:tcW w:w="1700" w:type="dxa"/>
          </w:tcPr>
          <w:p w:rsidRPr="008A4619" w:rsidR="006B5C14" w:rsidP="006B5C14" w:rsidRDefault="006B5C14" w14:paraId="11F85C99" w14:textId="700F05BB">
            <w:pPr>
              <w:pStyle w:val="TableTextLeft"/>
              <w:jc w:val="center"/>
              <w:rPr>
                <w:rFonts w:asciiTheme="minorHAnsi" w:hAnsiTheme="minorHAnsi" w:cstheme="minorHAnsi"/>
                <w:sz w:val="24"/>
                <w:szCs w:val="24"/>
              </w:rPr>
            </w:pPr>
            <w:r w:rsidRPr="00F17987">
              <w:rPr>
                <w:rFonts w:asciiTheme="minorHAnsi" w:hAnsiTheme="minorHAnsi" w:cstheme="minorHAnsi"/>
                <w:sz w:val="24"/>
                <w:szCs w:val="24"/>
              </w:rPr>
              <w:sym w:font="Wingdings" w:char="F0FC"/>
            </w:r>
          </w:p>
        </w:tc>
        <w:tc>
          <w:tcPr>
            <w:tcW w:w="1798" w:type="dxa"/>
          </w:tcPr>
          <w:p w:rsidRPr="008A4619" w:rsidR="006B5C14" w:rsidP="006B5C14" w:rsidRDefault="006B5C14" w14:paraId="00051E85" w14:textId="77777777">
            <w:pPr>
              <w:pStyle w:val="TableTextLeft"/>
              <w:jc w:val="center"/>
              <w:rPr>
                <w:rFonts w:asciiTheme="minorHAnsi" w:hAnsiTheme="minorHAnsi" w:cstheme="minorHAnsi"/>
                <w:sz w:val="18"/>
                <w:szCs w:val="18"/>
              </w:rPr>
            </w:pPr>
          </w:p>
        </w:tc>
        <w:tc>
          <w:tcPr>
            <w:tcW w:w="1877" w:type="dxa"/>
          </w:tcPr>
          <w:p w:rsidRPr="008A4619" w:rsidR="006B5C14" w:rsidP="006B5C14" w:rsidRDefault="006B5C14" w14:paraId="5F708BFD" w14:textId="77777777">
            <w:pPr>
              <w:pStyle w:val="TableTextLeft"/>
              <w:jc w:val="center"/>
              <w:rPr>
                <w:rFonts w:asciiTheme="minorHAnsi" w:hAnsiTheme="minorHAnsi" w:cstheme="minorHAnsi"/>
                <w:sz w:val="18"/>
                <w:szCs w:val="18"/>
              </w:rPr>
            </w:pPr>
          </w:p>
        </w:tc>
        <w:tc>
          <w:tcPr>
            <w:tcW w:w="1877" w:type="dxa"/>
          </w:tcPr>
          <w:p w:rsidRPr="008A4619" w:rsidR="006B5C14" w:rsidP="006B5C14" w:rsidRDefault="006B5C14" w14:paraId="7BB7412C" w14:textId="6B59D360">
            <w:pPr>
              <w:pStyle w:val="TableTextLeft"/>
              <w:jc w:val="center"/>
              <w:rPr>
                <w:rFonts w:asciiTheme="minorHAnsi" w:hAnsiTheme="minorHAnsi" w:cstheme="minorHAnsi"/>
                <w:b/>
                <w:sz w:val="18"/>
                <w:szCs w:val="18"/>
              </w:rPr>
            </w:pPr>
            <w:r w:rsidRPr="00B16DB0">
              <w:rPr>
                <w:rFonts w:asciiTheme="minorHAnsi" w:hAnsiTheme="minorHAnsi" w:cstheme="minorHAnsi"/>
                <w:sz w:val="24"/>
                <w:szCs w:val="24"/>
              </w:rPr>
              <w:sym w:font="Wingdings" w:char="F0FC"/>
            </w:r>
          </w:p>
        </w:tc>
      </w:tr>
      <w:tr w:rsidRPr="008A4619" w:rsidR="00133EA5" w:rsidTr="00133EA5" w14:paraId="40318D91" w14:textId="77777777">
        <w:trPr>
          <w:cantSplit/>
        </w:trPr>
        <w:tc>
          <w:tcPr>
            <w:tcW w:w="4725" w:type="dxa"/>
            <w:shd w:val="clear" w:color="auto" w:fill="DDD9C3" w:themeFill="background2" w:themeFillShade="E6"/>
          </w:tcPr>
          <w:p w:rsidRPr="00133EA5" w:rsidR="00133EA5" w:rsidP="00133EA5" w:rsidRDefault="00133EA5" w14:paraId="5CCD3A9B" w14:textId="33D32BFE">
            <w:pPr>
              <w:pStyle w:val="TableTextLeft"/>
              <w:rPr>
                <w:rFonts w:asciiTheme="minorHAnsi" w:hAnsiTheme="minorHAnsi" w:cstheme="minorHAnsi"/>
                <w:bCs/>
                <w:sz w:val="18"/>
                <w:szCs w:val="18"/>
              </w:rPr>
            </w:pPr>
            <w:r w:rsidRPr="00D53F11">
              <w:rPr>
                <w:rFonts w:asciiTheme="minorHAnsi" w:hAnsiTheme="minorHAnsi" w:cstheme="minorHAnsi"/>
                <w:bCs/>
                <w:sz w:val="18"/>
                <w:szCs w:val="18"/>
              </w:rPr>
              <w:t>Environment</w:t>
            </w:r>
          </w:p>
        </w:tc>
        <w:tc>
          <w:tcPr>
            <w:tcW w:w="1253" w:type="dxa"/>
            <w:shd w:val="clear" w:color="auto" w:fill="DDD9C3" w:themeFill="background2" w:themeFillShade="E6"/>
          </w:tcPr>
          <w:p w:rsidRPr="008A4619" w:rsidR="00133EA5" w:rsidP="00133EA5" w:rsidRDefault="00133EA5" w14:paraId="063F3C61" w14:textId="77777777">
            <w:pPr>
              <w:pStyle w:val="TableTextLeft"/>
              <w:jc w:val="center"/>
              <w:rPr>
                <w:rFonts w:asciiTheme="minorHAnsi" w:hAnsiTheme="minorHAnsi" w:cstheme="minorHAnsi"/>
                <w:sz w:val="24"/>
                <w:szCs w:val="24"/>
              </w:rPr>
            </w:pPr>
          </w:p>
        </w:tc>
        <w:tc>
          <w:tcPr>
            <w:tcW w:w="1700" w:type="dxa"/>
            <w:shd w:val="clear" w:color="auto" w:fill="DDD9C3" w:themeFill="background2" w:themeFillShade="E6"/>
          </w:tcPr>
          <w:p w:rsidRPr="008A4619" w:rsidR="00133EA5" w:rsidP="00133EA5" w:rsidRDefault="00133EA5" w14:paraId="42FBFAC7" w14:textId="590F1CDD">
            <w:pPr>
              <w:pStyle w:val="TableTextLeft"/>
              <w:jc w:val="center"/>
              <w:rPr>
                <w:rFonts w:asciiTheme="minorHAnsi" w:hAnsiTheme="minorHAnsi" w:cstheme="minorHAnsi"/>
                <w:sz w:val="24"/>
                <w:szCs w:val="24"/>
              </w:rPr>
            </w:pPr>
            <w:r w:rsidRPr="00F17987">
              <w:rPr>
                <w:rFonts w:asciiTheme="minorHAnsi" w:hAnsiTheme="minorHAnsi" w:cstheme="minorHAnsi"/>
                <w:sz w:val="24"/>
                <w:szCs w:val="24"/>
              </w:rPr>
              <w:sym w:font="Wingdings" w:char="F0FC"/>
            </w:r>
          </w:p>
        </w:tc>
        <w:tc>
          <w:tcPr>
            <w:tcW w:w="1798" w:type="dxa"/>
            <w:shd w:val="clear" w:color="auto" w:fill="DDD9C3" w:themeFill="background2" w:themeFillShade="E6"/>
          </w:tcPr>
          <w:p w:rsidRPr="008A4619" w:rsidR="00133EA5" w:rsidP="00133EA5" w:rsidRDefault="00133EA5" w14:paraId="57D07E35" w14:textId="77777777">
            <w:pPr>
              <w:pStyle w:val="TableTextLeft"/>
              <w:jc w:val="center"/>
              <w:rPr>
                <w:rFonts w:asciiTheme="minorHAnsi" w:hAnsiTheme="minorHAnsi" w:cstheme="minorHAnsi"/>
                <w:sz w:val="18"/>
                <w:szCs w:val="18"/>
              </w:rPr>
            </w:pPr>
          </w:p>
        </w:tc>
        <w:tc>
          <w:tcPr>
            <w:tcW w:w="1877" w:type="dxa"/>
            <w:shd w:val="clear" w:color="auto" w:fill="DDD9C3" w:themeFill="background2" w:themeFillShade="E6"/>
          </w:tcPr>
          <w:p w:rsidRPr="008A4619" w:rsidR="00133EA5" w:rsidP="00133EA5" w:rsidRDefault="00133EA5" w14:paraId="74868FE4" w14:textId="77777777">
            <w:pPr>
              <w:pStyle w:val="TableTextLeft"/>
              <w:jc w:val="center"/>
              <w:rPr>
                <w:rFonts w:asciiTheme="minorHAnsi" w:hAnsiTheme="minorHAnsi" w:cstheme="minorHAnsi"/>
                <w:sz w:val="18"/>
                <w:szCs w:val="18"/>
              </w:rPr>
            </w:pPr>
          </w:p>
        </w:tc>
        <w:tc>
          <w:tcPr>
            <w:tcW w:w="1877" w:type="dxa"/>
            <w:shd w:val="clear" w:color="auto" w:fill="DDD9C3" w:themeFill="background2" w:themeFillShade="E6"/>
          </w:tcPr>
          <w:p w:rsidRPr="008A4619" w:rsidR="00133EA5" w:rsidP="00133EA5" w:rsidRDefault="00133EA5" w14:paraId="694B1975" w14:textId="7778CD12">
            <w:pPr>
              <w:pStyle w:val="TableTextLeft"/>
              <w:jc w:val="center"/>
              <w:rPr>
                <w:rFonts w:asciiTheme="minorHAnsi" w:hAnsiTheme="minorHAnsi" w:cstheme="minorHAnsi"/>
                <w:b/>
                <w:sz w:val="18"/>
                <w:szCs w:val="18"/>
              </w:rPr>
            </w:pPr>
            <w:r w:rsidRPr="00EB7E65">
              <w:rPr>
                <w:rFonts w:asciiTheme="minorHAnsi" w:hAnsiTheme="minorHAnsi" w:cstheme="minorHAnsi"/>
                <w:sz w:val="24"/>
                <w:szCs w:val="24"/>
              </w:rPr>
              <w:sym w:font="Wingdings" w:char="F0FC"/>
            </w:r>
          </w:p>
        </w:tc>
      </w:tr>
      <w:tr w:rsidRPr="008A4619" w:rsidR="00133EA5" w:rsidTr="00133EA5" w14:paraId="0BDFE9E1" w14:textId="77777777">
        <w:trPr>
          <w:cantSplit/>
        </w:trPr>
        <w:tc>
          <w:tcPr>
            <w:tcW w:w="4725" w:type="dxa"/>
            <w:shd w:val="clear" w:color="auto" w:fill="FFFFFF" w:themeFill="background1"/>
          </w:tcPr>
          <w:p w:rsidRPr="008A4619" w:rsidR="00133EA5" w:rsidP="00133EA5" w:rsidRDefault="00133EA5" w14:paraId="4810C92C" w14:textId="3708F885">
            <w:pPr>
              <w:pStyle w:val="TableTextLeft"/>
              <w:rPr>
                <w:rFonts w:asciiTheme="minorHAnsi" w:hAnsiTheme="minorHAnsi" w:cstheme="minorHAnsi"/>
                <w:sz w:val="18"/>
                <w:szCs w:val="18"/>
              </w:rPr>
            </w:pPr>
            <w:r w:rsidRPr="00D53F11">
              <w:rPr>
                <w:rFonts w:asciiTheme="minorHAnsi" w:hAnsiTheme="minorHAnsi" w:cstheme="minorHAnsi"/>
                <w:bCs/>
                <w:sz w:val="18"/>
                <w:szCs w:val="18"/>
              </w:rPr>
              <w:t>Delivery of select comprehensive services (types, structure, reach)</w:t>
            </w:r>
          </w:p>
        </w:tc>
        <w:tc>
          <w:tcPr>
            <w:tcW w:w="1253" w:type="dxa"/>
            <w:shd w:val="clear" w:color="auto" w:fill="FFFFFF" w:themeFill="background1"/>
          </w:tcPr>
          <w:p w:rsidRPr="008A4619" w:rsidR="00133EA5" w:rsidP="00133EA5" w:rsidRDefault="00133EA5" w14:paraId="3470CDDD" w14:textId="77777777">
            <w:pPr>
              <w:pStyle w:val="TableTextLeft"/>
              <w:jc w:val="center"/>
              <w:rPr>
                <w:rFonts w:asciiTheme="minorHAnsi" w:hAnsiTheme="minorHAnsi" w:cstheme="minorHAnsi"/>
                <w:sz w:val="24"/>
              </w:rPr>
            </w:pPr>
          </w:p>
        </w:tc>
        <w:tc>
          <w:tcPr>
            <w:tcW w:w="1700" w:type="dxa"/>
            <w:shd w:val="clear" w:color="auto" w:fill="FFFFFF" w:themeFill="background1"/>
          </w:tcPr>
          <w:p w:rsidRPr="008A4619" w:rsidR="00133EA5" w:rsidP="00133EA5" w:rsidRDefault="00133EA5" w14:paraId="66966F53" w14:textId="474B83B8">
            <w:pPr>
              <w:pStyle w:val="TableTextLeft"/>
              <w:jc w:val="center"/>
              <w:rPr>
                <w:rFonts w:asciiTheme="minorHAnsi" w:hAnsiTheme="minorHAnsi" w:cstheme="minorHAnsi"/>
                <w:sz w:val="24"/>
                <w:szCs w:val="24"/>
              </w:rPr>
            </w:pPr>
            <w:r w:rsidRPr="00F17987">
              <w:rPr>
                <w:rFonts w:asciiTheme="minorHAnsi" w:hAnsiTheme="minorHAnsi" w:cstheme="minorHAnsi"/>
                <w:sz w:val="24"/>
                <w:szCs w:val="24"/>
              </w:rPr>
              <w:sym w:font="Wingdings" w:char="F0FC"/>
            </w:r>
          </w:p>
        </w:tc>
        <w:tc>
          <w:tcPr>
            <w:tcW w:w="1798" w:type="dxa"/>
            <w:shd w:val="clear" w:color="auto" w:fill="FFFFFF" w:themeFill="background1"/>
          </w:tcPr>
          <w:p w:rsidRPr="008A4619" w:rsidR="00133EA5" w:rsidP="00133EA5" w:rsidRDefault="00133EA5" w14:paraId="3439AD67" w14:textId="77777777">
            <w:pPr>
              <w:pStyle w:val="TableTextLeft"/>
              <w:jc w:val="center"/>
              <w:rPr>
                <w:rFonts w:asciiTheme="minorHAnsi" w:hAnsiTheme="minorHAnsi" w:cstheme="minorHAnsi"/>
                <w:sz w:val="18"/>
                <w:szCs w:val="18"/>
              </w:rPr>
            </w:pPr>
          </w:p>
        </w:tc>
        <w:tc>
          <w:tcPr>
            <w:tcW w:w="1877" w:type="dxa"/>
            <w:shd w:val="clear" w:color="auto" w:fill="FFFFFF" w:themeFill="background1"/>
          </w:tcPr>
          <w:p w:rsidRPr="008A4619" w:rsidR="00133EA5" w:rsidP="00133EA5" w:rsidRDefault="00133EA5" w14:paraId="23BE11A0" w14:textId="77777777">
            <w:pPr>
              <w:pStyle w:val="TableTextLeft"/>
              <w:jc w:val="center"/>
              <w:rPr>
                <w:rFonts w:asciiTheme="minorHAnsi" w:hAnsiTheme="minorHAnsi" w:cstheme="minorHAnsi"/>
                <w:sz w:val="18"/>
                <w:szCs w:val="18"/>
              </w:rPr>
            </w:pPr>
          </w:p>
        </w:tc>
        <w:tc>
          <w:tcPr>
            <w:tcW w:w="1877" w:type="dxa"/>
            <w:shd w:val="clear" w:color="auto" w:fill="FFFFFF" w:themeFill="background1"/>
          </w:tcPr>
          <w:p w:rsidRPr="008A4619" w:rsidR="00133EA5" w:rsidP="00133EA5" w:rsidRDefault="00133EA5" w14:paraId="4DB6EC5C" w14:textId="70601676">
            <w:pPr>
              <w:pStyle w:val="TableTextLeft"/>
              <w:jc w:val="center"/>
              <w:rPr>
                <w:rFonts w:asciiTheme="minorHAnsi" w:hAnsiTheme="minorHAnsi" w:cstheme="minorHAnsi"/>
                <w:b/>
                <w:sz w:val="18"/>
                <w:szCs w:val="18"/>
              </w:rPr>
            </w:pPr>
            <w:r w:rsidRPr="00EB7E65">
              <w:rPr>
                <w:rFonts w:asciiTheme="minorHAnsi" w:hAnsiTheme="minorHAnsi" w:cstheme="minorHAnsi"/>
                <w:sz w:val="24"/>
                <w:szCs w:val="24"/>
              </w:rPr>
              <w:sym w:font="Wingdings" w:char="F0FC"/>
            </w:r>
          </w:p>
        </w:tc>
      </w:tr>
      <w:tr w:rsidRPr="008A4619" w:rsidR="00133EA5" w:rsidTr="00133EA5" w14:paraId="717DB242" w14:textId="77777777">
        <w:trPr>
          <w:cantSplit/>
        </w:trPr>
        <w:tc>
          <w:tcPr>
            <w:tcW w:w="4725" w:type="dxa"/>
            <w:shd w:val="clear" w:color="auto" w:fill="DDD9C3" w:themeFill="background2" w:themeFillShade="E6"/>
          </w:tcPr>
          <w:p w:rsidRPr="008A4619" w:rsidR="00133EA5" w:rsidP="00133EA5" w:rsidRDefault="00133EA5" w14:paraId="281C10D1" w14:textId="460D57CE">
            <w:pPr>
              <w:pStyle w:val="TableTextLeft"/>
              <w:rPr>
                <w:rFonts w:asciiTheme="minorHAnsi" w:hAnsiTheme="minorHAnsi" w:cstheme="minorHAnsi"/>
                <w:sz w:val="18"/>
                <w:szCs w:val="18"/>
              </w:rPr>
            </w:pPr>
            <w:r w:rsidRPr="00D53F11">
              <w:rPr>
                <w:rFonts w:asciiTheme="minorHAnsi" w:hAnsiTheme="minorHAnsi" w:cstheme="minorHAnsi"/>
                <w:bCs/>
                <w:sz w:val="18"/>
                <w:szCs w:val="18"/>
              </w:rPr>
              <w:t>Quality monitoring</w:t>
            </w:r>
          </w:p>
        </w:tc>
        <w:tc>
          <w:tcPr>
            <w:tcW w:w="1253" w:type="dxa"/>
            <w:shd w:val="clear" w:color="auto" w:fill="DDD9C3" w:themeFill="background2" w:themeFillShade="E6"/>
          </w:tcPr>
          <w:p w:rsidRPr="008A4619" w:rsidR="00133EA5" w:rsidP="00133EA5" w:rsidRDefault="00133EA5" w14:paraId="7CF64ED9" w14:textId="2F360292">
            <w:pPr>
              <w:pStyle w:val="TableTextLeft"/>
              <w:jc w:val="center"/>
              <w:rPr>
                <w:rFonts w:asciiTheme="minorHAnsi" w:hAnsiTheme="minorHAnsi" w:cstheme="minorHAnsi"/>
                <w:sz w:val="24"/>
              </w:rPr>
            </w:pPr>
            <w:r w:rsidRPr="00521E80">
              <w:rPr>
                <w:rFonts w:asciiTheme="minorHAnsi" w:hAnsiTheme="minorHAnsi" w:cstheme="minorHAnsi"/>
                <w:sz w:val="24"/>
                <w:szCs w:val="24"/>
              </w:rPr>
              <w:sym w:font="Wingdings" w:char="F0FC"/>
            </w:r>
          </w:p>
        </w:tc>
        <w:tc>
          <w:tcPr>
            <w:tcW w:w="1700" w:type="dxa"/>
            <w:shd w:val="clear" w:color="auto" w:fill="DDD9C3" w:themeFill="background2" w:themeFillShade="E6"/>
          </w:tcPr>
          <w:p w:rsidRPr="008A4619" w:rsidR="00133EA5" w:rsidP="00133EA5" w:rsidRDefault="00133EA5" w14:paraId="103BE24E" w14:textId="6E32D583">
            <w:pPr>
              <w:pStyle w:val="TableTextLeft"/>
              <w:jc w:val="center"/>
              <w:rPr>
                <w:rFonts w:asciiTheme="minorHAnsi" w:hAnsiTheme="minorHAnsi" w:cstheme="minorHAnsi"/>
                <w:sz w:val="24"/>
                <w:szCs w:val="24"/>
              </w:rPr>
            </w:pPr>
            <w:r w:rsidRPr="00521E80">
              <w:rPr>
                <w:rFonts w:asciiTheme="minorHAnsi" w:hAnsiTheme="minorHAnsi" w:cstheme="minorHAnsi"/>
                <w:sz w:val="24"/>
                <w:szCs w:val="24"/>
              </w:rPr>
              <w:sym w:font="Wingdings" w:char="F0FC"/>
            </w:r>
          </w:p>
        </w:tc>
        <w:tc>
          <w:tcPr>
            <w:tcW w:w="1798" w:type="dxa"/>
            <w:shd w:val="clear" w:color="auto" w:fill="DDD9C3" w:themeFill="background2" w:themeFillShade="E6"/>
          </w:tcPr>
          <w:p w:rsidRPr="008A4619" w:rsidR="00133EA5" w:rsidP="00133EA5" w:rsidRDefault="00133EA5" w14:paraId="64658D65" w14:textId="77777777">
            <w:pPr>
              <w:pStyle w:val="TableTextLeft"/>
              <w:jc w:val="center"/>
              <w:rPr>
                <w:rFonts w:asciiTheme="minorHAnsi" w:hAnsiTheme="minorHAnsi" w:cstheme="minorHAnsi"/>
                <w:sz w:val="24"/>
                <w:szCs w:val="24"/>
              </w:rPr>
            </w:pPr>
          </w:p>
        </w:tc>
        <w:tc>
          <w:tcPr>
            <w:tcW w:w="1877" w:type="dxa"/>
            <w:shd w:val="clear" w:color="auto" w:fill="DDD9C3" w:themeFill="background2" w:themeFillShade="E6"/>
          </w:tcPr>
          <w:p w:rsidRPr="008A4619" w:rsidR="00133EA5" w:rsidP="00133EA5" w:rsidRDefault="00133EA5" w14:paraId="26EE4B56" w14:textId="77777777">
            <w:pPr>
              <w:pStyle w:val="TableTextLeft"/>
              <w:jc w:val="center"/>
              <w:rPr>
                <w:rFonts w:asciiTheme="minorHAnsi" w:hAnsiTheme="minorHAnsi" w:cstheme="minorHAnsi"/>
                <w:sz w:val="18"/>
                <w:szCs w:val="18"/>
              </w:rPr>
            </w:pPr>
          </w:p>
        </w:tc>
        <w:tc>
          <w:tcPr>
            <w:tcW w:w="1877" w:type="dxa"/>
            <w:shd w:val="clear" w:color="auto" w:fill="DDD9C3" w:themeFill="background2" w:themeFillShade="E6"/>
          </w:tcPr>
          <w:p w:rsidRPr="008A4619" w:rsidR="00133EA5" w:rsidP="00133EA5" w:rsidRDefault="00133EA5" w14:paraId="1ECCEE72" w14:textId="314A8E80">
            <w:pPr>
              <w:pStyle w:val="TableTextLeft"/>
              <w:jc w:val="center"/>
              <w:rPr>
                <w:rFonts w:asciiTheme="minorHAnsi" w:hAnsiTheme="minorHAnsi" w:cstheme="minorHAnsi"/>
                <w:b/>
                <w:sz w:val="18"/>
                <w:szCs w:val="18"/>
              </w:rPr>
            </w:pPr>
            <w:r w:rsidRPr="00EB7E65">
              <w:rPr>
                <w:rFonts w:asciiTheme="minorHAnsi" w:hAnsiTheme="minorHAnsi" w:cstheme="minorHAnsi"/>
                <w:sz w:val="24"/>
                <w:szCs w:val="24"/>
              </w:rPr>
              <w:sym w:font="Wingdings" w:char="F0FC"/>
            </w:r>
          </w:p>
        </w:tc>
      </w:tr>
      <w:tr w:rsidRPr="008A4619" w:rsidR="00133EA5" w:rsidTr="00133EA5" w14:paraId="785ACA29" w14:textId="77777777">
        <w:trPr>
          <w:cantSplit/>
        </w:trPr>
        <w:tc>
          <w:tcPr>
            <w:tcW w:w="4725" w:type="dxa"/>
          </w:tcPr>
          <w:p w:rsidRPr="008A4619" w:rsidR="00133EA5" w:rsidP="00133EA5" w:rsidRDefault="00133EA5" w14:paraId="7E2C8B1A" w14:textId="3BD5F0F5">
            <w:pPr>
              <w:pStyle w:val="TableTextLeft"/>
              <w:rPr>
                <w:rFonts w:asciiTheme="minorHAnsi" w:hAnsiTheme="minorHAnsi" w:cstheme="minorHAnsi"/>
                <w:sz w:val="18"/>
                <w:szCs w:val="18"/>
              </w:rPr>
            </w:pPr>
            <w:r w:rsidRPr="00D53F11">
              <w:rPr>
                <w:rFonts w:asciiTheme="minorHAnsi" w:hAnsiTheme="minorHAnsi" w:cstheme="minorHAnsi"/>
                <w:bCs/>
                <w:sz w:val="18"/>
                <w:szCs w:val="18"/>
              </w:rPr>
              <w:t>Participation in quality improvement initiatives</w:t>
            </w:r>
          </w:p>
        </w:tc>
        <w:tc>
          <w:tcPr>
            <w:tcW w:w="1253" w:type="dxa"/>
          </w:tcPr>
          <w:p w:rsidRPr="008A4619" w:rsidR="00133EA5" w:rsidP="00133EA5" w:rsidRDefault="00133EA5" w14:paraId="4960CDD6" w14:textId="77777777">
            <w:pPr>
              <w:pStyle w:val="TableTextLeft"/>
              <w:jc w:val="center"/>
              <w:rPr>
                <w:rFonts w:asciiTheme="minorHAnsi" w:hAnsiTheme="minorHAnsi" w:cstheme="minorHAnsi"/>
                <w:sz w:val="24"/>
                <w:szCs w:val="24"/>
              </w:rPr>
            </w:pPr>
          </w:p>
        </w:tc>
        <w:tc>
          <w:tcPr>
            <w:tcW w:w="1700" w:type="dxa"/>
          </w:tcPr>
          <w:p w:rsidRPr="008A4619" w:rsidR="00133EA5" w:rsidP="00133EA5" w:rsidRDefault="00133EA5" w14:paraId="21C5706C" w14:textId="08EE5F98">
            <w:pPr>
              <w:pStyle w:val="TableTextLeft"/>
              <w:jc w:val="center"/>
              <w:rPr>
                <w:rFonts w:asciiTheme="minorHAnsi" w:hAnsiTheme="minorHAnsi" w:cstheme="minorHAnsi"/>
                <w:sz w:val="24"/>
                <w:szCs w:val="24"/>
              </w:rPr>
            </w:pPr>
            <w:r w:rsidRPr="008A4619">
              <w:rPr>
                <w:rFonts w:asciiTheme="minorHAnsi" w:hAnsiTheme="minorHAnsi" w:cstheme="minorHAnsi"/>
                <w:sz w:val="24"/>
                <w:szCs w:val="24"/>
              </w:rPr>
              <w:sym w:font="Wingdings" w:char="F0FC"/>
            </w:r>
          </w:p>
        </w:tc>
        <w:tc>
          <w:tcPr>
            <w:tcW w:w="1798" w:type="dxa"/>
          </w:tcPr>
          <w:p w:rsidRPr="008A4619" w:rsidR="00133EA5" w:rsidP="00133EA5" w:rsidRDefault="00133EA5" w14:paraId="2E76A55E" w14:textId="77777777">
            <w:pPr>
              <w:pStyle w:val="TableTextLeft"/>
              <w:jc w:val="center"/>
              <w:rPr>
                <w:rFonts w:asciiTheme="minorHAnsi" w:hAnsiTheme="minorHAnsi" w:cstheme="minorHAnsi"/>
                <w:sz w:val="24"/>
                <w:szCs w:val="24"/>
              </w:rPr>
            </w:pPr>
          </w:p>
        </w:tc>
        <w:tc>
          <w:tcPr>
            <w:tcW w:w="1877" w:type="dxa"/>
          </w:tcPr>
          <w:p w:rsidRPr="008A4619" w:rsidR="00133EA5" w:rsidP="00133EA5" w:rsidRDefault="00133EA5" w14:paraId="18B2E197" w14:textId="77777777">
            <w:pPr>
              <w:pStyle w:val="TableTextLeft"/>
              <w:jc w:val="center"/>
              <w:rPr>
                <w:rFonts w:asciiTheme="minorHAnsi" w:hAnsiTheme="minorHAnsi" w:cstheme="minorHAnsi"/>
                <w:sz w:val="18"/>
                <w:szCs w:val="18"/>
              </w:rPr>
            </w:pPr>
          </w:p>
        </w:tc>
        <w:tc>
          <w:tcPr>
            <w:tcW w:w="1877" w:type="dxa"/>
          </w:tcPr>
          <w:p w:rsidRPr="008A4619" w:rsidR="00133EA5" w:rsidP="00133EA5" w:rsidRDefault="00133EA5" w14:paraId="21851A8D" w14:textId="1449920E">
            <w:pPr>
              <w:pStyle w:val="TableTextLeft"/>
              <w:jc w:val="center"/>
              <w:rPr>
                <w:rFonts w:asciiTheme="minorHAnsi" w:hAnsiTheme="minorHAnsi" w:cstheme="minorHAnsi"/>
                <w:b/>
                <w:sz w:val="18"/>
                <w:szCs w:val="18"/>
              </w:rPr>
            </w:pPr>
            <w:r w:rsidRPr="00EB7E65">
              <w:rPr>
                <w:rFonts w:asciiTheme="minorHAnsi" w:hAnsiTheme="minorHAnsi" w:cstheme="minorHAnsi"/>
                <w:sz w:val="24"/>
                <w:szCs w:val="24"/>
              </w:rPr>
              <w:sym w:font="Wingdings" w:char="F0FC"/>
            </w:r>
          </w:p>
        </w:tc>
      </w:tr>
      <w:tr w:rsidRPr="008A4619" w:rsidR="00133EA5" w:rsidTr="00133EA5" w14:paraId="72956FE8" w14:textId="77777777">
        <w:trPr>
          <w:cantSplit/>
        </w:trPr>
        <w:tc>
          <w:tcPr>
            <w:tcW w:w="4725" w:type="dxa"/>
            <w:shd w:val="clear" w:color="auto" w:fill="E0D4B5"/>
          </w:tcPr>
          <w:p w:rsidRPr="00625A53" w:rsidR="00133EA5" w:rsidP="00133EA5" w:rsidRDefault="00133EA5" w14:paraId="2896DF0D" w14:textId="227481B4">
            <w:pPr>
              <w:pStyle w:val="TableTextLeft"/>
              <w:rPr>
                <w:rFonts w:asciiTheme="minorHAnsi" w:hAnsiTheme="minorHAnsi" w:cstheme="minorHAnsi"/>
                <w:bCs/>
                <w:sz w:val="18"/>
                <w:szCs w:val="18"/>
              </w:rPr>
            </w:pPr>
            <w:r w:rsidRPr="00625A53">
              <w:rPr>
                <w:rFonts w:asciiTheme="minorHAnsi" w:hAnsiTheme="minorHAnsi" w:cstheme="minorHAnsi"/>
                <w:bCs/>
                <w:sz w:val="18"/>
                <w:szCs w:val="18"/>
              </w:rPr>
              <w:lastRenderedPageBreak/>
              <w:t>Partnership agreements/plans and development processes (changes over time)</w:t>
            </w:r>
          </w:p>
        </w:tc>
        <w:tc>
          <w:tcPr>
            <w:tcW w:w="1253" w:type="dxa"/>
            <w:shd w:val="clear" w:color="auto" w:fill="E0D4B5"/>
          </w:tcPr>
          <w:p w:rsidRPr="008A4619" w:rsidR="00133EA5" w:rsidP="00133EA5" w:rsidRDefault="00133EA5" w14:paraId="433340E0" w14:textId="4B8EB451">
            <w:pPr>
              <w:pStyle w:val="TableTextLeft"/>
              <w:jc w:val="center"/>
              <w:rPr>
                <w:rFonts w:asciiTheme="minorHAnsi" w:hAnsiTheme="minorHAnsi" w:cstheme="minorHAnsi"/>
                <w:sz w:val="24"/>
                <w:szCs w:val="24"/>
              </w:rPr>
            </w:pPr>
            <w:r w:rsidRPr="007D3379">
              <w:rPr>
                <w:rFonts w:asciiTheme="minorHAnsi" w:hAnsiTheme="minorHAnsi" w:cstheme="minorHAnsi"/>
                <w:sz w:val="24"/>
                <w:szCs w:val="24"/>
              </w:rPr>
              <w:sym w:font="Wingdings" w:char="F0FC"/>
            </w:r>
          </w:p>
        </w:tc>
        <w:tc>
          <w:tcPr>
            <w:tcW w:w="1700" w:type="dxa"/>
            <w:shd w:val="clear" w:color="auto" w:fill="E0D4B5"/>
          </w:tcPr>
          <w:p w:rsidRPr="008A4619" w:rsidR="00133EA5" w:rsidP="00133EA5" w:rsidRDefault="00133EA5" w14:paraId="204C999C" w14:textId="75DA1CC5">
            <w:pPr>
              <w:pStyle w:val="TableTextLeft"/>
              <w:jc w:val="center"/>
              <w:rPr>
                <w:rFonts w:asciiTheme="minorHAnsi" w:hAnsiTheme="minorHAnsi" w:cstheme="minorHAnsi"/>
                <w:sz w:val="24"/>
                <w:szCs w:val="24"/>
              </w:rPr>
            </w:pPr>
            <w:r w:rsidRPr="007D3379">
              <w:rPr>
                <w:rFonts w:asciiTheme="minorHAnsi" w:hAnsiTheme="minorHAnsi" w:cstheme="minorHAnsi"/>
                <w:sz w:val="24"/>
                <w:szCs w:val="24"/>
              </w:rPr>
              <w:sym w:font="Wingdings" w:char="F0FC"/>
            </w:r>
          </w:p>
        </w:tc>
        <w:tc>
          <w:tcPr>
            <w:tcW w:w="1798" w:type="dxa"/>
            <w:shd w:val="clear" w:color="auto" w:fill="E0D4B5"/>
          </w:tcPr>
          <w:p w:rsidRPr="008A4619" w:rsidR="00133EA5" w:rsidP="00133EA5" w:rsidRDefault="00133EA5" w14:paraId="35ADAD0B" w14:textId="77777777">
            <w:pPr>
              <w:pStyle w:val="TableTextLeft"/>
              <w:jc w:val="center"/>
              <w:rPr>
                <w:rFonts w:asciiTheme="minorHAnsi" w:hAnsiTheme="minorHAnsi" w:cstheme="minorHAnsi"/>
                <w:sz w:val="24"/>
                <w:szCs w:val="24"/>
              </w:rPr>
            </w:pPr>
          </w:p>
        </w:tc>
        <w:tc>
          <w:tcPr>
            <w:tcW w:w="1877" w:type="dxa"/>
            <w:shd w:val="clear" w:color="auto" w:fill="E0D4B5"/>
          </w:tcPr>
          <w:p w:rsidRPr="008A4619" w:rsidR="00133EA5" w:rsidP="00133EA5" w:rsidRDefault="00133EA5" w14:paraId="62D461C0" w14:textId="77777777">
            <w:pPr>
              <w:pStyle w:val="TableTextLeft"/>
              <w:jc w:val="center"/>
              <w:rPr>
                <w:rFonts w:asciiTheme="minorHAnsi" w:hAnsiTheme="minorHAnsi" w:cstheme="minorHAnsi"/>
                <w:sz w:val="18"/>
                <w:szCs w:val="18"/>
              </w:rPr>
            </w:pPr>
          </w:p>
        </w:tc>
        <w:tc>
          <w:tcPr>
            <w:tcW w:w="1877" w:type="dxa"/>
            <w:shd w:val="clear" w:color="auto" w:fill="E0D4B5"/>
          </w:tcPr>
          <w:p w:rsidRPr="008A4619" w:rsidR="00133EA5" w:rsidP="00133EA5" w:rsidRDefault="00133EA5" w14:paraId="08B6EC07" w14:textId="6574D67C">
            <w:pPr>
              <w:pStyle w:val="TableTextLeft"/>
              <w:jc w:val="center"/>
              <w:rPr>
                <w:rFonts w:asciiTheme="minorHAnsi" w:hAnsiTheme="minorHAnsi" w:cstheme="minorHAnsi"/>
                <w:b/>
                <w:sz w:val="18"/>
                <w:szCs w:val="18"/>
              </w:rPr>
            </w:pPr>
            <w:r w:rsidRPr="00EB7E65">
              <w:rPr>
                <w:rFonts w:asciiTheme="minorHAnsi" w:hAnsiTheme="minorHAnsi" w:cstheme="minorHAnsi"/>
                <w:sz w:val="24"/>
                <w:szCs w:val="24"/>
              </w:rPr>
              <w:sym w:font="Wingdings" w:char="F0FC"/>
            </w:r>
          </w:p>
        </w:tc>
      </w:tr>
      <w:tr w:rsidRPr="008A4619" w:rsidR="00133EA5" w:rsidTr="00133EA5" w14:paraId="34EA18E5" w14:textId="77777777">
        <w:trPr>
          <w:cantSplit/>
          <w:trHeight w:val="60"/>
        </w:trPr>
        <w:tc>
          <w:tcPr>
            <w:tcW w:w="4725" w:type="dxa"/>
          </w:tcPr>
          <w:p w:rsidRPr="00625A53" w:rsidR="00133EA5" w:rsidP="00133EA5" w:rsidRDefault="00133EA5" w14:paraId="0E2B8260" w14:textId="181EEE93">
            <w:pPr>
              <w:pStyle w:val="TableTextLeft"/>
              <w:rPr>
                <w:rFonts w:asciiTheme="minorHAnsi" w:hAnsiTheme="minorHAnsi" w:cstheme="minorHAnsi"/>
                <w:bCs/>
                <w:sz w:val="18"/>
                <w:szCs w:val="18"/>
              </w:rPr>
            </w:pPr>
            <w:r w:rsidRPr="00625A53">
              <w:rPr>
                <w:rFonts w:asciiTheme="minorHAnsi" w:hAnsiTheme="minorHAnsi" w:cstheme="minorHAnsi"/>
                <w:bCs/>
                <w:sz w:val="18"/>
                <w:szCs w:val="18"/>
              </w:rPr>
              <w:t>Relationship quality and communication between partners</w:t>
            </w:r>
          </w:p>
        </w:tc>
        <w:tc>
          <w:tcPr>
            <w:tcW w:w="1253" w:type="dxa"/>
          </w:tcPr>
          <w:p w:rsidRPr="008A4619" w:rsidR="00133EA5" w:rsidP="00133EA5" w:rsidRDefault="00133EA5" w14:paraId="46BB01D2" w14:textId="31229E48">
            <w:pPr>
              <w:pStyle w:val="TableTextLeft"/>
              <w:jc w:val="center"/>
              <w:rPr>
                <w:rFonts w:asciiTheme="minorHAnsi" w:hAnsiTheme="minorHAnsi" w:cstheme="minorHAnsi"/>
                <w:sz w:val="24"/>
              </w:rPr>
            </w:pPr>
            <w:r w:rsidRPr="000C70F4">
              <w:rPr>
                <w:rFonts w:asciiTheme="minorHAnsi" w:hAnsiTheme="minorHAnsi" w:cstheme="minorHAnsi"/>
                <w:sz w:val="24"/>
                <w:szCs w:val="24"/>
              </w:rPr>
              <w:sym w:font="Wingdings" w:char="F0FC"/>
            </w:r>
          </w:p>
        </w:tc>
        <w:tc>
          <w:tcPr>
            <w:tcW w:w="1700" w:type="dxa"/>
          </w:tcPr>
          <w:p w:rsidRPr="008A4619" w:rsidR="00133EA5" w:rsidP="00133EA5" w:rsidRDefault="00133EA5" w14:paraId="0F41A072" w14:textId="6AA0AD3B">
            <w:pPr>
              <w:pStyle w:val="TableTextLeft"/>
              <w:jc w:val="center"/>
              <w:rPr>
                <w:rFonts w:asciiTheme="minorHAnsi" w:hAnsiTheme="minorHAnsi" w:cstheme="minorHAnsi"/>
                <w:sz w:val="24"/>
                <w:szCs w:val="24"/>
              </w:rPr>
            </w:pPr>
            <w:r w:rsidRPr="000C70F4">
              <w:rPr>
                <w:rFonts w:asciiTheme="minorHAnsi" w:hAnsiTheme="minorHAnsi" w:cstheme="minorHAnsi"/>
                <w:sz w:val="24"/>
                <w:szCs w:val="24"/>
              </w:rPr>
              <w:sym w:font="Wingdings" w:char="F0FC"/>
            </w:r>
          </w:p>
        </w:tc>
        <w:tc>
          <w:tcPr>
            <w:tcW w:w="1798" w:type="dxa"/>
          </w:tcPr>
          <w:p w:rsidRPr="008A4619" w:rsidR="00133EA5" w:rsidP="00133EA5" w:rsidRDefault="00133EA5" w14:paraId="63B4F002" w14:textId="77777777">
            <w:pPr>
              <w:pStyle w:val="TableTextLeft"/>
              <w:jc w:val="center"/>
              <w:rPr>
                <w:rFonts w:asciiTheme="minorHAnsi" w:hAnsiTheme="minorHAnsi" w:cstheme="minorHAnsi"/>
                <w:sz w:val="24"/>
                <w:szCs w:val="24"/>
              </w:rPr>
            </w:pPr>
          </w:p>
        </w:tc>
        <w:tc>
          <w:tcPr>
            <w:tcW w:w="1877" w:type="dxa"/>
          </w:tcPr>
          <w:p w:rsidRPr="008A4619" w:rsidR="00133EA5" w:rsidP="00133EA5" w:rsidRDefault="00133EA5" w14:paraId="2F685837" w14:textId="77777777">
            <w:pPr>
              <w:pStyle w:val="TableTextLeft"/>
              <w:jc w:val="center"/>
              <w:rPr>
                <w:rFonts w:asciiTheme="minorHAnsi" w:hAnsiTheme="minorHAnsi" w:cstheme="minorHAnsi"/>
                <w:sz w:val="18"/>
                <w:szCs w:val="18"/>
              </w:rPr>
            </w:pPr>
          </w:p>
        </w:tc>
        <w:tc>
          <w:tcPr>
            <w:tcW w:w="1877" w:type="dxa"/>
          </w:tcPr>
          <w:p w:rsidRPr="008A4619" w:rsidR="00133EA5" w:rsidP="00133EA5" w:rsidRDefault="00133EA5" w14:paraId="510D0780" w14:textId="0A6A92E5">
            <w:pPr>
              <w:pStyle w:val="TableTextLeft"/>
              <w:jc w:val="center"/>
              <w:rPr>
                <w:rFonts w:asciiTheme="minorHAnsi" w:hAnsiTheme="minorHAnsi" w:cstheme="minorHAnsi"/>
                <w:b/>
                <w:sz w:val="18"/>
                <w:szCs w:val="18"/>
              </w:rPr>
            </w:pPr>
            <w:r w:rsidRPr="00EB7E65">
              <w:rPr>
                <w:rFonts w:asciiTheme="minorHAnsi" w:hAnsiTheme="minorHAnsi" w:cstheme="minorHAnsi"/>
                <w:sz w:val="24"/>
                <w:szCs w:val="24"/>
              </w:rPr>
              <w:sym w:font="Wingdings" w:char="F0FC"/>
            </w:r>
          </w:p>
        </w:tc>
      </w:tr>
      <w:tr w:rsidRPr="008A4619" w:rsidR="00133EA5" w:rsidTr="00133EA5" w14:paraId="50174339" w14:textId="77777777">
        <w:trPr>
          <w:cantSplit/>
        </w:trPr>
        <w:tc>
          <w:tcPr>
            <w:tcW w:w="4725" w:type="dxa"/>
            <w:shd w:val="clear" w:color="auto" w:fill="E0D4B5"/>
          </w:tcPr>
          <w:p w:rsidRPr="00625A53" w:rsidR="00133EA5" w:rsidP="00133EA5" w:rsidRDefault="00133EA5" w14:paraId="13C9D459" w14:textId="1E5D33DD">
            <w:pPr>
              <w:pStyle w:val="TableTextLeft"/>
              <w:rPr>
                <w:rFonts w:asciiTheme="minorHAnsi" w:hAnsiTheme="minorHAnsi" w:cstheme="minorHAnsi"/>
                <w:bCs/>
                <w:sz w:val="18"/>
                <w:szCs w:val="18"/>
              </w:rPr>
            </w:pPr>
            <w:r w:rsidRPr="00625A53">
              <w:rPr>
                <w:rFonts w:asciiTheme="minorHAnsi" w:hAnsiTheme="minorHAnsi" w:cstheme="minorHAnsi"/>
                <w:bCs/>
                <w:sz w:val="18"/>
                <w:szCs w:val="18"/>
              </w:rPr>
              <w:t>EHS-CC</w:t>
            </w:r>
            <w:r>
              <w:rPr>
                <w:rFonts w:asciiTheme="minorHAnsi" w:hAnsiTheme="minorHAnsi" w:cstheme="minorHAnsi"/>
                <w:bCs/>
                <w:sz w:val="18"/>
                <w:szCs w:val="18"/>
              </w:rPr>
              <w:t>P</w:t>
            </w:r>
            <w:r w:rsidRPr="00625A53">
              <w:rPr>
                <w:rFonts w:asciiTheme="minorHAnsi" w:hAnsiTheme="minorHAnsi" w:cstheme="minorHAnsi"/>
                <w:bCs/>
                <w:sz w:val="18"/>
                <w:szCs w:val="18"/>
              </w:rPr>
              <w:t xml:space="preserve"> leader</w:t>
            </w:r>
          </w:p>
        </w:tc>
        <w:tc>
          <w:tcPr>
            <w:tcW w:w="1253" w:type="dxa"/>
            <w:shd w:val="clear" w:color="auto" w:fill="E0D4B5"/>
          </w:tcPr>
          <w:p w:rsidRPr="008A4619" w:rsidR="00133EA5" w:rsidP="00133EA5" w:rsidRDefault="00133EA5" w14:paraId="5B21C9D2" w14:textId="08A9FB72">
            <w:pPr>
              <w:pStyle w:val="TableTextLeft"/>
              <w:jc w:val="center"/>
              <w:rPr>
                <w:rFonts w:asciiTheme="minorHAnsi" w:hAnsiTheme="minorHAnsi" w:cstheme="minorHAnsi"/>
                <w:b/>
                <w:sz w:val="24"/>
              </w:rPr>
            </w:pPr>
            <w:r w:rsidRPr="000C70F4">
              <w:rPr>
                <w:rFonts w:asciiTheme="minorHAnsi" w:hAnsiTheme="minorHAnsi" w:cstheme="minorHAnsi"/>
                <w:sz w:val="24"/>
                <w:szCs w:val="24"/>
              </w:rPr>
              <w:sym w:font="Wingdings" w:char="F0FC"/>
            </w:r>
          </w:p>
        </w:tc>
        <w:tc>
          <w:tcPr>
            <w:tcW w:w="1700" w:type="dxa"/>
            <w:shd w:val="clear" w:color="auto" w:fill="E0D4B5"/>
          </w:tcPr>
          <w:p w:rsidRPr="008A4619" w:rsidR="00133EA5" w:rsidP="00133EA5" w:rsidRDefault="00133EA5" w14:paraId="08D54A07" w14:textId="782A451A">
            <w:pPr>
              <w:pStyle w:val="TableTextLeft"/>
              <w:jc w:val="center"/>
              <w:rPr>
                <w:rFonts w:asciiTheme="minorHAnsi" w:hAnsiTheme="minorHAnsi" w:cstheme="minorHAnsi"/>
                <w:b/>
                <w:bCs/>
                <w:sz w:val="24"/>
                <w:szCs w:val="24"/>
              </w:rPr>
            </w:pPr>
            <w:r w:rsidRPr="000C70F4">
              <w:rPr>
                <w:rFonts w:asciiTheme="minorHAnsi" w:hAnsiTheme="minorHAnsi" w:cstheme="minorHAnsi"/>
                <w:sz w:val="24"/>
                <w:szCs w:val="24"/>
              </w:rPr>
              <w:sym w:font="Wingdings" w:char="F0FC"/>
            </w:r>
          </w:p>
        </w:tc>
        <w:tc>
          <w:tcPr>
            <w:tcW w:w="1798" w:type="dxa"/>
            <w:shd w:val="clear" w:color="auto" w:fill="E0D4B5"/>
          </w:tcPr>
          <w:p w:rsidRPr="008A4619" w:rsidR="00133EA5" w:rsidP="00133EA5" w:rsidRDefault="00133EA5" w14:paraId="7985AC48" w14:textId="77777777">
            <w:pPr>
              <w:pStyle w:val="TableTextLeft"/>
              <w:jc w:val="center"/>
              <w:rPr>
                <w:rFonts w:asciiTheme="minorHAnsi" w:hAnsiTheme="minorHAnsi" w:cstheme="minorHAnsi"/>
                <w:sz w:val="24"/>
                <w:szCs w:val="24"/>
              </w:rPr>
            </w:pPr>
          </w:p>
        </w:tc>
        <w:tc>
          <w:tcPr>
            <w:tcW w:w="1877" w:type="dxa"/>
            <w:shd w:val="clear" w:color="auto" w:fill="E0D4B5"/>
          </w:tcPr>
          <w:p w:rsidRPr="008A4619" w:rsidR="00133EA5" w:rsidP="00133EA5" w:rsidRDefault="00133EA5" w14:paraId="182F39C6" w14:textId="77777777">
            <w:pPr>
              <w:pStyle w:val="TableTextLeft"/>
              <w:jc w:val="center"/>
              <w:rPr>
                <w:rFonts w:asciiTheme="minorHAnsi" w:hAnsiTheme="minorHAnsi" w:cstheme="minorHAnsi"/>
                <w:sz w:val="18"/>
                <w:szCs w:val="18"/>
              </w:rPr>
            </w:pPr>
          </w:p>
        </w:tc>
        <w:tc>
          <w:tcPr>
            <w:tcW w:w="1877" w:type="dxa"/>
            <w:shd w:val="clear" w:color="auto" w:fill="E0D4B5"/>
          </w:tcPr>
          <w:p w:rsidRPr="008A4619" w:rsidR="00133EA5" w:rsidP="00133EA5" w:rsidRDefault="00133EA5" w14:paraId="66C81EE5" w14:textId="75B33CA4">
            <w:pPr>
              <w:pStyle w:val="TableTextLeft"/>
              <w:jc w:val="center"/>
              <w:rPr>
                <w:rFonts w:asciiTheme="minorHAnsi" w:hAnsiTheme="minorHAnsi" w:cstheme="minorHAnsi"/>
                <w:b/>
                <w:sz w:val="18"/>
                <w:szCs w:val="18"/>
              </w:rPr>
            </w:pPr>
            <w:r w:rsidRPr="00B16DB0">
              <w:rPr>
                <w:rFonts w:asciiTheme="minorHAnsi" w:hAnsiTheme="minorHAnsi" w:cstheme="minorHAnsi"/>
                <w:sz w:val="24"/>
                <w:szCs w:val="24"/>
              </w:rPr>
              <w:sym w:font="Wingdings" w:char="F0FC"/>
            </w:r>
          </w:p>
        </w:tc>
      </w:tr>
      <w:tr w:rsidRPr="008A4619" w:rsidR="00133EA5" w:rsidTr="00133EA5" w14:paraId="115F6BD5" w14:textId="77777777">
        <w:trPr>
          <w:cantSplit/>
        </w:trPr>
        <w:tc>
          <w:tcPr>
            <w:tcW w:w="4725" w:type="dxa"/>
            <w:shd w:val="clear" w:color="auto" w:fill="D9D9D9" w:themeFill="background1" w:themeFillShade="D9"/>
          </w:tcPr>
          <w:p w:rsidRPr="00625A53" w:rsidR="00133EA5" w:rsidP="00133EA5" w:rsidRDefault="00133EA5" w14:paraId="277ABE05" w14:textId="77777777">
            <w:pPr>
              <w:pStyle w:val="TableTextLeft"/>
              <w:rPr>
                <w:rFonts w:asciiTheme="minorHAnsi" w:hAnsiTheme="minorHAnsi" w:cstheme="minorHAnsi"/>
                <w:b/>
                <w:bCs/>
                <w:sz w:val="18"/>
                <w:szCs w:val="18"/>
              </w:rPr>
            </w:pPr>
            <w:r w:rsidRPr="00625A53">
              <w:rPr>
                <w:rFonts w:asciiTheme="minorHAnsi" w:hAnsiTheme="minorHAnsi" w:cstheme="minorHAnsi"/>
                <w:b/>
                <w:bCs/>
                <w:sz w:val="18"/>
                <w:szCs w:val="18"/>
              </w:rPr>
              <w:t>4. What factors support or impede the partnerships’ sustainability? Are there differences between sustained and dissolved partnerships in their program structures/characteristics, initial partnership quality, or other features?</w:t>
            </w:r>
          </w:p>
        </w:tc>
        <w:tc>
          <w:tcPr>
            <w:tcW w:w="1253" w:type="dxa"/>
            <w:shd w:val="clear" w:color="auto" w:fill="D9D9D9" w:themeFill="background1" w:themeFillShade="D9"/>
          </w:tcPr>
          <w:p w:rsidRPr="008A4619" w:rsidR="00133EA5" w:rsidP="00133EA5" w:rsidRDefault="00133EA5" w14:paraId="6F38832B" w14:textId="2CABB95F">
            <w:pPr>
              <w:pStyle w:val="TableTextLeft"/>
              <w:jc w:val="center"/>
              <w:rPr>
                <w:rFonts w:asciiTheme="minorHAnsi" w:hAnsiTheme="minorHAnsi" w:cstheme="minorHAnsi"/>
                <w:b/>
                <w:sz w:val="24"/>
                <w:highlight w:val="magenta"/>
              </w:rPr>
            </w:pPr>
          </w:p>
        </w:tc>
        <w:tc>
          <w:tcPr>
            <w:tcW w:w="1700" w:type="dxa"/>
            <w:shd w:val="clear" w:color="auto" w:fill="D9D9D9" w:themeFill="background1" w:themeFillShade="D9"/>
          </w:tcPr>
          <w:p w:rsidRPr="008A4619" w:rsidR="00133EA5" w:rsidP="00133EA5" w:rsidRDefault="00133EA5" w14:paraId="660D0586" w14:textId="4131C051">
            <w:pPr>
              <w:pStyle w:val="TableTextLeft"/>
              <w:jc w:val="center"/>
              <w:rPr>
                <w:rFonts w:asciiTheme="minorHAnsi" w:hAnsiTheme="minorHAnsi" w:cstheme="minorHAnsi"/>
                <w:sz w:val="24"/>
                <w:szCs w:val="24"/>
                <w:highlight w:val="magenta"/>
              </w:rPr>
            </w:pPr>
          </w:p>
        </w:tc>
        <w:tc>
          <w:tcPr>
            <w:tcW w:w="1798" w:type="dxa"/>
            <w:shd w:val="clear" w:color="auto" w:fill="D9D9D9" w:themeFill="background1" w:themeFillShade="D9"/>
          </w:tcPr>
          <w:p w:rsidRPr="008A4619" w:rsidR="00133EA5" w:rsidP="00133EA5" w:rsidRDefault="00133EA5" w14:paraId="1C99DE18" w14:textId="4FD889F8">
            <w:pPr>
              <w:pStyle w:val="TableTextLeft"/>
              <w:jc w:val="center"/>
              <w:rPr>
                <w:rFonts w:asciiTheme="minorHAnsi" w:hAnsiTheme="minorHAnsi" w:cstheme="minorHAnsi"/>
                <w:b/>
                <w:bCs/>
                <w:sz w:val="24"/>
                <w:szCs w:val="24"/>
              </w:rPr>
            </w:pPr>
          </w:p>
        </w:tc>
        <w:tc>
          <w:tcPr>
            <w:tcW w:w="1877" w:type="dxa"/>
            <w:shd w:val="clear" w:color="auto" w:fill="D9D9D9" w:themeFill="background1" w:themeFillShade="D9"/>
          </w:tcPr>
          <w:p w:rsidRPr="008A4619" w:rsidR="00133EA5" w:rsidP="00133EA5" w:rsidRDefault="00133EA5" w14:paraId="55E9EE39" w14:textId="0B0166FC">
            <w:pPr>
              <w:pStyle w:val="TableTextLeft"/>
              <w:jc w:val="center"/>
              <w:rPr>
                <w:rFonts w:asciiTheme="minorHAnsi" w:hAnsiTheme="minorHAnsi" w:cstheme="minorHAnsi"/>
                <w:sz w:val="24"/>
                <w:szCs w:val="24"/>
              </w:rPr>
            </w:pPr>
          </w:p>
        </w:tc>
        <w:tc>
          <w:tcPr>
            <w:tcW w:w="1877" w:type="dxa"/>
            <w:shd w:val="clear" w:color="auto" w:fill="D9D9D9" w:themeFill="background1" w:themeFillShade="D9"/>
          </w:tcPr>
          <w:p w:rsidRPr="008A4619" w:rsidR="00133EA5" w:rsidP="00133EA5" w:rsidRDefault="00133EA5" w14:paraId="0A64E0B2" w14:textId="0532DAD2">
            <w:pPr>
              <w:pStyle w:val="TableTextLeft"/>
              <w:jc w:val="center"/>
              <w:rPr>
                <w:rFonts w:asciiTheme="minorHAnsi" w:hAnsiTheme="minorHAnsi" w:cstheme="minorHAnsi"/>
                <w:b/>
                <w:sz w:val="18"/>
                <w:szCs w:val="18"/>
              </w:rPr>
            </w:pPr>
          </w:p>
        </w:tc>
      </w:tr>
      <w:tr w:rsidRPr="008A4619" w:rsidR="00133EA5" w:rsidTr="00133EA5" w14:paraId="1E312C10" w14:textId="77777777">
        <w:trPr>
          <w:cantSplit/>
        </w:trPr>
        <w:tc>
          <w:tcPr>
            <w:tcW w:w="4725" w:type="dxa"/>
          </w:tcPr>
          <w:p w:rsidRPr="00625A53" w:rsidR="00133EA5" w:rsidP="00133EA5" w:rsidRDefault="00133EA5" w14:paraId="20CCB685" w14:textId="21EF2578">
            <w:pPr>
              <w:pStyle w:val="TableTextLeft"/>
              <w:rPr>
                <w:rFonts w:asciiTheme="minorHAnsi" w:hAnsiTheme="minorHAnsi" w:cstheme="minorHAnsi"/>
                <w:bCs/>
                <w:sz w:val="18"/>
                <w:szCs w:val="18"/>
              </w:rPr>
            </w:pPr>
            <w:r w:rsidRPr="00625A53">
              <w:rPr>
                <w:rFonts w:asciiTheme="minorHAnsi" w:hAnsiTheme="minorHAnsi" w:cstheme="minorHAnsi"/>
                <w:bCs/>
                <w:sz w:val="18"/>
                <w:szCs w:val="18"/>
              </w:rPr>
              <w:t>Funding and resource allocation (as a facilitator of or barrier to sustainability)</w:t>
            </w:r>
          </w:p>
        </w:tc>
        <w:tc>
          <w:tcPr>
            <w:tcW w:w="1253" w:type="dxa"/>
          </w:tcPr>
          <w:p w:rsidRPr="008A4619" w:rsidR="00133EA5" w:rsidP="00133EA5" w:rsidRDefault="00133EA5" w14:paraId="7F574EA0" w14:textId="790723A3">
            <w:pPr>
              <w:pStyle w:val="TableTextLeft"/>
              <w:jc w:val="center"/>
              <w:rPr>
                <w:rFonts w:asciiTheme="minorHAnsi" w:hAnsiTheme="minorHAnsi" w:cstheme="minorHAnsi"/>
                <w:sz w:val="24"/>
                <w:szCs w:val="24"/>
              </w:rPr>
            </w:pPr>
            <w:r w:rsidRPr="00A4478E">
              <w:rPr>
                <w:rFonts w:asciiTheme="minorHAnsi" w:hAnsiTheme="minorHAnsi" w:cstheme="minorHAnsi"/>
                <w:sz w:val="24"/>
                <w:szCs w:val="24"/>
              </w:rPr>
              <w:sym w:font="Wingdings" w:char="F0FC"/>
            </w:r>
          </w:p>
        </w:tc>
        <w:tc>
          <w:tcPr>
            <w:tcW w:w="1700" w:type="dxa"/>
          </w:tcPr>
          <w:p w:rsidRPr="008A4619" w:rsidR="00133EA5" w:rsidP="00133EA5" w:rsidRDefault="00133EA5" w14:paraId="5370422A" w14:textId="3B925D04">
            <w:pPr>
              <w:pStyle w:val="TableTextLeft"/>
              <w:jc w:val="center"/>
              <w:rPr>
                <w:rFonts w:asciiTheme="minorHAnsi" w:hAnsiTheme="minorHAnsi" w:cstheme="minorHAnsi"/>
                <w:sz w:val="24"/>
                <w:szCs w:val="24"/>
              </w:rPr>
            </w:pPr>
            <w:r w:rsidRPr="00A4478E">
              <w:rPr>
                <w:rFonts w:asciiTheme="minorHAnsi" w:hAnsiTheme="minorHAnsi" w:cstheme="minorHAnsi"/>
                <w:sz w:val="24"/>
                <w:szCs w:val="24"/>
              </w:rPr>
              <w:sym w:font="Wingdings" w:char="F0FC"/>
            </w:r>
          </w:p>
        </w:tc>
        <w:tc>
          <w:tcPr>
            <w:tcW w:w="1798" w:type="dxa"/>
          </w:tcPr>
          <w:p w:rsidRPr="008A4619" w:rsidR="00133EA5" w:rsidP="00133EA5" w:rsidRDefault="00133EA5" w14:paraId="14A730C8" w14:textId="0B8655B3">
            <w:pPr>
              <w:pStyle w:val="TableTextLeft"/>
              <w:jc w:val="center"/>
              <w:rPr>
                <w:rFonts w:asciiTheme="minorHAnsi" w:hAnsiTheme="minorHAnsi" w:cstheme="minorHAnsi"/>
                <w:sz w:val="24"/>
                <w:szCs w:val="24"/>
              </w:rPr>
            </w:pPr>
            <w:r w:rsidRPr="00A4478E">
              <w:rPr>
                <w:rFonts w:asciiTheme="minorHAnsi" w:hAnsiTheme="minorHAnsi" w:cstheme="minorHAnsi"/>
                <w:sz w:val="24"/>
                <w:szCs w:val="24"/>
              </w:rPr>
              <w:sym w:font="Wingdings" w:char="F0FC"/>
            </w:r>
          </w:p>
        </w:tc>
        <w:tc>
          <w:tcPr>
            <w:tcW w:w="1877" w:type="dxa"/>
          </w:tcPr>
          <w:p w:rsidRPr="008A4619" w:rsidR="00133EA5" w:rsidP="00133EA5" w:rsidRDefault="00133EA5" w14:paraId="6D07353B" w14:textId="7B6C79B7">
            <w:pPr>
              <w:pStyle w:val="TableTextLeft"/>
              <w:jc w:val="center"/>
              <w:rPr>
                <w:rFonts w:asciiTheme="minorHAnsi" w:hAnsiTheme="minorHAnsi" w:cstheme="minorHAnsi"/>
                <w:sz w:val="24"/>
                <w:szCs w:val="24"/>
              </w:rPr>
            </w:pPr>
            <w:r w:rsidRPr="00A4478E">
              <w:rPr>
                <w:rFonts w:asciiTheme="minorHAnsi" w:hAnsiTheme="minorHAnsi" w:cstheme="minorHAnsi"/>
                <w:sz w:val="24"/>
                <w:szCs w:val="24"/>
              </w:rPr>
              <w:sym w:font="Wingdings" w:char="F0FC"/>
            </w:r>
          </w:p>
        </w:tc>
        <w:tc>
          <w:tcPr>
            <w:tcW w:w="1877" w:type="dxa"/>
          </w:tcPr>
          <w:p w:rsidRPr="008A4619" w:rsidR="00133EA5" w:rsidP="00133EA5" w:rsidRDefault="00133EA5" w14:paraId="48920AB3" w14:textId="789B5DDA">
            <w:pPr>
              <w:pStyle w:val="TableTextLeft"/>
              <w:jc w:val="center"/>
              <w:rPr>
                <w:rFonts w:asciiTheme="minorHAnsi" w:hAnsiTheme="minorHAnsi" w:cstheme="minorHAnsi"/>
                <w:sz w:val="24"/>
                <w:szCs w:val="24"/>
              </w:rPr>
            </w:pPr>
            <w:r w:rsidRPr="00A4478E">
              <w:rPr>
                <w:rFonts w:asciiTheme="minorHAnsi" w:hAnsiTheme="minorHAnsi" w:cstheme="minorHAnsi"/>
                <w:sz w:val="24"/>
                <w:szCs w:val="24"/>
              </w:rPr>
              <w:sym w:font="Wingdings" w:char="F0FC"/>
            </w:r>
          </w:p>
        </w:tc>
      </w:tr>
      <w:tr w:rsidRPr="008A4619" w:rsidR="00133EA5" w:rsidTr="00133EA5" w14:paraId="2AEE999A" w14:textId="77777777">
        <w:trPr>
          <w:cantSplit/>
        </w:trPr>
        <w:tc>
          <w:tcPr>
            <w:tcW w:w="4725" w:type="dxa"/>
            <w:shd w:val="clear" w:color="auto" w:fill="E0D4B5"/>
          </w:tcPr>
          <w:p w:rsidRPr="008A4619" w:rsidR="00133EA5" w:rsidP="00133EA5" w:rsidRDefault="00133EA5" w14:paraId="14B890F7" w14:textId="4E71C046">
            <w:pPr>
              <w:pStyle w:val="TableTextLeft"/>
              <w:rPr>
                <w:rFonts w:asciiTheme="minorHAnsi" w:hAnsiTheme="minorHAnsi" w:cstheme="minorHAnsi"/>
                <w:sz w:val="18"/>
                <w:szCs w:val="18"/>
              </w:rPr>
            </w:pPr>
            <w:bookmarkStart w:name="_Hlk36728306" w:id="1"/>
            <w:r w:rsidRPr="00625A53">
              <w:rPr>
                <w:rFonts w:asciiTheme="minorHAnsi" w:hAnsiTheme="minorHAnsi" w:cstheme="minorHAnsi"/>
                <w:bCs/>
                <w:sz w:val="18"/>
                <w:szCs w:val="18"/>
              </w:rPr>
              <w:t>Partnership agreements/plans and development processes (as a facilitator of or barrier to sustainability)</w:t>
            </w:r>
            <w:bookmarkEnd w:id="1"/>
            <w:r w:rsidRPr="00625A53">
              <w:rPr>
                <w:rFonts w:asciiTheme="minorHAnsi" w:hAnsiTheme="minorHAnsi" w:cstheme="minorHAnsi"/>
                <w:bCs/>
                <w:sz w:val="18"/>
                <w:szCs w:val="18"/>
                <w:vertAlign w:val="superscript"/>
              </w:rPr>
              <w:t>b</w:t>
            </w:r>
          </w:p>
        </w:tc>
        <w:tc>
          <w:tcPr>
            <w:tcW w:w="1253" w:type="dxa"/>
            <w:shd w:val="clear" w:color="auto" w:fill="E0D4B5"/>
          </w:tcPr>
          <w:p w:rsidRPr="008A4619" w:rsidR="00133EA5" w:rsidP="00133EA5" w:rsidRDefault="00133EA5" w14:paraId="552286F1" w14:textId="77777777">
            <w:pPr>
              <w:pStyle w:val="TableTextLeft"/>
              <w:jc w:val="center"/>
              <w:rPr>
                <w:rFonts w:asciiTheme="minorHAnsi" w:hAnsiTheme="minorHAnsi" w:cstheme="minorHAnsi"/>
                <w:sz w:val="24"/>
                <w:highlight w:val="magenta"/>
              </w:rPr>
            </w:pPr>
          </w:p>
        </w:tc>
        <w:tc>
          <w:tcPr>
            <w:tcW w:w="1700" w:type="dxa"/>
            <w:shd w:val="clear" w:color="auto" w:fill="E0D4B5"/>
          </w:tcPr>
          <w:p w:rsidRPr="008A4619" w:rsidR="00133EA5" w:rsidP="00133EA5" w:rsidRDefault="00133EA5" w14:paraId="289FAC96" w14:textId="77777777">
            <w:pPr>
              <w:pStyle w:val="TableTextLeft"/>
              <w:jc w:val="center"/>
              <w:rPr>
                <w:rFonts w:asciiTheme="minorHAnsi" w:hAnsiTheme="minorHAnsi" w:cstheme="minorHAnsi"/>
                <w:sz w:val="24"/>
                <w:szCs w:val="24"/>
                <w:highlight w:val="magenta"/>
              </w:rPr>
            </w:pPr>
          </w:p>
        </w:tc>
        <w:tc>
          <w:tcPr>
            <w:tcW w:w="1798" w:type="dxa"/>
            <w:shd w:val="clear" w:color="auto" w:fill="E0D4B5"/>
          </w:tcPr>
          <w:p w:rsidRPr="008A4619" w:rsidR="00133EA5" w:rsidP="00133EA5" w:rsidRDefault="00133EA5" w14:paraId="10ACB297" w14:textId="77777777">
            <w:pPr>
              <w:pStyle w:val="TableTextLeft"/>
              <w:jc w:val="center"/>
              <w:rPr>
                <w:rFonts w:asciiTheme="minorHAnsi" w:hAnsiTheme="minorHAnsi" w:cstheme="minorHAnsi"/>
                <w:sz w:val="24"/>
                <w:szCs w:val="24"/>
              </w:rPr>
            </w:pPr>
          </w:p>
        </w:tc>
        <w:tc>
          <w:tcPr>
            <w:tcW w:w="1877" w:type="dxa"/>
            <w:shd w:val="clear" w:color="auto" w:fill="E0D4B5"/>
          </w:tcPr>
          <w:p w:rsidRPr="008A4619" w:rsidR="00133EA5" w:rsidP="00133EA5" w:rsidRDefault="00133EA5" w14:paraId="4C4BF1E5" w14:textId="532CCE3A">
            <w:pPr>
              <w:pStyle w:val="TableTextLeft"/>
              <w:jc w:val="center"/>
              <w:rPr>
                <w:rFonts w:asciiTheme="minorHAnsi" w:hAnsiTheme="minorHAnsi" w:cstheme="minorHAnsi"/>
                <w:sz w:val="24"/>
                <w:szCs w:val="24"/>
              </w:rPr>
            </w:pPr>
            <w:r w:rsidRPr="00CA167C">
              <w:rPr>
                <w:rFonts w:asciiTheme="minorHAnsi" w:hAnsiTheme="minorHAnsi" w:cstheme="minorHAnsi"/>
                <w:sz w:val="24"/>
                <w:szCs w:val="24"/>
              </w:rPr>
              <w:sym w:font="Wingdings" w:char="F0FC"/>
            </w:r>
          </w:p>
        </w:tc>
        <w:tc>
          <w:tcPr>
            <w:tcW w:w="1877" w:type="dxa"/>
            <w:shd w:val="clear" w:color="auto" w:fill="E0D4B5"/>
          </w:tcPr>
          <w:p w:rsidRPr="008A4619" w:rsidR="00133EA5" w:rsidP="00133EA5" w:rsidRDefault="00133EA5" w14:paraId="188BAA06" w14:textId="6E7D2CCE">
            <w:pPr>
              <w:pStyle w:val="TableTextLeft"/>
              <w:jc w:val="center"/>
              <w:rPr>
                <w:rFonts w:asciiTheme="minorHAnsi" w:hAnsiTheme="minorHAnsi" w:cstheme="minorHAnsi"/>
                <w:b/>
                <w:sz w:val="18"/>
                <w:szCs w:val="18"/>
              </w:rPr>
            </w:pPr>
            <w:r w:rsidRPr="00CA167C">
              <w:rPr>
                <w:rFonts w:asciiTheme="minorHAnsi" w:hAnsiTheme="minorHAnsi" w:cstheme="minorHAnsi"/>
                <w:sz w:val="24"/>
                <w:szCs w:val="24"/>
              </w:rPr>
              <w:sym w:font="Wingdings" w:char="F0FC"/>
            </w:r>
          </w:p>
        </w:tc>
      </w:tr>
      <w:tr w:rsidRPr="008A4619" w:rsidR="00133EA5" w:rsidTr="00133EA5" w14:paraId="6859E0B2" w14:textId="77777777">
        <w:trPr>
          <w:cantSplit/>
        </w:trPr>
        <w:tc>
          <w:tcPr>
            <w:tcW w:w="4725" w:type="dxa"/>
          </w:tcPr>
          <w:p w:rsidRPr="008A4619" w:rsidR="00133EA5" w:rsidP="00133EA5" w:rsidRDefault="00133EA5" w14:paraId="1E877DD7" w14:textId="5DA573C6">
            <w:pPr>
              <w:pStyle w:val="TableTextLeft"/>
              <w:rPr>
                <w:rFonts w:asciiTheme="minorHAnsi" w:hAnsiTheme="minorHAnsi" w:cstheme="minorHAnsi"/>
                <w:sz w:val="18"/>
                <w:szCs w:val="18"/>
              </w:rPr>
            </w:pPr>
            <w:r w:rsidRPr="00625A53">
              <w:rPr>
                <w:rFonts w:asciiTheme="minorHAnsi" w:hAnsiTheme="minorHAnsi" w:cstheme="minorHAnsi"/>
                <w:bCs/>
                <w:sz w:val="18"/>
                <w:szCs w:val="18"/>
              </w:rPr>
              <w:t>Approaches to decision making and monitoring (as a facilitator of or barrier to sustainability)</w:t>
            </w:r>
          </w:p>
        </w:tc>
        <w:tc>
          <w:tcPr>
            <w:tcW w:w="1253" w:type="dxa"/>
          </w:tcPr>
          <w:p w:rsidRPr="008A4619" w:rsidR="00133EA5" w:rsidP="00133EA5" w:rsidRDefault="00133EA5" w14:paraId="6C9854E7" w14:textId="2B9065FD">
            <w:pPr>
              <w:pStyle w:val="TableTextLeft"/>
              <w:jc w:val="center"/>
              <w:rPr>
                <w:rFonts w:asciiTheme="minorHAnsi" w:hAnsiTheme="minorHAnsi" w:cstheme="minorHAnsi"/>
                <w:b/>
                <w:sz w:val="24"/>
              </w:rPr>
            </w:pPr>
            <w:r w:rsidRPr="00761EE3">
              <w:rPr>
                <w:rFonts w:asciiTheme="minorHAnsi" w:hAnsiTheme="minorHAnsi" w:cstheme="minorHAnsi"/>
                <w:sz w:val="24"/>
                <w:szCs w:val="24"/>
              </w:rPr>
              <w:sym w:font="Wingdings" w:char="F0FC"/>
            </w:r>
          </w:p>
        </w:tc>
        <w:tc>
          <w:tcPr>
            <w:tcW w:w="1700" w:type="dxa"/>
          </w:tcPr>
          <w:p w:rsidRPr="008A4619" w:rsidR="00133EA5" w:rsidP="00133EA5" w:rsidRDefault="00133EA5" w14:paraId="2AFE2425" w14:textId="0D0247FD">
            <w:pPr>
              <w:pStyle w:val="TableTextLeft"/>
              <w:jc w:val="center"/>
              <w:rPr>
                <w:rFonts w:asciiTheme="minorHAnsi" w:hAnsiTheme="minorHAnsi" w:cstheme="minorHAnsi"/>
                <w:sz w:val="24"/>
                <w:szCs w:val="24"/>
              </w:rPr>
            </w:pPr>
            <w:r w:rsidRPr="00761EE3">
              <w:rPr>
                <w:rFonts w:asciiTheme="minorHAnsi" w:hAnsiTheme="minorHAnsi" w:cstheme="minorHAnsi"/>
                <w:sz w:val="24"/>
                <w:szCs w:val="24"/>
              </w:rPr>
              <w:sym w:font="Wingdings" w:char="F0FC"/>
            </w:r>
          </w:p>
        </w:tc>
        <w:tc>
          <w:tcPr>
            <w:tcW w:w="1798" w:type="dxa"/>
          </w:tcPr>
          <w:p w:rsidRPr="008A4619" w:rsidR="00133EA5" w:rsidP="00133EA5" w:rsidRDefault="00133EA5" w14:paraId="72BD6D97" w14:textId="511AD24A">
            <w:pPr>
              <w:pStyle w:val="TableTextLeft"/>
              <w:jc w:val="center"/>
              <w:rPr>
                <w:rFonts w:asciiTheme="minorHAnsi" w:hAnsiTheme="minorHAnsi" w:cstheme="minorHAnsi"/>
                <w:b/>
                <w:bCs/>
                <w:sz w:val="24"/>
                <w:szCs w:val="24"/>
              </w:rPr>
            </w:pPr>
            <w:r w:rsidRPr="00761EE3">
              <w:rPr>
                <w:rFonts w:asciiTheme="minorHAnsi" w:hAnsiTheme="minorHAnsi" w:cstheme="minorHAnsi"/>
                <w:sz w:val="24"/>
                <w:szCs w:val="24"/>
              </w:rPr>
              <w:sym w:font="Wingdings" w:char="F0FC"/>
            </w:r>
          </w:p>
        </w:tc>
        <w:tc>
          <w:tcPr>
            <w:tcW w:w="1877" w:type="dxa"/>
          </w:tcPr>
          <w:p w:rsidRPr="008A4619" w:rsidR="00133EA5" w:rsidP="00133EA5" w:rsidRDefault="00133EA5" w14:paraId="68222500" w14:textId="39C8380B">
            <w:pPr>
              <w:pStyle w:val="TableTextLeft"/>
              <w:jc w:val="center"/>
              <w:rPr>
                <w:rFonts w:asciiTheme="minorHAnsi" w:hAnsiTheme="minorHAnsi" w:cstheme="minorHAnsi"/>
                <w:sz w:val="24"/>
                <w:szCs w:val="24"/>
              </w:rPr>
            </w:pPr>
            <w:r w:rsidRPr="00CA167C">
              <w:rPr>
                <w:rFonts w:asciiTheme="minorHAnsi" w:hAnsiTheme="minorHAnsi" w:cstheme="minorHAnsi"/>
                <w:sz w:val="24"/>
                <w:szCs w:val="24"/>
              </w:rPr>
              <w:sym w:font="Wingdings" w:char="F0FC"/>
            </w:r>
          </w:p>
        </w:tc>
        <w:tc>
          <w:tcPr>
            <w:tcW w:w="1877" w:type="dxa"/>
          </w:tcPr>
          <w:p w:rsidRPr="008A4619" w:rsidR="00133EA5" w:rsidP="00133EA5" w:rsidRDefault="00133EA5" w14:paraId="00F2679E" w14:textId="7CEA0B80">
            <w:pPr>
              <w:pStyle w:val="TableTextLeft"/>
              <w:jc w:val="center"/>
              <w:rPr>
                <w:rFonts w:asciiTheme="minorHAnsi" w:hAnsiTheme="minorHAnsi" w:cstheme="minorHAnsi"/>
                <w:b/>
                <w:sz w:val="18"/>
                <w:szCs w:val="18"/>
              </w:rPr>
            </w:pPr>
            <w:r w:rsidRPr="00CA167C">
              <w:rPr>
                <w:rFonts w:asciiTheme="minorHAnsi" w:hAnsiTheme="minorHAnsi" w:cstheme="minorHAnsi"/>
                <w:sz w:val="24"/>
                <w:szCs w:val="24"/>
              </w:rPr>
              <w:sym w:font="Wingdings" w:char="F0FC"/>
            </w:r>
          </w:p>
        </w:tc>
      </w:tr>
      <w:tr w:rsidRPr="008A4619" w:rsidR="00133EA5" w:rsidTr="00133EA5" w14:paraId="3CC3961F" w14:textId="77777777">
        <w:trPr>
          <w:cantSplit/>
        </w:trPr>
        <w:tc>
          <w:tcPr>
            <w:tcW w:w="4725" w:type="dxa"/>
            <w:shd w:val="clear" w:color="auto" w:fill="E0D4B5"/>
          </w:tcPr>
          <w:p w:rsidRPr="008A4619" w:rsidR="00133EA5" w:rsidP="00133EA5" w:rsidRDefault="00133EA5" w14:paraId="5B0E0346" w14:textId="278F6CBB">
            <w:pPr>
              <w:pStyle w:val="TableTextLeft"/>
              <w:rPr>
                <w:rFonts w:asciiTheme="minorHAnsi" w:hAnsiTheme="minorHAnsi" w:cstheme="minorHAnsi"/>
                <w:sz w:val="18"/>
                <w:szCs w:val="18"/>
              </w:rPr>
            </w:pPr>
            <w:r w:rsidRPr="00625A53">
              <w:rPr>
                <w:rFonts w:asciiTheme="minorHAnsi" w:hAnsiTheme="minorHAnsi" w:cstheme="minorHAnsi"/>
                <w:bCs/>
                <w:sz w:val="18"/>
                <w:szCs w:val="18"/>
              </w:rPr>
              <w:t>Collaboration quality (as a facilitator of or barrier to sustainability)</w:t>
            </w:r>
          </w:p>
        </w:tc>
        <w:tc>
          <w:tcPr>
            <w:tcW w:w="1253" w:type="dxa"/>
            <w:shd w:val="clear" w:color="auto" w:fill="E0D4B5"/>
          </w:tcPr>
          <w:p w:rsidRPr="008A4619" w:rsidR="00133EA5" w:rsidP="00133EA5" w:rsidRDefault="00133EA5" w14:paraId="7FC99B2C" w14:textId="7E94A51E">
            <w:pPr>
              <w:pStyle w:val="TableTextLeft"/>
              <w:jc w:val="center"/>
              <w:rPr>
                <w:rFonts w:asciiTheme="minorHAnsi" w:hAnsiTheme="minorHAnsi" w:cstheme="minorHAnsi"/>
                <w:b/>
                <w:sz w:val="24"/>
              </w:rPr>
            </w:pPr>
            <w:r w:rsidRPr="00761EE3">
              <w:rPr>
                <w:rFonts w:asciiTheme="minorHAnsi" w:hAnsiTheme="minorHAnsi" w:cstheme="minorHAnsi"/>
                <w:sz w:val="24"/>
                <w:szCs w:val="24"/>
              </w:rPr>
              <w:sym w:font="Wingdings" w:char="F0FC"/>
            </w:r>
          </w:p>
        </w:tc>
        <w:tc>
          <w:tcPr>
            <w:tcW w:w="1700" w:type="dxa"/>
            <w:shd w:val="clear" w:color="auto" w:fill="E0D4B5"/>
          </w:tcPr>
          <w:p w:rsidRPr="008A4619" w:rsidR="00133EA5" w:rsidP="00133EA5" w:rsidRDefault="00133EA5" w14:paraId="7452D1FB" w14:textId="4836EFA7">
            <w:pPr>
              <w:pStyle w:val="TableTextLeft"/>
              <w:jc w:val="center"/>
              <w:rPr>
                <w:rFonts w:asciiTheme="minorHAnsi" w:hAnsiTheme="minorHAnsi" w:cstheme="minorHAnsi"/>
                <w:sz w:val="24"/>
                <w:szCs w:val="24"/>
              </w:rPr>
            </w:pPr>
            <w:r w:rsidRPr="00761EE3">
              <w:rPr>
                <w:rFonts w:asciiTheme="minorHAnsi" w:hAnsiTheme="minorHAnsi" w:cstheme="minorHAnsi"/>
                <w:sz w:val="24"/>
                <w:szCs w:val="24"/>
              </w:rPr>
              <w:sym w:font="Wingdings" w:char="F0FC"/>
            </w:r>
          </w:p>
        </w:tc>
        <w:tc>
          <w:tcPr>
            <w:tcW w:w="1798" w:type="dxa"/>
            <w:shd w:val="clear" w:color="auto" w:fill="E0D4B5"/>
          </w:tcPr>
          <w:p w:rsidRPr="008A4619" w:rsidR="00133EA5" w:rsidP="00133EA5" w:rsidRDefault="00133EA5" w14:paraId="284E72B6" w14:textId="7CFE70B6">
            <w:pPr>
              <w:pStyle w:val="TableTextLeft"/>
              <w:jc w:val="center"/>
              <w:rPr>
                <w:rFonts w:asciiTheme="minorHAnsi" w:hAnsiTheme="minorHAnsi" w:cstheme="minorHAnsi"/>
                <w:b/>
                <w:bCs/>
                <w:sz w:val="24"/>
                <w:szCs w:val="24"/>
              </w:rPr>
            </w:pPr>
            <w:r w:rsidRPr="00761EE3">
              <w:rPr>
                <w:rFonts w:asciiTheme="minorHAnsi" w:hAnsiTheme="minorHAnsi" w:cstheme="minorHAnsi"/>
                <w:sz w:val="24"/>
                <w:szCs w:val="24"/>
              </w:rPr>
              <w:sym w:font="Wingdings" w:char="F0FC"/>
            </w:r>
          </w:p>
        </w:tc>
        <w:tc>
          <w:tcPr>
            <w:tcW w:w="1877" w:type="dxa"/>
            <w:shd w:val="clear" w:color="auto" w:fill="E0D4B5"/>
          </w:tcPr>
          <w:p w:rsidRPr="008A4619" w:rsidR="00133EA5" w:rsidP="00133EA5" w:rsidRDefault="00133EA5" w14:paraId="64937294" w14:textId="459B970C">
            <w:pPr>
              <w:pStyle w:val="TableTextLeft"/>
              <w:jc w:val="center"/>
              <w:rPr>
                <w:rFonts w:asciiTheme="minorHAnsi" w:hAnsiTheme="minorHAnsi" w:cstheme="minorHAnsi"/>
                <w:sz w:val="24"/>
                <w:szCs w:val="24"/>
              </w:rPr>
            </w:pPr>
            <w:r w:rsidRPr="00CA167C">
              <w:rPr>
                <w:rFonts w:asciiTheme="minorHAnsi" w:hAnsiTheme="minorHAnsi" w:cstheme="minorHAnsi"/>
                <w:sz w:val="24"/>
                <w:szCs w:val="24"/>
              </w:rPr>
              <w:sym w:font="Wingdings" w:char="F0FC"/>
            </w:r>
          </w:p>
        </w:tc>
        <w:tc>
          <w:tcPr>
            <w:tcW w:w="1877" w:type="dxa"/>
            <w:shd w:val="clear" w:color="auto" w:fill="E0D4B5"/>
          </w:tcPr>
          <w:p w:rsidRPr="008A4619" w:rsidR="00133EA5" w:rsidP="00133EA5" w:rsidRDefault="00133EA5" w14:paraId="079F7607" w14:textId="2F575D1B">
            <w:pPr>
              <w:pStyle w:val="TableTextLeft"/>
              <w:jc w:val="center"/>
              <w:rPr>
                <w:rFonts w:asciiTheme="minorHAnsi" w:hAnsiTheme="minorHAnsi" w:cstheme="minorHAnsi"/>
                <w:b/>
                <w:sz w:val="18"/>
                <w:szCs w:val="18"/>
              </w:rPr>
            </w:pPr>
            <w:r w:rsidRPr="00CA167C">
              <w:rPr>
                <w:rFonts w:asciiTheme="minorHAnsi" w:hAnsiTheme="minorHAnsi" w:cstheme="minorHAnsi"/>
                <w:sz w:val="24"/>
                <w:szCs w:val="24"/>
              </w:rPr>
              <w:sym w:font="Wingdings" w:char="F0FC"/>
            </w:r>
          </w:p>
        </w:tc>
      </w:tr>
      <w:tr w:rsidRPr="008A4619" w:rsidR="00133EA5" w:rsidTr="00133EA5" w14:paraId="1EB18D79" w14:textId="77777777">
        <w:trPr>
          <w:cantSplit/>
        </w:trPr>
        <w:tc>
          <w:tcPr>
            <w:tcW w:w="4725" w:type="dxa"/>
          </w:tcPr>
          <w:p w:rsidRPr="00625A53" w:rsidR="00133EA5" w:rsidP="00133EA5" w:rsidRDefault="00133EA5" w14:paraId="36630797" w14:textId="7792D9B8">
            <w:pPr>
              <w:pStyle w:val="TableTextLeft"/>
              <w:rPr>
                <w:rFonts w:asciiTheme="minorHAnsi" w:hAnsiTheme="minorHAnsi" w:cstheme="minorHAnsi"/>
                <w:bCs/>
                <w:sz w:val="18"/>
                <w:szCs w:val="18"/>
              </w:rPr>
            </w:pPr>
            <w:r w:rsidRPr="00625A53">
              <w:rPr>
                <w:rFonts w:asciiTheme="minorHAnsi" w:hAnsiTheme="minorHAnsi" w:cstheme="minorHAnsi"/>
                <w:bCs/>
                <w:sz w:val="18"/>
                <w:szCs w:val="18"/>
              </w:rPr>
              <w:t>Communication processes (as a facilitator of or barrier to sustainability)</w:t>
            </w:r>
          </w:p>
        </w:tc>
        <w:tc>
          <w:tcPr>
            <w:tcW w:w="1253" w:type="dxa"/>
          </w:tcPr>
          <w:p w:rsidRPr="00625A53" w:rsidR="00133EA5" w:rsidP="00133EA5" w:rsidRDefault="00133EA5" w14:paraId="455160FB" w14:textId="726DC105">
            <w:pPr>
              <w:pStyle w:val="TableTextLeft"/>
              <w:jc w:val="center"/>
              <w:rPr>
                <w:rFonts w:asciiTheme="minorHAnsi" w:hAnsiTheme="minorHAnsi" w:cstheme="minorHAnsi"/>
                <w:b/>
                <w:bCs/>
                <w:sz w:val="24"/>
              </w:rPr>
            </w:pPr>
            <w:r w:rsidRPr="00761EE3">
              <w:rPr>
                <w:rFonts w:asciiTheme="minorHAnsi" w:hAnsiTheme="minorHAnsi" w:cstheme="minorHAnsi"/>
                <w:sz w:val="24"/>
                <w:szCs w:val="24"/>
              </w:rPr>
              <w:sym w:font="Wingdings" w:char="F0FC"/>
            </w:r>
          </w:p>
        </w:tc>
        <w:tc>
          <w:tcPr>
            <w:tcW w:w="1700" w:type="dxa"/>
          </w:tcPr>
          <w:p w:rsidRPr="00625A53" w:rsidR="00133EA5" w:rsidP="00133EA5" w:rsidRDefault="00133EA5" w14:paraId="5E02597E" w14:textId="7F1C0EB9">
            <w:pPr>
              <w:pStyle w:val="TableTextLeft"/>
              <w:jc w:val="center"/>
              <w:rPr>
                <w:rFonts w:asciiTheme="minorHAnsi" w:hAnsiTheme="minorHAnsi" w:cstheme="minorHAnsi"/>
                <w:b/>
                <w:bCs/>
                <w:sz w:val="24"/>
                <w:szCs w:val="24"/>
              </w:rPr>
            </w:pPr>
            <w:r w:rsidRPr="00761EE3">
              <w:rPr>
                <w:rFonts w:asciiTheme="minorHAnsi" w:hAnsiTheme="minorHAnsi" w:cstheme="minorHAnsi"/>
                <w:sz w:val="24"/>
                <w:szCs w:val="24"/>
              </w:rPr>
              <w:sym w:font="Wingdings" w:char="F0FC"/>
            </w:r>
          </w:p>
        </w:tc>
        <w:tc>
          <w:tcPr>
            <w:tcW w:w="1798" w:type="dxa"/>
          </w:tcPr>
          <w:p w:rsidRPr="00625A53" w:rsidR="00133EA5" w:rsidP="00133EA5" w:rsidRDefault="00133EA5" w14:paraId="1B302E96" w14:textId="111F76C5">
            <w:pPr>
              <w:pStyle w:val="TableTextLeft"/>
              <w:jc w:val="center"/>
              <w:rPr>
                <w:rFonts w:asciiTheme="minorHAnsi" w:hAnsiTheme="minorHAnsi" w:cstheme="minorHAnsi"/>
                <w:b/>
                <w:bCs/>
                <w:sz w:val="24"/>
                <w:szCs w:val="24"/>
              </w:rPr>
            </w:pPr>
            <w:r w:rsidRPr="00761EE3">
              <w:rPr>
                <w:rFonts w:asciiTheme="minorHAnsi" w:hAnsiTheme="minorHAnsi" w:cstheme="minorHAnsi"/>
                <w:sz w:val="24"/>
                <w:szCs w:val="24"/>
              </w:rPr>
              <w:sym w:font="Wingdings" w:char="F0FC"/>
            </w:r>
          </w:p>
        </w:tc>
        <w:tc>
          <w:tcPr>
            <w:tcW w:w="1877" w:type="dxa"/>
          </w:tcPr>
          <w:p w:rsidRPr="00625A53" w:rsidR="00133EA5" w:rsidP="00133EA5" w:rsidRDefault="00133EA5" w14:paraId="2277F4FB" w14:textId="0E41E5F4">
            <w:pPr>
              <w:pStyle w:val="TableTextLeft"/>
              <w:jc w:val="center"/>
              <w:rPr>
                <w:rFonts w:asciiTheme="minorHAnsi" w:hAnsiTheme="minorHAnsi" w:cstheme="minorHAnsi"/>
                <w:b/>
                <w:bCs/>
                <w:sz w:val="24"/>
                <w:szCs w:val="24"/>
              </w:rPr>
            </w:pPr>
            <w:r w:rsidRPr="00761EE3">
              <w:rPr>
                <w:rFonts w:asciiTheme="minorHAnsi" w:hAnsiTheme="minorHAnsi" w:cstheme="minorHAnsi"/>
                <w:sz w:val="24"/>
                <w:szCs w:val="24"/>
              </w:rPr>
              <w:sym w:font="Wingdings" w:char="F0FC"/>
            </w:r>
          </w:p>
        </w:tc>
        <w:tc>
          <w:tcPr>
            <w:tcW w:w="1877" w:type="dxa"/>
          </w:tcPr>
          <w:p w:rsidRPr="00625A53" w:rsidR="00133EA5" w:rsidP="00133EA5" w:rsidRDefault="00133EA5" w14:paraId="6EFDF568" w14:textId="444B0D16">
            <w:pPr>
              <w:pStyle w:val="TableTextLeft"/>
              <w:jc w:val="center"/>
              <w:rPr>
                <w:rFonts w:asciiTheme="minorHAnsi" w:hAnsiTheme="minorHAnsi" w:cstheme="minorHAnsi"/>
                <w:b/>
                <w:bCs/>
                <w:sz w:val="18"/>
                <w:szCs w:val="18"/>
              </w:rPr>
            </w:pPr>
            <w:r w:rsidRPr="00761EE3">
              <w:rPr>
                <w:rFonts w:asciiTheme="minorHAnsi" w:hAnsiTheme="minorHAnsi" w:cstheme="minorHAnsi"/>
                <w:sz w:val="24"/>
                <w:szCs w:val="24"/>
              </w:rPr>
              <w:sym w:font="Wingdings" w:char="F0FC"/>
            </w:r>
          </w:p>
        </w:tc>
      </w:tr>
      <w:tr w:rsidRPr="008A4619" w:rsidR="00133EA5" w:rsidTr="00133EA5" w14:paraId="3FF8EA68" w14:textId="77777777">
        <w:trPr>
          <w:cantSplit/>
        </w:trPr>
        <w:tc>
          <w:tcPr>
            <w:tcW w:w="4725" w:type="dxa"/>
            <w:shd w:val="clear" w:color="auto" w:fill="E0D4B5"/>
          </w:tcPr>
          <w:p w:rsidRPr="00625A53" w:rsidR="00133EA5" w:rsidP="00133EA5" w:rsidRDefault="00133EA5" w14:paraId="1C8D2CEE" w14:textId="23CDC137">
            <w:pPr>
              <w:pStyle w:val="TableTextLeft"/>
              <w:rPr>
                <w:rFonts w:asciiTheme="minorHAnsi" w:hAnsiTheme="minorHAnsi" w:cstheme="minorHAnsi"/>
                <w:bCs/>
                <w:sz w:val="18"/>
                <w:szCs w:val="18"/>
              </w:rPr>
            </w:pPr>
            <w:r w:rsidRPr="00625A53">
              <w:rPr>
                <w:rFonts w:asciiTheme="minorHAnsi" w:hAnsiTheme="minorHAnsi" w:cstheme="minorHAnsi"/>
                <w:bCs/>
                <w:sz w:val="18"/>
                <w:szCs w:val="18"/>
              </w:rPr>
              <w:t>System-level inputs (as facilitators of or barriers to sustainability)</w:t>
            </w:r>
          </w:p>
        </w:tc>
        <w:tc>
          <w:tcPr>
            <w:tcW w:w="1253" w:type="dxa"/>
            <w:shd w:val="clear" w:color="auto" w:fill="E0D4B5"/>
          </w:tcPr>
          <w:p w:rsidRPr="00625A53" w:rsidR="00133EA5" w:rsidP="00133EA5" w:rsidRDefault="00133EA5" w14:paraId="69EF5D25" w14:textId="0161E653">
            <w:pPr>
              <w:pStyle w:val="TableTextLeft"/>
              <w:jc w:val="center"/>
              <w:rPr>
                <w:rFonts w:asciiTheme="minorHAnsi" w:hAnsiTheme="minorHAnsi" w:cstheme="minorHAnsi"/>
                <w:b/>
                <w:bCs/>
                <w:sz w:val="24"/>
              </w:rPr>
            </w:pPr>
            <w:r w:rsidRPr="00761EE3">
              <w:rPr>
                <w:rFonts w:asciiTheme="minorHAnsi" w:hAnsiTheme="minorHAnsi" w:cstheme="minorHAnsi"/>
                <w:sz w:val="24"/>
                <w:szCs w:val="24"/>
              </w:rPr>
              <w:sym w:font="Wingdings" w:char="F0FC"/>
            </w:r>
          </w:p>
        </w:tc>
        <w:tc>
          <w:tcPr>
            <w:tcW w:w="1700" w:type="dxa"/>
            <w:shd w:val="clear" w:color="auto" w:fill="E0D4B5"/>
          </w:tcPr>
          <w:p w:rsidRPr="00625A53" w:rsidR="00133EA5" w:rsidP="00133EA5" w:rsidRDefault="00133EA5" w14:paraId="1ED53819" w14:textId="3F3578A3">
            <w:pPr>
              <w:pStyle w:val="TableTextLeft"/>
              <w:jc w:val="center"/>
              <w:rPr>
                <w:rFonts w:asciiTheme="minorHAnsi" w:hAnsiTheme="minorHAnsi" w:cstheme="minorHAnsi"/>
                <w:b/>
                <w:bCs/>
                <w:sz w:val="24"/>
                <w:szCs w:val="24"/>
              </w:rPr>
            </w:pPr>
            <w:r w:rsidRPr="00761EE3">
              <w:rPr>
                <w:rFonts w:asciiTheme="minorHAnsi" w:hAnsiTheme="minorHAnsi" w:cstheme="minorHAnsi"/>
                <w:sz w:val="24"/>
                <w:szCs w:val="24"/>
              </w:rPr>
              <w:sym w:font="Wingdings" w:char="F0FC"/>
            </w:r>
          </w:p>
        </w:tc>
        <w:tc>
          <w:tcPr>
            <w:tcW w:w="1798" w:type="dxa"/>
            <w:shd w:val="clear" w:color="auto" w:fill="E0D4B5"/>
          </w:tcPr>
          <w:p w:rsidRPr="00625A53" w:rsidR="00133EA5" w:rsidP="00133EA5" w:rsidRDefault="00133EA5" w14:paraId="74D5E0E2" w14:textId="2D01F58A">
            <w:pPr>
              <w:pStyle w:val="TableTextLeft"/>
              <w:jc w:val="center"/>
              <w:rPr>
                <w:rFonts w:asciiTheme="minorHAnsi" w:hAnsiTheme="minorHAnsi" w:cstheme="minorHAnsi"/>
                <w:b/>
                <w:bCs/>
                <w:sz w:val="24"/>
                <w:szCs w:val="24"/>
                <w:highlight w:val="magenta"/>
              </w:rPr>
            </w:pPr>
            <w:r w:rsidRPr="00761EE3">
              <w:rPr>
                <w:rFonts w:asciiTheme="minorHAnsi" w:hAnsiTheme="minorHAnsi" w:cstheme="minorHAnsi"/>
                <w:sz w:val="24"/>
                <w:szCs w:val="24"/>
              </w:rPr>
              <w:sym w:font="Wingdings" w:char="F0FC"/>
            </w:r>
          </w:p>
        </w:tc>
        <w:tc>
          <w:tcPr>
            <w:tcW w:w="1877" w:type="dxa"/>
            <w:shd w:val="clear" w:color="auto" w:fill="E0D4B5"/>
          </w:tcPr>
          <w:p w:rsidRPr="00625A53" w:rsidR="00133EA5" w:rsidP="00133EA5" w:rsidRDefault="00133EA5" w14:paraId="4C213B15" w14:textId="30F4738F">
            <w:pPr>
              <w:pStyle w:val="TableTextLeft"/>
              <w:jc w:val="center"/>
              <w:rPr>
                <w:rFonts w:asciiTheme="minorHAnsi" w:hAnsiTheme="minorHAnsi" w:cstheme="minorHAnsi"/>
                <w:b/>
                <w:bCs/>
                <w:sz w:val="24"/>
                <w:szCs w:val="24"/>
              </w:rPr>
            </w:pPr>
            <w:r w:rsidRPr="00761EE3">
              <w:rPr>
                <w:rFonts w:asciiTheme="minorHAnsi" w:hAnsiTheme="minorHAnsi" w:cstheme="minorHAnsi"/>
                <w:sz w:val="24"/>
                <w:szCs w:val="24"/>
              </w:rPr>
              <w:sym w:font="Wingdings" w:char="F0FC"/>
            </w:r>
          </w:p>
        </w:tc>
        <w:tc>
          <w:tcPr>
            <w:tcW w:w="1877" w:type="dxa"/>
            <w:shd w:val="clear" w:color="auto" w:fill="E0D4B5"/>
          </w:tcPr>
          <w:p w:rsidRPr="00625A53" w:rsidR="00133EA5" w:rsidP="00133EA5" w:rsidRDefault="00133EA5" w14:paraId="31E46D92" w14:textId="57B76041">
            <w:pPr>
              <w:pStyle w:val="TableTextLeft"/>
              <w:jc w:val="center"/>
              <w:rPr>
                <w:rFonts w:asciiTheme="minorHAnsi" w:hAnsiTheme="minorHAnsi" w:cstheme="minorHAnsi"/>
                <w:b/>
                <w:bCs/>
                <w:sz w:val="18"/>
                <w:szCs w:val="18"/>
              </w:rPr>
            </w:pPr>
            <w:r w:rsidRPr="00761EE3">
              <w:rPr>
                <w:rFonts w:asciiTheme="minorHAnsi" w:hAnsiTheme="minorHAnsi" w:cstheme="minorHAnsi"/>
                <w:sz w:val="24"/>
                <w:szCs w:val="24"/>
              </w:rPr>
              <w:sym w:font="Wingdings" w:char="F0FC"/>
            </w:r>
          </w:p>
        </w:tc>
      </w:tr>
      <w:tr w:rsidRPr="008A4619" w:rsidR="00133EA5" w:rsidTr="00133EA5" w14:paraId="2E783A42" w14:textId="77777777">
        <w:trPr>
          <w:cantSplit/>
        </w:trPr>
        <w:tc>
          <w:tcPr>
            <w:tcW w:w="4725" w:type="dxa"/>
            <w:tcBorders>
              <w:bottom w:val="single" w:color="046B5C" w:sz="4" w:space="0"/>
            </w:tcBorders>
            <w:shd w:val="clear" w:color="auto" w:fill="D9D9D9" w:themeFill="background1" w:themeFillShade="D9"/>
          </w:tcPr>
          <w:p w:rsidRPr="00625A53" w:rsidR="00133EA5" w:rsidP="00133EA5" w:rsidRDefault="00133EA5" w14:paraId="4B456183" w14:textId="367A18AA">
            <w:pPr>
              <w:pStyle w:val="TableTextLeft"/>
              <w:rPr>
                <w:rFonts w:asciiTheme="minorHAnsi" w:hAnsiTheme="minorHAnsi" w:cstheme="minorHAnsi"/>
                <w:b/>
                <w:bCs/>
                <w:sz w:val="18"/>
                <w:szCs w:val="18"/>
              </w:rPr>
            </w:pPr>
            <w:r w:rsidRPr="00625A53">
              <w:rPr>
                <w:rFonts w:asciiTheme="minorHAnsi" w:hAnsiTheme="minorHAnsi" w:cstheme="minorHAnsi"/>
                <w:b/>
                <w:bCs/>
                <w:sz w:val="18"/>
                <w:szCs w:val="18"/>
              </w:rPr>
              <w:t xml:space="preserve">5. Are any of the factors </w:t>
            </w:r>
            <w:r>
              <w:rPr>
                <w:rFonts w:asciiTheme="minorHAnsi" w:hAnsiTheme="minorHAnsi" w:cstheme="minorHAnsi"/>
                <w:b/>
                <w:bCs/>
                <w:sz w:val="18"/>
                <w:szCs w:val="18"/>
              </w:rPr>
              <w:t>associated with</w:t>
            </w:r>
            <w:r w:rsidRPr="00625A53">
              <w:rPr>
                <w:rFonts w:asciiTheme="minorHAnsi" w:hAnsiTheme="minorHAnsi" w:cstheme="minorHAnsi"/>
                <w:b/>
                <w:bCs/>
                <w:sz w:val="18"/>
                <w:szCs w:val="18"/>
              </w:rPr>
              <w:t xml:space="preserve"> Research Questions 1–4 differ</w:t>
            </w:r>
            <w:r>
              <w:rPr>
                <w:rFonts w:asciiTheme="minorHAnsi" w:hAnsiTheme="minorHAnsi" w:cstheme="minorHAnsi"/>
                <w:b/>
                <w:bCs/>
                <w:sz w:val="18"/>
                <w:szCs w:val="18"/>
              </w:rPr>
              <w:t xml:space="preserve"> between partnerships that are center based providers and those that are</w:t>
            </w:r>
            <w:r w:rsidRPr="00625A53">
              <w:rPr>
                <w:rFonts w:asciiTheme="minorHAnsi" w:hAnsiTheme="minorHAnsi" w:cstheme="minorHAnsi"/>
                <w:b/>
                <w:bCs/>
                <w:sz w:val="18"/>
                <w:szCs w:val="18"/>
              </w:rPr>
              <w:t xml:space="preserve"> family child care providers?</w:t>
            </w:r>
          </w:p>
        </w:tc>
        <w:tc>
          <w:tcPr>
            <w:tcW w:w="1253" w:type="dxa"/>
            <w:tcBorders>
              <w:bottom w:val="single" w:color="046B5C" w:sz="4" w:space="0"/>
            </w:tcBorders>
            <w:shd w:val="clear" w:color="auto" w:fill="D9D9D9" w:themeFill="background1" w:themeFillShade="D9"/>
          </w:tcPr>
          <w:p w:rsidRPr="008A4619" w:rsidR="00133EA5" w:rsidP="00133EA5" w:rsidRDefault="00133EA5" w14:paraId="77BB3738" w14:textId="77777777">
            <w:pPr>
              <w:pStyle w:val="TableTextLeft"/>
              <w:jc w:val="center"/>
              <w:rPr>
                <w:rFonts w:asciiTheme="minorHAnsi" w:hAnsiTheme="minorHAnsi" w:cstheme="minorHAnsi"/>
                <w:sz w:val="18"/>
                <w:szCs w:val="18"/>
              </w:rPr>
            </w:pPr>
          </w:p>
        </w:tc>
        <w:tc>
          <w:tcPr>
            <w:tcW w:w="1700" w:type="dxa"/>
            <w:tcBorders>
              <w:bottom w:val="single" w:color="046B5C" w:sz="4" w:space="0"/>
            </w:tcBorders>
            <w:shd w:val="clear" w:color="auto" w:fill="D9D9D9" w:themeFill="background1" w:themeFillShade="D9"/>
          </w:tcPr>
          <w:p w:rsidRPr="008A4619" w:rsidR="00133EA5" w:rsidP="00133EA5" w:rsidRDefault="00133EA5" w14:paraId="663AC7FA" w14:textId="77777777">
            <w:pPr>
              <w:pStyle w:val="TableTextLeft"/>
              <w:jc w:val="center"/>
              <w:rPr>
                <w:rFonts w:asciiTheme="minorHAnsi" w:hAnsiTheme="minorHAnsi" w:cstheme="minorHAnsi"/>
                <w:sz w:val="18"/>
                <w:szCs w:val="18"/>
              </w:rPr>
            </w:pPr>
          </w:p>
        </w:tc>
        <w:tc>
          <w:tcPr>
            <w:tcW w:w="1798" w:type="dxa"/>
            <w:tcBorders>
              <w:bottom w:val="single" w:color="046B5C" w:sz="4" w:space="0"/>
            </w:tcBorders>
            <w:shd w:val="clear" w:color="auto" w:fill="D9D9D9" w:themeFill="background1" w:themeFillShade="D9"/>
          </w:tcPr>
          <w:p w:rsidRPr="008A4619" w:rsidR="00133EA5" w:rsidP="00133EA5" w:rsidRDefault="00133EA5" w14:paraId="6442501C" w14:textId="62475954">
            <w:pPr>
              <w:pStyle w:val="TableTextLeft"/>
              <w:jc w:val="center"/>
              <w:rPr>
                <w:rFonts w:asciiTheme="minorHAnsi" w:hAnsiTheme="minorHAnsi" w:cstheme="minorHAnsi"/>
                <w:sz w:val="18"/>
                <w:szCs w:val="18"/>
              </w:rPr>
            </w:pPr>
          </w:p>
        </w:tc>
        <w:tc>
          <w:tcPr>
            <w:tcW w:w="1877" w:type="dxa"/>
            <w:tcBorders>
              <w:bottom w:val="single" w:color="046B5C" w:sz="4" w:space="0"/>
            </w:tcBorders>
            <w:shd w:val="clear" w:color="auto" w:fill="D9D9D9" w:themeFill="background1" w:themeFillShade="D9"/>
          </w:tcPr>
          <w:p w:rsidRPr="008A4619" w:rsidR="00133EA5" w:rsidP="00133EA5" w:rsidRDefault="00133EA5" w14:paraId="5F082A3F" w14:textId="77777777">
            <w:pPr>
              <w:pStyle w:val="TableTextLeft"/>
              <w:jc w:val="center"/>
              <w:rPr>
                <w:rFonts w:asciiTheme="minorHAnsi" w:hAnsiTheme="minorHAnsi" w:cstheme="minorHAnsi"/>
                <w:sz w:val="18"/>
                <w:szCs w:val="18"/>
              </w:rPr>
            </w:pPr>
          </w:p>
        </w:tc>
        <w:tc>
          <w:tcPr>
            <w:tcW w:w="1877" w:type="dxa"/>
            <w:tcBorders>
              <w:bottom w:val="single" w:color="046B5C" w:sz="4" w:space="0"/>
            </w:tcBorders>
            <w:shd w:val="clear" w:color="auto" w:fill="D9D9D9" w:themeFill="background1" w:themeFillShade="D9"/>
          </w:tcPr>
          <w:p w:rsidRPr="008A4619" w:rsidR="00133EA5" w:rsidP="00133EA5" w:rsidRDefault="00133EA5" w14:paraId="57499830" w14:textId="77777777">
            <w:pPr>
              <w:pStyle w:val="TableTextLeft"/>
              <w:jc w:val="center"/>
              <w:rPr>
                <w:rFonts w:asciiTheme="minorHAnsi" w:hAnsiTheme="minorHAnsi" w:cstheme="minorHAnsi"/>
                <w:sz w:val="18"/>
                <w:szCs w:val="18"/>
              </w:rPr>
            </w:pPr>
          </w:p>
        </w:tc>
      </w:tr>
    </w:tbl>
    <w:p w:rsidRPr="008A4619" w:rsidR="008A4619" w:rsidP="008A4619" w:rsidRDefault="008A4619" w14:paraId="555FC001" w14:textId="60DD897C">
      <w:pPr>
        <w:pStyle w:val="TableFootnote"/>
        <w:rPr>
          <w:rFonts w:asciiTheme="minorHAnsi" w:hAnsiTheme="minorHAnsi" w:cstheme="minorHAnsi"/>
        </w:rPr>
      </w:pPr>
      <w:r w:rsidRPr="008A4619">
        <w:rPr>
          <w:rFonts w:asciiTheme="minorHAnsi" w:hAnsiTheme="minorHAnsi" w:cstheme="minorHAnsi"/>
          <w:vertAlign w:val="superscript"/>
        </w:rPr>
        <w:t>a</w:t>
      </w:r>
      <w:r w:rsidR="0094134E">
        <w:rPr>
          <w:rFonts w:asciiTheme="minorHAnsi" w:hAnsiTheme="minorHAnsi" w:cstheme="minorHAnsi"/>
          <w:vertAlign w:val="superscript"/>
        </w:rPr>
        <w:t xml:space="preserve"> </w:t>
      </w:r>
      <w:r w:rsidR="0094134E">
        <w:rPr>
          <w:rFonts w:asciiTheme="minorHAnsi" w:hAnsiTheme="minorHAnsi" w:cstheme="minorHAnsi"/>
        </w:rPr>
        <w:t>S</w:t>
      </w:r>
      <w:r w:rsidRPr="008A4619">
        <w:rPr>
          <w:rFonts w:asciiTheme="minorHAnsi" w:hAnsiTheme="minorHAnsi" w:cstheme="minorHAnsi"/>
        </w:rPr>
        <w:t xml:space="preserve">ources of data </w:t>
      </w:r>
      <w:r w:rsidR="0094134E">
        <w:rPr>
          <w:rFonts w:asciiTheme="minorHAnsi" w:hAnsiTheme="minorHAnsi" w:cstheme="minorHAnsi"/>
        </w:rPr>
        <w:t xml:space="preserve">are </w:t>
      </w:r>
      <w:r w:rsidRPr="008A4619">
        <w:rPr>
          <w:rFonts w:asciiTheme="minorHAnsi" w:hAnsiTheme="minorHAnsi" w:cstheme="minorHAnsi"/>
        </w:rPr>
        <w:t xml:space="preserve">at </w:t>
      </w:r>
      <w:r w:rsidR="0094134E">
        <w:rPr>
          <w:rFonts w:asciiTheme="minorHAnsi" w:hAnsiTheme="minorHAnsi" w:cstheme="minorHAnsi"/>
        </w:rPr>
        <w:t xml:space="preserve">the </w:t>
      </w:r>
      <w:r w:rsidRPr="008A4619">
        <w:rPr>
          <w:rFonts w:asciiTheme="minorHAnsi" w:hAnsiTheme="minorHAnsi" w:cstheme="minorHAnsi"/>
        </w:rPr>
        <w:t xml:space="preserve">construct level—each source listed in this column might not </w:t>
      </w:r>
      <w:r w:rsidR="0094134E">
        <w:rPr>
          <w:rFonts w:asciiTheme="minorHAnsi" w:hAnsiTheme="minorHAnsi" w:cstheme="minorHAnsi"/>
        </w:rPr>
        <w:t>reflect</w:t>
      </w:r>
      <w:r w:rsidRPr="008A4619" w:rsidR="0094134E">
        <w:rPr>
          <w:rFonts w:asciiTheme="minorHAnsi" w:hAnsiTheme="minorHAnsi" w:cstheme="minorHAnsi"/>
        </w:rPr>
        <w:t xml:space="preserve"> </w:t>
      </w:r>
      <w:r w:rsidRPr="008A4619">
        <w:rPr>
          <w:rFonts w:asciiTheme="minorHAnsi" w:hAnsiTheme="minorHAnsi" w:cstheme="minorHAnsi"/>
        </w:rPr>
        <w:t>all subconstructs listed in a row.</w:t>
      </w:r>
    </w:p>
    <w:p w:rsidRPr="008A4619" w:rsidR="008A4619" w:rsidP="008A4619" w:rsidRDefault="008A4619" w14:paraId="5555D1E2" w14:textId="2DE3DFEC">
      <w:pPr>
        <w:pStyle w:val="TableFootnote"/>
        <w:rPr>
          <w:rFonts w:asciiTheme="minorHAnsi" w:hAnsiTheme="minorHAnsi" w:cstheme="minorHAnsi"/>
        </w:rPr>
      </w:pPr>
      <w:r w:rsidRPr="008A4619">
        <w:rPr>
          <w:rFonts w:asciiTheme="minorHAnsi" w:hAnsiTheme="minorHAnsi" w:cstheme="minorHAnsi"/>
          <w:vertAlign w:val="superscript"/>
        </w:rPr>
        <w:t xml:space="preserve">b </w:t>
      </w:r>
      <w:r w:rsidRPr="008A4619">
        <w:rPr>
          <w:rFonts w:asciiTheme="minorHAnsi" w:hAnsiTheme="minorHAnsi" w:cstheme="minorHAnsi"/>
        </w:rPr>
        <w:t>We will analyze this using data from the NDS as a predictor</w:t>
      </w:r>
      <w:r w:rsidR="0094134E">
        <w:rPr>
          <w:rFonts w:asciiTheme="minorHAnsi" w:hAnsiTheme="minorHAnsi" w:cstheme="minorHAnsi"/>
        </w:rPr>
        <w:t>.</w:t>
      </w:r>
    </w:p>
    <w:p w:rsidRPr="008A4619" w:rsidR="008A4619" w:rsidP="008A4619" w:rsidRDefault="008A4619" w14:paraId="5861BE0A" w14:textId="144F41F1">
      <w:pPr>
        <w:pStyle w:val="TableFootnote"/>
        <w:spacing w:before="0" w:after="0"/>
        <w:rPr>
          <w:rFonts w:asciiTheme="minorHAnsi" w:hAnsiTheme="minorHAnsi" w:cstheme="minorHAnsi"/>
        </w:rPr>
      </w:pPr>
      <w:r w:rsidRPr="008A4619">
        <w:rPr>
          <w:rFonts w:asciiTheme="minorHAnsi" w:hAnsiTheme="minorHAnsi" w:cstheme="minorHAnsi"/>
        </w:rPr>
        <w:t>EHS = Early Head Start.</w:t>
      </w:r>
    </w:p>
    <w:p w:rsidR="008A4619" w:rsidP="008A4619" w:rsidRDefault="008A4619" w14:paraId="20A38821" w14:textId="0B7AD670">
      <w:pPr>
        <w:rPr>
          <w:bCs/>
          <w:sz w:val="18"/>
          <w:szCs w:val="18"/>
        </w:rPr>
        <w:sectPr w:rsidR="008A4619" w:rsidSect="008A4619">
          <w:pgSz w:w="15840" w:h="12240" w:orient="landscape"/>
          <w:pgMar w:top="1440" w:right="1440" w:bottom="1440" w:left="1440" w:header="720" w:footer="720" w:gutter="0"/>
          <w:cols w:space="720"/>
          <w:docGrid w:linePitch="360"/>
        </w:sectPr>
      </w:pPr>
    </w:p>
    <w:p w:rsidRPr="008A4619" w:rsidR="00A42C71" w:rsidP="00444D5F" w:rsidRDefault="00A42C71" w14:paraId="3E0643E6" w14:textId="1CA77543">
      <w:pPr>
        <w:keepNext/>
        <w:keepLines/>
        <w:tabs>
          <w:tab w:val="left" w:pos="450"/>
        </w:tabs>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lastRenderedPageBreak/>
        <w:t xml:space="preserve">B4. </w:t>
      </w:r>
      <w:r w:rsidRPr="001A59B6">
        <w:rPr>
          <w:rFonts w:eastAsia="Times New Roman" w:cstheme="minorHAnsi"/>
          <w:b/>
          <w:bCs/>
          <w:color w:val="000000"/>
        </w:rPr>
        <w:tab/>
        <w:t>Collection of Data and Quality Control</w:t>
      </w:r>
    </w:p>
    <w:p w:rsidR="006825E6" w:rsidP="0085039E" w:rsidRDefault="002D0FF8" w14:paraId="780D3ADA" w14:textId="33BD871B">
      <w:pPr>
        <w:autoSpaceDE w:val="0"/>
        <w:autoSpaceDN w:val="0"/>
        <w:adjustRightInd w:val="0"/>
        <w:spacing w:after="240" w:line="240" w:lineRule="atLeast"/>
        <w:rPr>
          <w:bCs/>
        </w:rPr>
      </w:pPr>
      <w:r>
        <w:rPr>
          <w:rFonts w:cstheme="minorHAnsi"/>
          <w:b/>
        </w:rPr>
        <w:t>Web-based surveys.</w:t>
      </w:r>
      <w:r>
        <w:rPr>
          <w:rFonts w:cstheme="minorHAnsi"/>
          <w:bCs/>
        </w:rPr>
        <w:t xml:space="preserve"> </w:t>
      </w:r>
      <w:r w:rsidR="003A3309">
        <w:rPr>
          <w:rFonts w:cstheme="minorHAnsi"/>
          <w:bCs/>
        </w:rPr>
        <w:t>We will conduct initial r</w:t>
      </w:r>
      <w:r>
        <w:rPr>
          <w:rFonts w:cstheme="minorHAnsi"/>
          <w:bCs/>
        </w:rPr>
        <w:t xml:space="preserve">ecruitment </w:t>
      </w:r>
      <w:r w:rsidR="00DB6BA4">
        <w:rPr>
          <w:rFonts w:cstheme="minorHAnsi"/>
          <w:bCs/>
        </w:rPr>
        <w:t xml:space="preserve">by </w:t>
      </w:r>
      <w:r w:rsidR="00AC0DA4">
        <w:rPr>
          <w:rFonts w:cstheme="minorHAnsi"/>
          <w:bCs/>
        </w:rPr>
        <w:t xml:space="preserve">mail and </w:t>
      </w:r>
      <w:r w:rsidR="00DB6BA4">
        <w:rPr>
          <w:rFonts w:cstheme="minorHAnsi"/>
          <w:bCs/>
        </w:rPr>
        <w:t xml:space="preserve">email, with </w:t>
      </w:r>
      <w:r w:rsidR="00741C81">
        <w:rPr>
          <w:rFonts w:cstheme="minorHAnsi"/>
          <w:bCs/>
        </w:rPr>
        <w:t xml:space="preserve">reminder emails, telephone calls, and letters for </w:t>
      </w:r>
      <w:r w:rsidR="000C166B">
        <w:rPr>
          <w:rFonts w:cstheme="minorHAnsi"/>
          <w:bCs/>
        </w:rPr>
        <w:t xml:space="preserve">sample members </w:t>
      </w:r>
      <w:r w:rsidR="00741C81">
        <w:rPr>
          <w:rFonts w:cstheme="minorHAnsi"/>
          <w:bCs/>
        </w:rPr>
        <w:t xml:space="preserve">who have not yet </w:t>
      </w:r>
      <w:r w:rsidR="000C166B">
        <w:rPr>
          <w:rFonts w:cstheme="minorHAnsi"/>
          <w:bCs/>
        </w:rPr>
        <w:t>responded to the survey</w:t>
      </w:r>
      <w:r w:rsidR="00D84CED">
        <w:rPr>
          <w:rFonts w:cstheme="minorHAnsi"/>
          <w:bCs/>
        </w:rPr>
        <w:t xml:space="preserve"> (</w:t>
      </w:r>
      <w:r w:rsidR="00C32580">
        <w:rPr>
          <w:rFonts w:cstheme="minorHAnsi"/>
          <w:bCs/>
        </w:rPr>
        <w:t>Appendix B)</w:t>
      </w:r>
      <w:r>
        <w:rPr>
          <w:rFonts w:cstheme="minorHAnsi"/>
          <w:bCs/>
        </w:rPr>
        <w:t>.</w:t>
      </w:r>
      <w:r w:rsidR="00B66D5B">
        <w:rPr>
          <w:rFonts w:cstheme="minorHAnsi"/>
          <w:bCs/>
        </w:rPr>
        <w:t xml:space="preserve"> Along with mail invitations, we will include </w:t>
      </w:r>
      <w:r w:rsidR="00C32580">
        <w:rPr>
          <w:rFonts w:cstheme="minorHAnsi"/>
          <w:bCs/>
        </w:rPr>
        <w:t xml:space="preserve">a joint letter from the Office of Head Start and Office of Child Care describing the purpose of the study (Appendix D). Additionally, we will include </w:t>
      </w:r>
      <w:r w:rsidR="00B66D5B">
        <w:rPr>
          <w:rFonts w:cstheme="minorHAnsi"/>
          <w:bCs/>
        </w:rPr>
        <w:t>a small non-monetary gift</w:t>
      </w:r>
      <w:r w:rsidR="00C32580">
        <w:rPr>
          <w:rFonts w:cstheme="minorHAnsi"/>
          <w:bCs/>
        </w:rPr>
        <w:t xml:space="preserve"> with the invitations</w:t>
      </w:r>
      <w:r w:rsidR="00B66D5B">
        <w:rPr>
          <w:rFonts w:cstheme="minorHAnsi"/>
          <w:bCs/>
        </w:rPr>
        <w:t>.</w:t>
      </w:r>
      <w:r>
        <w:rPr>
          <w:rFonts w:cstheme="minorHAnsi"/>
          <w:bCs/>
        </w:rPr>
        <w:t xml:space="preserve"> </w:t>
      </w:r>
      <w:r w:rsidR="000C166B">
        <w:t xml:space="preserve">Respondents </w:t>
      </w:r>
      <w:r>
        <w:t>will have the option to complete their survey online or over the phone through computer-assisted telephone interviewing (CATI)</w:t>
      </w:r>
      <w:r w:rsidRPr="001275CB">
        <w:t>.</w:t>
      </w:r>
      <w:r w:rsidRPr="002D0FF8">
        <w:rPr>
          <w:bCs/>
        </w:rPr>
        <w:t xml:space="preserve"> </w:t>
      </w:r>
      <w:r>
        <w:rPr>
          <w:bCs/>
        </w:rPr>
        <w:t xml:space="preserve">We will train telephone interviewers, supervisors, and </w:t>
      </w:r>
      <w:r w:rsidRPr="00634ABC">
        <w:rPr>
          <w:bCs/>
        </w:rPr>
        <w:t xml:space="preserve">monitors on the provider surveys. In this training, we will provide an overview of the study and how the provider surveys </w:t>
      </w:r>
      <w:r w:rsidRPr="00634ABC" w:rsidR="004C4C46">
        <w:rPr>
          <w:bCs/>
        </w:rPr>
        <w:t>are related to the other study components</w:t>
      </w:r>
      <w:r w:rsidRPr="00634ABC" w:rsidR="002314F8">
        <w:rPr>
          <w:bCs/>
        </w:rPr>
        <w:t>,</w:t>
      </w:r>
      <w:r w:rsidRPr="00634ABC">
        <w:rPr>
          <w:bCs/>
        </w:rPr>
        <w:t xml:space="preserve"> review how to answer questions from respondents</w:t>
      </w:r>
      <w:r w:rsidRPr="00634ABC" w:rsidR="002314F8">
        <w:rPr>
          <w:bCs/>
        </w:rPr>
        <w:t>,</w:t>
      </w:r>
      <w:r w:rsidRPr="00634ABC">
        <w:rPr>
          <w:bCs/>
        </w:rPr>
        <w:t xml:space="preserve"> demonstrate how to navigate the CATI instrument</w:t>
      </w:r>
      <w:r w:rsidRPr="00634ABC" w:rsidR="002314F8">
        <w:rPr>
          <w:bCs/>
        </w:rPr>
        <w:t>,</w:t>
      </w:r>
      <w:r w:rsidRPr="00634ABC">
        <w:rPr>
          <w:bCs/>
        </w:rPr>
        <w:t xml:space="preserve"> and </w:t>
      </w:r>
      <w:r w:rsidRPr="00634ABC" w:rsidR="00634ABC">
        <w:rPr>
          <w:bCs/>
        </w:rPr>
        <w:t>give</w:t>
      </w:r>
      <w:r w:rsidRPr="00634ABC" w:rsidR="00DB0A4E">
        <w:rPr>
          <w:bCs/>
        </w:rPr>
        <w:t xml:space="preserve"> </w:t>
      </w:r>
      <w:r w:rsidRPr="00634ABC" w:rsidR="00634ABC">
        <w:rPr>
          <w:bCs/>
        </w:rPr>
        <w:t>trainees</w:t>
      </w:r>
      <w:r w:rsidRPr="00634ABC">
        <w:rPr>
          <w:bCs/>
        </w:rPr>
        <w:t xml:space="preserve"> </w:t>
      </w:r>
      <w:r w:rsidRPr="00634ABC" w:rsidR="00634ABC">
        <w:rPr>
          <w:bCs/>
        </w:rPr>
        <w:t xml:space="preserve">a chance </w:t>
      </w:r>
      <w:r w:rsidRPr="00634ABC">
        <w:rPr>
          <w:bCs/>
        </w:rPr>
        <w:t xml:space="preserve">to </w:t>
      </w:r>
      <w:r w:rsidRPr="00634ABC" w:rsidR="002314F8">
        <w:rPr>
          <w:bCs/>
        </w:rPr>
        <w:t>practice administering the interview in pairs</w:t>
      </w:r>
      <w:r w:rsidRPr="00634ABC" w:rsidR="006B0858">
        <w:rPr>
          <w:bCs/>
        </w:rPr>
        <w:t>.</w:t>
      </w:r>
      <w:r w:rsidRPr="00634ABC" w:rsidR="003209F1">
        <w:rPr>
          <w:bCs/>
        </w:rPr>
        <w:t xml:space="preserve"> Given the complexity of some </w:t>
      </w:r>
      <w:r w:rsidR="00794FC9">
        <w:rPr>
          <w:bCs/>
        </w:rPr>
        <w:t xml:space="preserve">program </w:t>
      </w:r>
      <w:r w:rsidRPr="00634ABC" w:rsidR="003209F1">
        <w:rPr>
          <w:bCs/>
        </w:rPr>
        <w:t>arrangements, a member of our research team will conduct p</w:t>
      </w:r>
      <w:r w:rsidRPr="00634ABC" w:rsidR="00A3314E">
        <w:rPr>
          <w:bCs/>
        </w:rPr>
        <w:t xml:space="preserve">hone surveys with </w:t>
      </w:r>
      <w:r w:rsidR="00794FC9">
        <w:rPr>
          <w:bCs/>
        </w:rPr>
        <w:t>EHS programs directors</w:t>
      </w:r>
      <w:r w:rsidRPr="00634ABC" w:rsidR="00794FC9">
        <w:rPr>
          <w:bCs/>
        </w:rPr>
        <w:t xml:space="preserve"> </w:t>
      </w:r>
      <w:r w:rsidRPr="00634ABC" w:rsidR="00A3314E">
        <w:rPr>
          <w:bCs/>
        </w:rPr>
        <w:t xml:space="preserve">who choose to complete the survey </w:t>
      </w:r>
      <w:r w:rsidR="00A478CA">
        <w:rPr>
          <w:bCs/>
        </w:rPr>
        <w:t>by telephone</w:t>
      </w:r>
      <w:r w:rsidRPr="00634ABC" w:rsidR="00A3314E">
        <w:rPr>
          <w:bCs/>
        </w:rPr>
        <w:t>.</w:t>
      </w:r>
    </w:p>
    <w:p w:rsidR="000B7DA4" w:rsidP="0085039E" w:rsidRDefault="000B7DA4" w14:paraId="5D820EC1" w14:textId="21525FFE">
      <w:pPr>
        <w:autoSpaceDE w:val="0"/>
        <w:autoSpaceDN w:val="0"/>
        <w:adjustRightInd w:val="0"/>
        <w:spacing w:after="240" w:line="240" w:lineRule="atLeast"/>
        <w:rPr>
          <w:bCs/>
        </w:rPr>
      </w:pPr>
      <w:r w:rsidRPr="00EF607D">
        <w:rPr>
          <w:b/>
          <w:bCs/>
        </w:rPr>
        <w:t xml:space="preserve">Survey data monitoring. </w:t>
      </w:r>
      <w:r w:rsidR="00BA7780">
        <w:rPr>
          <w:bCs/>
        </w:rPr>
        <w:t>W</w:t>
      </w:r>
      <w:r w:rsidRPr="00EF607D">
        <w:rPr>
          <w:bCs/>
        </w:rPr>
        <w:t xml:space="preserve">e will review </w:t>
      </w:r>
      <w:r w:rsidR="00BA7780">
        <w:rPr>
          <w:bCs/>
        </w:rPr>
        <w:t xml:space="preserve">all </w:t>
      </w:r>
      <w:r w:rsidRPr="00EF607D">
        <w:rPr>
          <w:bCs/>
        </w:rPr>
        <w:t xml:space="preserve">completed surveys for missing responses and review </w:t>
      </w:r>
      <w:r w:rsidR="00BA7780">
        <w:rPr>
          <w:bCs/>
        </w:rPr>
        <w:t xml:space="preserve">all </w:t>
      </w:r>
      <w:r w:rsidRPr="00EF607D">
        <w:rPr>
          <w:bCs/>
        </w:rPr>
        <w:t>partial surveys for follow-up with respondents. We will conduct a preliminary data review after the first 10</w:t>
      </w:r>
      <w:r w:rsidR="00BA7780">
        <w:rPr>
          <w:bCs/>
        </w:rPr>
        <w:t xml:space="preserve"> to </w:t>
      </w:r>
      <w:r w:rsidRPr="00EF607D">
        <w:rPr>
          <w:bCs/>
        </w:rPr>
        <w:t>20 completions to confirm that the program</w:t>
      </w:r>
      <w:r w:rsidR="00A478CA">
        <w:rPr>
          <w:bCs/>
        </w:rPr>
        <w:t>med instruments</w:t>
      </w:r>
      <w:r w:rsidRPr="00EF607D">
        <w:rPr>
          <w:bCs/>
        </w:rPr>
        <w:t xml:space="preserve"> </w:t>
      </w:r>
      <w:r w:rsidR="00A478CA">
        <w:rPr>
          <w:bCs/>
        </w:rPr>
        <w:t>are</w:t>
      </w:r>
      <w:r w:rsidRPr="00EF607D">
        <w:rPr>
          <w:bCs/>
        </w:rPr>
        <w:t xml:space="preserve"> working as expected and to check for inconsistencies in the data. We will build soft checks into the surveys to alert respondents to potential inconsistencies while they are responding.</w:t>
      </w:r>
    </w:p>
    <w:p w:rsidR="000B7DA4" w:rsidP="0085039E" w:rsidRDefault="000B7DA4" w14:paraId="11FD040D" w14:textId="0EAF177C">
      <w:pPr>
        <w:autoSpaceDE w:val="0"/>
        <w:autoSpaceDN w:val="0"/>
        <w:adjustRightInd w:val="0"/>
        <w:spacing w:after="240" w:line="240" w:lineRule="atLeast"/>
      </w:pPr>
      <w:r w:rsidRPr="00EF607D">
        <w:rPr>
          <w:b/>
        </w:rPr>
        <w:t xml:space="preserve">Telephone interview monitoring: </w:t>
      </w:r>
      <w:r>
        <w:rPr>
          <w:b/>
        </w:rPr>
        <w:t xml:space="preserve">web-based </w:t>
      </w:r>
      <w:r w:rsidRPr="00EF607D">
        <w:rPr>
          <w:b/>
        </w:rPr>
        <w:t xml:space="preserve">surveys. </w:t>
      </w:r>
      <w:r w:rsidRPr="00EF607D">
        <w:t xml:space="preserve">For provider surveys completed over the phone, professional survey operations center monitors will monitor the telephone interviewers and observe all aspects of interview administration. Each interviewer will have his or her first interview monitored and get </w:t>
      </w:r>
      <w:r w:rsidRPr="00F147FC">
        <w:t>feedback</w:t>
      </w:r>
      <w:r w:rsidR="00770D16">
        <w:t>, and f</w:t>
      </w:r>
      <w:r w:rsidRPr="00F147FC">
        <w:t xml:space="preserve">or ongoing quality assurance, we will monitor 10 percent of </w:t>
      </w:r>
      <w:r w:rsidR="00770D16">
        <w:t>all</w:t>
      </w:r>
      <w:r w:rsidRPr="00F147FC" w:rsidR="00770D16">
        <w:t xml:space="preserve"> </w:t>
      </w:r>
      <w:r w:rsidR="005223D4">
        <w:t xml:space="preserve">subsequent </w:t>
      </w:r>
      <w:r w:rsidRPr="00F147FC">
        <w:t>telephone interviews (standard practice). Monitors will also listen to interviews conducted by interviewers who have had problems during a previous monitoring session. Monitors will provide feedback to interviewers, highlighting positive aspects and providing construct</w:t>
      </w:r>
      <w:r w:rsidRPr="00D81877" w:rsidR="001329A4">
        <w:t>ive</w:t>
      </w:r>
      <w:r w:rsidRPr="00F147FC">
        <w:t xml:space="preserve"> feedback and coaching on aspects that should be improved. </w:t>
      </w:r>
      <w:r w:rsidRPr="00F147FC" w:rsidR="003C4F8C">
        <w:t>If</w:t>
      </w:r>
      <w:r w:rsidRPr="00F147FC">
        <w:t xml:space="preserve"> an interviewer collect</w:t>
      </w:r>
      <w:r w:rsidRPr="00F147FC" w:rsidR="003C4F8C">
        <w:t>s</w:t>
      </w:r>
      <w:r w:rsidRPr="00F147FC">
        <w:t xml:space="preserve"> incorrect information, we will </w:t>
      </w:r>
      <w:r w:rsidRPr="00D81877" w:rsidR="00381FD3">
        <w:t>conduct</w:t>
      </w:r>
      <w:r w:rsidRPr="00F147FC">
        <w:t xml:space="preserve"> a callback to</w:t>
      </w:r>
      <w:r w:rsidRPr="004D1BC1">
        <w:t xml:space="preserve"> </w:t>
      </w:r>
      <w:r w:rsidR="009B6895">
        <w:t>rectify any errors</w:t>
      </w:r>
      <w:r w:rsidRPr="00D81877" w:rsidR="0000107C">
        <w:t xml:space="preserve"> </w:t>
      </w:r>
      <w:r w:rsidR="00D573B2">
        <w:t xml:space="preserve">and protect </w:t>
      </w:r>
      <w:r w:rsidRPr="00D81877" w:rsidR="0000107C">
        <w:t xml:space="preserve">the integrity of </w:t>
      </w:r>
      <w:r w:rsidR="00D573B2">
        <w:t>the</w:t>
      </w:r>
      <w:r w:rsidRPr="00D81877" w:rsidR="0000107C">
        <w:t xml:space="preserve"> data</w:t>
      </w:r>
      <w:r w:rsidRPr="004D1BC1">
        <w:t xml:space="preserve">. In our experience, the need for </w:t>
      </w:r>
      <w:r w:rsidR="00D573B2">
        <w:t xml:space="preserve">such </w:t>
      </w:r>
      <w:r w:rsidRPr="004D1BC1">
        <w:t>callbacks is extremely rare.</w:t>
      </w:r>
    </w:p>
    <w:p w:rsidR="002D0FF8" w:rsidP="0085039E" w:rsidRDefault="00ED7F3C" w14:paraId="4F90DF75" w14:textId="3C1F4948">
      <w:pPr>
        <w:autoSpaceDE w:val="0"/>
        <w:autoSpaceDN w:val="0"/>
        <w:adjustRightInd w:val="0"/>
        <w:spacing w:after="240" w:line="240" w:lineRule="atLeast"/>
        <w:rPr>
          <w:bCs/>
        </w:rPr>
      </w:pPr>
      <w:r>
        <w:rPr>
          <w:rFonts w:cstheme="minorHAnsi"/>
          <w:b/>
        </w:rPr>
        <w:t>Semi-structured i</w:t>
      </w:r>
      <w:r w:rsidR="002D0FF8">
        <w:rPr>
          <w:rFonts w:cstheme="minorHAnsi"/>
          <w:b/>
        </w:rPr>
        <w:t>nterviews.</w:t>
      </w:r>
      <w:r w:rsidRPr="002D0FF8" w:rsidR="002D0FF8">
        <w:rPr>
          <w:rFonts w:cstheme="minorHAnsi"/>
          <w:bCs/>
        </w:rPr>
        <w:t xml:space="preserve"> </w:t>
      </w:r>
      <w:r w:rsidR="002D0FF8">
        <w:rPr>
          <w:rFonts w:cstheme="minorHAnsi"/>
          <w:bCs/>
        </w:rPr>
        <w:t xml:space="preserve">Data will be collected by the research team at Mathematica. </w:t>
      </w:r>
      <w:r w:rsidR="00F41DB9">
        <w:rPr>
          <w:rFonts w:cstheme="minorHAnsi"/>
          <w:bCs/>
        </w:rPr>
        <w:t>We will conduct initial r</w:t>
      </w:r>
      <w:r w:rsidR="002D0FF8">
        <w:rPr>
          <w:rFonts w:cstheme="minorHAnsi"/>
          <w:bCs/>
        </w:rPr>
        <w:t xml:space="preserve">ecruitment </w:t>
      </w:r>
      <w:r w:rsidR="00502CE1">
        <w:rPr>
          <w:rFonts w:cstheme="minorHAnsi"/>
          <w:bCs/>
        </w:rPr>
        <w:t>by email</w:t>
      </w:r>
      <w:r w:rsidR="00F41DB9">
        <w:rPr>
          <w:rFonts w:cstheme="minorHAnsi"/>
          <w:bCs/>
        </w:rPr>
        <w:t xml:space="preserve"> and then</w:t>
      </w:r>
      <w:r w:rsidR="00F93726">
        <w:rPr>
          <w:rFonts w:cstheme="minorHAnsi"/>
          <w:bCs/>
        </w:rPr>
        <w:t xml:space="preserve"> send follow-up email</w:t>
      </w:r>
      <w:r w:rsidR="00904DB0">
        <w:rPr>
          <w:rFonts w:cstheme="minorHAnsi"/>
          <w:bCs/>
        </w:rPr>
        <w:t xml:space="preserve">s </w:t>
      </w:r>
      <w:r w:rsidR="00F93726">
        <w:rPr>
          <w:rFonts w:cstheme="minorHAnsi"/>
          <w:bCs/>
        </w:rPr>
        <w:t xml:space="preserve">and </w:t>
      </w:r>
      <w:r w:rsidR="005949E8">
        <w:rPr>
          <w:rFonts w:cstheme="minorHAnsi"/>
          <w:bCs/>
        </w:rPr>
        <w:t xml:space="preserve">make </w:t>
      </w:r>
      <w:r w:rsidR="00F93726">
        <w:rPr>
          <w:rFonts w:cstheme="minorHAnsi"/>
          <w:bCs/>
        </w:rPr>
        <w:t>telephone call</w:t>
      </w:r>
      <w:r w:rsidR="00AD5847">
        <w:rPr>
          <w:rFonts w:cstheme="minorHAnsi"/>
          <w:bCs/>
        </w:rPr>
        <w:t>s</w:t>
      </w:r>
      <w:r w:rsidR="00F93726">
        <w:rPr>
          <w:rFonts w:cstheme="minorHAnsi"/>
          <w:bCs/>
        </w:rPr>
        <w:t xml:space="preserve"> to providers </w:t>
      </w:r>
      <w:r w:rsidR="005949E8">
        <w:rPr>
          <w:rFonts w:cstheme="minorHAnsi"/>
          <w:bCs/>
        </w:rPr>
        <w:t xml:space="preserve">who </w:t>
      </w:r>
      <w:r w:rsidR="00F93726">
        <w:rPr>
          <w:rFonts w:cstheme="minorHAnsi"/>
          <w:bCs/>
        </w:rPr>
        <w:t>do not respond to initial outreach</w:t>
      </w:r>
      <w:r w:rsidR="00C32580">
        <w:rPr>
          <w:rFonts w:cstheme="minorHAnsi"/>
          <w:bCs/>
        </w:rPr>
        <w:t xml:space="preserve"> (Appendix C)</w:t>
      </w:r>
      <w:r w:rsidR="00F93726">
        <w:rPr>
          <w:rFonts w:cstheme="minorHAnsi"/>
          <w:bCs/>
        </w:rPr>
        <w:t>.</w:t>
      </w:r>
      <w:r w:rsidR="00502CE1">
        <w:rPr>
          <w:rFonts w:cstheme="minorHAnsi"/>
          <w:bCs/>
        </w:rPr>
        <w:t xml:space="preserve"> </w:t>
      </w:r>
      <w:r w:rsidR="006B0858">
        <w:rPr>
          <w:bCs/>
        </w:rPr>
        <w:t xml:space="preserve">Interviews will be conducted by telephone. We will use </w:t>
      </w:r>
      <w:r w:rsidR="00387CFD">
        <w:rPr>
          <w:bCs/>
        </w:rPr>
        <w:t xml:space="preserve">staff </w:t>
      </w:r>
      <w:r w:rsidR="006B0858">
        <w:rPr>
          <w:bCs/>
        </w:rPr>
        <w:t xml:space="preserve">who have experience working with </w:t>
      </w:r>
      <w:r w:rsidR="00F93726">
        <w:rPr>
          <w:bCs/>
        </w:rPr>
        <w:t xml:space="preserve">child care </w:t>
      </w:r>
      <w:r w:rsidR="006B0858">
        <w:rPr>
          <w:bCs/>
        </w:rPr>
        <w:t xml:space="preserve">providers (including family child care providers) </w:t>
      </w:r>
      <w:r w:rsidR="00007720">
        <w:rPr>
          <w:bCs/>
        </w:rPr>
        <w:t xml:space="preserve">in </w:t>
      </w:r>
      <w:r w:rsidR="006B0858">
        <w:rPr>
          <w:bCs/>
        </w:rPr>
        <w:t>other studies</w:t>
      </w:r>
      <w:r w:rsidR="008439F9">
        <w:rPr>
          <w:bCs/>
        </w:rPr>
        <w:t>,</w:t>
      </w:r>
      <w:r w:rsidR="006B0858">
        <w:rPr>
          <w:bCs/>
        </w:rPr>
        <w:t xml:space="preserve"> </w:t>
      </w:r>
      <w:r w:rsidR="00F41D46">
        <w:rPr>
          <w:bCs/>
        </w:rPr>
        <w:t xml:space="preserve">are </w:t>
      </w:r>
      <w:r w:rsidR="006B0858">
        <w:rPr>
          <w:bCs/>
        </w:rPr>
        <w:t>train</w:t>
      </w:r>
      <w:r w:rsidR="00F41D46">
        <w:rPr>
          <w:bCs/>
        </w:rPr>
        <w:t>ed</w:t>
      </w:r>
      <w:r w:rsidR="006B0858">
        <w:rPr>
          <w:bCs/>
        </w:rPr>
        <w:t xml:space="preserve"> in qualitative </w:t>
      </w:r>
      <w:r w:rsidRPr="00C25F80" w:rsidR="006B0858">
        <w:rPr>
          <w:bCs/>
        </w:rPr>
        <w:t>interviewing</w:t>
      </w:r>
      <w:r w:rsidRPr="00C25F80" w:rsidR="008439F9">
        <w:rPr>
          <w:bCs/>
        </w:rPr>
        <w:t>, and have</w:t>
      </w:r>
      <w:r w:rsidRPr="00C25F80" w:rsidR="006B0858">
        <w:rPr>
          <w:bCs/>
        </w:rPr>
        <w:t xml:space="preserve"> </w:t>
      </w:r>
      <w:r w:rsidRPr="00C25F80" w:rsidR="00007720">
        <w:rPr>
          <w:bCs/>
        </w:rPr>
        <w:t xml:space="preserve">expertise in </w:t>
      </w:r>
      <w:r w:rsidRPr="00C25F80" w:rsidR="006B0858">
        <w:rPr>
          <w:bCs/>
        </w:rPr>
        <w:t>conducting semi-structured telephone interviews. We will train interviewers in a webinar that will cover (1) procedures for contacting and scheduling interviews, (2) the interview protocol and how to tailor it to every interview, and (3) proper note</w:t>
      </w:r>
      <w:r w:rsidRPr="00D81877" w:rsidR="00C25F80">
        <w:rPr>
          <w:bCs/>
        </w:rPr>
        <w:t>-taking in</w:t>
      </w:r>
      <w:r w:rsidRPr="00C25F80" w:rsidR="006B0858">
        <w:rPr>
          <w:bCs/>
        </w:rPr>
        <w:t xml:space="preserve"> the interview notes template.</w:t>
      </w:r>
      <w:r w:rsidRPr="006B0858" w:rsidR="006B0858">
        <w:rPr>
          <w:bCs/>
        </w:rPr>
        <w:t xml:space="preserve"> </w:t>
      </w:r>
    </w:p>
    <w:p w:rsidR="004C4C46" w:rsidP="0085039E" w:rsidRDefault="000B7DA4" w14:paraId="01067625" w14:textId="3EEFF78E">
      <w:pPr>
        <w:autoSpaceDE w:val="0"/>
        <w:autoSpaceDN w:val="0"/>
        <w:adjustRightInd w:val="0"/>
        <w:spacing w:after="240" w:line="240" w:lineRule="atLeast"/>
        <w:rPr>
          <w:rFonts w:cstheme="minorHAnsi"/>
        </w:rPr>
      </w:pPr>
      <w:r>
        <w:rPr>
          <w:b/>
          <w:bCs/>
        </w:rPr>
        <w:t>S</w:t>
      </w:r>
      <w:r w:rsidRPr="00EF607D">
        <w:rPr>
          <w:b/>
          <w:bCs/>
        </w:rPr>
        <w:t>emi-structured interview</w:t>
      </w:r>
      <w:r>
        <w:rPr>
          <w:b/>
          <w:bCs/>
        </w:rPr>
        <w:t xml:space="preserve"> monitoring</w:t>
      </w:r>
      <w:r w:rsidRPr="00EF607D">
        <w:rPr>
          <w:b/>
          <w:bCs/>
        </w:rPr>
        <w:t>.</w:t>
      </w:r>
      <w:r w:rsidRPr="00EF607D">
        <w:rPr>
          <w:i/>
          <w:iCs/>
        </w:rPr>
        <w:t xml:space="preserve"> </w:t>
      </w:r>
      <w:r w:rsidRPr="00EF607D">
        <w:t xml:space="preserve">The interview lead will participate in each </w:t>
      </w:r>
      <w:r>
        <w:t>interviewer’s</w:t>
      </w:r>
      <w:r w:rsidRPr="00EF607D">
        <w:t xml:space="preserve"> first interview and provide feedback after</w:t>
      </w:r>
      <w:r w:rsidR="000A3A78">
        <w:t>wards</w:t>
      </w:r>
      <w:r w:rsidRPr="00EF607D">
        <w:t xml:space="preserve">. The lead will also hold weekly </w:t>
      </w:r>
      <w:r w:rsidRPr="00520A40">
        <w:t xml:space="preserve">meetings with interviewers to track their progress, answer questions, and troubleshoot problems. These meetings </w:t>
      </w:r>
      <w:r w:rsidRPr="00D81877" w:rsidR="000A3A78">
        <w:t>will</w:t>
      </w:r>
      <w:r w:rsidRPr="00520A40" w:rsidR="000A3A78">
        <w:t xml:space="preserve"> </w:t>
      </w:r>
      <w:r w:rsidRPr="00520A40">
        <w:t xml:space="preserve">also </w:t>
      </w:r>
      <w:r w:rsidRPr="00D81877" w:rsidR="00520A40">
        <w:t>give</w:t>
      </w:r>
      <w:r w:rsidRPr="00D81877" w:rsidR="000A3A78">
        <w:t xml:space="preserve"> </w:t>
      </w:r>
      <w:r w:rsidRPr="00520A40">
        <w:t xml:space="preserve">interviewers </w:t>
      </w:r>
      <w:r w:rsidRPr="00D81877" w:rsidR="00520A40">
        <w:t xml:space="preserve">an opportunity </w:t>
      </w:r>
      <w:r w:rsidRPr="00520A40">
        <w:t xml:space="preserve">to share </w:t>
      </w:r>
      <w:r w:rsidRPr="00D81877" w:rsidR="00520A40">
        <w:t xml:space="preserve">with the team any </w:t>
      </w:r>
      <w:r w:rsidRPr="00520A40">
        <w:t>successful strategies they have used</w:t>
      </w:r>
      <w:r w:rsidRPr="00520A40" w:rsidR="00520A40">
        <w:t>.</w:t>
      </w:r>
      <w:r w:rsidRPr="00EF607D">
        <w:t xml:space="preserve"> </w:t>
      </w:r>
    </w:p>
    <w:p w:rsidR="00243B67" w:rsidP="00444D5F" w:rsidRDefault="00243B67" w14:paraId="4149ECAA" w14:textId="77777777">
      <w:pPr>
        <w:keepNext/>
        <w:keepLines/>
        <w:tabs>
          <w:tab w:val="left" w:pos="450"/>
        </w:tabs>
        <w:autoSpaceDE w:val="0"/>
        <w:autoSpaceDN w:val="0"/>
        <w:adjustRightInd w:val="0"/>
        <w:spacing w:after="120" w:line="240" w:lineRule="atLeast"/>
        <w:rPr>
          <w:rFonts w:eastAsia="Times New Roman" w:cstheme="minorHAnsi"/>
          <w:b/>
          <w:bCs/>
          <w:color w:val="000000"/>
        </w:rPr>
      </w:pPr>
    </w:p>
    <w:p w:rsidRPr="00444D5F" w:rsidR="00A42C71" w:rsidP="00444D5F" w:rsidRDefault="00A42C71" w14:paraId="040C23CA" w14:textId="3699B1E2">
      <w:pPr>
        <w:keepNext/>
        <w:keepLines/>
        <w:tabs>
          <w:tab w:val="left" w:pos="450"/>
        </w:tabs>
        <w:autoSpaceDE w:val="0"/>
        <w:autoSpaceDN w:val="0"/>
        <w:adjustRightInd w:val="0"/>
        <w:spacing w:after="120" w:line="240" w:lineRule="atLeast"/>
        <w:rPr>
          <w:rFonts w:eastAsia="Times New Roman" w:cstheme="minorHAnsi"/>
          <w:b/>
          <w:bCs/>
          <w:color w:val="000000"/>
        </w:rPr>
      </w:pPr>
      <w:r w:rsidRPr="00444D5F">
        <w:rPr>
          <w:rFonts w:eastAsia="Times New Roman" w:cstheme="minorHAnsi"/>
          <w:b/>
          <w:bCs/>
          <w:color w:val="000000"/>
        </w:rPr>
        <w:t>B5.</w:t>
      </w:r>
      <w:r w:rsidRPr="00444D5F">
        <w:rPr>
          <w:rFonts w:eastAsia="Times New Roman" w:cstheme="minorHAnsi"/>
          <w:b/>
          <w:bCs/>
          <w:color w:val="000000"/>
        </w:rPr>
        <w:tab/>
        <w:t>Response Rates and Potential Nonresponse Bias</w:t>
      </w:r>
    </w:p>
    <w:p w:rsidRPr="001A59B6" w:rsidR="00A42C71" w:rsidP="00F96CED" w:rsidRDefault="00A42C71" w14:paraId="60C5A7FD" w14:textId="77777777">
      <w:pPr>
        <w:autoSpaceDE w:val="0"/>
        <w:autoSpaceDN w:val="0"/>
        <w:adjustRightInd w:val="0"/>
        <w:spacing w:after="120" w:line="240" w:lineRule="atLeast"/>
        <w:rPr>
          <w:rFonts w:eastAsia="Times New Roman" w:cstheme="minorHAnsi"/>
          <w:i/>
          <w:color w:val="000000"/>
        </w:rPr>
      </w:pPr>
      <w:r w:rsidRPr="001A59B6">
        <w:rPr>
          <w:rFonts w:eastAsia="Times New Roman" w:cstheme="minorHAnsi"/>
          <w:i/>
          <w:color w:val="000000"/>
        </w:rPr>
        <w:t>Response Rates</w:t>
      </w:r>
    </w:p>
    <w:p w:rsidR="00A42C71" w:rsidP="00F96CED" w:rsidRDefault="004366A1" w14:paraId="19CA8A2D" w14:textId="3F00DF9D">
      <w:pPr>
        <w:autoSpaceDE w:val="0"/>
        <w:autoSpaceDN w:val="0"/>
        <w:adjustRightInd w:val="0"/>
        <w:spacing w:after="120" w:line="240" w:lineRule="atLeast"/>
        <w:rPr>
          <w:rFonts w:eastAsia="Times New Roman" w:cstheme="minorHAnsi"/>
          <w:color w:val="000000"/>
        </w:rPr>
      </w:pPr>
      <w:r>
        <w:rPr>
          <w:rFonts w:eastAsia="Times New Roman" w:cstheme="minorHAnsi"/>
          <w:b/>
          <w:bCs/>
          <w:color w:val="000000"/>
        </w:rPr>
        <w:t xml:space="preserve">Unit response rates. </w:t>
      </w:r>
      <w:r w:rsidR="00310F7F">
        <w:rPr>
          <w:rFonts w:eastAsia="Times New Roman" w:cstheme="minorHAnsi"/>
          <w:color w:val="000000"/>
        </w:rPr>
        <w:t>For the web-base</w:t>
      </w:r>
      <w:r w:rsidR="00BF3557">
        <w:rPr>
          <w:rFonts w:eastAsia="Times New Roman" w:cstheme="minorHAnsi"/>
          <w:color w:val="000000"/>
        </w:rPr>
        <w:t>d</w:t>
      </w:r>
      <w:r w:rsidR="00310F7F">
        <w:rPr>
          <w:rFonts w:eastAsia="Times New Roman" w:cstheme="minorHAnsi"/>
          <w:color w:val="000000"/>
        </w:rPr>
        <w:t xml:space="preserve"> survey, t</w:t>
      </w:r>
      <w:r w:rsidR="004202DE">
        <w:rPr>
          <w:rFonts w:eastAsia="Times New Roman" w:cstheme="minorHAnsi"/>
          <w:color w:val="000000"/>
        </w:rPr>
        <w:t>o calculate unit response rates (</w:t>
      </w:r>
      <w:r w:rsidRPr="00D81877" w:rsidR="004202DE">
        <w:rPr>
          <w:rFonts w:eastAsia="Times New Roman" w:cstheme="minorHAnsi"/>
          <w:i/>
          <w:iCs/>
          <w:color w:val="000000"/>
        </w:rPr>
        <w:t>URR</w:t>
      </w:r>
      <w:r w:rsidR="004202DE">
        <w:rPr>
          <w:rFonts w:eastAsia="Times New Roman" w:cstheme="minorHAnsi"/>
          <w:color w:val="000000"/>
        </w:rPr>
        <w:t>), we will estimate the ratio of the weighted number of completed surveys to the weighted number of respondents in our sample. We will use the following formula:</w:t>
      </w:r>
    </w:p>
    <w:p w:rsidR="004202DE" w:rsidP="00F96CED" w:rsidRDefault="004202DE" w14:paraId="2229C976" w14:textId="44D186DE">
      <w:pPr>
        <w:autoSpaceDE w:val="0"/>
        <w:autoSpaceDN w:val="0"/>
        <w:adjustRightInd w:val="0"/>
        <w:spacing w:after="120" w:line="240" w:lineRule="atLeast"/>
        <w:rPr>
          <w:rFonts w:eastAsia="Times New Roman" w:cstheme="minorHAnsi"/>
          <w:color w:val="000000"/>
        </w:rPr>
      </w:pPr>
      <m:oMathPara>
        <m:oMath>
          <m:r>
            <w:rPr>
              <w:rFonts w:ascii="Cambria Math" w:hAnsi="Cambria Math" w:eastAsia="Times New Roman" w:cstheme="minorHAnsi"/>
              <w:color w:val="000000"/>
            </w:rPr>
            <m:t>URR=</m:t>
          </m:r>
          <m:f>
            <m:fPr>
              <m:ctrlPr>
                <w:rPr>
                  <w:rFonts w:ascii="Cambria Math" w:hAnsi="Cambria Math" w:eastAsia="Times New Roman" w:cstheme="minorHAnsi"/>
                  <w:i/>
                  <w:color w:val="000000"/>
                </w:rPr>
              </m:ctrlPr>
            </m:fPr>
            <m:num>
              <m:r>
                <w:rPr>
                  <w:rFonts w:ascii="Cambria Math" w:hAnsi="Cambria Math" w:eastAsia="Times New Roman" w:cstheme="minorHAnsi"/>
                  <w:color w:val="000000"/>
                </w:rPr>
                <m:t>C</m:t>
              </m:r>
            </m:num>
            <m:den>
              <m:r>
                <w:rPr>
                  <w:rFonts w:ascii="Cambria Math" w:hAnsi="Cambria Math" w:eastAsia="Times New Roman" w:cstheme="minorHAnsi"/>
                  <w:color w:val="000000"/>
                </w:rPr>
                <m:t>C+R+O+NC</m:t>
              </m:r>
            </m:den>
          </m:f>
        </m:oMath>
      </m:oMathPara>
    </w:p>
    <w:p w:rsidR="00774A4C" w:rsidP="0085039E" w:rsidRDefault="004202DE" w14:paraId="0A2EA822" w14:textId="046DB11D">
      <w:pPr>
        <w:autoSpaceDE w:val="0"/>
        <w:autoSpaceDN w:val="0"/>
        <w:adjustRightInd w:val="0"/>
        <w:spacing w:after="240" w:line="240" w:lineRule="atLeast"/>
        <w:rPr>
          <w:rFonts w:eastAsia="Times New Roman" w:cstheme="minorHAnsi"/>
          <w:color w:val="000000"/>
        </w:rPr>
      </w:pPr>
      <w:r>
        <w:rPr>
          <w:rFonts w:eastAsia="Times New Roman" w:cstheme="minorHAnsi"/>
          <w:color w:val="000000"/>
        </w:rPr>
        <w:t xml:space="preserve">Where </w:t>
      </w:r>
      <w:r w:rsidRPr="002A53F2">
        <w:rPr>
          <w:rFonts w:eastAsia="Times New Roman" w:cstheme="minorHAnsi"/>
          <w:i/>
          <w:iCs/>
          <w:color w:val="000000"/>
        </w:rPr>
        <w:t>C</w:t>
      </w:r>
      <w:r w:rsidR="009B3A46">
        <w:rPr>
          <w:rFonts w:eastAsia="Times New Roman" w:cstheme="minorHAnsi"/>
          <w:color w:val="000000"/>
        </w:rPr>
        <w:t xml:space="preserve"> is the weighted number of completed surveys, </w:t>
      </w:r>
      <w:r w:rsidRPr="002A53F2" w:rsidR="009B3A46">
        <w:rPr>
          <w:rFonts w:eastAsia="Times New Roman" w:cstheme="minorHAnsi"/>
          <w:i/>
          <w:iCs/>
          <w:color w:val="000000"/>
        </w:rPr>
        <w:t>R</w:t>
      </w:r>
      <w:r w:rsidR="009B3A46">
        <w:rPr>
          <w:rFonts w:eastAsia="Times New Roman" w:cstheme="minorHAnsi"/>
          <w:color w:val="000000"/>
        </w:rPr>
        <w:t xml:space="preserve"> is the weighted number of refused surveys, </w:t>
      </w:r>
      <w:r w:rsidRPr="002A53F2" w:rsidR="009B3A46">
        <w:rPr>
          <w:rFonts w:eastAsia="Times New Roman" w:cstheme="minorHAnsi"/>
          <w:i/>
          <w:iCs/>
          <w:color w:val="000000"/>
        </w:rPr>
        <w:t>O</w:t>
      </w:r>
      <w:r w:rsidR="009B3A46">
        <w:rPr>
          <w:rFonts w:eastAsia="Times New Roman" w:cstheme="minorHAnsi"/>
          <w:color w:val="000000"/>
        </w:rPr>
        <w:t xml:space="preserve"> is the weighted number of eligible sample units who did not respond for reasons other than refusal,</w:t>
      </w:r>
      <w:r w:rsidR="002A53F2">
        <w:rPr>
          <w:rFonts w:eastAsia="Times New Roman" w:cstheme="minorHAnsi"/>
          <w:color w:val="000000"/>
        </w:rPr>
        <w:t xml:space="preserve"> and</w:t>
      </w:r>
      <w:r w:rsidR="009B3A46">
        <w:rPr>
          <w:rFonts w:eastAsia="Times New Roman" w:cstheme="minorHAnsi"/>
          <w:color w:val="000000"/>
        </w:rPr>
        <w:t xml:space="preserve"> </w:t>
      </w:r>
      <w:r w:rsidRPr="002A53F2" w:rsidR="009B3A46">
        <w:rPr>
          <w:rFonts w:eastAsia="Times New Roman" w:cstheme="minorHAnsi"/>
          <w:i/>
          <w:iCs/>
          <w:color w:val="000000"/>
        </w:rPr>
        <w:t>NC</w:t>
      </w:r>
      <w:r w:rsidR="009B3A46">
        <w:rPr>
          <w:rFonts w:eastAsia="Times New Roman" w:cstheme="minorHAnsi"/>
          <w:color w:val="000000"/>
        </w:rPr>
        <w:t xml:space="preserve"> is the weighted number of eligible sample units</w:t>
      </w:r>
      <w:r w:rsidR="002A53F2">
        <w:rPr>
          <w:rFonts w:eastAsia="Times New Roman" w:cstheme="minorHAnsi"/>
          <w:color w:val="000000"/>
        </w:rPr>
        <w:t xml:space="preserve"> </w:t>
      </w:r>
      <w:r w:rsidR="002F0638">
        <w:rPr>
          <w:rFonts w:eastAsia="Times New Roman" w:cstheme="minorHAnsi"/>
          <w:color w:val="000000"/>
        </w:rPr>
        <w:t xml:space="preserve">whom </w:t>
      </w:r>
      <w:r w:rsidR="002A53F2">
        <w:rPr>
          <w:rFonts w:eastAsia="Times New Roman" w:cstheme="minorHAnsi"/>
          <w:color w:val="000000"/>
        </w:rPr>
        <w:t>we were unable to contact.</w:t>
      </w:r>
    </w:p>
    <w:p w:rsidR="002A53F2" w:rsidP="00F96CED" w:rsidRDefault="004366A1" w14:paraId="2005C547" w14:textId="39775D5F">
      <w:pPr>
        <w:autoSpaceDE w:val="0"/>
        <w:autoSpaceDN w:val="0"/>
        <w:adjustRightInd w:val="0"/>
        <w:spacing w:after="120" w:line="240" w:lineRule="atLeast"/>
        <w:rPr>
          <w:rFonts w:eastAsia="Times New Roman" w:cstheme="minorHAnsi"/>
          <w:color w:val="000000"/>
        </w:rPr>
      </w:pPr>
      <w:r>
        <w:rPr>
          <w:rFonts w:eastAsia="Times New Roman" w:cstheme="minorHAnsi"/>
          <w:b/>
          <w:bCs/>
          <w:color w:val="000000"/>
        </w:rPr>
        <w:t xml:space="preserve">Item response </w:t>
      </w:r>
      <w:r w:rsidRPr="004366A1">
        <w:rPr>
          <w:rFonts w:eastAsia="Times New Roman" w:cstheme="minorHAnsi"/>
          <w:b/>
          <w:bCs/>
          <w:color w:val="000000"/>
        </w:rPr>
        <w:t>rates</w:t>
      </w:r>
      <w:r>
        <w:rPr>
          <w:rFonts w:eastAsia="Times New Roman" w:cstheme="minorHAnsi"/>
          <w:b/>
          <w:bCs/>
          <w:color w:val="000000"/>
        </w:rPr>
        <w:t xml:space="preserve">. </w:t>
      </w:r>
      <w:r>
        <w:rPr>
          <w:rFonts w:eastAsia="Times New Roman" w:cstheme="minorHAnsi"/>
          <w:color w:val="000000"/>
        </w:rPr>
        <w:t>For the web-based survey, t</w:t>
      </w:r>
      <w:r w:rsidRPr="004366A1" w:rsidR="002A53F2">
        <w:rPr>
          <w:rFonts w:eastAsia="Times New Roman" w:cstheme="minorHAnsi"/>
          <w:color w:val="000000"/>
        </w:rPr>
        <w:t>o</w:t>
      </w:r>
      <w:r w:rsidR="002A53F2">
        <w:rPr>
          <w:rFonts w:eastAsia="Times New Roman" w:cstheme="minorHAnsi"/>
          <w:color w:val="000000"/>
        </w:rPr>
        <w:t xml:space="preserve"> calculate item response rates</w:t>
      </w:r>
      <w:r w:rsidR="001F14C9">
        <w:rPr>
          <w:rFonts w:eastAsia="Times New Roman" w:cstheme="minorHAnsi"/>
          <w:color w:val="000000"/>
        </w:rPr>
        <w:t xml:space="preserve"> (</w:t>
      </w:r>
      <w:r w:rsidRPr="00D81877" w:rsidR="001F14C9">
        <w:rPr>
          <w:rFonts w:eastAsia="Times New Roman" w:cstheme="minorHAnsi"/>
          <w:i/>
          <w:iCs/>
          <w:color w:val="000000"/>
        </w:rPr>
        <w:t>IRR</w:t>
      </w:r>
      <w:r w:rsidR="001F14C9">
        <w:rPr>
          <w:rFonts w:eastAsia="Times New Roman" w:cstheme="minorHAnsi"/>
          <w:color w:val="000000"/>
        </w:rPr>
        <w:t>)</w:t>
      </w:r>
      <w:r w:rsidR="002A53F2">
        <w:rPr>
          <w:rFonts w:eastAsia="Times New Roman" w:cstheme="minorHAnsi"/>
          <w:color w:val="000000"/>
        </w:rPr>
        <w:t xml:space="preserve">, we will </w:t>
      </w:r>
      <w:r w:rsidR="00E550DE">
        <w:rPr>
          <w:rFonts w:eastAsia="Times New Roman" w:cstheme="minorHAnsi"/>
          <w:color w:val="000000"/>
        </w:rPr>
        <w:t>estimate the ratio of the number of respondents who provided an appropriate response. We will use the following formula:</w:t>
      </w:r>
    </w:p>
    <w:p w:rsidR="00E550DE" w:rsidP="00F96CED" w:rsidRDefault="00310F7F" w14:paraId="61258309" w14:textId="43AF5C08">
      <w:pPr>
        <w:autoSpaceDE w:val="0"/>
        <w:autoSpaceDN w:val="0"/>
        <w:adjustRightInd w:val="0"/>
        <w:spacing w:after="120" w:line="240" w:lineRule="atLeast"/>
        <w:rPr>
          <w:rFonts w:eastAsia="Times New Roman" w:cstheme="minorHAnsi"/>
          <w:color w:val="000000"/>
        </w:rPr>
      </w:pPr>
      <m:oMathPara>
        <m:oMath>
          <m:r>
            <w:rPr>
              <w:rFonts w:ascii="Cambria Math" w:hAnsi="Cambria Math" w:eastAsia="Times New Roman" w:cstheme="minorHAnsi"/>
              <w:color w:val="000000"/>
            </w:rPr>
            <m:t>IR</m:t>
          </m:r>
          <m:sSup>
            <m:sSupPr>
              <m:ctrlPr>
                <w:rPr>
                  <w:rFonts w:ascii="Cambria Math" w:hAnsi="Cambria Math" w:eastAsia="Times New Roman" w:cstheme="minorHAnsi"/>
                  <w:i/>
                  <w:color w:val="000000"/>
                </w:rPr>
              </m:ctrlPr>
            </m:sSupPr>
            <m:e>
              <m:r>
                <w:rPr>
                  <w:rFonts w:ascii="Cambria Math" w:hAnsi="Cambria Math" w:eastAsia="Times New Roman" w:cstheme="minorHAnsi"/>
                  <w:color w:val="000000"/>
                </w:rPr>
                <m:t>R</m:t>
              </m:r>
            </m:e>
            <m:sup>
              <m:r>
                <w:rPr>
                  <w:rFonts w:ascii="Cambria Math" w:hAnsi="Cambria Math" w:eastAsia="Times New Roman" w:cstheme="minorHAnsi"/>
                  <w:color w:val="000000"/>
                </w:rPr>
                <m:t>x</m:t>
              </m:r>
            </m:sup>
          </m:sSup>
          <m:r>
            <w:rPr>
              <w:rFonts w:ascii="Cambria Math" w:hAnsi="Cambria Math" w:eastAsia="Times New Roman" w:cstheme="minorHAnsi"/>
              <w:color w:val="000000"/>
            </w:rPr>
            <m:t>=</m:t>
          </m:r>
          <m:f>
            <m:fPr>
              <m:ctrlPr>
                <w:rPr>
                  <w:rFonts w:ascii="Cambria Math" w:hAnsi="Cambria Math" w:eastAsia="Times New Roman" w:cstheme="minorHAnsi"/>
                  <w:i/>
                  <w:color w:val="000000"/>
                </w:rPr>
              </m:ctrlPr>
            </m:fPr>
            <m:num>
              <m:sSup>
                <m:sSupPr>
                  <m:ctrlPr>
                    <w:rPr>
                      <w:rFonts w:ascii="Cambria Math" w:hAnsi="Cambria Math" w:eastAsia="Times New Roman" w:cstheme="minorHAnsi"/>
                      <w:i/>
                      <w:color w:val="000000"/>
                    </w:rPr>
                  </m:ctrlPr>
                </m:sSupPr>
                <m:e>
                  <m:r>
                    <w:rPr>
                      <w:rFonts w:ascii="Cambria Math" w:hAnsi="Cambria Math" w:eastAsia="Times New Roman" w:cstheme="minorHAnsi"/>
                      <w:color w:val="000000"/>
                    </w:rPr>
                    <m:t>I</m:t>
                  </m:r>
                </m:e>
                <m:sup>
                  <m:r>
                    <w:rPr>
                      <w:rFonts w:ascii="Cambria Math" w:hAnsi="Cambria Math" w:eastAsia="Times New Roman" w:cstheme="minorHAnsi"/>
                      <w:color w:val="000000"/>
                    </w:rPr>
                    <m:t>x</m:t>
                  </m:r>
                </m:sup>
              </m:sSup>
            </m:num>
            <m:den>
              <m:r>
                <w:rPr>
                  <w:rFonts w:ascii="Cambria Math" w:hAnsi="Cambria Math" w:eastAsia="Times New Roman" w:cstheme="minorHAnsi"/>
                  <w:color w:val="000000"/>
                </w:rPr>
                <m:t>A-</m:t>
              </m:r>
              <m:sSup>
                <m:sSupPr>
                  <m:ctrlPr>
                    <w:rPr>
                      <w:rFonts w:ascii="Cambria Math" w:hAnsi="Cambria Math" w:eastAsia="Times New Roman" w:cstheme="minorHAnsi"/>
                      <w:i/>
                      <w:color w:val="000000"/>
                    </w:rPr>
                  </m:ctrlPr>
                </m:sSupPr>
                <m:e>
                  <m:r>
                    <w:rPr>
                      <w:rFonts w:ascii="Cambria Math" w:hAnsi="Cambria Math" w:eastAsia="Times New Roman" w:cstheme="minorHAnsi"/>
                      <w:color w:val="000000"/>
                    </w:rPr>
                    <m:t>V</m:t>
                  </m:r>
                </m:e>
                <m:sup>
                  <m:r>
                    <w:rPr>
                      <w:rFonts w:ascii="Cambria Math" w:hAnsi="Cambria Math" w:eastAsia="Times New Roman" w:cstheme="minorHAnsi"/>
                      <w:color w:val="000000"/>
                    </w:rPr>
                    <m:t>x</m:t>
                  </m:r>
                </m:sup>
              </m:sSup>
            </m:den>
          </m:f>
        </m:oMath>
      </m:oMathPara>
    </w:p>
    <w:p w:rsidR="00E550DE" w:rsidP="0085039E" w:rsidRDefault="00E550DE" w14:paraId="3C057971" w14:textId="7D42C449">
      <w:pPr>
        <w:autoSpaceDE w:val="0"/>
        <w:autoSpaceDN w:val="0"/>
        <w:adjustRightInd w:val="0"/>
        <w:spacing w:after="240" w:line="240" w:lineRule="atLeast"/>
      </w:pPr>
      <w:r>
        <w:rPr>
          <w:rFonts w:eastAsia="Times New Roman" w:cstheme="minorHAnsi"/>
          <w:color w:val="000000"/>
        </w:rPr>
        <w:t>Where</w:t>
      </w:r>
      <w:r w:rsidR="00310F7F">
        <w:rPr>
          <w:rFonts w:eastAsia="Times New Roman" w:cstheme="minorHAnsi"/>
          <w:color w:val="000000"/>
        </w:rPr>
        <w:t xml:space="preserve">, for each </w:t>
      </w:r>
      <w:r>
        <w:rPr>
          <w:rFonts w:eastAsia="Times New Roman" w:cstheme="minorHAnsi"/>
          <w:color w:val="000000"/>
        </w:rPr>
        <w:t xml:space="preserve">item </w:t>
      </w:r>
      <w:r>
        <w:rPr>
          <w:rFonts w:eastAsia="Times New Roman" w:cstheme="minorHAnsi"/>
          <w:i/>
          <w:iCs/>
          <w:color w:val="000000"/>
        </w:rPr>
        <w:t>x</w:t>
      </w:r>
      <w:r>
        <w:rPr>
          <w:rFonts w:eastAsia="Times New Roman" w:cstheme="minorHAnsi"/>
          <w:color w:val="000000"/>
        </w:rPr>
        <w:t xml:space="preserve">, </w:t>
      </w:r>
      <w:r w:rsidR="00310F7F">
        <w:rPr>
          <w:rFonts w:eastAsia="Times New Roman" w:cstheme="minorHAnsi"/>
          <w:i/>
          <w:iCs/>
          <w:color w:val="000000"/>
        </w:rPr>
        <w:t>I</w:t>
      </w:r>
      <w:r w:rsidR="00310F7F">
        <w:rPr>
          <w:rFonts w:eastAsia="Times New Roman" w:cstheme="minorHAnsi"/>
          <w:color w:val="000000"/>
        </w:rPr>
        <w:t xml:space="preserve"> is the number of respondents who provided an appropriate response, </w:t>
      </w:r>
      <w:r w:rsidR="00310F7F">
        <w:rPr>
          <w:rFonts w:eastAsia="Times New Roman" w:cstheme="minorHAnsi"/>
          <w:i/>
          <w:iCs/>
          <w:color w:val="000000"/>
        </w:rPr>
        <w:t>A</w:t>
      </w:r>
      <w:r w:rsidR="00310F7F">
        <w:rPr>
          <w:rFonts w:eastAsia="Times New Roman" w:cstheme="minorHAnsi"/>
          <w:color w:val="000000"/>
        </w:rPr>
        <w:t xml:space="preserve"> is the number of respondents in the survey, and </w:t>
      </w:r>
      <w:r w:rsidR="00310F7F">
        <w:rPr>
          <w:rFonts w:eastAsia="Times New Roman" w:cstheme="minorHAnsi"/>
          <w:i/>
          <w:iCs/>
          <w:color w:val="000000"/>
        </w:rPr>
        <w:t>V</w:t>
      </w:r>
      <w:r w:rsidR="00310F7F">
        <w:t xml:space="preserve"> is the number of respondents with a valid skip.</w:t>
      </w:r>
    </w:p>
    <w:p w:rsidR="00E14795" w:rsidP="00F96CED" w:rsidRDefault="004366A1" w14:paraId="50A2C36A" w14:textId="749778E2">
      <w:pPr>
        <w:autoSpaceDE w:val="0"/>
        <w:autoSpaceDN w:val="0"/>
        <w:adjustRightInd w:val="0"/>
        <w:spacing w:after="120" w:line="240" w:lineRule="atLeast"/>
      </w:pPr>
      <w:r w:rsidRPr="002C6E19">
        <w:rPr>
          <w:b/>
          <w:bCs/>
        </w:rPr>
        <w:t xml:space="preserve">Expected response rates. </w:t>
      </w:r>
      <w:r w:rsidRPr="00D24922" w:rsidR="00644A0C">
        <w:t>As a longitudinal follow up for a previously fielded survey</w:t>
      </w:r>
      <w:r w:rsidR="00644A0C">
        <w:t>, we have a very</w:t>
      </w:r>
      <w:r w:rsidRPr="00D24922" w:rsidR="00644A0C">
        <w:t xml:space="preserve"> specific and finite pool of respondents</w:t>
      </w:r>
      <w:r w:rsidR="00644A0C">
        <w:t xml:space="preserve"> as </w:t>
      </w:r>
      <w:r w:rsidR="005D36EE">
        <w:t>the</w:t>
      </w:r>
      <w:r w:rsidR="00644A0C">
        <w:t xml:space="preserve"> denominator</w:t>
      </w:r>
      <w:r w:rsidR="005D36EE">
        <w:t xml:space="preserve"> for our response rates</w:t>
      </w:r>
      <w:r w:rsidR="007E7BE2">
        <w:rPr>
          <w:rStyle w:val="FootnoteReference"/>
        </w:rPr>
        <w:footnoteReference w:id="3"/>
      </w:r>
      <w:r w:rsidR="00644A0C">
        <w:t>.</w:t>
      </w:r>
      <w:r w:rsidRPr="00644A0C" w:rsidR="00644A0C">
        <w:rPr>
          <w:b/>
          <w:bCs/>
        </w:rPr>
        <w:t xml:space="preserve"> </w:t>
      </w:r>
      <w:r w:rsidRPr="002C6E19" w:rsidR="00E14795">
        <w:t>We expect a web-based survey response rate of 75 to 88 percent</w:t>
      </w:r>
      <w:r w:rsidRPr="002C6E19" w:rsidR="000E38A2">
        <w:t xml:space="preserve"> (Table </w:t>
      </w:r>
      <w:r w:rsidR="005D36EE">
        <w:t>B.</w:t>
      </w:r>
      <w:r w:rsidRPr="002C6E19" w:rsidR="000E38A2">
        <w:t>2)</w:t>
      </w:r>
      <w:r w:rsidRPr="002C6E19" w:rsidR="007148A0">
        <w:t>.</w:t>
      </w:r>
      <w:r w:rsidRPr="002C6E19" w:rsidR="00A172F6">
        <w:t xml:space="preserve"> The</w:t>
      </w:r>
      <w:r w:rsidRPr="002C6E19" w:rsidR="002C6E19">
        <w:t>se</w:t>
      </w:r>
      <w:r w:rsidRPr="002C6E19" w:rsidR="00A172F6">
        <w:t xml:space="preserve"> expected response rates mirror the corresponding response rates from the NDS.</w:t>
      </w:r>
      <w:r w:rsidR="009A0BFD">
        <w:t xml:space="preserve"> The expected response rate for dissolved partnership provider survey is rounded down from the lowest response rate in the NDS (family child care providers, who had a 78 percent response rate).</w:t>
      </w:r>
    </w:p>
    <w:p w:rsidRPr="008B6CC6" w:rsidR="008B6CC6" w:rsidP="007148A0" w:rsidRDefault="008B6CC6" w14:paraId="4D01D034" w14:textId="372B8346">
      <w:pPr>
        <w:autoSpaceDE w:val="0"/>
        <w:autoSpaceDN w:val="0"/>
        <w:adjustRightInd w:val="0"/>
        <w:spacing w:after="0" w:line="240" w:lineRule="atLeast"/>
        <w:rPr>
          <w:rFonts w:eastAsia="Times New Roman" w:cstheme="minorHAnsi"/>
          <w:b/>
          <w:bCs/>
          <w:color w:val="000000"/>
        </w:rPr>
      </w:pPr>
      <w:r w:rsidRPr="002C6E19">
        <w:rPr>
          <w:rFonts w:eastAsia="Times New Roman" w:cstheme="minorHAnsi"/>
          <w:b/>
          <w:bCs/>
          <w:color w:val="000000"/>
        </w:rPr>
        <w:t xml:space="preserve">Table </w:t>
      </w:r>
      <w:r w:rsidR="005D36EE">
        <w:rPr>
          <w:rFonts w:eastAsia="Times New Roman" w:cstheme="minorHAnsi"/>
          <w:b/>
          <w:bCs/>
          <w:color w:val="000000"/>
        </w:rPr>
        <w:t>B.</w:t>
      </w:r>
      <w:r w:rsidRPr="002C6E19">
        <w:rPr>
          <w:rFonts w:eastAsia="Times New Roman" w:cstheme="minorHAnsi"/>
          <w:b/>
          <w:bCs/>
          <w:color w:val="000000"/>
        </w:rPr>
        <w:t>2. Expected sample size and response rates</w:t>
      </w:r>
    </w:p>
    <w:tbl>
      <w:tblPr>
        <w:tblStyle w:val="MPRBaseTable"/>
        <w:tblW w:w="5000" w:type="pct"/>
        <w:tblLook w:val="0620" w:firstRow="1" w:lastRow="0" w:firstColumn="0" w:lastColumn="0" w:noHBand="1" w:noVBand="1"/>
      </w:tblPr>
      <w:tblGrid>
        <w:gridCol w:w="3151"/>
        <w:gridCol w:w="2069"/>
        <w:gridCol w:w="2070"/>
        <w:gridCol w:w="2070"/>
      </w:tblGrid>
      <w:tr w:rsidRPr="00E71A38" w:rsidR="00E14795" w:rsidTr="00A83BAC" w14:paraId="7FFDBD76" w14:textId="77777777">
        <w:trPr>
          <w:cnfStyle w:val="100000000000" w:firstRow="1" w:lastRow="0" w:firstColumn="0" w:lastColumn="0" w:oddVBand="0" w:evenVBand="0" w:oddHBand="0" w:evenHBand="0" w:firstRowFirstColumn="0" w:firstRowLastColumn="0" w:lastRowFirstColumn="0" w:lastRowLastColumn="0"/>
        </w:trPr>
        <w:tc>
          <w:tcPr>
            <w:tcW w:w="1683" w:type="pct"/>
            <w:shd w:val="clear" w:color="auto" w:fill="046B5C"/>
            <w:tcMar>
              <w:bottom w:w="0" w:type="dxa"/>
            </w:tcMar>
            <w:hideMark/>
          </w:tcPr>
          <w:p w:rsidRPr="00E71A38" w:rsidR="00E14795" w:rsidP="006825E6" w:rsidRDefault="00E14795" w14:paraId="0F2F96B9" w14:textId="77777777">
            <w:pPr>
              <w:pStyle w:val="TableHeaderCenter"/>
              <w:spacing w:after="60"/>
              <w:jc w:val="left"/>
              <w:rPr>
                <w:rFonts w:asciiTheme="minorHAnsi" w:hAnsiTheme="minorHAnsi" w:cstheme="minorHAnsi"/>
              </w:rPr>
            </w:pPr>
            <w:r w:rsidRPr="00E71A38">
              <w:rPr>
                <w:rFonts w:asciiTheme="minorHAnsi" w:hAnsiTheme="minorHAnsi" w:cstheme="minorHAnsi"/>
              </w:rPr>
              <w:t>Respondent</w:t>
            </w:r>
          </w:p>
        </w:tc>
        <w:tc>
          <w:tcPr>
            <w:tcW w:w="1105" w:type="pct"/>
            <w:shd w:val="clear" w:color="auto" w:fill="046B5C"/>
            <w:tcMar>
              <w:bottom w:w="0" w:type="dxa"/>
            </w:tcMar>
          </w:tcPr>
          <w:p w:rsidRPr="00E71A38" w:rsidR="00E14795" w:rsidP="006825E6" w:rsidRDefault="00E14795" w14:paraId="2FB5E92F" w14:textId="0274BD99">
            <w:pPr>
              <w:pStyle w:val="TableHeaderCenter"/>
              <w:spacing w:after="60"/>
              <w:rPr>
                <w:rFonts w:asciiTheme="minorHAnsi" w:hAnsiTheme="minorHAnsi" w:cstheme="minorHAnsi"/>
              </w:rPr>
            </w:pPr>
            <w:r w:rsidRPr="00E71A38">
              <w:rPr>
                <w:rFonts w:asciiTheme="minorHAnsi" w:hAnsiTheme="minorHAnsi" w:cstheme="minorHAnsi"/>
              </w:rPr>
              <w:t xml:space="preserve">Expected </w:t>
            </w:r>
            <w:r w:rsidRPr="00E71A38" w:rsidR="000B7DA4">
              <w:rPr>
                <w:rFonts w:asciiTheme="minorHAnsi" w:hAnsiTheme="minorHAnsi" w:cstheme="minorHAnsi"/>
              </w:rPr>
              <w:t>completed</w:t>
            </w:r>
            <w:r w:rsidRPr="00E71A38">
              <w:rPr>
                <w:rFonts w:asciiTheme="minorHAnsi" w:hAnsiTheme="minorHAnsi" w:cstheme="minorHAnsi"/>
              </w:rPr>
              <w:t xml:space="preserve"> </w:t>
            </w:r>
            <w:r w:rsidR="00CB6075">
              <w:rPr>
                <w:rFonts w:asciiTheme="minorHAnsi" w:hAnsiTheme="minorHAnsi" w:cstheme="minorHAnsi"/>
              </w:rPr>
              <w:t>2022</w:t>
            </w:r>
            <w:r w:rsidRPr="00E71A38">
              <w:rPr>
                <w:rFonts w:asciiTheme="minorHAnsi" w:hAnsiTheme="minorHAnsi" w:cstheme="minorHAnsi"/>
              </w:rPr>
              <w:t xml:space="preserve"> surveys</w:t>
            </w:r>
            <w:r w:rsidRPr="00E71A38" w:rsidR="000B7DA4">
              <w:rPr>
                <w:rFonts w:asciiTheme="minorHAnsi" w:hAnsiTheme="minorHAnsi" w:cstheme="minorHAnsi"/>
              </w:rPr>
              <w:t xml:space="preserve">/expected </w:t>
            </w:r>
            <w:r w:rsidRPr="00E71A38" w:rsidR="001F230B">
              <w:rPr>
                <w:rFonts w:asciiTheme="minorHAnsi" w:hAnsiTheme="minorHAnsi" w:cstheme="minorHAnsi"/>
              </w:rPr>
              <w:br/>
            </w:r>
            <w:r w:rsidRPr="00E71A38" w:rsidR="000B7DA4">
              <w:rPr>
                <w:rFonts w:asciiTheme="minorHAnsi" w:hAnsiTheme="minorHAnsi" w:cstheme="minorHAnsi"/>
              </w:rPr>
              <w:t>sample size</w:t>
            </w:r>
          </w:p>
        </w:tc>
        <w:tc>
          <w:tcPr>
            <w:tcW w:w="1106" w:type="pct"/>
            <w:shd w:val="clear" w:color="auto" w:fill="046B5C"/>
          </w:tcPr>
          <w:p w:rsidRPr="00E71A38" w:rsidR="00E14795" w:rsidP="006825E6" w:rsidRDefault="00E14795" w14:paraId="58CB62B5" w14:textId="3F363B1C">
            <w:pPr>
              <w:pStyle w:val="TableHeaderCenter"/>
              <w:spacing w:after="60"/>
              <w:rPr>
                <w:rFonts w:asciiTheme="minorHAnsi" w:hAnsiTheme="minorHAnsi" w:cstheme="minorHAnsi"/>
              </w:rPr>
            </w:pPr>
            <w:r w:rsidRPr="00E71A38">
              <w:rPr>
                <w:rFonts w:asciiTheme="minorHAnsi" w:hAnsiTheme="minorHAnsi" w:cstheme="minorHAnsi"/>
              </w:rPr>
              <w:t>Expect</w:t>
            </w:r>
            <w:r w:rsidRPr="00E71A38" w:rsidR="00332A65">
              <w:rPr>
                <w:rFonts w:asciiTheme="minorHAnsi" w:hAnsiTheme="minorHAnsi" w:cstheme="minorHAnsi"/>
              </w:rPr>
              <w:t>ed</w:t>
            </w:r>
            <w:r w:rsidRPr="00E71A38">
              <w:rPr>
                <w:rFonts w:asciiTheme="minorHAnsi" w:hAnsiTheme="minorHAnsi" w:cstheme="minorHAnsi"/>
              </w:rPr>
              <w:t xml:space="preserve"> response rate</w:t>
            </w:r>
          </w:p>
        </w:tc>
        <w:tc>
          <w:tcPr>
            <w:tcW w:w="1106" w:type="pct"/>
            <w:shd w:val="clear" w:color="auto" w:fill="046B5C"/>
          </w:tcPr>
          <w:p w:rsidRPr="00E71A38" w:rsidR="00E14795" w:rsidP="006825E6" w:rsidRDefault="00E14795" w14:paraId="70BF8FD4" w14:textId="60D7FB2A">
            <w:pPr>
              <w:pStyle w:val="TableHeaderCenter"/>
              <w:spacing w:after="60"/>
              <w:rPr>
                <w:rFonts w:asciiTheme="minorHAnsi" w:hAnsiTheme="minorHAnsi" w:cstheme="minorHAnsi"/>
              </w:rPr>
            </w:pPr>
            <w:r w:rsidRPr="00E71A38">
              <w:rPr>
                <w:rFonts w:asciiTheme="minorHAnsi" w:hAnsiTheme="minorHAnsi" w:cstheme="minorHAnsi"/>
              </w:rPr>
              <w:t xml:space="preserve">Margin of </w:t>
            </w:r>
            <w:proofErr w:type="spellStart"/>
            <w:r w:rsidRPr="00E71A38">
              <w:rPr>
                <w:rFonts w:asciiTheme="minorHAnsi" w:hAnsiTheme="minorHAnsi" w:cstheme="minorHAnsi"/>
              </w:rPr>
              <w:t>error</w:t>
            </w:r>
            <w:r w:rsidRPr="00E71A38">
              <w:rPr>
                <w:rFonts w:asciiTheme="minorHAnsi" w:hAnsiTheme="minorHAnsi" w:cstheme="minorHAnsi"/>
                <w:vertAlign w:val="superscript"/>
              </w:rPr>
              <w:t>a</w:t>
            </w:r>
            <w:proofErr w:type="spellEnd"/>
          </w:p>
        </w:tc>
      </w:tr>
      <w:tr w:rsidRPr="00E71A38" w:rsidR="00E14795" w:rsidTr="00E71A38" w14:paraId="5823DA57" w14:textId="77777777">
        <w:tc>
          <w:tcPr>
            <w:tcW w:w="1683" w:type="pct"/>
            <w:tcBorders>
              <w:top w:val="nil"/>
              <w:left w:val="nil"/>
              <w:bottom w:val="nil"/>
              <w:right w:val="nil"/>
            </w:tcBorders>
            <w:tcMar>
              <w:bottom w:w="0" w:type="dxa"/>
            </w:tcMar>
          </w:tcPr>
          <w:p w:rsidRPr="00E71A38" w:rsidR="00E14795" w:rsidP="006825E6" w:rsidRDefault="00E14795" w14:paraId="445A450A" w14:textId="415A941E">
            <w:pPr>
              <w:pStyle w:val="TableTextLeft"/>
              <w:rPr>
                <w:rFonts w:asciiTheme="minorHAnsi" w:hAnsiTheme="minorHAnsi" w:cstheme="minorHAnsi"/>
              </w:rPr>
            </w:pPr>
            <w:r w:rsidRPr="00E71A38">
              <w:rPr>
                <w:rFonts w:asciiTheme="minorHAnsi" w:hAnsiTheme="minorHAnsi" w:cstheme="minorHAnsi"/>
              </w:rPr>
              <w:t>2015 cohort of program directors from EHS-CC</w:t>
            </w:r>
            <w:r w:rsidRPr="00E71A38" w:rsidR="001A3FB5">
              <w:rPr>
                <w:rFonts w:asciiTheme="minorHAnsi" w:hAnsiTheme="minorHAnsi" w:cstheme="minorHAnsi"/>
              </w:rPr>
              <w:t>P</w:t>
            </w:r>
            <w:r w:rsidRPr="00E71A38">
              <w:rPr>
                <w:rFonts w:asciiTheme="minorHAnsi" w:hAnsiTheme="minorHAnsi" w:cstheme="minorHAnsi"/>
              </w:rPr>
              <w:t xml:space="preserve"> grantees</w:t>
            </w:r>
          </w:p>
        </w:tc>
        <w:tc>
          <w:tcPr>
            <w:tcW w:w="1105" w:type="pct"/>
            <w:tcBorders>
              <w:top w:val="nil"/>
              <w:left w:val="nil"/>
              <w:bottom w:val="nil"/>
              <w:right w:val="nil"/>
            </w:tcBorders>
            <w:tcMar>
              <w:bottom w:w="0" w:type="dxa"/>
            </w:tcMar>
          </w:tcPr>
          <w:p w:rsidRPr="00E71A38" w:rsidR="00E14795" w:rsidP="006825E6" w:rsidRDefault="00E14795" w14:paraId="56175D22" w14:textId="06D0FEAA">
            <w:pPr>
              <w:pStyle w:val="TableTextLeft"/>
              <w:rPr>
                <w:rFonts w:asciiTheme="minorHAnsi" w:hAnsiTheme="minorHAnsi" w:cstheme="minorHAnsi"/>
              </w:rPr>
            </w:pPr>
            <w:r w:rsidRPr="00E71A38">
              <w:rPr>
                <w:rFonts w:asciiTheme="minorHAnsi" w:hAnsiTheme="minorHAnsi" w:cstheme="minorHAnsi"/>
              </w:rPr>
              <w:t>220/250</w:t>
            </w:r>
            <w:r w:rsidRPr="00E71A38">
              <w:rPr>
                <w:rFonts w:asciiTheme="minorHAnsi" w:hAnsiTheme="minorHAnsi" w:cstheme="minorHAnsi"/>
                <w:vertAlign w:val="superscript"/>
              </w:rPr>
              <w:t>b</w:t>
            </w:r>
            <w:r w:rsidRPr="00E71A38">
              <w:rPr>
                <w:rFonts w:asciiTheme="minorHAnsi" w:hAnsiTheme="minorHAnsi" w:cstheme="minorHAnsi"/>
              </w:rPr>
              <w:t xml:space="preserve"> </w:t>
            </w:r>
          </w:p>
        </w:tc>
        <w:tc>
          <w:tcPr>
            <w:tcW w:w="1106" w:type="pct"/>
            <w:tcBorders>
              <w:top w:val="nil"/>
              <w:left w:val="nil"/>
              <w:bottom w:val="nil"/>
              <w:right w:val="nil"/>
            </w:tcBorders>
          </w:tcPr>
          <w:p w:rsidRPr="00E71A38" w:rsidR="00E14795" w:rsidP="006825E6" w:rsidRDefault="00E14795" w14:paraId="65D9B22E" w14:textId="334C2597">
            <w:pPr>
              <w:pStyle w:val="TableTextLeft"/>
              <w:rPr>
                <w:rFonts w:asciiTheme="minorHAnsi" w:hAnsiTheme="minorHAnsi" w:cstheme="minorHAnsi"/>
              </w:rPr>
            </w:pPr>
            <w:r w:rsidRPr="00E71A38">
              <w:rPr>
                <w:rFonts w:asciiTheme="minorHAnsi" w:hAnsiTheme="minorHAnsi" w:cstheme="minorHAnsi"/>
              </w:rPr>
              <w:t>88 percent</w:t>
            </w:r>
          </w:p>
        </w:tc>
        <w:tc>
          <w:tcPr>
            <w:tcW w:w="1106" w:type="pct"/>
            <w:tcBorders>
              <w:top w:val="nil"/>
              <w:left w:val="nil"/>
              <w:bottom w:val="nil"/>
              <w:right w:val="nil"/>
            </w:tcBorders>
          </w:tcPr>
          <w:p w:rsidRPr="00E71A38" w:rsidR="00E14795" w:rsidP="006825E6" w:rsidRDefault="00E14795" w14:paraId="595CCCA6" w14:textId="0D969B8A">
            <w:pPr>
              <w:pStyle w:val="TableTextLeft"/>
              <w:rPr>
                <w:rFonts w:asciiTheme="minorHAnsi" w:hAnsiTheme="minorHAnsi" w:cstheme="minorHAnsi"/>
              </w:rPr>
            </w:pPr>
            <w:r w:rsidRPr="00E71A38">
              <w:rPr>
                <w:rFonts w:asciiTheme="minorHAnsi" w:hAnsiTheme="minorHAnsi" w:cstheme="minorHAnsi"/>
              </w:rPr>
              <w:t>6.8 percentage points</w:t>
            </w:r>
          </w:p>
        </w:tc>
      </w:tr>
      <w:tr w:rsidRPr="00E71A38" w:rsidR="00E14795" w:rsidTr="00074A05" w14:paraId="43110270" w14:textId="77777777">
        <w:tc>
          <w:tcPr>
            <w:tcW w:w="1683" w:type="pct"/>
            <w:tcBorders>
              <w:top w:val="nil"/>
              <w:left w:val="nil"/>
              <w:bottom w:val="nil"/>
              <w:right w:val="nil"/>
            </w:tcBorders>
            <w:shd w:val="clear" w:color="auto" w:fill="E0D4B5"/>
            <w:tcMar>
              <w:bottom w:w="0" w:type="dxa"/>
            </w:tcMar>
          </w:tcPr>
          <w:p w:rsidRPr="00E71A38" w:rsidR="00E14795" w:rsidP="006825E6" w:rsidRDefault="00E14795" w14:paraId="727C13DE" w14:textId="415A460D">
            <w:pPr>
              <w:pStyle w:val="TableTextLeft"/>
              <w:rPr>
                <w:rFonts w:asciiTheme="minorHAnsi" w:hAnsiTheme="minorHAnsi" w:cstheme="minorHAnsi"/>
              </w:rPr>
            </w:pPr>
            <w:r w:rsidRPr="00E71A38">
              <w:rPr>
                <w:rFonts w:asciiTheme="minorHAnsi" w:hAnsiTheme="minorHAnsi" w:cstheme="minorHAnsi"/>
              </w:rPr>
              <w:t xml:space="preserve">Child care </w:t>
            </w:r>
            <w:r w:rsidR="00794FC9">
              <w:rPr>
                <w:rFonts w:asciiTheme="minorHAnsi" w:hAnsiTheme="minorHAnsi" w:cstheme="minorHAnsi"/>
              </w:rPr>
              <w:t>providers</w:t>
            </w:r>
            <w:r w:rsidRPr="00E71A38" w:rsidR="00794FC9">
              <w:rPr>
                <w:rFonts w:asciiTheme="minorHAnsi" w:hAnsiTheme="minorHAnsi" w:cstheme="minorHAnsi"/>
              </w:rPr>
              <w:t xml:space="preserve"> </w:t>
            </w:r>
            <w:r w:rsidRPr="00E71A38">
              <w:rPr>
                <w:rFonts w:asciiTheme="minorHAnsi" w:hAnsiTheme="minorHAnsi" w:cstheme="minorHAnsi"/>
              </w:rPr>
              <w:t xml:space="preserve">sampled in 2016 survey </w:t>
            </w:r>
          </w:p>
        </w:tc>
        <w:tc>
          <w:tcPr>
            <w:tcW w:w="1105" w:type="pct"/>
            <w:tcBorders>
              <w:top w:val="nil"/>
              <w:left w:val="nil"/>
              <w:bottom w:val="nil"/>
              <w:right w:val="nil"/>
            </w:tcBorders>
            <w:shd w:val="clear" w:color="auto" w:fill="E0D4B5"/>
            <w:tcMar>
              <w:bottom w:w="0" w:type="dxa"/>
            </w:tcMar>
          </w:tcPr>
          <w:p w:rsidRPr="00E71A38" w:rsidR="00E14795" w:rsidP="006825E6" w:rsidRDefault="00E14795" w14:paraId="1D132ACE" w14:textId="166463C6">
            <w:pPr>
              <w:pStyle w:val="TableTextLeft"/>
              <w:rPr>
                <w:rFonts w:asciiTheme="minorHAnsi" w:hAnsiTheme="minorHAnsi" w:cstheme="minorHAnsi"/>
              </w:rPr>
            </w:pPr>
            <w:r w:rsidRPr="00E71A38">
              <w:rPr>
                <w:rFonts w:asciiTheme="minorHAnsi" w:hAnsiTheme="minorHAnsi" w:cstheme="minorHAnsi"/>
              </w:rPr>
              <w:t xml:space="preserve">376/470 </w:t>
            </w:r>
          </w:p>
        </w:tc>
        <w:tc>
          <w:tcPr>
            <w:tcW w:w="1106" w:type="pct"/>
            <w:tcBorders>
              <w:top w:val="nil"/>
              <w:left w:val="nil"/>
              <w:bottom w:val="nil"/>
              <w:right w:val="nil"/>
            </w:tcBorders>
            <w:shd w:val="clear" w:color="auto" w:fill="E0D4B5"/>
          </w:tcPr>
          <w:p w:rsidRPr="00E71A38" w:rsidR="00E14795" w:rsidP="006825E6" w:rsidRDefault="00E14795" w14:paraId="614E130F" w14:textId="1C0EA95A">
            <w:pPr>
              <w:pStyle w:val="TableTextLeft"/>
              <w:spacing w:after="60"/>
              <w:rPr>
                <w:rFonts w:asciiTheme="minorHAnsi" w:hAnsiTheme="minorHAnsi" w:cstheme="minorHAnsi"/>
              </w:rPr>
            </w:pPr>
            <w:r w:rsidRPr="00E71A38">
              <w:rPr>
                <w:rFonts w:asciiTheme="minorHAnsi" w:hAnsiTheme="minorHAnsi" w:cstheme="minorHAnsi"/>
              </w:rPr>
              <w:t>80 percent</w:t>
            </w:r>
          </w:p>
        </w:tc>
        <w:tc>
          <w:tcPr>
            <w:tcW w:w="1106" w:type="pct"/>
            <w:tcBorders>
              <w:top w:val="nil"/>
              <w:left w:val="nil"/>
              <w:bottom w:val="nil"/>
              <w:right w:val="nil"/>
            </w:tcBorders>
            <w:shd w:val="clear" w:color="auto" w:fill="E0D4B5"/>
          </w:tcPr>
          <w:p w:rsidRPr="00E71A38" w:rsidR="00E14795" w:rsidDel="00CD7D36" w:rsidP="006825E6" w:rsidRDefault="00E14795" w14:paraId="035DDDC2" w14:textId="6B957FA0">
            <w:pPr>
              <w:pStyle w:val="TableTextLeft"/>
              <w:spacing w:after="60"/>
              <w:rPr>
                <w:rFonts w:asciiTheme="minorHAnsi" w:hAnsiTheme="minorHAnsi" w:cstheme="minorHAnsi"/>
              </w:rPr>
            </w:pPr>
            <w:r w:rsidRPr="00E71A38">
              <w:rPr>
                <w:rFonts w:asciiTheme="minorHAnsi" w:hAnsiTheme="minorHAnsi" w:cstheme="minorHAnsi"/>
              </w:rPr>
              <w:t>5.2 percentage points</w:t>
            </w:r>
          </w:p>
        </w:tc>
      </w:tr>
      <w:tr w:rsidRPr="00E71A38" w:rsidR="00E14795" w:rsidTr="00074A05" w14:paraId="23DEF106" w14:textId="77777777">
        <w:tc>
          <w:tcPr>
            <w:tcW w:w="1683" w:type="pct"/>
            <w:tcBorders>
              <w:top w:val="nil"/>
              <w:left w:val="nil"/>
              <w:bottom w:val="nil"/>
              <w:right w:val="nil"/>
            </w:tcBorders>
            <w:shd w:val="clear" w:color="auto" w:fill="FFFFFF" w:themeFill="background1"/>
            <w:tcMar>
              <w:bottom w:w="0" w:type="dxa"/>
            </w:tcMar>
          </w:tcPr>
          <w:p w:rsidRPr="00E71A38" w:rsidR="00E14795" w:rsidP="006825E6" w:rsidRDefault="00E14795" w14:paraId="7E976DE8" w14:textId="3F3E39D0">
            <w:pPr>
              <w:pStyle w:val="TableTextLeft"/>
              <w:rPr>
                <w:rFonts w:asciiTheme="minorHAnsi" w:hAnsiTheme="minorHAnsi" w:cstheme="minorHAnsi"/>
              </w:rPr>
            </w:pPr>
            <w:r w:rsidRPr="00E71A38">
              <w:rPr>
                <w:rFonts w:asciiTheme="minorHAnsi" w:hAnsiTheme="minorHAnsi" w:cstheme="minorHAnsi"/>
              </w:rPr>
              <w:t xml:space="preserve">Child care </w:t>
            </w:r>
            <w:r w:rsidR="00794FC9">
              <w:rPr>
                <w:rFonts w:asciiTheme="minorHAnsi" w:hAnsiTheme="minorHAnsi" w:cstheme="minorHAnsi"/>
              </w:rPr>
              <w:t>providers</w:t>
            </w:r>
            <w:r w:rsidRPr="00E71A38" w:rsidR="00794FC9">
              <w:rPr>
                <w:rFonts w:asciiTheme="minorHAnsi" w:hAnsiTheme="minorHAnsi" w:cstheme="minorHAnsi"/>
              </w:rPr>
              <w:t xml:space="preserve"> </w:t>
            </w:r>
            <w:r w:rsidRPr="00E71A38">
              <w:rPr>
                <w:rFonts w:asciiTheme="minorHAnsi" w:hAnsiTheme="minorHAnsi" w:cstheme="minorHAnsi"/>
              </w:rPr>
              <w:t xml:space="preserve">sampled in 2016 survey: Sustained partnerships </w:t>
            </w:r>
          </w:p>
        </w:tc>
        <w:tc>
          <w:tcPr>
            <w:tcW w:w="1105" w:type="pct"/>
            <w:tcBorders>
              <w:top w:val="nil"/>
              <w:left w:val="nil"/>
              <w:bottom w:val="nil"/>
              <w:right w:val="nil"/>
            </w:tcBorders>
            <w:shd w:val="clear" w:color="auto" w:fill="FFFFFF" w:themeFill="background1"/>
            <w:tcMar>
              <w:bottom w:w="0" w:type="dxa"/>
            </w:tcMar>
          </w:tcPr>
          <w:p w:rsidRPr="00E71A38" w:rsidR="00E14795" w:rsidP="006825E6" w:rsidRDefault="00E14795" w14:paraId="12605AB7" w14:textId="61C89767">
            <w:pPr>
              <w:pStyle w:val="TableTextLeft"/>
              <w:spacing w:after="60"/>
              <w:rPr>
                <w:rFonts w:asciiTheme="minorHAnsi" w:hAnsiTheme="minorHAnsi" w:cstheme="minorHAnsi"/>
              </w:rPr>
            </w:pPr>
            <w:r w:rsidRPr="00E71A38">
              <w:rPr>
                <w:rFonts w:asciiTheme="minorHAnsi" w:hAnsiTheme="minorHAnsi" w:cstheme="minorHAnsi"/>
              </w:rPr>
              <w:t>271/330</w:t>
            </w:r>
            <w:r w:rsidRPr="00E71A38">
              <w:rPr>
                <w:rFonts w:asciiTheme="minorHAnsi" w:hAnsiTheme="minorHAnsi" w:cstheme="minorHAnsi"/>
                <w:vertAlign w:val="superscript"/>
              </w:rPr>
              <w:t xml:space="preserve">c </w:t>
            </w:r>
          </w:p>
        </w:tc>
        <w:tc>
          <w:tcPr>
            <w:tcW w:w="1106" w:type="pct"/>
            <w:tcBorders>
              <w:top w:val="nil"/>
              <w:left w:val="nil"/>
              <w:bottom w:val="nil"/>
              <w:right w:val="nil"/>
            </w:tcBorders>
            <w:shd w:val="clear" w:color="auto" w:fill="FFFFFF" w:themeFill="background1"/>
          </w:tcPr>
          <w:p w:rsidRPr="00E71A38" w:rsidR="00E14795" w:rsidP="006825E6" w:rsidRDefault="00E14795" w14:paraId="69D3AC8C" w14:textId="59F6111D">
            <w:pPr>
              <w:pStyle w:val="TableTextLeft"/>
              <w:spacing w:after="60"/>
              <w:rPr>
                <w:rFonts w:asciiTheme="minorHAnsi" w:hAnsiTheme="minorHAnsi" w:cstheme="minorHAnsi"/>
              </w:rPr>
            </w:pPr>
            <w:r w:rsidRPr="00E71A38">
              <w:rPr>
                <w:rFonts w:asciiTheme="minorHAnsi" w:hAnsiTheme="minorHAnsi" w:cstheme="minorHAnsi"/>
              </w:rPr>
              <w:t>82 percent</w:t>
            </w:r>
          </w:p>
        </w:tc>
        <w:tc>
          <w:tcPr>
            <w:tcW w:w="1106" w:type="pct"/>
            <w:tcBorders>
              <w:top w:val="nil"/>
              <w:left w:val="nil"/>
              <w:bottom w:val="nil"/>
              <w:right w:val="nil"/>
            </w:tcBorders>
            <w:shd w:val="clear" w:color="auto" w:fill="FFFFFF" w:themeFill="background1"/>
          </w:tcPr>
          <w:p w:rsidRPr="00E71A38" w:rsidR="00E14795" w:rsidP="006825E6" w:rsidRDefault="00E14795" w14:paraId="1584D4A8" w14:textId="0B3E230F">
            <w:pPr>
              <w:pStyle w:val="TableTextLeft"/>
              <w:spacing w:after="60"/>
              <w:rPr>
                <w:rFonts w:asciiTheme="minorHAnsi" w:hAnsiTheme="minorHAnsi" w:cstheme="minorHAnsi"/>
              </w:rPr>
            </w:pPr>
            <w:r w:rsidRPr="00E71A38">
              <w:rPr>
                <w:rFonts w:asciiTheme="minorHAnsi" w:hAnsiTheme="minorHAnsi" w:cstheme="minorHAnsi"/>
              </w:rPr>
              <w:t>6.1 percentage points</w:t>
            </w:r>
          </w:p>
        </w:tc>
      </w:tr>
      <w:tr w:rsidRPr="00E71A38" w:rsidR="00E14795" w:rsidTr="00E71A38" w14:paraId="10187C50" w14:textId="77777777">
        <w:tc>
          <w:tcPr>
            <w:tcW w:w="1683" w:type="pct"/>
            <w:tcBorders>
              <w:top w:val="nil"/>
              <w:left w:val="nil"/>
              <w:bottom w:val="single" w:color="046B5C" w:sz="4" w:space="0"/>
              <w:right w:val="nil"/>
            </w:tcBorders>
            <w:shd w:val="clear" w:color="auto" w:fill="E0D4B5"/>
            <w:tcMar>
              <w:bottom w:w="0" w:type="dxa"/>
            </w:tcMar>
          </w:tcPr>
          <w:p w:rsidRPr="00E71A38" w:rsidR="00E14795" w:rsidP="006825E6" w:rsidRDefault="00E14795" w14:paraId="4F969EBB" w14:textId="513CB947">
            <w:pPr>
              <w:pStyle w:val="TableTextLeft"/>
              <w:rPr>
                <w:rFonts w:asciiTheme="minorHAnsi" w:hAnsiTheme="minorHAnsi" w:cstheme="minorHAnsi"/>
              </w:rPr>
            </w:pPr>
            <w:r w:rsidRPr="00E71A38">
              <w:rPr>
                <w:rFonts w:asciiTheme="minorHAnsi" w:hAnsiTheme="minorHAnsi" w:cstheme="minorHAnsi"/>
              </w:rPr>
              <w:t xml:space="preserve">Child care </w:t>
            </w:r>
            <w:r w:rsidR="00794FC9">
              <w:rPr>
                <w:rFonts w:asciiTheme="minorHAnsi" w:hAnsiTheme="minorHAnsi" w:cstheme="minorHAnsi"/>
              </w:rPr>
              <w:t>providers</w:t>
            </w:r>
            <w:r w:rsidRPr="00E71A38" w:rsidR="00794FC9">
              <w:rPr>
                <w:rFonts w:asciiTheme="minorHAnsi" w:hAnsiTheme="minorHAnsi" w:cstheme="minorHAnsi"/>
              </w:rPr>
              <w:t xml:space="preserve"> </w:t>
            </w:r>
            <w:r w:rsidRPr="00E71A38">
              <w:rPr>
                <w:rFonts w:asciiTheme="minorHAnsi" w:hAnsiTheme="minorHAnsi" w:cstheme="minorHAnsi"/>
              </w:rPr>
              <w:t>sampled in 2016 survey: Dissolved partnerships</w:t>
            </w:r>
          </w:p>
        </w:tc>
        <w:tc>
          <w:tcPr>
            <w:tcW w:w="1105" w:type="pct"/>
            <w:tcBorders>
              <w:top w:val="nil"/>
              <w:left w:val="nil"/>
              <w:bottom w:val="single" w:color="046B5C" w:sz="4" w:space="0"/>
              <w:right w:val="nil"/>
            </w:tcBorders>
            <w:shd w:val="clear" w:color="auto" w:fill="E0D4B5"/>
            <w:tcMar>
              <w:bottom w:w="0" w:type="dxa"/>
            </w:tcMar>
          </w:tcPr>
          <w:p w:rsidRPr="00E71A38" w:rsidR="00E14795" w:rsidP="006825E6" w:rsidRDefault="00E14795" w14:paraId="605452CF" w14:textId="45379B53">
            <w:pPr>
              <w:pStyle w:val="TableTextLeft"/>
              <w:spacing w:after="60"/>
              <w:rPr>
                <w:rFonts w:asciiTheme="minorHAnsi" w:hAnsiTheme="minorHAnsi" w:cstheme="minorHAnsi"/>
              </w:rPr>
            </w:pPr>
            <w:r w:rsidRPr="00E71A38">
              <w:rPr>
                <w:rFonts w:asciiTheme="minorHAnsi" w:hAnsiTheme="minorHAnsi" w:cstheme="minorHAnsi"/>
              </w:rPr>
              <w:t>105/140</w:t>
            </w:r>
          </w:p>
        </w:tc>
        <w:tc>
          <w:tcPr>
            <w:tcW w:w="1106" w:type="pct"/>
            <w:tcBorders>
              <w:top w:val="nil"/>
              <w:left w:val="nil"/>
              <w:bottom w:val="single" w:color="046B5C" w:sz="4" w:space="0"/>
              <w:right w:val="nil"/>
            </w:tcBorders>
            <w:shd w:val="clear" w:color="auto" w:fill="E0D4B5"/>
          </w:tcPr>
          <w:p w:rsidRPr="00E71A38" w:rsidR="00E14795" w:rsidP="006825E6" w:rsidRDefault="00332A65" w14:paraId="039DD61B" w14:textId="18F96E89">
            <w:pPr>
              <w:pStyle w:val="TableTextLeft"/>
              <w:spacing w:after="60"/>
              <w:rPr>
                <w:rFonts w:asciiTheme="minorHAnsi" w:hAnsiTheme="minorHAnsi" w:cstheme="minorHAnsi"/>
              </w:rPr>
            </w:pPr>
            <w:r w:rsidRPr="00E71A38">
              <w:rPr>
                <w:rFonts w:asciiTheme="minorHAnsi" w:hAnsiTheme="minorHAnsi" w:cstheme="minorHAnsi"/>
              </w:rPr>
              <w:t>75 percent</w:t>
            </w:r>
          </w:p>
        </w:tc>
        <w:tc>
          <w:tcPr>
            <w:tcW w:w="1106" w:type="pct"/>
            <w:tcBorders>
              <w:top w:val="nil"/>
              <w:left w:val="nil"/>
              <w:bottom w:val="single" w:color="046B5C" w:sz="4" w:space="0"/>
              <w:right w:val="nil"/>
            </w:tcBorders>
            <w:shd w:val="clear" w:color="auto" w:fill="E0D4B5"/>
          </w:tcPr>
          <w:p w:rsidRPr="00E71A38" w:rsidR="00E14795" w:rsidP="006825E6" w:rsidRDefault="00E14795" w14:paraId="1DF9B81A" w14:textId="61D6AC53">
            <w:pPr>
              <w:pStyle w:val="TableTextLeft"/>
              <w:spacing w:after="60"/>
              <w:rPr>
                <w:rFonts w:asciiTheme="minorHAnsi" w:hAnsiTheme="minorHAnsi" w:cstheme="minorHAnsi"/>
              </w:rPr>
            </w:pPr>
            <w:r w:rsidRPr="00E71A38">
              <w:rPr>
                <w:rFonts w:asciiTheme="minorHAnsi" w:hAnsiTheme="minorHAnsi" w:cstheme="minorHAnsi"/>
              </w:rPr>
              <w:t>9.9 percentage points</w:t>
            </w:r>
          </w:p>
        </w:tc>
      </w:tr>
    </w:tbl>
    <w:p w:rsidRPr="00E14795" w:rsidR="00E14795" w:rsidP="00B75663" w:rsidRDefault="00E14795" w14:paraId="1665CBC0" w14:textId="5431ED59">
      <w:pPr>
        <w:pStyle w:val="TableFootnote"/>
        <w:tabs>
          <w:tab w:val="clear" w:pos="1080"/>
          <w:tab w:val="left" w:pos="630"/>
        </w:tabs>
        <w:spacing w:after="120"/>
        <w:contextualSpacing w:val="0"/>
        <w:rPr>
          <w:rFonts w:asciiTheme="minorHAnsi" w:hAnsiTheme="minorHAnsi" w:cstheme="minorHAnsi"/>
          <w:sz w:val="20"/>
          <w:vertAlign w:val="superscript"/>
        </w:rPr>
      </w:pPr>
      <w:proofErr w:type="spellStart"/>
      <w:r w:rsidRPr="00E14795">
        <w:rPr>
          <w:rFonts w:asciiTheme="minorHAnsi" w:hAnsiTheme="minorHAnsi" w:cstheme="minorHAnsi"/>
          <w:sz w:val="20"/>
          <w:vertAlign w:val="superscript"/>
        </w:rPr>
        <w:t>a</w:t>
      </w:r>
      <w:proofErr w:type="spellEnd"/>
      <w:r w:rsidR="000B538C">
        <w:rPr>
          <w:rFonts w:asciiTheme="minorHAnsi" w:hAnsiTheme="minorHAnsi" w:cstheme="minorHAnsi"/>
          <w:sz w:val="20"/>
          <w:vertAlign w:val="superscript"/>
        </w:rPr>
        <w:t xml:space="preserve"> </w:t>
      </w:r>
      <w:r w:rsidRPr="00E14795">
        <w:rPr>
          <w:rFonts w:asciiTheme="minorHAnsi" w:hAnsiTheme="minorHAnsi" w:cstheme="minorHAnsi"/>
          <w:sz w:val="20"/>
        </w:rPr>
        <w:t>The margin of error shows the confidence interval around an outcome of 50 percent in percentage points</w:t>
      </w:r>
      <w:r w:rsidR="000B538C">
        <w:rPr>
          <w:rFonts w:asciiTheme="minorHAnsi" w:hAnsiTheme="minorHAnsi" w:cstheme="minorHAnsi"/>
          <w:sz w:val="20"/>
        </w:rPr>
        <w:t>.</w:t>
      </w:r>
      <w:r w:rsidRPr="00E14795">
        <w:rPr>
          <w:rFonts w:asciiTheme="minorHAnsi" w:hAnsiTheme="minorHAnsi" w:cstheme="minorHAnsi"/>
          <w:sz w:val="20"/>
          <w:vertAlign w:val="superscript"/>
        </w:rPr>
        <w:t xml:space="preserve"> </w:t>
      </w:r>
    </w:p>
    <w:p w:rsidRPr="00E14795" w:rsidR="00E14795" w:rsidP="00B75663" w:rsidRDefault="00E14795" w14:paraId="5A46518D" w14:textId="1492ABF2">
      <w:pPr>
        <w:pStyle w:val="TableFootnote"/>
        <w:tabs>
          <w:tab w:val="clear" w:pos="1080"/>
          <w:tab w:val="left" w:pos="630"/>
        </w:tabs>
        <w:spacing w:after="120"/>
        <w:contextualSpacing w:val="0"/>
        <w:rPr>
          <w:rFonts w:asciiTheme="minorHAnsi" w:hAnsiTheme="minorHAnsi" w:cstheme="minorHAnsi"/>
          <w:sz w:val="20"/>
        </w:rPr>
      </w:pPr>
      <w:r w:rsidRPr="00E14795">
        <w:rPr>
          <w:rFonts w:asciiTheme="minorHAnsi" w:hAnsiTheme="minorHAnsi" w:cstheme="minorHAnsi"/>
          <w:sz w:val="20"/>
          <w:vertAlign w:val="superscript"/>
        </w:rPr>
        <w:lastRenderedPageBreak/>
        <w:t>b</w:t>
      </w:r>
      <w:r w:rsidR="00B67C1C">
        <w:rPr>
          <w:rFonts w:asciiTheme="minorHAnsi" w:hAnsiTheme="minorHAnsi" w:cstheme="minorHAnsi"/>
          <w:sz w:val="20"/>
          <w:vertAlign w:val="superscript"/>
        </w:rPr>
        <w:t xml:space="preserve"> </w:t>
      </w:r>
      <w:r w:rsidRPr="00E14795">
        <w:rPr>
          <w:rFonts w:asciiTheme="minorHAnsi" w:hAnsiTheme="minorHAnsi" w:cstheme="minorHAnsi"/>
          <w:sz w:val="20"/>
        </w:rPr>
        <w:t>Some delegates might need to complete roster information, resulting in more than 250 respondents surveyed. We use</w:t>
      </w:r>
      <w:r w:rsidR="000B538C">
        <w:rPr>
          <w:rFonts w:asciiTheme="minorHAnsi" w:hAnsiTheme="minorHAnsi" w:cstheme="minorHAnsi"/>
          <w:sz w:val="20"/>
        </w:rPr>
        <w:t>d</w:t>
      </w:r>
      <w:r w:rsidRPr="00E14795">
        <w:rPr>
          <w:rFonts w:asciiTheme="minorHAnsi" w:hAnsiTheme="minorHAnsi" w:cstheme="minorHAnsi"/>
          <w:sz w:val="20"/>
        </w:rPr>
        <w:t xml:space="preserve"> a sample size of 250 for analytic planning because data will be analyzed at the </w:t>
      </w:r>
      <w:r w:rsidR="00BD65EB">
        <w:rPr>
          <w:rFonts w:asciiTheme="minorHAnsi" w:hAnsiTheme="minorHAnsi" w:cstheme="minorHAnsi"/>
          <w:sz w:val="20"/>
        </w:rPr>
        <w:t xml:space="preserve">EHS </w:t>
      </w:r>
      <w:r w:rsidRPr="00E14795">
        <w:rPr>
          <w:rFonts w:asciiTheme="minorHAnsi" w:hAnsiTheme="minorHAnsi" w:cstheme="minorHAnsi"/>
          <w:sz w:val="20"/>
        </w:rPr>
        <w:t>grantee level.</w:t>
      </w:r>
    </w:p>
    <w:p w:rsidRPr="007E04EE" w:rsidR="007E04EE" w:rsidP="0085039E" w:rsidRDefault="00E14795" w14:paraId="0AD0C67B" w14:textId="219CB508">
      <w:pPr>
        <w:pStyle w:val="TableFootnote"/>
        <w:tabs>
          <w:tab w:val="clear" w:pos="1080"/>
          <w:tab w:val="left" w:pos="630"/>
        </w:tabs>
        <w:spacing w:after="240"/>
        <w:contextualSpacing w:val="0"/>
        <w:rPr>
          <w:rFonts w:cstheme="minorHAnsi"/>
          <w:color w:val="000000"/>
          <w:highlight w:val="yellow"/>
        </w:rPr>
      </w:pPr>
      <w:r w:rsidRPr="00E14795">
        <w:rPr>
          <w:rFonts w:asciiTheme="minorHAnsi" w:hAnsiTheme="minorHAnsi" w:cstheme="minorHAnsi"/>
          <w:sz w:val="20"/>
          <w:vertAlign w:val="superscript"/>
        </w:rPr>
        <w:t>c</w:t>
      </w:r>
      <w:r w:rsidR="00B67C1C">
        <w:rPr>
          <w:rFonts w:asciiTheme="minorHAnsi" w:hAnsiTheme="minorHAnsi" w:cstheme="minorHAnsi"/>
          <w:sz w:val="20"/>
          <w:vertAlign w:val="superscript"/>
        </w:rPr>
        <w:t xml:space="preserve"> </w:t>
      </w:r>
      <w:r w:rsidRPr="00E14795">
        <w:rPr>
          <w:rFonts w:asciiTheme="minorHAnsi" w:hAnsiTheme="minorHAnsi" w:cstheme="minorHAnsi"/>
          <w:sz w:val="20"/>
        </w:rPr>
        <w:t xml:space="preserve">We estimate that about 70 percent of partnerships will be sustained, and 30 percent will be dissolved. To arrive at this estimate, we linked the sampled </w:t>
      </w:r>
      <w:r w:rsidR="00794FC9">
        <w:rPr>
          <w:rFonts w:asciiTheme="minorHAnsi" w:hAnsiTheme="minorHAnsi" w:cstheme="minorHAnsi"/>
          <w:sz w:val="20"/>
        </w:rPr>
        <w:t>providers</w:t>
      </w:r>
      <w:r w:rsidRPr="00E14795" w:rsidR="00794FC9">
        <w:rPr>
          <w:rFonts w:asciiTheme="minorHAnsi" w:hAnsiTheme="minorHAnsi" w:cstheme="minorHAnsi"/>
          <w:sz w:val="20"/>
        </w:rPr>
        <w:t xml:space="preserve"> </w:t>
      </w:r>
      <w:r w:rsidRPr="00E14795">
        <w:rPr>
          <w:rFonts w:asciiTheme="minorHAnsi" w:hAnsiTheme="minorHAnsi" w:cstheme="minorHAnsi"/>
          <w:sz w:val="20"/>
        </w:rPr>
        <w:t xml:space="preserve">from the 2016 survey with Head Start Enterprise System (HSES) data on partnerships as of February 1, 2019, using the grant number and the provider’s name. Sustained partnerships are those </w:t>
      </w:r>
      <w:r w:rsidR="008C672C">
        <w:rPr>
          <w:rFonts w:asciiTheme="minorHAnsi" w:hAnsiTheme="minorHAnsi" w:cstheme="minorHAnsi"/>
          <w:sz w:val="20"/>
        </w:rPr>
        <w:t>in which</w:t>
      </w:r>
      <w:r w:rsidRPr="00E14795" w:rsidR="008C672C">
        <w:rPr>
          <w:rFonts w:asciiTheme="minorHAnsi" w:hAnsiTheme="minorHAnsi" w:cstheme="minorHAnsi"/>
          <w:sz w:val="20"/>
        </w:rPr>
        <w:t xml:space="preserve"> </w:t>
      </w:r>
      <w:r w:rsidRPr="00E14795">
        <w:rPr>
          <w:rFonts w:asciiTheme="minorHAnsi" w:hAnsiTheme="minorHAnsi" w:cstheme="minorHAnsi"/>
          <w:sz w:val="20"/>
        </w:rPr>
        <w:t xml:space="preserve">the same child care provider from 2016 </w:t>
      </w:r>
      <w:r w:rsidR="002E707E">
        <w:rPr>
          <w:rFonts w:asciiTheme="minorHAnsi" w:hAnsiTheme="minorHAnsi" w:cstheme="minorHAnsi"/>
          <w:sz w:val="20"/>
        </w:rPr>
        <w:t>also appeared</w:t>
      </w:r>
      <w:r w:rsidRPr="00E14795">
        <w:rPr>
          <w:rFonts w:asciiTheme="minorHAnsi" w:hAnsiTheme="minorHAnsi" w:cstheme="minorHAnsi"/>
          <w:sz w:val="20"/>
        </w:rPr>
        <w:t xml:space="preserve"> in the HSES data. Dissolved partnerships are those </w:t>
      </w:r>
      <w:r w:rsidR="002E707E">
        <w:rPr>
          <w:rFonts w:asciiTheme="minorHAnsi" w:hAnsiTheme="minorHAnsi" w:cstheme="minorHAnsi"/>
          <w:sz w:val="20"/>
        </w:rPr>
        <w:t>in which</w:t>
      </w:r>
      <w:r w:rsidRPr="00E14795" w:rsidR="002E707E">
        <w:rPr>
          <w:rFonts w:asciiTheme="minorHAnsi" w:hAnsiTheme="minorHAnsi" w:cstheme="minorHAnsi"/>
          <w:sz w:val="20"/>
        </w:rPr>
        <w:t xml:space="preserve"> </w:t>
      </w:r>
      <w:r w:rsidRPr="00E14795">
        <w:rPr>
          <w:rFonts w:asciiTheme="minorHAnsi" w:hAnsiTheme="minorHAnsi" w:cstheme="minorHAnsi"/>
          <w:sz w:val="20"/>
        </w:rPr>
        <w:t xml:space="preserve">the same child care provider </w:t>
      </w:r>
      <w:r w:rsidR="002E707E">
        <w:rPr>
          <w:rFonts w:asciiTheme="minorHAnsi" w:hAnsiTheme="minorHAnsi" w:cstheme="minorHAnsi"/>
          <w:sz w:val="20"/>
        </w:rPr>
        <w:t>did not appear</w:t>
      </w:r>
      <w:r w:rsidRPr="00E14795">
        <w:rPr>
          <w:rFonts w:asciiTheme="minorHAnsi" w:hAnsiTheme="minorHAnsi" w:cstheme="minorHAnsi"/>
          <w:sz w:val="20"/>
        </w:rPr>
        <w:t xml:space="preserve"> in the HSES data. We accounted for slight variations in the names to ensure </w:t>
      </w:r>
      <w:r w:rsidR="002E707E">
        <w:rPr>
          <w:rFonts w:asciiTheme="minorHAnsi" w:hAnsiTheme="minorHAnsi" w:cstheme="minorHAnsi"/>
          <w:sz w:val="20"/>
        </w:rPr>
        <w:t xml:space="preserve">that </w:t>
      </w:r>
      <w:r w:rsidRPr="00E14795">
        <w:rPr>
          <w:rFonts w:asciiTheme="minorHAnsi" w:hAnsiTheme="minorHAnsi" w:cstheme="minorHAnsi"/>
          <w:sz w:val="20"/>
        </w:rPr>
        <w:t>we identified as many matches as possible.</w:t>
      </w:r>
    </w:p>
    <w:p w:rsidRPr="00EF607D" w:rsidR="004366A1" w:rsidP="0085039E" w:rsidRDefault="004366A1" w14:paraId="4CAB9991" w14:textId="006AEAF9">
      <w:pPr>
        <w:pStyle w:val="Paragraph"/>
        <w:rPr>
          <w:bCs/>
          <w:sz w:val="22"/>
          <w:szCs w:val="22"/>
        </w:rPr>
      </w:pPr>
      <w:r w:rsidRPr="00EF607D">
        <w:rPr>
          <w:b/>
          <w:bCs/>
          <w:sz w:val="22"/>
          <w:szCs w:val="22"/>
        </w:rPr>
        <w:t xml:space="preserve">Response rate monitoring. </w:t>
      </w:r>
      <w:r w:rsidRPr="00EF607D">
        <w:rPr>
          <w:bCs/>
          <w:sz w:val="22"/>
          <w:szCs w:val="22"/>
        </w:rPr>
        <w:t xml:space="preserve">We will use reports generated from </w:t>
      </w:r>
      <w:r w:rsidR="001C6ED9">
        <w:rPr>
          <w:bCs/>
          <w:sz w:val="22"/>
          <w:szCs w:val="22"/>
        </w:rPr>
        <w:t>our database</w:t>
      </w:r>
      <w:r w:rsidRPr="00EF607D">
        <w:rPr>
          <w:bCs/>
          <w:sz w:val="22"/>
          <w:szCs w:val="22"/>
        </w:rPr>
        <w:t xml:space="preserve"> and survey instruments to actively monitor response rates for each instrument. </w:t>
      </w:r>
      <w:bookmarkStart w:name="_Hlk52982051" w:id="2"/>
      <w:r w:rsidRPr="00EF607D">
        <w:rPr>
          <w:bCs/>
          <w:sz w:val="22"/>
          <w:szCs w:val="22"/>
        </w:rPr>
        <w:t>Using these reports, we will tailor reminder email and telephone efforts, working to identify challenges and solutions to obtaining expected response rates.</w:t>
      </w:r>
      <w:bookmarkEnd w:id="2"/>
    </w:p>
    <w:p w:rsidRPr="00EF607D" w:rsidR="004366A1" w:rsidP="0085039E" w:rsidRDefault="004366A1" w14:paraId="6E2F2F6F" w14:textId="1549DC00">
      <w:pPr>
        <w:pStyle w:val="Paragraph"/>
        <w:rPr>
          <w:bCs/>
          <w:sz w:val="22"/>
          <w:szCs w:val="22"/>
        </w:rPr>
      </w:pPr>
      <w:r w:rsidRPr="0020528D">
        <w:rPr>
          <w:b/>
          <w:bCs/>
          <w:sz w:val="22"/>
          <w:szCs w:val="22"/>
        </w:rPr>
        <w:t xml:space="preserve">Addressing lower-than-expected response rates. </w:t>
      </w:r>
      <w:r w:rsidRPr="0020528D">
        <w:rPr>
          <w:bCs/>
          <w:sz w:val="22"/>
          <w:szCs w:val="22"/>
        </w:rPr>
        <w:t>We plan to be flexible with data collection modes</w:t>
      </w:r>
      <w:r w:rsidRPr="0020528D" w:rsidR="00CD7E7A">
        <w:rPr>
          <w:bCs/>
          <w:sz w:val="22"/>
          <w:szCs w:val="22"/>
        </w:rPr>
        <w:t>,</w:t>
      </w:r>
      <w:r w:rsidRPr="0020528D">
        <w:rPr>
          <w:bCs/>
          <w:sz w:val="22"/>
          <w:szCs w:val="22"/>
        </w:rPr>
        <w:t xml:space="preserve"> when possible. For example, although we hope that </w:t>
      </w:r>
      <w:r w:rsidRPr="0020528D" w:rsidR="00625A53">
        <w:rPr>
          <w:bCs/>
          <w:sz w:val="22"/>
          <w:szCs w:val="22"/>
        </w:rPr>
        <w:t xml:space="preserve">respondents </w:t>
      </w:r>
      <w:r w:rsidRPr="0020528D" w:rsidR="000B0FAE">
        <w:rPr>
          <w:bCs/>
          <w:sz w:val="22"/>
          <w:szCs w:val="22"/>
        </w:rPr>
        <w:t>will complete</w:t>
      </w:r>
      <w:r w:rsidRPr="0020528D">
        <w:rPr>
          <w:bCs/>
          <w:sz w:val="22"/>
          <w:szCs w:val="22"/>
        </w:rPr>
        <w:t xml:space="preserve"> the web survey</w:t>
      </w:r>
      <w:r w:rsidR="00F61D64">
        <w:rPr>
          <w:bCs/>
          <w:sz w:val="22"/>
          <w:szCs w:val="22"/>
        </w:rPr>
        <w:t xml:space="preserve"> </w:t>
      </w:r>
      <w:r w:rsidR="00F54A64">
        <w:rPr>
          <w:bCs/>
          <w:sz w:val="22"/>
          <w:szCs w:val="22"/>
        </w:rPr>
        <w:t>(</w:t>
      </w:r>
      <w:r w:rsidR="00F61D64">
        <w:rPr>
          <w:bCs/>
          <w:sz w:val="22"/>
          <w:szCs w:val="22"/>
        </w:rPr>
        <w:t>and will try to facilitate this by providing a QR code in the</w:t>
      </w:r>
      <w:r w:rsidR="00F54A64">
        <w:rPr>
          <w:bCs/>
          <w:sz w:val="22"/>
          <w:szCs w:val="22"/>
        </w:rPr>
        <w:t xml:space="preserve"> mailed</w:t>
      </w:r>
      <w:r w:rsidR="00F61D64">
        <w:rPr>
          <w:bCs/>
          <w:sz w:val="22"/>
          <w:szCs w:val="22"/>
        </w:rPr>
        <w:t xml:space="preserve"> invitations</w:t>
      </w:r>
      <w:r w:rsidR="00F54A64">
        <w:rPr>
          <w:bCs/>
          <w:sz w:val="22"/>
          <w:szCs w:val="22"/>
        </w:rPr>
        <w:t>)</w:t>
      </w:r>
      <w:r w:rsidRPr="0020528D">
        <w:rPr>
          <w:bCs/>
          <w:sz w:val="22"/>
          <w:szCs w:val="22"/>
        </w:rPr>
        <w:t>, we will increase our phone dial-outs as data collection progresses. We can also leverage the relationship between EHS programs and sustained partner</w:t>
      </w:r>
      <w:r w:rsidRPr="0020528D" w:rsidR="00CA6BFA">
        <w:rPr>
          <w:bCs/>
          <w:sz w:val="22"/>
          <w:szCs w:val="22"/>
        </w:rPr>
        <w:t>ship providers</w:t>
      </w:r>
      <w:r w:rsidRPr="0020528D">
        <w:rPr>
          <w:bCs/>
          <w:sz w:val="22"/>
          <w:szCs w:val="22"/>
        </w:rPr>
        <w:t xml:space="preserve"> by asking EHS program directors to follow up with sustained partners</w:t>
      </w:r>
      <w:r w:rsidRPr="0020528D" w:rsidR="00CA6BFA">
        <w:rPr>
          <w:bCs/>
          <w:sz w:val="22"/>
          <w:szCs w:val="22"/>
        </w:rPr>
        <w:t>hip providers</w:t>
      </w:r>
      <w:r w:rsidRPr="0020528D">
        <w:rPr>
          <w:bCs/>
          <w:sz w:val="22"/>
          <w:szCs w:val="22"/>
        </w:rPr>
        <w:t xml:space="preserve"> who have not responded to the survey. Finally, we recognize that dissolved partnership</w:t>
      </w:r>
      <w:r w:rsidRPr="0020528D" w:rsidR="000138F9">
        <w:rPr>
          <w:bCs/>
          <w:sz w:val="22"/>
          <w:szCs w:val="22"/>
        </w:rPr>
        <w:t xml:space="preserve"> providers</w:t>
      </w:r>
      <w:r w:rsidRPr="0020528D">
        <w:rPr>
          <w:bCs/>
          <w:sz w:val="22"/>
          <w:szCs w:val="22"/>
        </w:rPr>
        <w:t xml:space="preserve"> will probably be more difficult to reach. We have planned a locating effort for these providers, including searches of databases such as Accurint and related follow-up calls. These efforts will be conducted by experienced survey operations center staff and monitored by survey operations center monitors.</w:t>
      </w:r>
    </w:p>
    <w:p w:rsidRPr="00EF607D" w:rsidR="007C2C10" w:rsidP="00B75663" w:rsidRDefault="00F01767" w14:paraId="041A7BBD" w14:textId="41935DDB">
      <w:pPr>
        <w:autoSpaceDE w:val="0"/>
        <w:autoSpaceDN w:val="0"/>
        <w:adjustRightInd w:val="0"/>
        <w:spacing w:after="240" w:line="240" w:lineRule="atLeast"/>
        <w:rPr>
          <w:rFonts w:eastAsia="Times New Roman" w:cstheme="minorHAnsi"/>
          <w:color w:val="000000"/>
        </w:rPr>
      </w:pPr>
      <w:r>
        <w:rPr>
          <w:rFonts w:eastAsia="Times New Roman" w:cstheme="minorHAnsi"/>
          <w:b/>
          <w:bCs/>
          <w:color w:val="000000"/>
        </w:rPr>
        <w:t>Semi-structured i</w:t>
      </w:r>
      <w:r w:rsidRPr="00EF607D" w:rsidR="004366A1">
        <w:rPr>
          <w:rFonts w:eastAsia="Times New Roman" w:cstheme="minorHAnsi"/>
          <w:b/>
          <w:bCs/>
          <w:color w:val="000000"/>
        </w:rPr>
        <w:t xml:space="preserve">nterviews. </w:t>
      </w:r>
      <w:r w:rsidRPr="00EF607D" w:rsidR="007C2C10">
        <w:rPr>
          <w:rFonts w:eastAsia="Times New Roman" w:cstheme="minorHAnsi"/>
          <w:color w:val="000000"/>
        </w:rPr>
        <w:t>The interviews are not designed to produce statistically generalizable findings. Response rates will not be calculated or reported.</w:t>
      </w:r>
    </w:p>
    <w:p w:rsidRPr="00EF607D" w:rsidR="00A42C71" w:rsidP="0085039E" w:rsidRDefault="00A42C71" w14:paraId="7D020F8F" w14:textId="38B0015C">
      <w:pPr>
        <w:autoSpaceDE w:val="0"/>
        <w:autoSpaceDN w:val="0"/>
        <w:adjustRightInd w:val="0"/>
        <w:spacing w:after="60" w:line="240" w:lineRule="atLeast"/>
        <w:rPr>
          <w:rFonts w:eastAsia="Times New Roman" w:cstheme="minorHAnsi"/>
          <w:i/>
          <w:color w:val="000000"/>
        </w:rPr>
      </w:pPr>
      <w:proofErr w:type="spellStart"/>
      <w:r w:rsidRPr="00EF607D">
        <w:rPr>
          <w:rFonts w:eastAsia="Times New Roman" w:cstheme="minorHAnsi"/>
          <w:i/>
          <w:color w:val="000000"/>
        </w:rPr>
        <w:t>NonResponse</w:t>
      </w:r>
      <w:proofErr w:type="spellEnd"/>
    </w:p>
    <w:p w:rsidR="009460AF" w:rsidP="0085039E" w:rsidRDefault="00BF3557" w14:paraId="74B6F191" w14:textId="26DB4F41">
      <w:pPr>
        <w:spacing w:after="240" w:line="240" w:lineRule="auto"/>
      </w:pPr>
      <w:r w:rsidRPr="00EF607D">
        <w:t xml:space="preserve">Throughout our analysis of the </w:t>
      </w:r>
      <w:r w:rsidRPr="00EF607D" w:rsidR="007E04EE">
        <w:t xml:space="preserve">web-based </w:t>
      </w:r>
      <w:r w:rsidRPr="00EF607D">
        <w:t xml:space="preserve">survey, we will use weights to account for survey nonresponse.  As in the NDS, we will weight survey responses to be representative of the </w:t>
      </w:r>
      <w:r w:rsidRPr="00087A45" w:rsidR="00F821B1">
        <w:rPr>
          <w:rFonts w:cstheme="minorHAnsi"/>
          <w:color w:val="000000"/>
        </w:rPr>
        <w:t xml:space="preserve">programs that received 2015 </w:t>
      </w:r>
      <w:r w:rsidR="00137D10">
        <w:rPr>
          <w:rFonts w:eastAsia="Times New Roman" w:cstheme="minorHAnsi"/>
          <w:color w:val="000000"/>
        </w:rPr>
        <w:t>EHS</w:t>
      </w:r>
      <w:r w:rsidRPr="00343B6C" w:rsidR="00137D10">
        <w:rPr>
          <w:rFonts w:eastAsia="Times New Roman" w:cstheme="minorHAnsi"/>
          <w:color w:val="000000"/>
        </w:rPr>
        <w:t xml:space="preserve"> </w:t>
      </w:r>
      <w:r w:rsidRPr="00087A45" w:rsidR="00F821B1">
        <w:rPr>
          <w:rFonts w:cstheme="minorHAnsi"/>
          <w:color w:val="000000"/>
        </w:rPr>
        <w:t xml:space="preserve">Expansion and </w:t>
      </w:r>
      <w:r w:rsidR="00794FC9">
        <w:rPr>
          <w:rFonts w:cstheme="minorHAnsi"/>
          <w:color w:val="000000"/>
        </w:rPr>
        <w:t>EHS-CCP</w:t>
      </w:r>
      <w:r w:rsidRPr="00087A45" w:rsidR="00F821B1">
        <w:rPr>
          <w:rFonts w:cstheme="minorHAnsi"/>
          <w:color w:val="000000"/>
        </w:rPr>
        <w:t xml:space="preserve"> grants</w:t>
      </w:r>
      <w:r w:rsidRPr="00EF607D">
        <w:t xml:space="preserve">. When </w:t>
      </w:r>
      <w:r w:rsidR="007114B1">
        <w:t xml:space="preserve">respondents </w:t>
      </w:r>
      <w:r w:rsidRPr="00EF607D">
        <w:t>report on all current partners, EHS program director survey data will represent the current partnerships of all 2015 EHS-CC</w:t>
      </w:r>
      <w:r w:rsidR="001A3FB5">
        <w:t>P</w:t>
      </w:r>
      <w:r w:rsidRPr="00EF607D">
        <w:t xml:space="preserve"> grant recipients. </w:t>
      </w:r>
    </w:p>
    <w:p w:rsidR="000B7DA4" w:rsidP="0085039E" w:rsidRDefault="000B7DA4" w14:paraId="50B0FB06" w14:textId="00AE7F69">
      <w:pPr>
        <w:spacing w:after="240" w:line="240" w:lineRule="auto"/>
      </w:pPr>
      <w:r w:rsidRPr="009C712E">
        <w:rPr>
          <w:rFonts w:cstheme="minorHAnsi"/>
        </w:rPr>
        <w:t>When marginal response rates are below 80 percent</w:t>
      </w:r>
      <w:r w:rsidRPr="009C712E" w:rsidR="009C712E">
        <w:rPr>
          <w:rFonts w:cstheme="minorHAnsi"/>
        </w:rPr>
        <w:t>,</w:t>
      </w:r>
      <w:r w:rsidRPr="009C712E">
        <w:rPr>
          <w:rFonts w:cstheme="minorHAnsi"/>
        </w:rPr>
        <w:t xml:space="preserve"> we </w:t>
      </w:r>
      <w:r w:rsidRPr="009C712E" w:rsidR="009C712E">
        <w:rPr>
          <w:rFonts w:cstheme="minorHAnsi"/>
        </w:rPr>
        <w:t>will</w:t>
      </w:r>
      <w:r w:rsidRPr="009C712E">
        <w:rPr>
          <w:rFonts w:cstheme="minorHAnsi"/>
        </w:rPr>
        <w:t xml:space="preserve"> conduct a nonresponse bias analysis to compare distributions of </w:t>
      </w:r>
      <w:r w:rsidRPr="009C712E" w:rsidR="002C4AA7">
        <w:rPr>
          <w:rFonts w:cstheme="minorHAnsi"/>
        </w:rPr>
        <w:t>respondent</w:t>
      </w:r>
      <w:r w:rsidR="002C4AA7">
        <w:rPr>
          <w:rFonts w:cstheme="minorHAnsi"/>
        </w:rPr>
        <w:t xml:space="preserve"> </w:t>
      </w:r>
      <w:r w:rsidRPr="009C712E">
        <w:rPr>
          <w:rFonts w:cstheme="minorHAnsi"/>
        </w:rPr>
        <w:t>characteristics to those of nonrespondents using any information available for both types of sample members</w:t>
      </w:r>
      <w:r w:rsidRPr="00D81877" w:rsidR="009C712E">
        <w:rPr>
          <w:rFonts w:cstheme="minorHAnsi"/>
        </w:rPr>
        <w:t xml:space="preserve">. We will </w:t>
      </w:r>
      <w:r w:rsidRPr="009C712E">
        <w:rPr>
          <w:rFonts w:cstheme="minorHAnsi"/>
        </w:rPr>
        <w:t xml:space="preserve">then compare the distributions for respondents when weighted using the nonresponse-adjusted weights to see if </w:t>
      </w:r>
      <w:r w:rsidRPr="00D81877" w:rsidR="009C712E">
        <w:rPr>
          <w:rFonts w:cstheme="minorHAnsi"/>
        </w:rPr>
        <w:t xml:space="preserve">the weights mitigate </w:t>
      </w:r>
      <w:r w:rsidRPr="009C712E">
        <w:rPr>
          <w:rFonts w:cstheme="minorHAnsi"/>
        </w:rPr>
        <w:t>any observed differences</w:t>
      </w:r>
      <w:r w:rsidRPr="009C712E" w:rsidR="009C712E">
        <w:rPr>
          <w:rFonts w:cstheme="minorHAnsi"/>
        </w:rPr>
        <w:t>.</w:t>
      </w:r>
      <w:r w:rsidRPr="004F4D99">
        <w:rPr>
          <w:rFonts w:cstheme="minorHAnsi"/>
        </w:rPr>
        <w:t xml:space="preserve"> </w:t>
      </w:r>
    </w:p>
    <w:p w:rsidRPr="00EF607D" w:rsidR="00BF3557" w:rsidP="0085039E" w:rsidRDefault="00F821B1" w14:paraId="4DF507E1" w14:textId="16F8EB30">
      <w:pPr>
        <w:pStyle w:val="Paragraph"/>
        <w:rPr>
          <w:rFonts w:cstheme="minorHAnsi"/>
          <w:b/>
          <w:bCs/>
          <w:color w:val="000000"/>
          <w:sz w:val="22"/>
          <w:szCs w:val="22"/>
        </w:rPr>
      </w:pPr>
      <w:r w:rsidRPr="00D81877">
        <w:rPr>
          <w:rFonts w:cstheme="minorHAnsi"/>
          <w:color w:val="000000"/>
          <w:sz w:val="22"/>
          <w:szCs w:val="22"/>
        </w:rPr>
        <w:t xml:space="preserve">We hope to avoid some item-level missing data by </w:t>
      </w:r>
      <w:r w:rsidR="000F76D4">
        <w:rPr>
          <w:rFonts w:cstheme="minorHAnsi"/>
          <w:color w:val="000000"/>
          <w:sz w:val="22"/>
          <w:szCs w:val="22"/>
        </w:rPr>
        <w:t>providing</w:t>
      </w:r>
      <w:r w:rsidRPr="00D81877" w:rsidR="000F76D4">
        <w:rPr>
          <w:rFonts w:cstheme="minorHAnsi"/>
          <w:color w:val="000000"/>
          <w:sz w:val="22"/>
          <w:szCs w:val="22"/>
        </w:rPr>
        <w:t xml:space="preserve"> </w:t>
      </w:r>
      <w:r w:rsidRPr="00D81877">
        <w:rPr>
          <w:rFonts w:cstheme="minorHAnsi"/>
          <w:color w:val="000000"/>
          <w:sz w:val="22"/>
          <w:szCs w:val="22"/>
        </w:rPr>
        <w:t>a “</w:t>
      </w:r>
      <w:r w:rsidR="0070588A">
        <w:rPr>
          <w:rFonts w:cstheme="minorHAnsi"/>
          <w:color w:val="000000"/>
          <w:sz w:val="22"/>
          <w:szCs w:val="22"/>
        </w:rPr>
        <w:t>d</w:t>
      </w:r>
      <w:r w:rsidRPr="00D81877">
        <w:rPr>
          <w:rFonts w:cstheme="minorHAnsi"/>
          <w:color w:val="000000"/>
          <w:sz w:val="22"/>
          <w:szCs w:val="22"/>
        </w:rPr>
        <w:t xml:space="preserve">on’t know” option, particularly for items </w:t>
      </w:r>
      <w:r w:rsidR="0070588A">
        <w:rPr>
          <w:rFonts w:cstheme="minorHAnsi"/>
          <w:color w:val="000000"/>
          <w:sz w:val="22"/>
          <w:szCs w:val="22"/>
        </w:rPr>
        <w:t xml:space="preserve">that </w:t>
      </w:r>
      <w:r w:rsidRPr="00D81877">
        <w:rPr>
          <w:rFonts w:cstheme="minorHAnsi"/>
          <w:color w:val="000000"/>
          <w:sz w:val="22"/>
          <w:szCs w:val="22"/>
        </w:rPr>
        <w:t xml:space="preserve">respondents </w:t>
      </w:r>
      <w:r w:rsidR="000F76D4">
        <w:rPr>
          <w:rFonts w:cstheme="minorHAnsi"/>
          <w:color w:val="000000"/>
          <w:sz w:val="22"/>
          <w:szCs w:val="22"/>
        </w:rPr>
        <w:t>might not</w:t>
      </w:r>
      <w:r w:rsidRPr="00D81877">
        <w:rPr>
          <w:rFonts w:cstheme="minorHAnsi"/>
          <w:color w:val="000000"/>
          <w:sz w:val="22"/>
          <w:szCs w:val="22"/>
        </w:rPr>
        <w:t xml:space="preserve"> know or remember. We will consider imputation where appropriate.</w:t>
      </w:r>
      <w:r w:rsidR="000F76D4">
        <w:rPr>
          <w:rFonts w:cstheme="minorHAnsi"/>
          <w:color w:val="000000"/>
          <w:sz w:val="22"/>
          <w:szCs w:val="22"/>
        </w:rPr>
        <w:t xml:space="preserve"> Given that</w:t>
      </w:r>
      <w:r w:rsidRPr="00EF607D" w:rsidR="000F76D4">
        <w:rPr>
          <w:rFonts w:cstheme="minorHAnsi"/>
          <w:color w:val="000000"/>
          <w:sz w:val="22"/>
          <w:szCs w:val="22"/>
        </w:rPr>
        <w:t xml:space="preserve"> </w:t>
      </w:r>
      <w:r w:rsidRPr="00EF607D" w:rsidR="00BF3557">
        <w:rPr>
          <w:rFonts w:cstheme="minorHAnsi"/>
          <w:color w:val="000000"/>
          <w:sz w:val="22"/>
          <w:szCs w:val="22"/>
        </w:rPr>
        <w:t xml:space="preserve">participants in the </w:t>
      </w:r>
      <w:r w:rsidR="009920EF">
        <w:rPr>
          <w:rFonts w:cstheme="minorHAnsi"/>
          <w:color w:val="000000"/>
          <w:sz w:val="22"/>
          <w:szCs w:val="22"/>
        </w:rPr>
        <w:t xml:space="preserve">semi-structured </w:t>
      </w:r>
      <w:r w:rsidRPr="00EF607D" w:rsidR="00BF3557">
        <w:rPr>
          <w:rFonts w:cstheme="minorHAnsi"/>
          <w:color w:val="000000"/>
          <w:sz w:val="22"/>
          <w:szCs w:val="22"/>
        </w:rPr>
        <w:t xml:space="preserve">interviews will not be randomly sampled and </w:t>
      </w:r>
      <w:r w:rsidR="000F76D4">
        <w:rPr>
          <w:rFonts w:cstheme="minorHAnsi"/>
          <w:color w:val="000000"/>
          <w:sz w:val="22"/>
          <w:szCs w:val="22"/>
        </w:rPr>
        <w:t xml:space="preserve">the </w:t>
      </w:r>
      <w:r w:rsidRPr="00EF607D" w:rsidR="00BF3557">
        <w:rPr>
          <w:rFonts w:cstheme="minorHAnsi"/>
          <w:color w:val="000000"/>
          <w:sz w:val="22"/>
          <w:szCs w:val="22"/>
        </w:rPr>
        <w:t xml:space="preserve">findings are not intended to be representative, </w:t>
      </w:r>
      <w:r w:rsidR="000F76D4">
        <w:rPr>
          <w:rFonts w:cstheme="minorHAnsi"/>
          <w:color w:val="000000"/>
          <w:sz w:val="22"/>
          <w:szCs w:val="22"/>
        </w:rPr>
        <w:t xml:space="preserve">we will not calculate </w:t>
      </w:r>
      <w:r w:rsidRPr="00EF607D" w:rsidR="00BF3557">
        <w:rPr>
          <w:rFonts w:cstheme="minorHAnsi"/>
          <w:color w:val="000000"/>
          <w:sz w:val="22"/>
          <w:szCs w:val="22"/>
        </w:rPr>
        <w:t xml:space="preserve">nonresponse bias. </w:t>
      </w:r>
      <w:r w:rsidR="00097EB9">
        <w:rPr>
          <w:rFonts w:cstheme="minorHAnsi"/>
          <w:color w:val="000000"/>
          <w:sz w:val="22"/>
          <w:szCs w:val="22"/>
        </w:rPr>
        <w:t xml:space="preserve">Provider characteristics </w:t>
      </w:r>
      <w:r w:rsidRPr="00EF607D" w:rsidR="00BF3557">
        <w:rPr>
          <w:rFonts w:cstheme="minorHAnsi"/>
          <w:color w:val="000000"/>
          <w:sz w:val="22"/>
          <w:szCs w:val="22"/>
        </w:rPr>
        <w:t>will be documented and reported in written materials associated with the data collection.</w:t>
      </w:r>
    </w:p>
    <w:p w:rsidRPr="00444D5F" w:rsidR="00254DA7" w:rsidP="00444D5F" w:rsidRDefault="00A42C71" w14:paraId="171A8BD4" w14:textId="55728368">
      <w:pPr>
        <w:keepNext/>
        <w:keepLines/>
        <w:tabs>
          <w:tab w:val="left" w:pos="450"/>
        </w:tabs>
        <w:autoSpaceDE w:val="0"/>
        <w:autoSpaceDN w:val="0"/>
        <w:adjustRightInd w:val="0"/>
        <w:spacing w:after="120" w:line="240" w:lineRule="atLeast"/>
        <w:rPr>
          <w:rFonts w:eastAsia="Times New Roman" w:cstheme="minorHAnsi"/>
          <w:b/>
          <w:bCs/>
          <w:color w:val="000000"/>
        </w:rPr>
      </w:pPr>
      <w:r w:rsidRPr="00444D5F">
        <w:rPr>
          <w:rFonts w:eastAsia="Times New Roman" w:cstheme="minorHAnsi"/>
          <w:b/>
          <w:bCs/>
          <w:color w:val="000000"/>
        </w:rPr>
        <w:lastRenderedPageBreak/>
        <w:t>B6.</w:t>
      </w:r>
      <w:r w:rsidR="00444D5F">
        <w:rPr>
          <w:rFonts w:eastAsia="Times New Roman" w:cstheme="minorHAnsi"/>
          <w:b/>
          <w:bCs/>
          <w:color w:val="000000"/>
        </w:rPr>
        <w:tab/>
      </w:r>
      <w:r w:rsidRPr="00444D5F">
        <w:rPr>
          <w:rFonts w:eastAsia="Times New Roman" w:cstheme="minorHAnsi"/>
          <w:b/>
          <w:bCs/>
          <w:color w:val="000000"/>
        </w:rPr>
        <w:t xml:space="preserve">Production of Estimates and Projections </w:t>
      </w:r>
    </w:p>
    <w:p w:rsidR="0073066E" w:rsidP="0085039E" w:rsidRDefault="00A53F10" w14:paraId="36EE40B2" w14:textId="0C7893EC">
      <w:pPr>
        <w:spacing w:after="240" w:line="240" w:lineRule="auto"/>
        <w:rPr>
          <w:rFonts w:eastAsia="Times New Roman" w:cstheme="minorHAnsi"/>
        </w:rPr>
      </w:pPr>
      <w:r>
        <w:rPr>
          <w:rFonts w:eastAsia="Times New Roman" w:cstheme="minorHAnsi"/>
        </w:rPr>
        <w:t>Survey e</w:t>
      </w:r>
      <w:r w:rsidRPr="00F821B1">
        <w:rPr>
          <w:rFonts w:eastAsia="Times New Roman" w:cstheme="minorHAnsi"/>
        </w:rPr>
        <w:t xml:space="preserve">stimates </w:t>
      </w:r>
      <w:r w:rsidRPr="00F821B1" w:rsidR="00F821B1">
        <w:rPr>
          <w:rFonts w:eastAsia="Times New Roman" w:cstheme="minorHAnsi"/>
        </w:rPr>
        <w:t>produced by this study will be</w:t>
      </w:r>
      <w:r w:rsidR="00F821B1">
        <w:rPr>
          <w:rFonts w:eastAsia="Times New Roman" w:cstheme="minorHAnsi"/>
        </w:rPr>
        <w:t xml:space="preserve"> for official external release.</w:t>
      </w:r>
      <w:r w:rsidR="00DF62FD">
        <w:rPr>
          <w:rFonts w:eastAsia="Times New Roman" w:cstheme="minorHAnsi"/>
        </w:rPr>
        <w:t xml:space="preserve"> </w:t>
      </w:r>
    </w:p>
    <w:p w:rsidR="00DF62FD" w:rsidP="0085039E" w:rsidRDefault="00DF62FD" w14:paraId="686FED20" w14:textId="5F9054B7">
      <w:pPr>
        <w:pStyle w:val="NormalSS"/>
        <w:ind w:firstLine="0"/>
        <w:rPr>
          <w:rFonts w:cstheme="minorHAnsi"/>
        </w:rPr>
      </w:pPr>
      <w:r w:rsidRPr="004F4D99">
        <w:rPr>
          <w:rFonts w:asciiTheme="minorHAnsi" w:hAnsiTheme="minorHAnsi" w:cstheme="minorHAnsi"/>
          <w:sz w:val="22"/>
          <w:szCs w:val="22"/>
        </w:rPr>
        <w:t xml:space="preserve">All </w:t>
      </w:r>
      <w:r w:rsidR="00A53F10">
        <w:rPr>
          <w:rFonts w:asciiTheme="minorHAnsi" w:hAnsiTheme="minorHAnsi" w:cstheme="minorHAnsi"/>
          <w:sz w:val="22"/>
          <w:szCs w:val="22"/>
        </w:rPr>
        <w:t xml:space="preserve">survey </w:t>
      </w:r>
      <w:r w:rsidRPr="004F4D99">
        <w:rPr>
          <w:rFonts w:asciiTheme="minorHAnsi" w:hAnsiTheme="minorHAnsi" w:cstheme="minorHAnsi"/>
          <w:sz w:val="22"/>
          <w:szCs w:val="22"/>
        </w:rPr>
        <w:t xml:space="preserve">analyses will be </w:t>
      </w:r>
      <w:r w:rsidR="007319B3">
        <w:rPr>
          <w:rFonts w:asciiTheme="minorHAnsi" w:hAnsiTheme="minorHAnsi" w:cstheme="minorHAnsi"/>
          <w:sz w:val="22"/>
          <w:szCs w:val="22"/>
        </w:rPr>
        <w:t>conducted</w:t>
      </w:r>
      <w:r w:rsidRPr="004F4D99" w:rsidR="007319B3">
        <w:rPr>
          <w:rFonts w:asciiTheme="minorHAnsi" w:hAnsiTheme="minorHAnsi" w:cstheme="minorHAnsi"/>
          <w:sz w:val="22"/>
          <w:szCs w:val="22"/>
        </w:rPr>
        <w:t xml:space="preserve"> </w:t>
      </w:r>
      <w:r w:rsidRPr="004F4D99">
        <w:rPr>
          <w:rFonts w:asciiTheme="minorHAnsi" w:hAnsiTheme="minorHAnsi" w:cstheme="minorHAnsi"/>
          <w:sz w:val="22"/>
          <w:szCs w:val="22"/>
        </w:rPr>
        <w:t>using the final analysis weights so that the estimates can be generalized to the target population.</w:t>
      </w:r>
      <w:r>
        <w:rPr>
          <w:rFonts w:asciiTheme="minorHAnsi" w:hAnsiTheme="minorHAnsi" w:cstheme="minorHAnsi"/>
          <w:sz w:val="22"/>
          <w:szCs w:val="22"/>
        </w:rPr>
        <w:t xml:space="preserve"> Documentation for the restricted</w:t>
      </w:r>
      <w:r w:rsidR="00940BC9">
        <w:rPr>
          <w:rFonts w:asciiTheme="minorHAnsi" w:hAnsiTheme="minorHAnsi" w:cstheme="minorHAnsi"/>
          <w:sz w:val="22"/>
          <w:szCs w:val="22"/>
        </w:rPr>
        <w:t>-</w:t>
      </w:r>
      <w:r>
        <w:rPr>
          <w:rFonts w:asciiTheme="minorHAnsi" w:hAnsiTheme="minorHAnsi" w:cstheme="minorHAnsi"/>
          <w:sz w:val="22"/>
          <w:szCs w:val="22"/>
        </w:rPr>
        <w:t xml:space="preserve">use analytic files will include instructions, descriptive tables, and coding examples to support the proper use of weights and variance estimation by secondary analysts.  </w:t>
      </w:r>
    </w:p>
    <w:p w:rsidRPr="00EF607D" w:rsidR="00A42C71" w:rsidP="0085039E" w:rsidRDefault="004329AA" w14:paraId="54D795CB" w14:textId="4E0884DD">
      <w:pPr>
        <w:spacing w:after="240" w:line="240" w:lineRule="auto"/>
        <w:rPr>
          <w:rFonts w:eastAsia="Times New Roman" w:cstheme="minorHAnsi"/>
        </w:rPr>
      </w:pPr>
      <w:r>
        <w:rPr>
          <w:b/>
          <w:bCs/>
        </w:rPr>
        <w:t>Semi-structured i</w:t>
      </w:r>
      <w:r w:rsidRPr="00EF607D" w:rsidR="00E14795">
        <w:rPr>
          <w:b/>
          <w:bCs/>
        </w:rPr>
        <w:t xml:space="preserve">nterviews. </w:t>
      </w:r>
      <w:r w:rsidRPr="00EF607D" w:rsidR="00E14795">
        <w:t>The data will not be used to generate population estimates, either for internal use or dissemination.</w:t>
      </w:r>
    </w:p>
    <w:p w:rsidRPr="00EF607D" w:rsidR="00A42C71" w:rsidP="00444D5F" w:rsidRDefault="00A42C71" w14:paraId="5A639760" w14:textId="4443E872">
      <w:pPr>
        <w:keepNext/>
        <w:keepLines/>
        <w:tabs>
          <w:tab w:val="left" w:pos="450"/>
        </w:tabs>
        <w:autoSpaceDE w:val="0"/>
        <w:autoSpaceDN w:val="0"/>
        <w:adjustRightInd w:val="0"/>
        <w:spacing w:after="120" w:line="240" w:lineRule="atLeast"/>
        <w:rPr>
          <w:rFonts w:eastAsia="Times New Roman" w:cstheme="minorHAnsi"/>
          <w:b/>
          <w:bCs/>
          <w:color w:val="000000"/>
        </w:rPr>
      </w:pPr>
      <w:r w:rsidRPr="00EF607D">
        <w:rPr>
          <w:rFonts w:eastAsia="Times New Roman" w:cstheme="minorHAnsi"/>
          <w:b/>
          <w:bCs/>
          <w:color w:val="000000"/>
        </w:rPr>
        <w:t>B7.</w:t>
      </w:r>
      <w:r w:rsidR="00444D5F">
        <w:rPr>
          <w:rFonts w:eastAsia="Times New Roman" w:cstheme="minorHAnsi"/>
          <w:color w:val="000000"/>
        </w:rPr>
        <w:tab/>
      </w:r>
      <w:r w:rsidRPr="00EF607D">
        <w:rPr>
          <w:rFonts w:eastAsia="Times New Roman" w:cstheme="minorHAnsi"/>
          <w:b/>
          <w:bCs/>
          <w:color w:val="000000"/>
        </w:rPr>
        <w:t>Data Handling and Analysis</w:t>
      </w:r>
    </w:p>
    <w:p w:rsidR="00244D17" w:rsidP="0085039E" w:rsidRDefault="00A42C71" w14:paraId="03B5691C" w14:textId="13B0CF06">
      <w:pPr>
        <w:keepNext/>
        <w:keepLines/>
        <w:autoSpaceDE w:val="0"/>
        <w:autoSpaceDN w:val="0"/>
        <w:adjustRightInd w:val="0"/>
        <w:spacing w:after="60" w:line="240" w:lineRule="atLeast"/>
        <w:rPr>
          <w:rFonts w:eastAsia="Times New Roman" w:cstheme="minorHAnsi"/>
          <w:bCs/>
          <w:i/>
          <w:color w:val="000000"/>
        </w:rPr>
      </w:pPr>
      <w:r w:rsidRPr="00EF607D">
        <w:rPr>
          <w:rFonts w:eastAsia="Times New Roman" w:cstheme="minorHAnsi"/>
          <w:bCs/>
          <w:i/>
          <w:color w:val="000000"/>
        </w:rPr>
        <w:t>Data Handling</w:t>
      </w:r>
    </w:p>
    <w:p w:rsidRPr="004F4D99" w:rsidR="000B7DA4" w:rsidP="0085039E" w:rsidRDefault="000B7DA4" w14:paraId="64F3495F" w14:textId="5743FF6F">
      <w:pPr>
        <w:pStyle w:val="NormalSS"/>
        <w:ind w:firstLine="0"/>
        <w:rPr>
          <w:rFonts w:asciiTheme="minorHAnsi" w:hAnsiTheme="minorHAnsi" w:cstheme="minorHAnsi"/>
          <w:bCs/>
          <w:color w:val="000000"/>
          <w:sz w:val="22"/>
          <w:szCs w:val="22"/>
        </w:rPr>
      </w:pPr>
      <w:r w:rsidRPr="004F4D99">
        <w:rPr>
          <w:rFonts w:asciiTheme="minorHAnsi" w:hAnsiTheme="minorHAnsi" w:cstheme="minorHAnsi"/>
          <w:bCs/>
          <w:color w:val="000000"/>
          <w:sz w:val="22"/>
          <w:szCs w:val="22"/>
        </w:rPr>
        <w:t xml:space="preserve">Once the electronic instruments are programmed, Mathematica </w:t>
      </w:r>
      <w:r w:rsidR="00D407A4">
        <w:rPr>
          <w:rFonts w:asciiTheme="minorHAnsi" w:hAnsiTheme="minorHAnsi" w:cstheme="minorHAnsi"/>
          <w:bCs/>
          <w:color w:val="000000"/>
          <w:sz w:val="22"/>
          <w:szCs w:val="22"/>
        </w:rPr>
        <w:t xml:space="preserve">will </w:t>
      </w:r>
      <w:r w:rsidRPr="004F4D99">
        <w:rPr>
          <w:rFonts w:asciiTheme="minorHAnsi" w:hAnsiTheme="minorHAnsi" w:cstheme="minorHAnsi"/>
          <w:bCs/>
          <w:color w:val="000000"/>
          <w:sz w:val="22"/>
          <w:szCs w:val="22"/>
        </w:rPr>
        <w:t xml:space="preserve">use a random data generator (RDG) to check </w:t>
      </w:r>
      <w:r w:rsidR="00D407A4">
        <w:rPr>
          <w:rFonts w:asciiTheme="minorHAnsi" w:hAnsiTheme="minorHAnsi" w:cstheme="minorHAnsi"/>
          <w:bCs/>
          <w:color w:val="000000"/>
          <w:sz w:val="22"/>
          <w:szCs w:val="22"/>
        </w:rPr>
        <w:t xml:space="preserve">the </w:t>
      </w:r>
      <w:r w:rsidRPr="004F4D99">
        <w:rPr>
          <w:rFonts w:asciiTheme="minorHAnsi" w:hAnsiTheme="minorHAnsi" w:cstheme="minorHAnsi"/>
          <w:bCs/>
          <w:color w:val="000000"/>
          <w:sz w:val="22"/>
          <w:szCs w:val="22"/>
        </w:rPr>
        <w:t>questionnaire skip logic, validations, and question properties. The RDG produce</w:t>
      </w:r>
      <w:r>
        <w:rPr>
          <w:rFonts w:asciiTheme="minorHAnsi" w:hAnsiTheme="minorHAnsi" w:cstheme="minorHAnsi"/>
          <w:bCs/>
          <w:color w:val="000000"/>
          <w:sz w:val="22"/>
          <w:szCs w:val="22"/>
        </w:rPr>
        <w:t>s</w:t>
      </w:r>
      <w:r w:rsidRPr="004F4D99">
        <w:rPr>
          <w:rFonts w:asciiTheme="minorHAnsi" w:hAnsiTheme="minorHAnsi" w:cstheme="minorHAnsi"/>
          <w:bCs/>
          <w:color w:val="000000"/>
          <w:sz w:val="22"/>
          <w:szCs w:val="22"/>
        </w:rPr>
        <w:t xml:space="preserve"> a test data set of randomly generated survey responses. The process runs all programmed script code and follows all skip logic in the questionnaire, simulating real interviews. This process allows any </w:t>
      </w:r>
      <w:r>
        <w:rPr>
          <w:rFonts w:asciiTheme="minorHAnsi" w:hAnsiTheme="minorHAnsi" w:cstheme="minorHAnsi"/>
          <w:bCs/>
          <w:color w:val="000000"/>
          <w:sz w:val="22"/>
          <w:szCs w:val="22"/>
        </w:rPr>
        <w:t xml:space="preserve">coding </w:t>
      </w:r>
      <w:r w:rsidRPr="004F4D99">
        <w:rPr>
          <w:rFonts w:asciiTheme="minorHAnsi" w:hAnsiTheme="minorHAnsi" w:cstheme="minorHAnsi"/>
          <w:bCs/>
          <w:color w:val="000000"/>
          <w:sz w:val="22"/>
          <w:szCs w:val="22"/>
        </w:rPr>
        <w:t xml:space="preserve">errors to be addressed </w:t>
      </w:r>
      <w:r w:rsidR="00693FDF">
        <w:rPr>
          <w:rFonts w:asciiTheme="minorHAnsi" w:hAnsiTheme="minorHAnsi" w:cstheme="minorHAnsi"/>
          <w:bCs/>
          <w:color w:val="000000"/>
          <w:sz w:val="22"/>
          <w:szCs w:val="22"/>
        </w:rPr>
        <w:t>before</w:t>
      </w:r>
      <w:r w:rsidRPr="004F4D99">
        <w:rPr>
          <w:rFonts w:asciiTheme="minorHAnsi" w:hAnsiTheme="minorHAnsi" w:cstheme="minorHAnsi"/>
          <w:bCs/>
          <w:color w:val="000000"/>
          <w:sz w:val="22"/>
          <w:szCs w:val="22"/>
        </w:rPr>
        <w:t xml:space="preserve"> data collection.</w:t>
      </w:r>
    </w:p>
    <w:p w:rsidR="000B7DA4" w:rsidP="00B75663" w:rsidRDefault="000B7DA4" w14:paraId="6452B221" w14:textId="522FE474">
      <w:pPr>
        <w:pStyle w:val="NormalSS"/>
        <w:ind w:firstLine="0"/>
        <w:rPr>
          <w:rFonts w:cstheme="minorHAnsi"/>
          <w:bCs/>
          <w:i/>
          <w:color w:val="000000"/>
        </w:rPr>
      </w:pPr>
      <w:r w:rsidRPr="004F4D99">
        <w:rPr>
          <w:rFonts w:asciiTheme="minorHAnsi" w:hAnsiTheme="minorHAnsi" w:cstheme="minorHAnsi"/>
          <w:bCs/>
          <w:color w:val="000000"/>
          <w:sz w:val="22"/>
          <w:szCs w:val="22"/>
        </w:rPr>
        <w:t xml:space="preserve">During and after data collection, Mathematica staff responsible for each instrument will edit the data when necessary. The </w:t>
      </w:r>
      <w:r w:rsidRPr="004F4D99">
        <w:rPr>
          <w:rFonts w:asciiTheme="minorHAnsi" w:hAnsiTheme="minorHAnsi" w:cstheme="minorHAnsi"/>
          <w:sz w:val="22"/>
          <w:szCs w:val="22"/>
        </w:rPr>
        <w:t>survey</w:t>
      </w:r>
      <w:r w:rsidRPr="004F4D99">
        <w:rPr>
          <w:rFonts w:asciiTheme="minorHAnsi" w:hAnsiTheme="minorHAnsi" w:cstheme="minorHAnsi"/>
          <w:bCs/>
          <w:color w:val="000000"/>
          <w:sz w:val="22"/>
          <w:szCs w:val="22"/>
        </w:rPr>
        <w:t xml:space="preserve"> team will develop a document for </w:t>
      </w:r>
      <w:r>
        <w:rPr>
          <w:rFonts w:asciiTheme="minorHAnsi" w:hAnsiTheme="minorHAnsi" w:cstheme="minorHAnsi"/>
          <w:bCs/>
          <w:color w:val="000000"/>
          <w:sz w:val="22"/>
          <w:szCs w:val="22"/>
        </w:rPr>
        <w:t xml:space="preserve">data </w:t>
      </w:r>
      <w:r w:rsidRPr="004F4D99">
        <w:rPr>
          <w:rFonts w:asciiTheme="minorHAnsi" w:hAnsiTheme="minorHAnsi" w:cstheme="minorHAnsi"/>
          <w:bCs/>
          <w:color w:val="000000"/>
          <w:sz w:val="22"/>
          <w:szCs w:val="22"/>
        </w:rPr>
        <w:t>editing</w:t>
      </w:r>
      <w:r>
        <w:rPr>
          <w:rFonts w:asciiTheme="minorHAnsi" w:hAnsiTheme="minorHAnsi" w:cstheme="minorHAnsi"/>
          <w:bCs/>
          <w:color w:val="000000"/>
          <w:sz w:val="22"/>
          <w:szCs w:val="22"/>
        </w:rPr>
        <w:t xml:space="preserve"> to identify when</w:t>
      </w:r>
      <w:r w:rsidRPr="004F4D99">
        <w:rPr>
          <w:rFonts w:asciiTheme="minorHAnsi" w:hAnsiTheme="minorHAnsi" w:cstheme="minorHAnsi"/>
          <w:bCs/>
          <w:color w:val="000000"/>
          <w:sz w:val="22"/>
          <w:szCs w:val="22"/>
        </w:rPr>
        <w:t xml:space="preserve"> survey staff </w:t>
      </w:r>
      <w:r w:rsidR="007319B3">
        <w:rPr>
          <w:rFonts w:asciiTheme="minorHAnsi" w:hAnsiTheme="minorHAnsi" w:cstheme="minorHAnsi"/>
          <w:bCs/>
          <w:color w:val="000000"/>
          <w:sz w:val="22"/>
          <w:szCs w:val="22"/>
        </w:rPr>
        <w:t>edit</w:t>
      </w:r>
      <w:r w:rsidRPr="004F4D99" w:rsidR="007319B3">
        <w:rPr>
          <w:rFonts w:asciiTheme="minorHAnsi" w:hAnsiTheme="minorHAnsi" w:cstheme="minorHAnsi"/>
          <w:bCs/>
          <w:color w:val="000000"/>
          <w:sz w:val="22"/>
          <w:szCs w:val="22"/>
        </w:rPr>
        <w:t xml:space="preserve"> </w:t>
      </w:r>
      <w:r w:rsidRPr="004F4D99">
        <w:rPr>
          <w:rFonts w:asciiTheme="minorHAnsi" w:hAnsiTheme="minorHAnsi" w:cstheme="minorHAnsi"/>
          <w:bCs/>
          <w:color w:val="000000"/>
          <w:sz w:val="22"/>
          <w:szCs w:val="22"/>
        </w:rPr>
        <w:t>a variable</w:t>
      </w:r>
      <w:r>
        <w:rPr>
          <w:rFonts w:asciiTheme="minorHAnsi" w:hAnsiTheme="minorHAnsi" w:cstheme="minorHAnsi"/>
          <w:bCs/>
          <w:color w:val="000000"/>
          <w:sz w:val="22"/>
          <w:szCs w:val="22"/>
        </w:rPr>
        <w:t xml:space="preserve">, noting </w:t>
      </w:r>
      <w:r w:rsidRPr="004F4D99">
        <w:rPr>
          <w:rFonts w:asciiTheme="minorHAnsi" w:hAnsiTheme="minorHAnsi" w:cstheme="minorHAnsi"/>
          <w:bCs/>
          <w:color w:val="000000"/>
          <w:sz w:val="22"/>
          <w:szCs w:val="22"/>
        </w:rPr>
        <w:t xml:space="preserve">the current value, the new value, and the reason why the value </w:t>
      </w:r>
      <w:r w:rsidR="002E2903">
        <w:rPr>
          <w:rFonts w:asciiTheme="minorHAnsi" w:hAnsiTheme="minorHAnsi" w:cstheme="minorHAnsi"/>
          <w:bCs/>
          <w:color w:val="000000"/>
          <w:sz w:val="22"/>
          <w:szCs w:val="22"/>
        </w:rPr>
        <w:t>was</w:t>
      </w:r>
      <w:r w:rsidRPr="004F4D99">
        <w:rPr>
          <w:rFonts w:asciiTheme="minorHAnsi" w:hAnsiTheme="minorHAnsi" w:cstheme="minorHAnsi"/>
          <w:bCs/>
          <w:color w:val="000000"/>
          <w:sz w:val="22"/>
          <w:szCs w:val="22"/>
        </w:rPr>
        <w:t xml:space="preserve"> edited. A programmer will read the specifications </w:t>
      </w:r>
      <w:r w:rsidRPr="00FD4EA8">
        <w:rPr>
          <w:rFonts w:asciiTheme="minorHAnsi" w:hAnsiTheme="minorHAnsi" w:cstheme="minorHAnsi"/>
          <w:bCs/>
          <w:color w:val="000000"/>
          <w:sz w:val="22"/>
          <w:szCs w:val="22"/>
        </w:rPr>
        <w:t xml:space="preserve">from these documents and update the data file. All data edits will </w:t>
      </w:r>
      <w:r w:rsidRPr="00FD4EA8" w:rsidR="002E2903">
        <w:rPr>
          <w:rFonts w:asciiTheme="minorHAnsi" w:hAnsiTheme="minorHAnsi" w:cstheme="minorHAnsi"/>
          <w:bCs/>
          <w:color w:val="000000"/>
          <w:sz w:val="22"/>
          <w:szCs w:val="22"/>
        </w:rPr>
        <w:t xml:space="preserve">be </w:t>
      </w:r>
      <w:r w:rsidRPr="00FD4EA8">
        <w:rPr>
          <w:rFonts w:asciiTheme="minorHAnsi" w:hAnsiTheme="minorHAnsi" w:cstheme="minorHAnsi"/>
          <w:bCs/>
          <w:color w:val="000000"/>
          <w:sz w:val="22"/>
          <w:szCs w:val="22"/>
        </w:rPr>
        <w:t xml:space="preserve">documented and saved in a designated file. We anticipate that most data edits will correct interviewer coding errors identified during frequency review (for example, filling in missing data with “M” or clearing out “other </w:t>
      </w:r>
      <w:r w:rsidRPr="00D81877" w:rsidR="00FD4EA8">
        <w:rPr>
          <w:rFonts w:asciiTheme="minorHAnsi" w:hAnsiTheme="minorHAnsi" w:cstheme="minorHAnsi"/>
          <w:bCs/>
          <w:color w:val="000000"/>
          <w:sz w:val="22"/>
          <w:szCs w:val="22"/>
        </w:rPr>
        <w:t>(</w:t>
      </w:r>
      <w:r w:rsidRPr="00FD4EA8">
        <w:rPr>
          <w:rFonts w:asciiTheme="minorHAnsi" w:hAnsiTheme="minorHAnsi" w:cstheme="minorHAnsi"/>
          <w:bCs/>
          <w:color w:val="000000"/>
          <w:sz w:val="22"/>
          <w:szCs w:val="22"/>
        </w:rPr>
        <w:t>specify</w:t>
      </w:r>
      <w:r w:rsidRPr="00D81877" w:rsidR="00FD4EA8">
        <w:rPr>
          <w:rFonts w:asciiTheme="minorHAnsi" w:hAnsiTheme="minorHAnsi" w:cstheme="minorHAnsi"/>
          <w:bCs/>
          <w:color w:val="000000"/>
          <w:sz w:val="22"/>
          <w:szCs w:val="22"/>
        </w:rPr>
        <w:t>)</w:t>
      </w:r>
      <w:r w:rsidRPr="00FD4EA8">
        <w:rPr>
          <w:rFonts w:asciiTheme="minorHAnsi" w:hAnsiTheme="minorHAnsi" w:cstheme="minorHAnsi"/>
          <w:bCs/>
          <w:color w:val="000000"/>
          <w:sz w:val="22"/>
          <w:szCs w:val="22"/>
        </w:rPr>
        <w:t>” verbatim data when the response has been back-coded). This process will continue until all data are clean for each instrument.</w:t>
      </w:r>
    </w:p>
    <w:p w:rsidR="00244D17" w:rsidP="0085039E" w:rsidRDefault="00A42C71" w14:paraId="595F3087" w14:textId="77777777">
      <w:pPr>
        <w:autoSpaceDE w:val="0"/>
        <w:autoSpaceDN w:val="0"/>
        <w:adjustRightInd w:val="0"/>
        <w:spacing w:after="60" w:line="240" w:lineRule="atLeast"/>
        <w:rPr>
          <w:rFonts w:eastAsia="Times New Roman" w:cstheme="minorHAnsi"/>
          <w:bCs/>
          <w:i/>
          <w:color w:val="000000"/>
        </w:rPr>
      </w:pPr>
      <w:r w:rsidRPr="00EF607D">
        <w:rPr>
          <w:rFonts w:eastAsia="Times New Roman" w:cstheme="minorHAnsi"/>
          <w:bCs/>
          <w:i/>
          <w:color w:val="000000"/>
        </w:rPr>
        <w:t>Data Analysis</w:t>
      </w:r>
    </w:p>
    <w:p w:rsidR="00254DA7" w:rsidP="0085039E" w:rsidRDefault="00244D17" w14:paraId="1362167F" w14:textId="7760719E">
      <w:pPr>
        <w:autoSpaceDE w:val="0"/>
        <w:autoSpaceDN w:val="0"/>
        <w:adjustRightInd w:val="0"/>
        <w:spacing w:after="240" w:line="240" w:lineRule="atLeast"/>
      </w:pPr>
      <w:r w:rsidRPr="00244D17">
        <w:rPr>
          <w:b/>
          <w:bCs/>
        </w:rPr>
        <w:t>Longitudinal analyses</w:t>
      </w:r>
      <w:r w:rsidRPr="00244D17">
        <w:t xml:space="preserve"> will focus on changes in constructs from the </w:t>
      </w:r>
      <w:r w:rsidR="00A01A35">
        <w:t xml:space="preserve">2016 </w:t>
      </w:r>
      <w:r w:rsidR="003A020C">
        <w:t>NDS</w:t>
      </w:r>
      <w:r w:rsidRPr="00244D17">
        <w:t xml:space="preserve"> Grantee and Delegate Agency Director Survey and Child Care Partner Survey to the </w:t>
      </w:r>
      <w:r w:rsidR="00CB6075">
        <w:t>2022</w:t>
      </w:r>
      <w:r w:rsidRPr="00244D17">
        <w:t xml:space="preserve"> surveys. </w:t>
      </w:r>
      <w:r w:rsidR="00934935">
        <w:t>We</w:t>
      </w:r>
      <w:r w:rsidRPr="00244D17">
        <w:t xml:space="preserve"> will </w:t>
      </w:r>
      <w:r w:rsidR="006202FA">
        <w:t>use t-tests to</w:t>
      </w:r>
      <w:r w:rsidRPr="00244D17">
        <w:t xml:space="preserve"> compar</w:t>
      </w:r>
      <w:r w:rsidR="006202FA">
        <w:t>e</w:t>
      </w:r>
      <w:r w:rsidRPr="00244D17">
        <w:t xml:space="preserve"> responses from </w:t>
      </w:r>
      <w:r w:rsidRPr="00934935">
        <w:t xml:space="preserve">the 2016 surveys to responses from the </w:t>
      </w:r>
      <w:r w:rsidR="00CB6075">
        <w:t>2022</w:t>
      </w:r>
      <w:r w:rsidRPr="00934935">
        <w:t xml:space="preserve"> surveys for items that are consistent across the surveys. These t-tests </w:t>
      </w:r>
      <w:r w:rsidRPr="00934935" w:rsidR="006202FA">
        <w:t xml:space="preserve">will </w:t>
      </w:r>
      <w:r w:rsidRPr="00D81877" w:rsidR="00934935">
        <w:t>reveal</w:t>
      </w:r>
      <w:r w:rsidRPr="00934935" w:rsidR="00934935">
        <w:t xml:space="preserve"> </w:t>
      </w:r>
      <w:r w:rsidRPr="00934935">
        <w:t xml:space="preserve">whether changes over time are significantly different from zero. Therefore, </w:t>
      </w:r>
      <w:r w:rsidRPr="00D81877" w:rsidR="00934935">
        <w:t xml:space="preserve">our </w:t>
      </w:r>
      <w:r w:rsidRPr="00934935">
        <w:t xml:space="preserve">samples for </w:t>
      </w:r>
      <w:r w:rsidRPr="00D81877" w:rsidR="00934935">
        <w:t xml:space="preserve">the </w:t>
      </w:r>
      <w:r w:rsidRPr="00934935">
        <w:t xml:space="preserve">longitudinal analyses will include only respondents who completed their 2016 and </w:t>
      </w:r>
      <w:r w:rsidR="00CB6075">
        <w:t>2022</w:t>
      </w:r>
      <w:r w:rsidRPr="00934935">
        <w:t xml:space="preserve"> surveys. The constructs we propose to examine in longitudinal analyses include changes in the composition of partnerships</w:t>
      </w:r>
      <w:r w:rsidRPr="00244D17">
        <w:t xml:space="preserve"> (</w:t>
      </w:r>
      <w:r w:rsidR="009F6E96">
        <w:t xml:space="preserve">the </w:t>
      </w:r>
      <w:r w:rsidRPr="00244D17">
        <w:t>number of partners in sustained, dissolved, and new partnerships</w:t>
      </w:r>
      <w:r w:rsidR="009F6E96">
        <w:t xml:space="preserve"> and</w:t>
      </w:r>
      <w:r w:rsidRPr="00244D17">
        <w:t xml:space="preserve"> </w:t>
      </w:r>
      <w:r w:rsidR="009F6E96">
        <w:t xml:space="preserve">the </w:t>
      </w:r>
      <w:r w:rsidR="00151605">
        <w:t>provider</w:t>
      </w:r>
      <w:r w:rsidRPr="00244D17" w:rsidR="00151605">
        <w:t xml:space="preserve"> </w:t>
      </w:r>
      <w:r w:rsidRPr="00244D17">
        <w:t>type</w:t>
      </w:r>
      <w:r w:rsidR="009F6E96">
        <w:t>s</w:t>
      </w:r>
      <w:r w:rsidRPr="00244D17">
        <w:t xml:space="preserve">), </w:t>
      </w:r>
      <w:r w:rsidRPr="009F6E96">
        <w:t xml:space="preserve">changes in the characteristics of EHS programs and child care providers in both sustained and dissolved partnerships (enrollment, services, quality supports, </w:t>
      </w:r>
      <w:r w:rsidRPr="00D81877" w:rsidR="009F6E96">
        <w:t xml:space="preserve">and </w:t>
      </w:r>
      <w:r w:rsidRPr="009F6E96">
        <w:t xml:space="preserve">program activities), and changes made </w:t>
      </w:r>
      <w:r w:rsidRPr="00D81877" w:rsidR="009F6E96">
        <w:t>to</w:t>
      </w:r>
      <w:r w:rsidRPr="009F6E96" w:rsidR="009F6E96">
        <w:t xml:space="preserve"> </w:t>
      </w:r>
      <w:r w:rsidRPr="009F6E96">
        <w:t>features to support partnerships.</w:t>
      </w:r>
    </w:p>
    <w:p w:rsidRPr="003602A1" w:rsidR="007B4DC9" w:rsidP="0085039E" w:rsidRDefault="00244D17" w14:paraId="546DA256" w14:textId="228782F2">
      <w:pPr>
        <w:autoSpaceDE w:val="0"/>
        <w:autoSpaceDN w:val="0"/>
        <w:adjustRightInd w:val="0"/>
        <w:spacing w:after="240" w:line="240" w:lineRule="atLeast"/>
      </w:pPr>
      <w:r w:rsidRPr="00244D17">
        <w:rPr>
          <w:b/>
          <w:bCs/>
        </w:rPr>
        <w:t>Point-in-time analyses</w:t>
      </w:r>
      <w:r w:rsidRPr="00244D17">
        <w:t xml:space="preserve"> will </w:t>
      </w:r>
      <w:r w:rsidR="00753280">
        <w:t>focus on</w:t>
      </w:r>
      <w:r w:rsidRPr="00244D17" w:rsidR="00753280">
        <w:t xml:space="preserve"> </w:t>
      </w:r>
      <w:r w:rsidRPr="00244D17">
        <w:t xml:space="preserve">constructs new to the </w:t>
      </w:r>
      <w:r w:rsidR="00CB6075">
        <w:t>2022</w:t>
      </w:r>
      <w:r w:rsidRPr="00244D17">
        <w:t xml:space="preserve"> surveys that were not possible to measure in the 2016 surveys. These analyses will include the full sample of respondents completing </w:t>
      </w:r>
      <w:r w:rsidR="00CB6075">
        <w:t>2022</w:t>
      </w:r>
      <w:r w:rsidRPr="00244D17">
        <w:t xml:space="preserve"> surveys. The constructs we propose to examine in point-in-time analyses include </w:t>
      </w:r>
      <w:r w:rsidR="00A12D34">
        <w:t xml:space="preserve">(1) </w:t>
      </w:r>
      <w:r w:rsidR="00CA28B3">
        <w:t xml:space="preserve">the </w:t>
      </w:r>
      <w:r w:rsidRPr="00244D17">
        <w:t xml:space="preserve">reasons for dissolving the partnership, from the perspectives of both EHS </w:t>
      </w:r>
      <w:r w:rsidRPr="00244D17" w:rsidR="00293810">
        <w:t>program</w:t>
      </w:r>
      <w:r w:rsidR="00293810">
        <w:t xml:space="preserve"> directors</w:t>
      </w:r>
      <w:r w:rsidRPr="00244D17" w:rsidR="00293810">
        <w:t xml:space="preserve"> </w:t>
      </w:r>
      <w:r w:rsidRPr="00244D17">
        <w:t>and dissolved partnership</w:t>
      </w:r>
      <w:r w:rsidR="000138F9">
        <w:t xml:space="preserve"> providers</w:t>
      </w:r>
      <w:r w:rsidRPr="00244D17">
        <w:t xml:space="preserve">; </w:t>
      </w:r>
      <w:r w:rsidR="00A12D34">
        <w:t xml:space="preserve">(2) </w:t>
      </w:r>
      <w:r w:rsidRPr="00244D17">
        <w:t xml:space="preserve">the current funding sources for those partners; and </w:t>
      </w:r>
      <w:r w:rsidR="00A12D34">
        <w:t xml:space="preserve">(3) </w:t>
      </w:r>
      <w:r w:rsidRPr="00244D17">
        <w:t xml:space="preserve">features that support partnerships, from the perspective of EHS </w:t>
      </w:r>
      <w:r w:rsidRPr="00244D17" w:rsidR="00293810">
        <w:t>program</w:t>
      </w:r>
      <w:r w:rsidR="00293810">
        <w:t xml:space="preserve"> directors</w:t>
      </w:r>
      <w:r w:rsidRPr="00244D17">
        <w:t>, focusing on all of a program’s current child care partners—those in partnerships sustained since the 2016 survey a</w:t>
      </w:r>
      <w:r w:rsidR="002203EA">
        <w:t>s well as</w:t>
      </w:r>
      <w:r w:rsidRPr="00244D17">
        <w:t xml:space="preserve"> new partners. </w:t>
      </w:r>
      <w:r w:rsidRPr="00244D17">
        <w:lastRenderedPageBreak/>
        <w:t>Further</w:t>
      </w:r>
      <w:r w:rsidR="00753280">
        <w:t>more</w:t>
      </w:r>
      <w:r w:rsidRPr="00244D17">
        <w:t xml:space="preserve">, we will explore whether we can examine alignment between </w:t>
      </w:r>
      <w:r w:rsidR="00576279">
        <w:t xml:space="preserve">the responses of </w:t>
      </w:r>
      <w:r w:rsidRPr="00244D17">
        <w:t>program director</w:t>
      </w:r>
      <w:r w:rsidR="00576279">
        <w:t>s</w:t>
      </w:r>
      <w:r w:rsidRPr="00244D17">
        <w:t xml:space="preserve"> </w:t>
      </w:r>
      <w:r w:rsidRPr="003602A1">
        <w:t>and provider</w:t>
      </w:r>
      <w:r w:rsidRPr="003602A1" w:rsidR="00576279">
        <w:t>s</w:t>
      </w:r>
      <w:r w:rsidRPr="003602A1">
        <w:t xml:space="preserve"> to similar questions.</w:t>
      </w:r>
      <w:r w:rsidRPr="003602A1" w:rsidR="00254DA7">
        <w:t xml:space="preserve"> </w:t>
      </w:r>
    </w:p>
    <w:p w:rsidR="00254DA7" w:rsidP="0085039E" w:rsidRDefault="00254DA7" w14:paraId="62379460" w14:textId="37BCAC73">
      <w:pPr>
        <w:autoSpaceDE w:val="0"/>
        <w:autoSpaceDN w:val="0"/>
        <w:adjustRightInd w:val="0"/>
        <w:spacing w:after="240" w:line="240" w:lineRule="atLeast"/>
      </w:pPr>
      <w:r w:rsidRPr="003602A1">
        <w:t xml:space="preserve">For point-in-time analyses, we will calculate percentages, medians, or means and standard deviations of analytic variables of interest </w:t>
      </w:r>
      <w:r w:rsidRPr="003602A1" w:rsidR="00366E84">
        <w:t xml:space="preserve">as well as </w:t>
      </w:r>
      <w:r w:rsidRPr="003602A1">
        <w:t xml:space="preserve">percentages of EHS programs and child care providers in various categories. </w:t>
      </w:r>
      <w:r w:rsidRPr="003602A1" w:rsidR="003602A1">
        <w:t>This work</w:t>
      </w:r>
      <w:r w:rsidRPr="003602A1">
        <w:t xml:space="preserve"> will also include analys</w:t>
      </w:r>
      <w:r w:rsidRPr="003602A1" w:rsidR="003602A1">
        <w:t>e</w:t>
      </w:r>
      <w:r w:rsidRPr="003602A1">
        <w:t>s of subgroup differences and comparisons of sustained and dissolved partnership</w:t>
      </w:r>
      <w:r w:rsidRPr="003602A1" w:rsidR="000138F9">
        <w:t xml:space="preserve"> providers</w:t>
      </w:r>
      <w:r w:rsidRPr="003602A1">
        <w:t xml:space="preserve">, both of which will </w:t>
      </w:r>
      <w:r w:rsidRPr="00D81877" w:rsidR="00B75CAE">
        <w:t>involve</w:t>
      </w:r>
      <w:r w:rsidRPr="003602A1" w:rsidR="00B75CAE">
        <w:t xml:space="preserve"> </w:t>
      </w:r>
      <w:r w:rsidRPr="003602A1">
        <w:t>t-tests.</w:t>
      </w:r>
    </w:p>
    <w:p w:rsidRPr="00254DA7" w:rsidR="00254DA7" w:rsidP="0085039E" w:rsidRDefault="00254DA7" w14:paraId="7035793B" w14:textId="041FEAC7">
      <w:pPr>
        <w:autoSpaceDE w:val="0"/>
        <w:autoSpaceDN w:val="0"/>
        <w:adjustRightInd w:val="0"/>
        <w:spacing w:after="240" w:line="240" w:lineRule="atLeast"/>
      </w:pPr>
      <w:r w:rsidRPr="00254DA7">
        <w:rPr>
          <w:rFonts w:cstheme="minorHAnsi"/>
          <w:b/>
          <w:bCs/>
        </w:rPr>
        <w:t xml:space="preserve">Multivariate analysis. </w:t>
      </w:r>
      <w:r w:rsidRPr="00254DA7">
        <w:rPr>
          <w:rFonts w:cstheme="minorHAnsi"/>
        </w:rPr>
        <w:t xml:space="preserve">We may also conduct multivariate regression analyses to predict whether partnerships were sustained or dissolved based on multiple characteristics. For example, we could predict whether partnerships were sustained based on partnership quality, controlling for program size. </w:t>
      </w:r>
    </w:p>
    <w:p w:rsidRPr="00244D17" w:rsidR="00244D17" w:rsidP="00A53F10" w:rsidRDefault="00254DA7" w14:paraId="13979D94" w14:textId="08CF69AD">
      <w:pPr>
        <w:autoSpaceDE w:val="0"/>
        <w:autoSpaceDN w:val="0"/>
        <w:adjustRightInd w:val="0"/>
        <w:spacing w:after="120" w:line="240" w:lineRule="atLeast"/>
        <w:rPr>
          <w:rFonts w:eastAsia="Times New Roman" w:cstheme="minorHAnsi"/>
          <w:bCs/>
          <w:i/>
          <w:color w:val="000000"/>
        </w:rPr>
      </w:pPr>
      <w:r>
        <w:rPr>
          <w:b/>
          <w:bCs/>
        </w:rPr>
        <w:t>Q</w:t>
      </w:r>
      <w:r w:rsidRPr="00244D17" w:rsidR="00244D17">
        <w:rPr>
          <w:b/>
          <w:bCs/>
        </w:rPr>
        <w:t xml:space="preserve">ualitative data analysis. </w:t>
      </w:r>
      <w:r w:rsidRPr="00244D17" w:rsidR="00244D17">
        <w:t xml:space="preserve">In addition to the quantitative longitudinal and point-in-time analyses, we will conduct qualitative analyses of data from </w:t>
      </w:r>
      <w:r w:rsidR="00F93726">
        <w:t xml:space="preserve">semi-structured </w:t>
      </w:r>
      <w:r w:rsidRPr="00244D17" w:rsidR="00244D17">
        <w:t xml:space="preserve">interviews with </w:t>
      </w:r>
      <w:r w:rsidR="00F93726">
        <w:t xml:space="preserve">sustained and dissolved partnership </w:t>
      </w:r>
      <w:r w:rsidRPr="00244D17" w:rsidR="00244D17">
        <w:t xml:space="preserve">providers. </w:t>
      </w:r>
      <w:r w:rsidR="00EE2CD5">
        <w:t>We will draft n</w:t>
      </w:r>
      <w:r w:rsidRPr="00244D17" w:rsidR="00244D17">
        <w:t>otes from the</w:t>
      </w:r>
      <w:r w:rsidR="00A54417">
        <w:t>se</w:t>
      </w:r>
      <w:r w:rsidRPr="00244D17" w:rsidR="00F93726">
        <w:t xml:space="preserve"> </w:t>
      </w:r>
      <w:r w:rsidRPr="00244D17" w:rsidR="00244D17">
        <w:t>interview</w:t>
      </w:r>
      <w:r w:rsidR="00F93726">
        <w:t>s in a standard</w:t>
      </w:r>
      <w:r w:rsidRPr="00244D17" w:rsidR="00244D17">
        <w:t xml:space="preserve"> template</w:t>
      </w:r>
      <w:r w:rsidR="00EE2CD5">
        <w:t xml:space="preserve"> and then </w:t>
      </w:r>
      <w:r w:rsidRPr="00244D17" w:rsidR="00244D17">
        <w:t>import</w:t>
      </w:r>
      <w:r w:rsidR="00EE2CD5">
        <w:t xml:space="preserve"> them</w:t>
      </w:r>
      <w:r w:rsidRPr="00244D17" w:rsidR="00244D17">
        <w:t xml:space="preserve"> into qualitative data analysis software</w:t>
      </w:r>
      <w:r w:rsidR="004C4C46">
        <w:t xml:space="preserve"> (NVivo)</w:t>
      </w:r>
      <w:r w:rsidRPr="00244D17" w:rsidR="00244D17">
        <w:t>. Using a coding protocol developed by the qualitative analysis lead, the research team will then systematically review and assess the data by classifying it, or coding it, to the research questions, constructs, and subconstructs. We will initially code five interviews using the coding protocol to ensure th</w:t>
      </w:r>
      <w:r w:rsidR="004C6220">
        <w:t>at the</w:t>
      </w:r>
      <w:r w:rsidRPr="00244D17" w:rsidR="00244D17">
        <w:t xml:space="preserve"> codes and definitions are clear, the codes can be applied systematically, and </w:t>
      </w:r>
      <w:r w:rsidRPr="00B96922" w:rsidR="00244D17">
        <w:t xml:space="preserve">the list of codes </w:t>
      </w:r>
      <w:r w:rsidRPr="00B96922" w:rsidR="004C6220">
        <w:t xml:space="preserve">is </w:t>
      </w:r>
      <w:r w:rsidRPr="00B96922" w:rsidR="00244D17">
        <w:t xml:space="preserve">comprehensive. </w:t>
      </w:r>
      <w:r w:rsidRPr="00B96922" w:rsidR="009571FF">
        <w:t>We may adjust</w:t>
      </w:r>
      <w:r w:rsidRPr="00B96922" w:rsidR="00244D17">
        <w:t xml:space="preserve"> the coding protocol after the first five interviews. Coders will be trained to apply the codes to the interview text and to identify themes that are not included in the coding protocol. During training</w:t>
      </w:r>
      <w:r w:rsidRPr="00D81877" w:rsidR="00353711">
        <w:t>,</w:t>
      </w:r>
      <w:r w:rsidRPr="00B96922" w:rsidR="00244D17">
        <w:t xml:space="preserve"> the coders will code an interview</w:t>
      </w:r>
      <w:r w:rsidRPr="00D81877" w:rsidR="00353711">
        <w:t>,</w:t>
      </w:r>
      <w:r w:rsidRPr="00B96922" w:rsidR="00244D17">
        <w:t xml:space="preserve"> and the qualitative analysis lead will review the codes for accuracy. </w:t>
      </w:r>
      <w:r w:rsidR="00B96922">
        <w:t>After</w:t>
      </w:r>
      <w:r w:rsidRPr="00B96922" w:rsidR="00B96922">
        <w:t xml:space="preserve"> </w:t>
      </w:r>
      <w:r w:rsidRPr="00B96922" w:rsidR="00244D17">
        <w:t xml:space="preserve">the </w:t>
      </w:r>
      <w:r w:rsidR="00CA4CC7">
        <w:t xml:space="preserve">training is completed and the </w:t>
      </w:r>
      <w:r w:rsidRPr="00B96922" w:rsidR="00244D17">
        <w:t xml:space="preserve">data are coded, the team will retrieve and sort </w:t>
      </w:r>
      <w:r w:rsidR="00B96922">
        <w:t xml:space="preserve">the </w:t>
      </w:r>
      <w:r w:rsidRPr="00B96922" w:rsidR="00244D17">
        <w:t xml:space="preserve">data linked to specific research questions and constructs and identify themes in the data. </w:t>
      </w:r>
    </w:p>
    <w:p w:rsidR="00A42C71" w:rsidP="00B75663" w:rsidRDefault="005A5CD5" w14:paraId="17631BBB" w14:textId="291B995F">
      <w:pPr>
        <w:autoSpaceDE w:val="0"/>
        <w:autoSpaceDN w:val="0"/>
        <w:adjustRightInd w:val="0"/>
        <w:spacing w:after="240" w:line="240" w:lineRule="atLeast"/>
        <w:rPr>
          <w:rFonts w:cstheme="minorHAnsi"/>
        </w:rPr>
      </w:pPr>
      <w:r>
        <w:rPr>
          <w:rFonts w:cstheme="minorHAnsi"/>
        </w:rPr>
        <w:t>Because</w:t>
      </w:r>
      <w:r w:rsidRPr="00254DA7">
        <w:rPr>
          <w:rFonts w:cstheme="minorHAnsi"/>
        </w:rPr>
        <w:t xml:space="preserve"> </w:t>
      </w:r>
      <w:r w:rsidRPr="00254DA7" w:rsidR="00547F2C">
        <w:rPr>
          <w:rFonts w:cstheme="minorHAnsi"/>
        </w:rPr>
        <w:t xml:space="preserve">the semi-structured phone interviews will be conducted with a subset of the respondents who completed the survey </w:t>
      </w:r>
      <w:r w:rsidR="00163C03">
        <w:rPr>
          <w:rFonts w:cstheme="minorHAnsi"/>
        </w:rPr>
        <w:t>for</w:t>
      </w:r>
      <w:r w:rsidRPr="00254DA7" w:rsidR="00163C03">
        <w:rPr>
          <w:rFonts w:cstheme="minorHAnsi"/>
        </w:rPr>
        <w:t xml:space="preserve"> </w:t>
      </w:r>
      <w:r w:rsidRPr="00254DA7" w:rsidR="00547F2C">
        <w:rPr>
          <w:rFonts w:cstheme="minorHAnsi"/>
        </w:rPr>
        <w:t>dissolved partnership</w:t>
      </w:r>
      <w:r w:rsidR="00163C03">
        <w:rPr>
          <w:rFonts w:cstheme="minorHAnsi"/>
        </w:rPr>
        <w:t>s</w:t>
      </w:r>
      <w:r w:rsidRPr="00254DA7" w:rsidR="00547F2C">
        <w:rPr>
          <w:rFonts w:cstheme="minorHAnsi"/>
        </w:rPr>
        <w:t xml:space="preserve">, we will be able to integrate the qualitative analysis from the interviews with the quantitative data to enhance our understanding of the survey data. For </w:t>
      </w:r>
      <w:r w:rsidRPr="005A5CD5" w:rsidR="00547F2C">
        <w:rPr>
          <w:rFonts w:cstheme="minorHAnsi"/>
        </w:rPr>
        <w:t>example, we can use the qualitative findings on when issues arose between providers and EHS programs and how they were handled to provide context for the descriptive findings on the factors that impeded the sustainability of the partnership. We can also turn to the qualitative findings to understand unanticipated results.</w:t>
      </w:r>
      <w:r w:rsidRPr="00254DA7" w:rsidR="00547F2C">
        <w:rPr>
          <w:rFonts w:cstheme="minorHAnsi"/>
        </w:rPr>
        <w:t xml:space="preserve"> </w:t>
      </w:r>
    </w:p>
    <w:p w:rsidRPr="00EF607D" w:rsidR="00A42C71" w:rsidP="0085039E" w:rsidRDefault="00A42C71" w14:paraId="502BA51B" w14:textId="453F9EA7">
      <w:pPr>
        <w:tabs>
          <w:tab w:val="left" w:pos="4950"/>
        </w:tabs>
        <w:autoSpaceDE w:val="0"/>
        <w:autoSpaceDN w:val="0"/>
        <w:adjustRightInd w:val="0"/>
        <w:spacing w:after="60" w:line="240" w:lineRule="atLeast"/>
        <w:rPr>
          <w:rFonts w:eastAsia="Times New Roman" w:cstheme="minorHAnsi"/>
          <w:i/>
          <w:color w:val="000000"/>
        </w:rPr>
      </w:pPr>
      <w:r w:rsidRPr="00EF607D">
        <w:rPr>
          <w:rFonts w:eastAsia="Times New Roman" w:cstheme="minorHAnsi"/>
          <w:bCs/>
          <w:i/>
          <w:color w:val="000000"/>
        </w:rPr>
        <w:t>Data Use</w:t>
      </w:r>
    </w:p>
    <w:p w:rsidRPr="007828DA" w:rsidR="007828DA" w:rsidP="007828DA" w:rsidRDefault="007828DA" w14:paraId="4C76AD01" w14:textId="77777777">
      <w:pPr>
        <w:autoSpaceDE w:val="0"/>
        <w:autoSpaceDN w:val="0"/>
        <w:adjustRightInd w:val="0"/>
        <w:spacing w:after="240" w:line="240" w:lineRule="atLeast"/>
        <w:rPr>
          <w:rFonts w:cstheme="minorHAnsi"/>
        </w:rPr>
      </w:pPr>
      <w:r w:rsidRPr="007828DA">
        <w:rPr>
          <w:rFonts w:cstheme="minorHAnsi"/>
        </w:rPr>
        <w:t>Mathematica will produce several publications based on analysis of data from the Sustainability Study:</w:t>
      </w:r>
    </w:p>
    <w:p w:rsidRPr="007828DA" w:rsidR="007828DA" w:rsidP="007828DA" w:rsidRDefault="007828DA" w14:paraId="7FD7EDE1" w14:textId="77777777">
      <w:pPr>
        <w:pStyle w:val="ListParagraph"/>
        <w:numPr>
          <w:ilvl w:val="0"/>
          <w:numId w:val="35"/>
        </w:numPr>
        <w:autoSpaceDE w:val="0"/>
        <w:autoSpaceDN w:val="0"/>
        <w:adjustRightInd w:val="0"/>
        <w:spacing w:after="80" w:line="240" w:lineRule="atLeast"/>
        <w:ind w:left="360"/>
        <w:contextualSpacing w:val="0"/>
        <w:rPr>
          <w:rFonts w:eastAsia="Times New Roman" w:cstheme="minorHAnsi"/>
          <w:color w:val="000000"/>
        </w:rPr>
      </w:pPr>
      <w:r w:rsidRPr="007828DA">
        <w:rPr>
          <w:rFonts w:eastAsia="Times New Roman" w:cstheme="minorHAnsi"/>
          <w:color w:val="000000"/>
        </w:rPr>
        <w:t>A report with descriptive tables of findings from all surveys. The intention is to quickly produce findings that Federal agencies can use.</w:t>
      </w:r>
    </w:p>
    <w:p w:rsidRPr="007828DA" w:rsidR="007828DA" w:rsidP="007828DA" w:rsidRDefault="007828DA" w14:paraId="19CDCDDF" w14:textId="77777777">
      <w:pPr>
        <w:pStyle w:val="ListParagraph"/>
        <w:numPr>
          <w:ilvl w:val="0"/>
          <w:numId w:val="35"/>
        </w:numPr>
        <w:autoSpaceDE w:val="0"/>
        <w:autoSpaceDN w:val="0"/>
        <w:adjustRightInd w:val="0"/>
        <w:spacing w:after="80" w:line="240" w:lineRule="atLeast"/>
        <w:ind w:left="360"/>
        <w:contextualSpacing w:val="0"/>
        <w:rPr>
          <w:rFonts w:eastAsia="Times New Roman" w:cstheme="minorHAnsi"/>
          <w:color w:val="000000"/>
        </w:rPr>
      </w:pPr>
      <w:r w:rsidRPr="007828DA">
        <w:rPr>
          <w:rFonts w:eastAsia="Times New Roman" w:cstheme="minorHAnsi"/>
          <w:color w:val="000000"/>
        </w:rPr>
        <w:t>Two to three briefs, including one each focusing on research questions #2 and #3, including information from the descriptive tables and interviews, additional narrative explanation of the findings, and addressing research questions #4 and #5. This report will be accessible to a broad audience, using graphics and figures to communicate key findings.</w:t>
      </w:r>
    </w:p>
    <w:p w:rsidRPr="007828DA" w:rsidR="007828DA" w:rsidP="007828DA" w:rsidRDefault="007828DA" w14:paraId="075FA4AE" w14:textId="77777777">
      <w:pPr>
        <w:pStyle w:val="ListParagraph"/>
        <w:numPr>
          <w:ilvl w:val="0"/>
          <w:numId w:val="35"/>
        </w:numPr>
        <w:autoSpaceDE w:val="0"/>
        <w:autoSpaceDN w:val="0"/>
        <w:adjustRightInd w:val="0"/>
        <w:spacing w:after="240" w:line="240" w:lineRule="atLeast"/>
        <w:ind w:left="360"/>
        <w:contextualSpacing w:val="0"/>
        <w:rPr>
          <w:rFonts w:eastAsia="Times New Roman" w:cstheme="minorHAnsi"/>
          <w:color w:val="000000"/>
        </w:rPr>
      </w:pPr>
      <w:r w:rsidRPr="007828DA">
        <w:rPr>
          <w:rFonts w:eastAsia="Times New Roman" w:cstheme="minorHAnsi"/>
          <w:color w:val="000000"/>
        </w:rPr>
        <w:t>Restricted-use data files and documentation, which will be available for secondary analysis.</w:t>
      </w:r>
    </w:p>
    <w:p w:rsidRPr="00063E04" w:rsidR="00A3314E" w:rsidP="0085039E" w:rsidRDefault="00596C02" w14:paraId="115FF054" w14:textId="34D1FD52">
      <w:pPr>
        <w:pStyle w:val="NormalSS"/>
        <w:ind w:firstLine="0"/>
        <w:rPr>
          <w:rFonts w:asciiTheme="minorHAnsi" w:hAnsiTheme="minorHAnsi" w:cstheme="minorHAnsi"/>
          <w:sz w:val="22"/>
          <w:szCs w:val="22"/>
        </w:rPr>
      </w:pPr>
      <w:r>
        <w:rPr>
          <w:rFonts w:asciiTheme="minorHAnsi" w:hAnsiTheme="minorHAnsi" w:cstheme="minorHAnsi"/>
          <w:sz w:val="22"/>
          <w:szCs w:val="22"/>
        </w:rPr>
        <w:t>The data file documentation</w:t>
      </w:r>
      <w:r w:rsidRPr="004F4D99">
        <w:rPr>
          <w:rFonts w:asciiTheme="minorHAnsi" w:hAnsiTheme="minorHAnsi" w:cstheme="minorHAnsi"/>
          <w:sz w:val="22"/>
          <w:szCs w:val="22"/>
        </w:rPr>
        <w:t xml:space="preserve"> </w:t>
      </w:r>
      <w:r w:rsidR="009149DA">
        <w:rPr>
          <w:rFonts w:asciiTheme="minorHAnsi" w:hAnsiTheme="minorHAnsi" w:cstheme="minorHAnsi"/>
          <w:sz w:val="22"/>
          <w:szCs w:val="22"/>
        </w:rPr>
        <w:t xml:space="preserve">will </w:t>
      </w:r>
      <w:r>
        <w:rPr>
          <w:rFonts w:asciiTheme="minorHAnsi" w:hAnsiTheme="minorHAnsi" w:cstheme="minorHAnsi"/>
          <w:sz w:val="22"/>
          <w:szCs w:val="22"/>
        </w:rPr>
        <w:t>include</w:t>
      </w:r>
      <w:r w:rsidRPr="004F4D99">
        <w:rPr>
          <w:rFonts w:asciiTheme="minorHAnsi" w:hAnsiTheme="minorHAnsi" w:cstheme="minorHAnsi"/>
          <w:sz w:val="22"/>
          <w:szCs w:val="22"/>
        </w:rPr>
        <w:t xml:space="preserve"> </w:t>
      </w:r>
      <w:r w:rsidRPr="004F4D99" w:rsidR="009149DA">
        <w:rPr>
          <w:rFonts w:asciiTheme="minorHAnsi" w:hAnsiTheme="minorHAnsi" w:cstheme="minorHAnsi"/>
          <w:sz w:val="22"/>
          <w:szCs w:val="22"/>
        </w:rPr>
        <w:t xml:space="preserve">a data user’s guide to inform and assist researchers who might </w:t>
      </w:r>
      <w:r w:rsidR="00063E04">
        <w:rPr>
          <w:rFonts w:asciiTheme="minorHAnsi" w:hAnsiTheme="minorHAnsi" w:cstheme="minorHAnsi"/>
          <w:sz w:val="22"/>
          <w:szCs w:val="22"/>
        </w:rPr>
        <w:t>want to use</w:t>
      </w:r>
      <w:r w:rsidRPr="004F4D99" w:rsidR="009149DA">
        <w:rPr>
          <w:rFonts w:asciiTheme="minorHAnsi" w:hAnsiTheme="minorHAnsi" w:cstheme="minorHAnsi"/>
          <w:sz w:val="22"/>
          <w:szCs w:val="22"/>
        </w:rPr>
        <w:t xml:space="preserve"> the data for future analyses. The manual </w:t>
      </w:r>
      <w:r w:rsidR="00063E04">
        <w:rPr>
          <w:rFonts w:asciiTheme="minorHAnsi" w:hAnsiTheme="minorHAnsi" w:cstheme="minorHAnsi"/>
          <w:sz w:val="22"/>
          <w:szCs w:val="22"/>
        </w:rPr>
        <w:t xml:space="preserve">will </w:t>
      </w:r>
      <w:r w:rsidRPr="004F4D99" w:rsidR="009149DA">
        <w:rPr>
          <w:rFonts w:asciiTheme="minorHAnsi" w:hAnsiTheme="minorHAnsi" w:cstheme="minorHAnsi"/>
          <w:sz w:val="22"/>
          <w:szCs w:val="22"/>
        </w:rPr>
        <w:t xml:space="preserve">include </w:t>
      </w:r>
      <w:r w:rsidR="00063E04">
        <w:rPr>
          <w:rFonts w:asciiTheme="minorHAnsi" w:hAnsiTheme="minorHAnsi" w:cstheme="minorHAnsi"/>
          <w:sz w:val="22"/>
          <w:szCs w:val="22"/>
        </w:rPr>
        <w:t xml:space="preserve">information on </w:t>
      </w:r>
      <w:r w:rsidRPr="004F4D99" w:rsidR="009149DA">
        <w:rPr>
          <w:rFonts w:asciiTheme="minorHAnsi" w:hAnsiTheme="minorHAnsi" w:cstheme="minorHAnsi"/>
          <w:sz w:val="22"/>
          <w:szCs w:val="22"/>
        </w:rPr>
        <w:t xml:space="preserve">(1) </w:t>
      </w:r>
      <w:r w:rsidR="00063E04">
        <w:rPr>
          <w:rFonts w:asciiTheme="minorHAnsi" w:hAnsiTheme="minorHAnsi" w:cstheme="minorHAnsi"/>
          <w:sz w:val="22"/>
          <w:szCs w:val="22"/>
        </w:rPr>
        <w:t xml:space="preserve">the </w:t>
      </w:r>
      <w:r w:rsidRPr="004F4D99" w:rsidR="009149DA">
        <w:rPr>
          <w:rFonts w:asciiTheme="minorHAnsi" w:hAnsiTheme="minorHAnsi" w:cstheme="minorHAnsi"/>
          <w:sz w:val="22"/>
          <w:szCs w:val="22"/>
        </w:rPr>
        <w:t xml:space="preserve">background </w:t>
      </w:r>
      <w:r w:rsidR="00063E04">
        <w:rPr>
          <w:rFonts w:asciiTheme="minorHAnsi" w:hAnsiTheme="minorHAnsi" w:cstheme="minorHAnsi"/>
          <w:sz w:val="22"/>
          <w:szCs w:val="22"/>
        </w:rPr>
        <w:t>of</w:t>
      </w:r>
      <w:r w:rsidRPr="004F4D99" w:rsidR="009149DA">
        <w:rPr>
          <w:rFonts w:asciiTheme="minorHAnsi" w:hAnsiTheme="minorHAnsi" w:cstheme="minorHAnsi"/>
          <w:sz w:val="22"/>
          <w:szCs w:val="22"/>
        </w:rPr>
        <w:t xml:space="preserve"> the study</w:t>
      </w:r>
      <w:r w:rsidR="009149DA">
        <w:rPr>
          <w:rFonts w:asciiTheme="minorHAnsi" w:hAnsiTheme="minorHAnsi" w:cstheme="minorHAnsi"/>
          <w:sz w:val="22"/>
          <w:szCs w:val="22"/>
        </w:rPr>
        <w:t>, including its conceptual framework</w:t>
      </w:r>
      <w:r w:rsidRPr="004F4D99" w:rsidR="009149DA">
        <w:rPr>
          <w:rFonts w:asciiTheme="minorHAnsi" w:hAnsiTheme="minorHAnsi" w:cstheme="minorHAnsi"/>
          <w:sz w:val="22"/>
          <w:szCs w:val="22"/>
        </w:rPr>
        <w:t>; (2) the sample design</w:t>
      </w:r>
      <w:r w:rsidR="00063E04">
        <w:rPr>
          <w:rFonts w:asciiTheme="minorHAnsi" w:hAnsiTheme="minorHAnsi" w:cstheme="minorHAnsi"/>
          <w:sz w:val="22"/>
          <w:szCs w:val="22"/>
        </w:rPr>
        <w:t>, such as</w:t>
      </w:r>
      <w:r w:rsidRPr="004F4D99" w:rsidR="009149DA">
        <w:rPr>
          <w:rFonts w:asciiTheme="minorHAnsi" w:hAnsiTheme="minorHAnsi" w:cstheme="minorHAnsi"/>
          <w:sz w:val="22"/>
          <w:szCs w:val="22"/>
        </w:rPr>
        <w:t xml:space="preserve"> the number of study </w:t>
      </w:r>
      <w:r w:rsidRPr="004F4D99" w:rsidR="009149DA">
        <w:rPr>
          <w:rFonts w:asciiTheme="minorHAnsi" w:hAnsiTheme="minorHAnsi" w:cstheme="minorHAnsi"/>
          <w:sz w:val="22"/>
          <w:szCs w:val="22"/>
        </w:rPr>
        <w:lastRenderedPageBreak/>
        <w:t xml:space="preserve">participants, response rates, and weighting procedures; (3) the data collection procedures, instruments, and measures; and (4) </w:t>
      </w:r>
      <w:r w:rsidR="00063E04">
        <w:rPr>
          <w:rFonts w:asciiTheme="minorHAnsi" w:hAnsiTheme="minorHAnsi" w:cstheme="minorHAnsi"/>
          <w:sz w:val="22"/>
          <w:szCs w:val="22"/>
        </w:rPr>
        <w:t xml:space="preserve">the </w:t>
      </w:r>
      <w:r w:rsidRPr="004F4D99" w:rsidR="009149DA">
        <w:rPr>
          <w:rFonts w:asciiTheme="minorHAnsi" w:hAnsiTheme="minorHAnsi" w:cstheme="minorHAnsi"/>
          <w:sz w:val="22"/>
          <w:szCs w:val="22"/>
        </w:rPr>
        <w:t xml:space="preserve">data preparation </w:t>
      </w:r>
      <w:r w:rsidRPr="00063E04" w:rsidR="009149DA">
        <w:rPr>
          <w:rFonts w:asciiTheme="minorHAnsi" w:hAnsiTheme="minorHAnsi" w:cstheme="minorHAnsi"/>
          <w:sz w:val="22"/>
          <w:szCs w:val="22"/>
        </w:rPr>
        <w:t xml:space="preserve">and structure of the </w:t>
      </w:r>
      <w:r w:rsidR="00B44ABA">
        <w:rPr>
          <w:rFonts w:asciiTheme="minorHAnsi" w:hAnsiTheme="minorHAnsi" w:cstheme="minorHAnsi"/>
          <w:sz w:val="22"/>
          <w:szCs w:val="22"/>
        </w:rPr>
        <w:t>study’s</w:t>
      </w:r>
      <w:r w:rsidRPr="00063E04" w:rsidR="009149DA">
        <w:rPr>
          <w:rFonts w:asciiTheme="minorHAnsi" w:hAnsiTheme="minorHAnsi" w:cstheme="minorHAnsi"/>
          <w:sz w:val="22"/>
          <w:szCs w:val="22"/>
        </w:rPr>
        <w:t xml:space="preserve"> data files, including data entry, frequency review, data edits, and creation of data files.</w:t>
      </w:r>
    </w:p>
    <w:p w:rsidRPr="004F4D99" w:rsidR="009149DA" w:rsidP="0085039E" w:rsidRDefault="00A3314E" w14:paraId="260FA01A" w14:textId="76EFF732">
      <w:pPr>
        <w:pStyle w:val="NormalSS"/>
        <w:ind w:firstLine="0"/>
        <w:rPr>
          <w:rFonts w:asciiTheme="minorHAnsi" w:hAnsiTheme="minorHAnsi" w:cstheme="minorHAnsi"/>
          <w:sz w:val="22"/>
          <w:szCs w:val="22"/>
        </w:rPr>
      </w:pPr>
      <w:r w:rsidRPr="00063E04">
        <w:rPr>
          <w:rFonts w:asciiTheme="minorHAnsi" w:hAnsiTheme="minorHAnsi" w:cstheme="minorHAnsi"/>
          <w:sz w:val="22"/>
          <w:szCs w:val="22"/>
        </w:rPr>
        <w:t>If we decide</w:t>
      </w:r>
      <w:r w:rsidR="002B6A88">
        <w:rPr>
          <w:rFonts w:asciiTheme="minorHAnsi" w:hAnsiTheme="minorHAnsi" w:cstheme="minorHAnsi"/>
          <w:sz w:val="22"/>
          <w:szCs w:val="22"/>
        </w:rPr>
        <w:t xml:space="preserve"> </w:t>
      </w:r>
      <w:r w:rsidRPr="00063E04">
        <w:rPr>
          <w:rFonts w:asciiTheme="minorHAnsi" w:hAnsiTheme="minorHAnsi" w:cstheme="minorHAnsi"/>
          <w:sz w:val="22"/>
          <w:szCs w:val="22"/>
        </w:rPr>
        <w:t>to archive qualitative data, we will ensure</w:t>
      </w:r>
      <w:r w:rsidRPr="00D81877" w:rsidR="00063E04">
        <w:rPr>
          <w:rFonts w:asciiTheme="minorHAnsi" w:hAnsiTheme="minorHAnsi" w:cstheme="minorHAnsi"/>
          <w:sz w:val="22"/>
          <w:szCs w:val="22"/>
        </w:rPr>
        <w:t xml:space="preserve"> that</w:t>
      </w:r>
      <w:r w:rsidRPr="00063E04">
        <w:rPr>
          <w:rFonts w:asciiTheme="minorHAnsi" w:hAnsiTheme="minorHAnsi" w:cstheme="minorHAnsi"/>
          <w:sz w:val="22"/>
          <w:szCs w:val="22"/>
        </w:rPr>
        <w:t xml:space="preserve"> individual respondents cannot be identified.</w:t>
      </w:r>
    </w:p>
    <w:p w:rsidRPr="00444D5F" w:rsidR="00A42C71" w:rsidP="00444D5F" w:rsidRDefault="00A42C71" w14:paraId="1C0321C0" w14:textId="2F4BDC63">
      <w:pPr>
        <w:keepNext/>
        <w:keepLines/>
        <w:tabs>
          <w:tab w:val="left" w:pos="450"/>
        </w:tabs>
        <w:autoSpaceDE w:val="0"/>
        <w:autoSpaceDN w:val="0"/>
        <w:adjustRightInd w:val="0"/>
        <w:spacing w:after="120" w:line="240" w:lineRule="atLeast"/>
        <w:rPr>
          <w:rFonts w:eastAsia="Times New Roman" w:cstheme="minorHAnsi"/>
          <w:b/>
          <w:bCs/>
          <w:color w:val="000000"/>
        </w:rPr>
      </w:pPr>
      <w:r w:rsidRPr="00444D5F">
        <w:rPr>
          <w:rFonts w:eastAsia="Times New Roman" w:cstheme="minorHAnsi"/>
          <w:b/>
          <w:bCs/>
          <w:color w:val="000000"/>
        </w:rPr>
        <w:t>B8.</w:t>
      </w:r>
      <w:r w:rsidR="00444D5F">
        <w:rPr>
          <w:rFonts w:eastAsia="Times New Roman" w:cstheme="minorHAnsi"/>
          <w:b/>
          <w:bCs/>
          <w:color w:val="000000"/>
        </w:rPr>
        <w:tab/>
      </w:r>
      <w:r w:rsidRPr="00444D5F">
        <w:rPr>
          <w:rFonts w:eastAsia="Times New Roman" w:cstheme="minorHAnsi"/>
          <w:b/>
          <w:bCs/>
          <w:color w:val="000000"/>
        </w:rPr>
        <w:t xml:space="preserve">Contact Person(s)  </w:t>
      </w:r>
    </w:p>
    <w:p w:rsidRPr="00243B67" w:rsidR="009149DA" w:rsidP="00243B67" w:rsidRDefault="009149DA" w14:paraId="009DF153" w14:textId="33D39591">
      <w:pPr>
        <w:pStyle w:val="NormalSS"/>
        <w:spacing w:after="120"/>
        <w:ind w:firstLine="0"/>
        <w:rPr>
          <w:rFonts w:asciiTheme="minorHAnsi" w:hAnsiTheme="minorHAnsi" w:cstheme="minorHAnsi"/>
          <w:sz w:val="22"/>
          <w:szCs w:val="22"/>
        </w:rPr>
      </w:pPr>
      <w:r w:rsidRPr="004F4D99">
        <w:rPr>
          <w:rFonts w:asciiTheme="minorHAnsi" w:hAnsiTheme="minorHAnsi" w:cstheme="minorHAnsi"/>
          <w:sz w:val="22"/>
          <w:szCs w:val="22"/>
        </w:rPr>
        <w:t xml:space="preserve">Mathematica </w:t>
      </w:r>
      <w:r w:rsidR="00115221">
        <w:rPr>
          <w:rFonts w:asciiTheme="minorHAnsi" w:hAnsiTheme="minorHAnsi" w:cstheme="minorHAnsi"/>
          <w:sz w:val="22"/>
          <w:szCs w:val="22"/>
        </w:rPr>
        <w:t>is</w:t>
      </w:r>
      <w:r w:rsidRPr="004F4D99">
        <w:rPr>
          <w:rFonts w:asciiTheme="minorHAnsi" w:hAnsiTheme="minorHAnsi" w:cstheme="minorHAnsi"/>
          <w:sz w:val="22"/>
          <w:szCs w:val="22"/>
        </w:rPr>
        <w:t xml:space="preserve"> conducting this project under </w:t>
      </w:r>
      <w:r w:rsidR="00DB324A">
        <w:rPr>
          <w:rFonts w:asciiTheme="minorHAnsi" w:hAnsiTheme="minorHAnsi" w:cstheme="minorHAnsi"/>
          <w:sz w:val="22"/>
          <w:szCs w:val="22"/>
        </w:rPr>
        <w:t>C</w:t>
      </w:r>
      <w:r w:rsidRPr="004F4D99">
        <w:rPr>
          <w:rFonts w:asciiTheme="minorHAnsi" w:hAnsiTheme="minorHAnsi" w:cstheme="minorHAnsi"/>
          <w:sz w:val="22"/>
          <w:szCs w:val="22"/>
        </w:rPr>
        <w:t xml:space="preserve">ontract </w:t>
      </w:r>
      <w:r w:rsidR="00DB324A">
        <w:rPr>
          <w:rFonts w:asciiTheme="minorHAnsi" w:hAnsiTheme="minorHAnsi" w:cstheme="minorHAnsi"/>
          <w:sz w:val="22"/>
          <w:szCs w:val="22"/>
        </w:rPr>
        <w:t>No.</w:t>
      </w:r>
      <w:r w:rsidRPr="004F4D99">
        <w:rPr>
          <w:rFonts w:asciiTheme="minorHAnsi" w:hAnsiTheme="minorHAnsi" w:cstheme="minorHAnsi"/>
          <w:sz w:val="22"/>
          <w:szCs w:val="22"/>
        </w:rPr>
        <w:t xml:space="preserve"> HHSP233201500035I. </w:t>
      </w:r>
      <w:r w:rsidR="00DB324A">
        <w:rPr>
          <w:rFonts w:asciiTheme="minorHAnsi" w:hAnsiTheme="minorHAnsi" w:cstheme="minorHAnsi"/>
          <w:sz w:val="22"/>
          <w:szCs w:val="22"/>
        </w:rPr>
        <w:t xml:space="preserve">A team from </w:t>
      </w:r>
      <w:r w:rsidRPr="004F4D99">
        <w:rPr>
          <w:rFonts w:asciiTheme="minorHAnsi" w:hAnsiTheme="minorHAnsi" w:cstheme="minorHAnsi"/>
          <w:sz w:val="22"/>
          <w:szCs w:val="22"/>
        </w:rPr>
        <w:t xml:space="preserve">Mathematica developed the plans for statistical analyses for this study. To complement the study team’s knowledge and experience, </w:t>
      </w:r>
      <w:r w:rsidR="00A01A35">
        <w:rPr>
          <w:rFonts w:asciiTheme="minorHAnsi" w:hAnsiTheme="minorHAnsi" w:cstheme="minorHAnsi"/>
          <w:sz w:val="22"/>
          <w:szCs w:val="22"/>
        </w:rPr>
        <w:t>the team</w:t>
      </w:r>
      <w:r w:rsidR="00101BE9">
        <w:rPr>
          <w:rFonts w:asciiTheme="minorHAnsi" w:hAnsiTheme="minorHAnsi" w:cstheme="minorHAnsi"/>
          <w:sz w:val="22"/>
          <w:szCs w:val="22"/>
        </w:rPr>
        <w:t xml:space="preserve"> </w:t>
      </w:r>
      <w:r w:rsidRPr="004F4D99">
        <w:rPr>
          <w:rFonts w:asciiTheme="minorHAnsi" w:hAnsiTheme="minorHAnsi" w:cstheme="minorHAnsi"/>
          <w:sz w:val="22"/>
          <w:szCs w:val="22"/>
        </w:rPr>
        <w:t xml:space="preserve">also consulted with a group of outside experts, as described in Section A8 of </w:t>
      </w:r>
      <w:r w:rsidR="00224162">
        <w:rPr>
          <w:rFonts w:asciiTheme="minorHAnsi" w:hAnsiTheme="minorHAnsi" w:cstheme="minorHAnsi"/>
          <w:sz w:val="22"/>
          <w:szCs w:val="22"/>
        </w:rPr>
        <w:t>SS</w:t>
      </w:r>
      <w:r w:rsidRPr="004F4D99">
        <w:rPr>
          <w:rFonts w:asciiTheme="minorHAnsi" w:hAnsiTheme="minorHAnsi" w:cstheme="minorHAnsi"/>
          <w:sz w:val="22"/>
          <w:szCs w:val="22"/>
        </w:rPr>
        <w:t xml:space="preserve">A. </w:t>
      </w:r>
    </w:p>
    <w:p w:rsidRPr="004F4D99" w:rsidR="009149DA" w:rsidP="00B75663" w:rsidRDefault="009149DA" w14:paraId="463FB426" w14:textId="06BEA924">
      <w:pPr>
        <w:pStyle w:val="NormalSS"/>
        <w:spacing w:after="120"/>
        <w:ind w:firstLine="0"/>
        <w:rPr>
          <w:rFonts w:asciiTheme="minorHAnsi" w:hAnsiTheme="minorHAnsi" w:cstheme="minorHAnsi"/>
          <w:sz w:val="22"/>
          <w:szCs w:val="22"/>
        </w:rPr>
      </w:pPr>
      <w:r w:rsidRPr="004F4D99">
        <w:rPr>
          <w:rFonts w:asciiTheme="minorHAnsi" w:hAnsiTheme="minorHAnsi" w:cstheme="minorHAnsi"/>
          <w:sz w:val="22"/>
          <w:szCs w:val="22"/>
        </w:rPr>
        <w:t xml:space="preserve">The following individuals at </w:t>
      </w:r>
      <w:r w:rsidR="007319B3">
        <w:rPr>
          <w:rFonts w:asciiTheme="minorHAnsi" w:hAnsiTheme="minorHAnsi" w:cstheme="minorHAnsi"/>
          <w:sz w:val="22"/>
          <w:szCs w:val="22"/>
        </w:rPr>
        <w:t xml:space="preserve">the </w:t>
      </w:r>
      <w:r w:rsidRPr="004F4D99">
        <w:rPr>
          <w:rFonts w:asciiTheme="minorHAnsi" w:hAnsiTheme="minorHAnsi" w:cstheme="minorHAnsi"/>
          <w:sz w:val="22"/>
          <w:szCs w:val="22"/>
        </w:rPr>
        <w:t>A</w:t>
      </w:r>
      <w:r w:rsidR="007319B3">
        <w:rPr>
          <w:rFonts w:asciiTheme="minorHAnsi" w:hAnsiTheme="minorHAnsi" w:cstheme="minorHAnsi"/>
          <w:sz w:val="22"/>
          <w:szCs w:val="22"/>
        </w:rPr>
        <w:t xml:space="preserve">dministration for </w:t>
      </w:r>
      <w:r w:rsidRPr="004F4D99">
        <w:rPr>
          <w:rFonts w:asciiTheme="minorHAnsi" w:hAnsiTheme="minorHAnsi" w:cstheme="minorHAnsi"/>
          <w:sz w:val="22"/>
          <w:szCs w:val="22"/>
        </w:rPr>
        <w:t>C</w:t>
      </w:r>
      <w:r w:rsidR="007319B3">
        <w:rPr>
          <w:rFonts w:asciiTheme="minorHAnsi" w:hAnsiTheme="minorHAnsi" w:cstheme="minorHAnsi"/>
          <w:sz w:val="22"/>
          <w:szCs w:val="22"/>
        </w:rPr>
        <w:t xml:space="preserve">hildren and </w:t>
      </w:r>
      <w:r w:rsidRPr="004F4D99">
        <w:rPr>
          <w:rFonts w:asciiTheme="minorHAnsi" w:hAnsiTheme="minorHAnsi" w:cstheme="minorHAnsi"/>
          <w:sz w:val="22"/>
          <w:szCs w:val="22"/>
        </w:rPr>
        <w:t>F</w:t>
      </w:r>
      <w:r w:rsidR="007319B3">
        <w:rPr>
          <w:rFonts w:asciiTheme="minorHAnsi" w:hAnsiTheme="minorHAnsi" w:cstheme="minorHAnsi"/>
          <w:sz w:val="22"/>
          <w:szCs w:val="22"/>
        </w:rPr>
        <w:t>amilies</w:t>
      </w:r>
      <w:r w:rsidRPr="004F4D99">
        <w:rPr>
          <w:rFonts w:asciiTheme="minorHAnsi" w:hAnsiTheme="minorHAnsi" w:cstheme="minorHAnsi"/>
          <w:sz w:val="22"/>
          <w:szCs w:val="22"/>
        </w:rPr>
        <w:t xml:space="preserve"> and Mathematica are leading the study team:</w:t>
      </w:r>
    </w:p>
    <w:tbl>
      <w:tblP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4675"/>
        <w:gridCol w:w="4675"/>
      </w:tblGrid>
      <w:tr w:rsidRPr="004F4D99" w:rsidR="009149DA" w:rsidTr="00BB58B9" w14:paraId="5DD8EDAE" w14:textId="77777777">
        <w:tc>
          <w:tcPr>
            <w:tcW w:w="4675" w:type="dxa"/>
            <w:shd w:val="clear" w:color="auto" w:fill="auto"/>
          </w:tcPr>
          <w:p w:rsidRPr="004F4D99" w:rsidR="009149DA" w:rsidP="00BB58B9" w:rsidRDefault="009149DA" w14:paraId="14EEFC16"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Amy Madigan, Ph.D.</w:t>
            </w:r>
            <w:r w:rsidRPr="004F4D99">
              <w:rPr>
                <w:rFonts w:asciiTheme="minorHAnsi" w:hAnsiTheme="minorHAnsi" w:cstheme="minorHAnsi"/>
                <w:sz w:val="22"/>
                <w:szCs w:val="22"/>
              </w:rPr>
              <w:br/>
              <w:t>Project Officer</w:t>
            </w:r>
            <w:r w:rsidRPr="004F4D99">
              <w:rPr>
                <w:rFonts w:asciiTheme="minorHAnsi" w:hAnsiTheme="minorHAnsi" w:cstheme="minorHAnsi"/>
                <w:sz w:val="22"/>
                <w:szCs w:val="22"/>
              </w:rPr>
              <w:br/>
              <w:t>Office of Planning, Research, and Evaluation</w:t>
            </w:r>
          </w:p>
          <w:p w:rsidRPr="004F4D99" w:rsidR="009149DA" w:rsidP="00BB58B9" w:rsidRDefault="009149DA" w14:paraId="2F49949C" w14:textId="77777777">
            <w:pPr>
              <w:pStyle w:val="NormalSS"/>
              <w:ind w:firstLine="0"/>
              <w:rPr>
                <w:rFonts w:asciiTheme="minorHAnsi" w:hAnsiTheme="minorHAnsi" w:cstheme="minorHAnsi"/>
                <w:sz w:val="22"/>
                <w:szCs w:val="22"/>
              </w:rPr>
            </w:pPr>
            <w:r w:rsidRPr="004F4D99">
              <w:rPr>
                <w:rFonts w:asciiTheme="minorHAnsi" w:hAnsiTheme="minorHAnsi" w:cstheme="minorHAnsi"/>
                <w:sz w:val="22"/>
                <w:szCs w:val="22"/>
              </w:rPr>
              <w:t>Amy.Madigan@acf.hhs.gov</w:t>
            </w:r>
          </w:p>
        </w:tc>
        <w:tc>
          <w:tcPr>
            <w:tcW w:w="4675" w:type="dxa"/>
            <w:shd w:val="clear" w:color="auto" w:fill="auto"/>
          </w:tcPr>
          <w:p w:rsidRPr="004F4D99" w:rsidR="00BC6FB1" w:rsidP="00BC6FB1" w:rsidRDefault="00BC6FB1" w14:paraId="7E4E88FD" w14:textId="61173350">
            <w:pPr>
              <w:pStyle w:val="NormalSScontinued"/>
              <w:spacing w:before="20" w:after="20"/>
              <w:rPr>
                <w:rFonts w:asciiTheme="minorHAnsi" w:hAnsiTheme="minorHAnsi" w:cstheme="minorHAnsi"/>
                <w:sz w:val="22"/>
                <w:szCs w:val="22"/>
              </w:rPr>
            </w:pPr>
            <w:r>
              <w:rPr>
                <w:rFonts w:asciiTheme="minorHAnsi" w:hAnsiTheme="minorHAnsi" w:cstheme="minorHAnsi"/>
                <w:sz w:val="22"/>
                <w:szCs w:val="22"/>
              </w:rPr>
              <w:t>Sarah Blankenship</w:t>
            </w:r>
            <w:r w:rsidRPr="004F4D99">
              <w:rPr>
                <w:rFonts w:asciiTheme="minorHAnsi" w:hAnsiTheme="minorHAnsi" w:cstheme="minorHAnsi"/>
                <w:sz w:val="22"/>
                <w:szCs w:val="22"/>
              </w:rPr>
              <w:t>, Ph.D.</w:t>
            </w:r>
            <w:r w:rsidRPr="004F4D99">
              <w:rPr>
                <w:rFonts w:asciiTheme="minorHAnsi" w:hAnsiTheme="minorHAnsi" w:cstheme="minorHAnsi"/>
                <w:sz w:val="22"/>
                <w:szCs w:val="22"/>
              </w:rPr>
              <w:br/>
            </w:r>
            <w:r>
              <w:rPr>
                <w:rFonts w:asciiTheme="minorHAnsi" w:hAnsiTheme="minorHAnsi" w:cstheme="minorHAnsi"/>
                <w:sz w:val="22"/>
                <w:szCs w:val="22"/>
              </w:rPr>
              <w:t>Child Care Program Specialist</w:t>
            </w:r>
            <w:r w:rsidRPr="004F4D99">
              <w:rPr>
                <w:rFonts w:asciiTheme="minorHAnsi" w:hAnsiTheme="minorHAnsi" w:cstheme="minorHAnsi"/>
                <w:sz w:val="22"/>
                <w:szCs w:val="22"/>
              </w:rPr>
              <w:br/>
              <w:t>Office of Planning, Research, and Evaluation</w:t>
            </w:r>
          </w:p>
          <w:p w:rsidRPr="004F4D99" w:rsidR="009149DA" w:rsidP="00BC6FB1" w:rsidRDefault="00BC6FB1" w14:paraId="36A11CC1" w14:textId="1C61380F">
            <w:pPr>
              <w:pStyle w:val="NormalSS"/>
              <w:ind w:firstLine="0"/>
              <w:rPr>
                <w:rFonts w:asciiTheme="minorHAnsi" w:hAnsiTheme="minorHAnsi" w:cstheme="minorHAnsi"/>
                <w:sz w:val="22"/>
                <w:szCs w:val="22"/>
              </w:rPr>
            </w:pPr>
            <w:r>
              <w:rPr>
                <w:rFonts w:asciiTheme="minorHAnsi" w:hAnsiTheme="minorHAnsi" w:cstheme="minorHAnsi"/>
                <w:sz w:val="22"/>
                <w:szCs w:val="22"/>
              </w:rPr>
              <w:t>Sarah</w:t>
            </w:r>
            <w:r w:rsidRPr="004F4D99">
              <w:rPr>
                <w:rFonts w:asciiTheme="minorHAnsi" w:hAnsiTheme="minorHAnsi" w:cstheme="minorHAnsi"/>
                <w:sz w:val="22"/>
                <w:szCs w:val="22"/>
              </w:rPr>
              <w:t>.</w:t>
            </w:r>
            <w:r>
              <w:rPr>
                <w:rFonts w:asciiTheme="minorHAnsi" w:hAnsiTheme="minorHAnsi" w:cstheme="minorHAnsi"/>
                <w:sz w:val="22"/>
                <w:szCs w:val="22"/>
              </w:rPr>
              <w:t>Blankenship</w:t>
            </w:r>
            <w:r w:rsidRPr="004F4D99">
              <w:rPr>
                <w:rFonts w:asciiTheme="minorHAnsi" w:hAnsiTheme="minorHAnsi" w:cstheme="minorHAnsi"/>
                <w:sz w:val="22"/>
                <w:szCs w:val="22"/>
              </w:rPr>
              <w:t>@acf.hhs.gov</w:t>
            </w:r>
          </w:p>
        </w:tc>
      </w:tr>
      <w:tr w:rsidRPr="004F4D99" w:rsidR="009149DA" w:rsidTr="00BB58B9" w14:paraId="45048A29" w14:textId="77777777">
        <w:tc>
          <w:tcPr>
            <w:tcW w:w="4675" w:type="dxa"/>
            <w:shd w:val="clear" w:color="auto" w:fill="auto"/>
          </w:tcPr>
          <w:p w:rsidRPr="004F4D99" w:rsidR="00BC6FB1" w:rsidP="00BC6FB1" w:rsidRDefault="00BC6FB1" w14:paraId="0E5636B5" w14:textId="7EC0B756">
            <w:pPr>
              <w:pStyle w:val="NormalSScontinued"/>
              <w:spacing w:before="20" w:after="20"/>
              <w:rPr>
                <w:rFonts w:asciiTheme="minorHAnsi" w:hAnsiTheme="minorHAnsi" w:cstheme="minorHAnsi"/>
                <w:sz w:val="22"/>
                <w:szCs w:val="22"/>
              </w:rPr>
            </w:pPr>
            <w:r>
              <w:rPr>
                <w:rFonts w:asciiTheme="minorHAnsi" w:hAnsiTheme="minorHAnsi" w:cstheme="minorHAnsi"/>
                <w:sz w:val="22"/>
                <w:szCs w:val="22"/>
              </w:rPr>
              <w:t>Christine Fortuna</w:t>
            </w:r>
            <w:r w:rsidR="008D36EF">
              <w:rPr>
                <w:rFonts w:asciiTheme="minorHAnsi" w:hAnsiTheme="minorHAnsi" w:cstheme="minorHAnsi"/>
                <w:sz w:val="22"/>
                <w:szCs w:val="22"/>
              </w:rPr>
              <w:t>t</w:t>
            </w:r>
            <w:r>
              <w:rPr>
                <w:rFonts w:asciiTheme="minorHAnsi" w:hAnsiTheme="minorHAnsi" w:cstheme="minorHAnsi"/>
                <w:sz w:val="22"/>
                <w:szCs w:val="22"/>
              </w:rPr>
              <w:t>o</w:t>
            </w:r>
            <w:r w:rsidRPr="004F4D99">
              <w:rPr>
                <w:rFonts w:asciiTheme="minorHAnsi" w:hAnsiTheme="minorHAnsi" w:cstheme="minorHAnsi"/>
                <w:sz w:val="22"/>
                <w:szCs w:val="22"/>
              </w:rPr>
              <w:t>, Ph.D.</w:t>
            </w:r>
            <w:r w:rsidRPr="004F4D99">
              <w:rPr>
                <w:rFonts w:asciiTheme="minorHAnsi" w:hAnsiTheme="minorHAnsi" w:cstheme="minorHAnsi"/>
                <w:sz w:val="22"/>
                <w:szCs w:val="22"/>
              </w:rPr>
              <w:br/>
            </w:r>
            <w:r>
              <w:rPr>
                <w:rFonts w:asciiTheme="minorHAnsi" w:hAnsiTheme="minorHAnsi" w:cstheme="minorHAnsi"/>
                <w:sz w:val="22"/>
                <w:szCs w:val="22"/>
              </w:rPr>
              <w:t>Senior Social Science Research Analyst</w:t>
            </w:r>
            <w:r w:rsidRPr="004F4D99">
              <w:rPr>
                <w:rFonts w:asciiTheme="minorHAnsi" w:hAnsiTheme="minorHAnsi" w:cstheme="minorHAnsi"/>
                <w:sz w:val="22"/>
                <w:szCs w:val="22"/>
              </w:rPr>
              <w:br/>
              <w:t>Office of Planning, Research, and Evaluation</w:t>
            </w:r>
          </w:p>
          <w:p w:rsidRPr="004F4D99" w:rsidR="00BC6FB1" w:rsidP="00BC6FB1" w:rsidRDefault="00BC6FB1" w14:paraId="488EB9CF" w14:textId="710F8D0D">
            <w:pPr>
              <w:pStyle w:val="NormalSS"/>
              <w:ind w:firstLine="0"/>
              <w:rPr>
                <w:rFonts w:asciiTheme="minorHAnsi" w:hAnsiTheme="minorHAnsi" w:cstheme="minorHAnsi"/>
                <w:sz w:val="22"/>
                <w:szCs w:val="22"/>
              </w:rPr>
            </w:pPr>
            <w:r>
              <w:rPr>
                <w:rFonts w:asciiTheme="minorHAnsi" w:hAnsiTheme="minorHAnsi" w:cstheme="minorHAnsi"/>
                <w:sz w:val="22"/>
                <w:szCs w:val="22"/>
              </w:rPr>
              <w:t>Christine</w:t>
            </w:r>
            <w:r w:rsidRPr="004F4D99">
              <w:rPr>
                <w:rFonts w:asciiTheme="minorHAnsi" w:hAnsiTheme="minorHAnsi" w:cstheme="minorHAnsi"/>
                <w:sz w:val="22"/>
                <w:szCs w:val="22"/>
              </w:rPr>
              <w:t>.</w:t>
            </w:r>
            <w:r>
              <w:rPr>
                <w:rFonts w:asciiTheme="minorHAnsi" w:hAnsiTheme="minorHAnsi" w:cstheme="minorHAnsi"/>
                <w:sz w:val="22"/>
                <w:szCs w:val="22"/>
              </w:rPr>
              <w:t>Fortunado</w:t>
            </w:r>
            <w:r w:rsidRPr="004F4D99">
              <w:rPr>
                <w:rFonts w:asciiTheme="minorHAnsi" w:hAnsiTheme="minorHAnsi" w:cstheme="minorHAnsi"/>
                <w:sz w:val="22"/>
                <w:szCs w:val="22"/>
              </w:rPr>
              <w:t>@acf.hhs.gov</w:t>
            </w:r>
          </w:p>
        </w:tc>
        <w:tc>
          <w:tcPr>
            <w:tcW w:w="4675" w:type="dxa"/>
            <w:shd w:val="clear" w:color="auto" w:fill="auto"/>
          </w:tcPr>
          <w:p w:rsidRPr="004F4D99" w:rsidR="009149DA" w:rsidP="00BB58B9" w:rsidRDefault="009149DA" w14:paraId="267B0EF2"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 xml:space="preserve">Jenessa Malin, Ph.D. </w:t>
            </w:r>
            <w:r w:rsidRPr="004F4D99">
              <w:rPr>
                <w:rFonts w:asciiTheme="minorHAnsi" w:hAnsiTheme="minorHAnsi" w:cstheme="minorHAnsi"/>
                <w:sz w:val="22"/>
                <w:szCs w:val="22"/>
              </w:rPr>
              <w:br/>
              <w:t xml:space="preserve">Social Science Research Analyst </w:t>
            </w:r>
            <w:r w:rsidRPr="004F4D99">
              <w:rPr>
                <w:rFonts w:asciiTheme="minorHAnsi" w:hAnsiTheme="minorHAnsi" w:cstheme="minorHAnsi"/>
                <w:sz w:val="22"/>
                <w:szCs w:val="22"/>
              </w:rPr>
              <w:br/>
              <w:t>Office of Planning, Research, and Evaluation</w:t>
            </w:r>
          </w:p>
          <w:p w:rsidRPr="004F4D99" w:rsidR="009149DA" w:rsidP="00BB58B9" w:rsidRDefault="009149DA" w14:paraId="59F91E19"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Jenessa.Malin@acf.hhs.gov</w:t>
            </w:r>
          </w:p>
        </w:tc>
      </w:tr>
      <w:tr w:rsidRPr="004F4D99" w:rsidR="00B75663" w:rsidTr="00BB58B9" w14:paraId="07D5EF66" w14:textId="77777777">
        <w:tc>
          <w:tcPr>
            <w:tcW w:w="4675" w:type="dxa"/>
            <w:shd w:val="clear" w:color="auto" w:fill="auto"/>
          </w:tcPr>
          <w:p w:rsidR="00B75663" w:rsidP="00B75663" w:rsidRDefault="00B75663" w14:paraId="200957D3" w14:textId="6A364A61">
            <w:pPr>
              <w:pStyle w:val="NormalSS"/>
              <w:ind w:firstLine="0"/>
              <w:contextualSpacing/>
              <w:rPr>
                <w:rFonts w:asciiTheme="minorHAnsi" w:hAnsiTheme="minorHAnsi" w:cstheme="minorHAnsi"/>
                <w:sz w:val="22"/>
                <w:szCs w:val="22"/>
              </w:rPr>
            </w:pPr>
            <w:r w:rsidRPr="004F4D99">
              <w:rPr>
                <w:rFonts w:asciiTheme="minorHAnsi" w:hAnsiTheme="minorHAnsi" w:cstheme="minorHAnsi"/>
                <w:sz w:val="22"/>
                <w:szCs w:val="22"/>
              </w:rPr>
              <w:t>Cheri Vogel, Ph.D.</w:t>
            </w:r>
            <w:r w:rsidRPr="004F4D99">
              <w:rPr>
                <w:rFonts w:asciiTheme="minorHAnsi" w:hAnsiTheme="minorHAnsi" w:cstheme="minorHAnsi"/>
                <w:sz w:val="22"/>
                <w:szCs w:val="22"/>
              </w:rPr>
              <w:br/>
              <w:t xml:space="preserve">Project Director </w:t>
            </w:r>
            <w:r w:rsidRPr="004F4D99">
              <w:rPr>
                <w:rFonts w:asciiTheme="minorHAnsi" w:hAnsiTheme="minorHAnsi" w:cstheme="minorHAnsi"/>
                <w:sz w:val="22"/>
                <w:szCs w:val="22"/>
              </w:rPr>
              <w:br/>
              <w:t xml:space="preserve">Mathematica </w:t>
            </w:r>
            <w:r>
              <w:rPr>
                <w:rFonts w:asciiTheme="minorHAnsi" w:hAnsiTheme="minorHAnsi" w:cstheme="minorHAnsi"/>
                <w:sz w:val="22"/>
                <w:szCs w:val="22"/>
              </w:rPr>
              <w:br/>
            </w:r>
            <w:r w:rsidRPr="004F4D99">
              <w:rPr>
                <w:rFonts w:asciiTheme="minorHAnsi" w:hAnsiTheme="minorHAnsi" w:cstheme="minorHAnsi"/>
                <w:sz w:val="22"/>
                <w:szCs w:val="22"/>
              </w:rPr>
              <w:t>CVogel@mathematica-mpr.com</w:t>
            </w:r>
          </w:p>
        </w:tc>
        <w:tc>
          <w:tcPr>
            <w:tcW w:w="4675" w:type="dxa"/>
            <w:shd w:val="clear" w:color="auto" w:fill="auto"/>
          </w:tcPr>
          <w:p w:rsidR="00B75663" w:rsidP="00B75663" w:rsidRDefault="00B75663" w14:paraId="11009A95" w14:textId="77777777">
            <w:pPr>
              <w:pStyle w:val="NormalSS"/>
              <w:spacing w:after="0"/>
              <w:ind w:firstLine="0"/>
              <w:rPr>
                <w:rFonts w:asciiTheme="minorHAnsi" w:hAnsiTheme="minorHAnsi" w:cstheme="minorHAnsi"/>
                <w:sz w:val="22"/>
                <w:szCs w:val="22"/>
              </w:rPr>
            </w:pPr>
            <w:r>
              <w:rPr>
                <w:rFonts w:asciiTheme="minorHAnsi" w:hAnsiTheme="minorHAnsi" w:cstheme="minorHAnsi"/>
                <w:sz w:val="22"/>
                <w:szCs w:val="22"/>
              </w:rPr>
              <w:t>Patricia Del Grosso, M.S</w:t>
            </w:r>
            <w:r w:rsidRPr="004F4D99">
              <w:rPr>
                <w:rFonts w:asciiTheme="minorHAnsi" w:hAnsiTheme="minorHAnsi" w:cstheme="minorHAnsi"/>
                <w:sz w:val="22"/>
                <w:szCs w:val="22"/>
              </w:rPr>
              <w:t>.</w:t>
            </w:r>
            <w:r w:rsidRPr="004F4D99">
              <w:rPr>
                <w:rFonts w:asciiTheme="minorHAnsi" w:hAnsiTheme="minorHAnsi" w:cstheme="minorHAnsi"/>
                <w:sz w:val="22"/>
                <w:szCs w:val="22"/>
              </w:rPr>
              <w:br/>
              <w:t xml:space="preserve">Project Director </w:t>
            </w:r>
            <w:r w:rsidRPr="004F4D99">
              <w:rPr>
                <w:rFonts w:asciiTheme="minorHAnsi" w:hAnsiTheme="minorHAnsi" w:cstheme="minorHAnsi"/>
                <w:sz w:val="22"/>
                <w:szCs w:val="22"/>
              </w:rPr>
              <w:br/>
              <w:t>Mathematica</w:t>
            </w:r>
          </w:p>
          <w:p w:rsidRPr="004F4D99" w:rsidR="00B75663" w:rsidP="00B75663" w:rsidRDefault="00B75663" w14:paraId="217B075B" w14:textId="5F36F183">
            <w:pPr>
              <w:pStyle w:val="NormalSScontinued"/>
              <w:spacing w:before="20" w:after="20"/>
              <w:rPr>
                <w:rFonts w:asciiTheme="minorHAnsi" w:hAnsiTheme="minorHAnsi" w:cstheme="minorHAnsi"/>
                <w:sz w:val="22"/>
                <w:szCs w:val="22"/>
              </w:rPr>
            </w:pPr>
            <w:r>
              <w:rPr>
                <w:rFonts w:asciiTheme="minorHAnsi" w:hAnsiTheme="minorHAnsi" w:cstheme="minorHAnsi"/>
                <w:sz w:val="22"/>
                <w:szCs w:val="22"/>
              </w:rPr>
              <w:t>PDelGrosso</w:t>
            </w:r>
            <w:r w:rsidRPr="004F4D99">
              <w:rPr>
                <w:rFonts w:asciiTheme="minorHAnsi" w:hAnsiTheme="minorHAnsi" w:cstheme="minorHAnsi"/>
                <w:sz w:val="22"/>
                <w:szCs w:val="22"/>
              </w:rPr>
              <w:t>@mathematica-mpr.com</w:t>
            </w:r>
          </w:p>
        </w:tc>
      </w:tr>
      <w:tr w:rsidRPr="004F4D99" w:rsidR="009149DA" w:rsidTr="00BB58B9" w14:paraId="3889150D" w14:textId="77777777">
        <w:tc>
          <w:tcPr>
            <w:tcW w:w="4675" w:type="dxa"/>
            <w:shd w:val="clear" w:color="auto" w:fill="auto"/>
          </w:tcPr>
          <w:p w:rsidRPr="004F4D99" w:rsidR="009149DA" w:rsidP="00BC6FB1" w:rsidRDefault="009149DA" w14:paraId="23A8BD3C" w14:textId="499A6A04">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Yange Xue, Ph.D.</w:t>
            </w:r>
            <w:r w:rsidRPr="004F4D99">
              <w:rPr>
                <w:rFonts w:asciiTheme="minorHAnsi" w:hAnsiTheme="minorHAnsi" w:cstheme="minorHAnsi"/>
                <w:sz w:val="22"/>
                <w:szCs w:val="22"/>
              </w:rPr>
              <w:br/>
              <w:t>Co-Principal Investigator</w:t>
            </w:r>
            <w:r w:rsidRPr="004F4D99">
              <w:rPr>
                <w:rFonts w:asciiTheme="minorHAnsi" w:hAnsiTheme="minorHAnsi" w:cstheme="minorHAnsi"/>
                <w:sz w:val="22"/>
                <w:szCs w:val="22"/>
              </w:rPr>
              <w:br/>
              <w:t xml:space="preserve">Mathematica </w:t>
            </w:r>
          </w:p>
          <w:p w:rsidRPr="004F4D99" w:rsidR="009149DA" w:rsidP="00BC6FB1" w:rsidRDefault="009149DA" w14:paraId="1B705C86" w14:textId="43E2016E">
            <w:pPr>
              <w:pStyle w:val="NormalSS"/>
              <w:ind w:hanging="23"/>
              <w:rPr>
                <w:rFonts w:asciiTheme="minorHAnsi" w:hAnsiTheme="minorHAnsi" w:cstheme="minorHAnsi"/>
                <w:sz w:val="22"/>
                <w:szCs w:val="22"/>
              </w:rPr>
            </w:pPr>
            <w:r w:rsidRPr="004F4D99">
              <w:rPr>
                <w:rFonts w:asciiTheme="minorHAnsi" w:hAnsiTheme="minorHAnsi" w:cstheme="minorHAnsi"/>
                <w:sz w:val="22"/>
                <w:szCs w:val="22"/>
              </w:rPr>
              <w:t>YXue@mathematica-mpr.com</w:t>
            </w:r>
          </w:p>
        </w:tc>
        <w:tc>
          <w:tcPr>
            <w:tcW w:w="4675" w:type="dxa"/>
            <w:shd w:val="clear" w:color="auto" w:fill="auto"/>
          </w:tcPr>
          <w:p w:rsidRPr="004F4D99" w:rsidR="00DB6BA4" w:rsidP="00DB6BA4" w:rsidRDefault="00DB6BA4" w14:paraId="74FB5D65" w14:textId="1BE2FCC0">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 xml:space="preserve">Barbara Carlson, M.A. </w:t>
            </w:r>
            <w:r w:rsidRPr="004F4D99">
              <w:rPr>
                <w:rFonts w:asciiTheme="minorHAnsi" w:hAnsiTheme="minorHAnsi" w:cstheme="minorHAnsi"/>
                <w:sz w:val="22"/>
                <w:szCs w:val="22"/>
              </w:rPr>
              <w:br/>
              <w:t>Senior Statistician</w:t>
            </w:r>
            <w:r w:rsidRPr="004F4D99">
              <w:rPr>
                <w:rFonts w:asciiTheme="minorHAnsi" w:hAnsiTheme="minorHAnsi" w:cstheme="minorHAnsi"/>
                <w:sz w:val="22"/>
                <w:szCs w:val="22"/>
              </w:rPr>
              <w:br/>
              <w:t xml:space="preserve">Mathematica </w:t>
            </w:r>
          </w:p>
          <w:p w:rsidRPr="004F4D99" w:rsidR="009149DA" w:rsidP="00DB6BA4" w:rsidRDefault="00DB6BA4" w14:paraId="782B848D" w14:textId="6A3AE872">
            <w:pPr>
              <w:pStyle w:val="NormalSS"/>
              <w:ind w:firstLine="0"/>
              <w:rPr>
                <w:rFonts w:asciiTheme="minorHAnsi" w:hAnsiTheme="minorHAnsi" w:cstheme="minorHAnsi"/>
                <w:sz w:val="22"/>
                <w:szCs w:val="22"/>
              </w:rPr>
            </w:pPr>
            <w:r w:rsidRPr="004F4D99">
              <w:rPr>
                <w:rFonts w:asciiTheme="minorHAnsi" w:hAnsiTheme="minorHAnsi" w:cstheme="minorHAnsi"/>
                <w:sz w:val="22"/>
                <w:szCs w:val="22"/>
              </w:rPr>
              <w:t>BCarlson@mathematica-mpr.com</w:t>
            </w:r>
          </w:p>
        </w:tc>
      </w:tr>
      <w:tr w:rsidRPr="004F4D99" w:rsidR="009149DA" w:rsidTr="00BB58B9" w14:paraId="1CE60AE8" w14:textId="77777777">
        <w:tc>
          <w:tcPr>
            <w:tcW w:w="4675" w:type="dxa"/>
            <w:shd w:val="clear" w:color="auto" w:fill="auto"/>
          </w:tcPr>
          <w:p w:rsidR="0041478B" w:rsidP="0041478B" w:rsidRDefault="0041478B" w14:paraId="39928FF2" w14:textId="06ED1D94">
            <w:pPr>
              <w:pStyle w:val="NormalSS"/>
              <w:ind w:firstLine="0"/>
              <w:contextualSpacing/>
              <w:rPr>
                <w:rFonts w:asciiTheme="minorHAnsi" w:hAnsiTheme="minorHAnsi" w:cstheme="minorHAnsi"/>
                <w:sz w:val="22"/>
                <w:szCs w:val="22"/>
              </w:rPr>
            </w:pPr>
            <w:r>
              <w:rPr>
                <w:rFonts w:asciiTheme="minorHAnsi" w:hAnsiTheme="minorHAnsi" w:cstheme="minorHAnsi"/>
                <w:sz w:val="22"/>
                <w:szCs w:val="22"/>
              </w:rPr>
              <w:t>Sara Skidmore</w:t>
            </w:r>
            <w:r w:rsidR="006D4AF2">
              <w:rPr>
                <w:rFonts w:asciiTheme="minorHAnsi" w:hAnsiTheme="minorHAnsi" w:cstheme="minorHAnsi"/>
                <w:sz w:val="22"/>
                <w:szCs w:val="22"/>
              </w:rPr>
              <w:t>, B.A.</w:t>
            </w:r>
            <w:r w:rsidRPr="004F4D99">
              <w:rPr>
                <w:rFonts w:asciiTheme="minorHAnsi" w:hAnsiTheme="minorHAnsi" w:cstheme="minorHAnsi"/>
                <w:sz w:val="22"/>
                <w:szCs w:val="22"/>
              </w:rPr>
              <w:br/>
            </w:r>
            <w:r>
              <w:rPr>
                <w:rFonts w:asciiTheme="minorHAnsi" w:hAnsiTheme="minorHAnsi" w:cstheme="minorHAnsi"/>
                <w:sz w:val="22"/>
                <w:szCs w:val="22"/>
              </w:rPr>
              <w:t>Survey Director</w:t>
            </w:r>
            <w:r w:rsidRPr="004F4D99">
              <w:rPr>
                <w:rFonts w:asciiTheme="minorHAnsi" w:hAnsiTheme="minorHAnsi" w:cstheme="minorHAnsi"/>
                <w:sz w:val="22"/>
                <w:szCs w:val="22"/>
              </w:rPr>
              <w:t xml:space="preserve"> </w:t>
            </w:r>
            <w:r w:rsidRPr="004F4D99">
              <w:rPr>
                <w:rFonts w:asciiTheme="minorHAnsi" w:hAnsiTheme="minorHAnsi" w:cstheme="minorHAnsi"/>
                <w:sz w:val="22"/>
                <w:szCs w:val="22"/>
              </w:rPr>
              <w:br/>
              <w:t xml:space="preserve">Mathematica </w:t>
            </w:r>
          </w:p>
          <w:p w:rsidRPr="004F4D99" w:rsidR="009149DA" w:rsidP="0041478B" w:rsidRDefault="0041478B" w14:paraId="644086BE" w14:textId="1F1AB1A4">
            <w:pPr>
              <w:pStyle w:val="NormalSS"/>
              <w:ind w:firstLine="0"/>
              <w:rPr>
                <w:rFonts w:asciiTheme="minorHAnsi" w:hAnsiTheme="minorHAnsi" w:cstheme="minorHAnsi"/>
                <w:sz w:val="22"/>
                <w:szCs w:val="22"/>
              </w:rPr>
            </w:pPr>
            <w:r>
              <w:rPr>
                <w:rFonts w:asciiTheme="minorHAnsi" w:hAnsiTheme="minorHAnsi" w:cstheme="minorHAnsi"/>
                <w:sz w:val="22"/>
                <w:szCs w:val="22"/>
              </w:rPr>
              <w:t>SSkidmore</w:t>
            </w:r>
            <w:r w:rsidRPr="004F4D99">
              <w:rPr>
                <w:rFonts w:asciiTheme="minorHAnsi" w:hAnsiTheme="minorHAnsi" w:cstheme="minorHAnsi"/>
                <w:sz w:val="22"/>
                <w:szCs w:val="22"/>
              </w:rPr>
              <w:t>@mathematica-mpr.com</w:t>
            </w:r>
          </w:p>
        </w:tc>
        <w:tc>
          <w:tcPr>
            <w:tcW w:w="4675" w:type="dxa"/>
            <w:shd w:val="clear" w:color="auto" w:fill="auto"/>
          </w:tcPr>
          <w:p w:rsidR="0041478B" w:rsidP="0041478B" w:rsidRDefault="0041478B" w14:paraId="14D97121" w14:textId="6D1FB33F">
            <w:pPr>
              <w:pStyle w:val="NormalSS"/>
              <w:ind w:firstLine="0"/>
              <w:contextualSpacing/>
              <w:rPr>
                <w:rFonts w:asciiTheme="minorHAnsi" w:hAnsiTheme="minorHAnsi" w:cstheme="minorHAnsi"/>
                <w:sz w:val="22"/>
                <w:szCs w:val="22"/>
              </w:rPr>
            </w:pPr>
            <w:r>
              <w:rPr>
                <w:rFonts w:asciiTheme="minorHAnsi" w:hAnsiTheme="minorHAnsi" w:cstheme="minorHAnsi"/>
                <w:sz w:val="22"/>
                <w:szCs w:val="22"/>
              </w:rPr>
              <w:t>Sara Bernstein, Ph.D.</w:t>
            </w:r>
            <w:r w:rsidRPr="004F4D99">
              <w:rPr>
                <w:rFonts w:asciiTheme="minorHAnsi" w:hAnsiTheme="minorHAnsi" w:cstheme="minorHAnsi"/>
                <w:sz w:val="22"/>
                <w:szCs w:val="22"/>
              </w:rPr>
              <w:br/>
            </w:r>
            <w:r>
              <w:rPr>
                <w:rFonts w:asciiTheme="minorHAnsi" w:hAnsiTheme="minorHAnsi" w:cstheme="minorHAnsi"/>
                <w:sz w:val="22"/>
                <w:szCs w:val="22"/>
              </w:rPr>
              <w:t>Co-Princip</w:t>
            </w:r>
            <w:r w:rsidR="0037279A">
              <w:rPr>
                <w:rFonts w:asciiTheme="minorHAnsi" w:hAnsiTheme="minorHAnsi" w:cstheme="minorHAnsi"/>
                <w:sz w:val="22"/>
                <w:szCs w:val="22"/>
              </w:rPr>
              <w:t>a</w:t>
            </w:r>
            <w:r>
              <w:rPr>
                <w:rFonts w:asciiTheme="minorHAnsi" w:hAnsiTheme="minorHAnsi" w:cstheme="minorHAnsi"/>
                <w:sz w:val="22"/>
                <w:szCs w:val="22"/>
              </w:rPr>
              <w:t>l Investigator</w:t>
            </w:r>
            <w:r w:rsidRPr="004F4D99">
              <w:rPr>
                <w:rFonts w:asciiTheme="minorHAnsi" w:hAnsiTheme="minorHAnsi" w:cstheme="minorHAnsi"/>
                <w:sz w:val="22"/>
                <w:szCs w:val="22"/>
              </w:rPr>
              <w:t xml:space="preserve"> </w:t>
            </w:r>
            <w:r w:rsidRPr="004F4D99">
              <w:rPr>
                <w:rFonts w:asciiTheme="minorHAnsi" w:hAnsiTheme="minorHAnsi" w:cstheme="minorHAnsi"/>
                <w:sz w:val="22"/>
                <w:szCs w:val="22"/>
              </w:rPr>
              <w:br/>
              <w:t xml:space="preserve">Mathematica </w:t>
            </w:r>
          </w:p>
          <w:p w:rsidRPr="004F4D99" w:rsidR="009149DA" w:rsidP="0041478B" w:rsidRDefault="0041478B" w14:paraId="7177D2FC" w14:textId="603CE9D2">
            <w:pPr>
              <w:pStyle w:val="NormalSS"/>
              <w:ind w:firstLine="0"/>
              <w:rPr>
                <w:rFonts w:asciiTheme="minorHAnsi" w:hAnsiTheme="minorHAnsi" w:cstheme="minorHAnsi"/>
                <w:sz w:val="22"/>
                <w:szCs w:val="22"/>
              </w:rPr>
            </w:pPr>
            <w:r>
              <w:rPr>
                <w:rFonts w:asciiTheme="minorHAnsi" w:hAnsiTheme="minorHAnsi" w:cstheme="minorHAnsi"/>
                <w:sz w:val="22"/>
                <w:szCs w:val="22"/>
              </w:rPr>
              <w:t>SBernstein</w:t>
            </w:r>
            <w:r w:rsidRPr="004F4D99">
              <w:rPr>
                <w:rFonts w:asciiTheme="minorHAnsi" w:hAnsiTheme="minorHAnsi" w:cstheme="minorHAnsi"/>
                <w:sz w:val="22"/>
                <w:szCs w:val="22"/>
              </w:rPr>
              <w:t>@mathematica-mpr.com</w:t>
            </w:r>
          </w:p>
        </w:tc>
      </w:tr>
    </w:tbl>
    <w:p w:rsidRPr="00EF607D" w:rsidR="00A42C71" w:rsidP="00A42C71" w:rsidRDefault="00A42C71" w14:paraId="3F327361" w14:textId="49DDCF20">
      <w:pPr>
        <w:pStyle w:val="ListParagraph"/>
        <w:spacing w:after="0" w:line="240" w:lineRule="auto"/>
        <w:ind w:left="0"/>
        <w:rPr>
          <w:rFonts w:cstheme="minorHAnsi"/>
          <w:b/>
        </w:rPr>
      </w:pPr>
    </w:p>
    <w:p w:rsidRPr="00EF607D" w:rsidR="00A42C71" w:rsidP="00A42C71" w:rsidRDefault="00A42C71" w14:paraId="0D8125A9" w14:textId="77777777">
      <w:pPr>
        <w:pStyle w:val="ListParagraph"/>
        <w:spacing w:after="0" w:line="240" w:lineRule="auto"/>
        <w:ind w:left="0"/>
        <w:rPr>
          <w:rFonts w:cstheme="minorHAnsi"/>
          <w:b/>
        </w:rPr>
      </w:pPr>
    </w:p>
    <w:p w:rsidRPr="00EF607D" w:rsidR="00A42C71" w:rsidP="00A42C71" w:rsidRDefault="00A42C71" w14:paraId="2B00F308" w14:textId="3991C3E8">
      <w:pPr>
        <w:spacing w:after="120" w:line="240" w:lineRule="auto"/>
        <w:rPr>
          <w:rFonts w:cstheme="minorHAnsi"/>
          <w:b/>
        </w:rPr>
      </w:pPr>
      <w:r w:rsidRPr="00EF607D">
        <w:rPr>
          <w:rFonts w:cstheme="minorHAnsi"/>
          <w:b/>
        </w:rPr>
        <w:t>Attachments</w:t>
      </w:r>
    </w:p>
    <w:p w:rsidRPr="0032109D" w:rsidR="00665C3A" w:rsidP="00B75663" w:rsidRDefault="00665C3A" w14:paraId="73584DDB" w14:textId="77777777">
      <w:pPr>
        <w:spacing w:after="120"/>
        <w:rPr>
          <w:b/>
          <w:bCs/>
        </w:rPr>
      </w:pPr>
      <w:r w:rsidRPr="0032109D">
        <w:rPr>
          <w:b/>
          <w:bCs/>
        </w:rPr>
        <w:t>Instruments</w:t>
      </w:r>
    </w:p>
    <w:p w:rsidR="00665C3A" w:rsidP="00B75663" w:rsidRDefault="00665C3A" w14:paraId="1DAFCFEF" w14:textId="742C72FE">
      <w:pPr>
        <w:spacing w:after="0"/>
      </w:pPr>
      <w:r>
        <w:t>Instrument 1. EHS Program Director Survey</w:t>
      </w:r>
    </w:p>
    <w:p w:rsidR="00665C3A" w:rsidP="00B75663" w:rsidRDefault="00665C3A" w14:paraId="7CC8C396" w14:textId="77777777">
      <w:pPr>
        <w:spacing w:after="0"/>
      </w:pPr>
      <w:r>
        <w:t>Instrument 2. Sustained Partnership Provider Survey</w:t>
      </w:r>
    </w:p>
    <w:p w:rsidR="00665C3A" w:rsidP="00B75663" w:rsidRDefault="00665C3A" w14:paraId="3D044170" w14:textId="77777777">
      <w:pPr>
        <w:spacing w:after="0"/>
      </w:pPr>
      <w:r>
        <w:t>Instrument 3. Dissolved Partnership Provider Survey</w:t>
      </w:r>
    </w:p>
    <w:p w:rsidR="00665C3A" w:rsidP="00B75663" w:rsidRDefault="00665C3A" w14:paraId="674F278C" w14:textId="519462BF">
      <w:pPr>
        <w:spacing w:after="0"/>
      </w:pPr>
      <w:r>
        <w:t>Instrument 4. Dissolved Partnership Provider Semi-</w:t>
      </w:r>
      <w:r w:rsidR="00C059A5">
        <w:t>S</w:t>
      </w:r>
      <w:r>
        <w:t>tructured Interview</w:t>
      </w:r>
      <w:r w:rsidR="002000F5">
        <w:t xml:space="preserve"> Protocol</w:t>
      </w:r>
    </w:p>
    <w:p w:rsidR="00665C3A" w:rsidP="00665C3A" w:rsidRDefault="00665C3A" w14:paraId="62AD1919" w14:textId="449D2B21">
      <w:r>
        <w:lastRenderedPageBreak/>
        <w:t>Instrument 5. Sustained Partnership Provider Semi-</w:t>
      </w:r>
      <w:r w:rsidR="00C059A5">
        <w:t>S</w:t>
      </w:r>
      <w:r>
        <w:t>tructured Interview</w:t>
      </w:r>
      <w:r w:rsidR="002000F5">
        <w:t xml:space="preserve"> Protocol</w:t>
      </w:r>
    </w:p>
    <w:p w:rsidRPr="0032109D" w:rsidR="00665C3A" w:rsidP="00444D5F" w:rsidRDefault="00665C3A" w14:paraId="25A8BBDC" w14:textId="77777777">
      <w:pPr>
        <w:spacing w:after="120"/>
        <w:rPr>
          <w:b/>
          <w:bCs/>
        </w:rPr>
      </w:pPr>
      <w:r w:rsidRPr="0032109D">
        <w:rPr>
          <w:b/>
          <w:bCs/>
        </w:rPr>
        <w:t>Appendices</w:t>
      </w:r>
    </w:p>
    <w:p w:rsidR="00AD6E62" w:rsidP="00AD6E62" w:rsidRDefault="00AD6E62" w14:paraId="61E2555D" w14:textId="77777777">
      <w:pPr>
        <w:spacing w:after="0"/>
      </w:pPr>
      <w:r>
        <w:t xml:space="preserve">Appendix A. </w:t>
      </w:r>
      <w:r w:rsidRPr="00174A9F">
        <w:t xml:space="preserve">Comments Received on 60-Day </w:t>
      </w:r>
      <w:r w:rsidRPr="00787E66">
        <w:rPr>
          <w:i/>
        </w:rPr>
        <w:t>Federal Register</w:t>
      </w:r>
      <w:r w:rsidRPr="00174A9F">
        <w:t xml:space="preserve"> Notice</w:t>
      </w:r>
    </w:p>
    <w:p w:rsidR="00AD6E62" w:rsidP="00AD6E62" w:rsidRDefault="00AD6E62" w14:paraId="42F1C6CC" w14:textId="77777777">
      <w:pPr>
        <w:spacing w:after="0"/>
      </w:pPr>
      <w:r>
        <w:t>Appendix B. Supplemental materials for surveys</w:t>
      </w:r>
    </w:p>
    <w:p w:rsidR="00AD6E62" w:rsidP="00AD6E62" w:rsidRDefault="00AD6E62" w14:paraId="50645D2B" w14:textId="1BACD2A2">
      <w:pPr>
        <w:spacing w:after="0"/>
      </w:pPr>
      <w:r>
        <w:t>Appendix C. Supplemental materials for the provider interview</w:t>
      </w:r>
      <w:r w:rsidR="008E163B">
        <w:t>s</w:t>
      </w:r>
    </w:p>
    <w:p w:rsidR="00F3513C" w:rsidP="00AD6E62" w:rsidRDefault="00F3513C" w14:paraId="50195EC7" w14:textId="5774DBF4">
      <w:pPr>
        <w:spacing w:after="0"/>
      </w:pPr>
      <w:r>
        <w:t>Appendix D. Joint Office of Head Start and Office of Child Care letter of support</w:t>
      </w:r>
    </w:p>
    <w:p w:rsidR="00F3513C" w:rsidP="00AD6E62" w:rsidRDefault="00F3513C" w14:paraId="3926FE5A" w14:textId="77777777">
      <w:pPr>
        <w:spacing w:after="0"/>
      </w:pPr>
    </w:p>
    <w:p w:rsidRPr="000232AE" w:rsidR="00CA75C9" w:rsidP="000232AE" w:rsidRDefault="00CA75C9" w14:paraId="07B69124" w14:textId="77777777">
      <w:pPr>
        <w:spacing w:after="120"/>
        <w:rPr>
          <w:b/>
          <w:bCs/>
        </w:rPr>
      </w:pPr>
      <w:r w:rsidRPr="000232AE">
        <w:rPr>
          <w:b/>
          <w:bCs/>
        </w:rPr>
        <w:t>References</w:t>
      </w:r>
    </w:p>
    <w:p w:rsidRPr="000232AE" w:rsidR="009149DA" w:rsidP="000232AE" w:rsidRDefault="00CA75C9" w14:paraId="56F9E2D9" w14:textId="5390B21E">
      <w:pPr>
        <w:pStyle w:val="References"/>
      </w:pPr>
      <w:r w:rsidRPr="000232AE">
        <w:t>Del Grosso, P., Thomas, J., Makowsky, L., Levere, M., Fung, N., &amp; Paulsell, D. (2019). Working Together for Children and Families: Findings from the National Descriptive Study of Early Head Start-Child Care Partnerships, OPRE Report # 2019-16,</w:t>
      </w:r>
      <w:r w:rsidR="000C4500">
        <w:t xml:space="preserve"> </w:t>
      </w:r>
      <w:r w:rsidRPr="000232AE">
        <w:t>Washington, DC: Office of Planning, Research, and Evaluation, Administration for Children and Families, U.S. Department of Health and Human Services.</w:t>
      </w:r>
    </w:p>
    <w:sectPr w:rsidRPr="000232AE" w:rsidR="009149DA" w:rsidSect="00C91C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DD1CA" w14:textId="77777777" w:rsidR="00916981" w:rsidRDefault="00916981" w:rsidP="0004063C">
      <w:pPr>
        <w:spacing w:after="0" w:line="240" w:lineRule="auto"/>
      </w:pPr>
      <w:r>
        <w:separator/>
      </w:r>
    </w:p>
  </w:endnote>
  <w:endnote w:type="continuationSeparator" w:id="0">
    <w:p w14:paraId="430A9A60" w14:textId="77777777" w:rsidR="00916981" w:rsidRDefault="00916981"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147E6013" w:rsidR="00BF089B" w:rsidRDefault="00BF089B">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49207" w14:textId="77777777" w:rsidR="00916981" w:rsidRDefault="00916981" w:rsidP="0004063C">
      <w:pPr>
        <w:spacing w:after="0" w:line="240" w:lineRule="auto"/>
      </w:pPr>
      <w:r>
        <w:separator/>
      </w:r>
    </w:p>
  </w:footnote>
  <w:footnote w:type="continuationSeparator" w:id="0">
    <w:p w14:paraId="34CC2458" w14:textId="77777777" w:rsidR="00916981" w:rsidRDefault="00916981" w:rsidP="0004063C">
      <w:pPr>
        <w:spacing w:after="0" w:line="240" w:lineRule="auto"/>
      </w:pPr>
      <w:r>
        <w:continuationSeparator/>
      </w:r>
    </w:p>
  </w:footnote>
  <w:footnote w:id="1">
    <w:p w14:paraId="60B080E4" w14:textId="0936FBEB" w:rsidR="00633A6F" w:rsidRDefault="00633A6F">
      <w:pPr>
        <w:pStyle w:val="FootnoteText"/>
      </w:pPr>
      <w:r>
        <w:rPr>
          <w:rStyle w:val="FootnoteReference"/>
        </w:rPr>
        <w:footnoteRef/>
      </w:r>
      <w:r>
        <w:t xml:space="preserve"> </w:t>
      </w:r>
      <w:bookmarkStart w:id="0" w:name="_Hlk76098665"/>
      <w:r w:rsidR="009C0767">
        <w:t>T</w:t>
      </w:r>
      <w:r w:rsidRPr="00633A6F">
        <w:t>he</w:t>
      </w:r>
      <w:r w:rsidR="009C0767">
        <w:t xml:space="preserve"> numbers in the </w:t>
      </w:r>
      <w:r w:rsidR="0057304B">
        <w:t>T</w:t>
      </w:r>
      <w:r w:rsidR="009C0767">
        <w:t>able</w:t>
      </w:r>
      <w:r w:rsidR="0057304B">
        <w:t xml:space="preserve"> A.3</w:t>
      </w:r>
      <w:r w:rsidR="009C0767">
        <w:t xml:space="preserve"> in Part A</w:t>
      </w:r>
      <w:r w:rsidRPr="00633A6F">
        <w:t xml:space="preserve"> represent the maximum possible number of </w:t>
      </w:r>
      <w:r w:rsidR="009C0767">
        <w:t xml:space="preserve">anticipated </w:t>
      </w:r>
      <w:r w:rsidRPr="00633A6F">
        <w:t>completes</w:t>
      </w:r>
      <w:r w:rsidR="009C0767">
        <w:t>.</w:t>
      </w:r>
      <w:r w:rsidR="0057304B">
        <w:t xml:space="preserve"> The numbers in Part B Table </w:t>
      </w:r>
      <w:r w:rsidR="005D36EE">
        <w:t>B.</w:t>
      </w:r>
      <w:r w:rsidR="0057304B">
        <w:t>2</w:t>
      </w:r>
      <w:r w:rsidR="005D36EE">
        <w:t xml:space="preserve"> represent our best assessment of what we think our actual response rates will be.</w:t>
      </w:r>
      <w:bookmarkEnd w:id="0"/>
    </w:p>
  </w:footnote>
  <w:footnote w:id="2">
    <w:p w14:paraId="4EDC2155" w14:textId="4F9F9461" w:rsidR="00BF089B" w:rsidRDefault="00BF089B" w:rsidP="008B6CC6">
      <w:pPr>
        <w:pStyle w:val="FootnoteText"/>
      </w:pPr>
      <w:r w:rsidRPr="004756B2">
        <w:rPr>
          <w:rStyle w:val="FootnoteReference"/>
        </w:rPr>
        <w:footnoteRef/>
      </w:r>
      <w:r w:rsidRPr="004756B2">
        <w:t xml:space="preserve"> Detecting differences between family child care and center-based providers in sustained versus dissolved partnerships, rather than across both sustained and dissolved partnerships, would require large differences between these groups (0.37 to 0.56 standard deviations).</w:t>
      </w:r>
    </w:p>
  </w:footnote>
  <w:footnote w:id="3">
    <w:p w14:paraId="775C0876" w14:textId="1E4BB8B3" w:rsidR="007E7BE2" w:rsidRDefault="007E7BE2">
      <w:pPr>
        <w:pStyle w:val="FootnoteText"/>
      </w:pPr>
      <w:r>
        <w:rPr>
          <w:rStyle w:val="FootnoteReference"/>
        </w:rPr>
        <w:footnoteRef/>
      </w:r>
      <w:r>
        <w:t xml:space="preserve"> Response rates for the NDS were 88 percent for grantee directors, and 82 percent for providers.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809A2" w14:textId="77777777" w:rsidR="00BF089B" w:rsidRPr="000D7D44" w:rsidRDefault="00BF089B"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BF089B" w:rsidRPr="00390F85" w:rsidRDefault="00BF089B"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80E7D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AD7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7400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5876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6AEC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3401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57E2A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938E1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2C96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86A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6A70E5"/>
    <w:multiLevelType w:val="hybridMultilevel"/>
    <w:tmpl w:val="7F3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F11B94"/>
    <w:multiLevelType w:val="hybridMultilevel"/>
    <w:tmpl w:val="605C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8D5E5A"/>
    <w:multiLevelType w:val="hybridMultilevel"/>
    <w:tmpl w:val="B1A45DA4"/>
    <w:lvl w:ilvl="0" w:tplc="CAFCC592">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2300A"/>
    <w:multiLevelType w:val="hybridMultilevel"/>
    <w:tmpl w:val="590C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5A4BA1"/>
    <w:multiLevelType w:val="hybridMultilevel"/>
    <w:tmpl w:val="55921F8A"/>
    <w:lvl w:ilvl="0" w:tplc="A9DCF8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8"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EF2967"/>
    <w:multiLevelType w:val="multilevel"/>
    <w:tmpl w:val="0A9A09EC"/>
    <w:lvl w:ilvl="0">
      <w:start w:val="1"/>
      <w:numFmt w:val="decimal"/>
      <w:pStyle w:val="List"/>
      <w:lvlText w:val="%1."/>
      <w:lvlJc w:val="left"/>
      <w:pPr>
        <w:ind w:left="360" w:hanging="360"/>
      </w:pPr>
      <w:rPr>
        <w:rFonts w:hint="default"/>
        <w:b w:val="0"/>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1027D1"/>
    <w:multiLevelType w:val="hybridMultilevel"/>
    <w:tmpl w:val="951AA5AC"/>
    <w:lvl w:ilvl="0" w:tplc="CAE2D35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1"/>
  </w:num>
  <w:num w:numId="3">
    <w:abstractNumId w:val="15"/>
  </w:num>
  <w:num w:numId="4">
    <w:abstractNumId w:val="37"/>
  </w:num>
  <w:num w:numId="5">
    <w:abstractNumId w:val="27"/>
  </w:num>
  <w:num w:numId="6">
    <w:abstractNumId w:val="43"/>
  </w:num>
  <w:num w:numId="7">
    <w:abstractNumId w:val="14"/>
  </w:num>
  <w:num w:numId="8">
    <w:abstractNumId w:val="21"/>
  </w:num>
  <w:num w:numId="9">
    <w:abstractNumId w:val="26"/>
  </w:num>
  <w:num w:numId="10">
    <w:abstractNumId w:val="42"/>
  </w:num>
  <w:num w:numId="11">
    <w:abstractNumId w:val="45"/>
  </w:num>
  <w:num w:numId="12">
    <w:abstractNumId w:val="39"/>
  </w:num>
  <w:num w:numId="13">
    <w:abstractNumId w:val="35"/>
  </w:num>
  <w:num w:numId="14">
    <w:abstractNumId w:val="41"/>
  </w:num>
  <w:num w:numId="15">
    <w:abstractNumId w:val="28"/>
  </w:num>
  <w:num w:numId="16">
    <w:abstractNumId w:val="34"/>
  </w:num>
  <w:num w:numId="17">
    <w:abstractNumId w:val="25"/>
  </w:num>
  <w:num w:numId="18">
    <w:abstractNumId w:val="18"/>
  </w:num>
  <w:num w:numId="19">
    <w:abstractNumId w:val="17"/>
  </w:num>
  <w:num w:numId="20">
    <w:abstractNumId w:val="33"/>
  </w:num>
  <w:num w:numId="21">
    <w:abstractNumId w:val="10"/>
  </w:num>
  <w:num w:numId="22">
    <w:abstractNumId w:val="12"/>
  </w:num>
  <w:num w:numId="23">
    <w:abstractNumId w:val="29"/>
  </w:num>
  <w:num w:numId="24">
    <w:abstractNumId w:val="13"/>
  </w:num>
  <w:num w:numId="25">
    <w:abstractNumId w:val="22"/>
  </w:num>
  <w:num w:numId="26">
    <w:abstractNumId w:val="32"/>
  </w:num>
  <w:num w:numId="27">
    <w:abstractNumId w:val="44"/>
  </w:num>
  <w:num w:numId="28">
    <w:abstractNumId w:val="38"/>
  </w:num>
  <w:num w:numId="29">
    <w:abstractNumId w:val="30"/>
  </w:num>
  <w:num w:numId="30">
    <w:abstractNumId w:val="36"/>
  </w:num>
  <w:num w:numId="31">
    <w:abstractNumId w:val="20"/>
  </w:num>
  <w:num w:numId="32">
    <w:abstractNumId w:val="19"/>
  </w:num>
  <w:num w:numId="33">
    <w:abstractNumId w:val="11"/>
  </w:num>
  <w:num w:numId="34">
    <w:abstractNumId w:val="24"/>
  </w:num>
  <w:num w:numId="35">
    <w:abstractNumId w:val="23"/>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07C"/>
    <w:rsid w:val="00002A4C"/>
    <w:rsid w:val="00005F94"/>
    <w:rsid w:val="00007720"/>
    <w:rsid w:val="00011F2B"/>
    <w:rsid w:val="0001255D"/>
    <w:rsid w:val="000138F9"/>
    <w:rsid w:val="00014E36"/>
    <w:rsid w:val="000163F2"/>
    <w:rsid w:val="000203E5"/>
    <w:rsid w:val="00022F7E"/>
    <w:rsid w:val="000232AE"/>
    <w:rsid w:val="00025025"/>
    <w:rsid w:val="000276A4"/>
    <w:rsid w:val="00027E79"/>
    <w:rsid w:val="00036C15"/>
    <w:rsid w:val="000372CC"/>
    <w:rsid w:val="0004063C"/>
    <w:rsid w:val="0004247F"/>
    <w:rsid w:val="0006069A"/>
    <w:rsid w:val="00062AFB"/>
    <w:rsid w:val="00063E04"/>
    <w:rsid w:val="000655DD"/>
    <w:rsid w:val="00065EE0"/>
    <w:rsid w:val="000713A7"/>
    <w:rsid w:val="00071F79"/>
    <w:rsid w:val="0007251B"/>
    <w:rsid w:val="000733A5"/>
    <w:rsid w:val="00074A05"/>
    <w:rsid w:val="00082C5B"/>
    <w:rsid w:val="00083227"/>
    <w:rsid w:val="000862F8"/>
    <w:rsid w:val="00086CBE"/>
    <w:rsid w:val="00087A45"/>
    <w:rsid w:val="00090812"/>
    <w:rsid w:val="000913EC"/>
    <w:rsid w:val="000921F0"/>
    <w:rsid w:val="00097560"/>
    <w:rsid w:val="00097EB9"/>
    <w:rsid w:val="000A012A"/>
    <w:rsid w:val="000A06C2"/>
    <w:rsid w:val="000A23D8"/>
    <w:rsid w:val="000A3A78"/>
    <w:rsid w:val="000A4978"/>
    <w:rsid w:val="000B0FAE"/>
    <w:rsid w:val="000B538C"/>
    <w:rsid w:val="000B74C2"/>
    <w:rsid w:val="000B7DA4"/>
    <w:rsid w:val="000C166B"/>
    <w:rsid w:val="000C4500"/>
    <w:rsid w:val="000C539D"/>
    <w:rsid w:val="000D0212"/>
    <w:rsid w:val="000D10F7"/>
    <w:rsid w:val="000D2629"/>
    <w:rsid w:val="000D37E9"/>
    <w:rsid w:val="000D4E9A"/>
    <w:rsid w:val="000D7D44"/>
    <w:rsid w:val="000E38A2"/>
    <w:rsid w:val="000F1804"/>
    <w:rsid w:val="000F1E4A"/>
    <w:rsid w:val="000F76D4"/>
    <w:rsid w:val="000F7D7C"/>
    <w:rsid w:val="00100D34"/>
    <w:rsid w:val="00101BE9"/>
    <w:rsid w:val="00103EFD"/>
    <w:rsid w:val="00107D87"/>
    <w:rsid w:val="00115221"/>
    <w:rsid w:val="00116CDF"/>
    <w:rsid w:val="00124FD7"/>
    <w:rsid w:val="001253F4"/>
    <w:rsid w:val="001270DB"/>
    <w:rsid w:val="001302C5"/>
    <w:rsid w:val="001329A4"/>
    <w:rsid w:val="00132E85"/>
    <w:rsid w:val="00133EA5"/>
    <w:rsid w:val="00137D10"/>
    <w:rsid w:val="00146F9D"/>
    <w:rsid w:val="00151605"/>
    <w:rsid w:val="001562D2"/>
    <w:rsid w:val="00157482"/>
    <w:rsid w:val="001616C4"/>
    <w:rsid w:val="00162F8E"/>
    <w:rsid w:val="00163C03"/>
    <w:rsid w:val="001644CE"/>
    <w:rsid w:val="00164EC8"/>
    <w:rsid w:val="00165F0C"/>
    <w:rsid w:val="001707D8"/>
    <w:rsid w:val="00173171"/>
    <w:rsid w:val="0018379D"/>
    <w:rsid w:val="00196A24"/>
    <w:rsid w:val="001A1282"/>
    <w:rsid w:val="001A3FB5"/>
    <w:rsid w:val="001A40A8"/>
    <w:rsid w:val="001B0A76"/>
    <w:rsid w:val="001B0C74"/>
    <w:rsid w:val="001B47E1"/>
    <w:rsid w:val="001C29EE"/>
    <w:rsid w:val="001C6ED9"/>
    <w:rsid w:val="001C7B36"/>
    <w:rsid w:val="001D51C9"/>
    <w:rsid w:val="001D7185"/>
    <w:rsid w:val="001E3780"/>
    <w:rsid w:val="001E7CE1"/>
    <w:rsid w:val="001F08C3"/>
    <w:rsid w:val="001F14C9"/>
    <w:rsid w:val="001F230B"/>
    <w:rsid w:val="001F242B"/>
    <w:rsid w:val="001F57F5"/>
    <w:rsid w:val="002000F5"/>
    <w:rsid w:val="0020401C"/>
    <w:rsid w:val="0020528D"/>
    <w:rsid w:val="0020629A"/>
    <w:rsid w:val="00206E11"/>
    <w:rsid w:val="00206FE3"/>
    <w:rsid w:val="00207554"/>
    <w:rsid w:val="00211261"/>
    <w:rsid w:val="00212C9F"/>
    <w:rsid w:val="00213EAA"/>
    <w:rsid w:val="0021440E"/>
    <w:rsid w:val="00214DB8"/>
    <w:rsid w:val="002203EA"/>
    <w:rsid w:val="002238DA"/>
    <w:rsid w:val="00224162"/>
    <w:rsid w:val="002242D7"/>
    <w:rsid w:val="00227E90"/>
    <w:rsid w:val="00230877"/>
    <w:rsid w:val="002314F8"/>
    <w:rsid w:val="00237445"/>
    <w:rsid w:val="002422DB"/>
    <w:rsid w:val="00243B67"/>
    <w:rsid w:val="00244D17"/>
    <w:rsid w:val="002517BB"/>
    <w:rsid w:val="00254DA7"/>
    <w:rsid w:val="00256E24"/>
    <w:rsid w:val="00261D8A"/>
    <w:rsid w:val="00265491"/>
    <w:rsid w:val="00276CE2"/>
    <w:rsid w:val="002812B9"/>
    <w:rsid w:val="0028154E"/>
    <w:rsid w:val="00281650"/>
    <w:rsid w:val="0028216C"/>
    <w:rsid w:val="0028236A"/>
    <w:rsid w:val="00287AF1"/>
    <w:rsid w:val="00293810"/>
    <w:rsid w:val="00293DD2"/>
    <w:rsid w:val="002A4108"/>
    <w:rsid w:val="002A4145"/>
    <w:rsid w:val="002A41C6"/>
    <w:rsid w:val="002A53F2"/>
    <w:rsid w:val="002B6A88"/>
    <w:rsid w:val="002B785B"/>
    <w:rsid w:val="002C4AA7"/>
    <w:rsid w:val="002C6E19"/>
    <w:rsid w:val="002C76CE"/>
    <w:rsid w:val="002D0FF8"/>
    <w:rsid w:val="002D4FCC"/>
    <w:rsid w:val="002D5233"/>
    <w:rsid w:val="002E15A5"/>
    <w:rsid w:val="002E1F92"/>
    <w:rsid w:val="002E2903"/>
    <w:rsid w:val="002E3EAA"/>
    <w:rsid w:val="002E4F67"/>
    <w:rsid w:val="002E6CCF"/>
    <w:rsid w:val="002E707E"/>
    <w:rsid w:val="002F0638"/>
    <w:rsid w:val="002F20AE"/>
    <w:rsid w:val="002F33D0"/>
    <w:rsid w:val="00300722"/>
    <w:rsid w:val="00302BE8"/>
    <w:rsid w:val="0030316D"/>
    <w:rsid w:val="00305125"/>
    <w:rsid w:val="00310F7F"/>
    <w:rsid w:val="003209F1"/>
    <w:rsid w:val="00331CF4"/>
    <w:rsid w:val="00332A65"/>
    <w:rsid w:val="00343B6C"/>
    <w:rsid w:val="0035115A"/>
    <w:rsid w:val="00353711"/>
    <w:rsid w:val="003556D4"/>
    <w:rsid w:val="003602A1"/>
    <w:rsid w:val="00362FB2"/>
    <w:rsid w:val="003631A3"/>
    <w:rsid w:val="00366E84"/>
    <w:rsid w:val="0037279A"/>
    <w:rsid w:val="00373D2F"/>
    <w:rsid w:val="00381FD3"/>
    <w:rsid w:val="00386863"/>
    <w:rsid w:val="00386BC3"/>
    <w:rsid w:val="00387CFD"/>
    <w:rsid w:val="00390F85"/>
    <w:rsid w:val="00391F53"/>
    <w:rsid w:val="00396CC5"/>
    <w:rsid w:val="003A020C"/>
    <w:rsid w:val="003A3309"/>
    <w:rsid w:val="003A68ED"/>
    <w:rsid w:val="003A7774"/>
    <w:rsid w:val="003B1DBC"/>
    <w:rsid w:val="003C4F8C"/>
    <w:rsid w:val="003C7358"/>
    <w:rsid w:val="003E3422"/>
    <w:rsid w:val="003E61F6"/>
    <w:rsid w:val="003F277D"/>
    <w:rsid w:val="003F2EB0"/>
    <w:rsid w:val="003F3469"/>
    <w:rsid w:val="00407537"/>
    <w:rsid w:val="00407776"/>
    <w:rsid w:val="00414180"/>
    <w:rsid w:val="0041478B"/>
    <w:rsid w:val="004165BD"/>
    <w:rsid w:val="00416DD9"/>
    <w:rsid w:val="004202DE"/>
    <w:rsid w:val="0042220D"/>
    <w:rsid w:val="004329AA"/>
    <w:rsid w:val="0043377A"/>
    <w:rsid w:val="00434946"/>
    <w:rsid w:val="00435ECB"/>
    <w:rsid w:val="004366A1"/>
    <w:rsid w:val="004367E2"/>
    <w:rsid w:val="00437489"/>
    <w:rsid w:val="004379B6"/>
    <w:rsid w:val="004421E8"/>
    <w:rsid w:val="0044428E"/>
    <w:rsid w:val="00444D5F"/>
    <w:rsid w:val="00446465"/>
    <w:rsid w:val="00446B1D"/>
    <w:rsid w:val="004516E2"/>
    <w:rsid w:val="00455AD8"/>
    <w:rsid w:val="00460D54"/>
    <w:rsid w:val="00461D3E"/>
    <w:rsid w:val="004706CC"/>
    <w:rsid w:val="004756B2"/>
    <w:rsid w:val="00475F5C"/>
    <w:rsid w:val="00497620"/>
    <w:rsid w:val="004A42B0"/>
    <w:rsid w:val="004A51E4"/>
    <w:rsid w:val="004A602C"/>
    <w:rsid w:val="004B75AC"/>
    <w:rsid w:val="004C3204"/>
    <w:rsid w:val="004C3644"/>
    <w:rsid w:val="004C4C46"/>
    <w:rsid w:val="004C6220"/>
    <w:rsid w:val="004D0171"/>
    <w:rsid w:val="004D12DD"/>
    <w:rsid w:val="004D1BC1"/>
    <w:rsid w:val="004D392A"/>
    <w:rsid w:val="004E5778"/>
    <w:rsid w:val="004E7D28"/>
    <w:rsid w:val="004E7E65"/>
    <w:rsid w:val="004E7ED8"/>
    <w:rsid w:val="004F0219"/>
    <w:rsid w:val="00500B6E"/>
    <w:rsid w:val="00502CE1"/>
    <w:rsid w:val="0050376D"/>
    <w:rsid w:val="00512C25"/>
    <w:rsid w:val="005143E5"/>
    <w:rsid w:val="00515C60"/>
    <w:rsid w:val="00517875"/>
    <w:rsid w:val="00520A40"/>
    <w:rsid w:val="005223D4"/>
    <w:rsid w:val="00523783"/>
    <w:rsid w:val="00527822"/>
    <w:rsid w:val="005302CB"/>
    <w:rsid w:val="00533FDB"/>
    <w:rsid w:val="005377BE"/>
    <w:rsid w:val="00540669"/>
    <w:rsid w:val="00540E95"/>
    <w:rsid w:val="00547F2C"/>
    <w:rsid w:val="0055434C"/>
    <w:rsid w:val="00560F7C"/>
    <w:rsid w:val="0056149B"/>
    <w:rsid w:val="00563650"/>
    <w:rsid w:val="00567458"/>
    <w:rsid w:val="0057304B"/>
    <w:rsid w:val="0057360D"/>
    <w:rsid w:val="00576279"/>
    <w:rsid w:val="0058194B"/>
    <w:rsid w:val="005902C4"/>
    <w:rsid w:val="00591283"/>
    <w:rsid w:val="005929DB"/>
    <w:rsid w:val="005949E8"/>
    <w:rsid w:val="00595F2A"/>
    <w:rsid w:val="00596C02"/>
    <w:rsid w:val="005977B5"/>
    <w:rsid w:val="005A5527"/>
    <w:rsid w:val="005A5CD5"/>
    <w:rsid w:val="005A61CE"/>
    <w:rsid w:val="005A6340"/>
    <w:rsid w:val="005A7E5A"/>
    <w:rsid w:val="005B1285"/>
    <w:rsid w:val="005B1410"/>
    <w:rsid w:val="005B4688"/>
    <w:rsid w:val="005C16BB"/>
    <w:rsid w:val="005D36EE"/>
    <w:rsid w:val="005D4A40"/>
    <w:rsid w:val="005E493B"/>
    <w:rsid w:val="005E7592"/>
    <w:rsid w:val="005F2951"/>
    <w:rsid w:val="005F2A57"/>
    <w:rsid w:val="00602594"/>
    <w:rsid w:val="00604059"/>
    <w:rsid w:val="006140B1"/>
    <w:rsid w:val="006177E6"/>
    <w:rsid w:val="006202FA"/>
    <w:rsid w:val="00620829"/>
    <w:rsid w:val="00624DDC"/>
    <w:rsid w:val="006253B6"/>
    <w:rsid w:val="006257ED"/>
    <w:rsid w:val="00625A53"/>
    <w:rsid w:val="0062686E"/>
    <w:rsid w:val="00630B30"/>
    <w:rsid w:val="00633A6F"/>
    <w:rsid w:val="00634ABC"/>
    <w:rsid w:val="006416D9"/>
    <w:rsid w:val="00644A0C"/>
    <w:rsid w:val="00651FF6"/>
    <w:rsid w:val="00656A77"/>
    <w:rsid w:val="00665623"/>
    <w:rsid w:val="00665C3A"/>
    <w:rsid w:val="00665E7F"/>
    <w:rsid w:val="00665FDD"/>
    <w:rsid w:val="00667788"/>
    <w:rsid w:val="00667D15"/>
    <w:rsid w:val="00680387"/>
    <w:rsid w:val="006825E6"/>
    <w:rsid w:val="0068303E"/>
    <w:rsid w:val="0068383E"/>
    <w:rsid w:val="00693FDF"/>
    <w:rsid w:val="006956DF"/>
    <w:rsid w:val="00697ABA"/>
    <w:rsid w:val="006A4D02"/>
    <w:rsid w:val="006A6293"/>
    <w:rsid w:val="006B0411"/>
    <w:rsid w:val="006B07C7"/>
    <w:rsid w:val="006B0858"/>
    <w:rsid w:val="006B1BF9"/>
    <w:rsid w:val="006B31DA"/>
    <w:rsid w:val="006B53F1"/>
    <w:rsid w:val="006B5C14"/>
    <w:rsid w:val="006B6037"/>
    <w:rsid w:val="006B6E12"/>
    <w:rsid w:val="006C0E56"/>
    <w:rsid w:val="006C5B40"/>
    <w:rsid w:val="006D2D8C"/>
    <w:rsid w:val="006D4AF2"/>
    <w:rsid w:val="006E0953"/>
    <w:rsid w:val="006E2885"/>
    <w:rsid w:val="006E4F82"/>
    <w:rsid w:val="006E636C"/>
    <w:rsid w:val="006F177A"/>
    <w:rsid w:val="006F3173"/>
    <w:rsid w:val="006F4B60"/>
    <w:rsid w:val="0070588A"/>
    <w:rsid w:val="00705FAC"/>
    <w:rsid w:val="00710C39"/>
    <w:rsid w:val="007114B1"/>
    <w:rsid w:val="00713B94"/>
    <w:rsid w:val="007148A0"/>
    <w:rsid w:val="00716419"/>
    <w:rsid w:val="00717BDC"/>
    <w:rsid w:val="00723356"/>
    <w:rsid w:val="0072347B"/>
    <w:rsid w:val="00723A28"/>
    <w:rsid w:val="007250D7"/>
    <w:rsid w:val="0072764F"/>
    <w:rsid w:val="0073066E"/>
    <w:rsid w:val="007319B3"/>
    <w:rsid w:val="0073373E"/>
    <w:rsid w:val="007346E0"/>
    <w:rsid w:val="00736B62"/>
    <w:rsid w:val="00740A67"/>
    <w:rsid w:val="00741C81"/>
    <w:rsid w:val="0074630D"/>
    <w:rsid w:val="00753280"/>
    <w:rsid w:val="00755C62"/>
    <w:rsid w:val="00755CF4"/>
    <w:rsid w:val="00757DFF"/>
    <w:rsid w:val="00764C85"/>
    <w:rsid w:val="00770D16"/>
    <w:rsid w:val="007724C3"/>
    <w:rsid w:val="007733D5"/>
    <w:rsid w:val="00774A4C"/>
    <w:rsid w:val="0077770D"/>
    <w:rsid w:val="007828DA"/>
    <w:rsid w:val="007840BD"/>
    <w:rsid w:val="00786896"/>
    <w:rsid w:val="00793E3E"/>
    <w:rsid w:val="00794FC9"/>
    <w:rsid w:val="007A29C5"/>
    <w:rsid w:val="007A7B4F"/>
    <w:rsid w:val="007B0DD0"/>
    <w:rsid w:val="007B1667"/>
    <w:rsid w:val="007B4DC9"/>
    <w:rsid w:val="007B6AEE"/>
    <w:rsid w:val="007C103B"/>
    <w:rsid w:val="007C2C10"/>
    <w:rsid w:val="007C7B4B"/>
    <w:rsid w:val="007D0A22"/>
    <w:rsid w:val="007E04EE"/>
    <w:rsid w:val="007E0B46"/>
    <w:rsid w:val="007E12CA"/>
    <w:rsid w:val="007E3010"/>
    <w:rsid w:val="007E3175"/>
    <w:rsid w:val="007E61FF"/>
    <w:rsid w:val="007E7BE2"/>
    <w:rsid w:val="007F21D8"/>
    <w:rsid w:val="007F49CF"/>
    <w:rsid w:val="00800B12"/>
    <w:rsid w:val="00801E34"/>
    <w:rsid w:val="00804A04"/>
    <w:rsid w:val="008167F9"/>
    <w:rsid w:val="00816F60"/>
    <w:rsid w:val="0082198F"/>
    <w:rsid w:val="00823428"/>
    <w:rsid w:val="00834312"/>
    <w:rsid w:val="00836216"/>
    <w:rsid w:val="008369BA"/>
    <w:rsid w:val="00840D32"/>
    <w:rsid w:val="00843933"/>
    <w:rsid w:val="008439F9"/>
    <w:rsid w:val="0084670F"/>
    <w:rsid w:val="0085039E"/>
    <w:rsid w:val="008504DF"/>
    <w:rsid w:val="00850ED6"/>
    <w:rsid w:val="0085290F"/>
    <w:rsid w:val="00854EED"/>
    <w:rsid w:val="008556A8"/>
    <w:rsid w:val="0085787A"/>
    <w:rsid w:val="00860810"/>
    <w:rsid w:val="00864C1F"/>
    <w:rsid w:val="00870FA1"/>
    <w:rsid w:val="00875220"/>
    <w:rsid w:val="00882D25"/>
    <w:rsid w:val="008835A5"/>
    <w:rsid w:val="008837C5"/>
    <w:rsid w:val="00891CD9"/>
    <w:rsid w:val="008A1A39"/>
    <w:rsid w:val="008A2A14"/>
    <w:rsid w:val="008A4619"/>
    <w:rsid w:val="008B2E2A"/>
    <w:rsid w:val="008B6C3F"/>
    <w:rsid w:val="008B6CC6"/>
    <w:rsid w:val="008C672C"/>
    <w:rsid w:val="008D36EF"/>
    <w:rsid w:val="008E0239"/>
    <w:rsid w:val="008E163B"/>
    <w:rsid w:val="008E4718"/>
    <w:rsid w:val="008E63E3"/>
    <w:rsid w:val="008E6EAF"/>
    <w:rsid w:val="008F01E5"/>
    <w:rsid w:val="008F076A"/>
    <w:rsid w:val="008F2446"/>
    <w:rsid w:val="008F768F"/>
    <w:rsid w:val="00901040"/>
    <w:rsid w:val="0090296B"/>
    <w:rsid w:val="00904DB0"/>
    <w:rsid w:val="009149DA"/>
    <w:rsid w:val="00916981"/>
    <w:rsid w:val="00920F1A"/>
    <w:rsid w:val="00923F25"/>
    <w:rsid w:val="0092539F"/>
    <w:rsid w:val="00926881"/>
    <w:rsid w:val="0092787D"/>
    <w:rsid w:val="009315A5"/>
    <w:rsid w:val="00932F36"/>
    <w:rsid w:val="00934935"/>
    <w:rsid w:val="00940BC9"/>
    <w:rsid w:val="0094134E"/>
    <w:rsid w:val="009460AF"/>
    <w:rsid w:val="009508A0"/>
    <w:rsid w:val="009571FF"/>
    <w:rsid w:val="00963503"/>
    <w:rsid w:val="00964042"/>
    <w:rsid w:val="00965DBD"/>
    <w:rsid w:val="009716EF"/>
    <w:rsid w:val="009718E6"/>
    <w:rsid w:val="00971944"/>
    <w:rsid w:val="009759AF"/>
    <w:rsid w:val="009815C6"/>
    <w:rsid w:val="009840AA"/>
    <w:rsid w:val="009879F6"/>
    <w:rsid w:val="009912A0"/>
    <w:rsid w:val="009920EF"/>
    <w:rsid w:val="009936FD"/>
    <w:rsid w:val="00995964"/>
    <w:rsid w:val="00995EF4"/>
    <w:rsid w:val="00996201"/>
    <w:rsid w:val="009A0BFD"/>
    <w:rsid w:val="009A39E1"/>
    <w:rsid w:val="009A3AD8"/>
    <w:rsid w:val="009A6EE8"/>
    <w:rsid w:val="009A7B5F"/>
    <w:rsid w:val="009B0F58"/>
    <w:rsid w:val="009B2ABE"/>
    <w:rsid w:val="009B3A46"/>
    <w:rsid w:val="009B6895"/>
    <w:rsid w:val="009B6D13"/>
    <w:rsid w:val="009C0767"/>
    <w:rsid w:val="009C3380"/>
    <w:rsid w:val="009C4F2E"/>
    <w:rsid w:val="009C712E"/>
    <w:rsid w:val="009D3B30"/>
    <w:rsid w:val="009D7901"/>
    <w:rsid w:val="009E0A7E"/>
    <w:rsid w:val="009E1AC7"/>
    <w:rsid w:val="009E2935"/>
    <w:rsid w:val="009E7E38"/>
    <w:rsid w:val="009F13DE"/>
    <w:rsid w:val="009F265B"/>
    <w:rsid w:val="009F2DB4"/>
    <w:rsid w:val="009F482C"/>
    <w:rsid w:val="009F68DB"/>
    <w:rsid w:val="009F6E96"/>
    <w:rsid w:val="009F7D42"/>
    <w:rsid w:val="00A01A35"/>
    <w:rsid w:val="00A03E3F"/>
    <w:rsid w:val="00A065BC"/>
    <w:rsid w:val="00A1108E"/>
    <w:rsid w:val="00A12D34"/>
    <w:rsid w:val="00A15F74"/>
    <w:rsid w:val="00A172F6"/>
    <w:rsid w:val="00A233FB"/>
    <w:rsid w:val="00A249B2"/>
    <w:rsid w:val="00A24D81"/>
    <w:rsid w:val="00A26425"/>
    <w:rsid w:val="00A27CD0"/>
    <w:rsid w:val="00A3314E"/>
    <w:rsid w:val="00A362B6"/>
    <w:rsid w:val="00A42C71"/>
    <w:rsid w:val="00A478CA"/>
    <w:rsid w:val="00A47FFD"/>
    <w:rsid w:val="00A50E08"/>
    <w:rsid w:val="00A53F10"/>
    <w:rsid w:val="00A54417"/>
    <w:rsid w:val="00A5708F"/>
    <w:rsid w:val="00A607DD"/>
    <w:rsid w:val="00A60B13"/>
    <w:rsid w:val="00A67DFF"/>
    <w:rsid w:val="00A71475"/>
    <w:rsid w:val="00A714DC"/>
    <w:rsid w:val="00A7179C"/>
    <w:rsid w:val="00A75B68"/>
    <w:rsid w:val="00A761CB"/>
    <w:rsid w:val="00A83BAC"/>
    <w:rsid w:val="00A85701"/>
    <w:rsid w:val="00A92AAE"/>
    <w:rsid w:val="00AA2B72"/>
    <w:rsid w:val="00AA489D"/>
    <w:rsid w:val="00AA5458"/>
    <w:rsid w:val="00AB3124"/>
    <w:rsid w:val="00AC0DA4"/>
    <w:rsid w:val="00AC33BD"/>
    <w:rsid w:val="00AC5774"/>
    <w:rsid w:val="00AD3261"/>
    <w:rsid w:val="00AD4355"/>
    <w:rsid w:val="00AD5847"/>
    <w:rsid w:val="00AD59FC"/>
    <w:rsid w:val="00AD6E62"/>
    <w:rsid w:val="00AE3F5F"/>
    <w:rsid w:val="00AE6EFC"/>
    <w:rsid w:val="00B00C67"/>
    <w:rsid w:val="00B01822"/>
    <w:rsid w:val="00B05C3C"/>
    <w:rsid w:val="00B13DC4"/>
    <w:rsid w:val="00B17B7C"/>
    <w:rsid w:val="00B21516"/>
    <w:rsid w:val="00B22B35"/>
    <w:rsid w:val="00B23277"/>
    <w:rsid w:val="00B245AD"/>
    <w:rsid w:val="00B25CA8"/>
    <w:rsid w:val="00B33916"/>
    <w:rsid w:val="00B4182B"/>
    <w:rsid w:val="00B4324D"/>
    <w:rsid w:val="00B44ABA"/>
    <w:rsid w:val="00B45EF0"/>
    <w:rsid w:val="00B47050"/>
    <w:rsid w:val="00B52211"/>
    <w:rsid w:val="00B53053"/>
    <w:rsid w:val="00B55E54"/>
    <w:rsid w:val="00B56589"/>
    <w:rsid w:val="00B60D50"/>
    <w:rsid w:val="00B64D05"/>
    <w:rsid w:val="00B66D5B"/>
    <w:rsid w:val="00B671A4"/>
    <w:rsid w:val="00B67C1C"/>
    <w:rsid w:val="00B70460"/>
    <w:rsid w:val="00B72C64"/>
    <w:rsid w:val="00B75663"/>
    <w:rsid w:val="00B75CAE"/>
    <w:rsid w:val="00B877B6"/>
    <w:rsid w:val="00B9441B"/>
    <w:rsid w:val="00B95ADD"/>
    <w:rsid w:val="00B96922"/>
    <w:rsid w:val="00BA044D"/>
    <w:rsid w:val="00BA1C87"/>
    <w:rsid w:val="00BA1CD7"/>
    <w:rsid w:val="00BA5034"/>
    <w:rsid w:val="00BA7154"/>
    <w:rsid w:val="00BA7780"/>
    <w:rsid w:val="00BB0C35"/>
    <w:rsid w:val="00BB4022"/>
    <w:rsid w:val="00BB4BF8"/>
    <w:rsid w:val="00BB4F30"/>
    <w:rsid w:val="00BB58B9"/>
    <w:rsid w:val="00BC0D0E"/>
    <w:rsid w:val="00BC696A"/>
    <w:rsid w:val="00BC6FB1"/>
    <w:rsid w:val="00BD65EB"/>
    <w:rsid w:val="00BD702B"/>
    <w:rsid w:val="00BD7B78"/>
    <w:rsid w:val="00BE00D4"/>
    <w:rsid w:val="00BE3E75"/>
    <w:rsid w:val="00BE45BC"/>
    <w:rsid w:val="00BE46F4"/>
    <w:rsid w:val="00BE773B"/>
    <w:rsid w:val="00BF089B"/>
    <w:rsid w:val="00BF311D"/>
    <w:rsid w:val="00BF3557"/>
    <w:rsid w:val="00BF559C"/>
    <w:rsid w:val="00BF5B1E"/>
    <w:rsid w:val="00BF73D5"/>
    <w:rsid w:val="00C0470E"/>
    <w:rsid w:val="00C05352"/>
    <w:rsid w:val="00C059A5"/>
    <w:rsid w:val="00C079D6"/>
    <w:rsid w:val="00C07AC0"/>
    <w:rsid w:val="00C1742A"/>
    <w:rsid w:val="00C25F03"/>
    <w:rsid w:val="00C25F80"/>
    <w:rsid w:val="00C32404"/>
    <w:rsid w:val="00C32580"/>
    <w:rsid w:val="00C32C8A"/>
    <w:rsid w:val="00C334BC"/>
    <w:rsid w:val="00C3477E"/>
    <w:rsid w:val="00C37FE5"/>
    <w:rsid w:val="00C43D08"/>
    <w:rsid w:val="00C501F7"/>
    <w:rsid w:val="00C51C86"/>
    <w:rsid w:val="00C6055C"/>
    <w:rsid w:val="00C63437"/>
    <w:rsid w:val="00C66AEC"/>
    <w:rsid w:val="00C677C1"/>
    <w:rsid w:val="00C70014"/>
    <w:rsid w:val="00C73360"/>
    <w:rsid w:val="00C7532C"/>
    <w:rsid w:val="00C8176F"/>
    <w:rsid w:val="00C83AD5"/>
    <w:rsid w:val="00C86CB2"/>
    <w:rsid w:val="00C90589"/>
    <w:rsid w:val="00C91C71"/>
    <w:rsid w:val="00C95126"/>
    <w:rsid w:val="00C97430"/>
    <w:rsid w:val="00C9767D"/>
    <w:rsid w:val="00CA28B3"/>
    <w:rsid w:val="00CA4CC7"/>
    <w:rsid w:val="00CA6BFA"/>
    <w:rsid w:val="00CA6E79"/>
    <w:rsid w:val="00CA72A5"/>
    <w:rsid w:val="00CA75C9"/>
    <w:rsid w:val="00CB131D"/>
    <w:rsid w:val="00CB6075"/>
    <w:rsid w:val="00CC07BF"/>
    <w:rsid w:val="00CC4651"/>
    <w:rsid w:val="00CC6120"/>
    <w:rsid w:val="00CD5F7B"/>
    <w:rsid w:val="00CD6970"/>
    <w:rsid w:val="00CD7408"/>
    <w:rsid w:val="00CD7C20"/>
    <w:rsid w:val="00CD7E7A"/>
    <w:rsid w:val="00CE018E"/>
    <w:rsid w:val="00CE38EF"/>
    <w:rsid w:val="00CE612E"/>
    <w:rsid w:val="00CE64E4"/>
    <w:rsid w:val="00CE7A4A"/>
    <w:rsid w:val="00CF1064"/>
    <w:rsid w:val="00CF13D3"/>
    <w:rsid w:val="00D00282"/>
    <w:rsid w:val="00D016C8"/>
    <w:rsid w:val="00D01D37"/>
    <w:rsid w:val="00D04C57"/>
    <w:rsid w:val="00D1343F"/>
    <w:rsid w:val="00D1347B"/>
    <w:rsid w:val="00D13904"/>
    <w:rsid w:val="00D13AA8"/>
    <w:rsid w:val="00D239B5"/>
    <w:rsid w:val="00D23EA1"/>
    <w:rsid w:val="00D24922"/>
    <w:rsid w:val="00D27197"/>
    <w:rsid w:val="00D32B72"/>
    <w:rsid w:val="00D4033C"/>
    <w:rsid w:val="00D407A4"/>
    <w:rsid w:val="00D45041"/>
    <w:rsid w:val="00D45504"/>
    <w:rsid w:val="00D51A1A"/>
    <w:rsid w:val="00D5346A"/>
    <w:rsid w:val="00D53C67"/>
    <w:rsid w:val="00D53F11"/>
    <w:rsid w:val="00D542B3"/>
    <w:rsid w:val="00D55767"/>
    <w:rsid w:val="00D573B2"/>
    <w:rsid w:val="00D634B4"/>
    <w:rsid w:val="00D665E1"/>
    <w:rsid w:val="00D66DB8"/>
    <w:rsid w:val="00D67FF7"/>
    <w:rsid w:val="00D71BA0"/>
    <w:rsid w:val="00D749DF"/>
    <w:rsid w:val="00D74A31"/>
    <w:rsid w:val="00D77B09"/>
    <w:rsid w:val="00D81877"/>
    <w:rsid w:val="00D81DE6"/>
    <w:rsid w:val="00D82755"/>
    <w:rsid w:val="00D82E67"/>
    <w:rsid w:val="00D831AC"/>
    <w:rsid w:val="00D84CED"/>
    <w:rsid w:val="00D8665B"/>
    <w:rsid w:val="00D86898"/>
    <w:rsid w:val="00D86FFE"/>
    <w:rsid w:val="00D87E56"/>
    <w:rsid w:val="00D900A7"/>
    <w:rsid w:val="00D92B83"/>
    <w:rsid w:val="00D95E35"/>
    <w:rsid w:val="00D96559"/>
    <w:rsid w:val="00D97926"/>
    <w:rsid w:val="00DA16CD"/>
    <w:rsid w:val="00DA2B35"/>
    <w:rsid w:val="00DA3557"/>
    <w:rsid w:val="00DA4453"/>
    <w:rsid w:val="00DA4701"/>
    <w:rsid w:val="00DA4934"/>
    <w:rsid w:val="00DB0207"/>
    <w:rsid w:val="00DB0A4E"/>
    <w:rsid w:val="00DB1EBB"/>
    <w:rsid w:val="00DB268F"/>
    <w:rsid w:val="00DB2E68"/>
    <w:rsid w:val="00DB324A"/>
    <w:rsid w:val="00DB40D5"/>
    <w:rsid w:val="00DB514C"/>
    <w:rsid w:val="00DB6BA4"/>
    <w:rsid w:val="00DC574E"/>
    <w:rsid w:val="00DC65F2"/>
    <w:rsid w:val="00DC7876"/>
    <w:rsid w:val="00DC7DD5"/>
    <w:rsid w:val="00DE3ED7"/>
    <w:rsid w:val="00DF1291"/>
    <w:rsid w:val="00DF62FD"/>
    <w:rsid w:val="00E050EC"/>
    <w:rsid w:val="00E1392C"/>
    <w:rsid w:val="00E14795"/>
    <w:rsid w:val="00E22AC6"/>
    <w:rsid w:val="00E24345"/>
    <w:rsid w:val="00E24830"/>
    <w:rsid w:val="00E25D66"/>
    <w:rsid w:val="00E318A6"/>
    <w:rsid w:val="00E34D1A"/>
    <w:rsid w:val="00E36FB8"/>
    <w:rsid w:val="00E41C62"/>
    <w:rsid w:val="00E41EE9"/>
    <w:rsid w:val="00E42265"/>
    <w:rsid w:val="00E44766"/>
    <w:rsid w:val="00E451BE"/>
    <w:rsid w:val="00E461D4"/>
    <w:rsid w:val="00E50FA8"/>
    <w:rsid w:val="00E5497B"/>
    <w:rsid w:val="00E550DE"/>
    <w:rsid w:val="00E62285"/>
    <w:rsid w:val="00E62819"/>
    <w:rsid w:val="00E662FE"/>
    <w:rsid w:val="00E71A38"/>
    <w:rsid w:val="00E71E25"/>
    <w:rsid w:val="00E80318"/>
    <w:rsid w:val="00E80504"/>
    <w:rsid w:val="00E8615D"/>
    <w:rsid w:val="00E9045F"/>
    <w:rsid w:val="00E91489"/>
    <w:rsid w:val="00EA0D4F"/>
    <w:rsid w:val="00EA405B"/>
    <w:rsid w:val="00EB4C26"/>
    <w:rsid w:val="00EB6134"/>
    <w:rsid w:val="00EC1A6C"/>
    <w:rsid w:val="00EC29CC"/>
    <w:rsid w:val="00EC498A"/>
    <w:rsid w:val="00EC4A12"/>
    <w:rsid w:val="00ED4E3E"/>
    <w:rsid w:val="00ED7509"/>
    <w:rsid w:val="00ED7F3C"/>
    <w:rsid w:val="00EE2CD5"/>
    <w:rsid w:val="00EE33BE"/>
    <w:rsid w:val="00EE38AF"/>
    <w:rsid w:val="00EF052B"/>
    <w:rsid w:val="00EF22F3"/>
    <w:rsid w:val="00EF254B"/>
    <w:rsid w:val="00EF309A"/>
    <w:rsid w:val="00EF4FF2"/>
    <w:rsid w:val="00EF607D"/>
    <w:rsid w:val="00EF71BC"/>
    <w:rsid w:val="00F001EA"/>
    <w:rsid w:val="00F01767"/>
    <w:rsid w:val="00F071DE"/>
    <w:rsid w:val="00F10159"/>
    <w:rsid w:val="00F128E3"/>
    <w:rsid w:val="00F147FC"/>
    <w:rsid w:val="00F14BF0"/>
    <w:rsid w:val="00F2406C"/>
    <w:rsid w:val="00F30DE3"/>
    <w:rsid w:val="00F3513C"/>
    <w:rsid w:val="00F41D46"/>
    <w:rsid w:val="00F41DB9"/>
    <w:rsid w:val="00F42246"/>
    <w:rsid w:val="00F45B23"/>
    <w:rsid w:val="00F475AA"/>
    <w:rsid w:val="00F47624"/>
    <w:rsid w:val="00F533B4"/>
    <w:rsid w:val="00F54A64"/>
    <w:rsid w:val="00F561D4"/>
    <w:rsid w:val="00F61D64"/>
    <w:rsid w:val="00F62710"/>
    <w:rsid w:val="00F62A8C"/>
    <w:rsid w:val="00F71952"/>
    <w:rsid w:val="00F71F62"/>
    <w:rsid w:val="00F74630"/>
    <w:rsid w:val="00F748E2"/>
    <w:rsid w:val="00F753C8"/>
    <w:rsid w:val="00F76A7C"/>
    <w:rsid w:val="00F80A00"/>
    <w:rsid w:val="00F821B1"/>
    <w:rsid w:val="00F828F1"/>
    <w:rsid w:val="00F83D2F"/>
    <w:rsid w:val="00F867D0"/>
    <w:rsid w:val="00F86916"/>
    <w:rsid w:val="00F86B4C"/>
    <w:rsid w:val="00F9122A"/>
    <w:rsid w:val="00F912B7"/>
    <w:rsid w:val="00F93726"/>
    <w:rsid w:val="00F96CED"/>
    <w:rsid w:val="00FA31D0"/>
    <w:rsid w:val="00FA6D2C"/>
    <w:rsid w:val="00FB0F68"/>
    <w:rsid w:val="00FB27C7"/>
    <w:rsid w:val="00FB5BF6"/>
    <w:rsid w:val="00FC19CA"/>
    <w:rsid w:val="00FC31A1"/>
    <w:rsid w:val="00FC416E"/>
    <w:rsid w:val="00FC47AB"/>
    <w:rsid w:val="00FC779A"/>
    <w:rsid w:val="00FD3682"/>
    <w:rsid w:val="00FD4EA8"/>
    <w:rsid w:val="00FE0F83"/>
    <w:rsid w:val="00FE5F01"/>
    <w:rsid w:val="00FF3F48"/>
    <w:rsid w:val="00FF4D36"/>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5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aliases w:val="fr"/>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styleId="PlaceholderText">
    <w:name w:val="Placeholder Text"/>
    <w:basedOn w:val="DefaultParagraphFont"/>
    <w:uiPriority w:val="99"/>
    <w:semiHidden/>
    <w:rsid w:val="004202DE"/>
    <w:rPr>
      <w:color w:val="808080"/>
    </w:rPr>
  </w:style>
  <w:style w:type="paragraph" w:customStyle="1" w:styleId="Paragraph">
    <w:name w:val="Paragraph"/>
    <w:basedOn w:val="Normal"/>
    <w:qFormat/>
    <w:rsid w:val="00BF3557"/>
    <w:pPr>
      <w:spacing w:after="240" w:line="290" w:lineRule="exact"/>
    </w:pPr>
    <w:rPr>
      <w:rFonts w:eastAsia="Times New Roman" w:cs="Times New Roman"/>
      <w:sz w:val="24"/>
      <w:szCs w:val="20"/>
    </w:rPr>
  </w:style>
  <w:style w:type="paragraph" w:customStyle="1" w:styleId="TableHeaderCenter">
    <w:name w:val="Table Header Center"/>
    <w:basedOn w:val="Normal"/>
    <w:qFormat/>
    <w:rsid w:val="00E14795"/>
    <w:pPr>
      <w:spacing w:before="120" w:after="0" w:line="240" w:lineRule="auto"/>
      <w:jc w:val="center"/>
      <w:textboxTightWrap w:val="allLines"/>
    </w:pPr>
    <w:rPr>
      <w:rFonts w:asciiTheme="majorHAnsi" w:eastAsia="Times New Roman" w:hAnsiTheme="majorHAnsi" w:cs="Times New Roman"/>
      <w:b/>
      <w:color w:val="FFFFFF" w:themeColor="background1"/>
      <w:sz w:val="20"/>
      <w:szCs w:val="20"/>
    </w:rPr>
  </w:style>
  <w:style w:type="table" w:customStyle="1" w:styleId="MPRBaseTable">
    <w:name w:val="MPR Base Table"/>
    <w:basedOn w:val="TableNormal"/>
    <w:uiPriority w:val="99"/>
    <w:rsid w:val="00E14795"/>
    <w:pPr>
      <w:spacing w:before="40" w:after="20" w:line="240" w:lineRule="auto"/>
      <w:textboxTightWrap w:val="allLines"/>
    </w:pPr>
    <w:rPr>
      <w:rFonts w:ascii="Arial" w:eastAsiaTheme="minorEastAsia"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shd w:val="clear" w:color="auto" w:fill="1F497D" w:themeFill="text2"/>
        <w:vAlign w:val="bottom"/>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1F497D" w:themeFill="text2"/>
      </w:tcPr>
    </w:tblStylePr>
    <w:tblStylePr w:type="seCell">
      <w:pPr>
        <w:jc w:val="left"/>
      </w:pPr>
      <w:tblPr/>
      <w:tcPr>
        <w:vAlign w:val="center"/>
      </w:tcPr>
    </w:tblStylePr>
  </w:style>
  <w:style w:type="paragraph" w:customStyle="1" w:styleId="TableTitle">
    <w:name w:val="Table Title"/>
    <w:basedOn w:val="Normal"/>
    <w:next w:val="Paragraph"/>
    <w:qFormat/>
    <w:rsid w:val="00E14795"/>
    <w:pPr>
      <w:keepNext/>
      <w:spacing w:before="360" w:after="60" w:line="290" w:lineRule="exact"/>
    </w:pPr>
    <w:rPr>
      <w:rFonts w:asciiTheme="majorHAnsi" w:eastAsia="Times New Roman" w:hAnsiTheme="majorHAnsi" w:cs="Times New Roman"/>
      <w:b/>
      <w:szCs w:val="20"/>
    </w:rPr>
  </w:style>
  <w:style w:type="paragraph" w:customStyle="1" w:styleId="TableFootnote">
    <w:name w:val="Table Footnote"/>
    <w:qFormat/>
    <w:rsid w:val="00E14795"/>
    <w:pPr>
      <w:tabs>
        <w:tab w:val="left" w:pos="1080"/>
      </w:tabs>
      <w:spacing w:before="60" w:after="60" w:line="240" w:lineRule="auto"/>
      <w:contextualSpacing/>
    </w:pPr>
    <w:rPr>
      <w:rFonts w:asciiTheme="majorHAnsi" w:eastAsia="Times New Roman" w:hAnsiTheme="majorHAnsi" w:cs="Times New Roman"/>
      <w:sz w:val="18"/>
      <w:szCs w:val="20"/>
    </w:rPr>
  </w:style>
  <w:style w:type="paragraph" w:customStyle="1" w:styleId="TableTextLeft">
    <w:name w:val="Table Text Left"/>
    <w:basedOn w:val="Normal"/>
    <w:qFormat/>
    <w:rsid w:val="00E14795"/>
    <w:pPr>
      <w:spacing w:after="0" w:line="240" w:lineRule="auto"/>
    </w:pPr>
    <w:rPr>
      <w:rFonts w:asciiTheme="majorHAnsi" w:eastAsia="Times New Roman" w:hAnsiTheme="majorHAnsi" w:cs="Times New Roman"/>
      <w:sz w:val="20"/>
      <w:szCs w:val="20"/>
    </w:rPr>
  </w:style>
  <w:style w:type="paragraph" w:customStyle="1" w:styleId="ParagraphContinued">
    <w:name w:val="Paragraph Continued"/>
    <w:basedOn w:val="Paragraph"/>
    <w:next w:val="Paragraph"/>
    <w:qFormat/>
    <w:rsid w:val="00D51A1A"/>
    <w:pPr>
      <w:spacing w:before="240"/>
    </w:pPr>
  </w:style>
  <w:style w:type="paragraph" w:styleId="List">
    <w:name w:val="List"/>
    <w:basedOn w:val="Normal"/>
    <w:unhideWhenUsed/>
    <w:rsid w:val="00D51A1A"/>
    <w:pPr>
      <w:numPr>
        <w:numId w:val="30"/>
      </w:numPr>
      <w:spacing w:before="120" w:after="120" w:line="290" w:lineRule="exact"/>
    </w:pPr>
    <w:rPr>
      <w:rFonts w:eastAsia="Times New Roman" w:cs="Times New Roman"/>
      <w:sz w:val="24"/>
      <w:szCs w:val="20"/>
    </w:rPr>
  </w:style>
  <w:style w:type="paragraph" w:styleId="List2">
    <w:name w:val="List 2"/>
    <w:basedOn w:val="Normal"/>
    <w:unhideWhenUsed/>
    <w:rsid w:val="00D51A1A"/>
    <w:pPr>
      <w:numPr>
        <w:ilvl w:val="1"/>
        <w:numId w:val="30"/>
      </w:numPr>
      <w:spacing w:before="120" w:after="120" w:line="290" w:lineRule="exact"/>
    </w:pPr>
    <w:rPr>
      <w:rFonts w:eastAsia="Times New Roman" w:cs="Times New Roman"/>
      <w:sz w:val="24"/>
      <w:szCs w:val="20"/>
    </w:rPr>
  </w:style>
  <w:style w:type="paragraph" w:styleId="List3">
    <w:name w:val="List 3"/>
    <w:basedOn w:val="Normal"/>
    <w:unhideWhenUsed/>
    <w:rsid w:val="00D51A1A"/>
    <w:pPr>
      <w:numPr>
        <w:ilvl w:val="2"/>
        <w:numId w:val="30"/>
      </w:numPr>
      <w:spacing w:before="120" w:after="120" w:line="290" w:lineRule="exact"/>
    </w:pPr>
    <w:rPr>
      <w:rFonts w:eastAsia="Times New Roman" w:cs="Times New Roman"/>
      <w:sz w:val="24"/>
      <w:szCs w:val="20"/>
    </w:rPr>
  </w:style>
  <w:style w:type="paragraph" w:styleId="List4">
    <w:name w:val="List 4"/>
    <w:basedOn w:val="Normal"/>
    <w:unhideWhenUsed/>
    <w:rsid w:val="00D51A1A"/>
    <w:pPr>
      <w:numPr>
        <w:ilvl w:val="3"/>
        <w:numId w:val="30"/>
      </w:numPr>
      <w:spacing w:before="120" w:after="120" w:line="290" w:lineRule="exact"/>
      <w:contextualSpacing/>
    </w:pPr>
    <w:rPr>
      <w:rFonts w:eastAsia="Times New Roman" w:cs="Times New Roman"/>
      <w:sz w:val="24"/>
      <w:szCs w:val="20"/>
    </w:rPr>
  </w:style>
  <w:style w:type="paragraph" w:styleId="List5">
    <w:name w:val="List 5"/>
    <w:basedOn w:val="Normal"/>
    <w:unhideWhenUsed/>
    <w:rsid w:val="00D51A1A"/>
    <w:pPr>
      <w:numPr>
        <w:ilvl w:val="4"/>
        <w:numId w:val="30"/>
      </w:numPr>
      <w:spacing w:after="240" w:line="290" w:lineRule="exact"/>
      <w:contextualSpacing/>
    </w:pPr>
    <w:rPr>
      <w:rFonts w:eastAsia="Times New Roman" w:cs="Times New Roman"/>
      <w:sz w:val="24"/>
      <w:szCs w:val="20"/>
    </w:rPr>
  </w:style>
  <w:style w:type="paragraph" w:customStyle="1" w:styleId="Bullet">
    <w:name w:val="Bullet"/>
    <w:basedOn w:val="Normal"/>
    <w:semiHidden/>
    <w:qFormat/>
    <w:rsid w:val="008A4619"/>
    <w:p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Tablebullet">
    <w:name w:val="Table bullet"/>
    <w:basedOn w:val="Normal"/>
    <w:semiHidden/>
    <w:rsid w:val="008A4619"/>
    <w:pPr>
      <w:numPr>
        <w:numId w:val="31"/>
      </w:numPr>
      <w:spacing w:before="40" w:after="0" w:line="240" w:lineRule="auto"/>
      <w:ind w:left="250" w:hanging="250"/>
      <w:contextualSpacing/>
      <w:textboxTightWrap w:val="allLines"/>
    </w:pPr>
    <w:rPr>
      <w:rFonts w:ascii="Arial" w:eastAsiaTheme="minorEastAsia" w:hAnsi="Arial"/>
      <w:sz w:val="20"/>
      <w:szCs w:val="20"/>
    </w:rPr>
  </w:style>
  <w:style w:type="paragraph" w:customStyle="1" w:styleId="Feature1ListHead">
    <w:name w:val="Feature1 List Head"/>
    <w:basedOn w:val="Normal"/>
    <w:semiHidden/>
    <w:qFormat/>
    <w:rsid w:val="009759AF"/>
    <w:pPr>
      <w:keepNext/>
      <w:spacing w:before="80" w:after="160" w:line="290" w:lineRule="exact"/>
      <w:ind w:left="540" w:hanging="540"/>
      <w:outlineLvl w:val="3"/>
    </w:pPr>
    <w:rPr>
      <w:rFonts w:eastAsia="Times New Roman" w:cs="Times New Roman"/>
      <w:b/>
      <w:sz w:val="24"/>
      <w:szCs w:val="20"/>
    </w:rPr>
  </w:style>
  <w:style w:type="paragraph" w:customStyle="1" w:styleId="NormalSS">
    <w:name w:val="NormalSS"/>
    <w:basedOn w:val="Normal"/>
    <w:link w:val="NormalSSChar"/>
    <w:qFormat/>
    <w:rsid w:val="009149DA"/>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9149DA"/>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9149DA"/>
    <w:pPr>
      <w:ind w:firstLine="0"/>
    </w:pPr>
  </w:style>
  <w:style w:type="character" w:styleId="Strong">
    <w:name w:val="Strong"/>
    <w:basedOn w:val="DefaultParagraphFont"/>
    <w:uiPriority w:val="22"/>
    <w:qFormat/>
    <w:rsid w:val="00BF73D5"/>
    <w:rPr>
      <w:b/>
      <w:bCs/>
    </w:rPr>
  </w:style>
  <w:style w:type="paragraph" w:customStyle="1" w:styleId="References">
    <w:name w:val="References"/>
    <w:basedOn w:val="Normal"/>
    <w:qFormat/>
    <w:rsid w:val="000232AE"/>
    <w:pPr>
      <w:keepLines/>
      <w:spacing w:after="240" w:line="240" w:lineRule="auto"/>
      <w:ind w:left="432" w:hanging="432"/>
    </w:pPr>
    <w:rPr>
      <w:rFonts w:ascii="Calibri" w:eastAsia="Times New Roman" w:hAnsi="Calibri" w:cs="Calibri"/>
    </w:rPr>
  </w:style>
  <w:style w:type="character" w:styleId="UnresolvedMention">
    <w:name w:val="Unresolved Mention"/>
    <w:basedOn w:val="DefaultParagraphFont"/>
    <w:uiPriority w:val="99"/>
    <w:semiHidden/>
    <w:unhideWhenUsed/>
    <w:rsid w:val="006E2885"/>
    <w:rPr>
      <w:color w:val="605E5C"/>
      <w:shd w:val="clear" w:color="auto" w:fill="E1DFDD"/>
    </w:rPr>
  </w:style>
  <w:style w:type="character" w:styleId="FollowedHyperlink">
    <w:name w:val="FollowedHyperlink"/>
    <w:basedOn w:val="DefaultParagraphFont"/>
    <w:uiPriority w:val="99"/>
    <w:semiHidden/>
    <w:unhideWhenUsed/>
    <w:rsid w:val="007E7B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579829635">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0" ma:contentTypeDescription="Create a new document." ma:contentTypeScope="" ma:versionID="2f2c01103356363eb0526d32075bd224">
  <xsd:schema xmlns:xsd="http://www.w3.org/2001/XMLSchema" xmlns:xs="http://www.w3.org/2001/XMLSchema" xmlns:p="http://schemas.microsoft.com/office/2006/metadata/properties" xmlns:ns3="c87c70f9-ce00-4b4f-8430-823df24ad0b9" targetNamespace="http://schemas.microsoft.com/office/2006/metadata/properties" ma:root="true" ma:fieldsID="de414d7c3d620352668dccad9800ae30"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65A5A583-CE33-4100-AC21-1BE431782E86}">
  <ds:schemaRefs>
    <ds:schemaRef ds:uri="http://schemas.openxmlformats.org/officeDocument/2006/bibliography"/>
  </ds:schemaRefs>
</ds:datastoreItem>
</file>

<file path=customXml/itemProps3.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B10724-1514-486E-BD35-CAA968688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15</Pages>
  <Words>5583</Words>
  <Characters>31825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Madigan, Amy (ACF)</dc:creator>
  <cp:lastModifiedBy>Jones, Molly (ACF)</cp:lastModifiedBy>
  <cp:revision>12</cp:revision>
  <dcterms:created xsi:type="dcterms:W3CDTF">2021-06-30T16:13:00Z</dcterms:created>
  <dcterms:modified xsi:type="dcterms:W3CDTF">2021-07-15T15:07:00Z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