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44" w:rsidRDefault="009E0E44">
      <w:pPr>
        <w:tabs>
          <w:tab w:val="left" w:pos="-1440"/>
        </w:tabs>
      </w:pPr>
      <w:bookmarkStart w:id="0" w:name="_GoBack"/>
      <w:bookmarkEnd w:id="0"/>
    </w:p>
    <w:p w:rsidR="009E0E44" w:rsidRDefault="009E0E44">
      <w:pPr>
        <w:ind w:firstLine="2160"/>
      </w:pPr>
    </w:p>
    <w:p w:rsidR="00F96C8F" w:rsidRDefault="0028214D" w:rsidP="0028214D">
      <w:pPr>
        <w:spacing w:line="480" w:lineRule="auto"/>
        <w:jc w:val="right"/>
        <w:outlineLvl w:val="0"/>
        <w:rPr>
          <w:snapToGrid/>
        </w:rPr>
      </w:pPr>
      <w:r w:rsidRPr="0028214D">
        <w:rPr>
          <w:snapToGrid/>
        </w:rPr>
        <w:t>Billing code:</w:t>
      </w:r>
      <w:r w:rsidR="004219A8">
        <w:rPr>
          <w:snapToGrid/>
        </w:rPr>
        <w:t xml:space="preserve"> </w:t>
      </w:r>
      <w:r w:rsidR="00EE7405">
        <w:rPr>
          <w:snapToGrid/>
        </w:rPr>
        <w:t>4150-04</w:t>
      </w:r>
    </w:p>
    <w:p w:rsidR="00F96C8F" w:rsidRDefault="00F96C8F" w:rsidP="0028214D">
      <w:pPr>
        <w:spacing w:line="480" w:lineRule="auto"/>
        <w:jc w:val="right"/>
        <w:outlineLvl w:val="0"/>
        <w:rPr>
          <w:snapToGrid/>
        </w:rPr>
      </w:pPr>
    </w:p>
    <w:p w:rsidR="0028214D" w:rsidRPr="00F96C8F" w:rsidRDefault="0028214D" w:rsidP="00F96C8F">
      <w:pPr>
        <w:spacing w:line="480" w:lineRule="auto"/>
        <w:rPr>
          <w:b/>
        </w:rPr>
      </w:pPr>
      <w:r w:rsidRPr="00F96C8F">
        <w:rPr>
          <w:b/>
        </w:rPr>
        <w:t>DEPARTMENT OF HEALTH AND HUMAN SERVICES</w:t>
      </w:r>
    </w:p>
    <w:p w:rsidR="0028214D" w:rsidRPr="0028214D" w:rsidRDefault="0028214D" w:rsidP="0028214D">
      <w:pPr>
        <w:spacing w:line="480" w:lineRule="auto"/>
        <w:rPr>
          <w:bCs/>
        </w:rPr>
      </w:pPr>
      <w:r w:rsidRPr="0028214D">
        <w:rPr>
          <w:bCs/>
        </w:rPr>
        <w:t>[Document Identifier: OS-0990-</w:t>
      </w:r>
      <w:r w:rsidR="00A65B29">
        <w:rPr>
          <w:bCs/>
        </w:rPr>
        <w:t>0390</w:t>
      </w:r>
      <w:r w:rsidRPr="0028214D">
        <w:rPr>
          <w:bCs/>
        </w:rPr>
        <w:t>]</w:t>
      </w:r>
    </w:p>
    <w:p w:rsidR="0028214D" w:rsidRPr="0028214D" w:rsidRDefault="0028214D" w:rsidP="0028214D">
      <w:pPr>
        <w:spacing w:line="480" w:lineRule="auto"/>
      </w:pPr>
      <w:r w:rsidRPr="0028214D">
        <w:t>Agency Information Collection Request. 30-Day Public Comment Request</w:t>
      </w:r>
    </w:p>
    <w:p w:rsidR="0028214D" w:rsidRPr="0028214D" w:rsidRDefault="0028214D" w:rsidP="0028214D">
      <w:pPr>
        <w:spacing w:line="480" w:lineRule="auto"/>
      </w:pPr>
      <w:r w:rsidRPr="0028214D">
        <w:rPr>
          <w:b/>
        </w:rPr>
        <w:t>AGENCY:</w:t>
      </w:r>
      <w:r w:rsidRPr="0028214D">
        <w:t xml:space="preserve">  Office of the Secretary, HHS</w:t>
      </w:r>
    </w:p>
    <w:p w:rsidR="0028214D" w:rsidRPr="0028214D" w:rsidRDefault="0028214D" w:rsidP="0028214D">
      <w:pPr>
        <w:spacing w:line="480" w:lineRule="auto"/>
      </w:pPr>
      <w:r w:rsidRPr="0028214D">
        <w:rPr>
          <w:b/>
        </w:rPr>
        <w:t>ACTION</w:t>
      </w:r>
      <w:r w:rsidRPr="0028214D">
        <w:t>: Notice.</w:t>
      </w:r>
    </w:p>
    <w:p w:rsidR="0028214D" w:rsidRPr="0028214D" w:rsidRDefault="0028214D" w:rsidP="0028214D">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0028214D" w:rsidRPr="0028214D" w:rsidRDefault="0028214D" w:rsidP="0028214D">
      <w:pPr>
        <w:spacing w:line="480" w:lineRule="auto"/>
        <w:rPr>
          <w:snapToGrid/>
        </w:rPr>
      </w:pPr>
      <w:r w:rsidRPr="0028214D">
        <w:rPr>
          <w:b/>
          <w:snapToGrid/>
        </w:rPr>
        <w:t>DATES:</w:t>
      </w:r>
      <w:r w:rsidRPr="0028214D">
        <w:rPr>
          <w:snapToGrid/>
        </w:rPr>
        <w:t xml:space="preserve"> Comments on the ICR must be received on or before </w:t>
      </w:r>
      <w:r w:rsidRPr="0028214D">
        <w:rPr>
          <w:b/>
          <w:snapToGrid/>
        </w:rPr>
        <w:t>[</w:t>
      </w:r>
      <w:r w:rsidRPr="0028214D">
        <w:rPr>
          <w:snapToGrid/>
        </w:rPr>
        <w:t>INSERT DATE 30 DAYS AFTER DATE OF PUBLICATION IN THE FEDERAL REGISTER].</w:t>
      </w:r>
    </w:p>
    <w:p w:rsidR="0028214D" w:rsidRPr="0028214D" w:rsidRDefault="0028214D" w:rsidP="0028214D">
      <w:pPr>
        <w:spacing w:line="480" w:lineRule="auto"/>
        <w:rPr>
          <w:snapToGrid/>
        </w:rPr>
      </w:pPr>
      <w:r w:rsidRPr="0028214D">
        <w:rPr>
          <w:b/>
          <w:snapToGrid/>
        </w:rPr>
        <w:t>ADDRESSES</w:t>
      </w:r>
      <w:r w:rsidRPr="0028214D">
        <w:rPr>
          <w:snapToGrid/>
        </w:rPr>
        <w:t xml:space="preserve">: Submit your comments to </w:t>
      </w:r>
      <w:r w:rsidRPr="0028214D">
        <w:rPr>
          <w:snapToGrid/>
          <w:color w:val="0000FF"/>
          <w:u w:val="single"/>
        </w:rPr>
        <w:t>OIRA_submission@omb.eop.gov</w:t>
      </w:r>
      <w:r w:rsidRPr="0028214D">
        <w:rPr>
          <w:snapToGrid/>
        </w:rPr>
        <w:t xml:space="preserve"> or via facsimile to (202) 395-5806.</w:t>
      </w:r>
    </w:p>
    <w:p w:rsidR="0028214D" w:rsidRPr="0028214D" w:rsidRDefault="0028214D" w:rsidP="0028214D">
      <w:pPr>
        <w:spacing w:line="480" w:lineRule="auto"/>
        <w:outlineLvl w:val="0"/>
        <w:rPr>
          <w:snapToGrid/>
        </w:rPr>
      </w:pPr>
      <w:r w:rsidRPr="0028214D">
        <w:rPr>
          <w:b/>
          <w:snapToGrid/>
        </w:rPr>
        <w:t>FOR FURTHER INFORMATION CONTACT</w:t>
      </w:r>
      <w:r w:rsidRPr="0028214D">
        <w:rPr>
          <w:snapToGrid/>
        </w:rPr>
        <w:t xml:space="preserve">: Sherrette Funn, </w:t>
      </w:r>
      <w:r w:rsidRPr="0028214D">
        <w:rPr>
          <w:snapToGrid/>
          <w:color w:val="0000FF"/>
          <w:u w:val="single"/>
        </w:rPr>
        <w:t>Sherrette.Funn@hhs.gov</w:t>
      </w:r>
      <w:r w:rsidRPr="0028214D">
        <w:rPr>
          <w:snapToGrid/>
        </w:rPr>
        <w:t xml:space="preserve"> or (202) 795-7714. When submitting comments or requesting information, please include the document identifier 0990-New-30D and project title for reference</w:t>
      </w:r>
      <w:r w:rsidR="0039056F">
        <w:rPr>
          <w:snapToGrid/>
        </w:rPr>
        <w:t>.</w:t>
      </w:r>
    </w:p>
    <w:p w:rsidR="0028214D" w:rsidRPr="0028214D" w:rsidRDefault="0028214D" w:rsidP="0028214D">
      <w:pPr>
        <w:spacing w:line="480" w:lineRule="auto"/>
        <w:rPr>
          <w:b/>
          <w:snapToGrid/>
        </w:rPr>
      </w:pPr>
      <w:r w:rsidRPr="0028214D">
        <w:rPr>
          <w:b/>
          <w:snapToGrid/>
        </w:rPr>
        <w:t xml:space="preserve">SUPPLEMENTARY INFORMATION: </w:t>
      </w:r>
      <w:r w:rsidRPr="0028214D">
        <w:rPr>
          <w:snapToGrid/>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w:t>
      </w:r>
      <w:r w:rsidRPr="0028214D">
        <w:rPr>
          <w:snapToGrid/>
        </w:rPr>
        <w:lastRenderedPageBreak/>
        <w:t>information collection burden.</w:t>
      </w:r>
    </w:p>
    <w:p w:rsidR="00906A48" w:rsidRDefault="00906A48" w:rsidP="00906A48">
      <w:pPr>
        <w:spacing w:line="480" w:lineRule="auto"/>
      </w:pPr>
      <w:r w:rsidRPr="00806ECE">
        <w:rPr>
          <w:b/>
        </w:rPr>
        <w:t>Title of the Collection</w:t>
      </w:r>
      <w:r>
        <w:t>:</w:t>
      </w:r>
      <w:r w:rsidRPr="000155E4">
        <w:t xml:space="preserve"> </w:t>
      </w:r>
      <w:r>
        <w:t xml:space="preserve">Challenge and Prize Competition Solicitations </w:t>
      </w:r>
    </w:p>
    <w:p w:rsidR="00906A48" w:rsidRDefault="00906A48" w:rsidP="00906A48">
      <w:pPr>
        <w:spacing w:line="480" w:lineRule="auto"/>
      </w:pPr>
      <w:r w:rsidRPr="00806ECE">
        <w:rPr>
          <w:b/>
        </w:rPr>
        <w:t>Type of Collection</w:t>
      </w:r>
      <w:r>
        <w:t>: Reinstatement w/ chg.</w:t>
      </w:r>
    </w:p>
    <w:p w:rsidR="00906A48" w:rsidRDefault="00906A48" w:rsidP="00906A48">
      <w:pPr>
        <w:spacing w:line="480" w:lineRule="auto"/>
      </w:pPr>
      <w:r w:rsidRPr="000155E4">
        <w:t>OMB No. 0990-</w:t>
      </w:r>
      <w:r w:rsidR="00A65B29">
        <w:t>0390 –</w:t>
      </w:r>
      <w:r w:rsidRPr="000155E4">
        <w:t xml:space="preserve"> </w:t>
      </w:r>
      <w:r>
        <w:t xml:space="preserve">Office of the </w:t>
      </w:r>
      <w:r w:rsidR="00D538F5">
        <w:t>Chief Technology Officer</w:t>
      </w:r>
      <w:r>
        <w:t xml:space="preserve"> (</w:t>
      </w:r>
      <w:r w:rsidR="00D538F5">
        <w:t>CTO</w:t>
      </w:r>
      <w:r>
        <w:t>)</w:t>
      </w:r>
    </w:p>
    <w:p w:rsidR="004219A8" w:rsidRDefault="00906A48" w:rsidP="004219A8">
      <w:pPr>
        <w:spacing w:line="480" w:lineRule="auto"/>
      </w:pPr>
      <w:r>
        <w:rPr>
          <w:u w:val="single"/>
        </w:rPr>
        <w:t>Abstract</w:t>
      </w:r>
      <w:r w:rsidR="004219A8">
        <w:rPr>
          <w:u w:val="single"/>
        </w:rPr>
        <w:t>:</w:t>
      </w:r>
      <w:r w:rsidR="004219A8" w:rsidRPr="004219A8">
        <w:t xml:space="preserve"> The Office of the Secretary (OS), Department of Health &amp; Human Services (HHS) requests that the Office of Management and Budget (OMB) approve a request for a reinstatement with change of generic clearance approval of the information collected for challenge and prize competition solicitations.  Burden hours were increased from 251 to 333 total burden hours to provide more time for respondents to complete forms that may include more questions. </w:t>
      </w:r>
      <w:r w:rsidR="004219A8">
        <w:t xml:space="preserve">   </w:t>
      </w:r>
    </w:p>
    <w:p w:rsidR="00A65B29" w:rsidRDefault="00A65B29" w:rsidP="004219A8">
      <w:pPr>
        <w:spacing w:line="480" w:lineRule="auto"/>
        <w:ind w:firstLine="720"/>
      </w:pPr>
      <w:r>
        <w:t xml:space="preserve">Challenges and prize competitions enable HHS to tap into the expertise and creativity of the public in new ways as well as extend awareness of HHS programs and priorities.  Within HHS, the Office of the Chief Technology Officer (CTO) has taken lead responsibility in coordinating challenges and prize competitions and implementing policies regarding the use of these tools.  HHS’s goal is to engage a broader number of stakeholders who are inspired to work on some of our most pressing health issues, thus supporting a new ecosystem of scientists, developers, and entrepreneurs who can continue to innovate for public health.  </w:t>
      </w:r>
    </w:p>
    <w:p w:rsidR="00E1707A" w:rsidRDefault="00E1707A" w:rsidP="00E1707A">
      <w:pPr>
        <w:spacing w:line="480" w:lineRule="auto"/>
        <w:ind w:firstLine="720"/>
      </w:pPr>
      <w:r>
        <w:t xml:space="preserve">The generic clearance is necessary for HHS to launch several challenges or prize competitions annually in a short turnaround.  The information collected for these challenges and prize competitions will generally include the submitter’s or other contact person’s first and last name, organizational affiliation and role in the organization (for identification purposes); email address or other contact information (to follow up if the submitted solution is selected as a finalist or winner); street address (to confirm that the submitter or affiliated organization is located in the United States, for eligibility purposes); information confirming whether the submitter’s age is 13 years or older (to ensure compliance with the Children’s Online Privacy </w:t>
      </w:r>
      <w:r>
        <w:lastRenderedPageBreak/>
        <w:t xml:space="preserve">Protection Act of 1998, 15 U.S.C. § 6501-6505 (COPPA)) or 18 years or older (to ensure necessary consents are obtained); and a narrative description of the solution.  HHS may also request information indicating the submitter’s technical background, educational level, ethnicity, age range, gender, and race (to evaluate entrants’ diversity and backgrounds), how the submitter learned about the challenge or prize competition and what the submitter currently understands about the HHS agency hosting the challenge or prize competition (to gauge the effect of the challenge or prize competition on increasing public awareness of HHS programs and priorities, and generally to enable HHS to improve its outreach strategies to ensure a diverse and broad innovator constituency is fostered through the use of challenges and prize competitions). Finally, HHS may ask for additional information tailored to the particular challenge or prize competition through structured questions.  This information will enable HHS to more effectively create and administer challenges and prize competitions. </w:t>
      </w:r>
    </w:p>
    <w:p w:rsidR="00E1707A" w:rsidRDefault="00E1707A" w:rsidP="00E1707A">
      <w:pPr>
        <w:spacing w:line="480" w:lineRule="auto"/>
        <w:ind w:firstLine="720"/>
      </w:pPr>
      <w:r>
        <w:t xml:space="preserve">Upon entry or during the judging process, solvers under the age of 18 will be asked to confirm parental consent, which will require them to obtain and provide a parent or guardian signature in a format outlined in the specific criteria of each challenge or prize competition in order to qualify for the contest.  To protect online privacy of minors, birthdate may be required by the website host to ensure the challenge platform meets the requirements of COPPA.  Eligibility to win a cash prize will be outlined in the specific criteria of each contest and will only apply to U.S. citizens, permanent residents, or private entities incorporated in and maintaining a primary place of business in the U.S.  To administer the cash prize, HHS will need to collect additional relevant payment information— such as Social Security Number and/or Taxpayer ID and information regarding the winners’ financial institutions—in order to comply with financial accounting and income tax reporting processes.  </w:t>
      </w:r>
    </w:p>
    <w:p w:rsidR="00BB34BE" w:rsidRPr="00446E97" w:rsidRDefault="00906A48" w:rsidP="00A65B29">
      <w:pPr>
        <w:spacing w:line="480" w:lineRule="auto"/>
        <w:ind w:firstLine="720"/>
      </w:pPr>
      <w:r w:rsidRPr="00446E97">
        <w:rPr>
          <w:i/>
        </w:rPr>
        <w:t>Likely Respondents</w:t>
      </w:r>
      <w:r w:rsidRPr="00446E97">
        <w:t>: Likely respondents include individuals, businesses, and state and local governments who choose to participate in a challenge or prize competition hosted or overseen (i</w:t>
      </w:r>
      <w:r w:rsidR="00A65B29">
        <w:t>.e., via contract, etc.) by HHS.</w:t>
      </w:r>
    </w:p>
    <w:p w:rsidR="00A65B29" w:rsidRPr="007C2F17" w:rsidRDefault="00A65B29" w:rsidP="00A65B29">
      <w:pPr>
        <w:jc w:val="center"/>
        <w:rPr>
          <w:b/>
          <w:i/>
        </w:rPr>
      </w:pPr>
      <w:r w:rsidRPr="007C2F17">
        <w:rPr>
          <w:b/>
          <w:i/>
        </w:rPr>
        <w:t xml:space="preserve">Estimated </w:t>
      </w:r>
      <w:r w:rsidRPr="007C2F17">
        <w:rPr>
          <w:b/>
          <w:bCs/>
          <w:i/>
        </w:rPr>
        <w:t xml:space="preserve">Annualized Burden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620"/>
        <w:gridCol w:w="2070"/>
        <w:gridCol w:w="2073"/>
        <w:gridCol w:w="1252"/>
      </w:tblGrid>
      <w:tr w:rsidR="00A65B29" w:rsidRPr="008B423C" w:rsidTr="005316CC">
        <w:trPr>
          <w:trHeight w:val="285"/>
          <w:jc w:val="center"/>
        </w:trPr>
        <w:tc>
          <w:tcPr>
            <w:tcW w:w="2335" w:type="dxa"/>
            <w:shd w:val="clear" w:color="auto" w:fill="auto"/>
            <w:vAlign w:val="center"/>
          </w:tcPr>
          <w:p w:rsidR="00A65B29" w:rsidRDefault="00A65B29" w:rsidP="005316CC">
            <w:pPr>
              <w:jc w:val="center"/>
              <w:rPr>
                <w:b/>
              </w:rPr>
            </w:pPr>
            <w:r w:rsidRPr="007C2F17">
              <w:rPr>
                <w:b/>
              </w:rPr>
              <w:t>Respondent</w:t>
            </w:r>
          </w:p>
          <w:p w:rsidR="00A65B29" w:rsidRPr="007C2F17" w:rsidRDefault="00A65B29" w:rsidP="005316CC">
            <w:pPr>
              <w:jc w:val="center"/>
              <w:rPr>
                <w:b/>
              </w:rPr>
            </w:pPr>
            <w:r>
              <w:rPr>
                <w:b/>
              </w:rPr>
              <w:t>(if necessary)</w:t>
            </w:r>
          </w:p>
        </w:tc>
        <w:tc>
          <w:tcPr>
            <w:tcW w:w="1620" w:type="dxa"/>
            <w:shd w:val="clear" w:color="auto" w:fill="auto"/>
            <w:vAlign w:val="center"/>
          </w:tcPr>
          <w:p w:rsidR="00A65B29" w:rsidRPr="007C2F17" w:rsidRDefault="00A65B29" w:rsidP="005316CC">
            <w:pPr>
              <w:jc w:val="center"/>
              <w:rPr>
                <w:b/>
              </w:rPr>
            </w:pPr>
            <w:r w:rsidRPr="007C2F17">
              <w:rPr>
                <w:b/>
              </w:rPr>
              <w:t>Number of  Respondents</w:t>
            </w:r>
          </w:p>
        </w:tc>
        <w:tc>
          <w:tcPr>
            <w:tcW w:w="2070" w:type="dxa"/>
            <w:shd w:val="clear" w:color="auto" w:fill="auto"/>
            <w:vAlign w:val="center"/>
          </w:tcPr>
          <w:p w:rsidR="00A65B29" w:rsidRPr="007C2F17" w:rsidRDefault="00A65B29" w:rsidP="005316CC">
            <w:pPr>
              <w:jc w:val="center"/>
              <w:rPr>
                <w:b/>
              </w:rPr>
            </w:pPr>
            <w:r w:rsidRPr="007C2F17">
              <w:rPr>
                <w:b/>
              </w:rPr>
              <w:t>Number of Responses per  Respondent</w:t>
            </w:r>
          </w:p>
        </w:tc>
        <w:tc>
          <w:tcPr>
            <w:tcW w:w="2073" w:type="dxa"/>
            <w:shd w:val="clear" w:color="auto" w:fill="auto"/>
            <w:vAlign w:val="center"/>
          </w:tcPr>
          <w:p w:rsidR="00A65B29" w:rsidRDefault="00A65B29" w:rsidP="005316CC">
            <w:pPr>
              <w:jc w:val="center"/>
              <w:rPr>
                <w:b/>
              </w:rPr>
            </w:pPr>
            <w:r w:rsidRPr="007C2F17">
              <w:rPr>
                <w:b/>
              </w:rPr>
              <w:t>Average Burden per Response</w:t>
            </w:r>
          </w:p>
          <w:p w:rsidR="00A65B29" w:rsidRPr="007C2F17" w:rsidRDefault="00A65B29" w:rsidP="005316CC">
            <w:pPr>
              <w:jc w:val="center"/>
              <w:rPr>
                <w:b/>
              </w:rPr>
            </w:pPr>
            <w:r>
              <w:rPr>
                <w:b/>
              </w:rPr>
              <w:t>(hours)</w:t>
            </w:r>
          </w:p>
        </w:tc>
        <w:tc>
          <w:tcPr>
            <w:tcW w:w="1252" w:type="dxa"/>
            <w:shd w:val="clear" w:color="auto" w:fill="auto"/>
            <w:vAlign w:val="center"/>
          </w:tcPr>
          <w:p w:rsidR="00A65B29" w:rsidRPr="007C2F17" w:rsidRDefault="00A65B29" w:rsidP="005316CC">
            <w:pPr>
              <w:jc w:val="center"/>
              <w:rPr>
                <w:b/>
              </w:rPr>
            </w:pPr>
            <w:r w:rsidRPr="007C2F17">
              <w:rPr>
                <w:b/>
              </w:rPr>
              <w:t>Total Burden Hours</w:t>
            </w:r>
          </w:p>
        </w:tc>
      </w:tr>
      <w:tr w:rsidR="00A65B29" w:rsidRPr="008B423C" w:rsidTr="005316CC">
        <w:trPr>
          <w:trHeight w:val="285"/>
          <w:jc w:val="center"/>
        </w:trPr>
        <w:tc>
          <w:tcPr>
            <w:tcW w:w="2335" w:type="dxa"/>
            <w:shd w:val="clear" w:color="auto" w:fill="auto"/>
            <w:vAlign w:val="center"/>
          </w:tcPr>
          <w:p w:rsidR="00A65B29" w:rsidRPr="007C2F17" w:rsidRDefault="00A65B29" w:rsidP="005316CC">
            <w:pPr>
              <w:rPr>
                <w:b/>
              </w:rPr>
            </w:pPr>
            <w:r w:rsidRPr="007C2F17">
              <w:rPr>
                <w:b/>
              </w:rPr>
              <w:t>Individuals or Households</w:t>
            </w:r>
          </w:p>
        </w:tc>
        <w:tc>
          <w:tcPr>
            <w:tcW w:w="1620" w:type="dxa"/>
            <w:vAlign w:val="center"/>
          </w:tcPr>
          <w:p w:rsidR="00A65B29" w:rsidRPr="008B423C" w:rsidRDefault="00A65B29" w:rsidP="005316CC">
            <w:pPr>
              <w:jc w:val="center"/>
            </w:pPr>
            <w:r>
              <w:t>1,000</w:t>
            </w:r>
          </w:p>
        </w:tc>
        <w:tc>
          <w:tcPr>
            <w:tcW w:w="2070" w:type="dxa"/>
            <w:vAlign w:val="center"/>
          </w:tcPr>
          <w:p w:rsidR="00A65B29" w:rsidRPr="008B423C" w:rsidRDefault="00A65B29" w:rsidP="005316CC">
            <w:pPr>
              <w:jc w:val="center"/>
            </w:pPr>
            <w:r w:rsidRPr="008B423C">
              <w:t>1</w:t>
            </w:r>
          </w:p>
        </w:tc>
        <w:tc>
          <w:tcPr>
            <w:tcW w:w="2073" w:type="dxa"/>
            <w:vAlign w:val="center"/>
          </w:tcPr>
          <w:p w:rsidR="00A65B29" w:rsidRPr="008B423C" w:rsidRDefault="00A65B29" w:rsidP="005316CC">
            <w:pPr>
              <w:jc w:val="center"/>
            </w:pPr>
            <w:r w:rsidRPr="008B423C">
              <w:t>1</w:t>
            </w:r>
            <w:r>
              <w:t>0</w:t>
            </w:r>
            <w:r w:rsidRPr="008B423C">
              <w:t>/6</w:t>
            </w:r>
            <w:r>
              <w:t>0</w:t>
            </w:r>
          </w:p>
        </w:tc>
        <w:tc>
          <w:tcPr>
            <w:tcW w:w="1252" w:type="dxa"/>
            <w:vAlign w:val="center"/>
          </w:tcPr>
          <w:p w:rsidR="00A65B29" w:rsidRPr="008B423C" w:rsidRDefault="00A65B29" w:rsidP="005316CC">
            <w:pPr>
              <w:jc w:val="center"/>
            </w:pPr>
            <w:r>
              <w:t>166.7</w:t>
            </w:r>
          </w:p>
        </w:tc>
      </w:tr>
      <w:tr w:rsidR="00A65B29" w:rsidRPr="008B423C" w:rsidTr="005316CC">
        <w:trPr>
          <w:trHeight w:val="144"/>
          <w:jc w:val="center"/>
        </w:trPr>
        <w:tc>
          <w:tcPr>
            <w:tcW w:w="2335" w:type="dxa"/>
            <w:shd w:val="clear" w:color="auto" w:fill="auto"/>
            <w:vAlign w:val="center"/>
          </w:tcPr>
          <w:p w:rsidR="00A65B29" w:rsidRPr="007C2F17" w:rsidRDefault="00A65B29" w:rsidP="005316CC">
            <w:pPr>
              <w:rPr>
                <w:b/>
              </w:rPr>
            </w:pPr>
            <w:r w:rsidRPr="007C2F17">
              <w:rPr>
                <w:b/>
              </w:rPr>
              <w:t>Organizations</w:t>
            </w:r>
          </w:p>
        </w:tc>
        <w:tc>
          <w:tcPr>
            <w:tcW w:w="1620" w:type="dxa"/>
            <w:vAlign w:val="center"/>
          </w:tcPr>
          <w:p w:rsidR="00A65B29" w:rsidRPr="008B423C" w:rsidRDefault="00A65B29" w:rsidP="005316CC">
            <w:pPr>
              <w:jc w:val="center"/>
            </w:pPr>
            <w:r>
              <w:t>500</w:t>
            </w:r>
          </w:p>
        </w:tc>
        <w:tc>
          <w:tcPr>
            <w:tcW w:w="2070" w:type="dxa"/>
            <w:vAlign w:val="center"/>
          </w:tcPr>
          <w:p w:rsidR="00A65B29" w:rsidRPr="008B423C" w:rsidRDefault="00A65B29" w:rsidP="005316CC">
            <w:pPr>
              <w:jc w:val="center"/>
            </w:pPr>
            <w:r w:rsidRPr="008B423C">
              <w:t>1</w:t>
            </w:r>
          </w:p>
        </w:tc>
        <w:tc>
          <w:tcPr>
            <w:tcW w:w="2073" w:type="dxa"/>
            <w:vAlign w:val="center"/>
          </w:tcPr>
          <w:p w:rsidR="00A65B29" w:rsidRPr="008B423C" w:rsidRDefault="00A65B29" w:rsidP="005316CC">
            <w:pPr>
              <w:jc w:val="center"/>
            </w:pPr>
            <w:r w:rsidRPr="008B423C">
              <w:t>1</w:t>
            </w:r>
            <w:r>
              <w:t>0</w:t>
            </w:r>
            <w:r w:rsidRPr="008B423C">
              <w:t>/6</w:t>
            </w:r>
            <w:r>
              <w:t>0</w:t>
            </w:r>
          </w:p>
        </w:tc>
        <w:tc>
          <w:tcPr>
            <w:tcW w:w="1252" w:type="dxa"/>
            <w:vAlign w:val="center"/>
          </w:tcPr>
          <w:p w:rsidR="00A65B29" w:rsidRPr="008B423C" w:rsidRDefault="00A65B29" w:rsidP="005316CC">
            <w:pPr>
              <w:jc w:val="center"/>
            </w:pPr>
            <w:r>
              <w:t>83.3</w:t>
            </w:r>
          </w:p>
        </w:tc>
      </w:tr>
      <w:tr w:rsidR="00A65B29" w:rsidRPr="008B423C" w:rsidTr="005316CC">
        <w:trPr>
          <w:trHeight w:val="142"/>
          <w:jc w:val="center"/>
        </w:trPr>
        <w:tc>
          <w:tcPr>
            <w:tcW w:w="2335" w:type="dxa"/>
            <w:shd w:val="clear" w:color="auto" w:fill="auto"/>
            <w:vAlign w:val="center"/>
          </w:tcPr>
          <w:p w:rsidR="00A65B29" w:rsidRPr="007C2F17" w:rsidRDefault="00A65B29" w:rsidP="005316CC">
            <w:pPr>
              <w:rPr>
                <w:b/>
              </w:rPr>
            </w:pPr>
            <w:r w:rsidRPr="007C2F17">
              <w:rPr>
                <w:b/>
              </w:rPr>
              <w:t>Businesses</w:t>
            </w:r>
          </w:p>
        </w:tc>
        <w:tc>
          <w:tcPr>
            <w:tcW w:w="1620" w:type="dxa"/>
            <w:vAlign w:val="center"/>
          </w:tcPr>
          <w:p w:rsidR="00A65B29" w:rsidRPr="008B423C" w:rsidRDefault="00A65B29" w:rsidP="005316CC">
            <w:pPr>
              <w:jc w:val="center"/>
            </w:pPr>
            <w:r>
              <w:t>440</w:t>
            </w:r>
          </w:p>
        </w:tc>
        <w:tc>
          <w:tcPr>
            <w:tcW w:w="2070" w:type="dxa"/>
            <w:vAlign w:val="center"/>
          </w:tcPr>
          <w:p w:rsidR="00A65B29" w:rsidRPr="008B423C" w:rsidRDefault="00A65B29" w:rsidP="005316CC">
            <w:pPr>
              <w:jc w:val="center"/>
            </w:pPr>
            <w:r w:rsidRPr="008B423C">
              <w:t>1</w:t>
            </w:r>
          </w:p>
        </w:tc>
        <w:tc>
          <w:tcPr>
            <w:tcW w:w="2073" w:type="dxa"/>
            <w:vAlign w:val="center"/>
          </w:tcPr>
          <w:p w:rsidR="00A65B29" w:rsidRPr="008B423C" w:rsidRDefault="00A65B29" w:rsidP="005316CC">
            <w:pPr>
              <w:jc w:val="center"/>
            </w:pPr>
            <w:r w:rsidRPr="008B423C">
              <w:t>1</w:t>
            </w:r>
            <w:r>
              <w:t>0</w:t>
            </w:r>
            <w:r w:rsidRPr="008B423C">
              <w:t>/6</w:t>
            </w:r>
            <w:r>
              <w:t>0</w:t>
            </w:r>
          </w:p>
        </w:tc>
        <w:tc>
          <w:tcPr>
            <w:tcW w:w="1252" w:type="dxa"/>
            <w:vAlign w:val="center"/>
          </w:tcPr>
          <w:p w:rsidR="00A65B29" w:rsidRPr="008B423C" w:rsidRDefault="00A65B29" w:rsidP="005316CC">
            <w:pPr>
              <w:jc w:val="center"/>
            </w:pPr>
            <w:r>
              <w:t>73.3</w:t>
            </w:r>
          </w:p>
        </w:tc>
      </w:tr>
      <w:tr w:rsidR="00A65B29" w:rsidRPr="008B423C" w:rsidTr="005316CC">
        <w:trPr>
          <w:trHeight w:val="142"/>
          <w:jc w:val="center"/>
        </w:trPr>
        <w:tc>
          <w:tcPr>
            <w:tcW w:w="2335" w:type="dxa"/>
            <w:shd w:val="clear" w:color="auto" w:fill="auto"/>
            <w:vAlign w:val="center"/>
          </w:tcPr>
          <w:p w:rsidR="00A65B29" w:rsidRPr="007C2F17" w:rsidRDefault="00A65B29" w:rsidP="005316CC">
            <w:pPr>
              <w:rPr>
                <w:b/>
              </w:rPr>
            </w:pPr>
            <w:r w:rsidRPr="007C2F17">
              <w:rPr>
                <w:b/>
              </w:rPr>
              <w:t>State, territory, tribal or local governments</w:t>
            </w:r>
          </w:p>
        </w:tc>
        <w:tc>
          <w:tcPr>
            <w:tcW w:w="1620" w:type="dxa"/>
            <w:vAlign w:val="center"/>
          </w:tcPr>
          <w:p w:rsidR="00A65B29" w:rsidRPr="008B423C" w:rsidRDefault="00A65B29" w:rsidP="005316CC">
            <w:pPr>
              <w:jc w:val="center"/>
            </w:pPr>
            <w:r>
              <w:t>60</w:t>
            </w:r>
          </w:p>
        </w:tc>
        <w:tc>
          <w:tcPr>
            <w:tcW w:w="2070" w:type="dxa"/>
            <w:vAlign w:val="center"/>
          </w:tcPr>
          <w:p w:rsidR="00A65B29" w:rsidRPr="008B423C" w:rsidRDefault="00A65B29" w:rsidP="005316CC">
            <w:pPr>
              <w:jc w:val="center"/>
            </w:pPr>
            <w:r w:rsidRPr="008B423C">
              <w:t>1</w:t>
            </w:r>
          </w:p>
        </w:tc>
        <w:tc>
          <w:tcPr>
            <w:tcW w:w="2073" w:type="dxa"/>
            <w:vAlign w:val="center"/>
          </w:tcPr>
          <w:p w:rsidR="00A65B29" w:rsidRPr="008B423C" w:rsidRDefault="00A65B29" w:rsidP="005316CC">
            <w:pPr>
              <w:jc w:val="center"/>
            </w:pPr>
            <w:r w:rsidRPr="008B423C">
              <w:t>1</w:t>
            </w:r>
            <w:r>
              <w:t>0</w:t>
            </w:r>
            <w:r w:rsidRPr="008B423C">
              <w:t>/6</w:t>
            </w:r>
            <w:r>
              <w:t>0</w:t>
            </w:r>
          </w:p>
        </w:tc>
        <w:tc>
          <w:tcPr>
            <w:tcW w:w="1252" w:type="dxa"/>
            <w:vAlign w:val="center"/>
          </w:tcPr>
          <w:p w:rsidR="00A65B29" w:rsidRPr="008B423C" w:rsidRDefault="00A65B29" w:rsidP="005316CC">
            <w:pPr>
              <w:jc w:val="center"/>
            </w:pPr>
            <w:r>
              <w:t>10.0</w:t>
            </w:r>
          </w:p>
        </w:tc>
      </w:tr>
      <w:tr w:rsidR="00A65B29" w:rsidRPr="008B423C" w:rsidTr="005316CC">
        <w:trPr>
          <w:trHeight w:val="285"/>
          <w:jc w:val="center"/>
        </w:trPr>
        <w:tc>
          <w:tcPr>
            <w:tcW w:w="2335" w:type="dxa"/>
            <w:shd w:val="clear" w:color="auto" w:fill="auto"/>
            <w:vAlign w:val="center"/>
          </w:tcPr>
          <w:p w:rsidR="00A65B29" w:rsidRPr="007C2F17" w:rsidRDefault="00A65B29" w:rsidP="005316CC">
            <w:pPr>
              <w:rPr>
                <w:b/>
              </w:rPr>
            </w:pPr>
            <w:r w:rsidRPr="007C2F17">
              <w:rPr>
                <w:b/>
              </w:rPr>
              <w:t>Total</w:t>
            </w:r>
          </w:p>
        </w:tc>
        <w:tc>
          <w:tcPr>
            <w:tcW w:w="1620" w:type="dxa"/>
            <w:shd w:val="clear" w:color="auto" w:fill="A6A6A6" w:themeFill="background1" w:themeFillShade="A6"/>
            <w:vAlign w:val="center"/>
          </w:tcPr>
          <w:p w:rsidR="00A65B29" w:rsidRPr="00946354" w:rsidRDefault="00A65B29" w:rsidP="005316CC">
            <w:pPr>
              <w:jc w:val="center"/>
              <w:rPr>
                <w:b/>
              </w:rPr>
            </w:pPr>
          </w:p>
        </w:tc>
        <w:tc>
          <w:tcPr>
            <w:tcW w:w="2070" w:type="dxa"/>
            <w:shd w:val="clear" w:color="auto" w:fill="auto"/>
            <w:vAlign w:val="center"/>
          </w:tcPr>
          <w:p w:rsidR="00A65B29" w:rsidRPr="00946354" w:rsidRDefault="00A65B29" w:rsidP="005316CC">
            <w:pPr>
              <w:jc w:val="center"/>
              <w:rPr>
                <w:b/>
              </w:rPr>
            </w:pPr>
          </w:p>
        </w:tc>
        <w:tc>
          <w:tcPr>
            <w:tcW w:w="2073" w:type="dxa"/>
            <w:shd w:val="clear" w:color="auto" w:fill="A6A6A6" w:themeFill="background1" w:themeFillShade="A6"/>
            <w:vAlign w:val="center"/>
          </w:tcPr>
          <w:p w:rsidR="00A65B29" w:rsidRPr="00946354" w:rsidRDefault="00A65B29" w:rsidP="005316CC">
            <w:pPr>
              <w:jc w:val="center"/>
              <w:rPr>
                <w:b/>
              </w:rPr>
            </w:pPr>
          </w:p>
        </w:tc>
        <w:tc>
          <w:tcPr>
            <w:tcW w:w="1252" w:type="dxa"/>
            <w:shd w:val="clear" w:color="auto" w:fill="auto"/>
            <w:vAlign w:val="center"/>
          </w:tcPr>
          <w:p w:rsidR="00A65B29" w:rsidRPr="00946354" w:rsidRDefault="00A65B29" w:rsidP="005316CC">
            <w:pPr>
              <w:jc w:val="center"/>
              <w:rPr>
                <w:b/>
              </w:rPr>
            </w:pPr>
            <w:r w:rsidRPr="00946354">
              <w:rPr>
                <w:b/>
              </w:rPr>
              <w:t>333.3</w:t>
            </w:r>
          </w:p>
        </w:tc>
      </w:tr>
    </w:tbl>
    <w:p w:rsidR="008E3FFE" w:rsidRDefault="008E3FFE" w:rsidP="002E6F79">
      <w:pPr>
        <w:rPr>
          <w:bCs/>
        </w:rPr>
      </w:pPr>
    </w:p>
    <w:p w:rsidR="008E3FFE" w:rsidRDefault="008E3FFE" w:rsidP="002E6F79">
      <w:pPr>
        <w:rPr>
          <w:bCs/>
        </w:rPr>
      </w:pPr>
    </w:p>
    <w:p w:rsidR="00906A48" w:rsidRPr="00F5791E" w:rsidRDefault="00906A48" w:rsidP="002E6F79">
      <w:pPr>
        <w:rPr>
          <w:bCs/>
        </w:rPr>
      </w:pPr>
      <w:r>
        <w:rPr>
          <w:bCs/>
        </w:rPr>
        <w:t>Date:</w:t>
      </w:r>
    </w:p>
    <w:p w:rsidR="002E6F79" w:rsidRPr="00F5791E" w:rsidRDefault="002E6F79" w:rsidP="002E6F79">
      <w:pPr>
        <w:rPr>
          <w:bCs/>
        </w:rPr>
      </w:pPr>
    </w:p>
    <w:p w:rsidR="002E6F79" w:rsidRPr="00F5791E" w:rsidRDefault="002E6F79" w:rsidP="002E6F79">
      <w:pPr>
        <w:spacing w:line="480" w:lineRule="auto"/>
      </w:pPr>
    </w:p>
    <w:p w:rsidR="002E6F79" w:rsidRPr="00F5791E" w:rsidRDefault="002E6F79" w:rsidP="002E6F79">
      <w:pPr>
        <w:spacing w:line="480" w:lineRule="auto"/>
      </w:pPr>
      <w:r w:rsidRPr="00F5791E">
        <w:t xml:space="preserve">  </w:t>
      </w:r>
      <w:r w:rsidRPr="00F5791E">
        <w:tab/>
      </w:r>
      <w:r w:rsidRPr="00F5791E">
        <w:tab/>
      </w:r>
    </w:p>
    <w:p w:rsidR="002E6F79" w:rsidRPr="00F5791E" w:rsidRDefault="002E6F79" w:rsidP="001C62CE">
      <w:pPr>
        <w:ind w:firstLine="720"/>
        <w:jc w:val="both"/>
      </w:pPr>
      <w:r w:rsidRPr="00F5791E">
        <w:rPr>
          <w:u w:val="single"/>
        </w:rPr>
        <w:t xml:space="preserve">____________________________________                                                                                          </w:t>
      </w:r>
    </w:p>
    <w:p w:rsidR="002E6F79" w:rsidRPr="00F5791E" w:rsidRDefault="00F16A34" w:rsidP="001C62CE">
      <w:pPr>
        <w:spacing w:line="480" w:lineRule="auto"/>
        <w:ind w:firstLine="1440"/>
      </w:pPr>
      <w:r>
        <w:t>Insert Name</w:t>
      </w:r>
    </w:p>
    <w:p w:rsidR="002E6F79" w:rsidRPr="00324ED0" w:rsidRDefault="002E6F79" w:rsidP="001C62CE">
      <w:pPr>
        <w:spacing w:line="480" w:lineRule="auto"/>
        <w:ind w:left="2448" w:hanging="1008"/>
        <w:rPr>
          <w:i/>
        </w:rPr>
      </w:pPr>
      <w:r w:rsidRPr="00324ED0">
        <w:rPr>
          <w:i/>
        </w:rPr>
        <w:t>Office of the Secretary</w:t>
      </w:r>
    </w:p>
    <w:p w:rsidR="002E6F79" w:rsidRPr="00324ED0" w:rsidRDefault="002E6F79" w:rsidP="001C62CE">
      <w:pPr>
        <w:spacing w:line="480" w:lineRule="auto"/>
        <w:ind w:left="2448" w:hanging="1008"/>
        <w:rPr>
          <w:i/>
        </w:rPr>
      </w:pPr>
      <w:r w:rsidRPr="00324ED0">
        <w:rPr>
          <w:i/>
        </w:rPr>
        <w:t>Paperwork Reduction Act Reports Clearance Officer</w:t>
      </w:r>
    </w:p>
    <w:p w:rsidR="009E0E44" w:rsidRDefault="009E0E44">
      <w:pPr>
        <w:spacing w:line="480" w:lineRule="auto"/>
      </w:pPr>
      <w:r>
        <w:t xml:space="preserve">  </w:t>
      </w:r>
      <w:r>
        <w:tab/>
      </w:r>
      <w:r>
        <w:tab/>
      </w:r>
    </w:p>
    <w:sectPr w:rsidR="009E0E44">
      <w:footerReference w:type="default" r:id="rId7"/>
      <w:endnotePr>
        <w:numFmt w:val="decimal"/>
      </w:endnotePr>
      <w:type w:val="continuous"/>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892" w:rsidRDefault="00BB3892">
      <w:r>
        <w:separator/>
      </w:r>
    </w:p>
  </w:endnote>
  <w:endnote w:type="continuationSeparator" w:id="0">
    <w:p w:rsidR="00BB3892" w:rsidRDefault="00BB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F4" w:rsidRDefault="008516F4">
    <w:pPr>
      <w:spacing w:line="240" w:lineRule="exact"/>
    </w:pPr>
  </w:p>
  <w:p w:rsidR="008516F4" w:rsidRDefault="008516F4">
    <w:pPr>
      <w:framePr w:w="9361" w:wrap="notBeside" w:vAnchor="text" w:hAnchor="text" w:x="1" w:y="1"/>
      <w:jc w:val="center"/>
    </w:pPr>
    <w:r>
      <w:fldChar w:fldCharType="begin"/>
    </w:r>
    <w:r>
      <w:instrText xml:space="preserve">PAGE </w:instrText>
    </w:r>
    <w:r>
      <w:fldChar w:fldCharType="separate"/>
    </w:r>
    <w:r w:rsidR="0028508C">
      <w:rPr>
        <w:noProof/>
      </w:rPr>
      <w:t>1</w:t>
    </w:r>
    <w:r>
      <w:fldChar w:fldCharType="end"/>
    </w:r>
  </w:p>
  <w:p w:rsidR="008516F4" w:rsidRDefault="008516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892" w:rsidRDefault="00BB3892">
      <w:r>
        <w:separator/>
      </w:r>
    </w:p>
  </w:footnote>
  <w:footnote w:type="continuationSeparator" w:id="0">
    <w:p w:rsidR="00BB3892" w:rsidRDefault="00BB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CA"/>
    <w:rsid w:val="00030CF1"/>
    <w:rsid w:val="000B4460"/>
    <w:rsid w:val="001631E0"/>
    <w:rsid w:val="00196215"/>
    <w:rsid w:val="001A54C3"/>
    <w:rsid w:val="001C62CE"/>
    <w:rsid w:val="0026735A"/>
    <w:rsid w:val="00275DA4"/>
    <w:rsid w:val="0028214D"/>
    <w:rsid w:val="0028508C"/>
    <w:rsid w:val="002D1E3D"/>
    <w:rsid w:val="002E6F79"/>
    <w:rsid w:val="00324ED0"/>
    <w:rsid w:val="0032673A"/>
    <w:rsid w:val="00350193"/>
    <w:rsid w:val="0038131C"/>
    <w:rsid w:val="0039056F"/>
    <w:rsid w:val="003A47B0"/>
    <w:rsid w:val="003E150A"/>
    <w:rsid w:val="004219A8"/>
    <w:rsid w:val="00470B95"/>
    <w:rsid w:val="004F4B05"/>
    <w:rsid w:val="005725D1"/>
    <w:rsid w:val="00590DE6"/>
    <w:rsid w:val="005B59DC"/>
    <w:rsid w:val="005C7F72"/>
    <w:rsid w:val="00722940"/>
    <w:rsid w:val="00805322"/>
    <w:rsid w:val="008516F4"/>
    <w:rsid w:val="008C1A74"/>
    <w:rsid w:val="008E3FFE"/>
    <w:rsid w:val="008F3EF4"/>
    <w:rsid w:val="00906A48"/>
    <w:rsid w:val="00953E0A"/>
    <w:rsid w:val="009E0E44"/>
    <w:rsid w:val="00A00D39"/>
    <w:rsid w:val="00A34F61"/>
    <w:rsid w:val="00A65B29"/>
    <w:rsid w:val="00AE3813"/>
    <w:rsid w:val="00B56C20"/>
    <w:rsid w:val="00B761CA"/>
    <w:rsid w:val="00B944CA"/>
    <w:rsid w:val="00BB34BE"/>
    <w:rsid w:val="00BB3892"/>
    <w:rsid w:val="00C80DC0"/>
    <w:rsid w:val="00C909D9"/>
    <w:rsid w:val="00D2686A"/>
    <w:rsid w:val="00D538F5"/>
    <w:rsid w:val="00E054BF"/>
    <w:rsid w:val="00E1707A"/>
    <w:rsid w:val="00E557A8"/>
    <w:rsid w:val="00E621C4"/>
    <w:rsid w:val="00EA26F2"/>
    <w:rsid w:val="00EE7405"/>
    <w:rsid w:val="00F16A34"/>
    <w:rsid w:val="00F41B5A"/>
    <w:rsid w:val="00F566D6"/>
    <w:rsid w:val="00F672CD"/>
    <w:rsid w:val="00F96C8F"/>
    <w:rsid w:val="00FD5BAB"/>
    <w:rsid w:val="00FE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harCharChar1CharCharCharChar">
    <w:name w:val="Char Char Char1 Char Char Char Char"/>
    <w:basedOn w:val="Normal"/>
    <w:semiHidden/>
    <w:pPr>
      <w:widowControl/>
      <w:spacing w:before="80" w:after="80"/>
      <w:ind w:left="4320"/>
      <w:jc w:val="both"/>
    </w:pPr>
    <w:rPr>
      <w:rFonts w:ascii="Arial" w:hAnsi="Arial"/>
      <w:snapToGrid/>
      <w:sz w:val="20"/>
      <w:szCs w:val="24"/>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pPr>
      <w:widowControl/>
      <w:spacing w:after="160" w:line="320" w:lineRule="exact"/>
    </w:pPr>
    <w:rPr>
      <w:rFonts w:ascii="Verdana" w:eastAsia="MS Mincho" w:hAnsi="Verdana"/>
      <w:snapToGrid/>
      <w:sz w:val="20"/>
    </w:rPr>
  </w:style>
  <w:style w:type="character" w:customStyle="1" w:styleId="bodytextChar">
    <w:name w:val="body text Char"/>
    <w:link w:val="BodyText1"/>
    <w:rPr>
      <w:rFonts w:ascii="Verdana" w:eastAsia="MS Mincho" w:hAnsi="Verdana"/>
      <w:lang w:val="en-US" w:eastAsia="en-US" w:bidi="ar-SA"/>
    </w:rPr>
  </w:style>
  <w:style w:type="character" w:styleId="CommentReference">
    <w:name w:val="annotation reference"/>
    <w:rsid w:val="00722940"/>
    <w:rPr>
      <w:sz w:val="16"/>
      <w:szCs w:val="16"/>
    </w:rPr>
  </w:style>
  <w:style w:type="paragraph" w:styleId="CommentText">
    <w:name w:val="annotation text"/>
    <w:basedOn w:val="Normal"/>
    <w:link w:val="CommentTextChar"/>
    <w:rsid w:val="00722940"/>
    <w:rPr>
      <w:sz w:val="20"/>
    </w:rPr>
  </w:style>
  <w:style w:type="character" w:customStyle="1" w:styleId="CommentTextChar">
    <w:name w:val="Comment Text Char"/>
    <w:link w:val="CommentText"/>
    <w:rsid w:val="00722940"/>
    <w:rPr>
      <w:snapToGrid w:val="0"/>
    </w:rPr>
  </w:style>
  <w:style w:type="paragraph" w:styleId="CommentSubject">
    <w:name w:val="annotation subject"/>
    <w:basedOn w:val="CommentText"/>
    <w:next w:val="CommentText"/>
    <w:link w:val="CommentSubjectChar"/>
    <w:rsid w:val="00722940"/>
    <w:rPr>
      <w:b/>
      <w:bCs/>
    </w:rPr>
  </w:style>
  <w:style w:type="character" w:customStyle="1" w:styleId="CommentSubjectChar">
    <w:name w:val="Comment Subject Char"/>
    <w:link w:val="CommentSubject"/>
    <w:rsid w:val="00722940"/>
    <w:rPr>
      <w:b/>
      <w:bCs/>
      <w:snapToGrid w:val="0"/>
    </w:rPr>
  </w:style>
  <w:style w:type="paragraph" w:styleId="BodyTextIndent">
    <w:name w:val="Body Text Indent"/>
    <w:basedOn w:val="Normal"/>
    <w:link w:val="BodyTextIndentChar"/>
    <w:rsid w:val="008516F4"/>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link w:val="BodyTextIndent"/>
    <w:rsid w:val="008516F4"/>
    <w:rPr>
      <w:rFonts w:ascii="Baskerville Old Face" w:hAnsi="Baskerville Old Face"/>
      <w:sz w:val="24"/>
      <w:szCs w:val="24"/>
    </w:rPr>
  </w:style>
  <w:style w:type="paragraph" w:customStyle="1" w:styleId="Preamble">
    <w:name w:val="Preamble"/>
    <w:basedOn w:val="Normal"/>
    <w:qFormat/>
    <w:rsid w:val="00F16A34"/>
    <w:pPr>
      <w:spacing w:line="480" w:lineRule="auto"/>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harCharChar1CharCharCharChar">
    <w:name w:val="Char Char Char1 Char Char Char Char"/>
    <w:basedOn w:val="Normal"/>
    <w:semiHidden/>
    <w:pPr>
      <w:widowControl/>
      <w:spacing w:before="80" w:after="80"/>
      <w:ind w:left="4320"/>
      <w:jc w:val="both"/>
    </w:pPr>
    <w:rPr>
      <w:rFonts w:ascii="Arial" w:hAnsi="Arial"/>
      <w:snapToGrid/>
      <w:sz w:val="20"/>
      <w:szCs w:val="24"/>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pPr>
      <w:widowControl/>
      <w:spacing w:after="160" w:line="320" w:lineRule="exact"/>
    </w:pPr>
    <w:rPr>
      <w:rFonts w:ascii="Verdana" w:eastAsia="MS Mincho" w:hAnsi="Verdana"/>
      <w:snapToGrid/>
      <w:sz w:val="20"/>
    </w:rPr>
  </w:style>
  <w:style w:type="character" w:customStyle="1" w:styleId="bodytextChar">
    <w:name w:val="body text Char"/>
    <w:link w:val="BodyText1"/>
    <w:rPr>
      <w:rFonts w:ascii="Verdana" w:eastAsia="MS Mincho" w:hAnsi="Verdana"/>
      <w:lang w:val="en-US" w:eastAsia="en-US" w:bidi="ar-SA"/>
    </w:rPr>
  </w:style>
  <w:style w:type="character" w:styleId="CommentReference">
    <w:name w:val="annotation reference"/>
    <w:rsid w:val="00722940"/>
    <w:rPr>
      <w:sz w:val="16"/>
      <w:szCs w:val="16"/>
    </w:rPr>
  </w:style>
  <w:style w:type="paragraph" w:styleId="CommentText">
    <w:name w:val="annotation text"/>
    <w:basedOn w:val="Normal"/>
    <w:link w:val="CommentTextChar"/>
    <w:rsid w:val="00722940"/>
    <w:rPr>
      <w:sz w:val="20"/>
    </w:rPr>
  </w:style>
  <w:style w:type="character" w:customStyle="1" w:styleId="CommentTextChar">
    <w:name w:val="Comment Text Char"/>
    <w:link w:val="CommentText"/>
    <w:rsid w:val="00722940"/>
    <w:rPr>
      <w:snapToGrid w:val="0"/>
    </w:rPr>
  </w:style>
  <w:style w:type="paragraph" w:styleId="CommentSubject">
    <w:name w:val="annotation subject"/>
    <w:basedOn w:val="CommentText"/>
    <w:next w:val="CommentText"/>
    <w:link w:val="CommentSubjectChar"/>
    <w:rsid w:val="00722940"/>
    <w:rPr>
      <w:b/>
      <w:bCs/>
    </w:rPr>
  </w:style>
  <w:style w:type="character" w:customStyle="1" w:styleId="CommentSubjectChar">
    <w:name w:val="Comment Subject Char"/>
    <w:link w:val="CommentSubject"/>
    <w:rsid w:val="00722940"/>
    <w:rPr>
      <w:b/>
      <w:bCs/>
      <w:snapToGrid w:val="0"/>
    </w:rPr>
  </w:style>
  <w:style w:type="paragraph" w:styleId="BodyTextIndent">
    <w:name w:val="Body Text Indent"/>
    <w:basedOn w:val="Normal"/>
    <w:link w:val="BodyTextIndentChar"/>
    <w:rsid w:val="008516F4"/>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link w:val="BodyTextIndent"/>
    <w:rsid w:val="008516F4"/>
    <w:rPr>
      <w:rFonts w:ascii="Baskerville Old Face" w:hAnsi="Baskerville Old Face"/>
      <w:sz w:val="24"/>
      <w:szCs w:val="24"/>
    </w:rPr>
  </w:style>
  <w:style w:type="paragraph" w:customStyle="1" w:styleId="Preamble">
    <w:name w:val="Preamble"/>
    <w:basedOn w:val="Normal"/>
    <w:qFormat/>
    <w:rsid w:val="00F16A34"/>
    <w:pPr>
      <w:spacing w:line="480" w:lineRule="auto"/>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1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subject/>
  <dc:creator>HCFA Software Control</dc:creator>
  <cp:keywords/>
  <cp:lastModifiedBy>SYSTEM</cp:lastModifiedBy>
  <cp:revision>2</cp:revision>
  <cp:lastPrinted>2006-06-16T16:43:00Z</cp:lastPrinted>
  <dcterms:created xsi:type="dcterms:W3CDTF">2019-06-26T18:07:00Z</dcterms:created>
  <dcterms:modified xsi:type="dcterms:W3CDTF">2019-06-26T18:07:00Z</dcterms:modified>
</cp:coreProperties>
</file>