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1FDD" w:rsidR="00291FDD" w:rsidP="00291FDD" w:rsidRDefault="00291FDD" w14:paraId="667560F7" w14:textId="5F6A998C">
      <w:pPr>
        <w:jc w:val="center"/>
        <w:rPr>
          <w:b/>
        </w:rPr>
      </w:pPr>
      <w:r w:rsidRPr="00291FDD">
        <w:rPr>
          <w:b/>
        </w:rPr>
        <w:t>Supporting Statement for the Supplemental Questions to the National Agricultural Workers Survey related to employment, health, and safety and health practices during the Coronavirus pandemic</w:t>
      </w:r>
    </w:p>
    <w:p w:rsidR="00291FDD" w:rsidP="00291FDD" w:rsidRDefault="00920951" w14:paraId="40DF83BB" w14:textId="254246EB">
      <w:pPr>
        <w:pStyle w:val="Heading1"/>
        <w:tabs>
          <w:tab w:val="clear" w:pos="122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720"/>
      </w:pPr>
      <w:r w:rsidRPr="00AA2931">
        <w:tab/>
      </w:r>
    </w:p>
    <w:p w:rsidR="00291FDD" w:rsidP="00291FDD" w:rsidRDefault="00291FDD" w14:paraId="0FA3F216" w14:textId="77777777">
      <w:pPr>
        <w:pStyle w:val="Heading1"/>
        <w:tabs>
          <w:tab w:val="clear" w:pos="122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720" w:hanging="720"/>
      </w:pPr>
    </w:p>
    <w:p w:rsidR="00291FDD" w:rsidP="00291FDD" w:rsidRDefault="00291FDD" w14:paraId="496FCDF5" w14:textId="77777777">
      <w:pPr>
        <w:spacing w:line="240" w:lineRule="exact"/>
        <w:rPr>
          <w:b/>
          <w:u w:val="single"/>
        </w:rPr>
      </w:pPr>
      <w:r w:rsidRPr="00314C37">
        <w:rPr>
          <w:b/>
        </w:rPr>
        <w:t xml:space="preserve">B.  </w:t>
      </w:r>
      <w:r>
        <w:rPr>
          <w:b/>
          <w:u w:val="single"/>
        </w:rPr>
        <w:t>Collection of Information Employing Statistical Methods</w:t>
      </w:r>
    </w:p>
    <w:p w:rsidRPr="00AA2931" w:rsidR="00920951" w:rsidP="00291FDD" w:rsidRDefault="00920951" w14:paraId="663D4C16" w14:textId="77777777">
      <w:pPr>
        <w:tabs>
          <w:tab w:val="left" w:pos="0"/>
          <w:tab w:val="left" w:pos="703"/>
          <w:tab w:val="right" w:pos="9229"/>
          <w:tab w:val="left" w:pos="9360"/>
        </w:tabs>
        <w:ind w:right="-720"/>
      </w:pPr>
    </w:p>
    <w:p w:rsidR="00E97140" w:rsidP="008A2E97" w:rsidRDefault="00291FDD" w14:paraId="5619D681" w14:textId="569C1610">
      <w:pPr>
        <w:tabs>
          <w:tab w:val="right" w:pos="9229"/>
          <w:tab w:val="left" w:pos="9360"/>
        </w:tabs>
        <w:ind w:left="360" w:right="-720"/>
      </w:pPr>
      <w:r>
        <w:rPr>
          <w:b/>
        </w:rPr>
        <w:t>The existing NAWS sample selection and estimation metho</w:t>
      </w:r>
      <w:r w:rsidR="00827710">
        <w:rPr>
          <w:b/>
        </w:rPr>
        <w:t>ds applied in OMB Clearance #120</w:t>
      </w:r>
      <w:r>
        <w:rPr>
          <w:b/>
        </w:rPr>
        <w:t xml:space="preserve">5-0453 </w:t>
      </w:r>
      <w:r w:rsidRPr="00591CC2">
        <w:rPr>
          <w:rFonts w:eastAsiaTheme="minorHAnsi"/>
          <w:b/>
        </w:rPr>
        <w:t>(</w:t>
      </w:r>
      <w:r w:rsidR="00827710">
        <w:rPr>
          <w:rFonts w:eastAsiaTheme="minorHAnsi"/>
          <w:b/>
        </w:rPr>
        <w:t xml:space="preserve">expiring </w:t>
      </w:r>
      <w:r>
        <w:rPr>
          <w:rFonts w:eastAsiaTheme="minorHAnsi"/>
          <w:b/>
        </w:rPr>
        <w:t>January</w:t>
      </w:r>
      <w:r w:rsidRPr="00591CC2">
        <w:rPr>
          <w:rFonts w:eastAsiaTheme="minorHAnsi"/>
          <w:b/>
        </w:rPr>
        <w:t xml:space="preserve"> 202</w:t>
      </w:r>
      <w:r>
        <w:rPr>
          <w:rFonts w:eastAsiaTheme="minorHAnsi"/>
          <w:b/>
        </w:rPr>
        <w:t>3</w:t>
      </w:r>
      <w:r w:rsidRPr="00591CC2">
        <w:rPr>
          <w:rFonts w:eastAsiaTheme="minorHAnsi"/>
          <w:b/>
        </w:rPr>
        <w:t>)</w:t>
      </w:r>
      <w:r>
        <w:rPr>
          <w:rFonts w:eastAsiaTheme="minorHAnsi"/>
        </w:rPr>
        <w:t xml:space="preserve"> </w:t>
      </w:r>
      <w:r>
        <w:rPr>
          <w:b/>
        </w:rPr>
        <w:t xml:space="preserve">are modified for the </w:t>
      </w:r>
      <w:r w:rsidR="0037365C">
        <w:rPr>
          <w:b/>
        </w:rPr>
        <w:t xml:space="preserve">proposed </w:t>
      </w:r>
      <w:r>
        <w:rPr>
          <w:b/>
        </w:rPr>
        <w:t>NAWS</w:t>
      </w:r>
      <w:r w:rsidR="00827710">
        <w:rPr>
          <w:b/>
        </w:rPr>
        <w:t xml:space="preserve"> </w:t>
      </w:r>
      <w:r>
        <w:rPr>
          <w:b/>
        </w:rPr>
        <w:t xml:space="preserve">Collection of Supplemental Questions related to </w:t>
      </w:r>
      <w:r w:rsidR="00827710">
        <w:rPr>
          <w:b/>
        </w:rPr>
        <w:t>employment, health, and safety and health practices during the Coronavirus pandemic as noted in the following documentation.</w:t>
      </w:r>
    </w:p>
    <w:p w:rsidRPr="00AA2931" w:rsidR="000B0BAA" w:rsidP="00827710" w:rsidRDefault="000B0BAA" w14:paraId="1459D0CC" w14:textId="77777777">
      <w:pPr>
        <w:tabs>
          <w:tab w:val="right" w:pos="9229"/>
          <w:tab w:val="left" w:pos="9360"/>
        </w:tabs>
        <w:ind w:right="-720"/>
      </w:pPr>
    </w:p>
    <w:p w:rsidRPr="005C5623" w:rsidR="00920951" w:rsidP="005D2BA2" w:rsidRDefault="005C5623" w14:paraId="54ABF13C" w14:textId="5A2562BA">
      <w:pPr>
        <w:spacing w:after="120"/>
        <w:ind w:right="-720"/>
      </w:pPr>
      <w:r w:rsidRPr="005C5623">
        <w:rPr>
          <w:b/>
        </w:rPr>
        <w:t>1.</w:t>
      </w:r>
      <w:r>
        <w:rPr>
          <w:b/>
        </w:rPr>
        <w:t xml:space="preserve">  </w:t>
      </w:r>
      <w:r w:rsidRPr="005C5623" w:rsidR="000B0BAA">
        <w:rPr>
          <w:b/>
        </w:rPr>
        <w:t>Respondent Universe and Samples</w:t>
      </w:r>
    </w:p>
    <w:p w:rsidRPr="004E06A3" w:rsidR="00F01B2E" w:rsidP="004E06A3" w:rsidRDefault="00291FDD" w14:paraId="73B47E1E" w14:textId="6AD57286">
      <w:pPr>
        <w:spacing w:after="240"/>
        <w:ind w:left="360" w:right="-720"/>
        <w:rPr>
          <w:b/>
        </w:rPr>
      </w:pPr>
      <w:r w:rsidRPr="00AA2931">
        <w:t xml:space="preserve">There are no changes </w:t>
      </w:r>
      <w:r>
        <w:t xml:space="preserve">from the currently approved </w:t>
      </w:r>
      <w:r w:rsidRPr="00AA2931">
        <w:t xml:space="preserve">ICR </w:t>
      </w:r>
      <w:r>
        <w:t xml:space="preserve">for OMB Control No. </w:t>
      </w:r>
      <w:r w:rsidRPr="00AA2931">
        <w:t>1205-0453</w:t>
      </w:r>
      <w:r w:rsidR="004E06A3">
        <w:t>.</w:t>
      </w:r>
    </w:p>
    <w:p w:rsidRPr="00AA2931" w:rsidR="00920951" w:rsidP="001F67CB" w:rsidRDefault="001F67CB" w14:paraId="3DD14ACA" w14:textId="486CFE5E">
      <w:pPr>
        <w:spacing w:after="120"/>
        <w:ind w:right="-720"/>
        <w:rPr>
          <w:b/>
        </w:rPr>
      </w:pPr>
      <w:r>
        <w:rPr>
          <w:b/>
        </w:rPr>
        <w:t xml:space="preserve">2.  </w:t>
      </w:r>
      <w:r w:rsidRPr="00AA2931" w:rsidR="00536EB8">
        <w:rPr>
          <w:b/>
        </w:rPr>
        <w:t>Statistical Methods for Sample Selection</w:t>
      </w:r>
      <w:r w:rsidRPr="00AA2931" w:rsidR="00126B7D">
        <w:rPr>
          <w:b/>
        </w:rPr>
        <w:t xml:space="preserve"> </w:t>
      </w:r>
    </w:p>
    <w:p w:rsidRPr="00827710" w:rsidR="00AA2931" w:rsidP="005D2BA2" w:rsidRDefault="00827710" w14:paraId="47A09D17" w14:textId="6956FA9F">
      <w:pPr>
        <w:pStyle w:val="CommentText"/>
        <w:spacing w:after="240"/>
        <w:ind w:left="360" w:right="-720"/>
        <w:rPr>
          <w:sz w:val="24"/>
          <w:szCs w:val="24"/>
        </w:rPr>
      </w:pPr>
      <w:r w:rsidRPr="00827710">
        <w:rPr>
          <w:sz w:val="24"/>
          <w:szCs w:val="24"/>
        </w:rPr>
        <w:t>There are no changes from the currently approved ICR for OMB Control No. 1205-0453</w:t>
      </w:r>
      <w:r w:rsidRPr="00827710" w:rsidR="00E16563">
        <w:rPr>
          <w:sz w:val="24"/>
          <w:szCs w:val="24"/>
        </w:rPr>
        <w:t>.</w:t>
      </w:r>
    </w:p>
    <w:p w:rsidR="00AA2931" w:rsidP="005D2BA2" w:rsidRDefault="001F67CB" w14:paraId="3D7ACD28" w14:textId="2C97E267">
      <w:pPr>
        <w:pStyle w:val="Heading1"/>
        <w:tabs>
          <w:tab w:val="clear" w:pos="0"/>
          <w:tab w:val="clear" w:pos="122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right="-720"/>
        <w:rPr>
          <w:bCs/>
        </w:rPr>
      </w:pPr>
      <w:r>
        <w:rPr>
          <w:bCs/>
        </w:rPr>
        <w:t xml:space="preserve">3.  </w:t>
      </w:r>
      <w:r w:rsidRPr="00010878" w:rsidR="00D41359">
        <w:rPr>
          <w:bCs/>
        </w:rPr>
        <w:t>Calculating the Sampling and Post-Sampling Weights</w:t>
      </w:r>
    </w:p>
    <w:p w:rsidRPr="00827710" w:rsidR="00827710" w:rsidP="005D2BA2" w:rsidRDefault="00827710" w14:paraId="72DC3E4C" w14:textId="2F384E63">
      <w:pPr>
        <w:pStyle w:val="Default"/>
        <w:spacing w:after="240"/>
        <w:ind w:left="360" w:right="-720"/>
        <w:rPr>
          <w:rFonts w:ascii="Times New Roman" w:hAnsi="Times New Roman" w:cs="Times New Roman"/>
        </w:rPr>
      </w:pPr>
      <w:bookmarkStart w:name="DSIEqnMarkerEnd" w:id="0"/>
      <w:bookmarkEnd w:id="0"/>
      <w:r w:rsidRPr="00827710">
        <w:rPr>
          <w:rFonts w:ascii="Times New Roman" w:hAnsi="Times New Roman" w:cs="Times New Roman"/>
        </w:rPr>
        <w:t>There are no changes from the currently approved ICR for OMB Control No. 1205-0453</w:t>
      </w:r>
      <w:r>
        <w:rPr>
          <w:rFonts w:ascii="Times New Roman" w:hAnsi="Times New Roman" w:cs="Times New Roman"/>
        </w:rPr>
        <w:t>.</w:t>
      </w:r>
    </w:p>
    <w:p w:rsidRPr="00AA2931" w:rsidR="00920951" w:rsidP="00827710" w:rsidRDefault="00D41359" w14:paraId="6C30331A" w14:textId="7ABC57C4">
      <w:pPr>
        <w:pStyle w:val="Default"/>
        <w:ind w:right="-720"/>
        <w:rPr>
          <w:rFonts w:ascii="Times New Roman" w:hAnsi="Times New Roman" w:cs="Times New Roman"/>
          <w:b/>
        </w:rPr>
      </w:pPr>
      <w:r w:rsidRPr="00AA2931">
        <w:rPr>
          <w:rFonts w:ascii="Times New Roman" w:hAnsi="Times New Roman" w:cs="Times New Roman"/>
          <w:b/>
        </w:rPr>
        <w:t>4</w:t>
      </w:r>
      <w:r w:rsidR="001F67CB">
        <w:rPr>
          <w:rFonts w:ascii="Times New Roman" w:hAnsi="Times New Roman" w:cs="Times New Roman"/>
          <w:b/>
        </w:rPr>
        <w:t xml:space="preserve">.  </w:t>
      </w:r>
      <w:r w:rsidRPr="00AA2931" w:rsidR="00920951">
        <w:rPr>
          <w:rFonts w:ascii="Times New Roman" w:hAnsi="Times New Roman" w:cs="Times New Roman"/>
          <w:b/>
        </w:rPr>
        <w:t xml:space="preserve">Statistical Reliability </w:t>
      </w:r>
    </w:p>
    <w:p w:rsidRPr="00AA2931" w:rsidR="00920951" w:rsidP="00827710" w:rsidRDefault="00920951" w14:paraId="102561C9" w14:textId="77777777">
      <w:pPr>
        <w:ind w:right="-720"/>
        <w:rPr>
          <w:b/>
          <w:bCs/>
          <w:color w:val="000000"/>
        </w:rPr>
      </w:pPr>
    </w:p>
    <w:p w:rsidRPr="00AA2931" w:rsidR="00920951" w:rsidP="005D2BA2" w:rsidRDefault="00D92846" w14:paraId="052520E2" w14:textId="77777777">
      <w:pPr>
        <w:spacing w:after="120"/>
        <w:ind w:right="-720" w:firstLine="360"/>
        <w:rPr>
          <w:b/>
          <w:color w:val="000000"/>
        </w:rPr>
      </w:pPr>
      <w:r w:rsidRPr="00AA2931">
        <w:rPr>
          <w:b/>
          <w:color w:val="000000"/>
        </w:rPr>
        <w:t xml:space="preserve">a) </w:t>
      </w:r>
      <w:r w:rsidRPr="00AA2931" w:rsidR="00954A36">
        <w:rPr>
          <w:b/>
          <w:color w:val="000000"/>
        </w:rPr>
        <w:t xml:space="preserve">Maximizing Response Rates </w:t>
      </w:r>
    </w:p>
    <w:p w:rsidRPr="00AA2931" w:rsidR="00D41359" w:rsidP="004C7584" w:rsidRDefault="00D41359" w14:paraId="3D655C23" w14:textId="7110C9FD">
      <w:pPr>
        <w:spacing w:after="120"/>
        <w:ind w:left="630" w:right="-720"/>
        <w:rPr>
          <w:b/>
          <w:color w:val="000000"/>
          <w:u w:val="single"/>
        </w:rPr>
      </w:pPr>
      <w:r w:rsidRPr="00AA2931">
        <w:rPr>
          <w:b/>
          <w:color w:val="000000"/>
          <w:u w:val="single"/>
        </w:rPr>
        <w:t>Employer Response</w:t>
      </w:r>
    </w:p>
    <w:p w:rsidRPr="00AA2931" w:rsidR="000B6BF5" w:rsidP="004C7584" w:rsidRDefault="004C7584" w14:paraId="2AE23440" w14:textId="4289D6CD">
      <w:pPr>
        <w:spacing w:after="240"/>
        <w:ind w:left="630" w:right="-720"/>
      </w:pPr>
      <w:r w:rsidRPr="00827710">
        <w:t>There are no changes from the currently approved ICR for OMB Control No. 1205-0453</w:t>
      </w:r>
      <w:r w:rsidR="00E16563">
        <w:t>.</w:t>
      </w:r>
      <w:r w:rsidR="00FF1C08">
        <w:t xml:space="preserve"> </w:t>
      </w:r>
    </w:p>
    <w:p w:rsidRPr="00AA2931" w:rsidR="00D41359" w:rsidP="004C7584" w:rsidRDefault="00D41359" w14:paraId="6FC5BBC6" w14:textId="791274AE">
      <w:pPr>
        <w:spacing w:after="120"/>
        <w:ind w:left="630" w:right="-720"/>
        <w:rPr>
          <w:b/>
          <w:color w:val="000000"/>
          <w:u w:val="single"/>
        </w:rPr>
      </w:pPr>
      <w:r w:rsidRPr="00AA2931">
        <w:rPr>
          <w:b/>
          <w:color w:val="000000"/>
          <w:u w:val="single"/>
        </w:rPr>
        <w:t>Worker Response</w:t>
      </w:r>
    </w:p>
    <w:p w:rsidRPr="00073781" w:rsidR="00D41359" w:rsidP="004C7584" w:rsidRDefault="000D4B3B" w14:paraId="0CA0B032" w14:textId="0482C59B">
      <w:pPr>
        <w:spacing w:after="240"/>
        <w:ind w:left="630" w:right="-720"/>
      </w:pPr>
      <w:r w:rsidRPr="00AA2931">
        <w:rPr>
          <w:color w:val="000000"/>
        </w:rPr>
        <w:t xml:space="preserve"> </w:t>
      </w:r>
      <w:r w:rsidRPr="00827710" w:rsidR="004C7584">
        <w:t>There are no changes from the currently approved ICR for OMB Control No. 1205-0453</w:t>
      </w:r>
      <w:r w:rsidR="00073781">
        <w:t>.</w:t>
      </w:r>
      <w:r w:rsidR="00FF1C08">
        <w:t xml:space="preserve"> </w:t>
      </w:r>
    </w:p>
    <w:p w:rsidRPr="00AA2931" w:rsidR="00D41359" w:rsidP="004C7584" w:rsidRDefault="00362A5D" w14:paraId="0B941F05" w14:textId="77777777">
      <w:pPr>
        <w:spacing w:after="240"/>
        <w:ind w:right="-720" w:firstLine="360"/>
        <w:rPr>
          <w:b/>
        </w:rPr>
      </w:pPr>
      <w:r w:rsidRPr="00AA2931">
        <w:rPr>
          <w:b/>
        </w:rPr>
        <w:t>b) Addressing Nonr</w:t>
      </w:r>
      <w:r w:rsidRPr="00AA2931" w:rsidR="00D41359">
        <w:rPr>
          <w:b/>
        </w:rPr>
        <w:t>esponse</w:t>
      </w:r>
    </w:p>
    <w:p w:rsidRPr="00AA2931" w:rsidR="00D41359" w:rsidP="004C7584" w:rsidRDefault="00362A5D" w14:paraId="4C76C6C7" w14:textId="77777777">
      <w:pPr>
        <w:spacing w:after="120"/>
        <w:ind w:left="630" w:right="-720"/>
        <w:rPr>
          <w:b/>
        </w:rPr>
      </w:pPr>
      <w:r w:rsidRPr="00AA2931">
        <w:rPr>
          <w:b/>
        </w:rPr>
        <w:t>Possible worker non</w:t>
      </w:r>
      <w:r w:rsidRPr="00AA2931" w:rsidR="00D41359">
        <w:rPr>
          <w:b/>
        </w:rPr>
        <w:t>response bias</w:t>
      </w:r>
    </w:p>
    <w:p w:rsidR="00FD00AA" w:rsidP="004C7584" w:rsidRDefault="00B06A46" w14:paraId="72804FA6" w14:textId="6C410F50">
      <w:pPr>
        <w:pStyle w:val="CommentText"/>
        <w:ind w:left="630" w:right="-720"/>
        <w:rPr>
          <w:sz w:val="24"/>
          <w:szCs w:val="24"/>
        </w:rPr>
      </w:pPr>
      <w:r w:rsidRPr="00827710">
        <w:rPr>
          <w:sz w:val="24"/>
          <w:szCs w:val="24"/>
        </w:rPr>
        <w:t>There are no changes from the currently approved ICR for OMB Control No. 1205-0453</w:t>
      </w:r>
      <w:r w:rsidR="00E16563">
        <w:rPr>
          <w:sz w:val="24"/>
          <w:szCs w:val="24"/>
        </w:rPr>
        <w:t>.</w:t>
      </w:r>
    </w:p>
    <w:p w:rsidRPr="00AA2931" w:rsidR="00AA2931" w:rsidP="00827710" w:rsidRDefault="00AA2931" w14:paraId="61BEE370" w14:textId="77777777">
      <w:pPr>
        <w:pStyle w:val="CommentText"/>
        <w:ind w:right="-720"/>
        <w:rPr>
          <w:sz w:val="24"/>
          <w:szCs w:val="24"/>
        </w:rPr>
      </w:pPr>
    </w:p>
    <w:p w:rsidRPr="00AA2931" w:rsidR="00D41359" w:rsidP="00406D58" w:rsidRDefault="00362A5D" w14:paraId="41170CB5" w14:textId="68AAB477">
      <w:pPr>
        <w:spacing w:after="120"/>
        <w:ind w:left="630" w:right="-720"/>
        <w:rPr>
          <w:b/>
        </w:rPr>
      </w:pPr>
      <w:r w:rsidRPr="00AA2931">
        <w:rPr>
          <w:b/>
        </w:rPr>
        <w:t>Possible employer non</w:t>
      </w:r>
      <w:r w:rsidRPr="00AA2931" w:rsidR="00D41359">
        <w:rPr>
          <w:b/>
        </w:rPr>
        <w:t>response bias</w:t>
      </w:r>
    </w:p>
    <w:p w:rsidR="00DE4557" w:rsidP="00676EFF" w:rsidRDefault="00FD00AA" w14:paraId="1F0EC4DF" w14:textId="77777777">
      <w:pPr>
        <w:pStyle w:val="CommentText"/>
        <w:ind w:left="630" w:right="-720"/>
        <w:rPr>
          <w:sz w:val="24"/>
          <w:szCs w:val="24"/>
        </w:rPr>
      </w:pPr>
      <w:r w:rsidRPr="00AA2931">
        <w:rPr>
          <w:sz w:val="24"/>
          <w:szCs w:val="24"/>
        </w:rPr>
        <w:t xml:space="preserve">There are no expected changes in the employer non-response rates from the currently approved ICR </w:t>
      </w:r>
      <w:r w:rsidRPr="00827710" w:rsidR="00406D58">
        <w:rPr>
          <w:sz w:val="24"/>
          <w:szCs w:val="24"/>
        </w:rPr>
        <w:t>for OMB Control No.</w:t>
      </w:r>
      <w:r w:rsidR="00406D58">
        <w:rPr>
          <w:sz w:val="24"/>
          <w:szCs w:val="24"/>
        </w:rPr>
        <w:t>1205-0453</w:t>
      </w:r>
      <w:r w:rsidR="003A0DFB">
        <w:rPr>
          <w:sz w:val="24"/>
          <w:szCs w:val="24"/>
        </w:rPr>
        <w:t>.</w:t>
      </w:r>
      <w:r w:rsidR="002D1E8E">
        <w:rPr>
          <w:sz w:val="24"/>
          <w:szCs w:val="24"/>
        </w:rPr>
        <w:t xml:space="preserve"> </w:t>
      </w:r>
    </w:p>
    <w:p w:rsidR="004272BB" w:rsidP="00676EFF" w:rsidRDefault="004272BB" w14:paraId="4688E0A3" w14:textId="0C1EB897">
      <w:pPr>
        <w:pStyle w:val="CommentText"/>
        <w:ind w:left="630" w:right="-720"/>
        <w:rPr>
          <w:sz w:val="24"/>
          <w:szCs w:val="24"/>
        </w:rPr>
      </w:pPr>
    </w:p>
    <w:p w:rsidR="004272BB" w:rsidP="00676EFF" w:rsidRDefault="004272BB" w14:paraId="119C3780" w14:textId="0CC90574">
      <w:pPr>
        <w:pStyle w:val="CommentText"/>
        <w:ind w:left="630" w:right="-720"/>
        <w:rPr>
          <w:sz w:val="24"/>
          <w:szCs w:val="24"/>
        </w:rPr>
      </w:pPr>
      <w:r>
        <w:rPr>
          <w:sz w:val="24"/>
          <w:szCs w:val="24"/>
        </w:rPr>
        <w:lastRenderedPageBreak/>
        <w:t>In the currently approved OMB submission</w:t>
      </w:r>
      <w:r w:rsidR="009106F8">
        <w:rPr>
          <w:sz w:val="24"/>
          <w:szCs w:val="24"/>
        </w:rPr>
        <w:t xml:space="preserve"> (2019)</w:t>
      </w:r>
      <w:r>
        <w:rPr>
          <w:sz w:val="24"/>
          <w:szCs w:val="24"/>
        </w:rPr>
        <w:t xml:space="preserve">, the following studies were </w:t>
      </w:r>
      <w:r w:rsidR="00083C93">
        <w:rPr>
          <w:sz w:val="24"/>
          <w:szCs w:val="24"/>
        </w:rPr>
        <w:t xml:space="preserve">proposed and </w:t>
      </w:r>
      <w:r>
        <w:rPr>
          <w:sz w:val="24"/>
          <w:szCs w:val="24"/>
        </w:rPr>
        <w:t xml:space="preserve">completed in fiscal year (FY) 2019: </w:t>
      </w:r>
    </w:p>
    <w:p w:rsidR="004272BB" w:rsidP="004272BB" w:rsidRDefault="004272BB" w14:paraId="40635715" w14:textId="10FAF089">
      <w:pPr>
        <w:pStyle w:val="CommentText"/>
        <w:numPr>
          <w:ilvl w:val="0"/>
          <w:numId w:val="49"/>
        </w:numPr>
        <w:ind w:right="-720"/>
        <w:rPr>
          <w:sz w:val="24"/>
          <w:szCs w:val="24"/>
        </w:rPr>
      </w:pPr>
      <w:r w:rsidRPr="004272BB">
        <w:rPr>
          <w:sz w:val="24"/>
          <w:szCs w:val="24"/>
        </w:rPr>
        <w:t>Nonresponse Study 1 – NAWS Item Nonresponse Rates</w:t>
      </w:r>
    </w:p>
    <w:p w:rsidR="004272BB" w:rsidP="004272BB" w:rsidRDefault="004272BB" w14:paraId="05EA8314" w14:textId="35C6A4A1">
      <w:pPr>
        <w:pStyle w:val="CommentText"/>
        <w:numPr>
          <w:ilvl w:val="0"/>
          <w:numId w:val="49"/>
        </w:numPr>
        <w:ind w:right="-720"/>
        <w:rPr>
          <w:sz w:val="24"/>
          <w:szCs w:val="24"/>
        </w:rPr>
      </w:pPr>
      <w:r w:rsidRPr="004272BB">
        <w:rPr>
          <w:sz w:val="24"/>
          <w:szCs w:val="24"/>
        </w:rPr>
        <w:t>Nonresponse Study 2 – NAWS Unit (Employer) Nonresponse</w:t>
      </w:r>
    </w:p>
    <w:p w:rsidR="004272BB" w:rsidP="004272BB" w:rsidRDefault="004272BB" w14:paraId="20A6935A" w14:textId="2A5DB2B4">
      <w:pPr>
        <w:pStyle w:val="CommentText"/>
        <w:numPr>
          <w:ilvl w:val="0"/>
          <w:numId w:val="49"/>
        </w:numPr>
        <w:ind w:right="-720"/>
        <w:rPr>
          <w:sz w:val="24"/>
          <w:szCs w:val="24"/>
        </w:rPr>
      </w:pPr>
      <w:r w:rsidRPr="004272BB">
        <w:rPr>
          <w:sz w:val="24"/>
          <w:szCs w:val="24"/>
        </w:rPr>
        <w:t>Nonresponse Study 3 – Follow Up with Employers Who Were Not Successfully Screened During the Initial NAWS Data Collection</w:t>
      </w:r>
    </w:p>
    <w:p w:rsidR="004272BB" w:rsidP="004272BB" w:rsidRDefault="004272BB" w14:paraId="679D69BF" w14:textId="15B40764">
      <w:pPr>
        <w:pStyle w:val="CommentText"/>
        <w:numPr>
          <w:ilvl w:val="0"/>
          <w:numId w:val="49"/>
        </w:numPr>
        <w:ind w:right="-720"/>
        <w:rPr>
          <w:sz w:val="24"/>
          <w:szCs w:val="24"/>
        </w:rPr>
      </w:pPr>
      <w:r w:rsidRPr="004272BB">
        <w:rPr>
          <w:sz w:val="24"/>
          <w:szCs w:val="24"/>
        </w:rPr>
        <w:t>Nonresponse Study 4 – Examining Employer Eligibility Over Time and NAWS Response Rates</w:t>
      </w:r>
    </w:p>
    <w:p w:rsidR="004272BB" w:rsidP="004272BB" w:rsidRDefault="004272BB" w14:paraId="368C49CA" w14:textId="16931A59">
      <w:pPr>
        <w:pStyle w:val="CommentText"/>
        <w:numPr>
          <w:ilvl w:val="0"/>
          <w:numId w:val="49"/>
        </w:numPr>
        <w:ind w:right="-720"/>
        <w:rPr>
          <w:sz w:val="24"/>
          <w:szCs w:val="24"/>
        </w:rPr>
      </w:pPr>
      <w:r w:rsidRPr="004272BB">
        <w:rPr>
          <w:sz w:val="24"/>
          <w:szCs w:val="24"/>
        </w:rPr>
        <w:t>Design Study A – Efficiency of the NAWS Sampling Design</w:t>
      </w:r>
    </w:p>
    <w:p w:rsidR="004272BB" w:rsidP="004272BB" w:rsidRDefault="004272BB" w14:paraId="24667CB5" w14:textId="19CC306A">
      <w:pPr>
        <w:pStyle w:val="CommentText"/>
        <w:numPr>
          <w:ilvl w:val="0"/>
          <w:numId w:val="49"/>
        </w:numPr>
        <w:ind w:right="-720"/>
        <w:rPr>
          <w:sz w:val="24"/>
          <w:szCs w:val="24"/>
        </w:rPr>
      </w:pPr>
      <w:r w:rsidRPr="004272BB">
        <w:rPr>
          <w:sz w:val="24"/>
          <w:szCs w:val="24"/>
        </w:rPr>
        <w:t>Design Study B – Optimal Interview Allocations for NAWS Sampling</w:t>
      </w:r>
    </w:p>
    <w:p w:rsidR="00E81572" w:rsidP="00E81572" w:rsidRDefault="00E81572" w14:paraId="496A1B1D" w14:textId="069F01C1">
      <w:pPr>
        <w:pStyle w:val="CommentText"/>
        <w:ind w:right="-720"/>
        <w:rPr>
          <w:sz w:val="24"/>
          <w:szCs w:val="24"/>
        </w:rPr>
      </w:pPr>
    </w:p>
    <w:p w:rsidR="00E81572" w:rsidP="00E81572" w:rsidRDefault="00E81572" w14:paraId="1D12F0E7" w14:textId="545031A1">
      <w:pPr>
        <w:pStyle w:val="CommentText"/>
        <w:ind w:left="630" w:right="-720"/>
        <w:rPr>
          <w:sz w:val="24"/>
          <w:szCs w:val="24"/>
        </w:rPr>
      </w:pPr>
      <w:r>
        <w:rPr>
          <w:sz w:val="24"/>
          <w:szCs w:val="24"/>
        </w:rPr>
        <w:t xml:space="preserve">In addition, the contractor completed </w:t>
      </w:r>
      <w:r w:rsidR="009106F8">
        <w:rPr>
          <w:sz w:val="24"/>
          <w:szCs w:val="24"/>
        </w:rPr>
        <w:t>six</w:t>
      </w:r>
      <w:r>
        <w:rPr>
          <w:sz w:val="24"/>
          <w:szCs w:val="24"/>
        </w:rPr>
        <w:t xml:space="preserve"> studies in FY 2020 and 2021 to </w:t>
      </w:r>
      <w:r w:rsidR="009106F8">
        <w:rPr>
          <w:sz w:val="24"/>
          <w:szCs w:val="24"/>
        </w:rPr>
        <w:t xml:space="preserve">further </w:t>
      </w:r>
      <w:r>
        <w:rPr>
          <w:sz w:val="24"/>
          <w:szCs w:val="24"/>
        </w:rPr>
        <w:t>examine possible nonresponse bias</w:t>
      </w:r>
      <w:r w:rsidR="009106F8">
        <w:rPr>
          <w:sz w:val="24"/>
          <w:szCs w:val="24"/>
        </w:rPr>
        <w:t xml:space="preserve"> and the </w:t>
      </w:r>
      <w:r w:rsidRPr="009106F8" w:rsidR="009106F8">
        <w:rPr>
          <w:sz w:val="24"/>
          <w:szCs w:val="24"/>
        </w:rPr>
        <w:t xml:space="preserve">efficiency of the </w:t>
      </w:r>
      <w:r w:rsidR="009106F8">
        <w:rPr>
          <w:sz w:val="24"/>
          <w:szCs w:val="24"/>
        </w:rPr>
        <w:t>NAWS</w:t>
      </w:r>
      <w:r w:rsidRPr="009106F8" w:rsidR="009106F8">
        <w:rPr>
          <w:sz w:val="24"/>
          <w:szCs w:val="24"/>
        </w:rPr>
        <w:t xml:space="preserve"> design</w:t>
      </w:r>
      <w:r w:rsidR="009106F8">
        <w:rPr>
          <w:sz w:val="24"/>
          <w:szCs w:val="24"/>
        </w:rPr>
        <w:t xml:space="preserve"> </w:t>
      </w:r>
      <w:r>
        <w:rPr>
          <w:sz w:val="24"/>
          <w:szCs w:val="24"/>
        </w:rPr>
        <w:t xml:space="preserve">(please see Appendix A): </w:t>
      </w:r>
    </w:p>
    <w:p w:rsidRPr="00E81572" w:rsidR="00E81572" w:rsidP="00E81572" w:rsidRDefault="00E81572" w14:paraId="33B34168" w14:textId="77777777">
      <w:pPr>
        <w:pStyle w:val="CommentText"/>
        <w:numPr>
          <w:ilvl w:val="0"/>
          <w:numId w:val="50"/>
        </w:numPr>
        <w:ind w:right="-720"/>
        <w:rPr>
          <w:sz w:val="24"/>
          <w:szCs w:val="24"/>
        </w:rPr>
      </w:pPr>
      <w:r w:rsidRPr="00E81572">
        <w:rPr>
          <w:sz w:val="24"/>
          <w:szCs w:val="24"/>
        </w:rPr>
        <w:t>Nonresponse Study 1 – NAWS Item Nonresponse Rates</w:t>
      </w:r>
    </w:p>
    <w:p w:rsidRPr="00E81572" w:rsidR="00E81572" w:rsidP="00E81572" w:rsidRDefault="00E81572" w14:paraId="7EE0F8FC" w14:textId="77777777">
      <w:pPr>
        <w:pStyle w:val="CommentText"/>
        <w:numPr>
          <w:ilvl w:val="0"/>
          <w:numId w:val="50"/>
        </w:numPr>
        <w:ind w:right="-720"/>
        <w:rPr>
          <w:sz w:val="24"/>
          <w:szCs w:val="24"/>
        </w:rPr>
      </w:pPr>
      <w:r w:rsidRPr="00E81572">
        <w:rPr>
          <w:sz w:val="24"/>
          <w:szCs w:val="24"/>
        </w:rPr>
        <w:t>Nonresponse Study 2 – NAWS Unit (Employer) Nonresponse Rates</w:t>
      </w:r>
    </w:p>
    <w:p w:rsidRPr="00E81572" w:rsidR="00E81572" w:rsidP="00E81572" w:rsidRDefault="00E81572" w14:paraId="17BCE352" w14:textId="77777777">
      <w:pPr>
        <w:pStyle w:val="CommentText"/>
        <w:numPr>
          <w:ilvl w:val="0"/>
          <w:numId w:val="50"/>
        </w:numPr>
        <w:ind w:right="-720"/>
        <w:rPr>
          <w:sz w:val="24"/>
          <w:szCs w:val="24"/>
        </w:rPr>
      </w:pPr>
      <w:r w:rsidRPr="00E81572">
        <w:rPr>
          <w:sz w:val="24"/>
          <w:szCs w:val="24"/>
        </w:rPr>
        <w:t>Nonresponse Study 3 – Measuring Differences Between Responding and Non-Responding Grower Populations</w:t>
      </w:r>
    </w:p>
    <w:p w:rsidRPr="00E81572" w:rsidR="00E81572" w:rsidP="00E81572" w:rsidRDefault="00E81572" w14:paraId="2271EBCA" w14:textId="77777777">
      <w:pPr>
        <w:pStyle w:val="CommentText"/>
        <w:numPr>
          <w:ilvl w:val="0"/>
          <w:numId w:val="50"/>
        </w:numPr>
        <w:ind w:right="-720"/>
        <w:rPr>
          <w:sz w:val="24"/>
          <w:szCs w:val="24"/>
        </w:rPr>
      </w:pPr>
      <w:r w:rsidRPr="00E81572">
        <w:rPr>
          <w:sz w:val="24"/>
          <w:szCs w:val="24"/>
        </w:rPr>
        <w:t>Design Study 1 – Optimal Interview Allocations for NAWS Sampling Using Underlying National Farmworker Jobs Program (NFJP) Variables</w:t>
      </w:r>
    </w:p>
    <w:p w:rsidRPr="00E81572" w:rsidR="00E81572" w:rsidP="00E81572" w:rsidRDefault="00E81572" w14:paraId="076F632D" w14:textId="77777777">
      <w:pPr>
        <w:pStyle w:val="CommentText"/>
        <w:numPr>
          <w:ilvl w:val="0"/>
          <w:numId w:val="50"/>
        </w:numPr>
        <w:ind w:right="-720"/>
        <w:rPr>
          <w:sz w:val="24"/>
          <w:szCs w:val="24"/>
        </w:rPr>
      </w:pPr>
      <w:r w:rsidRPr="00E81572">
        <w:rPr>
          <w:sz w:val="24"/>
          <w:szCs w:val="24"/>
        </w:rPr>
        <w:t>Design Study 2 – Design Effect Study for Partial Missing Cycles (FY 2019 Spring Cycle)</w:t>
      </w:r>
    </w:p>
    <w:p w:rsidRPr="00E81572" w:rsidR="00E81572" w:rsidP="005D2BA2" w:rsidRDefault="00E81572" w14:paraId="628B2976" w14:textId="335B884A">
      <w:pPr>
        <w:pStyle w:val="CommentText"/>
        <w:numPr>
          <w:ilvl w:val="0"/>
          <w:numId w:val="50"/>
        </w:numPr>
        <w:ind w:right="-720"/>
        <w:rPr>
          <w:sz w:val="24"/>
          <w:szCs w:val="24"/>
        </w:rPr>
      </w:pPr>
      <w:r w:rsidRPr="00E81572">
        <w:rPr>
          <w:sz w:val="24"/>
          <w:szCs w:val="24"/>
        </w:rPr>
        <w:t>Design Study 3 – Design Effect Study for Partial Missing Cycles (FY 2020 COVID-19)</w:t>
      </w:r>
    </w:p>
    <w:p w:rsidR="00E81572" w:rsidP="00406D58" w:rsidRDefault="00E81572" w14:paraId="76123845" w14:textId="77777777">
      <w:pPr>
        <w:pStyle w:val="ListParagraph"/>
        <w:spacing w:after="240" w:line="240" w:lineRule="auto"/>
        <w:ind w:left="630" w:right="-720"/>
        <w:rPr>
          <w:rFonts w:ascii="Times New Roman" w:hAnsi="Times New Roman"/>
          <w:sz w:val="24"/>
          <w:szCs w:val="24"/>
        </w:rPr>
      </w:pPr>
    </w:p>
    <w:p w:rsidR="00406D58" w:rsidP="00406D58" w:rsidRDefault="00E16563" w14:paraId="0788B6FF" w14:textId="4684F75B">
      <w:pPr>
        <w:pStyle w:val="ListParagraph"/>
        <w:spacing w:after="240" w:line="240" w:lineRule="auto"/>
        <w:ind w:left="630" w:right="-720"/>
        <w:rPr>
          <w:rFonts w:ascii="Times New Roman" w:hAnsi="Times New Roman"/>
          <w:sz w:val="24"/>
          <w:szCs w:val="24"/>
        </w:rPr>
      </w:pPr>
      <w:r w:rsidRPr="000E751A">
        <w:rPr>
          <w:rFonts w:ascii="Times New Roman" w:hAnsi="Times New Roman"/>
          <w:sz w:val="24"/>
          <w:szCs w:val="24"/>
        </w:rPr>
        <w:t>C</w:t>
      </w:r>
      <w:r w:rsidRPr="000E751A" w:rsidR="00BE3D03">
        <w:rPr>
          <w:rFonts w:ascii="Times New Roman" w:hAnsi="Times New Roman"/>
          <w:sz w:val="24"/>
          <w:szCs w:val="24"/>
        </w:rPr>
        <w:t xml:space="preserve">ollecting data during the </w:t>
      </w:r>
      <w:r w:rsidRPr="000E751A" w:rsidR="00AE253D">
        <w:rPr>
          <w:rFonts w:ascii="Times New Roman" w:hAnsi="Times New Roman"/>
          <w:sz w:val="24"/>
          <w:szCs w:val="24"/>
        </w:rPr>
        <w:t xml:space="preserve">COVID-19 </w:t>
      </w:r>
      <w:r w:rsidRPr="000E751A" w:rsidR="00BE3D03">
        <w:rPr>
          <w:rFonts w:ascii="Times New Roman" w:hAnsi="Times New Roman"/>
          <w:sz w:val="24"/>
          <w:szCs w:val="24"/>
        </w:rPr>
        <w:t>pandemic</w:t>
      </w:r>
      <w:r w:rsidRPr="000E751A">
        <w:rPr>
          <w:rFonts w:ascii="Times New Roman" w:hAnsi="Times New Roman"/>
          <w:sz w:val="24"/>
          <w:szCs w:val="24"/>
        </w:rPr>
        <w:t xml:space="preserve"> raises a concern that</w:t>
      </w:r>
      <w:r w:rsidRPr="000E751A" w:rsidR="00BE3D03">
        <w:rPr>
          <w:rFonts w:ascii="Times New Roman" w:hAnsi="Times New Roman"/>
          <w:sz w:val="24"/>
          <w:szCs w:val="24"/>
        </w:rPr>
        <w:t xml:space="preserve"> employer </w:t>
      </w:r>
      <w:r w:rsidRPr="000E751A" w:rsidR="005B56E1">
        <w:rPr>
          <w:rFonts w:ascii="Times New Roman" w:hAnsi="Times New Roman"/>
          <w:sz w:val="24"/>
          <w:szCs w:val="24"/>
        </w:rPr>
        <w:t>nonresponse</w:t>
      </w:r>
      <w:r w:rsidRPr="000E751A" w:rsidR="00BE3D03">
        <w:rPr>
          <w:rFonts w:ascii="Times New Roman" w:hAnsi="Times New Roman"/>
          <w:sz w:val="24"/>
          <w:szCs w:val="24"/>
        </w:rPr>
        <w:t xml:space="preserve"> may be related to </w:t>
      </w:r>
      <w:r w:rsidRPr="000E751A" w:rsidR="00AE253D">
        <w:rPr>
          <w:rFonts w:ascii="Times New Roman" w:hAnsi="Times New Roman"/>
          <w:sz w:val="24"/>
          <w:szCs w:val="24"/>
        </w:rPr>
        <w:t xml:space="preserve">and biased by </w:t>
      </w:r>
      <w:r w:rsidRPr="000E751A" w:rsidR="00BE3D03">
        <w:rPr>
          <w:rFonts w:ascii="Times New Roman" w:hAnsi="Times New Roman"/>
          <w:sz w:val="24"/>
          <w:szCs w:val="24"/>
        </w:rPr>
        <w:t xml:space="preserve">the pandemic. </w:t>
      </w:r>
      <w:r w:rsidRPr="000E751A" w:rsidR="00002159">
        <w:rPr>
          <w:rFonts w:ascii="Times New Roman" w:hAnsi="Times New Roman"/>
          <w:sz w:val="24"/>
          <w:szCs w:val="24"/>
        </w:rPr>
        <w:t>The</w:t>
      </w:r>
      <w:r w:rsidRPr="000E751A" w:rsidR="00C2012E">
        <w:rPr>
          <w:rFonts w:ascii="Times New Roman" w:hAnsi="Times New Roman"/>
          <w:sz w:val="24"/>
          <w:szCs w:val="24"/>
        </w:rPr>
        <w:t xml:space="preserve">re are several </w:t>
      </w:r>
      <w:r w:rsidRPr="000E751A">
        <w:rPr>
          <w:rFonts w:ascii="Times New Roman" w:hAnsi="Times New Roman"/>
          <w:sz w:val="24"/>
          <w:szCs w:val="24"/>
        </w:rPr>
        <w:t xml:space="preserve">possible </w:t>
      </w:r>
      <w:r w:rsidRPr="000E751A" w:rsidR="00002159">
        <w:rPr>
          <w:rFonts w:ascii="Times New Roman" w:hAnsi="Times New Roman"/>
          <w:sz w:val="24"/>
          <w:szCs w:val="24"/>
        </w:rPr>
        <w:t xml:space="preserve">causes of </w:t>
      </w:r>
      <w:r w:rsidRPr="000E751A">
        <w:rPr>
          <w:rFonts w:ascii="Times New Roman" w:hAnsi="Times New Roman"/>
          <w:sz w:val="24"/>
          <w:szCs w:val="24"/>
        </w:rPr>
        <w:t xml:space="preserve">potential </w:t>
      </w:r>
      <w:r w:rsidRPr="000E751A" w:rsidR="00C2012E">
        <w:rPr>
          <w:rFonts w:ascii="Times New Roman" w:hAnsi="Times New Roman"/>
          <w:sz w:val="24"/>
          <w:szCs w:val="24"/>
        </w:rPr>
        <w:t xml:space="preserve">pandemic-related </w:t>
      </w:r>
      <w:r w:rsidRPr="000E751A" w:rsidR="00002159">
        <w:rPr>
          <w:rFonts w:ascii="Times New Roman" w:hAnsi="Times New Roman"/>
          <w:sz w:val="24"/>
          <w:szCs w:val="24"/>
        </w:rPr>
        <w:t>bias</w:t>
      </w:r>
      <w:r w:rsidRPr="000E751A" w:rsidR="00C2012E">
        <w:rPr>
          <w:rFonts w:ascii="Times New Roman" w:hAnsi="Times New Roman"/>
          <w:sz w:val="24"/>
          <w:szCs w:val="24"/>
        </w:rPr>
        <w:t>.</w:t>
      </w:r>
    </w:p>
    <w:p w:rsidRPr="000E751A" w:rsidR="00F22864" w:rsidP="00406D58" w:rsidRDefault="00002159" w14:paraId="7833F472" w14:textId="4FC3044C">
      <w:pPr>
        <w:pStyle w:val="ListParagraph"/>
        <w:spacing w:after="240" w:line="240" w:lineRule="auto"/>
        <w:ind w:left="630" w:right="-720"/>
        <w:rPr>
          <w:rFonts w:ascii="Times New Roman" w:hAnsi="Times New Roman"/>
          <w:sz w:val="24"/>
          <w:szCs w:val="24"/>
        </w:rPr>
      </w:pPr>
      <w:r w:rsidRPr="000E751A">
        <w:rPr>
          <w:rFonts w:ascii="Times New Roman" w:hAnsi="Times New Roman"/>
          <w:sz w:val="24"/>
          <w:szCs w:val="24"/>
        </w:rPr>
        <w:t xml:space="preserve"> </w:t>
      </w:r>
    </w:p>
    <w:p w:rsidR="00406D58" w:rsidP="00406D58" w:rsidRDefault="00F22864" w14:paraId="563BA0D3" w14:textId="7C796BF0">
      <w:pPr>
        <w:pStyle w:val="ListParagraph"/>
        <w:numPr>
          <w:ilvl w:val="0"/>
          <w:numId w:val="46"/>
        </w:numPr>
        <w:spacing w:after="0" w:line="240" w:lineRule="auto"/>
        <w:ind w:right="-720"/>
        <w:contextualSpacing w:val="0"/>
        <w:rPr>
          <w:rFonts w:ascii="Times New Roman" w:hAnsi="Times New Roman"/>
          <w:sz w:val="24"/>
          <w:szCs w:val="24"/>
        </w:rPr>
      </w:pPr>
      <w:r w:rsidRPr="00AA2931">
        <w:rPr>
          <w:rFonts w:ascii="Times New Roman" w:hAnsi="Times New Roman"/>
          <w:sz w:val="24"/>
          <w:szCs w:val="24"/>
        </w:rPr>
        <w:t>S</w:t>
      </w:r>
      <w:r w:rsidRPr="00AA2931" w:rsidR="00BE3D03">
        <w:rPr>
          <w:rFonts w:ascii="Times New Roman" w:hAnsi="Times New Roman"/>
          <w:sz w:val="24"/>
          <w:szCs w:val="24"/>
        </w:rPr>
        <w:t>ince the NAWS conducts in</w:t>
      </w:r>
      <w:r w:rsidRPr="00AA2931" w:rsidR="000B6B19">
        <w:rPr>
          <w:rFonts w:ascii="Times New Roman" w:hAnsi="Times New Roman"/>
          <w:sz w:val="24"/>
          <w:szCs w:val="24"/>
        </w:rPr>
        <w:t>-</w:t>
      </w:r>
      <w:r w:rsidRPr="00AA2931" w:rsidR="00BE3D03">
        <w:rPr>
          <w:rFonts w:ascii="Times New Roman" w:hAnsi="Times New Roman"/>
          <w:sz w:val="24"/>
          <w:szCs w:val="24"/>
        </w:rPr>
        <w:t xml:space="preserve">person interviews, the interviewers are limited to traveling to areas where </w:t>
      </w:r>
      <w:r w:rsidR="000F35CB">
        <w:rPr>
          <w:rFonts w:ascii="Times New Roman" w:hAnsi="Times New Roman"/>
          <w:sz w:val="24"/>
          <w:szCs w:val="24"/>
        </w:rPr>
        <w:t>COVID-19 case rates are low</w:t>
      </w:r>
      <w:r w:rsidR="00406D58">
        <w:rPr>
          <w:rFonts w:ascii="Times New Roman" w:hAnsi="Times New Roman"/>
          <w:sz w:val="24"/>
          <w:szCs w:val="24"/>
        </w:rPr>
        <w:t>.</w:t>
      </w:r>
    </w:p>
    <w:p w:rsidR="00406D58" w:rsidP="00406D58" w:rsidRDefault="00F22864" w14:paraId="1CDA67DE" w14:textId="26ADBAC2">
      <w:pPr>
        <w:pStyle w:val="ListParagraph"/>
        <w:numPr>
          <w:ilvl w:val="0"/>
          <w:numId w:val="46"/>
        </w:numPr>
        <w:spacing w:after="0" w:line="240" w:lineRule="auto"/>
        <w:ind w:right="-720"/>
        <w:contextualSpacing w:val="0"/>
        <w:rPr>
          <w:rFonts w:ascii="Times New Roman" w:hAnsi="Times New Roman"/>
          <w:sz w:val="24"/>
          <w:szCs w:val="24"/>
        </w:rPr>
      </w:pPr>
      <w:r w:rsidRPr="00406D58">
        <w:rPr>
          <w:rFonts w:ascii="Times New Roman" w:hAnsi="Times New Roman"/>
          <w:sz w:val="24"/>
          <w:szCs w:val="24"/>
        </w:rPr>
        <w:t>E</w:t>
      </w:r>
      <w:r w:rsidRPr="00406D58" w:rsidR="00002159">
        <w:rPr>
          <w:rFonts w:ascii="Times New Roman" w:hAnsi="Times New Roman"/>
          <w:sz w:val="24"/>
          <w:szCs w:val="24"/>
        </w:rPr>
        <w:t>mployers may refuse to allow interviewers to conduct interviews out of concern f</w:t>
      </w:r>
      <w:r w:rsidR="00406D58">
        <w:rPr>
          <w:rFonts w:ascii="Times New Roman" w:hAnsi="Times New Roman"/>
          <w:sz w:val="24"/>
          <w:szCs w:val="24"/>
        </w:rPr>
        <w:t>or the safety of their workers.</w:t>
      </w:r>
    </w:p>
    <w:p w:rsidR="00B9163E" w:rsidP="002E1EAC" w:rsidRDefault="000F35CB" w14:paraId="1ECF7B42" w14:textId="77777777">
      <w:pPr>
        <w:pStyle w:val="ListParagraph"/>
        <w:numPr>
          <w:ilvl w:val="0"/>
          <w:numId w:val="46"/>
        </w:numPr>
        <w:spacing w:after="0" w:line="240" w:lineRule="auto"/>
        <w:ind w:right="-720"/>
        <w:contextualSpacing w:val="0"/>
        <w:rPr>
          <w:rFonts w:ascii="Times New Roman" w:hAnsi="Times New Roman"/>
          <w:sz w:val="24"/>
          <w:szCs w:val="24"/>
        </w:rPr>
      </w:pPr>
      <w:r w:rsidRPr="00406D58">
        <w:rPr>
          <w:rFonts w:ascii="Times New Roman" w:hAnsi="Times New Roman"/>
          <w:sz w:val="24"/>
          <w:szCs w:val="24"/>
        </w:rPr>
        <w:t>There may be selection bias as e</w:t>
      </w:r>
      <w:r w:rsidRPr="00406D58" w:rsidR="00002159">
        <w:rPr>
          <w:rFonts w:ascii="Times New Roman" w:hAnsi="Times New Roman"/>
          <w:sz w:val="24"/>
          <w:szCs w:val="24"/>
        </w:rPr>
        <w:t xml:space="preserve">mployers who </w:t>
      </w:r>
      <w:r w:rsidRPr="00406D58" w:rsidR="00F23F9F">
        <w:rPr>
          <w:rFonts w:ascii="Times New Roman" w:hAnsi="Times New Roman"/>
          <w:sz w:val="24"/>
          <w:szCs w:val="24"/>
        </w:rPr>
        <w:t xml:space="preserve">refuse </w:t>
      </w:r>
      <w:r w:rsidRPr="00406D58">
        <w:rPr>
          <w:rFonts w:ascii="Times New Roman" w:hAnsi="Times New Roman"/>
          <w:sz w:val="24"/>
          <w:szCs w:val="24"/>
        </w:rPr>
        <w:t xml:space="preserve">to allow their workers to respond to the survey </w:t>
      </w:r>
      <w:r w:rsidRPr="00406D58" w:rsidR="00002159">
        <w:rPr>
          <w:rFonts w:ascii="Times New Roman" w:hAnsi="Times New Roman"/>
          <w:sz w:val="24"/>
          <w:szCs w:val="24"/>
        </w:rPr>
        <w:t>may differ from other employers in how they are addressing the pandemic.</w:t>
      </w:r>
    </w:p>
    <w:p w:rsidRPr="00B9163E" w:rsidR="004E4A13" w:rsidP="00B9163E" w:rsidRDefault="00002159" w14:paraId="51ABD996" w14:textId="74A3315D">
      <w:pPr>
        <w:ind w:right="-720"/>
      </w:pPr>
      <w:r w:rsidRPr="00B9163E">
        <w:t xml:space="preserve"> </w:t>
      </w:r>
    </w:p>
    <w:p w:rsidRPr="00AA2931" w:rsidR="00920315" w:rsidP="00406D58" w:rsidRDefault="00002159" w14:paraId="183B71D3" w14:textId="421F6DBF">
      <w:pPr>
        <w:spacing w:after="240"/>
        <w:ind w:left="630" w:right="-720"/>
      </w:pPr>
      <w:r w:rsidRPr="00AA2931">
        <w:t xml:space="preserve">To address these potential biases, </w:t>
      </w:r>
      <w:r w:rsidRPr="00AA2931" w:rsidR="009E4E57">
        <w:t xml:space="preserve">NAWS staff will collect additional paradata and do so in a way that does not affect the </w:t>
      </w:r>
      <w:r w:rsidR="000F35CB">
        <w:t xml:space="preserve">burden for the </w:t>
      </w:r>
      <w:r w:rsidRPr="00AA2931" w:rsidR="009E4E57">
        <w:t xml:space="preserve">employer. </w:t>
      </w:r>
      <w:r w:rsidRPr="00AA2931" w:rsidR="00944C9C">
        <w:t>The paradata will be used in the following ways</w:t>
      </w:r>
      <w:r w:rsidR="00010878">
        <w:t>:</w:t>
      </w:r>
    </w:p>
    <w:p w:rsidR="007820E4" w:rsidP="007820E4" w:rsidRDefault="00073781" w14:paraId="224069F3" w14:textId="2887E11C">
      <w:pPr>
        <w:pStyle w:val="ListParagraph"/>
        <w:numPr>
          <w:ilvl w:val="0"/>
          <w:numId w:val="47"/>
        </w:numPr>
        <w:spacing w:after="0" w:line="240" w:lineRule="auto"/>
        <w:ind w:right="-720"/>
        <w:rPr>
          <w:rFonts w:ascii="Times New Roman" w:hAnsi="Times New Roman"/>
          <w:sz w:val="24"/>
          <w:szCs w:val="24"/>
        </w:rPr>
      </w:pPr>
      <w:r>
        <w:rPr>
          <w:rFonts w:ascii="Times New Roman" w:hAnsi="Times New Roman"/>
          <w:sz w:val="24"/>
          <w:szCs w:val="24"/>
        </w:rPr>
        <w:lastRenderedPageBreak/>
        <w:t>Survey staff</w:t>
      </w:r>
      <w:r w:rsidRPr="00AA2931" w:rsidR="00712FF7">
        <w:rPr>
          <w:rFonts w:ascii="Times New Roman" w:hAnsi="Times New Roman"/>
          <w:sz w:val="24"/>
          <w:szCs w:val="24"/>
        </w:rPr>
        <w:t xml:space="preserve"> has tracked the </w:t>
      </w:r>
      <w:r w:rsidRPr="00AA2931" w:rsidR="007926E2">
        <w:rPr>
          <w:rFonts w:ascii="Times New Roman" w:hAnsi="Times New Roman"/>
          <w:sz w:val="24"/>
          <w:szCs w:val="24"/>
        </w:rPr>
        <w:t>locations where interviewers could not travel due to state restrictions or safety conc</w:t>
      </w:r>
      <w:r>
        <w:rPr>
          <w:rFonts w:ascii="Times New Roman" w:hAnsi="Times New Roman"/>
          <w:sz w:val="24"/>
          <w:szCs w:val="24"/>
        </w:rPr>
        <w:t>erns about the infection level.  Survey staff</w:t>
      </w:r>
      <w:r w:rsidRPr="00AA2931" w:rsidR="007926E2">
        <w:rPr>
          <w:rFonts w:ascii="Times New Roman" w:hAnsi="Times New Roman"/>
          <w:sz w:val="24"/>
          <w:szCs w:val="24"/>
        </w:rPr>
        <w:t xml:space="preserve"> will assess the impact of these restrictions on the probability or selection of locations and also compare the responses of workers and employers to see if the limitations on traveling to sites resulted in bias and/or affected the precision of estimates.</w:t>
      </w:r>
    </w:p>
    <w:p w:rsidR="007820E4" w:rsidP="007820E4" w:rsidRDefault="007820E4" w14:paraId="7FD3BEBE" w14:textId="77777777">
      <w:pPr>
        <w:pStyle w:val="ListParagraph"/>
        <w:spacing w:after="0" w:line="240" w:lineRule="auto"/>
        <w:ind w:left="1080" w:right="-720"/>
        <w:rPr>
          <w:rFonts w:ascii="Times New Roman" w:hAnsi="Times New Roman"/>
          <w:sz w:val="24"/>
          <w:szCs w:val="24"/>
        </w:rPr>
      </w:pPr>
    </w:p>
    <w:p w:rsidRPr="007820E4" w:rsidR="00712FF7" w:rsidP="007820E4" w:rsidRDefault="00073781" w14:paraId="5777C2C4" w14:textId="438D63F4">
      <w:pPr>
        <w:pStyle w:val="ListParagraph"/>
        <w:numPr>
          <w:ilvl w:val="0"/>
          <w:numId w:val="47"/>
        </w:numPr>
        <w:spacing w:after="0" w:line="240" w:lineRule="auto"/>
        <w:ind w:right="-720"/>
        <w:rPr>
          <w:rFonts w:ascii="Times New Roman" w:hAnsi="Times New Roman"/>
          <w:sz w:val="24"/>
          <w:szCs w:val="24"/>
        </w:rPr>
      </w:pPr>
      <w:r w:rsidRPr="007820E4">
        <w:rPr>
          <w:rFonts w:ascii="Times New Roman" w:hAnsi="Times New Roman"/>
          <w:sz w:val="24"/>
          <w:szCs w:val="24"/>
        </w:rPr>
        <w:t>Survey staff</w:t>
      </w:r>
      <w:r w:rsidRPr="007820E4" w:rsidR="00712FF7">
        <w:rPr>
          <w:rFonts w:ascii="Times New Roman" w:hAnsi="Times New Roman"/>
          <w:sz w:val="24"/>
          <w:szCs w:val="24"/>
        </w:rPr>
        <w:t xml:space="preserve"> added </w:t>
      </w:r>
      <w:r w:rsidRPr="007820E4" w:rsidR="004D58D9">
        <w:rPr>
          <w:rFonts w:ascii="Times New Roman" w:hAnsi="Times New Roman"/>
          <w:sz w:val="24"/>
          <w:szCs w:val="24"/>
        </w:rPr>
        <w:t xml:space="preserve">a </w:t>
      </w:r>
      <w:r w:rsidRPr="007820E4" w:rsidR="00712FF7">
        <w:rPr>
          <w:rFonts w:ascii="Times New Roman" w:hAnsi="Times New Roman"/>
          <w:sz w:val="24"/>
          <w:szCs w:val="24"/>
        </w:rPr>
        <w:t>response code</w:t>
      </w:r>
      <w:r w:rsidRPr="007820E4" w:rsidR="004D58D9">
        <w:rPr>
          <w:rFonts w:ascii="Times New Roman" w:hAnsi="Times New Roman"/>
          <w:sz w:val="24"/>
          <w:szCs w:val="24"/>
        </w:rPr>
        <w:t xml:space="preserve"> to track</w:t>
      </w:r>
      <w:r w:rsidRPr="007820E4" w:rsidR="00712FF7">
        <w:rPr>
          <w:rFonts w:ascii="Times New Roman" w:hAnsi="Times New Roman"/>
          <w:sz w:val="24"/>
          <w:szCs w:val="24"/>
        </w:rPr>
        <w:t xml:space="preserve"> employers who refuse to participate due to </w:t>
      </w:r>
      <w:r w:rsidRPr="007820E4" w:rsidR="004D58D9">
        <w:rPr>
          <w:rFonts w:ascii="Times New Roman" w:hAnsi="Times New Roman"/>
          <w:sz w:val="24"/>
          <w:szCs w:val="24"/>
        </w:rPr>
        <w:t xml:space="preserve">COVID-19 concerns. Analysis of this additional response code </w:t>
      </w:r>
      <w:r w:rsidRPr="007820E4" w:rsidR="00712FF7">
        <w:rPr>
          <w:rFonts w:ascii="Times New Roman" w:hAnsi="Times New Roman"/>
          <w:sz w:val="24"/>
          <w:szCs w:val="24"/>
        </w:rPr>
        <w:t xml:space="preserve">will allow </w:t>
      </w:r>
      <w:r w:rsidRPr="007820E4">
        <w:rPr>
          <w:rFonts w:ascii="Times New Roman" w:hAnsi="Times New Roman"/>
          <w:sz w:val="24"/>
          <w:szCs w:val="24"/>
        </w:rPr>
        <w:t>the Survey staff</w:t>
      </w:r>
      <w:r w:rsidRPr="007820E4" w:rsidR="00712FF7">
        <w:rPr>
          <w:rFonts w:ascii="Times New Roman" w:hAnsi="Times New Roman"/>
          <w:sz w:val="24"/>
          <w:szCs w:val="24"/>
        </w:rPr>
        <w:t xml:space="preserve"> to examine changes in non-response due to COVID-19 concerns and to assess the degree of non-response bias that might be related to COVID-19</w:t>
      </w:r>
      <w:r w:rsidRPr="007820E4" w:rsidR="00215FA9">
        <w:rPr>
          <w:rFonts w:ascii="Times New Roman" w:hAnsi="Times New Roman"/>
          <w:sz w:val="24"/>
          <w:szCs w:val="24"/>
        </w:rPr>
        <w:t>.</w:t>
      </w:r>
    </w:p>
    <w:p w:rsidRPr="00073781" w:rsidR="00073781" w:rsidP="00827710" w:rsidRDefault="00073781" w14:paraId="2291021F" w14:textId="2ED4CDCE">
      <w:pPr>
        <w:ind w:right="-720"/>
      </w:pPr>
    </w:p>
    <w:p w:rsidRPr="00073781" w:rsidR="00D61AF7" w:rsidP="007820E4" w:rsidRDefault="00D61AF7" w14:paraId="2DBE994C" w14:textId="6BF3A250">
      <w:pPr>
        <w:pStyle w:val="ListParagraph"/>
        <w:spacing w:after="240" w:line="240" w:lineRule="auto"/>
        <w:ind w:left="630" w:right="-720"/>
        <w:contextualSpacing w:val="0"/>
      </w:pPr>
      <w:r w:rsidRPr="00073781">
        <w:rPr>
          <w:rFonts w:ascii="Times New Roman" w:hAnsi="Times New Roman"/>
          <w:sz w:val="24"/>
          <w:szCs w:val="24"/>
        </w:rPr>
        <w:t xml:space="preserve">Nonresponse bias will be calculated using the bias calculation formula from OMB’s </w:t>
      </w:r>
      <w:r w:rsidRPr="00073781">
        <w:rPr>
          <w:rFonts w:ascii="Times New Roman" w:hAnsi="Times New Roman"/>
          <w:i/>
          <w:sz w:val="24"/>
          <w:szCs w:val="24"/>
        </w:rPr>
        <w:t>Standard and Guidelines for Statistical Surveys</w:t>
      </w:r>
      <w:r w:rsidRPr="00073781">
        <w:rPr>
          <w:rFonts w:ascii="Times New Roman" w:hAnsi="Times New Roman"/>
          <w:sz w:val="24"/>
          <w:szCs w:val="24"/>
        </w:rPr>
        <w:t xml:space="preserve"> (2006). The formula defines bias for a particular estimate, </w:t>
      </w:r>
      <m:oMath>
        <m:r>
          <w:rPr>
            <w:rFonts w:ascii="Cambria Math" w:hAnsi="Cambria Math"/>
          </w:rPr>
          <m:t>B</m:t>
        </m:r>
        <m:d>
          <m:dPr>
            <m:ctrlPr>
              <w:rPr>
                <w:rFonts w:ascii="Cambria Math" w:hAnsi="Cambria Math"/>
                <w:i/>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y</m:t>
                    </m:r>
                  </m:e>
                </m:acc>
              </m:e>
              <m:sub>
                <m:r>
                  <w:rPr>
                    <w:rFonts w:ascii="Cambria Math" w:hAnsi="Cambria Math"/>
                  </w:rPr>
                  <m:t>r</m:t>
                </m:r>
              </m:sub>
            </m:sSub>
          </m:e>
        </m:d>
        <m:r>
          <w:rPr>
            <w:rFonts w:ascii="Cambria Math" w:hAnsi="Cambria Math"/>
          </w:rPr>
          <m:t xml:space="preserve"> </m:t>
        </m:r>
      </m:oMath>
      <w:r w:rsidRPr="00073781">
        <w:rPr>
          <w:rFonts w:ascii="Times New Roman" w:hAnsi="Times New Roman"/>
        </w:rPr>
        <w:t xml:space="preserve">, </w:t>
      </w:r>
      <w:r w:rsidRPr="00073781">
        <w:rPr>
          <w:rFonts w:ascii="Times New Roman" w:hAnsi="Times New Roman"/>
          <w:sz w:val="24"/>
          <w:szCs w:val="24"/>
        </w:rPr>
        <w:t>as the following:</w:t>
      </w:r>
    </w:p>
    <w:p w:rsidRPr="00073781" w:rsidR="00D61AF7" w:rsidP="00827710" w:rsidRDefault="00D61AF7" w14:paraId="040BB4C8" w14:textId="77777777">
      <w:pPr>
        <w:spacing w:after="240"/>
        <w:ind w:right="-720"/>
      </w:pPr>
      <m:oMathPara>
        <m:oMathParaPr>
          <m:jc m:val="center"/>
        </m:oMathParaPr>
        <m:oMath>
          <m:r>
            <w:rPr>
              <w:rFonts w:ascii="Cambria Math" w:hAnsi="Cambria Math"/>
            </w:rPr>
            <m:t>B</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 xml:space="preserve">=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nr</m:t>
                      </m:r>
                    </m:sub>
                  </m:sSub>
                </m:num>
                <m:den>
                  <m:r>
                    <w:rPr>
                      <w:rFonts w:ascii="Cambria Math" w:hAnsi="Cambria Math"/>
                    </w:rPr>
                    <m:t>n</m:t>
                  </m:r>
                </m:den>
              </m:f>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nr</m:t>
              </m:r>
            </m:sub>
          </m:sSub>
          <m:r>
            <w:rPr>
              <w:rFonts w:ascii="Cambria Math" w:hAnsi="Cambria Math"/>
            </w:rPr>
            <m:t>)</m:t>
          </m:r>
        </m:oMath>
      </m:oMathPara>
    </w:p>
    <w:p w:rsidRPr="00073781" w:rsidR="00D61AF7" w:rsidP="007820E4" w:rsidRDefault="00D61AF7" w14:paraId="50230AA9" w14:textId="77777777">
      <w:pPr>
        <w:ind w:left="630" w:right="-720"/>
      </w:pPr>
      <w:r w:rsidRPr="00073781">
        <w:t>where:</w:t>
      </w:r>
    </w:p>
    <w:p w:rsidRPr="00073781" w:rsidR="00D61AF7" w:rsidP="00827710" w:rsidRDefault="00842A44" w14:paraId="6B5CE376" w14:textId="129409B8">
      <w:pPr>
        <w:ind w:left="1440" w:right="-72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oMath>
      <w:r w:rsidRPr="00073781" w:rsidR="00D61AF7">
        <w:rPr>
          <w:i/>
          <w:vertAlign w:val="subscript"/>
        </w:rPr>
        <w:t xml:space="preserve"> </w:t>
      </w:r>
      <w:r w:rsidRPr="00073781" w:rsidR="00D61AF7">
        <w:rPr>
          <w:vertAlign w:val="subscript"/>
        </w:rPr>
        <w:t xml:space="preserve">  </w:t>
      </w:r>
      <w:r w:rsidRPr="00073781" w:rsidR="00D61AF7">
        <w:rPr>
          <w:vertAlign w:val="subscript"/>
        </w:rPr>
        <w:tab/>
      </w:r>
      <w:r w:rsidRPr="00073781" w:rsidR="00D61AF7">
        <w:t>= the mean based on all sample cases;</w:t>
      </w:r>
    </w:p>
    <w:p w:rsidRPr="00073781" w:rsidR="00D61AF7" w:rsidP="00827710" w:rsidRDefault="00842A44" w14:paraId="658F1F8C" w14:textId="0BAB29B5">
      <w:pPr>
        <w:ind w:left="1440" w:right="-72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oMath>
      <w:r w:rsidRPr="00073781" w:rsidR="00D61AF7">
        <w:rPr>
          <w:vertAlign w:val="subscript"/>
        </w:rPr>
        <w:t xml:space="preserve">     </w:t>
      </w:r>
      <w:r w:rsidRPr="00073781" w:rsidR="00D61AF7">
        <w:rPr>
          <w:vertAlign w:val="subscript"/>
        </w:rPr>
        <w:tab/>
      </w:r>
      <w:r w:rsidRPr="00073781" w:rsidR="00D61AF7">
        <w:t>= the mean based only on respondent cases;</w:t>
      </w:r>
    </w:p>
    <w:p w:rsidRPr="00073781" w:rsidR="00D61AF7" w:rsidP="00827710" w:rsidRDefault="00842A44" w14:paraId="3EBA3D76" w14:textId="406BC3FE">
      <w:pPr>
        <w:ind w:left="1440" w:right="-72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nr</m:t>
            </m:r>
          </m:sub>
        </m:sSub>
        <m:r>
          <w:rPr>
            <w:rFonts w:ascii="Cambria Math" w:hAnsi="Cambria Math"/>
          </w:rPr>
          <m:t xml:space="preserve">   </m:t>
        </m:r>
      </m:oMath>
      <w:r w:rsidRPr="00073781" w:rsidR="00D61AF7">
        <w:t xml:space="preserve"> </w:t>
      </w:r>
      <w:r w:rsidRPr="00073781" w:rsidR="00D61AF7">
        <w:tab/>
        <w:t>= the mean based only on the nonresponding cases;</w:t>
      </w:r>
    </w:p>
    <w:p w:rsidRPr="00073781" w:rsidR="00D61AF7" w:rsidP="00827710" w:rsidRDefault="00D61AF7" w14:paraId="09D4BE86" w14:textId="77777777">
      <w:pPr>
        <w:ind w:left="1440" w:right="-720"/>
      </w:pPr>
      <w:r w:rsidRPr="00073781">
        <w:rPr>
          <w:i/>
        </w:rPr>
        <w:t xml:space="preserve">n </w:t>
      </w:r>
      <w:r w:rsidRPr="00073781">
        <w:t xml:space="preserve">   </w:t>
      </w:r>
      <w:r w:rsidRPr="00073781">
        <w:tab/>
        <w:t xml:space="preserve">= the number of cases in the sample; and </w:t>
      </w:r>
    </w:p>
    <w:p w:rsidRPr="004803C1" w:rsidR="00D61AF7" w:rsidP="00827710" w:rsidRDefault="00D61AF7" w14:paraId="419DC850" w14:textId="77777777">
      <w:pPr>
        <w:spacing w:after="240"/>
        <w:ind w:left="1440" w:right="-720"/>
      </w:pPr>
      <w:proofErr w:type="spellStart"/>
      <w:r w:rsidRPr="00073781">
        <w:rPr>
          <w:i/>
        </w:rPr>
        <w:t>n</w:t>
      </w:r>
      <w:r w:rsidRPr="00073781">
        <w:rPr>
          <w:i/>
          <w:vertAlign w:val="subscript"/>
        </w:rPr>
        <w:t>nr</w:t>
      </w:r>
      <w:proofErr w:type="spellEnd"/>
      <w:r w:rsidRPr="00073781">
        <w:rPr>
          <w:vertAlign w:val="subscript"/>
        </w:rPr>
        <w:t xml:space="preserve">   </w:t>
      </w:r>
      <w:r w:rsidRPr="00073781">
        <w:rPr>
          <w:vertAlign w:val="subscript"/>
        </w:rPr>
        <w:tab/>
      </w:r>
      <w:r w:rsidRPr="00073781">
        <w:t>= the number of nonresponding cases</w:t>
      </w:r>
    </w:p>
    <w:p w:rsidRPr="00AA2931" w:rsidR="00D41359" w:rsidP="007820E4" w:rsidRDefault="00362A5D" w14:paraId="5AC91D16" w14:textId="5A02C549">
      <w:pPr>
        <w:spacing w:after="120"/>
        <w:ind w:left="630" w:right="-720"/>
        <w:rPr>
          <w:b/>
        </w:rPr>
      </w:pPr>
      <w:r w:rsidRPr="00AA2931">
        <w:rPr>
          <w:b/>
        </w:rPr>
        <w:t>Possible item non</w:t>
      </w:r>
      <w:r w:rsidRPr="00AA2931" w:rsidR="00D41359">
        <w:rPr>
          <w:b/>
        </w:rPr>
        <w:t>response bias</w:t>
      </w:r>
    </w:p>
    <w:p w:rsidRPr="00AA2931" w:rsidR="00FD00AA" w:rsidP="007820E4" w:rsidRDefault="007820E4" w14:paraId="3BDEFA1C" w14:textId="6801DC90">
      <w:pPr>
        <w:pStyle w:val="CommentText"/>
        <w:ind w:left="630" w:right="-720"/>
        <w:rPr>
          <w:sz w:val="24"/>
          <w:szCs w:val="24"/>
        </w:rPr>
      </w:pPr>
      <w:r w:rsidRPr="00827710">
        <w:rPr>
          <w:sz w:val="24"/>
          <w:szCs w:val="24"/>
        </w:rPr>
        <w:t>There are no changes from the currently approved ICR for OMB Control No. 1205-0453</w:t>
      </w:r>
      <w:r w:rsidR="00E16563">
        <w:rPr>
          <w:sz w:val="24"/>
          <w:szCs w:val="24"/>
        </w:rPr>
        <w:t>.</w:t>
      </w:r>
      <w:r w:rsidRPr="00AA2931" w:rsidR="00FD00AA">
        <w:rPr>
          <w:sz w:val="24"/>
          <w:szCs w:val="24"/>
        </w:rPr>
        <w:t xml:space="preserve"> </w:t>
      </w:r>
    </w:p>
    <w:p w:rsidRPr="00AA2931" w:rsidR="00AA2931" w:rsidP="00827710" w:rsidRDefault="00AA2931" w14:paraId="4BE8938A" w14:textId="77777777">
      <w:pPr>
        <w:pStyle w:val="CommentText"/>
        <w:ind w:right="-720"/>
        <w:rPr>
          <w:sz w:val="24"/>
          <w:szCs w:val="24"/>
        </w:rPr>
      </w:pPr>
    </w:p>
    <w:p w:rsidRPr="00AA2931" w:rsidR="00D41359" w:rsidP="007820E4" w:rsidRDefault="00935403" w14:paraId="3A8B568B" w14:textId="1275F0BD">
      <w:pPr>
        <w:spacing w:after="240"/>
        <w:ind w:right="-720" w:firstLine="360"/>
        <w:rPr>
          <w:b/>
        </w:rPr>
      </w:pPr>
      <w:r>
        <w:rPr>
          <w:b/>
        </w:rPr>
        <w:t xml:space="preserve">c) </w:t>
      </w:r>
      <w:r w:rsidRPr="00AA2931" w:rsidR="00D41359">
        <w:rPr>
          <w:b/>
        </w:rPr>
        <w:t>Reliability</w:t>
      </w:r>
    </w:p>
    <w:p w:rsidRPr="00AA2931" w:rsidR="007820E4" w:rsidP="002E1EAC" w:rsidRDefault="007820E4" w14:paraId="7785695E" w14:textId="6D028D25">
      <w:pPr>
        <w:spacing w:after="240"/>
        <w:ind w:left="630" w:right="-720"/>
      </w:pPr>
      <w:r w:rsidRPr="00827710">
        <w:t>There are no changes from the currently approved ICR for OMB Control No. 1205-0453</w:t>
      </w:r>
      <w:r w:rsidR="00E16563">
        <w:t>.</w:t>
      </w:r>
    </w:p>
    <w:p w:rsidRPr="00AA2931" w:rsidR="00D41359" w:rsidP="007820E4" w:rsidRDefault="00935403" w14:paraId="756D7827" w14:textId="5B44D852">
      <w:pPr>
        <w:spacing w:after="120"/>
        <w:ind w:right="-720" w:firstLine="360"/>
        <w:rPr>
          <w:b/>
        </w:rPr>
      </w:pPr>
      <w:r>
        <w:rPr>
          <w:b/>
        </w:rPr>
        <w:t xml:space="preserve">d) </w:t>
      </w:r>
      <w:r w:rsidRPr="00AA2931" w:rsidR="00D41359">
        <w:rPr>
          <w:b/>
        </w:rPr>
        <w:t>Estimation Procedure</w:t>
      </w:r>
    </w:p>
    <w:p w:rsidRPr="00AA2931" w:rsidR="00AA2931" w:rsidP="007820E4" w:rsidRDefault="007820E4" w14:paraId="60A2C127" w14:textId="0E52C4DC">
      <w:pPr>
        <w:spacing w:after="240"/>
        <w:ind w:left="630" w:right="-720"/>
      </w:pPr>
      <w:r w:rsidRPr="00827710">
        <w:t>There are no changes from the currently approved ICR for OMB Control No. 1205-0453</w:t>
      </w:r>
      <w:r w:rsidR="0004019F">
        <w:t>.</w:t>
      </w:r>
      <w:r w:rsidRPr="00AA2931" w:rsidR="00FD00AA">
        <w:t xml:space="preserve"> </w:t>
      </w:r>
    </w:p>
    <w:p w:rsidRPr="00AA2931" w:rsidR="00D41359" w:rsidP="007820E4" w:rsidRDefault="00C70C4F" w14:paraId="03CC6807" w14:textId="67C7D2BF">
      <w:pPr>
        <w:spacing w:after="120"/>
        <w:ind w:right="-720" w:firstLine="360"/>
        <w:rPr>
          <w:b/>
        </w:rPr>
      </w:pPr>
      <w:r>
        <w:rPr>
          <w:b/>
        </w:rPr>
        <w:t xml:space="preserve">e) </w:t>
      </w:r>
      <w:r w:rsidRPr="00AA2931" w:rsidR="00D41359">
        <w:rPr>
          <w:b/>
        </w:rPr>
        <w:t>Precision of Key Estimators</w:t>
      </w:r>
    </w:p>
    <w:p w:rsidRPr="00AA2931" w:rsidR="00FD00AA" w:rsidP="007820E4" w:rsidRDefault="007820E4" w14:paraId="5F780E49" w14:textId="37EACBB3">
      <w:pPr>
        <w:pStyle w:val="CommentText"/>
        <w:ind w:left="630" w:right="-720"/>
        <w:rPr>
          <w:sz w:val="24"/>
          <w:szCs w:val="24"/>
        </w:rPr>
      </w:pPr>
      <w:r w:rsidRPr="00827710">
        <w:rPr>
          <w:sz w:val="24"/>
          <w:szCs w:val="24"/>
        </w:rPr>
        <w:t>There are no changes from the currently approved ICR for OMB Control No. 1205-0453</w:t>
      </w:r>
      <w:r w:rsidR="00E16563">
        <w:rPr>
          <w:sz w:val="24"/>
          <w:szCs w:val="24"/>
        </w:rPr>
        <w:t>.</w:t>
      </w:r>
    </w:p>
    <w:p w:rsidR="00010878" w:rsidP="00080424" w:rsidRDefault="00010878" w14:paraId="547E178D" w14:textId="77777777">
      <w:pPr>
        <w:pStyle w:val="Heading1"/>
        <w:keepNext w:val="0"/>
        <w:tabs>
          <w:tab w:val="clear" w:pos="0"/>
          <w:tab w:val="clear" w:pos="122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right="-720"/>
      </w:pPr>
    </w:p>
    <w:p w:rsidRPr="00010878" w:rsidR="00D41359" w:rsidP="00533FA8" w:rsidRDefault="001F67CB" w14:paraId="3518D72A" w14:textId="045A2ED6">
      <w:pPr>
        <w:spacing w:after="120"/>
        <w:ind w:right="-720"/>
        <w:rPr>
          <w:b/>
        </w:rPr>
      </w:pPr>
      <w:r>
        <w:rPr>
          <w:b/>
        </w:rPr>
        <w:t xml:space="preserve">5.  </w:t>
      </w:r>
      <w:r w:rsidRPr="00010878" w:rsidR="00D41359">
        <w:rPr>
          <w:b/>
        </w:rPr>
        <w:t>Tests</w:t>
      </w:r>
    </w:p>
    <w:p w:rsidR="001F67CB" w:rsidP="008A2E97" w:rsidRDefault="00EC0BDD" w14:paraId="38A879EB" w14:textId="77777777">
      <w:pPr>
        <w:spacing w:after="240"/>
        <w:ind w:left="360" w:right="-720"/>
      </w:pPr>
      <w:r w:rsidRPr="00AA2931">
        <w:t xml:space="preserve">This submission seeks approval to </w:t>
      </w:r>
      <w:r w:rsidR="00533FA8">
        <w:t>add</w:t>
      </w:r>
      <w:r w:rsidRPr="00AA2931">
        <w:t xml:space="preserve"> </w:t>
      </w:r>
      <w:r w:rsidR="00533FA8">
        <w:t>supplemental questions</w:t>
      </w:r>
      <w:r w:rsidRPr="00AA2931">
        <w:t xml:space="preserve"> </w:t>
      </w:r>
      <w:r w:rsidR="00533FA8">
        <w:t xml:space="preserve">to the NAWS that address </w:t>
      </w:r>
      <w:r w:rsidRPr="00AA2931">
        <w:t>health and safety issues re</w:t>
      </w:r>
      <w:r w:rsidR="00533FA8">
        <w:t>l</w:t>
      </w:r>
      <w:r w:rsidR="001F67CB">
        <w:t>ated to the COVID-19 pandemic.</w:t>
      </w:r>
    </w:p>
    <w:p w:rsidR="001F67CB" w:rsidP="008A2E97" w:rsidRDefault="001F67CB" w14:paraId="1F3513A3" w14:textId="23C17836">
      <w:pPr>
        <w:ind w:left="360" w:right="-720"/>
      </w:pPr>
      <w:r>
        <w:lastRenderedPageBreak/>
        <w:t>The Centers for Disease Control and Prevention, National Institute for Occupational Safety and Health (CDC/</w:t>
      </w:r>
      <w:r w:rsidRPr="00DE2698">
        <w:t>NIOSH</w:t>
      </w:r>
      <w:r>
        <w:t>)</w:t>
      </w:r>
      <w:r w:rsidRPr="00DE2698">
        <w:t xml:space="preserve"> developed the </w:t>
      </w:r>
      <w:r>
        <w:t xml:space="preserve">supplemental </w:t>
      </w:r>
      <w:r w:rsidRPr="00DE2698">
        <w:t xml:space="preserve">questions in collaboration </w:t>
      </w:r>
      <w:r>
        <w:t>with CDC’s</w:t>
      </w:r>
      <w:r w:rsidRPr="00DE2698">
        <w:t xml:space="preserve"> Division of Global Migration and Quarantine</w:t>
      </w:r>
      <w:r>
        <w:t>, the Health Resources and Services Administration, the Employment and Training Administration within the Department of Labor, and organizations that represent agricultural employers and farm workers.</w:t>
      </w:r>
    </w:p>
    <w:p w:rsidR="001F67CB" w:rsidP="001F67CB" w:rsidRDefault="001F67CB" w14:paraId="523F1999" w14:textId="77777777">
      <w:pPr>
        <w:ind w:left="360"/>
      </w:pPr>
    </w:p>
    <w:p w:rsidR="001F67CB" w:rsidP="008A2E97" w:rsidRDefault="001F67CB" w14:paraId="4F8245B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 w:right="-720"/>
      </w:pPr>
      <w:r w:rsidRPr="00DE2698">
        <w:t xml:space="preserve">The proposed questions are similar to questions used in </w:t>
      </w:r>
      <w:r>
        <w:t xml:space="preserve">the </w:t>
      </w:r>
      <w:r w:rsidRPr="00DE2698">
        <w:t>California Ins</w:t>
      </w:r>
      <w:r>
        <w:t xml:space="preserve">titute for Rural Studies’ </w:t>
      </w:r>
      <w:r w:rsidRPr="00DE2698">
        <w:t>COVID-19 Farmworker Survey and the Nationa</w:t>
      </w:r>
      <w:r>
        <w:t>l Health Interview Survey.</w:t>
      </w:r>
    </w:p>
    <w:p w:rsidRPr="00AA2931" w:rsidR="00D61AF7" w:rsidP="008A2E97" w:rsidRDefault="00215FA9" w14:paraId="138792DC" w14:textId="29F111BA">
      <w:pPr>
        <w:spacing w:after="240"/>
        <w:ind w:left="360" w:right="-720"/>
      </w:pPr>
      <w:r>
        <w:t xml:space="preserve">Draft </w:t>
      </w:r>
      <w:r w:rsidRPr="00AA2931" w:rsidR="007E45BC">
        <w:t xml:space="preserve">questions were </w:t>
      </w:r>
      <w:r w:rsidR="00E16563">
        <w:t>obtained</w:t>
      </w:r>
      <w:r w:rsidRPr="00AA2931" w:rsidR="00E16563">
        <w:t xml:space="preserve"> or</w:t>
      </w:r>
      <w:r w:rsidRPr="00AA2931" w:rsidR="007E45BC">
        <w:t xml:space="preserve"> adapted from existing questions in federal and academic surveys to strengthen the ability to compare NAWS findings with </w:t>
      </w:r>
      <w:r>
        <w:t>the findings from other surveys</w:t>
      </w:r>
      <w:r w:rsidRPr="00AA2931" w:rsidR="007E45BC">
        <w:t xml:space="preserve">. </w:t>
      </w:r>
      <w:r w:rsidRPr="00AA2931" w:rsidR="00BA2C79">
        <w:t xml:space="preserve">Cognitive interviews </w:t>
      </w:r>
      <w:r w:rsidR="00856F6B">
        <w:t xml:space="preserve">in Spanish and English </w:t>
      </w:r>
      <w:r w:rsidRPr="00AA2931" w:rsidR="00BA2C79">
        <w:t xml:space="preserve">were used </w:t>
      </w:r>
      <w:r w:rsidRPr="00AA2931" w:rsidR="00E16563">
        <w:t xml:space="preserve">to </w:t>
      </w:r>
      <w:r w:rsidR="00E16563">
        <w:t>test</w:t>
      </w:r>
      <w:r w:rsidRPr="00AA2931" w:rsidR="00BA2C79">
        <w:t xml:space="preserve"> the survey with respondents from diverse backgrounds and geographic regions</w:t>
      </w:r>
      <w:r w:rsidR="002C4852">
        <w:t xml:space="preserve"> (Florida, California, and Texas)</w:t>
      </w:r>
      <w:r w:rsidRPr="00AA2931" w:rsidR="00BA2C79">
        <w:t>. Focus groups were not possible given safety concerns regarding possible COVID-19 exposure.</w:t>
      </w:r>
    </w:p>
    <w:p w:rsidRPr="00AA2931" w:rsidR="00920951" w:rsidP="001F67CB" w:rsidRDefault="00D41359" w14:paraId="3F0EE336" w14:textId="581A04CF">
      <w:pPr>
        <w:spacing w:after="120"/>
        <w:ind w:right="-720"/>
      </w:pPr>
      <w:r w:rsidRPr="00AA2931">
        <w:rPr>
          <w:b/>
        </w:rPr>
        <w:t>6</w:t>
      </w:r>
      <w:r w:rsidR="008A2E97">
        <w:rPr>
          <w:b/>
        </w:rPr>
        <w:t xml:space="preserve">.  </w:t>
      </w:r>
      <w:r w:rsidRPr="00AA2931" w:rsidR="00920951">
        <w:rPr>
          <w:b/>
        </w:rPr>
        <w:t>Statistical Consultation</w:t>
      </w:r>
    </w:p>
    <w:p w:rsidR="008071C5" w:rsidP="008A2E97" w:rsidRDefault="005C5623" w14:paraId="2964A483" w14:textId="1B4D0325">
      <w:pPr>
        <w:ind w:left="360" w:right="-720"/>
      </w:pPr>
      <w:r w:rsidRPr="00827710">
        <w:t>There are no changes from the currently approved ICR for OMB Control No. 1205-0453</w:t>
      </w:r>
      <w:r w:rsidR="00E3106D">
        <w:t>.</w:t>
      </w:r>
    </w:p>
    <w:p w:rsidRPr="00AA2931" w:rsidR="00E3106D" w:rsidP="00827710" w:rsidRDefault="00E3106D" w14:paraId="69F6DD35" w14:textId="77777777">
      <w:pPr>
        <w:ind w:right="-720"/>
        <w:rPr>
          <w:b/>
        </w:rPr>
      </w:pPr>
    </w:p>
    <w:p w:rsidR="008A2E97" w:rsidP="00827710" w:rsidRDefault="008A2E97" w14:paraId="1A0A81AF" w14:textId="77777777">
      <w:pPr>
        <w:ind w:right="-720"/>
        <w:rPr>
          <w:b/>
          <w:lang w:val="fr-FR"/>
        </w:rPr>
      </w:pPr>
    </w:p>
    <w:p w:rsidRPr="00E97140" w:rsidR="00E84077" w:rsidP="00827710" w:rsidRDefault="00E84077" w14:paraId="1508114E" w14:textId="028A8D13">
      <w:pPr>
        <w:ind w:right="-720"/>
        <w:rPr>
          <w:b/>
          <w:lang w:val="fr-FR"/>
        </w:rPr>
      </w:pPr>
      <w:r w:rsidRPr="00E97140">
        <w:rPr>
          <w:b/>
          <w:lang w:val="fr-FR"/>
        </w:rPr>
        <w:t>REFERENCES</w:t>
      </w:r>
    </w:p>
    <w:p w:rsidRPr="00E97140" w:rsidR="00E84077" w:rsidP="00827710" w:rsidRDefault="00E84077" w14:paraId="718C9D66" w14:textId="77777777">
      <w:pPr>
        <w:ind w:left="540" w:right="-720"/>
        <w:rPr>
          <w:lang w:val="fr-FR"/>
        </w:rPr>
      </w:pPr>
    </w:p>
    <w:p w:rsidRPr="00AA2931" w:rsidR="00E75FD0" w:rsidP="00827710" w:rsidRDefault="00E75FD0" w14:paraId="7DEB4E40" w14:textId="638DC11A">
      <w:pPr>
        <w:ind w:right="-720"/>
        <w:rPr>
          <w:color w:val="000000"/>
        </w:rPr>
      </w:pPr>
      <w:proofErr w:type="spellStart"/>
      <w:r w:rsidRPr="00157D27">
        <w:rPr>
          <w:rFonts w:cs="Calibri"/>
          <w:color w:val="000000"/>
          <w:lang w:val="fr-FR"/>
        </w:rPr>
        <w:t>Ryu</w:t>
      </w:r>
      <w:proofErr w:type="spellEnd"/>
      <w:r w:rsidRPr="00157D27">
        <w:rPr>
          <w:rFonts w:cs="Calibri"/>
          <w:color w:val="000000"/>
          <w:lang w:val="fr-FR"/>
        </w:rPr>
        <w:t>, E., Couper, M, &amp; Marans, R. (2006)</w:t>
      </w:r>
      <w:r w:rsidRPr="00157D27" w:rsidR="00ED6CAE">
        <w:rPr>
          <w:rFonts w:cs="Calibri"/>
          <w:color w:val="000000"/>
          <w:lang w:val="fr-FR"/>
        </w:rPr>
        <w:t>.</w:t>
      </w:r>
      <w:r w:rsidRPr="00157D27">
        <w:rPr>
          <w:rFonts w:cs="Calibri"/>
          <w:color w:val="000000"/>
          <w:lang w:val="fr-FR"/>
        </w:rPr>
        <w:t xml:space="preserve"> </w:t>
      </w:r>
      <w:r w:rsidRPr="00AA2931">
        <w:rPr>
          <w:rFonts w:cs="Calibri"/>
          <w:color w:val="000000"/>
        </w:rPr>
        <w:t xml:space="preserve">Survey incentives: Cash vs. in-kind; Face-to-face vs. mail; Response rate vs. nonresponse error. </w:t>
      </w:r>
      <w:r w:rsidRPr="00AA2931">
        <w:rPr>
          <w:rFonts w:cs="Calibri"/>
          <w:i/>
          <w:color w:val="000000"/>
        </w:rPr>
        <w:t xml:space="preserve">International Journal of Public Opinion Research, 18 </w:t>
      </w:r>
      <w:r w:rsidRPr="00AA2931">
        <w:rPr>
          <w:rFonts w:cs="Calibri"/>
          <w:color w:val="000000"/>
        </w:rPr>
        <w:t>(1): 89</w:t>
      </w:r>
      <w:r w:rsidR="00ED6CAE">
        <w:rPr>
          <w:rFonts w:cs="Calibri"/>
          <w:color w:val="000000"/>
        </w:rPr>
        <w:t>–</w:t>
      </w:r>
      <w:r w:rsidRPr="00AA2931">
        <w:rPr>
          <w:rFonts w:cs="Calibri"/>
          <w:color w:val="000000"/>
        </w:rPr>
        <w:t>106.</w:t>
      </w:r>
    </w:p>
    <w:p w:rsidRPr="00AA2931" w:rsidR="00920951" w:rsidP="00827710" w:rsidRDefault="00920951" w14:paraId="75F8A50D" w14:textId="77777777">
      <w:pPr>
        <w:ind w:right="-720"/>
      </w:pPr>
    </w:p>
    <w:p w:rsidRPr="005C5623" w:rsidR="00E75FD0" w:rsidP="00827710" w:rsidRDefault="00E75FD0" w14:paraId="73D4356E" w14:textId="130BB01B">
      <w:pPr>
        <w:ind w:right="-720"/>
        <w:rPr>
          <w:rFonts w:cs="Arial"/>
          <w:color w:val="000000"/>
          <w:szCs w:val="20"/>
        </w:rPr>
      </w:pPr>
      <w:r w:rsidRPr="00AA2931">
        <w:rPr>
          <w:rFonts w:cs="Calibri"/>
          <w:color w:val="000000"/>
          <w:szCs w:val="22"/>
        </w:rPr>
        <w:t xml:space="preserve">Zhang, F. (2010). </w:t>
      </w:r>
      <w:r w:rsidRPr="00AA2931">
        <w:rPr>
          <w:rFonts w:cs="Calibri"/>
          <w:i/>
          <w:iCs/>
          <w:color w:val="000000"/>
          <w:szCs w:val="22"/>
        </w:rPr>
        <w:t xml:space="preserve">Incentive experiments: NSF experiences. </w:t>
      </w:r>
      <w:r w:rsidRPr="00157D27">
        <w:rPr>
          <w:rFonts w:cs="Calibri"/>
          <w:color w:val="000000"/>
          <w:szCs w:val="22"/>
        </w:rPr>
        <w:t>(</w:t>
      </w:r>
      <w:r w:rsidRPr="00AA2931">
        <w:rPr>
          <w:rFonts w:cs="Calibri"/>
          <w:color w:val="000000"/>
          <w:szCs w:val="22"/>
        </w:rPr>
        <w:t>Working Paper SRS 11-200). Arlington, VA: National Science Foundation, Division of Science Resources Statistics.</w:t>
      </w:r>
    </w:p>
    <w:sectPr w:rsidRPr="005C5623" w:rsidR="00E75FD0" w:rsidSect="00CB2E88">
      <w:headerReference w:type="default" r:id="rId8"/>
      <w:footerReference w:type="default" r:id="rId9"/>
      <w:endnotePr>
        <w:numFmt w:val="decimal"/>
      </w:endnotePr>
      <w:pgSz w:w="12240" w:h="15840"/>
      <w:pgMar w:top="1440" w:right="1800" w:bottom="1440" w:left="180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0073" w14:textId="77777777" w:rsidR="00842A44" w:rsidRDefault="00842A44">
      <w:r>
        <w:separator/>
      </w:r>
    </w:p>
  </w:endnote>
  <w:endnote w:type="continuationSeparator" w:id="0">
    <w:p w14:paraId="0D27EB24" w14:textId="77777777" w:rsidR="00842A44" w:rsidRDefault="0084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NODMN+Arial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FE2E" w14:textId="77777777" w:rsidR="00FD00AA" w:rsidRDefault="00FD00AA">
    <w:pPr>
      <w:spacing w:line="240" w:lineRule="exact"/>
    </w:pPr>
  </w:p>
  <w:p w14:paraId="0C6BEB87" w14:textId="02944718" w:rsidR="00FD00AA" w:rsidRDefault="00FD00AA">
    <w:pPr>
      <w:framePr w:w="9361"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37365C">
      <w:rPr>
        <w:noProof/>
        <w:sz w:val="20"/>
      </w:rPr>
      <w:t>4</w:t>
    </w:r>
    <w:r>
      <w:rPr>
        <w:sz w:val="20"/>
      </w:rPr>
      <w:fldChar w:fldCharType="end"/>
    </w:r>
  </w:p>
  <w:p w14:paraId="23375217" w14:textId="77777777" w:rsidR="00FD00AA" w:rsidRDefault="00FD00AA">
    <w:pPr>
      <w:rPr>
        <w:sz w:val="20"/>
      </w:rPr>
    </w:pPr>
  </w:p>
  <w:p w14:paraId="1C55111A" w14:textId="77777777" w:rsidR="00FD00AA" w:rsidRDefault="00FD00AA"/>
  <w:p w14:paraId="067DD6A2" w14:textId="77777777" w:rsidR="00FD00AA" w:rsidRDefault="00FD00AA"/>
  <w:p w14:paraId="249FC392" w14:textId="77777777" w:rsidR="00FD00AA" w:rsidRDefault="00FD00AA"/>
  <w:p w14:paraId="201E6CCA" w14:textId="77777777" w:rsidR="00FD00AA" w:rsidRDefault="00FD00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D048" w14:textId="77777777" w:rsidR="00842A44" w:rsidRDefault="00842A44">
      <w:r>
        <w:separator/>
      </w:r>
    </w:p>
  </w:footnote>
  <w:footnote w:type="continuationSeparator" w:id="0">
    <w:p w14:paraId="556FC844" w14:textId="77777777" w:rsidR="00842A44" w:rsidRDefault="0084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FEBB" w14:textId="77777777" w:rsidR="00FD00AA" w:rsidRDefault="00FD00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FFFFFF89"/>
    <w:multiLevelType w:val="singleLevel"/>
    <w:tmpl w:val="8C8A1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0"/>
    <w:lvl w:ilvl="0">
      <w:start w:val="1"/>
      <w:numFmt w:val="upperLetter"/>
      <w:pStyle w:val="Level1"/>
      <w:lvlText w:val="%1."/>
      <w:lvlJc w:val="left"/>
      <w:pPr>
        <w:tabs>
          <w:tab w:val="num" w:pos="703"/>
        </w:tabs>
        <w:ind w:left="703" w:hanging="703"/>
      </w:pPr>
      <w:rPr>
        <w:rFonts w:ascii="Times New Roman" w:hAnsi="Times New Roman" w:cs="Times New Roman"/>
        <w:b/>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15:restartNumberingAfterBreak="0">
    <w:nsid w:val="05FE142C"/>
    <w:multiLevelType w:val="hybridMultilevel"/>
    <w:tmpl w:val="7D9A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C14B9"/>
    <w:multiLevelType w:val="hybridMultilevel"/>
    <w:tmpl w:val="1FCC4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DD25ED"/>
    <w:multiLevelType w:val="hybridMultilevel"/>
    <w:tmpl w:val="F8B4C8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A5F1A5F"/>
    <w:multiLevelType w:val="hybridMultilevel"/>
    <w:tmpl w:val="C56EB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213C5"/>
    <w:multiLevelType w:val="hybridMultilevel"/>
    <w:tmpl w:val="55FE790C"/>
    <w:lvl w:ilvl="0" w:tplc="BD0600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5A21F2"/>
    <w:multiLevelType w:val="hybridMultilevel"/>
    <w:tmpl w:val="DBF844CE"/>
    <w:lvl w:ilvl="0" w:tplc="DF9C04E6">
      <w:start w:val="1"/>
      <w:numFmt w:val="bullet"/>
      <w:lvlText w:val=""/>
      <w:lvlJc w:val="left"/>
      <w:pPr>
        <w:ind w:left="280" w:hanging="215"/>
      </w:pPr>
      <w:rPr>
        <w:rFonts w:ascii="Symbol" w:eastAsia="Symbol" w:hAnsi="Symbol" w:hint="default"/>
        <w:w w:val="55"/>
        <w:sz w:val="24"/>
        <w:szCs w:val="24"/>
      </w:rPr>
    </w:lvl>
    <w:lvl w:ilvl="1" w:tplc="50CE5162">
      <w:start w:val="1"/>
      <w:numFmt w:val="bullet"/>
      <w:lvlText w:val="•"/>
      <w:lvlJc w:val="left"/>
      <w:pPr>
        <w:ind w:left="297" w:hanging="215"/>
      </w:pPr>
      <w:rPr>
        <w:rFonts w:hint="default"/>
      </w:rPr>
    </w:lvl>
    <w:lvl w:ilvl="2" w:tplc="B128CF8A">
      <w:start w:val="1"/>
      <w:numFmt w:val="bullet"/>
      <w:lvlText w:val="•"/>
      <w:lvlJc w:val="left"/>
      <w:pPr>
        <w:ind w:left="315" w:hanging="215"/>
      </w:pPr>
      <w:rPr>
        <w:rFonts w:hint="default"/>
      </w:rPr>
    </w:lvl>
    <w:lvl w:ilvl="3" w:tplc="60423AE4">
      <w:start w:val="1"/>
      <w:numFmt w:val="bullet"/>
      <w:lvlText w:val="•"/>
      <w:lvlJc w:val="left"/>
      <w:pPr>
        <w:ind w:left="332" w:hanging="215"/>
      </w:pPr>
      <w:rPr>
        <w:rFonts w:hint="default"/>
      </w:rPr>
    </w:lvl>
    <w:lvl w:ilvl="4" w:tplc="91BC741A">
      <w:start w:val="1"/>
      <w:numFmt w:val="bullet"/>
      <w:lvlText w:val="•"/>
      <w:lvlJc w:val="left"/>
      <w:pPr>
        <w:ind w:left="350" w:hanging="215"/>
      </w:pPr>
      <w:rPr>
        <w:rFonts w:hint="default"/>
      </w:rPr>
    </w:lvl>
    <w:lvl w:ilvl="5" w:tplc="6F568F7C">
      <w:start w:val="1"/>
      <w:numFmt w:val="bullet"/>
      <w:lvlText w:val="•"/>
      <w:lvlJc w:val="left"/>
      <w:pPr>
        <w:ind w:left="367" w:hanging="215"/>
      </w:pPr>
      <w:rPr>
        <w:rFonts w:hint="default"/>
      </w:rPr>
    </w:lvl>
    <w:lvl w:ilvl="6" w:tplc="33D29096">
      <w:start w:val="1"/>
      <w:numFmt w:val="bullet"/>
      <w:lvlText w:val="•"/>
      <w:lvlJc w:val="left"/>
      <w:pPr>
        <w:ind w:left="384" w:hanging="215"/>
      </w:pPr>
      <w:rPr>
        <w:rFonts w:hint="default"/>
      </w:rPr>
    </w:lvl>
    <w:lvl w:ilvl="7" w:tplc="4CEA2484">
      <w:start w:val="1"/>
      <w:numFmt w:val="bullet"/>
      <w:lvlText w:val="•"/>
      <w:lvlJc w:val="left"/>
      <w:pPr>
        <w:ind w:left="402" w:hanging="215"/>
      </w:pPr>
      <w:rPr>
        <w:rFonts w:hint="default"/>
      </w:rPr>
    </w:lvl>
    <w:lvl w:ilvl="8" w:tplc="602AB3AA">
      <w:start w:val="1"/>
      <w:numFmt w:val="bullet"/>
      <w:lvlText w:val="•"/>
      <w:lvlJc w:val="left"/>
      <w:pPr>
        <w:ind w:left="419" w:hanging="215"/>
      </w:pPr>
      <w:rPr>
        <w:rFonts w:hint="default"/>
      </w:rPr>
    </w:lvl>
  </w:abstractNum>
  <w:abstractNum w:abstractNumId="8" w15:restartNumberingAfterBreak="0">
    <w:nsid w:val="14F70115"/>
    <w:multiLevelType w:val="hybridMultilevel"/>
    <w:tmpl w:val="754AF5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84BF5"/>
    <w:multiLevelType w:val="hybridMultilevel"/>
    <w:tmpl w:val="0E80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043C3"/>
    <w:multiLevelType w:val="hybridMultilevel"/>
    <w:tmpl w:val="BDA632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A9F076C"/>
    <w:multiLevelType w:val="hybridMultilevel"/>
    <w:tmpl w:val="DF94C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DA23E8"/>
    <w:multiLevelType w:val="hybridMultilevel"/>
    <w:tmpl w:val="DDBC3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AE6CAA"/>
    <w:multiLevelType w:val="hybridMultilevel"/>
    <w:tmpl w:val="118C92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10D277F"/>
    <w:multiLevelType w:val="hybridMultilevel"/>
    <w:tmpl w:val="D23A76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DB0802"/>
    <w:multiLevelType w:val="hybridMultilevel"/>
    <w:tmpl w:val="B6567C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F76578"/>
    <w:multiLevelType w:val="hybridMultilevel"/>
    <w:tmpl w:val="11F4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E1A1B"/>
    <w:multiLevelType w:val="hybridMultilevel"/>
    <w:tmpl w:val="801C45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E776F"/>
    <w:multiLevelType w:val="hybridMultilevel"/>
    <w:tmpl w:val="5E64AB68"/>
    <w:lvl w:ilvl="0" w:tplc="A6A8E83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03208C"/>
    <w:multiLevelType w:val="hybridMultilevel"/>
    <w:tmpl w:val="C5723DC2"/>
    <w:lvl w:ilvl="0" w:tplc="CBD8A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A3D8E"/>
    <w:multiLevelType w:val="hybridMultilevel"/>
    <w:tmpl w:val="835000F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3D707C"/>
    <w:multiLevelType w:val="hybridMultilevel"/>
    <w:tmpl w:val="0706AB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E3D95"/>
    <w:multiLevelType w:val="hybridMultilevel"/>
    <w:tmpl w:val="7E9CBE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56074A1"/>
    <w:multiLevelType w:val="hybridMultilevel"/>
    <w:tmpl w:val="3926BAD0"/>
    <w:lvl w:ilvl="0" w:tplc="28022EEA">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78121D0"/>
    <w:multiLevelType w:val="hybridMultilevel"/>
    <w:tmpl w:val="44F4D31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5" w15:restartNumberingAfterBreak="0">
    <w:nsid w:val="3E101CAF"/>
    <w:multiLevelType w:val="hybridMultilevel"/>
    <w:tmpl w:val="2BF6E1D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48CE5127"/>
    <w:multiLevelType w:val="hybridMultilevel"/>
    <w:tmpl w:val="043E14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A235B27"/>
    <w:multiLevelType w:val="hybridMultilevel"/>
    <w:tmpl w:val="5CB01F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5E2E1C"/>
    <w:multiLevelType w:val="hybridMultilevel"/>
    <w:tmpl w:val="36FCD1CC"/>
    <w:lvl w:ilvl="0" w:tplc="130E5BD4">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4B985CFF"/>
    <w:multiLevelType w:val="hybridMultilevel"/>
    <w:tmpl w:val="F042D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213C1"/>
    <w:multiLevelType w:val="hybridMultilevel"/>
    <w:tmpl w:val="5F0247AA"/>
    <w:lvl w:ilvl="0" w:tplc="040A0001">
      <w:start w:val="1"/>
      <w:numFmt w:val="bullet"/>
      <w:lvlText w:val=""/>
      <w:lvlJc w:val="left"/>
      <w:pPr>
        <w:ind w:left="1068" w:hanging="360"/>
      </w:pPr>
      <w:rPr>
        <w:rFonts w:ascii="Symbol" w:hAnsi="Symbol"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15:restartNumberingAfterBreak="0">
    <w:nsid w:val="4DE16806"/>
    <w:multiLevelType w:val="hybridMultilevel"/>
    <w:tmpl w:val="16EA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07B57"/>
    <w:multiLevelType w:val="hybridMultilevel"/>
    <w:tmpl w:val="FCB68E22"/>
    <w:lvl w:ilvl="0" w:tplc="0C488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FC15C8"/>
    <w:multiLevelType w:val="hybridMultilevel"/>
    <w:tmpl w:val="7954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FC0061"/>
    <w:multiLevelType w:val="hybridMultilevel"/>
    <w:tmpl w:val="6608AAE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294399E"/>
    <w:multiLevelType w:val="hybridMultilevel"/>
    <w:tmpl w:val="8424C6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53BB6924"/>
    <w:multiLevelType w:val="hybridMultilevel"/>
    <w:tmpl w:val="16CA9BF0"/>
    <w:lvl w:ilvl="0" w:tplc="FB0811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A524697"/>
    <w:multiLevelType w:val="hybridMultilevel"/>
    <w:tmpl w:val="A3D804C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5CD359FC"/>
    <w:multiLevelType w:val="hybridMultilevel"/>
    <w:tmpl w:val="3A2027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07E0EF5"/>
    <w:multiLevelType w:val="hybridMultilevel"/>
    <w:tmpl w:val="FD9E1C4C"/>
    <w:lvl w:ilvl="0" w:tplc="0A6057E6">
      <w:start w:val="1"/>
      <w:numFmt w:val="decimal"/>
      <w:lvlText w:val="%1."/>
      <w:lvlJc w:val="left"/>
      <w:pPr>
        <w:ind w:left="480" w:hanging="360"/>
      </w:pPr>
      <w:rPr>
        <w:rFonts w:ascii="Times New Roman" w:eastAsia="Times New Roman" w:hAnsi="Times New Roman" w:hint="default"/>
        <w:sz w:val="24"/>
        <w:szCs w:val="24"/>
      </w:rPr>
    </w:lvl>
    <w:lvl w:ilvl="1" w:tplc="90B8511A">
      <w:start w:val="1"/>
      <w:numFmt w:val="bullet"/>
      <w:lvlText w:val="•"/>
      <w:lvlJc w:val="left"/>
      <w:pPr>
        <w:ind w:left="1396" w:hanging="360"/>
      </w:pPr>
      <w:rPr>
        <w:rFonts w:hint="default"/>
      </w:rPr>
    </w:lvl>
    <w:lvl w:ilvl="2" w:tplc="E9E0C066">
      <w:start w:val="1"/>
      <w:numFmt w:val="bullet"/>
      <w:lvlText w:val="•"/>
      <w:lvlJc w:val="left"/>
      <w:pPr>
        <w:ind w:left="2312" w:hanging="360"/>
      </w:pPr>
      <w:rPr>
        <w:rFonts w:hint="default"/>
      </w:rPr>
    </w:lvl>
    <w:lvl w:ilvl="3" w:tplc="B42A427E">
      <w:start w:val="1"/>
      <w:numFmt w:val="bullet"/>
      <w:lvlText w:val="•"/>
      <w:lvlJc w:val="left"/>
      <w:pPr>
        <w:ind w:left="3228" w:hanging="360"/>
      </w:pPr>
      <w:rPr>
        <w:rFonts w:hint="default"/>
      </w:rPr>
    </w:lvl>
    <w:lvl w:ilvl="4" w:tplc="27CE987C">
      <w:start w:val="1"/>
      <w:numFmt w:val="bullet"/>
      <w:lvlText w:val="•"/>
      <w:lvlJc w:val="left"/>
      <w:pPr>
        <w:ind w:left="4144" w:hanging="360"/>
      </w:pPr>
      <w:rPr>
        <w:rFonts w:hint="default"/>
      </w:rPr>
    </w:lvl>
    <w:lvl w:ilvl="5" w:tplc="7660C0FC">
      <w:start w:val="1"/>
      <w:numFmt w:val="bullet"/>
      <w:lvlText w:val="•"/>
      <w:lvlJc w:val="left"/>
      <w:pPr>
        <w:ind w:left="5060" w:hanging="360"/>
      </w:pPr>
      <w:rPr>
        <w:rFonts w:hint="default"/>
      </w:rPr>
    </w:lvl>
    <w:lvl w:ilvl="6" w:tplc="3F5E4C1A">
      <w:start w:val="1"/>
      <w:numFmt w:val="bullet"/>
      <w:lvlText w:val="•"/>
      <w:lvlJc w:val="left"/>
      <w:pPr>
        <w:ind w:left="5976" w:hanging="360"/>
      </w:pPr>
      <w:rPr>
        <w:rFonts w:hint="default"/>
      </w:rPr>
    </w:lvl>
    <w:lvl w:ilvl="7" w:tplc="0A3E4B0A">
      <w:start w:val="1"/>
      <w:numFmt w:val="bullet"/>
      <w:lvlText w:val="•"/>
      <w:lvlJc w:val="left"/>
      <w:pPr>
        <w:ind w:left="6892" w:hanging="360"/>
      </w:pPr>
      <w:rPr>
        <w:rFonts w:hint="default"/>
      </w:rPr>
    </w:lvl>
    <w:lvl w:ilvl="8" w:tplc="44C48B90">
      <w:start w:val="1"/>
      <w:numFmt w:val="bullet"/>
      <w:lvlText w:val="•"/>
      <w:lvlJc w:val="left"/>
      <w:pPr>
        <w:ind w:left="7808" w:hanging="360"/>
      </w:pPr>
      <w:rPr>
        <w:rFonts w:hint="default"/>
      </w:rPr>
    </w:lvl>
  </w:abstractNum>
  <w:abstractNum w:abstractNumId="40" w15:restartNumberingAfterBreak="0">
    <w:nsid w:val="634F1433"/>
    <w:multiLevelType w:val="hybridMultilevel"/>
    <w:tmpl w:val="58BCA98C"/>
    <w:lvl w:ilvl="0" w:tplc="04090001">
      <w:start w:val="1"/>
      <w:numFmt w:val="bullet"/>
      <w:lvlText w:val=""/>
      <w:lvlJc w:val="left"/>
      <w:pPr>
        <w:tabs>
          <w:tab w:val="num" w:pos="1080"/>
        </w:tabs>
        <w:ind w:left="1080" w:hanging="360"/>
      </w:pPr>
      <w:rPr>
        <w:rFonts w:ascii="Symbol" w:hAnsi="Symbol" w:hint="default"/>
      </w:rPr>
    </w:lvl>
    <w:lvl w:ilvl="1" w:tplc="04090017">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64FF5A6B"/>
    <w:multiLevelType w:val="hybridMultilevel"/>
    <w:tmpl w:val="F3546D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65F8377D"/>
    <w:multiLevelType w:val="hybridMultilevel"/>
    <w:tmpl w:val="9CEA2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A76321"/>
    <w:multiLevelType w:val="hybridMultilevel"/>
    <w:tmpl w:val="65C0F4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6D2856A6"/>
    <w:multiLevelType w:val="hybridMultilevel"/>
    <w:tmpl w:val="E214C1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0233CFD"/>
    <w:multiLevelType w:val="hybridMultilevel"/>
    <w:tmpl w:val="FB6E5D9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483DE6"/>
    <w:multiLevelType w:val="hybridMultilevel"/>
    <w:tmpl w:val="C0B092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4"/>
  </w:num>
  <w:num w:numId="3">
    <w:abstractNumId w:val="16"/>
  </w:num>
  <w:num w:numId="4">
    <w:abstractNumId w:val="0"/>
  </w:num>
  <w:num w:numId="5">
    <w:abstractNumId w:val="46"/>
  </w:num>
  <w:num w:numId="6">
    <w:abstractNumId w:val="35"/>
  </w:num>
  <w:num w:numId="7">
    <w:abstractNumId w:val="22"/>
  </w:num>
  <w:num w:numId="8">
    <w:abstractNumId w:val="30"/>
  </w:num>
  <w:num w:numId="9">
    <w:abstractNumId w:val="13"/>
  </w:num>
  <w:num w:numId="10">
    <w:abstractNumId w:val="4"/>
  </w:num>
  <w:num w:numId="11">
    <w:abstractNumId w:val="41"/>
  </w:num>
  <w:num w:numId="12">
    <w:abstractNumId w:val="10"/>
  </w:num>
  <w:num w:numId="13">
    <w:abstractNumId w:val="26"/>
  </w:num>
  <w:num w:numId="14">
    <w:abstractNumId w:val="24"/>
  </w:num>
  <w:num w:numId="15">
    <w:abstractNumId w:val="43"/>
  </w:num>
  <w:num w:numId="16">
    <w:abstractNumId w:val="44"/>
  </w:num>
  <w:num w:numId="17">
    <w:abstractNumId w:val="33"/>
  </w:num>
  <w:num w:numId="18">
    <w:abstractNumId w:val="23"/>
  </w:num>
  <w:num w:numId="19">
    <w:abstractNumId w:val="9"/>
  </w:num>
  <w:num w:numId="20">
    <w:abstractNumId w:val="40"/>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7"/>
  </w:num>
  <w:num w:numId="25">
    <w:abstractNumId w:val="38"/>
  </w:num>
  <w:num w:numId="26">
    <w:abstractNumId w:val="5"/>
  </w:num>
  <w:num w:numId="27">
    <w:abstractNumId w:val="29"/>
  </w:num>
  <w:num w:numId="28">
    <w:abstractNumId w:val="45"/>
  </w:num>
  <w:num w:numId="29">
    <w:abstractNumId w:val="21"/>
  </w:num>
  <w:num w:numId="30">
    <w:abstractNumId w:val="15"/>
  </w:num>
  <w:num w:numId="31">
    <w:abstractNumId w:val="17"/>
  </w:num>
  <w:num w:numId="32">
    <w:abstractNumId w:val="20"/>
  </w:num>
  <w:num w:numId="33">
    <w:abstractNumId w:val="18"/>
  </w:num>
  <w:num w:numId="34">
    <w:abstractNumId w:val="39"/>
  </w:num>
  <w:num w:numId="35">
    <w:abstractNumId w:val="31"/>
  </w:num>
  <w:num w:numId="36">
    <w:abstractNumId w:val="28"/>
  </w:num>
  <w:num w:numId="37">
    <w:abstractNumId w:val="32"/>
  </w:num>
  <w:num w:numId="38">
    <w:abstractNumId w:val="36"/>
  </w:num>
  <w:num w:numId="39">
    <w:abstractNumId w:val="27"/>
  </w:num>
  <w:num w:numId="40">
    <w:abstractNumId w:val="34"/>
  </w:num>
  <w:num w:numId="41">
    <w:abstractNumId w:val="12"/>
  </w:num>
  <w:num w:numId="42">
    <w:abstractNumId w:val="8"/>
  </w:num>
  <w:num w:numId="43">
    <w:abstractNumId w:val="42"/>
  </w:num>
  <w:num w:numId="44">
    <w:abstractNumId w:val="2"/>
  </w:num>
  <w:num w:numId="45">
    <w:abstractNumId w:val="3"/>
  </w:num>
  <w:num w:numId="46">
    <w:abstractNumId w:val="11"/>
  </w:num>
  <w:num w:numId="47">
    <w:abstractNumId w:val="6"/>
  </w:num>
  <w:num w:numId="48">
    <w:abstractNumId w:val="19"/>
  </w:num>
  <w:num w:numId="49">
    <w:abstractNumId w:val="25"/>
  </w:num>
  <w:num w:numId="50">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6E"/>
    <w:rsid w:val="0000016F"/>
    <w:rsid w:val="00002159"/>
    <w:rsid w:val="000038AF"/>
    <w:rsid w:val="000040C0"/>
    <w:rsid w:val="00004E5A"/>
    <w:rsid w:val="000056C0"/>
    <w:rsid w:val="00010878"/>
    <w:rsid w:val="00014579"/>
    <w:rsid w:val="00014FFD"/>
    <w:rsid w:val="00015B08"/>
    <w:rsid w:val="000209E0"/>
    <w:rsid w:val="00022769"/>
    <w:rsid w:val="00022B2C"/>
    <w:rsid w:val="00023D78"/>
    <w:rsid w:val="000250E5"/>
    <w:rsid w:val="000264B0"/>
    <w:rsid w:val="000275B4"/>
    <w:rsid w:val="00027CE4"/>
    <w:rsid w:val="000318DA"/>
    <w:rsid w:val="00032394"/>
    <w:rsid w:val="00033AE8"/>
    <w:rsid w:val="00034FE3"/>
    <w:rsid w:val="0004019F"/>
    <w:rsid w:val="000417BE"/>
    <w:rsid w:val="00041E73"/>
    <w:rsid w:val="00046CEB"/>
    <w:rsid w:val="00047BCF"/>
    <w:rsid w:val="0005436F"/>
    <w:rsid w:val="000552C0"/>
    <w:rsid w:val="0006117E"/>
    <w:rsid w:val="00066760"/>
    <w:rsid w:val="00073781"/>
    <w:rsid w:val="00074226"/>
    <w:rsid w:val="000758C5"/>
    <w:rsid w:val="00075A63"/>
    <w:rsid w:val="00076A5B"/>
    <w:rsid w:val="0007718C"/>
    <w:rsid w:val="000801C1"/>
    <w:rsid w:val="00080424"/>
    <w:rsid w:val="0008090B"/>
    <w:rsid w:val="0008111F"/>
    <w:rsid w:val="00083C93"/>
    <w:rsid w:val="000862BE"/>
    <w:rsid w:val="000867C4"/>
    <w:rsid w:val="0008765A"/>
    <w:rsid w:val="00087B50"/>
    <w:rsid w:val="0009030F"/>
    <w:rsid w:val="00090FC0"/>
    <w:rsid w:val="0009124E"/>
    <w:rsid w:val="000912D7"/>
    <w:rsid w:val="00091F4D"/>
    <w:rsid w:val="000938DE"/>
    <w:rsid w:val="00093EB0"/>
    <w:rsid w:val="000940D8"/>
    <w:rsid w:val="0009413B"/>
    <w:rsid w:val="00096383"/>
    <w:rsid w:val="000966A1"/>
    <w:rsid w:val="0009696C"/>
    <w:rsid w:val="000A4404"/>
    <w:rsid w:val="000A5F0F"/>
    <w:rsid w:val="000A7AB8"/>
    <w:rsid w:val="000A7F86"/>
    <w:rsid w:val="000B0BAA"/>
    <w:rsid w:val="000B1B4D"/>
    <w:rsid w:val="000B1CA9"/>
    <w:rsid w:val="000B4AF9"/>
    <w:rsid w:val="000B6B19"/>
    <w:rsid w:val="000B6BF5"/>
    <w:rsid w:val="000C1CAC"/>
    <w:rsid w:val="000C1CD4"/>
    <w:rsid w:val="000C1E76"/>
    <w:rsid w:val="000C3A52"/>
    <w:rsid w:val="000C6542"/>
    <w:rsid w:val="000C672E"/>
    <w:rsid w:val="000C7636"/>
    <w:rsid w:val="000C7EB0"/>
    <w:rsid w:val="000C7FCF"/>
    <w:rsid w:val="000D2705"/>
    <w:rsid w:val="000D2FD2"/>
    <w:rsid w:val="000D4B3B"/>
    <w:rsid w:val="000D59E9"/>
    <w:rsid w:val="000D5B97"/>
    <w:rsid w:val="000D7B56"/>
    <w:rsid w:val="000D7D62"/>
    <w:rsid w:val="000E1E95"/>
    <w:rsid w:val="000E28EF"/>
    <w:rsid w:val="000E2A44"/>
    <w:rsid w:val="000E4CC9"/>
    <w:rsid w:val="000E58E8"/>
    <w:rsid w:val="000E5DF9"/>
    <w:rsid w:val="000E751A"/>
    <w:rsid w:val="000E7981"/>
    <w:rsid w:val="000F35CB"/>
    <w:rsid w:val="000F5E68"/>
    <w:rsid w:val="000F794D"/>
    <w:rsid w:val="000F7C81"/>
    <w:rsid w:val="00103A79"/>
    <w:rsid w:val="00103D62"/>
    <w:rsid w:val="00104B02"/>
    <w:rsid w:val="00105352"/>
    <w:rsid w:val="001067B7"/>
    <w:rsid w:val="001071D2"/>
    <w:rsid w:val="0011097A"/>
    <w:rsid w:val="00110C93"/>
    <w:rsid w:val="0012032F"/>
    <w:rsid w:val="001216DE"/>
    <w:rsid w:val="001217E5"/>
    <w:rsid w:val="0012183B"/>
    <w:rsid w:val="001225C3"/>
    <w:rsid w:val="00124DFE"/>
    <w:rsid w:val="001252A2"/>
    <w:rsid w:val="00125703"/>
    <w:rsid w:val="001266AA"/>
    <w:rsid w:val="00126B7D"/>
    <w:rsid w:val="00131A3E"/>
    <w:rsid w:val="00133832"/>
    <w:rsid w:val="00133AE8"/>
    <w:rsid w:val="0013495D"/>
    <w:rsid w:val="0013584E"/>
    <w:rsid w:val="00136106"/>
    <w:rsid w:val="001376EC"/>
    <w:rsid w:val="00143C40"/>
    <w:rsid w:val="00150B8A"/>
    <w:rsid w:val="0015455C"/>
    <w:rsid w:val="00155091"/>
    <w:rsid w:val="001565A2"/>
    <w:rsid w:val="001565F9"/>
    <w:rsid w:val="001572B5"/>
    <w:rsid w:val="00157D27"/>
    <w:rsid w:val="00161117"/>
    <w:rsid w:val="001625D7"/>
    <w:rsid w:val="0016296F"/>
    <w:rsid w:val="00162A86"/>
    <w:rsid w:val="00162AE6"/>
    <w:rsid w:val="00162ECE"/>
    <w:rsid w:val="00163DB0"/>
    <w:rsid w:val="00163E6F"/>
    <w:rsid w:val="001647A4"/>
    <w:rsid w:val="001657CE"/>
    <w:rsid w:val="00167ACD"/>
    <w:rsid w:val="0017194D"/>
    <w:rsid w:val="00172176"/>
    <w:rsid w:val="00173361"/>
    <w:rsid w:val="0017360D"/>
    <w:rsid w:val="0017400A"/>
    <w:rsid w:val="001776E6"/>
    <w:rsid w:val="001824F5"/>
    <w:rsid w:val="00183BAB"/>
    <w:rsid w:val="00185ADE"/>
    <w:rsid w:val="00185FBA"/>
    <w:rsid w:val="0019097E"/>
    <w:rsid w:val="00190CCA"/>
    <w:rsid w:val="00190E94"/>
    <w:rsid w:val="00192A69"/>
    <w:rsid w:val="0019420D"/>
    <w:rsid w:val="001953B9"/>
    <w:rsid w:val="00195653"/>
    <w:rsid w:val="001960CB"/>
    <w:rsid w:val="001961FC"/>
    <w:rsid w:val="001978F4"/>
    <w:rsid w:val="001979F1"/>
    <w:rsid w:val="001A08A3"/>
    <w:rsid w:val="001A11C3"/>
    <w:rsid w:val="001A1978"/>
    <w:rsid w:val="001A44BC"/>
    <w:rsid w:val="001A7CBF"/>
    <w:rsid w:val="001B11C9"/>
    <w:rsid w:val="001B7A70"/>
    <w:rsid w:val="001B7DFC"/>
    <w:rsid w:val="001C0485"/>
    <w:rsid w:val="001C4136"/>
    <w:rsid w:val="001C633C"/>
    <w:rsid w:val="001D07BC"/>
    <w:rsid w:val="001D10D8"/>
    <w:rsid w:val="001D1C09"/>
    <w:rsid w:val="001D2107"/>
    <w:rsid w:val="001D2B83"/>
    <w:rsid w:val="001D34F6"/>
    <w:rsid w:val="001D4F5D"/>
    <w:rsid w:val="001D5AC3"/>
    <w:rsid w:val="001D73DB"/>
    <w:rsid w:val="001E1A6B"/>
    <w:rsid w:val="001E26C5"/>
    <w:rsid w:val="001E3909"/>
    <w:rsid w:val="001E67AC"/>
    <w:rsid w:val="001F0850"/>
    <w:rsid w:val="001F0D1B"/>
    <w:rsid w:val="001F2626"/>
    <w:rsid w:val="001F4DD8"/>
    <w:rsid w:val="001F67CB"/>
    <w:rsid w:val="001F6B23"/>
    <w:rsid w:val="00200C0D"/>
    <w:rsid w:val="002011E8"/>
    <w:rsid w:val="00202371"/>
    <w:rsid w:val="00203042"/>
    <w:rsid w:val="00204FE1"/>
    <w:rsid w:val="002053A5"/>
    <w:rsid w:val="0020726B"/>
    <w:rsid w:val="002078B0"/>
    <w:rsid w:val="00210491"/>
    <w:rsid w:val="00211D23"/>
    <w:rsid w:val="0021282B"/>
    <w:rsid w:val="002131D4"/>
    <w:rsid w:val="002148F7"/>
    <w:rsid w:val="00215FA9"/>
    <w:rsid w:val="00216B1F"/>
    <w:rsid w:val="002179F6"/>
    <w:rsid w:val="00223A9B"/>
    <w:rsid w:val="00223CB2"/>
    <w:rsid w:val="002248AD"/>
    <w:rsid w:val="002256A9"/>
    <w:rsid w:val="00231A2C"/>
    <w:rsid w:val="00231F50"/>
    <w:rsid w:val="002320D0"/>
    <w:rsid w:val="00232CE3"/>
    <w:rsid w:val="002402DD"/>
    <w:rsid w:val="00240859"/>
    <w:rsid w:val="00240C1F"/>
    <w:rsid w:val="0024188D"/>
    <w:rsid w:val="002421B8"/>
    <w:rsid w:val="0024510E"/>
    <w:rsid w:val="00247D7C"/>
    <w:rsid w:val="00250006"/>
    <w:rsid w:val="0025064F"/>
    <w:rsid w:val="00250C39"/>
    <w:rsid w:val="00252CE0"/>
    <w:rsid w:val="002531AA"/>
    <w:rsid w:val="0025552A"/>
    <w:rsid w:val="0025720A"/>
    <w:rsid w:val="00257E3D"/>
    <w:rsid w:val="00261CEF"/>
    <w:rsid w:val="00261E68"/>
    <w:rsid w:val="00265B4F"/>
    <w:rsid w:val="00266A73"/>
    <w:rsid w:val="00266B74"/>
    <w:rsid w:val="00272F4F"/>
    <w:rsid w:val="0027446D"/>
    <w:rsid w:val="00274C9B"/>
    <w:rsid w:val="00277648"/>
    <w:rsid w:val="0027799E"/>
    <w:rsid w:val="00280630"/>
    <w:rsid w:val="00282396"/>
    <w:rsid w:val="0028273B"/>
    <w:rsid w:val="00283B09"/>
    <w:rsid w:val="002856CE"/>
    <w:rsid w:val="0028637C"/>
    <w:rsid w:val="00291627"/>
    <w:rsid w:val="00291FDD"/>
    <w:rsid w:val="00292799"/>
    <w:rsid w:val="00292B6C"/>
    <w:rsid w:val="00293418"/>
    <w:rsid w:val="00294C71"/>
    <w:rsid w:val="0029609A"/>
    <w:rsid w:val="002970C9"/>
    <w:rsid w:val="002A0D71"/>
    <w:rsid w:val="002A3660"/>
    <w:rsid w:val="002A5172"/>
    <w:rsid w:val="002A6148"/>
    <w:rsid w:val="002A7EFB"/>
    <w:rsid w:val="002B0A34"/>
    <w:rsid w:val="002B1F20"/>
    <w:rsid w:val="002B2A5C"/>
    <w:rsid w:val="002B3BFF"/>
    <w:rsid w:val="002B4C7B"/>
    <w:rsid w:val="002B5237"/>
    <w:rsid w:val="002B5491"/>
    <w:rsid w:val="002B6DAF"/>
    <w:rsid w:val="002B74FB"/>
    <w:rsid w:val="002C11A5"/>
    <w:rsid w:val="002C1D9D"/>
    <w:rsid w:val="002C2039"/>
    <w:rsid w:val="002C4852"/>
    <w:rsid w:val="002C5852"/>
    <w:rsid w:val="002C6456"/>
    <w:rsid w:val="002C72FB"/>
    <w:rsid w:val="002C7371"/>
    <w:rsid w:val="002C7842"/>
    <w:rsid w:val="002D07E7"/>
    <w:rsid w:val="002D07EE"/>
    <w:rsid w:val="002D1E8E"/>
    <w:rsid w:val="002D4AE5"/>
    <w:rsid w:val="002D50BB"/>
    <w:rsid w:val="002D51B7"/>
    <w:rsid w:val="002D5C34"/>
    <w:rsid w:val="002E1428"/>
    <w:rsid w:val="002E162C"/>
    <w:rsid w:val="002E174A"/>
    <w:rsid w:val="002E1992"/>
    <w:rsid w:val="002E1EAC"/>
    <w:rsid w:val="002E3E81"/>
    <w:rsid w:val="002E6059"/>
    <w:rsid w:val="002E65C4"/>
    <w:rsid w:val="002E6FBE"/>
    <w:rsid w:val="002F1895"/>
    <w:rsid w:val="002F1E1D"/>
    <w:rsid w:val="002F2F49"/>
    <w:rsid w:val="002F4334"/>
    <w:rsid w:val="002F4976"/>
    <w:rsid w:val="002F5EA3"/>
    <w:rsid w:val="002F5F11"/>
    <w:rsid w:val="0030006B"/>
    <w:rsid w:val="00300611"/>
    <w:rsid w:val="00301356"/>
    <w:rsid w:val="00301AFA"/>
    <w:rsid w:val="00301C39"/>
    <w:rsid w:val="00303F22"/>
    <w:rsid w:val="00306714"/>
    <w:rsid w:val="00306AC1"/>
    <w:rsid w:val="003101C0"/>
    <w:rsid w:val="0031039A"/>
    <w:rsid w:val="00313D59"/>
    <w:rsid w:val="003145B0"/>
    <w:rsid w:val="00314BDB"/>
    <w:rsid w:val="003155BF"/>
    <w:rsid w:val="00316912"/>
    <w:rsid w:val="00316B53"/>
    <w:rsid w:val="00316F63"/>
    <w:rsid w:val="00320107"/>
    <w:rsid w:val="00320FEA"/>
    <w:rsid w:val="00322ADE"/>
    <w:rsid w:val="0032364A"/>
    <w:rsid w:val="003245DB"/>
    <w:rsid w:val="0032540B"/>
    <w:rsid w:val="00325691"/>
    <w:rsid w:val="00325BE8"/>
    <w:rsid w:val="00326780"/>
    <w:rsid w:val="0033108C"/>
    <w:rsid w:val="00331307"/>
    <w:rsid w:val="00332322"/>
    <w:rsid w:val="0033783F"/>
    <w:rsid w:val="00337D56"/>
    <w:rsid w:val="003414ED"/>
    <w:rsid w:val="0034206C"/>
    <w:rsid w:val="0034249A"/>
    <w:rsid w:val="003435ED"/>
    <w:rsid w:val="00344BE2"/>
    <w:rsid w:val="003464ED"/>
    <w:rsid w:val="00351016"/>
    <w:rsid w:val="00351DE5"/>
    <w:rsid w:val="00354281"/>
    <w:rsid w:val="00354294"/>
    <w:rsid w:val="00355DFF"/>
    <w:rsid w:val="003561CD"/>
    <w:rsid w:val="00356709"/>
    <w:rsid w:val="00357DCC"/>
    <w:rsid w:val="0036153E"/>
    <w:rsid w:val="003618F0"/>
    <w:rsid w:val="00362239"/>
    <w:rsid w:val="00362A5D"/>
    <w:rsid w:val="00363FF7"/>
    <w:rsid w:val="003643BD"/>
    <w:rsid w:val="0036580E"/>
    <w:rsid w:val="0036718A"/>
    <w:rsid w:val="003675DF"/>
    <w:rsid w:val="003676FF"/>
    <w:rsid w:val="00370A3C"/>
    <w:rsid w:val="0037365C"/>
    <w:rsid w:val="003745C0"/>
    <w:rsid w:val="00376F31"/>
    <w:rsid w:val="00380A8D"/>
    <w:rsid w:val="003823D5"/>
    <w:rsid w:val="00382BCF"/>
    <w:rsid w:val="00382FC1"/>
    <w:rsid w:val="00383762"/>
    <w:rsid w:val="00383E02"/>
    <w:rsid w:val="00384468"/>
    <w:rsid w:val="00384721"/>
    <w:rsid w:val="00385B58"/>
    <w:rsid w:val="00387A1D"/>
    <w:rsid w:val="00392134"/>
    <w:rsid w:val="0039239C"/>
    <w:rsid w:val="00392BDE"/>
    <w:rsid w:val="0039605F"/>
    <w:rsid w:val="00396426"/>
    <w:rsid w:val="003A0DFB"/>
    <w:rsid w:val="003A289F"/>
    <w:rsid w:val="003A35D1"/>
    <w:rsid w:val="003A46FD"/>
    <w:rsid w:val="003A4A96"/>
    <w:rsid w:val="003A625F"/>
    <w:rsid w:val="003A6EB1"/>
    <w:rsid w:val="003B0810"/>
    <w:rsid w:val="003B24ED"/>
    <w:rsid w:val="003B3074"/>
    <w:rsid w:val="003B5721"/>
    <w:rsid w:val="003B674C"/>
    <w:rsid w:val="003B68C8"/>
    <w:rsid w:val="003B74D8"/>
    <w:rsid w:val="003B7A5B"/>
    <w:rsid w:val="003C1BF0"/>
    <w:rsid w:val="003C2B14"/>
    <w:rsid w:val="003C378C"/>
    <w:rsid w:val="003C6BDD"/>
    <w:rsid w:val="003D1507"/>
    <w:rsid w:val="003D1624"/>
    <w:rsid w:val="003D2031"/>
    <w:rsid w:val="003D46C9"/>
    <w:rsid w:val="003D4C46"/>
    <w:rsid w:val="003D7EC5"/>
    <w:rsid w:val="003E0948"/>
    <w:rsid w:val="003E0F55"/>
    <w:rsid w:val="003E17A2"/>
    <w:rsid w:val="003E2E84"/>
    <w:rsid w:val="003E2ED8"/>
    <w:rsid w:val="003E4241"/>
    <w:rsid w:val="003E54CF"/>
    <w:rsid w:val="003E7732"/>
    <w:rsid w:val="003E7766"/>
    <w:rsid w:val="003E77F0"/>
    <w:rsid w:val="003E78B6"/>
    <w:rsid w:val="003F0E0B"/>
    <w:rsid w:val="003F1633"/>
    <w:rsid w:val="003F3A98"/>
    <w:rsid w:val="003F40AB"/>
    <w:rsid w:val="003F444D"/>
    <w:rsid w:val="003F6E4F"/>
    <w:rsid w:val="0040015C"/>
    <w:rsid w:val="00405F34"/>
    <w:rsid w:val="00406D58"/>
    <w:rsid w:val="004070C3"/>
    <w:rsid w:val="00410F32"/>
    <w:rsid w:val="00412836"/>
    <w:rsid w:val="00413D2B"/>
    <w:rsid w:val="00414051"/>
    <w:rsid w:val="00415176"/>
    <w:rsid w:val="00415C51"/>
    <w:rsid w:val="00416791"/>
    <w:rsid w:val="004170B0"/>
    <w:rsid w:val="00417B51"/>
    <w:rsid w:val="00421628"/>
    <w:rsid w:val="00422085"/>
    <w:rsid w:val="00422574"/>
    <w:rsid w:val="00422E3F"/>
    <w:rsid w:val="004272BB"/>
    <w:rsid w:val="004369A5"/>
    <w:rsid w:val="004448E3"/>
    <w:rsid w:val="00444B14"/>
    <w:rsid w:val="004476D2"/>
    <w:rsid w:val="0045043E"/>
    <w:rsid w:val="0045165C"/>
    <w:rsid w:val="004522C6"/>
    <w:rsid w:val="00452FF9"/>
    <w:rsid w:val="0045315E"/>
    <w:rsid w:val="004536C7"/>
    <w:rsid w:val="00453C5C"/>
    <w:rsid w:val="00453EB3"/>
    <w:rsid w:val="0045435A"/>
    <w:rsid w:val="00454C54"/>
    <w:rsid w:val="0045644D"/>
    <w:rsid w:val="00456D1E"/>
    <w:rsid w:val="00457651"/>
    <w:rsid w:val="0045769B"/>
    <w:rsid w:val="00460376"/>
    <w:rsid w:val="00462468"/>
    <w:rsid w:val="0046391F"/>
    <w:rsid w:val="00465718"/>
    <w:rsid w:val="00466192"/>
    <w:rsid w:val="004678EE"/>
    <w:rsid w:val="004707C2"/>
    <w:rsid w:val="00471C6E"/>
    <w:rsid w:val="00473299"/>
    <w:rsid w:val="004749F1"/>
    <w:rsid w:val="00474DBC"/>
    <w:rsid w:val="00475797"/>
    <w:rsid w:val="00476651"/>
    <w:rsid w:val="00476AAF"/>
    <w:rsid w:val="004777CD"/>
    <w:rsid w:val="00477AA2"/>
    <w:rsid w:val="00477C63"/>
    <w:rsid w:val="00480C3C"/>
    <w:rsid w:val="0048137F"/>
    <w:rsid w:val="00481908"/>
    <w:rsid w:val="00481945"/>
    <w:rsid w:val="0048274F"/>
    <w:rsid w:val="00482A45"/>
    <w:rsid w:val="00485539"/>
    <w:rsid w:val="00486D3C"/>
    <w:rsid w:val="00487AAE"/>
    <w:rsid w:val="004902B1"/>
    <w:rsid w:val="0049113C"/>
    <w:rsid w:val="00491481"/>
    <w:rsid w:val="00493550"/>
    <w:rsid w:val="00494EC2"/>
    <w:rsid w:val="00495FF4"/>
    <w:rsid w:val="0049703C"/>
    <w:rsid w:val="0049784F"/>
    <w:rsid w:val="004A030E"/>
    <w:rsid w:val="004A0FAF"/>
    <w:rsid w:val="004A1438"/>
    <w:rsid w:val="004A1C5B"/>
    <w:rsid w:val="004A355A"/>
    <w:rsid w:val="004A43E7"/>
    <w:rsid w:val="004A4CEE"/>
    <w:rsid w:val="004A56E5"/>
    <w:rsid w:val="004B151F"/>
    <w:rsid w:val="004B1874"/>
    <w:rsid w:val="004B208E"/>
    <w:rsid w:val="004B56E2"/>
    <w:rsid w:val="004B739F"/>
    <w:rsid w:val="004C13EA"/>
    <w:rsid w:val="004C1589"/>
    <w:rsid w:val="004C220F"/>
    <w:rsid w:val="004C7584"/>
    <w:rsid w:val="004C7605"/>
    <w:rsid w:val="004D3397"/>
    <w:rsid w:val="004D4506"/>
    <w:rsid w:val="004D58D9"/>
    <w:rsid w:val="004D7638"/>
    <w:rsid w:val="004E06A3"/>
    <w:rsid w:val="004E110A"/>
    <w:rsid w:val="004E2123"/>
    <w:rsid w:val="004E26FA"/>
    <w:rsid w:val="004E4A13"/>
    <w:rsid w:val="004E4CF6"/>
    <w:rsid w:val="004E59D2"/>
    <w:rsid w:val="004E67FA"/>
    <w:rsid w:val="004E6DCA"/>
    <w:rsid w:val="004E7E8B"/>
    <w:rsid w:val="004F0A30"/>
    <w:rsid w:val="004F0E1D"/>
    <w:rsid w:val="004F0EE2"/>
    <w:rsid w:val="004F2EBE"/>
    <w:rsid w:val="004F4460"/>
    <w:rsid w:val="004F463D"/>
    <w:rsid w:val="004F626F"/>
    <w:rsid w:val="004F6C9F"/>
    <w:rsid w:val="004F73F1"/>
    <w:rsid w:val="004F7EEB"/>
    <w:rsid w:val="005000B7"/>
    <w:rsid w:val="00500315"/>
    <w:rsid w:val="005006CB"/>
    <w:rsid w:val="00500D19"/>
    <w:rsid w:val="00501E07"/>
    <w:rsid w:val="005037CD"/>
    <w:rsid w:val="00504CCE"/>
    <w:rsid w:val="00505985"/>
    <w:rsid w:val="005070BE"/>
    <w:rsid w:val="00510AF0"/>
    <w:rsid w:val="005136DF"/>
    <w:rsid w:val="00514556"/>
    <w:rsid w:val="005148EF"/>
    <w:rsid w:val="00514BDE"/>
    <w:rsid w:val="00514D8D"/>
    <w:rsid w:val="005202EB"/>
    <w:rsid w:val="00521DF6"/>
    <w:rsid w:val="00522A9C"/>
    <w:rsid w:val="00522D96"/>
    <w:rsid w:val="0052398B"/>
    <w:rsid w:val="0052569D"/>
    <w:rsid w:val="00527FDC"/>
    <w:rsid w:val="00531A80"/>
    <w:rsid w:val="005328B8"/>
    <w:rsid w:val="005338B1"/>
    <w:rsid w:val="00533A8C"/>
    <w:rsid w:val="00533FA8"/>
    <w:rsid w:val="00534C9A"/>
    <w:rsid w:val="00536EB8"/>
    <w:rsid w:val="00537A82"/>
    <w:rsid w:val="00540836"/>
    <w:rsid w:val="00540EAB"/>
    <w:rsid w:val="005423FF"/>
    <w:rsid w:val="00542EF9"/>
    <w:rsid w:val="00543531"/>
    <w:rsid w:val="0054384C"/>
    <w:rsid w:val="00546A19"/>
    <w:rsid w:val="00546BC8"/>
    <w:rsid w:val="005470EE"/>
    <w:rsid w:val="00547848"/>
    <w:rsid w:val="00550BD8"/>
    <w:rsid w:val="00554033"/>
    <w:rsid w:val="00556403"/>
    <w:rsid w:val="00556631"/>
    <w:rsid w:val="00560750"/>
    <w:rsid w:val="00561792"/>
    <w:rsid w:val="00563079"/>
    <w:rsid w:val="00563707"/>
    <w:rsid w:val="00565ECA"/>
    <w:rsid w:val="00567E83"/>
    <w:rsid w:val="0057052F"/>
    <w:rsid w:val="00570A4F"/>
    <w:rsid w:val="00570F83"/>
    <w:rsid w:val="00576805"/>
    <w:rsid w:val="005772D3"/>
    <w:rsid w:val="00581895"/>
    <w:rsid w:val="005827F1"/>
    <w:rsid w:val="00584B8E"/>
    <w:rsid w:val="005853A6"/>
    <w:rsid w:val="00586627"/>
    <w:rsid w:val="005869AB"/>
    <w:rsid w:val="00587AC1"/>
    <w:rsid w:val="00592684"/>
    <w:rsid w:val="00592EC1"/>
    <w:rsid w:val="0059308E"/>
    <w:rsid w:val="005930C6"/>
    <w:rsid w:val="00594BC5"/>
    <w:rsid w:val="00595777"/>
    <w:rsid w:val="005A2973"/>
    <w:rsid w:val="005A5590"/>
    <w:rsid w:val="005A64A4"/>
    <w:rsid w:val="005A7043"/>
    <w:rsid w:val="005A7F3F"/>
    <w:rsid w:val="005B37C0"/>
    <w:rsid w:val="005B4CF0"/>
    <w:rsid w:val="005B4D72"/>
    <w:rsid w:val="005B56E1"/>
    <w:rsid w:val="005B5BE9"/>
    <w:rsid w:val="005B760C"/>
    <w:rsid w:val="005C03B9"/>
    <w:rsid w:val="005C099D"/>
    <w:rsid w:val="005C34A8"/>
    <w:rsid w:val="005C5623"/>
    <w:rsid w:val="005C7F7C"/>
    <w:rsid w:val="005D0A46"/>
    <w:rsid w:val="005D2854"/>
    <w:rsid w:val="005D2BA2"/>
    <w:rsid w:val="005D2BFA"/>
    <w:rsid w:val="005D3AA0"/>
    <w:rsid w:val="005D7C87"/>
    <w:rsid w:val="005D7FBA"/>
    <w:rsid w:val="005E0D72"/>
    <w:rsid w:val="005E161C"/>
    <w:rsid w:val="005E178D"/>
    <w:rsid w:val="005E2656"/>
    <w:rsid w:val="005E4E36"/>
    <w:rsid w:val="005F0122"/>
    <w:rsid w:val="005F2CD6"/>
    <w:rsid w:val="005F597F"/>
    <w:rsid w:val="005F5E26"/>
    <w:rsid w:val="005F7427"/>
    <w:rsid w:val="005F798D"/>
    <w:rsid w:val="00601A00"/>
    <w:rsid w:val="00603A2D"/>
    <w:rsid w:val="00610178"/>
    <w:rsid w:val="00610B98"/>
    <w:rsid w:val="00610B9A"/>
    <w:rsid w:val="00610EA4"/>
    <w:rsid w:val="00612FBC"/>
    <w:rsid w:val="00614767"/>
    <w:rsid w:val="0061511D"/>
    <w:rsid w:val="00617033"/>
    <w:rsid w:val="00620404"/>
    <w:rsid w:val="006221FF"/>
    <w:rsid w:val="006225CF"/>
    <w:rsid w:val="006253D0"/>
    <w:rsid w:val="006266DD"/>
    <w:rsid w:val="00627976"/>
    <w:rsid w:val="006303D4"/>
    <w:rsid w:val="00633FC2"/>
    <w:rsid w:val="00634380"/>
    <w:rsid w:val="00634B14"/>
    <w:rsid w:val="00634DCC"/>
    <w:rsid w:val="006359DC"/>
    <w:rsid w:val="00636190"/>
    <w:rsid w:val="006369CE"/>
    <w:rsid w:val="006376C6"/>
    <w:rsid w:val="00642B2D"/>
    <w:rsid w:val="00642DA8"/>
    <w:rsid w:val="00647865"/>
    <w:rsid w:val="00650AF8"/>
    <w:rsid w:val="00650DA1"/>
    <w:rsid w:val="00651708"/>
    <w:rsid w:val="006521D4"/>
    <w:rsid w:val="00654B2C"/>
    <w:rsid w:val="00655ADC"/>
    <w:rsid w:val="006574A9"/>
    <w:rsid w:val="00665018"/>
    <w:rsid w:val="00671C42"/>
    <w:rsid w:val="006721D9"/>
    <w:rsid w:val="006722F3"/>
    <w:rsid w:val="00672F19"/>
    <w:rsid w:val="00672FEC"/>
    <w:rsid w:val="006744B0"/>
    <w:rsid w:val="00674969"/>
    <w:rsid w:val="0067582D"/>
    <w:rsid w:val="006767A3"/>
    <w:rsid w:val="00676EFF"/>
    <w:rsid w:val="006805F6"/>
    <w:rsid w:val="00681EFC"/>
    <w:rsid w:val="0068223D"/>
    <w:rsid w:val="0068258A"/>
    <w:rsid w:val="00682C38"/>
    <w:rsid w:val="00682CE4"/>
    <w:rsid w:val="00683DEB"/>
    <w:rsid w:val="00686248"/>
    <w:rsid w:val="006868BE"/>
    <w:rsid w:val="00697336"/>
    <w:rsid w:val="006A03B8"/>
    <w:rsid w:val="006A079C"/>
    <w:rsid w:val="006A0E83"/>
    <w:rsid w:val="006A17C9"/>
    <w:rsid w:val="006A232E"/>
    <w:rsid w:val="006A27D6"/>
    <w:rsid w:val="006A2943"/>
    <w:rsid w:val="006A319F"/>
    <w:rsid w:val="006A372C"/>
    <w:rsid w:val="006A4189"/>
    <w:rsid w:val="006A56CE"/>
    <w:rsid w:val="006B260A"/>
    <w:rsid w:val="006B5A43"/>
    <w:rsid w:val="006B60EF"/>
    <w:rsid w:val="006B6107"/>
    <w:rsid w:val="006B622F"/>
    <w:rsid w:val="006B7293"/>
    <w:rsid w:val="006B79FB"/>
    <w:rsid w:val="006C150A"/>
    <w:rsid w:val="006C3D02"/>
    <w:rsid w:val="006C5DC2"/>
    <w:rsid w:val="006C6C7D"/>
    <w:rsid w:val="006D11F9"/>
    <w:rsid w:val="006D2B4D"/>
    <w:rsid w:val="006D31C3"/>
    <w:rsid w:val="006D395F"/>
    <w:rsid w:val="006D47FF"/>
    <w:rsid w:val="006D4DE1"/>
    <w:rsid w:val="006D558A"/>
    <w:rsid w:val="006D6A0E"/>
    <w:rsid w:val="006E0853"/>
    <w:rsid w:val="006E0B28"/>
    <w:rsid w:val="006E3F16"/>
    <w:rsid w:val="006E3F79"/>
    <w:rsid w:val="006E4151"/>
    <w:rsid w:val="006E4622"/>
    <w:rsid w:val="006E6F75"/>
    <w:rsid w:val="006F01D5"/>
    <w:rsid w:val="006F12E7"/>
    <w:rsid w:val="006F1939"/>
    <w:rsid w:val="006F296D"/>
    <w:rsid w:val="006F37C1"/>
    <w:rsid w:val="006F4A76"/>
    <w:rsid w:val="006F5E2C"/>
    <w:rsid w:val="006F6A5D"/>
    <w:rsid w:val="006F6F34"/>
    <w:rsid w:val="006F7179"/>
    <w:rsid w:val="006F7196"/>
    <w:rsid w:val="006F77F9"/>
    <w:rsid w:val="00703685"/>
    <w:rsid w:val="007047CC"/>
    <w:rsid w:val="00710A97"/>
    <w:rsid w:val="00711DED"/>
    <w:rsid w:val="0071223F"/>
    <w:rsid w:val="00712FF7"/>
    <w:rsid w:val="007151FC"/>
    <w:rsid w:val="00717732"/>
    <w:rsid w:val="00722969"/>
    <w:rsid w:val="00724F35"/>
    <w:rsid w:val="007305A2"/>
    <w:rsid w:val="007311D5"/>
    <w:rsid w:val="0073324F"/>
    <w:rsid w:val="00733F43"/>
    <w:rsid w:val="00736027"/>
    <w:rsid w:val="0073664C"/>
    <w:rsid w:val="00736A9F"/>
    <w:rsid w:val="007378E4"/>
    <w:rsid w:val="00741299"/>
    <w:rsid w:val="00745651"/>
    <w:rsid w:val="00745A86"/>
    <w:rsid w:val="00745B80"/>
    <w:rsid w:val="00745BAA"/>
    <w:rsid w:val="00747E9A"/>
    <w:rsid w:val="007511A4"/>
    <w:rsid w:val="00754918"/>
    <w:rsid w:val="0075492E"/>
    <w:rsid w:val="007563F2"/>
    <w:rsid w:val="007613AE"/>
    <w:rsid w:val="00761C2A"/>
    <w:rsid w:val="0076212E"/>
    <w:rsid w:val="007623F7"/>
    <w:rsid w:val="00762F19"/>
    <w:rsid w:val="00763A17"/>
    <w:rsid w:val="00764087"/>
    <w:rsid w:val="007651C0"/>
    <w:rsid w:val="00765EEB"/>
    <w:rsid w:val="0076605A"/>
    <w:rsid w:val="007662DF"/>
    <w:rsid w:val="00766F53"/>
    <w:rsid w:val="00767A62"/>
    <w:rsid w:val="0077309A"/>
    <w:rsid w:val="00773E71"/>
    <w:rsid w:val="00773F0D"/>
    <w:rsid w:val="00777044"/>
    <w:rsid w:val="00777499"/>
    <w:rsid w:val="0078105F"/>
    <w:rsid w:val="0078139B"/>
    <w:rsid w:val="007820E4"/>
    <w:rsid w:val="00782C71"/>
    <w:rsid w:val="007845A3"/>
    <w:rsid w:val="0078532C"/>
    <w:rsid w:val="00785545"/>
    <w:rsid w:val="007857C3"/>
    <w:rsid w:val="00785FF9"/>
    <w:rsid w:val="0078777E"/>
    <w:rsid w:val="0079180C"/>
    <w:rsid w:val="00792694"/>
    <w:rsid w:val="007926E2"/>
    <w:rsid w:val="007948B1"/>
    <w:rsid w:val="00794F81"/>
    <w:rsid w:val="007958B4"/>
    <w:rsid w:val="007965F2"/>
    <w:rsid w:val="0079719E"/>
    <w:rsid w:val="0079797F"/>
    <w:rsid w:val="007A08D7"/>
    <w:rsid w:val="007A0E6A"/>
    <w:rsid w:val="007A20C4"/>
    <w:rsid w:val="007A2132"/>
    <w:rsid w:val="007A2626"/>
    <w:rsid w:val="007A33D3"/>
    <w:rsid w:val="007A4AE6"/>
    <w:rsid w:val="007A4B9B"/>
    <w:rsid w:val="007A7019"/>
    <w:rsid w:val="007B0A56"/>
    <w:rsid w:val="007B2059"/>
    <w:rsid w:val="007B2C08"/>
    <w:rsid w:val="007B3BD8"/>
    <w:rsid w:val="007B608E"/>
    <w:rsid w:val="007C14EE"/>
    <w:rsid w:val="007C3C50"/>
    <w:rsid w:val="007C4185"/>
    <w:rsid w:val="007C4803"/>
    <w:rsid w:val="007C6360"/>
    <w:rsid w:val="007C74DF"/>
    <w:rsid w:val="007C7D81"/>
    <w:rsid w:val="007D0E8B"/>
    <w:rsid w:val="007D1EFE"/>
    <w:rsid w:val="007D2B95"/>
    <w:rsid w:val="007D5C26"/>
    <w:rsid w:val="007D619F"/>
    <w:rsid w:val="007D6DB8"/>
    <w:rsid w:val="007E02DD"/>
    <w:rsid w:val="007E16F0"/>
    <w:rsid w:val="007E1F11"/>
    <w:rsid w:val="007E33A6"/>
    <w:rsid w:val="007E45BC"/>
    <w:rsid w:val="007E4D4F"/>
    <w:rsid w:val="007E6662"/>
    <w:rsid w:val="007E7B7F"/>
    <w:rsid w:val="007E7C44"/>
    <w:rsid w:val="007F05EE"/>
    <w:rsid w:val="007F0601"/>
    <w:rsid w:val="007F0F29"/>
    <w:rsid w:val="007F199E"/>
    <w:rsid w:val="007F1A29"/>
    <w:rsid w:val="007F2C60"/>
    <w:rsid w:val="007F5BB4"/>
    <w:rsid w:val="007F5D72"/>
    <w:rsid w:val="0080050F"/>
    <w:rsid w:val="00800623"/>
    <w:rsid w:val="0080063A"/>
    <w:rsid w:val="00802179"/>
    <w:rsid w:val="00802674"/>
    <w:rsid w:val="00803EAE"/>
    <w:rsid w:val="008054B1"/>
    <w:rsid w:val="008071C5"/>
    <w:rsid w:val="008104FF"/>
    <w:rsid w:val="00811B27"/>
    <w:rsid w:val="00813B10"/>
    <w:rsid w:val="00813C3C"/>
    <w:rsid w:val="0082282B"/>
    <w:rsid w:val="00822F13"/>
    <w:rsid w:val="00823A9A"/>
    <w:rsid w:val="00823EF5"/>
    <w:rsid w:val="00826558"/>
    <w:rsid w:val="00826DD6"/>
    <w:rsid w:val="00827710"/>
    <w:rsid w:val="00827C97"/>
    <w:rsid w:val="00831556"/>
    <w:rsid w:val="00832342"/>
    <w:rsid w:val="00832A80"/>
    <w:rsid w:val="00833013"/>
    <w:rsid w:val="008363FC"/>
    <w:rsid w:val="00836D43"/>
    <w:rsid w:val="00840791"/>
    <w:rsid w:val="00840BA5"/>
    <w:rsid w:val="00840DC3"/>
    <w:rsid w:val="008410A1"/>
    <w:rsid w:val="008428FA"/>
    <w:rsid w:val="00842A44"/>
    <w:rsid w:val="00842CDA"/>
    <w:rsid w:val="00842F9F"/>
    <w:rsid w:val="0084351A"/>
    <w:rsid w:val="00844D2B"/>
    <w:rsid w:val="00846163"/>
    <w:rsid w:val="008479C5"/>
    <w:rsid w:val="00847F02"/>
    <w:rsid w:val="00847FCD"/>
    <w:rsid w:val="0085282D"/>
    <w:rsid w:val="00852C79"/>
    <w:rsid w:val="008538BE"/>
    <w:rsid w:val="00854AA5"/>
    <w:rsid w:val="00854F50"/>
    <w:rsid w:val="00856F6B"/>
    <w:rsid w:val="008570BB"/>
    <w:rsid w:val="00857EAC"/>
    <w:rsid w:val="008605F6"/>
    <w:rsid w:val="008622A4"/>
    <w:rsid w:val="008624E7"/>
    <w:rsid w:val="00863097"/>
    <w:rsid w:val="00863680"/>
    <w:rsid w:val="00864BB0"/>
    <w:rsid w:val="00865121"/>
    <w:rsid w:val="00865BA4"/>
    <w:rsid w:val="00866516"/>
    <w:rsid w:val="008708D9"/>
    <w:rsid w:val="00870A98"/>
    <w:rsid w:val="008711AC"/>
    <w:rsid w:val="00871BC2"/>
    <w:rsid w:val="00874BD7"/>
    <w:rsid w:val="008766C4"/>
    <w:rsid w:val="00880B85"/>
    <w:rsid w:val="008814DF"/>
    <w:rsid w:val="00881B72"/>
    <w:rsid w:val="00881EEB"/>
    <w:rsid w:val="0088296F"/>
    <w:rsid w:val="008835EB"/>
    <w:rsid w:val="00884165"/>
    <w:rsid w:val="00884462"/>
    <w:rsid w:val="00890601"/>
    <w:rsid w:val="00891307"/>
    <w:rsid w:val="00891F15"/>
    <w:rsid w:val="00892DD8"/>
    <w:rsid w:val="008940DC"/>
    <w:rsid w:val="00895729"/>
    <w:rsid w:val="00897FDC"/>
    <w:rsid w:val="008A08F8"/>
    <w:rsid w:val="008A2E97"/>
    <w:rsid w:val="008A3302"/>
    <w:rsid w:val="008A4C16"/>
    <w:rsid w:val="008A4E36"/>
    <w:rsid w:val="008A62CA"/>
    <w:rsid w:val="008A6BAC"/>
    <w:rsid w:val="008A6F32"/>
    <w:rsid w:val="008A7527"/>
    <w:rsid w:val="008A7C22"/>
    <w:rsid w:val="008B0757"/>
    <w:rsid w:val="008B1B8B"/>
    <w:rsid w:val="008B22F4"/>
    <w:rsid w:val="008B378F"/>
    <w:rsid w:val="008B46BF"/>
    <w:rsid w:val="008B4E90"/>
    <w:rsid w:val="008B53B3"/>
    <w:rsid w:val="008B6461"/>
    <w:rsid w:val="008B65F4"/>
    <w:rsid w:val="008C0BBE"/>
    <w:rsid w:val="008C1E72"/>
    <w:rsid w:val="008C35A4"/>
    <w:rsid w:val="008C36B1"/>
    <w:rsid w:val="008C38B9"/>
    <w:rsid w:val="008C3E70"/>
    <w:rsid w:val="008C3E9D"/>
    <w:rsid w:val="008C51E5"/>
    <w:rsid w:val="008C5AB1"/>
    <w:rsid w:val="008C702C"/>
    <w:rsid w:val="008D2C90"/>
    <w:rsid w:val="008D39E1"/>
    <w:rsid w:val="008D42B6"/>
    <w:rsid w:val="008E19B5"/>
    <w:rsid w:val="008E1BE6"/>
    <w:rsid w:val="008E26D9"/>
    <w:rsid w:val="008E5C53"/>
    <w:rsid w:val="008E7C83"/>
    <w:rsid w:val="008F1885"/>
    <w:rsid w:val="008F442B"/>
    <w:rsid w:val="008F471B"/>
    <w:rsid w:val="008F54CF"/>
    <w:rsid w:val="008F5697"/>
    <w:rsid w:val="008F5B46"/>
    <w:rsid w:val="009016EB"/>
    <w:rsid w:val="009022EB"/>
    <w:rsid w:val="009026B5"/>
    <w:rsid w:val="00902996"/>
    <w:rsid w:val="009052AA"/>
    <w:rsid w:val="009065EB"/>
    <w:rsid w:val="00906F7E"/>
    <w:rsid w:val="009101B6"/>
    <w:rsid w:val="009106F8"/>
    <w:rsid w:val="00910E70"/>
    <w:rsid w:val="009126E6"/>
    <w:rsid w:val="00917AEE"/>
    <w:rsid w:val="00920315"/>
    <w:rsid w:val="009205E1"/>
    <w:rsid w:val="00920951"/>
    <w:rsid w:val="00920AC1"/>
    <w:rsid w:val="00922583"/>
    <w:rsid w:val="0092286D"/>
    <w:rsid w:val="00923A10"/>
    <w:rsid w:val="00925F97"/>
    <w:rsid w:val="00927113"/>
    <w:rsid w:val="00927D52"/>
    <w:rsid w:val="00927F3E"/>
    <w:rsid w:val="009305DA"/>
    <w:rsid w:val="00930EBC"/>
    <w:rsid w:val="00931C85"/>
    <w:rsid w:val="00933F13"/>
    <w:rsid w:val="00935403"/>
    <w:rsid w:val="0093637A"/>
    <w:rsid w:val="00937748"/>
    <w:rsid w:val="009400D4"/>
    <w:rsid w:val="00940C9F"/>
    <w:rsid w:val="00940DF1"/>
    <w:rsid w:val="00942D8A"/>
    <w:rsid w:val="00944C03"/>
    <w:rsid w:val="00944C9C"/>
    <w:rsid w:val="00945275"/>
    <w:rsid w:val="00953BD8"/>
    <w:rsid w:val="00954290"/>
    <w:rsid w:val="00954A36"/>
    <w:rsid w:val="009558D0"/>
    <w:rsid w:val="00956C8F"/>
    <w:rsid w:val="0095704C"/>
    <w:rsid w:val="00962BC9"/>
    <w:rsid w:val="009632FF"/>
    <w:rsid w:val="009648F7"/>
    <w:rsid w:val="00964DC5"/>
    <w:rsid w:val="00966312"/>
    <w:rsid w:val="009665F3"/>
    <w:rsid w:val="009666B2"/>
    <w:rsid w:val="00970B80"/>
    <w:rsid w:val="009717AD"/>
    <w:rsid w:val="00973642"/>
    <w:rsid w:val="00974146"/>
    <w:rsid w:val="00975C77"/>
    <w:rsid w:val="009764E0"/>
    <w:rsid w:val="0098192F"/>
    <w:rsid w:val="00982EDF"/>
    <w:rsid w:val="00983530"/>
    <w:rsid w:val="00987CC3"/>
    <w:rsid w:val="0099027C"/>
    <w:rsid w:val="00991F0B"/>
    <w:rsid w:val="00994E30"/>
    <w:rsid w:val="00995016"/>
    <w:rsid w:val="009952AC"/>
    <w:rsid w:val="009A292F"/>
    <w:rsid w:val="009A4B33"/>
    <w:rsid w:val="009A7A8C"/>
    <w:rsid w:val="009B050C"/>
    <w:rsid w:val="009B1F75"/>
    <w:rsid w:val="009B2681"/>
    <w:rsid w:val="009B2FFE"/>
    <w:rsid w:val="009B58B6"/>
    <w:rsid w:val="009B5EA3"/>
    <w:rsid w:val="009B7D2F"/>
    <w:rsid w:val="009C1B63"/>
    <w:rsid w:val="009C1DA8"/>
    <w:rsid w:val="009C3AE6"/>
    <w:rsid w:val="009C3E20"/>
    <w:rsid w:val="009C5F0A"/>
    <w:rsid w:val="009C6232"/>
    <w:rsid w:val="009D086B"/>
    <w:rsid w:val="009D2072"/>
    <w:rsid w:val="009D4937"/>
    <w:rsid w:val="009D545A"/>
    <w:rsid w:val="009D6935"/>
    <w:rsid w:val="009D6AC9"/>
    <w:rsid w:val="009D7922"/>
    <w:rsid w:val="009E00DB"/>
    <w:rsid w:val="009E021B"/>
    <w:rsid w:val="009E070B"/>
    <w:rsid w:val="009E1C5D"/>
    <w:rsid w:val="009E2BF3"/>
    <w:rsid w:val="009E47DA"/>
    <w:rsid w:val="009E4E57"/>
    <w:rsid w:val="009E5200"/>
    <w:rsid w:val="009E7457"/>
    <w:rsid w:val="009F1815"/>
    <w:rsid w:val="009F25E7"/>
    <w:rsid w:val="009F2DB6"/>
    <w:rsid w:val="009F35B0"/>
    <w:rsid w:val="009F3896"/>
    <w:rsid w:val="009F5D42"/>
    <w:rsid w:val="00A005A4"/>
    <w:rsid w:val="00A00B68"/>
    <w:rsid w:val="00A00C44"/>
    <w:rsid w:val="00A01275"/>
    <w:rsid w:val="00A02E99"/>
    <w:rsid w:val="00A03871"/>
    <w:rsid w:val="00A046A2"/>
    <w:rsid w:val="00A10455"/>
    <w:rsid w:val="00A1098D"/>
    <w:rsid w:val="00A12193"/>
    <w:rsid w:val="00A1283C"/>
    <w:rsid w:val="00A14093"/>
    <w:rsid w:val="00A1493A"/>
    <w:rsid w:val="00A1681C"/>
    <w:rsid w:val="00A1683D"/>
    <w:rsid w:val="00A20E8B"/>
    <w:rsid w:val="00A21CDB"/>
    <w:rsid w:val="00A23B2F"/>
    <w:rsid w:val="00A31BBD"/>
    <w:rsid w:val="00A33FA0"/>
    <w:rsid w:val="00A34C9C"/>
    <w:rsid w:val="00A35883"/>
    <w:rsid w:val="00A35B01"/>
    <w:rsid w:val="00A373FC"/>
    <w:rsid w:val="00A405F9"/>
    <w:rsid w:val="00A415AD"/>
    <w:rsid w:val="00A42720"/>
    <w:rsid w:val="00A47B7A"/>
    <w:rsid w:val="00A5634F"/>
    <w:rsid w:val="00A600DD"/>
    <w:rsid w:val="00A61295"/>
    <w:rsid w:val="00A6181B"/>
    <w:rsid w:val="00A61959"/>
    <w:rsid w:val="00A6434E"/>
    <w:rsid w:val="00A65612"/>
    <w:rsid w:val="00A67AF6"/>
    <w:rsid w:val="00A67D71"/>
    <w:rsid w:val="00A71369"/>
    <w:rsid w:val="00A71DDC"/>
    <w:rsid w:val="00A75D7D"/>
    <w:rsid w:val="00A76FF5"/>
    <w:rsid w:val="00A8066A"/>
    <w:rsid w:val="00A820A7"/>
    <w:rsid w:val="00A8456D"/>
    <w:rsid w:val="00A84EB0"/>
    <w:rsid w:val="00A85830"/>
    <w:rsid w:val="00A85E08"/>
    <w:rsid w:val="00A86572"/>
    <w:rsid w:val="00A86BFF"/>
    <w:rsid w:val="00A93AEC"/>
    <w:rsid w:val="00A95485"/>
    <w:rsid w:val="00A95C22"/>
    <w:rsid w:val="00A95D56"/>
    <w:rsid w:val="00A962FA"/>
    <w:rsid w:val="00A97562"/>
    <w:rsid w:val="00AA04E2"/>
    <w:rsid w:val="00AA114B"/>
    <w:rsid w:val="00AA12AC"/>
    <w:rsid w:val="00AA1685"/>
    <w:rsid w:val="00AA2931"/>
    <w:rsid w:val="00AA30BB"/>
    <w:rsid w:val="00AA3438"/>
    <w:rsid w:val="00AA3997"/>
    <w:rsid w:val="00AA5231"/>
    <w:rsid w:val="00AA5FC7"/>
    <w:rsid w:val="00AA68F4"/>
    <w:rsid w:val="00AB02E4"/>
    <w:rsid w:val="00AB07B9"/>
    <w:rsid w:val="00AB2738"/>
    <w:rsid w:val="00AB3FED"/>
    <w:rsid w:val="00AB4788"/>
    <w:rsid w:val="00AC04D2"/>
    <w:rsid w:val="00AC0BF4"/>
    <w:rsid w:val="00AC1481"/>
    <w:rsid w:val="00AC3D22"/>
    <w:rsid w:val="00AC4ACA"/>
    <w:rsid w:val="00AC4BD2"/>
    <w:rsid w:val="00AC5664"/>
    <w:rsid w:val="00AC5DC2"/>
    <w:rsid w:val="00AC7626"/>
    <w:rsid w:val="00AD12FE"/>
    <w:rsid w:val="00AD3490"/>
    <w:rsid w:val="00AD3A5C"/>
    <w:rsid w:val="00AD6465"/>
    <w:rsid w:val="00AD7B99"/>
    <w:rsid w:val="00AE048E"/>
    <w:rsid w:val="00AE163A"/>
    <w:rsid w:val="00AE253D"/>
    <w:rsid w:val="00AE2E10"/>
    <w:rsid w:val="00AF1337"/>
    <w:rsid w:val="00AF26E8"/>
    <w:rsid w:val="00AF2A95"/>
    <w:rsid w:val="00AF2DBB"/>
    <w:rsid w:val="00AF433E"/>
    <w:rsid w:val="00AF6037"/>
    <w:rsid w:val="00AF6E1C"/>
    <w:rsid w:val="00B00946"/>
    <w:rsid w:val="00B00AA8"/>
    <w:rsid w:val="00B02EC1"/>
    <w:rsid w:val="00B0314C"/>
    <w:rsid w:val="00B032DD"/>
    <w:rsid w:val="00B053EA"/>
    <w:rsid w:val="00B0667B"/>
    <w:rsid w:val="00B06A46"/>
    <w:rsid w:val="00B1353F"/>
    <w:rsid w:val="00B20ACC"/>
    <w:rsid w:val="00B20EC4"/>
    <w:rsid w:val="00B22CC3"/>
    <w:rsid w:val="00B23659"/>
    <w:rsid w:val="00B239E1"/>
    <w:rsid w:val="00B2490D"/>
    <w:rsid w:val="00B2695E"/>
    <w:rsid w:val="00B2696E"/>
    <w:rsid w:val="00B26E39"/>
    <w:rsid w:val="00B2773A"/>
    <w:rsid w:val="00B31A28"/>
    <w:rsid w:val="00B31A4C"/>
    <w:rsid w:val="00B321C9"/>
    <w:rsid w:val="00B321FE"/>
    <w:rsid w:val="00B33787"/>
    <w:rsid w:val="00B34107"/>
    <w:rsid w:val="00B34E7D"/>
    <w:rsid w:val="00B34F66"/>
    <w:rsid w:val="00B361F8"/>
    <w:rsid w:val="00B36A61"/>
    <w:rsid w:val="00B36FF7"/>
    <w:rsid w:val="00B40BBD"/>
    <w:rsid w:val="00B40D9D"/>
    <w:rsid w:val="00B40E0B"/>
    <w:rsid w:val="00B5162F"/>
    <w:rsid w:val="00B54841"/>
    <w:rsid w:val="00B55601"/>
    <w:rsid w:val="00B56424"/>
    <w:rsid w:val="00B56FB2"/>
    <w:rsid w:val="00B60557"/>
    <w:rsid w:val="00B61196"/>
    <w:rsid w:val="00B630B8"/>
    <w:rsid w:val="00B6402C"/>
    <w:rsid w:val="00B67703"/>
    <w:rsid w:val="00B72814"/>
    <w:rsid w:val="00B72A05"/>
    <w:rsid w:val="00B733EB"/>
    <w:rsid w:val="00B73598"/>
    <w:rsid w:val="00B7421F"/>
    <w:rsid w:val="00B74518"/>
    <w:rsid w:val="00B77F7F"/>
    <w:rsid w:val="00B80127"/>
    <w:rsid w:val="00B809D0"/>
    <w:rsid w:val="00B81D29"/>
    <w:rsid w:val="00B82469"/>
    <w:rsid w:val="00B82BC8"/>
    <w:rsid w:val="00B91266"/>
    <w:rsid w:val="00B9163E"/>
    <w:rsid w:val="00B932B1"/>
    <w:rsid w:val="00B94CA9"/>
    <w:rsid w:val="00B967A8"/>
    <w:rsid w:val="00BA04CC"/>
    <w:rsid w:val="00BA2425"/>
    <w:rsid w:val="00BA2B7B"/>
    <w:rsid w:val="00BA2C79"/>
    <w:rsid w:val="00BA464C"/>
    <w:rsid w:val="00BA5EB5"/>
    <w:rsid w:val="00BA60D5"/>
    <w:rsid w:val="00BA6DCE"/>
    <w:rsid w:val="00BB05A2"/>
    <w:rsid w:val="00BB2EC9"/>
    <w:rsid w:val="00BB5A35"/>
    <w:rsid w:val="00BC4720"/>
    <w:rsid w:val="00BC472C"/>
    <w:rsid w:val="00BC5FE2"/>
    <w:rsid w:val="00BC7AA2"/>
    <w:rsid w:val="00BD1813"/>
    <w:rsid w:val="00BD37CD"/>
    <w:rsid w:val="00BD4CEB"/>
    <w:rsid w:val="00BD5C4C"/>
    <w:rsid w:val="00BD5CE5"/>
    <w:rsid w:val="00BD6463"/>
    <w:rsid w:val="00BD6A86"/>
    <w:rsid w:val="00BD6F9E"/>
    <w:rsid w:val="00BD6FB5"/>
    <w:rsid w:val="00BE2370"/>
    <w:rsid w:val="00BE3D03"/>
    <w:rsid w:val="00BE6A3C"/>
    <w:rsid w:val="00BE6FF9"/>
    <w:rsid w:val="00BF0D11"/>
    <w:rsid w:val="00BF210D"/>
    <w:rsid w:val="00BF31D2"/>
    <w:rsid w:val="00BF3EFC"/>
    <w:rsid w:val="00BF5CB0"/>
    <w:rsid w:val="00C06D84"/>
    <w:rsid w:val="00C100A7"/>
    <w:rsid w:val="00C1306D"/>
    <w:rsid w:val="00C130E6"/>
    <w:rsid w:val="00C13F59"/>
    <w:rsid w:val="00C1422F"/>
    <w:rsid w:val="00C14E7E"/>
    <w:rsid w:val="00C150CB"/>
    <w:rsid w:val="00C1559B"/>
    <w:rsid w:val="00C172F3"/>
    <w:rsid w:val="00C178B2"/>
    <w:rsid w:val="00C2012E"/>
    <w:rsid w:val="00C21BC0"/>
    <w:rsid w:val="00C22D91"/>
    <w:rsid w:val="00C236C2"/>
    <w:rsid w:val="00C25A26"/>
    <w:rsid w:val="00C25CC3"/>
    <w:rsid w:val="00C277F8"/>
    <w:rsid w:val="00C300FD"/>
    <w:rsid w:val="00C308A8"/>
    <w:rsid w:val="00C31723"/>
    <w:rsid w:val="00C31908"/>
    <w:rsid w:val="00C31BC4"/>
    <w:rsid w:val="00C334B9"/>
    <w:rsid w:val="00C340B4"/>
    <w:rsid w:val="00C35BE1"/>
    <w:rsid w:val="00C35FEC"/>
    <w:rsid w:val="00C37000"/>
    <w:rsid w:val="00C37474"/>
    <w:rsid w:val="00C40928"/>
    <w:rsid w:val="00C40B7E"/>
    <w:rsid w:val="00C43CB1"/>
    <w:rsid w:val="00C4786A"/>
    <w:rsid w:val="00C50A08"/>
    <w:rsid w:val="00C50B0F"/>
    <w:rsid w:val="00C52EE3"/>
    <w:rsid w:val="00C53460"/>
    <w:rsid w:val="00C53B42"/>
    <w:rsid w:val="00C54A4D"/>
    <w:rsid w:val="00C55EE9"/>
    <w:rsid w:val="00C63435"/>
    <w:rsid w:val="00C65355"/>
    <w:rsid w:val="00C65F35"/>
    <w:rsid w:val="00C6631A"/>
    <w:rsid w:val="00C679B4"/>
    <w:rsid w:val="00C679FD"/>
    <w:rsid w:val="00C67AD2"/>
    <w:rsid w:val="00C7034D"/>
    <w:rsid w:val="00C70C4F"/>
    <w:rsid w:val="00C72274"/>
    <w:rsid w:val="00C72CE1"/>
    <w:rsid w:val="00C74097"/>
    <w:rsid w:val="00C77750"/>
    <w:rsid w:val="00C8142A"/>
    <w:rsid w:val="00C84171"/>
    <w:rsid w:val="00C84531"/>
    <w:rsid w:val="00C86BFF"/>
    <w:rsid w:val="00C941D8"/>
    <w:rsid w:val="00C94623"/>
    <w:rsid w:val="00C94792"/>
    <w:rsid w:val="00C94C88"/>
    <w:rsid w:val="00C95C9B"/>
    <w:rsid w:val="00C96432"/>
    <w:rsid w:val="00C96AF4"/>
    <w:rsid w:val="00C97244"/>
    <w:rsid w:val="00C974B7"/>
    <w:rsid w:val="00CA1D1D"/>
    <w:rsid w:val="00CA6860"/>
    <w:rsid w:val="00CA7816"/>
    <w:rsid w:val="00CB1186"/>
    <w:rsid w:val="00CB15A2"/>
    <w:rsid w:val="00CB1FD5"/>
    <w:rsid w:val="00CB2E88"/>
    <w:rsid w:val="00CB4052"/>
    <w:rsid w:val="00CB4D2C"/>
    <w:rsid w:val="00CB659A"/>
    <w:rsid w:val="00CB7DFE"/>
    <w:rsid w:val="00CB7FF5"/>
    <w:rsid w:val="00CC00D3"/>
    <w:rsid w:val="00CC0258"/>
    <w:rsid w:val="00CC2E6F"/>
    <w:rsid w:val="00CC5336"/>
    <w:rsid w:val="00CC5967"/>
    <w:rsid w:val="00CC6EA0"/>
    <w:rsid w:val="00CC79F2"/>
    <w:rsid w:val="00CD04AB"/>
    <w:rsid w:val="00CD1EC6"/>
    <w:rsid w:val="00CD21EA"/>
    <w:rsid w:val="00CD4012"/>
    <w:rsid w:val="00CD5295"/>
    <w:rsid w:val="00CD57EF"/>
    <w:rsid w:val="00CD5D77"/>
    <w:rsid w:val="00CE06C6"/>
    <w:rsid w:val="00CE16BE"/>
    <w:rsid w:val="00CE1FB4"/>
    <w:rsid w:val="00CE3960"/>
    <w:rsid w:val="00CE573C"/>
    <w:rsid w:val="00CE65CE"/>
    <w:rsid w:val="00CE6771"/>
    <w:rsid w:val="00CF0099"/>
    <w:rsid w:val="00CF0816"/>
    <w:rsid w:val="00CF2A3D"/>
    <w:rsid w:val="00CF2FF4"/>
    <w:rsid w:val="00CF78D0"/>
    <w:rsid w:val="00D003AB"/>
    <w:rsid w:val="00D016D9"/>
    <w:rsid w:val="00D018BF"/>
    <w:rsid w:val="00D038A7"/>
    <w:rsid w:val="00D07C96"/>
    <w:rsid w:val="00D1034B"/>
    <w:rsid w:val="00D11DC7"/>
    <w:rsid w:val="00D11FD7"/>
    <w:rsid w:val="00D12CAE"/>
    <w:rsid w:val="00D20050"/>
    <w:rsid w:val="00D219D0"/>
    <w:rsid w:val="00D23069"/>
    <w:rsid w:val="00D24328"/>
    <w:rsid w:val="00D24686"/>
    <w:rsid w:val="00D24A2F"/>
    <w:rsid w:val="00D25BB5"/>
    <w:rsid w:val="00D33F8C"/>
    <w:rsid w:val="00D34156"/>
    <w:rsid w:val="00D35AFB"/>
    <w:rsid w:val="00D372F4"/>
    <w:rsid w:val="00D4069B"/>
    <w:rsid w:val="00D40DE6"/>
    <w:rsid w:val="00D41359"/>
    <w:rsid w:val="00D43959"/>
    <w:rsid w:val="00D455F8"/>
    <w:rsid w:val="00D46E0E"/>
    <w:rsid w:val="00D52684"/>
    <w:rsid w:val="00D55C31"/>
    <w:rsid w:val="00D56D90"/>
    <w:rsid w:val="00D573C6"/>
    <w:rsid w:val="00D609A1"/>
    <w:rsid w:val="00D61AF7"/>
    <w:rsid w:val="00D64E13"/>
    <w:rsid w:val="00D65BEF"/>
    <w:rsid w:val="00D6698C"/>
    <w:rsid w:val="00D70DB0"/>
    <w:rsid w:val="00D71D13"/>
    <w:rsid w:val="00D73781"/>
    <w:rsid w:val="00D77326"/>
    <w:rsid w:val="00D77576"/>
    <w:rsid w:val="00D80F99"/>
    <w:rsid w:val="00D81746"/>
    <w:rsid w:val="00D84875"/>
    <w:rsid w:val="00D8506E"/>
    <w:rsid w:val="00D85888"/>
    <w:rsid w:val="00D86E88"/>
    <w:rsid w:val="00D910DA"/>
    <w:rsid w:val="00D92846"/>
    <w:rsid w:val="00D92B3C"/>
    <w:rsid w:val="00D93564"/>
    <w:rsid w:val="00D93932"/>
    <w:rsid w:val="00D94744"/>
    <w:rsid w:val="00D962F9"/>
    <w:rsid w:val="00DA053A"/>
    <w:rsid w:val="00DA1C82"/>
    <w:rsid w:val="00DA1EBB"/>
    <w:rsid w:val="00DA614A"/>
    <w:rsid w:val="00DA64B3"/>
    <w:rsid w:val="00DA7877"/>
    <w:rsid w:val="00DB2426"/>
    <w:rsid w:val="00DB2455"/>
    <w:rsid w:val="00DB4524"/>
    <w:rsid w:val="00DB479E"/>
    <w:rsid w:val="00DB4E39"/>
    <w:rsid w:val="00DB52CF"/>
    <w:rsid w:val="00DB787F"/>
    <w:rsid w:val="00DC05D7"/>
    <w:rsid w:val="00DC1251"/>
    <w:rsid w:val="00DC1BA1"/>
    <w:rsid w:val="00DC28D0"/>
    <w:rsid w:val="00DC3F0C"/>
    <w:rsid w:val="00DC47B1"/>
    <w:rsid w:val="00DD0596"/>
    <w:rsid w:val="00DD16F0"/>
    <w:rsid w:val="00DD32B4"/>
    <w:rsid w:val="00DD3CD8"/>
    <w:rsid w:val="00DD532E"/>
    <w:rsid w:val="00DD7F7B"/>
    <w:rsid w:val="00DE179D"/>
    <w:rsid w:val="00DE4557"/>
    <w:rsid w:val="00DE4A9C"/>
    <w:rsid w:val="00DE4CC3"/>
    <w:rsid w:val="00DE5767"/>
    <w:rsid w:val="00DE5D1E"/>
    <w:rsid w:val="00DF1034"/>
    <w:rsid w:val="00DF1DEA"/>
    <w:rsid w:val="00DF259F"/>
    <w:rsid w:val="00DF2D30"/>
    <w:rsid w:val="00DF34AF"/>
    <w:rsid w:val="00DF36C2"/>
    <w:rsid w:val="00DF48F5"/>
    <w:rsid w:val="00DF4A45"/>
    <w:rsid w:val="00E0036E"/>
    <w:rsid w:val="00E00A4E"/>
    <w:rsid w:val="00E00B11"/>
    <w:rsid w:val="00E00CA3"/>
    <w:rsid w:val="00E014A1"/>
    <w:rsid w:val="00E019B1"/>
    <w:rsid w:val="00E026A2"/>
    <w:rsid w:val="00E0372F"/>
    <w:rsid w:val="00E04F80"/>
    <w:rsid w:val="00E05770"/>
    <w:rsid w:val="00E05CCC"/>
    <w:rsid w:val="00E06520"/>
    <w:rsid w:val="00E10FF7"/>
    <w:rsid w:val="00E11672"/>
    <w:rsid w:val="00E127D9"/>
    <w:rsid w:val="00E12E2E"/>
    <w:rsid w:val="00E130EC"/>
    <w:rsid w:val="00E143D1"/>
    <w:rsid w:val="00E15E96"/>
    <w:rsid w:val="00E16367"/>
    <w:rsid w:val="00E1639F"/>
    <w:rsid w:val="00E16563"/>
    <w:rsid w:val="00E166AF"/>
    <w:rsid w:val="00E16D5F"/>
    <w:rsid w:val="00E21609"/>
    <w:rsid w:val="00E23A73"/>
    <w:rsid w:val="00E2497B"/>
    <w:rsid w:val="00E2533F"/>
    <w:rsid w:val="00E2643C"/>
    <w:rsid w:val="00E26568"/>
    <w:rsid w:val="00E27913"/>
    <w:rsid w:val="00E3106D"/>
    <w:rsid w:val="00E32725"/>
    <w:rsid w:val="00E33C50"/>
    <w:rsid w:val="00E342E8"/>
    <w:rsid w:val="00E34736"/>
    <w:rsid w:val="00E34A7D"/>
    <w:rsid w:val="00E34ECC"/>
    <w:rsid w:val="00E3554D"/>
    <w:rsid w:val="00E4322B"/>
    <w:rsid w:val="00E45378"/>
    <w:rsid w:val="00E46A84"/>
    <w:rsid w:val="00E47390"/>
    <w:rsid w:val="00E52C1F"/>
    <w:rsid w:val="00E534E6"/>
    <w:rsid w:val="00E54C7B"/>
    <w:rsid w:val="00E610A5"/>
    <w:rsid w:val="00E61A1A"/>
    <w:rsid w:val="00E61F00"/>
    <w:rsid w:val="00E62A83"/>
    <w:rsid w:val="00E632A7"/>
    <w:rsid w:val="00E643BB"/>
    <w:rsid w:val="00E66401"/>
    <w:rsid w:val="00E70D5F"/>
    <w:rsid w:val="00E71F48"/>
    <w:rsid w:val="00E7284A"/>
    <w:rsid w:val="00E732AD"/>
    <w:rsid w:val="00E73C8A"/>
    <w:rsid w:val="00E744C3"/>
    <w:rsid w:val="00E75FD0"/>
    <w:rsid w:val="00E80252"/>
    <w:rsid w:val="00E80F1E"/>
    <w:rsid w:val="00E81572"/>
    <w:rsid w:val="00E82CD7"/>
    <w:rsid w:val="00E83C87"/>
    <w:rsid w:val="00E84019"/>
    <w:rsid w:val="00E84077"/>
    <w:rsid w:val="00E90E28"/>
    <w:rsid w:val="00E92A04"/>
    <w:rsid w:val="00E9304C"/>
    <w:rsid w:val="00E933BC"/>
    <w:rsid w:val="00E93932"/>
    <w:rsid w:val="00E947C3"/>
    <w:rsid w:val="00E94E1F"/>
    <w:rsid w:val="00E951DD"/>
    <w:rsid w:val="00E97140"/>
    <w:rsid w:val="00EA0031"/>
    <w:rsid w:val="00EA1092"/>
    <w:rsid w:val="00EA6C8F"/>
    <w:rsid w:val="00EA6DAA"/>
    <w:rsid w:val="00EA7076"/>
    <w:rsid w:val="00EA7B00"/>
    <w:rsid w:val="00EB11A1"/>
    <w:rsid w:val="00EB202E"/>
    <w:rsid w:val="00EB5D68"/>
    <w:rsid w:val="00EC0A6A"/>
    <w:rsid w:val="00EC0BDD"/>
    <w:rsid w:val="00EC0D4C"/>
    <w:rsid w:val="00EC19EA"/>
    <w:rsid w:val="00EC229F"/>
    <w:rsid w:val="00EC22FB"/>
    <w:rsid w:val="00EC2785"/>
    <w:rsid w:val="00EC2794"/>
    <w:rsid w:val="00EC3ADA"/>
    <w:rsid w:val="00EC3C37"/>
    <w:rsid w:val="00EC3DA4"/>
    <w:rsid w:val="00EC3F26"/>
    <w:rsid w:val="00EC4D15"/>
    <w:rsid w:val="00EC59B5"/>
    <w:rsid w:val="00EC73DB"/>
    <w:rsid w:val="00ED0F19"/>
    <w:rsid w:val="00ED3CC0"/>
    <w:rsid w:val="00ED4679"/>
    <w:rsid w:val="00ED4784"/>
    <w:rsid w:val="00ED6CAE"/>
    <w:rsid w:val="00EE0005"/>
    <w:rsid w:val="00EE0A2A"/>
    <w:rsid w:val="00EE153A"/>
    <w:rsid w:val="00EE230D"/>
    <w:rsid w:val="00EE235A"/>
    <w:rsid w:val="00EE3C1F"/>
    <w:rsid w:val="00EE3FC3"/>
    <w:rsid w:val="00EE43D0"/>
    <w:rsid w:val="00EE51A3"/>
    <w:rsid w:val="00EE5334"/>
    <w:rsid w:val="00EF2126"/>
    <w:rsid w:val="00EF23D1"/>
    <w:rsid w:val="00EF2404"/>
    <w:rsid w:val="00EF2CCE"/>
    <w:rsid w:val="00EF4970"/>
    <w:rsid w:val="00EF56CA"/>
    <w:rsid w:val="00EF60BC"/>
    <w:rsid w:val="00EF6249"/>
    <w:rsid w:val="00EF6481"/>
    <w:rsid w:val="00EF6511"/>
    <w:rsid w:val="00F00FE5"/>
    <w:rsid w:val="00F012AB"/>
    <w:rsid w:val="00F018FD"/>
    <w:rsid w:val="00F01B2E"/>
    <w:rsid w:val="00F0270B"/>
    <w:rsid w:val="00F032E4"/>
    <w:rsid w:val="00F05290"/>
    <w:rsid w:val="00F05F28"/>
    <w:rsid w:val="00F0759D"/>
    <w:rsid w:val="00F0783E"/>
    <w:rsid w:val="00F10031"/>
    <w:rsid w:val="00F1022F"/>
    <w:rsid w:val="00F1493D"/>
    <w:rsid w:val="00F15081"/>
    <w:rsid w:val="00F1535B"/>
    <w:rsid w:val="00F15A65"/>
    <w:rsid w:val="00F15D22"/>
    <w:rsid w:val="00F1664D"/>
    <w:rsid w:val="00F168D4"/>
    <w:rsid w:val="00F17EA9"/>
    <w:rsid w:val="00F21349"/>
    <w:rsid w:val="00F218C4"/>
    <w:rsid w:val="00F221F2"/>
    <w:rsid w:val="00F22864"/>
    <w:rsid w:val="00F23F9F"/>
    <w:rsid w:val="00F30281"/>
    <w:rsid w:val="00F30CEA"/>
    <w:rsid w:val="00F3137B"/>
    <w:rsid w:val="00F33857"/>
    <w:rsid w:val="00F34EBF"/>
    <w:rsid w:val="00F35210"/>
    <w:rsid w:val="00F355DC"/>
    <w:rsid w:val="00F403B8"/>
    <w:rsid w:val="00F4215F"/>
    <w:rsid w:val="00F44291"/>
    <w:rsid w:val="00F44B90"/>
    <w:rsid w:val="00F46270"/>
    <w:rsid w:val="00F46942"/>
    <w:rsid w:val="00F51529"/>
    <w:rsid w:val="00F52E34"/>
    <w:rsid w:val="00F53D6E"/>
    <w:rsid w:val="00F56102"/>
    <w:rsid w:val="00F56482"/>
    <w:rsid w:val="00F57731"/>
    <w:rsid w:val="00F57C3B"/>
    <w:rsid w:val="00F611D8"/>
    <w:rsid w:val="00F63FAC"/>
    <w:rsid w:val="00F6560A"/>
    <w:rsid w:val="00F757E5"/>
    <w:rsid w:val="00F77AA8"/>
    <w:rsid w:val="00F82BC5"/>
    <w:rsid w:val="00F82FD6"/>
    <w:rsid w:val="00F83F4D"/>
    <w:rsid w:val="00F85088"/>
    <w:rsid w:val="00F85864"/>
    <w:rsid w:val="00F85F23"/>
    <w:rsid w:val="00F870EE"/>
    <w:rsid w:val="00F913B2"/>
    <w:rsid w:val="00F9203C"/>
    <w:rsid w:val="00F94791"/>
    <w:rsid w:val="00FA0A02"/>
    <w:rsid w:val="00FA3253"/>
    <w:rsid w:val="00FA373B"/>
    <w:rsid w:val="00FA3E06"/>
    <w:rsid w:val="00FA5547"/>
    <w:rsid w:val="00FB085A"/>
    <w:rsid w:val="00FB1F52"/>
    <w:rsid w:val="00FB3020"/>
    <w:rsid w:val="00FB3F06"/>
    <w:rsid w:val="00FB42B3"/>
    <w:rsid w:val="00FB59B4"/>
    <w:rsid w:val="00FB605E"/>
    <w:rsid w:val="00FB772D"/>
    <w:rsid w:val="00FC018C"/>
    <w:rsid w:val="00FC22B6"/>
    <w:rsid w:val="00FC3AA8"/>
    <w:rsid w:val="00FC569A"/>
    <w:rsid w:val="00FC7D67"/>
    <w:rsid w:val="00FD00AA"/>
    <w:rsid w:val="00FD0698"/>
    <w:rsid w:val="00FD07E0"/>
    <w:rsid w:val="00FD12AB"/>
    <w:rsid w:val="00FD3561"/>
    <w:rsid w:val="00FD4CFA"/>
    <w:rsid w:val="00FD4ECB"/>
    <w:rsid w:val="00FD69C4"/>
    <w:rsid w:val="00FE0FF7"/>
    <w:rsid w:val="00FE179E"/>
    <w:rsid w:val="00FE29E8"/>
    <w:rsid w:val="00FE38EE"/>
    <w:rsid w:val="00FE4A96"/>
    <w:rsid w:val="00FE530B"/>
    <w:rsid w:val="00FE7EA5"/>
    <w:rsid w:val="00FF055B"/>
    <w:rsid w:val="00FF1C08"/>
    <w:rsid w:val="00FF2D49"/>
    <w:rsid w:val="00FF3246"/>
    <w:rsid w:val="00FF3322"/>
    <w:rsid w:val="00FF5147"/>
    <w:rsid w:val="00FF59D9"/>
    <w:rsid w:val="00FF6AF3"/>
    <w:rsid w:val="00FF6C14"/>
    <w:rsid w:val="00FF73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9915"/>
  <w15:docId w15:val="{EB326579-5719-413A-93DF-5CA9CF53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1FF"/>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471C6E"/>
    <w:pPr>
      <w:keepNext/>
      <w:tabs>
        <w:tab w:val="left" w:pos="0"/>
        <w:tab w:val="righ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paragraph" w:styleId="Heading2">
    <w:name w:val="heading 2"/>
    <w:basedOn w:val="Normal"/>
    <w:next w:val="Normal"/>
    <w:link w:val="Heading2Char"/>
    <w:uiPriority w:val="99"/>
    <w:qFormat/>
    <w:rsid w:val="00471C6E"/>
    <w:pPr>
      <w:keepNext/>
      <w:outlineLvl w:val="1"/>
    </w:pPr>
    <w:rPr>
      <w:sz w:val="28"/>
    </w:rPr>
  </w:style>
  <w:style w:type="paragraph" w:styleId="Heading3">
    <w:name w:val="heading 3"/>
    <w:basedOn w:val="Normal"/>
    <w:next w:val="Normal"/>
    <w:link w:val="Heading3Char"/>
    <w:uiPriority w:val="99"/>
    <w:qFormat/>
    <w:rsid w:val="00471C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71C6E"/>
    <w:pPr>
      <w:keepNext/>
      <w:tabs>
        <w:tab w:val="left" w:pos="0"/>
        <w:tab w:val="left" w:pos="703"/>
        <w:tab w:val="right" w:pos="9229"/>
        <w:tab w:val="left" w:pos="9360"/>
      </w:tabs>
      <w:outlineLvl w:val="3"/>
    </w:pPr>
    <w:rPr>
      <w:b/>
      <w:sz w:val="20"/>
    </w:rPr>
  </w:style>
  <w:style w:type="paragraph" w:styleId="Heading5">
    <w:name w:val="heading 5"/>
    <w:basedOn w:val="Normal"/>
    <w:next w:val="Normal"/>
    <w:link w:val="Heading5Char"/>
    <w:uiPriority w:val="99"/>
    <w:qFormat/>
    <w:rsid w:val="00471C6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45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45B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45B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C45BF"/>
    <w:rPr>
      <w:rFonts w:asciiTheme="minorHAnsi" w:eastAsiaTheme="minorEastAsia" w:hAnsiTheme="minorHAnsi" w:cstheme="minorBidi"/>
      <w:b/>
      <w:bCs/>
      <w:i/>
      <w:iCs/>
      <w:sz w:val="26"/>
      <w:szCs w:val="26"/>
    </w:rPr>
  </w:style>
  <w:style w:type="character" w:styleId="FootnoteReference">
    <w:name w:val="footnote reference"/>
    <w:basedOn w:val="DefaultParagraphFont"/>
    <w:rsid w:val="00471C6E"/>
    <w:rPr>
      <w:rFonts w:cs="Times New Roman"/>
    </w:rPr>
  </w:style>
  <w:style w:type="paragraph" w:customStyle="1" w:styleId="Level1">
    <w:name w:val="Level 1"/>
    <w:basedOn w:val="Normal"/>
    <w:uiPriority w:val="99"/>
    <w:rsid w:val="00471C6E"/>
    <w:pPr>
      <w:numPr>
        <w:numId w:val="1"/>
      </w:numPr>
      <w:ind w:left="703" w:hanging="703"/>
      <w:outlineLvl w:val="0"/>
    </w:pPr>
  </w:style>
  <w:style w:type="paragraph" w:styleId="BodyTextIndent">
    <w:name w:val="Body Text Indent"/>
    <w:basedOn w:val="Normal"/>
    <w:link w:val="BodyTextIndentChar"/>
    <w:uiPriority w:val="99"/>
    <w:rsid w:val="00471C6E"/>
    <w:pPr>
      <w:spacing w:after="120"/>
      <w:ind w:left="360"/>
    </w:pPr>
  </w:style>
  <w:style w:type="character" w:customStyle="1" w:styleId="BodyTextIndentChar">
    <w:name w:val="Body Text Indent Char"/>
    <w:basedOn w:val="DefaultParagraphFont"/>
    <w:link w:val="BodyTextIndent"/>
    <w:uiPriority w:val="99"/>
    <w:semiHidden/>
    <w:rsid w:val="000C45BF"/>
    <w:rPr>
      <w:sz w:val="24"/>
      <w:szCs w:val="24"/>
    </w:rPr>
  </w:style>
  <w:style w:type="character" w:customStyle="1" w:styleId="footnoteref">
    <w:name w:val="footnote ref"/>
    <w:uiPriority w:val="99"/>
    <w:rsid w:val="00471C6E"/>
  </w:style>
  <w:style w:type="character" w:customStyle="1" w:styleId="footnotetex">
    <w:name w:val="footnote tex"/>
    <w:uiPriority w:val="99"/>
    <w:rsid w:val="00471C6E"/>
  </w:style>
  <w:style w:type="paragraph" w:styleId="BodyText">
    <w:name w:val="Body Text"/>
    <w:basedOn w:val="Normal"/>
    <w:link w:val="BodyTextChar"/>
    <w:uiPriority w:val="99"/>
    <w:rsid w:val="00471C6E"/>
    <w:pPr>
      <w:spacing w:after="120"/>
    </w:pPr>
  </w:style>
  <w:style w:type="character" w:customStyle="1" w:styleId="BodyTextChar">
    <w:name w:val="Body Text Char"/>
    <w:basedOn w:val="DefaultParagraphFont"/>
    <w:link w:val="BodyText"/>
    <w:uiPriority w:val="99"/>
    <w:semiHidden/>
    <w:rsid w:val="000C45BF"/>
    <w:rPr>
      <w:sz w:val="24"/>
      <w:szCs w:val="24"/>
    </w:rPr>
  </w:style>
  <w:style w:type="character" w:styleId="Hyperlink">
    <w:name w:val="Hyperlink"/>
    <w:basedOn w:val="DefaultParagraphFont"/>
    <w:uiPriority w:val="99"/>
    <w:rsid w:val="00471C6E"/>
    <w:rPr>
      <w:rFonts w:cs="Times New Roman"/>
      <w:color w:val="0000FF"/>
      <w:u w:val="single"/>
    </w:rPr>
  </w:style>
  <w:style w:type="paragraph" w:styleId="FootnoteText">
    <w:name w:val="footnote text"/>
    <w:basedOn w:val="Normal"/>
    <w:link w:val="FootnoteTextChar"/>
    <w:rsid w:val="00471C6E"/>
    <w:rPr>
      <w:sz w:val="20"/>
      <w:szCs w:val="20"/>
    </w:rPr>
  </w:style>
  <w:style w:type="character" w:customStyle="1" w:styleId="FootnoteTextChar">
    <w:name w:val="Footnote Text Char"/>
    <w:basedOn w:val="DefaultParagraphFont"/>
    <w:link w:val="FootnoteText"/>
    <w:rsid w:val="000C45BF"/>
    <w:rPr>
      <w:sz w:val="20"/>
      <w:szCs w:val="20"/>
    </w:rPr>
  </w:style>
  <w:style w:type="table" w:styleId="TableGrid">
    <w:name w:val="Table Grid"/>
    <w:basedOn w:val="TableNormal"/>
    <w:uiPriority w:val="59"/>
    <w:rsid w:val="00471C6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71C6E"/>
    <w:pPr>
      <w:autoSpaceDE w:val="0"/>
      <w:autoSpaceDN w:val="0"/>
      <w:adjustRightInd w:val="0"/>
    </w:pPr>
    <w:rPr>
      <w:rFonts w:ascii="FNODMN+ArialNarrow" w:hAnsi="FNODMN+ArialNarrow" w:cs="FNODMN+ArialNarrow"/>
      <w:color w:val="000000"/>
      <w:sz w:val="24"/>
      <w:szCs w:val="24"/>
    </w:rPr>
  </w:style>
  <w:style w:type="paragraph" w:customStyle="1" w:styleId="CM44">
    <w:name w:val="CM44"/>
    <w:basedOn w:val="Normal"/>
    <w:next w:val="Normal"/>
    <w:uiPriority w:val="99"/>
    <w:rsid w:val="00471C6E"/>
    <w:pPr>
      <w:widowControl/>
      <w:spacing w:after="270"/>
    </w:pPr>
  </w:style>
  <w:style w:type="paragraph" w:styleId="EndnoteText">
    <w:name w:val="endnote text"/>
    <w:basedOn w:val="Normal"/>
    <w:link w:val="EndnoteTextChar"/>
    <w:uiPriority w:val="99"/>
    <w:semiHidden/>
    <w:rsid w:val="00471C6E"/>
    <w:pPr>
      <w:autoSpaceDE/>
      <w:autoSpaceDN/>
      <w:adjustRightInd/>
    </w:pPr>
    <w:rPr>
      <w:rFonts w:ascii="Courier" w:hAnsi="Courier"/>
      <w:szCs w:val="20"/>
    </w:rPr>
  </w:style>
  <w:style w:type="character" w:customStyle="1" w:styleId="EndnoteTextChar">
    <w:name w:val="Endnote Text Char"/>
    <w:basedOn w:val="DefaultParagraphFont"/>
    <w:link w:val="EndnoteText"/>
    <w:uiPriority w:val="99"/>
    <w:semiHidden/>
    <w:rsid w:val="000C45BF"/>
    <w:rPr>
      <w:sz w:val="20"/>
      <w:szCs w:val="20"/>
    </w:rPr>
  </w:style>
  <w:style w:type="paragraph" w:styleId="Header">
    <w:name w:val="header"/>
    <w:basedOn w:val="Normal"/>
    <w:link w:val="HeaderChar"/>
    <w:uiPriority w:val="99"/>
    <w:rsid w:val="00471C6E"/>
    <w:pPr>
      <w:tabs>
        <w:tab w:val="center" w:pos="4320"/>
        <w:tab w:val="right" w:pos="8640"/>
      </w:tabs>
    </w:pPr>
  </w:style>
  <w:style w:type="character" w:customStyle="1" w:styleId="HeaderChar">
    <w:name w:val="Header Char"/>
    <w:basedOn w:val="DefaultParagraphFont"/>
    <w:link w:val="Header"/>
    <w:uiPriority w:val="99"/>
    <w:rsid w:val="000C45BF"/>
    <w:rPr>
      <w:sz w:val="24"/>
      <w:szCs w:val="24"/>
    </w:rPr>
  </w:style>
  <w:style w:type="paragraph" w:styleId="Footer">
    <w:name w:val="footer"/>
    <w:basedOn w:val="Normal"/>
    <w:link w:val="FooterChar"/>
    <w:uiPriority w:val="99"/>
    <w:rsid w:val="00471C6E"/>
    <w:pPr>
      <w:tabs>
        <w:tab w:val="center" w:pos="4320"/>
        <w:tab w:val="right" w:pos="8640"/>
      </w:tabs>
    </w:pPr>
  </w:style>
  <w:style w:type="character" w:customStyle="1" w:styleId="FooterChar">
    <w:name w:val="Footer Char"/>
    <w:basedOn w:val="DefaultParagraphFont"/>
    <w:link w:val="Footer"/>
    <w:uiPriority w:val="99"/>
    <w:semiHidden/>
    <w:rsid w:val="000C45BF"/>
    <w:rPr>
      <w:sz w:val="24"/>
      <w:szCs w:val="24"/>
    </w:rPr>
  </w:style>
  <w:style w:type="character" w:styleId="FollowedHyperlink">
    <w:name w:val="FollowedHyperlink"/>
    <w:basedOn w:val="DefaultParagraphFont"/>
    <w:uiPriority w:val="99"/>
    <w:rsid w:val="00471C6E"/>
    <w:rPr>
      <w:rFonts w:cs="Times New Roman"/>
      <w:color w:val="800080"/>
      <w:u w:val="single"/>
    </w:rPr>
  </w:style>
  <w:style w:type="paragraph" w:styleId="BalloonText">
    <w:name w:val="Balloon Text"/>
    <w:basedOn w:val="Normal"/>
    <w:link w:val="BalloonTextChar"/>
    <w:uiPriority w:val="99"/>
    <w:semiHidden/>
    <w:rsid w:val="00AD7B99"/>
    <w:rPr>
      <w:rFonts w:ascii="Tahoma" w:hAnsi="Tahoma" w:cs="Tahoma"/>
      <w:sz w:val="16"/>
      <w:szCs w:val="16"/>
    </w:rPr>
  </w:style>
  <w:style w:type="character" w:customStyle="1" w:styleId="BalloonTextChar">
    <w:name w:val="Balloon Text Char"/>
    <w:basedOn w:val="DefaultParagraphFont"/>
    <w:link w:val="BalloonText"/>
    <w:uiPriority w:val="99"/>
    <w:semiHidden/>
    <w:rsid w:val="000C45BF"/>
    <w:rPr>
      <w:sz w:val="0"/>
      <w:szCs w:val="0"/>
    </w:rPr>
  </w:style>
  <w:style w:type="character" w:styleId="CommentReference">
    <w:name w:val="annotation reference"/>
    <w:basedOn w:val="DefaultParagraphFont"/>
    <w:uiPriority w:val="99"/>
    <w:semiHidden/>
    <w:rsid w:val="00CE3960"/>
    <w:rPr>
      <w:rFonts w:cs="Times New Roman"/>
      <w:sz w:val="16"/>
      <w:szCs w:val="16"/>
    </w:rPr>
  </w:style>
  <w:style w:type="paragraph" w:styleId="CommentText">
    <w:name w:val="annotation text"/>
    <w:basedOn w:val="Normal"/>
    <w:link w:val="CommentTextChar"/>
    <w:uiPriority w:val="99"/>
    <w:semiHidden/>
    <w:rsid w:val="00CE3960"/>
    <w:rPr>
      <w:sz w:val="20"/>
      <w:szCs w:val="20"/>
    </w:rPr>
  </w:style>
  <w:style w:type="character" w:customStyle="1" w:styleId="CommentTextChar">
    <w:name w:val="Comment Text Char"/>
    <w:basedOn w:val="DefaultParagraphFont"/>
    <w:link w:val="CommentText"/>
    <w:uiPriority w:val="99"/>
    <w:semiHidden/>
    <w:rsid w:val="000C45BF"/>
    <w:rPr>
      <w:sz w:val="20"/>
      <w:szCs w:val="20"/>
    </w:rPr>
  </w:style>
  <w:style w:type="paragraph" w:styleId="CommentSubject">
    <w:name w:val="annotation subject"/>
    <w:basedOn w:val="CommentText"/>
    <w:next w:val="CommentText"/>
    <w:link w:val="CommentSubjectChar"/>
    <w:uiPriority w:val="99"/>
    <w:semiHidden/>
    <w:rsid w:val="00CE3960"/>
    <w:rPr>
      <w:b/>
      <w:bCs/>
    </w:rPr>
  </w:style>
  <w:style w:type="character" w:customStyle="1" w:styleId="CommentSubjectChar">
    <w:name w:val="Comment Subject Char"/>
    <w:basedOn w:val="CommentTextChar"/>
    <w:link w:val="CommentSubject"/>
    <w:uiPriority w:val="99"/>
    <w:semiHidden/>
    <w:rsid w:val="000C45BF"/>
    <w:rPr>
      <w:b/>
      <w:bCs/>
      <w:sz w:val="20"/>
      <w:szCs w:val="20"/>
    </w:rPr>
  </w:style>
  <w:style w:type="paragraph" w:styleId="ListParagraph">
    <w:name w:val="List Paragraph"/>
    <w:basedOn w:val="Normal"/>
    <w:uiPriority w:val="34"/>
    <w:qFormat/>
    <w:rsid w:val="00466192"/>
    <w:pPr>
      <w:widowControl/>
      <w:autoSpaceDE/>
      <w:autoSpaceDN/>
      <w:adjustRightInd/>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rsid w:val="002C2039"/>
    <w:pPr>
      <w:spacing w:after="120" w:line="480" w:lineRule="auto"/>
    </w:pPr>
  </w:style>
  <w:style w:type="character" w:customStyle="1" w:styleId="BodyText2Char">
    <w:name w:val="Body Text 2 Char"/>
    <w:basedOn w:val="DefaultParagraphFont"/>
    <w:link w:val="BodyText2"/>
    <w:uiPriority w:val="99"/>
    <w:locked/>
    <w:rsid w:val="002C2039"/>
    <w:rPr>
      <w:rFonts w:cs="Times New Roman"/>
      <w:sz w:val="24"/>
      <w:szCs w:val="24"/>
    </w:rPr>
  </w:style>
  <w:style w:type="paragraph" w:customStyle="1" w:styleId="NAWStext">
    <w:name w:val="NAWS text"/>
    <w:basedOn w:val="Normal"/>
    <w:rsid w:val="00314BDB"/>
    <w:pPr>
      <w:widowControl/>
      <w:autoSpaceDE/>
      <w:autoSpaceDN/>
      <w:adjustRightInd/>
    </w:pPr>
  </w:style>
  <w:style w:type="paragraph" w:styleId="Revision">
    <w:name w:val="Revision"/>
    <w:hidden/>
    <w:uiPriority w:val="99"/>
    <w:semiHidden/>
    <w:rsid w:val="001824F5"/>
    <w:rPr>
      <w:sz w:val="24"/>
      <w:szCs w:val="24"/>
    </w:rPr>
  </w:style>
  <w:style w:type="paragraph" w:styleId="ListBullet">
    <w:name w:val="List Bullet"/>
    <w:basedOn w:val="Normal"/>
    <w:uiPriority w:val="99"/>
    <w:unhideWhenUsed/>
    <w:rsid w:val="0046391F"/>
    <w:pPr>
      <w:widowControl/>
      <w:numPr>
        <w:numId w:val="4"/>
      </w:numPr>
      <w:autoSpaceDE/>
      <w:autoSpaceDN/>
      <w:adjustRightInd/>
      <w:spacing w:after="200" w:line="276" w:lineRule="auto"/>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45043E"/>
  </w:style>
  <w:style w:type="table" w:customStyle="1" w:styleId="TableGrid1">
    <w:name w:val="Table Grid1"/>
    <w:basedOn w:val="TableNormal"/>
    <w:next w:val="TableGrid"/>
    <w:uiPriority w:val="59"/>
    <w:rsid w:val="004504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45043E"/>
    <w:pPr>
      <w:widowControl/>
      <w:pBdr>
        <w:bottom w:val="single" w:sz="8" w:space="4" w:color="4F81BD"/>
      </w:pBdr>
      <w:autoSpaceDE/>
      <w:autoSpaceDN/>
      <w:adjustRightInd/>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5043E"/>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locked/>
    <w:rsid w:val="0045043E"/>
    <w:pPr>
      <w:pBdr>
        <w:bottom w:val="single" w:sz="8" w:space="4" w:color="4F81BD" w:themeColor="accent1"/>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45043E"/>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EC2794"/>
    <w:rPr>
      <w:color w:val="808080"/>
    </w:rPr>
  </w:style>
  <w:style w:type="paragraph" w:customStyle="1" w:styleId="NormalSS">
    <w:name w:val="NormalSS"/>
    <w:basedOn w:val="Normal"/>
    <w:qFormat/>
    <w:rsid w:val="00493550"/>
    <w:pPr>
      <w:widowControl/>
      <w:tabs>
        <w:tab w:val="left" w:pos="432"/>
      </w:tabs>
      <w:autoSpaceDE/>
      <w:autoSpaceDN/>
      <w:adjustRightInd/>
      <w:ind w:firstLine="432"/>
      <w:jc w:val="both"/>
    </w:pPr>
  </w:style>
  <w:style w:type="paragraph" w:customStyle="1" w:styleId="TableParagraph">
    <w:name w:val="Table Paragraph"/>
    <w:basedOn w:val="Normal"/>
    <w:uiPriority w:val="1"/>
    <w:qFormat/>
    <w:rsid w:val="007305A2"/>
    <w:pPr>
      <w:autoSpaceDE/>
      <w:autoSpaceDN/>
      <w:adjustRightInd/>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594BC5"/>
  </w:style>
  <w:style w:type="character" w:styleId="EndnoteReference">
    <w:name w:val="endnote reference"/>
    <w:basedOn w:val="DefaultParagraphFont"/>
    <w:uiPriority w:val="99"/>
    <w:semiHidden/>
    <w:unhideWhenUsed/>
    <w:rsid w:val="004E4CF6"/>
    <w:rPr>
      <w:vertAlign w:val="superscript"/>
    </w:rPr>
  </w:style>
  <w:style w:type="character" w:customStyle="1" w:styleId="normaltextrun">
    <w:name w:val="normaltextrun"/>
    <w:basedOn w:val="DefaultParagraphFont"/>
    <w:rsid w:val="00F611D8"/>
  </w:style>
  <w:style w:type="paragraph" w:styleId="BodyTextIndent2">
    <w:name w:val="Body Text Indent 2"/>
    <w:basedOn w:val="Normal"/>
    <w:link w:val="BodyTextIndent2Char"/>
    <w:uiPriority w:val="99"/>
    <w:semiHidden/>
    <w:unhideWhenUsed/>
    <w:rsid w:val="00291FDD"/>
    <w:pPr>
      <w:spacing w:after="120" w:line="480" w:lineRule="auto"/>
      <w:ind w:left="360"/>
    </w:pPr>
  </w:style>
  <w:style w:type="character" w:customStyle="1" w:styleId="BodyTextIndent2Char">
    <w:name w:val="Body Text Indent 2 Char"/>
    <w:basedOn w:val="DefaultParagraphFont"/>
    <w:link w:val="BodyTextIndent2"/>
    <w:uiPriority w:val="99"/>
    <w:semiHidden/>
    <w:rsid w:val="00291F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3062">
      <w:bodyDiv w:val="1"/>
      <w:marLeft w:val="0"/>
      <w:marRight w:val="0"/>
      <w:marTop w:val="0"/>
      <w:marBottom w:val="0"/>
      <w:divBdr>
        <w:top w:val="none" w:sz="0" w:space="0" w:color="auto"/>
        <w:left w:val="none" w:sz="0" w:space="0" w:color="auto"/>
        <w:bottom w:val="none" w:sz="0" w:space="0" w:color="auto"/>
        <w:right w:val="none" w:sz="0" w:space="0" w:color="auto"/>
      </w:divBdr>
    </w:div>
    <w:div w:id="278227028">
      <w:bodyDiv w:val="1"/>
      <w:marLeft w:val="0"/>
      <w:marRight w:val="0"/>
      <w:marTop w:val="0"/>
      <w:marBottom w:val="0"/>
      <w:divBdr>
        <w:top w:val="none" w:sz="0" w:space="0" w:color="auto"/>
        <w:left w:val="none" w:sz="0" w:space="0" w:color="auto"/>
        <w:bottom w:val="none" w:sz="0" w:space="0" w:color="auto"/>
        <w:right w:val="none" w:sz="0" w:space="0" w:color="auto"/>
      </w:divBdr>
    </w:div>
    <w:div w:id="558130568">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 w:id="637875938">
      <w:bodyDiv w:val="1"/>
      <w:marLeft w:val="0"/>
      <w:marRight w:val="0"/>
      <w:marTop w:val="0"/>
      <w:marBottom w:val="0"/>
      <w:divBdr>
        <w:top w:val="none" w:sz="0" w:space="0" w:color="auto"/>
        <w:left w:val="none" w:sz="0" w:space="0" w:color="auto"/>
        <w:bottom w:val="none" w:sz="0" w:space="0" w:color="auto"/>
        <w:right w:val="none" w:sz="0" w:space="0" w:color="auto"/>
      </w:divBdr>
    </w:div>
    <w:div w:id="773866723">
      <w:bodyDiv w:val="1"/>
      <w:marLeft w:val="0"/>
      <w:marRight w:val="0"/>
      <w:marTop w:val="0"/>
      <w:marBottom w:val="0"/>
      <w:divBdr>
        <w:top w:val="none" w:sz="0" w:space="0" w:color="auto"/>
        <w:left w:val="none" w:sz="0" w:space="0" w:color="auto"/>
        <w:bottom w:val="none" w:sz="0" w:space="0" w:color="auto"/>
        <w:right w:val="none" w:sz="0" w:space="0" w:color="auto"/>
      </w:divBdr>
    </w:div>
    <w:div w:id="810249049">
      <w:bodyDiv w:val="1"/>
      <w:marLeft w:val="80"/>
      <w:marRight w:val="80"/>
      <w:marTop w:val="0"/>
      <w:marBottom w:val="0"/>
      <w:divBdr>
        <w:top w:val="none" w:sz="0" w:space="0" w:color="auto"/>
        <w:left w:val="none" w:sz="0" w:space="0" w:color="auto"/>
        <w:bottom w:val="none" w:sz="0" w:space="0" w:color="auto"/>
        <w:right w:val="none" w:sz="0" w:space="0" w:color="auto"/>
      </w:divBdr>
      <w:divsChild>
        <w:div w:id="1527408612">
          <w:marLeft w:val="0"/>
          <w:marRight w:val="0"/>
          <w:marTop w:val="0"/>
          <w:marBottom w:val="0"/>
          <w:divBdr>
            <w:top w:val="none" w:sz="0" w:space="0" w:color="auto"/>
            <w:left w:val="none" w:sz="0" w:space="0" w:color="auto"/>
            <w:bottom w:val="none" w:sz="0" w:space="0" w:color="auto"/>
            <w:right w:val="none" w:sz="0" w:space="0" w:color="auto"/>
          </w:divBdr>
          <w:divsChild>
            <w:div w:id="1144659974">
              <w:marLeft w:val="0"/>
              <w:marRight w:val="0"/>
              <w:marTop w:val="0"/>
              <w:marBottom w:val="0"/>
              <w:divBdr>
                <w:top w:val="none" w:sz="0" w:space="0" w:color="auto"/>
                <w:left w:val="none" w:sz="0" w:space="0" w:color="auto"/>
                <w:bottom w:val="none" w:sz="0" w:space="0" w:color="auto"/>
                <w:right w:val="none" w:sz="0" w:space="0" w:color="auto"/>
              </w:divBdr>
            </w:div>
            <w:div w:id="670256230">
              <w:marLeft w:val="0"/>
              <w:marRight w:val="0"/>
              <w:marTop w:val="0"/>
              <w:marBottom w:val="0"/>
              <w:divBdr>
                <w:top w:val="none" w:sz="0" w:space="0" w:color="auto"/>
                <w:left w:val="none" w:sz="0" w:space="0" w:color="auto"/>
                <w:bottom w:val="none" w:sz="0" w:space="0" w:color="auto"/>
                <w:right w:val="none" w:sz="0" w:space="0" w:color="auto"/>
              </w:divBdr>
            </w:div>
            <w:div w:id="422721484">
              <w:marLeft w:val="0"/>
              <w:marRight w:val="0"/>
              <w:marTop w:val="0"/>
              <w:marBottom w:val="108"/>
              <w:divBdr>
                <w:top w:val="none" w:sz="0" w:space="0" w:color="auto"/>
                <w:left w:val="none" w:sz="0" w:space="0" w:color="auto"/>
                <w:bottom w:val="none" w:sz="0" w:space="0" w:color="auto"/>
                <w:right w:val="none" w:sz="0" w:space="0" w:color="auto"/>
              </w:divBdr>
              <w:divsChild>
                <w:div w:id="225797285">
                  <w:marLeft w:val="0"/>
                  <w:marRight w:val="0"/>
                  <w:marTop w:val="0"/>
                  <w:marBottom w:val="0"/>
                  <w:divBdr>
                    <w:top w:val="single" w:sz="4" w:space="2" w:color="6DAEE1"/>
                    <w:left w:val="single" w:sz="4" w:space="0" w:color="6DAEE1"/>
                    <w:bottom w:val="single" w:sz="4" w:space="2" w:color="6DAEE1"/>
                    <w:right w:val="single" w:sz="4" w:space="0" w:color="6DAEE1"/>
                  </w:divBdr>
                  <w:divsChild>
                    <w:div w:id="814184127">
                      <w:marLeft w:val="0"/>
                      <w:marRight w:val="0"/>
                      <w:marTop w:val="0"/>
                      <w:marBottom w:val="0"/>
                      <w:divBdr>
                        <w:top w:val="none" w:sz="0" w:space="0" w:color="auto"/>
                        <w:left w:val="none" w:sz="0" w:space="0" w:color="auto"/>
                        <w:bottom w:val="none" w:sz="0" w:space="0" w:color="auto"/>
                        <w:right w:val="none" w:sz="0" w:space="0" w:color="auto"/>
                      </w:divBdr>
                      <w:divsChild>
                        <w:div w:id="251471637">
                          <w:marLeft w:val="0"/>
                          <w:marRight w:val="0"/>
                          <w:marTop w:val="0"/>
                          <w:marBottom w:val="0"/>
                          <w:divBdr>
                            <w:top w:val="none" w:sz="0" w:space="0" w:color="auto"/>
                            <w:left w:val="none" w:sz="0" w:space="0" w:color="auto"/>
                            <w:bottom w:val="none" w:sz="0" w:space="0" w:color="auto"/>
                            <w:right w:val="none" w:sz="0" w:space="0" w:color="auto"/>
                          </w:divBdr>
                        </w:div>
                        <w:div w:id="1850564302">
                          <w:marLeft w:val="0"/>
                          <w:marRight w:val="0"/>
                          <w:marTop w:val="0"/>
                          <w:marBottom w:val="0"/>
                          <w:divBdr>
                            <w:top w:val="none" w:sz="0" w:space="0" w:color="auto"/>
                            <w:left w:val="none" w:sz="0" w:space="0" w:color="auto"/>
                            <w:bottom w:val="none" w:sz="0" w:space="0" w:color="auto"/>
                            <w:right w:val="none" w:sz="0" w:space="0" w:color="auto"/>
                          </w:divBdr>
                          <w:divsChild>
                            <w:div w:id="1867056064">
                              <w:marLeft w:val="0"/>
                              <w:marRight w:val="0"/>
                              <w:marTop w:val="0"/>
                              <w:marBottom w:val="0"/>
                              <w:divBdr>
                                <w:top w:val="none" w:sz="0" w:space="0" w:color="auto"/>
                                <w:left w:val="none" w:sz="0" w:space="0" w:color="auto"/>
                                <w:bottom w:val="none" w:sz="0" w:space="0" w:color="auto"/>
                                <w:right w:val="none" w:sz="0" w:space="0" w:color="auto"/>
                              </w:divBdr>
                              <w:divsChild>
                                <w:div w:id="1074933986">
                                  <w:marLeft w:val="0"/>
                                  <w:marRight w:val="0"/>
                                  <w:marTop w:val="0"/>
                                  <w:marBottom w:val="150"/>
                                  <w:divBdr>
                                    <w:top w:val="none" w:sz="0" w:space="0" w:color="auto"/>
                                    <w:left w:val="none" w:sz="0" w:space="0" w:color="auto"/>
                                    <w:bottom w:val="none" w:sz="0" w:space="0" w:color="auto"/>
                                    <w:right w:val="none" w:sz="0" w:space="0" w:color="auto"/>
                                  </w:divBdr>
                                  <w:divsChild>
                                    <w:div w:id="1501114482">
                                      <w:marLeft w:val="0"/>
                                      <w:marRight w:val="0"/>
                                      <w:marTop w:val="0"/>
                                      <w:marBottom w:val="40"/>
                                      <w:divBdr>
                                        <w:top w:val="none" w:sz="0" w:space="0" w:color="auto"/>
                                        <w:left w:val="none" w:sz="0" w:space="0" w:color="auto"/>
                                        <w:bottom w:val="none" w:sz="0" w:space="0" w:color="auto"/>
                                        <w:right w:val="none" w:sz="0" w:space="0" w:color="auto"/>
                                      </w:divBdr>
                                    </w:div>
                                    <w:div w:id="840313709">
                                      <w:marLeft w:val="0"/>
                                      <w:marRight w:val="0"/>
                                      <w:marTop w:val="0"/>
                                      <w:marBottom w:val="0"/>
                                      <w:divBdr>
                                        <w:top w:val="none" w:sz="0" w:space="0" w:color="auto"/>
                                        <w:left w:val="none" w:sz="0" w:space="0" w:color="auto"/>
                                        <w:bottom w:val="none" w:sz="0" w:space="0" w:color="auto"/>
                                        <w:right w:val="none" w:sz="0" w:space="0" w:color="auto"/>
                                      </w:divBdr>
                                      <w:divsChild>
                                        <w:div w:id="1514149504">
                                          <w:marLeft w:val="100"/>
                                          <w:marRight w:val="0"/>
                                          <w:marTop w:val="0"/>
                                          <w:marBottom w:val="120"/>
                                          <w:divBdr>
                                            <w:top w:val="none" w:sz="0" w:space="0" w:color="auto"/>
                                            <w:left w:val="none" w:sz="0" w:space="0" w:color="auto"/>
                                            <w:bottom w:val="none" w:sz="0" w:space="0" w:color="auto"/>
                                            <w:right w:val="none" w:sz="0" w:space="0" w:color="auto"/>
                                          </w:divBdr>
                                        </w:div>
                                      </w:divsChild>
                                    </w:div>
                                    <w:div w:id="726614985">
                                      <w:marLeft w:val="0"/>
                                      <w:marRight w:val="0"/>
                                      <w:marTop w:val="0"/>
                                      <w:marBottom w:val="0"/>
                                      <w:divBdr>
                                        <w:top w:val="none" w:sz="0" w:space="0" w:color="auto"/>
                                        <w:left w:val="none" w:sz="0" w:space="0" w:color="auto"/>
                                        <w:bottom w:val="none" w:sz="0" w:space="0" w:color="auto"/>
                                        <w:right w:val="none" w:sz="0" w:space="0" w:color="auto"/>
                                      </w:divBdr>
                                    </w:div>
                                    <w:div w:id="605578442">
                                      <w:marLeft w:val="0"/>
                                      <w:marRight w:val="0"/>
                                      <w:marTop w:val="0"/>
                                      <w:marBottom w:val="0"/>
                                      <w:divBdr>
                                        <w:top w:val="none" w:sz="0" w:space="0" w:color="auto"/>
                                        <w:left w:val="none" w:sz="0" w:space="0" w:color="auto"/>
                                        <w:bottom w:val="none" w:sz="0" w:space="0" w:color="auto"/>
                                        <w:right w:val="none" w:sz="0" w:space="0" w:color="auto"/>
                                      </w:divBdr>
                                      <w:divsChild>
                                        <w:div w:id="1356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626983">
                      <w:marLeft w:val="0"/>
                      <w:marRight w:val="0"/>
                      <w:marTop w:val="0"/>
                      <w:marBottom w:val="0"/>
                      <w:divBdr>
                        <w:top w:val="none" w:sz="0" w:space="0" w:color="auto"/>
                        <w:left w:val="none" w:sz="0" w:space="0" w:color="auto"/>
                        <w:bottom w:val="none" w:sz="0" w:space="0" w:color="auto"/>
                        <w:right w:val="none" w:sz="0" w:space="0" w:color="auto"/>
                      </w:divBdr>
                      <w:divsChild>
                        <w:div w:id="850068307">
                          <w:marLeft w:val="0"/>
                          <w:marRight w:val="0"/>
                          <w:marTop w:val="0"/>
                          <w:marBottom w:val="0"/>
                          <w:divBdr>
                            <w:top w:val="none" w:sz="0" w:space="0" w:color="auto"/>
                            <w:left w:val="none" w:sz="0" w:space="0" w:color="auto"/>
                            <w:bottom w:val="none" w:sz="0" w:space="0" w:color="auto"/>
                            <w:right w:val="none" w:sz="0" w:space="0" w:color="auto"/>
                          </w:divBdr>
                        </w:div>
                        <w:div w:id="2094281110">
                          <w:marLeft w:val="0"/>
                          <w:marRight w:val="0"/>
                          <w:marTop w:val="0"/>
                          <w:marBottom w:val="0"/>
                          <w:divBdr>
                            <w:top w:val="none" w:sz="0" w:space="0" w:color="auto"/>
                            <w:left w:val="none" w:sz="0" w:space="0" w:color="auto"/>
                            <w:bottom w:val="none" w:sz="0" w:space="0" w:color="auto"/>
                            <w:right w:val="none" w:sz="0" w:space="0" w:color="auto"/>
                          </w:divBdr>
                          <w:divsChild>
                            <w:div w:id="88742363">
                              <w:marLeft w:val="0"/>
                              <w:marRight w:val="0"/>
                              <w:marTop w:val="0"/>
                              <w:marBottom w:val="0"/>
                              <w:divBdr>
                                <w:top w:val="none" w:sz="0" w:space="0" w:color="auto"/>
                                <w:left w:val="none" w:sz="0" w:space="0" w:color="auto"/>
                                <w:bottom w:val="none" w:sz="0" w:space="0" w:color="auto"/>
                                <w:right w:val="none" w:sz="0" w:space="0" w:color="auto"/>
                              </w:divBdr>
                              <w:divsChild>
                                <w:div w:id="540365431">
                                  <w:marLeft w:val="0"/>
                                  <w:marRight w:val="0"/>
                                  <w:marTop w:val="0"/>
                                  <w:marBottom w:val="120"/>
                                  <w:divBdr>
                                    <w:top w:val="none" w:sz="0" w:space="0" w:color="auto"/>
                                    <w:left w:val="none" w:sz="0" w:space="0" w:color="auto"/>
                                    <w:bottom w:val="none" w:sz="0" w:space="0" w:color="auto"/>
                                    <w:right w:val="none" w:sz="0" w:space="0" w:color="auto"/>
                                  </w:divBdr>
                                </w:div>
                                <w:div w:id="819884385">
                                  <w:marLeft w:val="0"/>
                                  <w:marRight w:val="0"/>
                                  <w:marTop w:val="0"/>
                                  <w:marBottom w:val="40"/>
                                  <w:divBdr>
                                    <w:top w:val="none" w:sz="0" w:space="0" w:color="auto"/>
                                    <w:left w:val="none" w:sz="0" w:space="0" w:color="auto"/>
                                    <w:bottom w:val="none" w:sz="0" w:space="0" w:color="auto"/>
                                    <w:right w:val="none" w:sz="0" w:space="0" w:color="auto"/>
                                  </w:divBdr>
                                </w:div>
                                <w:div w:id="670913660">
                                  <w:marLeft w:val="0"/>
                                  <w:marRight w:val="0"/>
                                  <w:marTop w:val="0"/>
                                  <w:marBottom w:val="0"/>
                                  <w:divBdr>
                                    <w:top w:val="none" w:sz="0" w:space="0" w:color="auto"/>
                                    <w:left w:val="none" w:sz="0" w:space="0" w:color="auto"/>
                                    <w:bottom w:val="none" w:sz="0" w:space="0" w:color="auto"/>
                                    <w:right w:val="none" w:sz="0" w:space="0" w:color="auto"/>
                                  </w:divBdr>
                                  <w:divsChild>
                                    <w:div w:id="824514668">
                                      <w:marLeft w:val="0"/>
                                      <w:marRight w:val="0"/>
                                      <w:marTop w:val="0"/>
                                      <w:marBottom w:val="40"/>
                                      <w:divBdr>
                                        <w:top w:val="none" w:sz="0" w:space="0" w:color="auto"/>
                                        <w:left w:val="none" w:sz="0" w:space="0" w:color="auto"/>
                                        <w:bottom w:val="none" w:sz="0" w:space="0" w:color="auto"/>
                                        <w:right w:val="none" w:sz="0" w:space="0" w:color="auto"/>
                                      </w:divBdr>
                                    </w:div>
                                    <w:div w:id="2065718683">
                                      <w:marLeft w:val="0"/>
                                      <w:marRight w:val="0"/>
                                      <w:marTop w:val="0"/>
                                      <w:marBottom w:val="40"/>
                                      <w:divBdr>
                                        <w:top w:val="none" w:sz="0" w:space="0" w:color="auto"/>
                                        <w:left w:val="none" w:sz="0" w:space="0" w:color="auto"/>
                                        <w:bottom w:val="none" w:sz="0" w:space="0" w:color="auto"/>
                                        <w:right w:val="none" w:sz="0" w:space="0" w:color="auto"/>
                                      </w:divBdr>
                                    </w:div>
                                  </w:divsChild>
                                </w:div>
                                <w:div w:id="964889609">
                                  <w:marLeft w:val="0"/>
                                  <w:marRight w:val="0"/>
                                  <w:marTop w:val="0"/>
                                  <w:marBottom w:val="40"/>
                                  <w:divBdr>
                                    <w:top w:val="none" w:sz="0" w:space="0" w:color="auto"/>
                                    <w:left w:val="none" w:sz="0" w:space="0" w:color="auto"/>
                                    <w:bottom w:val="none" w:sz="0" w:space="0" w:color="auto"/>
                                    <w:right w:val="none" w:sz="0" w:space="0" w:color="auto"/>
                                  </w:divBdr>
                                </w:div>
                                <w:div w:id="1151824140">
                                  <w:marLeft w:val="0"/>
                                  <w:marRight w:val="0"/>
                                  <w:marTop w:val="30"/>
                                  <w:marBottom w:val="50"/>
                                  <w:divBdr>
                                    <w:top w:val="none" w:sz="0" w:space="0" w:color="auto"/>
                                    <w:left w:val="none" w:sz="0" w:space="0" w:color="auto"/>
                                    <w:bottom w:val="none" w:sz="0" w:space="0" w:color="auto"/>
                                    <w:right w:val="none" w:sz="0" w:space="0" w:color="auto"/>
                                  </w:divBdr>
                                </w:div>
                                <w:div w:id="1844666178">
                                  <w:marLeft w:val="0"/>
                                  <w:marRight w:val="0"/>
                                  <w:marTop w:val="0"/>
                                  <w:marBottom w:val="0"/>
                                  <w:divBdr>
                                    <w:top w:val="none" w:sz="0" w:space="0" w:color="auto"/>
                                    <w:left w:val="none" w:sz="0" w:space="0" w:color="auto"/>
                                    <w:bottom w:val="none" w:sz="0" w:space="0" w:color="auto"/>
                                    <w:right w:val="none" w:sz="0" w:space="0" w:color="auto"/>
                                  </w:divBdr>
                                  <w:divsChild>
                                    <w:div w:id="20697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47096">
                  <w:marLeft w:val="0"/>
                  <w:marRight w:val="0"/>
                  <w:marTop w:val="0"/>
                  <w:marBottom w:val="0"/>
                  <w:divBdr>
                    <w:top w:val="none" w:sz="0" w:space="0" w:color="auto"/>
                    <w:left w:val="none" w:sz="0" w:space="0" w:color="auto"/>
                    <w:bottom w:val="none" w:sz="0" w:space="0" w:color="auto"/>
                    <w:right w:val="none" w:sz="0" w:space="0" w:color="auto"/>
                  </w:divBdr>
                </w:div>
                <w:div w:id="1296369511">
                  <w:marLeft w:val="0"/>
                  <w:marRight w:val="0"/>
                  <w:marTop w:val="0"/>
                  <w:marBottom w:val="0"/>
                  <w:divBdr>
                    <w:top w:val="none" w:sz="0" w:space="0" w:color="auto"/>
                    <w:left w:val="none" w:sz="0" w:space="0" w:color="auto"/>
                    <w:bottom w:val="none" w:sz="0" w:space="0" w:color="auto"/>
                    <w:right w:val="none" w:sz="0" w:space="0" w:color="auto"/>
                  </w:divBdr>
                </w:div>
              </w:divsChild>
            </w:div>
            <w:div w:id="110365902">
              <w:marLeft w:val="0"/>
              <w:marRight w:val="0"/>
              <w:marTop w:val="30"/>
              <w:marBottom w:val="150"/>
              <w:divBdr>
                <w:top w:val="none" w:sz="0" w:space="0" w:color="auto"/>
                <w:left w:val="none" w:sz="0" w:space="0" w:color="auto"/>
                <w:bottom w:val="none" w:sz="0" w:space="0" w:color="auto"/>
                <w:right w:val="none" w:sz="0" w:space="0" w:color="auto"/>
              </w:divBdr>
              <w:divsChild>
                <w:div w:id="1595671402">
                  <w:marLeft w:val="0"/>
                  <w:marRight w:val="0"/>
                  <w:marTop w:val="0"/>
                  <w:marBottom w:val="0"/>
                  <w:divBdr>
                    <w:top w:val="none" w:sz="0" w:space="0" w:color="auto"/>
                    <w:left w:val="none" w:sz="0" w:space="0" w:color="auto"/>
                    <w:bottom w:val="none" w:sz="0" w:space="0" w:color="auto"/>
                    <w:right w:val="none" w:sz="0" w:space="0" w:color="auto"/>
                  </w:divBdr>
                  <w:divsChild>
                    <w:div w:id="2036690781">
                      <w:marLeft w:val="0"/>
                      <w:marRight w:val="0"/>
                      <w:marTop w:val="0"/>
                      <w:marBottom w:val="0"/>
                      <w:divBdr>
                        <w:top w:val="none" w:sz="0" w:space="0" w:color="auto"/>
                        <w:left w:val="none" w:sz="0" w:space="0" w:color="auto"/>
                        <w:bottom w:val="none" w:sz="0" w:space="0" w:color="auto"/>
                        <w:right w:val="none" w:sz="0" w:space="0" w:color="auto"/>
                      </w:divBdr>
                      <w:divsChild>
                        <w:div w:id="836531571">
                          <w:marLeft w:val="0"/>
                          <w:marRight w:val="0"/>
                          <w:marTop w:val="0"/>
                          <w:marBottom w:val="0"/>
                          <w:divBdr>
                            <w:top w:val="none" w:sz="0" w:space="0" w:color="auto"/>
                            <w:left w:val="none" w:sz="0" w:space="0" w:color="auto"/>
                            <w:bottom w:val="dotted" w:sz="4" w:space="3" w:color="D6D6D6"/>
                            <w:right w:val="none" w:sz="0" w:space="0" w:color="auto"/>
                          </w:divBdr>
                        </w:div>
                      </w:divsChild>
                    </w:div>
                  </w:divsChild>
                </w:div>
              </w:divsChild>
            </w:div>
            <w:div w:id="152575677">
              <w:marLeft w:val="0"/>
              <w:marRight w:val="0"/>
              <w:marTop w:val="0"/>
              <w:marBottom w:val="150"/>
              <w:divBdr>
                <w:top w:val="none" w:sz="0" w:space="0" w:color="auto"/>
                <w:left w:val="none" w:sz="0" w:space="0" w:color="auto"/>
                <w:bottom w:val="none" w:sz="0" w:space="0" w:color="auto"/>
                <w:right w:val="none" w:sz="0" w:space="0" w:color="auto"/>
              </w:divBdr>
              <w:divsChild>
                <w:div w:id="1978408849">
                  <w:marLeft w:val="0"/>
                  <w:marRight w:val="0"/>
                  <w:marTop w:val="0"/>
                  <w:marBottom w:val="0"/>
                  <w:divBdr>
                    <w:top w:val="none" w:sz="0" w:space="0" w:color="auto"/>
                    <w:left w:val="none" w:sz="0" w:space="0" w:color="auto"/>
                    <w:bottom w:val="none" w:sz="0" w:space="0" w:color="auto"/>
                    <w:right w:val="none" w:sz="0" w:space="0" w:color="auto"/>
                  </w:divBdr>
                  <w:divsChild>
                    <w:div w:id="82337775">
                      <w:marLeft w:val="0"/>
                      <w:marRight w:val="0"/>
                      <w:marTop w:val="0"/>
                      <w:marBottom w:val="0"/>
                      <w:divBdr>
                        <w:top w:val="none" w:sz="0" w:space="0" w:color="auto"/>
                        <w:left w:val="none" w:sz="0" w:space="0" w:color="auto"/>
                        <w:bottom w:val="none" w:sz="0" w:space="0" w:color="auto"/>
                        <w:right w:val="none" w:sz="0" w:space="0" w:color="auto"/>
                      </w:divBdr>
                      <w:divsChild>
                        <w:div w:id="1496143898">
                          <w:marLeft w:val="690"/>
                          <w:marRight w:val="50"/>
                          <w:marTop w:val="0"/>
                          <w:marBottom w:val="0"/>
                          <w:divBdr>
                            <w:top w:val="none" w:sz="0" w:space="0" w:color="auto"/>
                            <w:left w:val="none" w:sz="0" w:space="0" w:color="auto"/>
                            <w:bottom w:val="none" w:sz="0" w:space="0" w:color="auto"/>
                            <w:right w:val="none" w:sz="0" w:space="0" w:color="auto"/>
                          </w:divBdr>
                        </w:div>
                      </w:divsChild>
                    </w:div>
                  </w:divsChild>
                </w:div>
              </w:divsChild>
            </w:div>
            <w:div w:id="978339123">
              <w:marLeft w:val="0"/>
              <w:marRight w:val="0"/>
              <w:marTop w:val="0"/>
              <w:marBottom w:val="0"/>
              <w:divBdr>
                <w:top w:val="none" w:sz="0" w:space="0" w:color="auto"/>
                <w:left w:val="none" w:sz="0" w:space="0" w:color="auto"/>
                <w:bottom w:val="none" w:sz="0" w:space="0" w:color="auto"/>
                <w:right w:val="none" w:sz="0" w:space="0" w:color="auto"/>
              </w:divBdr>
            </w:div>
            <w:div w:id="10724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7320">
      <w:bodyDiv w:val="1"/>
      <w:marLeft w:val="0"/>
      <w:marRight w:val="0"/>
      <w:marTop w:val="0"/>
      <w:marBottom w:val="0"/>
      <w:divBdr>
        <w:top w:val="none" w:sz="0" w:space="0" w:color="auto"/>
        <w:left w:val="none" w:sz="0" w:space="0" w:color="auto"/>
        <w:bottom w:val="none" w:sz="0" w:space="0" w:color="auto"/>
        <w:right w:val="none" w:sz="0" w:space="0" w:color="auto"/>
      </w:divBdr>
    </w:div>
    <w:div w:id="979113108">
      <w:bodyDiv w:val="1"/>
      <w:marLeft w:val="0"/>
      <w:marRight w:val="0"/>
      <w:marTop w:val="0"/>
      <w:marBottom w:val="0"/>
      <w:divBdr>
        <w:top w:val="none" w:sz="0" w:space="0" w:color="auto"/>
        <w:left w:val="none" w:sz="0" w:space="0" w:color="auto"/>
        <w:bottom w:val="none" w:sz="0" w:space="0" w:color="auto"/>
        <w:right w:val="none" w:sz="0" w:space="0" w:color="auto"/>
      </w:divBdr>
    </w:div>
    <w:div w:id="1059982921">
      <w:bodyDiv w:val="1"/>
      <w:marLeft w:val="0"/>
      <w:marRight w:val="0"/>
      <w:marTop w:val="0"/>
      <w:marBottom w:val="0"/>
      <w:divBdr>
        <w:top w:val="none" w:sz="0" w:space="0" w:color="auto"/>
        <w:left w:val="none" w:sz="0" w:space="0" w:color="auto"/>
        <w:bottom w:val="none" w:sz="0" w:space="0" w:color="auto"/>
        <w:right w:val="none" w:sz="0" w:space="0" w:color="auto"/>
      </w:divBdr>
    </w:div>
    <w:div w:id="1062679040">
      <w:bodyDiv w:val="1"/>
      <w:marLeft w:val="0"/>
      <w:marRight w:val="0"/>
      <w:marTop w:val="0"/>
      <w:marBottom w:val="0"/>
      <w:divBdr>
        <w:top w:val="none" w:sz="0" w:space="0" w:color="auto"/>
        <w:left w:val="none" w:sz="0" w:space="0" w:color="auto"/>
        <w:bottom w:val="none" w:sz="0" w:space="0" w:color="auto"/>
        <w:right w:val="none" w:sz="0" w:space="0" w:color="auto"/>
      </w:divBdr>
    </w:div>
    <w:div w:id="1244339945">
      <w:bodyDiv w:val="1"/>
      <w:marLeft w:val="0"/>
      <w:marRight w:val="0"/>
      <w:marTop w:val="0"/>
      <w:marBottom w:val="0"/>
      <w:divBdr>
        <w:top w:val="none" w:sz="0" w:space="0" w:color="auto"/>
        <w:left w:val="none" w:sz="0" w:space="0" w:color="auto"/>
        <w:bottom w:val="none" w:sz="0" w:space="0" w:color="auto"/>
        <w:right w:val="none" w:sz="0" w:space="0" w:color="auto"/>
      </w:divBdr>
    </w:div>
    <w:div w:id="1508666340">
      <w:bodyDiv w:val="1"/>
      <w:marLeft w:val="0"/>
      <w:marRight w:val="0"/>
      <w:marTop w:val="0"/>
      <w:marBottom w:val="0"/>
      <w:divBdr>
        <w:top w:val="none" w:sz="0" w:space="0" w:color="auto"/>
        <w:left w:val="none" w:sz="0" w:space="0" w:color="auto"/>
        <w:bottom w:val="none" w:sz="0" w:space="0" w:color="auto"/>
        <w:right w:val="none" w:sz="0" w:space="0" w:color="auto"/>
      </w:divBdr>
    </w:div>
    <w:div w:id="1831094451">
      <w:bodyDiv w:val="1"/>
      <w:marLeft w:val="0"/>
      <w:marRight w:val="0"/>
      <w:marTop w:val="0"/>
      <w:marBottom w:val="0"/>
      <w:divBdr>
        <w:top w:val="none" w:sz="0" w:space="0" w:color="auto"/>
        <w:left w:val="none" w:sz="0" w:space="0" w:color="auto"/>
        <w:bottom w:val="none" w:sz="0" w:space="0" w:color="auto"/>
        <w:right w:val="none" w:sz="0" w:space="0" w:color="auto"/>
      </w:divBdr>
    </w:div>
    <w:div w:id="2144497109">
      <w:marLeft w:val="0"/>
      <w:marRight w:val="0"/>
      <w:marTop w:val="0"/>
      <w:marBottom w:val="0"/>
      <w:divBdr>
        <w:top w:val="none" w:sz="0" w:space="0" w:color="auto"/>
        <w:left w:val="none" w:sz="0" w:space="0" w:color="auto"/>
        <w:bottom w:val="none" w:sz="0" w:space="0" w:color="auto"/>
        <w:right w:val="none" w:sz="0" w:space="0" w:color="auto"/>
      </w:divBdr>
    </w:div>
    <w:div w:id="2144497110">
      <w:marLeft w:val="0"/>
      <w:marRight w:val="0"/>
      <w:marTop w:val="0"/>
      <w:marBottom w:val="0"/>
      <w:divBdr>
        <w:top w:val="none" w:sz="0" w:space="0" w:color="auto"/>
        <w:left w:val="none" w:sz="0" w:space="0" w:color="auto"/>
        <w:bottom w:val="none" w:sz="0" w:space="0" w:color="auto"/>
        <w:right w:val="none" w:sz="0" w:space="0" w:color="auto"/>
      </w:divBdr>
    </w:div>
    <w:div w:id="2144497111">
      <w:marLeft w:val="0"/>
      <w:marRight w:val="0"/>
      <w:marTop w:val="0"/>
      <w:marBottom w:val="0"/>
      <w:divBdr>
        <w:top w:val="none" w:sz="0" w:space="0" w:color="auto"/>
        <w:left w:val="none" w:sz="0" w:space="0" w:color="auto"/>
        <w:bottom w:val="none" w:sz="0" w:space="0" w:color="auto"/>
        <w:right w:val="none" w:sz="0" w:space="0" w:color="auto"/>
      </w:divBdr>
    </w:div>
    <w:div w:id="21444971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56FF-A689-4148-AD32-8D1F0F54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vt:lpstr>
    </vt:vector>
  </TitlesOfParts>
  <Company>Employment &amp; Training Administration</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carroll.daniel.j</dc:creator>
  <cp:lastModifiedBy>Wenson Fung</cp:lastModifiedBy>
  <cp:revision>11</cp:revision>
  <cp:lastPrinted>2015-02-04T19:12:00Z</cp:lastPrinted>
  <dcterms:created xsi:type="dcterms:W3CDTF">2021-11-18T19:46:00Z</dcterms:created>
  <dcterms:modified xsi:type="dcterms:W3CDTF">2021-11-19T22:20:00Z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NewReviewCycle">
    <vt:lpwstr/>
  </property>
</Properties>
</file>