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10441" w:rsidP="00116CD5" w:rsidRDefault="00A10441" w14:paraId="4C554728" w14:textId="77777777">
      <w:pPr>
        <w:widowControl/>
        <w:tabs>
          <w:tab w:val="left" w:pos="720"/>
        </w:tabs>
        <w:ind w:left="720" w:hanging="1440"/>
        <w:jc w:val="center"/>
        <w:rPr>
          <w:rFonts w:ascii="Times New Roman" w:hAnsi="Times New Roman"/>
          <w:b/>
          <w:bCs/>
        </w:rPr>
      </w:pPr>
    </w:p>
    <w:p w:rsidRPr="00A47DA7" w:rsidR="00690F56" w:rsidP="00116CD5" w:rsidRDefault="00E4610F" w14:paraId="7E97B93F" w14:textId="13A01049">
      <w:pPr>
        <w:widowControl/>
        <w:tabs>
          <w:tab w:val="left" w:pos="720"/>
        </w:tabs>
        <w:ind w:left="720" w:hanging="1440"/>
        <w:jc w:val="center"/>
        <w:rPr>
          <w:rFonts w:ascii="Times New Roman" w:hAnsi="Times New Roman"/>
          <w:b/>
          <w:bCs/>
        </w:rPr>
      </w:pPr>
      <w:r>
        <w:rPr>
          <w:rFonts w:ascii="Times New Roman" w:hAnsi="Times New Roman"/>
          <w:b/>
          <w:bCs/>
        </w:rPr>
        <w:tab/>
      </w:r>
      <w:r w:rsidRPr="00A47DA7" w:rsidR="00690F56">
        <w:rPr>
          <w:rFonts w:ascii="Times New Roman" w:hAnsi="Times New Roman"/>
          <w:b/>
          <w:bCs/>
        </w:rPr>
        <w:t>SUPPORTING STATEMENT FOR</w:t>
      </w:r>
    </w:p>
    <w:p w:rsidRPr="00E4610F" w:rsidR="00E4610F" w:rsidP="00E4610F" w:rsidRDefault="006626FF" w14:paraId="49D6F3E9" w14:textId="206D592F">
      <w:pPr>
        <w:widowControl/>
        <w:jc w:val="center"/>
        <w:rPr>
          <w:rFonts w:ascii="Times New Roman" w:hAnsi="Times New Roman"/>
          <w:b/>
          <w:bCs/>
        </w:rPr>
      </w:pPr>
      <w:r>
        <w:rPr>
          <w:rFonts w:ascii="Times New Roman" w:hAnsi="Times New Roman"/>
          <w:b/>
          <w:bCs/>
        </w:rPr>
        <w:t xml:space="preserve"> </w:t>
      </w:r>
      <w:r w:rsidR="00E4610F">
        <w:rPr>
          <w:rFonts w:ascii="Times New Roman" w:hAnsi="Times New Roman"/>
          <w:b/>
          <w:bCs/>
        </w:rPr>
        <w:tab/>
      </w:r>
      <w:r w:rsidRPr="00E4610F" w:rsidR="00E4610F">
        <w:rPr>
          <w:rFonts w:ascii="Times New Roman" w:hAnsi="Times New Roman"/>
          <w:b/>
          <w:bCs/>
        </w:rPr>
        <w:t xml:space="preserve">CLAIMS &amp; PAYMENT ACTIVITIES </w:t>
      </w:r>
    </w:p>
    <w:p w:rsidR="00E4610F" w:rsidP="00E4610F" w:rsidRDefault="00E4610F" w14:paraId="55F8E736" w14:textId="77777777">
      <w:pPr>
        <w:widowControl/>
        <w:jc w:val="center"/>
        <w:rPr>
          <w:rFonts w:ascii="Times New Roman" w:hAnsi="Times New Roman"/>
          <w:b/>
          <w:bCs/>
        </w:rPr>
      </w:pPr>
      <w:r w:rsidRPr="00E4610F">
        <w:rPr>
          <w:rFonts w:ascii="Times New Roman" w:hAnsi="Times New Roman"/>
          <w:b/>
          <w:bCs/>
        </w:rPr>
        <w:tab/>
      </w:r>
    </w:p>
    <w:p w:rsidRPr="00E4610F" w:rsidR="00E4610F" w:rsidP="00E4610F" w:rsidRDefault="00E4610F" w14:paraId="565815F9" w14:textId="567152B6">
      <w:pPr>
        <w:widowControl/>
        <w:ind w:firstLine="720"/>
        <w:jc w:val="center"/>
        <w:rPr>
          <w:rFonts w:ascii="Times New Roman" w:hAnsi="Times New Roman"/>
          <w:b/>
          <w:bCs/>
        </w:rPr>
      </w:pPr>
      <w:r w:rsidRPr="00E4610F">
        <w:rPr>
          <w:rFonts w:ascii="Times New Roman" w:hAnsi="Times New Roman"/>
          <w:b/>
          <w:bCs/>
        </w:rPr>
        <w:t xml:space="preserve">OMB </w:t>
      </w:r>
      <w:r>
        <w:rPr>
          <w:rFonts w:ascii="Times New Roman" w:hAnsi="Times New Roman"/>
          <w:b/>
          <w:bCs/>
        </w:rPr>
        <w:t>CONTROL NO.</w:t>
      </w:r>
      <w:r w:rsidRPr="00E4610F">
        <w:rPr>
          <w:rFonts w:ascii="Times New Roman" w:hAnsi="Times New Roman"/>
          <w:b/>
          <w:bCs/>
        </w:rPr>
        <w:t xml:space="preserve"> 1205-0010</w:t>
      </w:r>
    </w:p>
    <w:p w:rsidR="00A10441" w:rsidP="00116CD5" w:rsidRDefault="00A10441" w14:paraId="35B2BDB0" w14:textId="77777777">
      <w:pPr>
        <w:widowControl/>
        <w:jc w:val="center"/>
        <w:rPr>
          <w:rFonts w:ascii="Times New Roman" w:hAnsi="Times New Roman"/>
          <w:b/>
          <w:bCs/>
        </w:rPr>
      </w:pPr>
    </w:p>
    <w:p w:rsidRPr="00D53DEB" w:rsidR="00530EBD" w:rsidP="00116CD5" w:rsidRDefault="00530EBD" w14:paraId="3086E90B" w14:textId="77777777">
      <w:pPr>
        <w:widowControl/>
        <w:jc w:val="center"/>
        <w:rPr>
          <w:rFonts w:ascii="Times New Roman" w:hAnsi="Times New Roman"/>
          <w:bCs/>
        </w:rPr>
      </w:pPr>
    </w:p>
    <w:p w:rsidRPr="00DB6C7E" w:rsidR="00006178" w:rsidP="00006178" w:rsidRDefault="00006178" w14:paraId="0ABB1FC8" w14:textId="4A726F79">
      <w:pPr>
        <w:rPr>
          <w:rFonts w:ascii="Times New Roman" w:hAnsi="Times New Roman"/>
          <w:b/>
          <w:u w:val="single"/>
        </w:rPr>
      </w:pPr>
      <w:r w:rsidRPr="00D53DEB">
        <w:rPr>
          <w:rFonts w:ascii="Times New Roman" w:hAnsi="Times New Roman"/>
          <w:bCs/>
        </w:rPr>
        <w:t xml:space="preserve">This </w:t>
      </w:r>
      <w:r w:rsidR="00E7446C">
        <w:rPr>
          <w:rFonts w:ascii="Times New Roman" w:hAnsi="Times New Roman"/>
          <w:bCs/>
        </w:rPr>
        <w:t>information collection request (</w:t>
      </w:r>
      <w:r w:rsidRPr="00D53DEB">
        <w:rPr>
          <w:rFonts w:ascii="Times New Roman" w:hAnsi="Times New Roman"/>
          <w:bCs/>
        </w:rPr>
        <w:t>ICR</w:t>
      </w:r>
      <w:r w:rsidR="00766123">
        <w:rPr>
          <w:rFonts w:ascii="Times New Roman" w:hAnsi="Times New Roman"/>
          <w:bCs/>
        </w:rPr>
        <w:t>)</w:t>
      </w:r>
      <w:r w:rsidRPr="00D53DEB">
        <w:rPr>
          <w:rFonts w:ascii="Times New Roman" w:hAnsi="Times New Roman"/>
          <w:bCs/>
        </w:rPr>
        <w:t xml:space="preserve"> seeks to </w:t>
      </w:r>
      <w:r>
        <w:rPr>
          <w:rFonts w:ascii="Times New Roman" w:hAnsi="Times New Roman"/>
          <w:bCs/>
        </w:rPr>
        <w:t>renew</w:t>
      </w:r>
      <w:r w:rsidR="00E7446C">
        <w:rPr>
          <w:rFonts w:ascii="Times New Roman" w:hAnsi="Times New Roman"/>
          <w:bCs/>
        </w:rPr>
        <w:t xml:space="preserve"> and extend</w:t>
      </w:r>
      <w:r>
        <w:rPr>
          <w:rFonts w:ascii="Times New Roman" w:hAnsi="Times New Roman"/>
          <w:bCs/>
        </w:rPr>
        <w:t xml:space="preserve"> the </w:t>
      </w:r>
      <w:r w:rsidR="00B80A50">
        <w:rPr>
          <w:rFonts w:ascii="Times New Roman" w:hAnsi="Times New Roman"/>
          <w:bCs/>
        </w:rPr>
        <w:t>Claims and Payment Activities</w:t>
      </w:r>
      <w:r w:rsidRPr="003C57D6">
        <w:rPr>
          <w:rFonts w:ascii="Times New Roman" w:hAnsi="Times New Roman"/>
          <w:bCs/>
        </w:rPr>
        <w:t xml:space="preserve"> data collection.</w:t>
      </w:r>
      <w:r w:rsidRPr="003C57D6">
        <w:t xml:space="preserve"> </w:t>
      </w:r>
    </w:p>
    <w:p w:rsidRPr="00D53DEB" w:rsidR="00530EBD" w:rsidP="00D53DEB" w:rsidRDefault="00530EBD" w14:paraId="42A7085D" w14:textId="77777777">
      <w:pPr>
        <w:widowControl/>
        <w:rPr>
          <w:rFonts w:ascii="Times New Roman" w:hAnsi="Times New Roman"/>
          <w:bCs/>
        </w:rPr>
      </w:pPr>
    </w:p>
    <w:p w:rsidRPr="00A47DA7" w:rsidR="000B6FB6" w:rsidP="00690F56" w:rsidRDefault="000B6FB6" w14:paraId="1CF8A88F" w14:textId="77777777">
      <w:pPr>
        <w:widowControl/>
        <w:rPr>
          <w:rFonts w:ascii="Times New Roman" w:hAnsi="Times New Roman"/>
          <w:b/>
          <w:bCs/>
        </w:rPr>
      </w:pPr>
    </w:p>
    <w:p w:rsidRPr="00A47DA7" w:rsidR="00690F56" w:rsidP="00242CA0" w:rsidRDefault="00690F56"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Pr="00F4518C" w:rsidR="00690F56" w:rsidP="00690F56" w:rsidRDefault="00690F56" w14:paraId="375316BB" w14:textId="77777777">
      <w:pPr>
        <w:widowControl/>
        <w:rPr>
          <w:rFonts w:ascii="Times New Roman" w:hAnsi="Times New Roman"/>
          <w:b/>
          <w:bCs/>
        </w:rPr>
      </w:pPr>
    </w:p>
    <w:p w:rsidRPr="00D53DEB" w:rsidR="00690F56" w:rsidP="00690F56" w:rsidRDefault="00690F56" w14:paraId="099BCB32" w14:textId="77777777">
      <w:pPr>
        <w:widowControl/>
        <w:rPr>
          <w:rFonts w:ascii="Times New Roman" w:hAnsi="Times New Roman"/>
        </w:rPr>
      </w:pPr>
      <w:r w:rsidRPr="00D53DEB">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90F56" w:rsidP="00690F56" w:rsidRDefault="00690F56" w14:paraId="38CEE6AD" w14:textId="50ACDD16">
      <w:pPr>
        <w:widowControl/>
        <w:rPr>
          <w:rFonts w:ascii="Times New Roman" w:hAnsi="Times New Roman"/>
        </w:rPr>
      </w:pPr>
    </w:p>
    <w:p w:rsidRPr="00A47DA7" w:rsidR="00E4610F" w:rsidP="00690F56" w:rsidRDefault="00E4610F" w14:paraId="12AA6AF0" w14:textId="48B8A9FC">
      <w:pPr>
        <w:widowControl/>
        <w:rPr>
          <w:rFonts w:ascii="Times New Roman" w:hAnsi="Times New Roman"/>
        </w:rPr>
      </w:pPr>
      <w:r w:rsidRPr="00E4610F">
        <w:rPr>
          <w:rFonts w:ascii="Times New Roman" w:hAnsi="Times New Roman"/>
        </w:rPr>
        <w:t>The ETA 5159 report provides important program information on claims taking and benefit payment activities under state/federal unemployment insurance laws.  These data are needed for budget preparation and control, program planning and evaluation, personnel assignment, actuarial and program research, and for accounting to Congress and the public.  This collection is authorized under the Social Security Act, Title III, Section 303(a)(6).</w:t>
      </w:r>
    </w:p>
    <w:p w:rsidRPr="00D53DEB" w:rsidR="00690F56" w:rsidP="00690F56" w:rsidRDefault="00690F56" w14:paraId="74744673" w14:textId="77777777">
      <w:pPr>
        <w:widowControl/>
        <w:rPr>
          <w:rFonts w:ascii="Times New Roman" w:hAnsi="Times New Roman"/>
        </w:rPr>
      </w:pPr>
    </w:p>
    <w:p w:rsidRPr="00D53DEB" w:rsidR="00690F56" w:rsidP="00690F56" w:rsidRDefault="00690F56" w14:paraId="2BBF8E2F" w14:textId="77777777">
      <w:pPr>
        <w:widowControl/>
        <w:rPr>
          <w:rFonts w:ascii="Times New Roman" w:hAnsi="Times New Roman"/>
        </w:rPr>
      </w:pPr>
      <w:r w:rsidRPr="00D53DEB">
        <w:rPr>
          <w:rFonts w:ascii="Times New Roman" w:hAnsi="Times New Roman"/>
          <w:b/>
          <w:bCs/>
        </w:rPr>
        <w:t xml:space="preserve"> 2.  Indicate how, by whom, and for what purpose the information is to be used.  Except for a new collection, indicate the actual use the agency has made of the information received from the current collection.</w:t>
      </w:r>
    </w:p>
    <w:p w:rsidR="00690F56" w:rsidP="00690F56" w:rsidRDefault="00690F56" w14:paraId="6EBE63D5" w14:textId="27E35181">
      <w:pPr>
        <w:widowControl/>
        <w:rPr>
          <w:rFonts w:ascii="Times New Roman" w:hAnsi="Times New Roman"/>
          <w:u w:val="single"/>
        </w:rPr>
      </w:pPr>
    </w:p>
    <w:p w:rsidRPr="00E4610F" w:rsidR="00E4610F" w:rsidP="00B80A50" w:rsidRDefault="00E4610F" w14:paraId="705446CC" w14:textId="4537E5E6">
      <w:pPr>
        <w:widowControl/>
        <w:tabs>
          <w:tab w:val="left" w:pos="-1440"/>
        </w:tabs>
        <w:rPr>
          <w:rFonts w:ascii="Times New Roman" w:hAnsi="Times New Roman"/>
        </w:rPr>
      </w:pPr>
      <w:r w:rsidRPr="00E4610F">
        <w:rPr>
          <w:rFonts w:ascii="Times New Roman" w:hAnsi="Times New Roman"/>
        </w:rPr>
        <w:t xml:space="preserve">The information collected on </w:t>
      </w:r>
      <w:r w:rsidR="006B0D7A">
        <w:rPr>
          <w:rFonts w:ascii="Times New Roman" w:hAnsi="Times New Roman"/>
        </w:rPr>
        <w:t xml:space="preserve">the </w:t>
      </w:r>
      <w:r w:rsidRPr="00E4610F">
        <w:rPr>
          <w:rFonts w:ascii="Times New Roman" w:hAnsi="Times New Roman"/>
        </w:rPr>
        <w:t>ETA 5159 report is heavily used in the development of actuarial estimates of UI benefit outlays, claims levels</w:t>
      </w:r>
      <w:r w:rsidR="006B0D7A">
        <w:rPr>
          <w:rFonts w:ascii="Times New Roman" w:hAnsi="Times New Roman"/>
        </w:rPr>
        <w:t>,</w:t>
      </w:r>
      <w:r w:rsidRPr="00E4610F">
        <w:rPr>
          <w:rFonts w:ascii="Times New Roman" w:hAnsi="Times New Roman"/>
        </w:rPr>
        <w:t xml:space="preserve"> and administrative workloads needed for the federal budget process and legislative proposals. These data also allow for analysis of past and current labor market conditions.</w:t>
      </w:r>
    </w:p>
    <w:p w:rsidRPr="00E4610F" w:rsidR="00E4610F" w:rsidP="00B80A50" w:rsidRDefault="00E4610F" w14:paraId="6C2CE423" w14:textId="77777777">
      <w:pPr>
        <w:widowControl/>
        <w:rPr>
          <w:rFonts w:ascii="Times New Roman" w:hAnsi="Times New Roman"/>
        </w:rPr>
      </w:pPr>
    </w:p>
    <w:p w:rsidRPr="00E4610F" w:rsidR="00E4610F" w:rsidP="00B80A50" w:rsidRDefault="00E4610F" w14:paraId="1138FF70" w14:textId="73306935">
      <w:pPr>
        <w:widowControl/>
        <w:rPr>
          <w:rFonts w:ascii="Times New Roman" w:hAnsi="Times New Roman"/>
        </w:rPr>
      </w:pPr>
      <w:r w:rsidRPr="00E4610F">
        <w:rPr>
          <w:rFonts w:ascii="Times New Roman" w:hAnsi="Times New Roman"/>
        </w:rPr>
        <w:t>The key data elements used for state UI benefit estimates include first payments, final payments, weeks claimed, weeks compensated, and benefits paid.  State level benefit payments are also needed to make estimates of potential Title XII advances and loan repayments.</w:t>
      </w:r>
    </w:p>
    <w:p w:rsidRPr="00E4610F" w:rsidR="00E4610F" w:rsidP="00B80A50" w:rsidRDefault="00E4610F" w14:paraId="52AC34BE" w14:textId="77777777">
      <w:pPr>
        <w:widowControl/>
        <w:rPr>
          <w:rFonts w:ascii="Times New Roman" w:hAnsi="Times New Roman"/>
        </w:rPr>
      </w:pPr>
    </w:p>
    <w:p w:rsidRPr="00E4610F" w:rsidR="00E4610F" w:rsidP="00B80A50" w:rsidRDefault="00E4610F" w14:paraId="33703AAF" w14:textId="62FF710C">
      <w:pPr>
        <w:widowControl/>
        <w:rPr>
          <w:rFonts w:ascii="Times New Roman" w:hAnsi="Times New Roman"/>
        </w:rPr>
      </w:pPr>
      <w:r w:rsidRPr="00E4610F">
        <w:rPr>
          <w:rFonts w:ascii="Times New Roman" w:hAnsi="Times New Roman"/>
        </w:rPr>
        <w:t xml:space="preserve">The national estimates of benefit outlays and loans, combined with revenue projections, are used to analyze the solvency of the federal accounts in the Unemployment Trust Fund (UTF) and to determine potential need for general revenue advances.  Monthly benefit outlay estimates are also required for </w:t>
      </w:r>
      <w:r w:rsidR="008810F9">
        <w:rPr>
          <w:rFonts w:ascii="Times New Roman" w:hAnsi="Times New Roman"/>
        </w:rPr>
        <w:t xml:space="preserve">OMB A-11, Section 135 reporting and are utilized by the </w:t>
      </w:r>
      <w:r w:rsidRPr="00E4610F">
        <w:rPr>
          <w:rFonts w:ascii="Times New Roman" w:hAnsi="Times New Roman"/>
        </w:rPr>
        <w:t>U.S. Treasury Department</w:t>
      </w:r>
      <w:r w:rsidR="008810F9">
        <w:rPr>
          <w:rFonts w:ascii="Times New Roman" w:hAnsi="Times New Roman"/>
        </w:rPr>
        <w:t xml:space="preserve"> to monitor the Government’s cash operations among other uses</w:t>
      </w:r>
      <w:r w:rsidRPr="00E4610F">
        <w:rPr>
          <w:rFonts w:ascii="Times New Roman" w:hAnsi="Times New Roman"/>
        </w:rPr>
        <w:t>.</w:t>
      </w:r>
    </w:p>
    <w:p w:rsidRPr="00E4610F" w:rsidR="00E4610F" w:rsidP="00E4610F" w:rsidRDefault="00E4610F" w14:paraId="7388275C" w14:textId="77777777">
      <w:pPr>
        <w:widowControl/>
        <w:rPr>
          <w:rFonts w:ascii="Times New Roman" w:hAnsi="Times New Roman"/>
        </w:rPr>
      </w:pPr>
    </w:p>
    <w:p w:rsidRPr="00E4610F" w:rsidR="00E4610F" w:rsidP="00B80A50" w:rsidRDefault="00E4610F" w14:paraId="495AE1D1" w14:textId="6BD1AF66">
      <w:pPr>
        <w:widowControl/>
        <w:rPr>
          <w:rFonts w:ascii="Times New Roman" w:hAnsi="Times New Roman"/>
        </w:rPr>
      </w:pPr>
      <w:r w:rsidRPr="00E4610F">
        <w:rPr>
          <w:rFonts w:ascii="Times New Roman" w:hAnsi="Times New Roman"/>
        </w:rPr>
        <w:lastRenderedPageBreak/>
        <w:t xml:space="preserve">With respect to workload projections, weeks claimed and initial claims are the items used from the ETA 5159.  These projections are key elements in </w:t>
      </w:r>
      <w:r w:rsidR="009E6534">
        <w:rPr>
          <w:rFonts w:ascii="Times New Roman" w:hAnsi="Times New Roman"/>
        </w:rPr>
        <w:t xml:space="preserve">the </w:t>
      </w:r>
      <w:r w:rsidRPr="00E4610F">
        <w:rPr>
          <w:rFonts w:ascii="Times New Roman" w:hAnsi="Times New Roman"/>
        </w:rPr>
        <w:t>formulation of budget requests to OMB for the State UI and ES Operations (SUIESO) appropriations.</w:t>
      </w:r>
    </w:p>
    <w:p w:rsidRPr="00E4610F" w:rsidR="00E4610F" w:rsidP="00E4610F" w:rsidRDefault="00E4610F" w14:paraId="3E95F042" w14:textId="77777777">
      <w:pPr>
        <w:widowControl/>
        <w:rPr>
          <w:rFonts w:ascii="Times New Roman" w:hAnsi="Times New Roman"/>
        </w:rPr>
      </w:pPr>
    </w:p>
    <w:p w:rsidR="00E4610F" w:rsidP="00E4610F" w:rsidRDefault="00E4610F" w14:paraId="56BA8A3E" w14:textId="6F3EDA73">
      <w:pPr>
        <w:widowControl/>
        <w:rPr>
          <w:rFonts w:ascii="Times New Roman" w:hAnsi="Times New Roman"/>
        </w:rPr>
      </w:pPr>
      <w:r w:rsidRPr="00E4610F">
        <w:rPr>
          <w:rFonts w:ascii="Times New Roman" w:hAnsi="Times New Roman"/>
        </w:rPr>
        <w:t>Weeks claimed and initial claims are also key elements used for the allocation of base administrative funds to the states.</w:t>
      </w:r>
      <w:r w:rsidR="008810F9">
        <w:rPr>
          <w:rFonts w:ascii="Times New Roman" w:hAnsi="Times New Roman"/>
        </w:rPr>
        <w:t xml:space="preserve"> </w:t>
      </w:r>
      <w:r w:rsidRPr="00E4610F">
        <w:rPr>
          <w:rFonts w:ascii="Times New Roman" w:hAnsi="Times New Roman"/>
        </w:rPr>
        <w:t xml:space="preserve"> </w:t>
      </w:r>
      <w:r w:rsidR="005419ED">
        <w:rPr>
          <w:rFonts w:ascii="Times New Roman" w:hAnsi="Times New Roman"/>
        </w:rPr>
        <w:t>Recent reported volumes for these elements are utilized in the production of</w:t>
      </w:r>
      <w:r w:rsidRPr="00E4610F" w:rsidR="005419ED">
        <w:rPr>
          <w:rFonts w:ascii="Times New Roman" w:hAnsi="Times New Roman"/>
        </w:rPr>
        <w:t xml:space="preserve"> </w:t>
      </w:r>
      <w:r w:rsidRPr="00E4610F">
        <w:rPr>
          <w:rFonts w:ascii="Times New Roman" w:hAnsi="Times New Roman"/>
        </w:rPr>
        <w:t xml:space="preserve">state-by-state </w:t>
      </w:r>
      <w:r w:rsidR="005419ED">
        <w:rPr>
          <w:rFonts w:ascii="Times New Roman" w:hAnsi="Times New Roman"/>
        </w:rPr>
        <w:t>workload levels</w:t>
      </w:r>
      <w:r w:rsidRPr="00E4610F" w:rsidR="005419ED">
        <w:rPr>
          <w:rFonts w:ascii="Times New Roman" w:hAnsi="Times New Roman"/>
        </w:rPr>
        <w:t xml:space="preserve"> </w:t>
      </w:r>
      <w:r w:rsidR="005419ED">
        <w:rPr>
          <w:rFonts w:ascii="Times New Roman" w:hAnsi="Times New Roman"/>
        </w:rPr>
        <w:t>for</w:t>
      </w:r>
      <w:r w:rsidRPr="00E4610F" w:rsidR="005419ED">
        <w:rPr>
          <w:rFonts w:ascii="Times New Roman" w:hAnsi="Times New Roman"/>
        </w:rPr>
        <w:t xml:space="preserve"> </w:t>
      </w:r>
      <w:r w:rsidRPr="00E4610F">
        <w:rPr>
          <w:rFonts w:ascii="Times New Roman" w:hAnsi="Times New Roman"/>
        </w:rPr>
        <w:t>these items, which feed into the process to allocate administrative funding to state workforce agencies.  The data collected on this report are also the most frequently requested items from the public because they measure the flows into and out of the UI program, and contain important UI program and economic measures.  Monthly reporting is essential to assure accurate forecasting and timely labor market information</w:t>
      </w:r>
      <w:r w:rsidR="00516CE2">
        <w:rPr>
          <w:rFonts w:ascii="Times New Roman" w:hAnsi="Times New Roman"/>
        </w:rPr>
        <w:t>.</w:t>
      </w:r>
    </w:p>
    <w:p w:rsidRPr="00A47DA7" w:rsidR="00516CE2" w:rsidP="00E4610F" w:rsidRDefault="00516CE2" w14:paraId="2476ED9A" w14:textId="77777777">
      <w:pPr>
        <w:widowControl/>
        <w:rPr>
          <w:rFonts w:ascii="Times New Roman" w:hAnsi="Times New Roman"/>
          <w:u w:val="single"/>
        </w:rPr>
      </w:pPr>
    </w:p>
    <w:p w:rsidRPr="00D53DEB" w:rsidR="00690F56" w:rsidP="00690F56" w:rsidRDefault="00690F56" w14:paraId="1908DC8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00D53DEB" w:rsidR="00237691">
        <w:rPr>
          <w:rFonts w:ascii="Times New Roman" w:hAnsi="Times New Roman"/>
          <w:b/>
          <w:bCs/>
        </w:rPr>
        <w:t>,</w:t>
      </w:r>
      <w:r w:rsidRPr="00D53DEB">
        <w:rPr>
          <w:rFonts w:ascii="Times New Roman" w:hAnsi="Times New Roman"/>
          <w:b/>
          <w:bCs/>
        </w:rPr>
        <w:t xml:space="preserve"> describe any consideration of using information technology to reduce burden.</w:t>
      </w:r>
    </w:p>
    <w:p w:rsidR="00690F56" w:rsidP="00690F56" w:rsidRDefault="00690F56" w14:paraId="1EFFB376" w14:textId="1AF8F2E2">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16CE2" w:rsidP="00690F56" w:rsidRDefault="00516CE2" w14:paraId="5B8A7582" w14:textId="30A0F7F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6EA2">
        <w:rPr>
          <w:rFonts w:ascii="Times New Roman" w:hAnsi="Times New Roman"/>
        </w:rPr>
        <w:t>States have been reporting this data electronically to the National Office for a number of years.  All states have available the ability to access the National Office UI reporting system which accepts files generated by a state computer thus eliminating the need to hand enter data.</w:t>
      </w:r>
    </w:p>
    <w:p w:rsidRPr="006A4637" w:rsidR="00516CE2" w:rsidP="00690F56" w:rsidRDefault="00516CE2" w14:paraId="2A557A00"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29483DE"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Describe efforts to identify duplication.  Show specifically why any similar information already available cannot be used or modified for use for the purposes described in Item </w:t>
      </w:r>
      <w:r w:rsidRPr="00D53DEB" w:rsidR="00237691">
        <w:rPr>
          <w:rFonts w:ascii="Times New Roman" w:hAnsi="Times New Roman"/>
          <w:b/>
          <w:bCs/>
        </w:rPr>
        <w:t>A.</w:t>
      </w:r>
      <w:r w:rsidRPr="00D53DEB">
        <w:rPr>
          <w:rFonts w:ascii="Times New Roman" w:hAnsi="Times New Roman"/>
          <w:b/>
          <w:bCs/>
        </w:rPr>
        <w:t>2 above.</w:t>
      </w:r>
    </w:p>
    <w:p w:rsidR="00690F56" w:rsidP="00690F56" w:rsidRDefault="00690F56" w14:paraId="2693B8DC" w14:textId="59EC2AFC">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516CE2" w:rsidR="00516CE2" w:rsidP="00516CE2" w:rsidRDefault="00516CE2" w14:paraId="27256BC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16CE2">
        <w:rPr>
          <w:rFonts w:ascii="Times New Roman" w:hAnsi="Times New Roman"/>
        </w:rPr>
        <w:t xml:space="preserve">This data is not available from other sources in the detail needed.  Weeks claimed and initial claims are collected on the weekly ETA 539 and ETA 538 (OMB no. 1205-0028) as well as the ETA 5159.  Data from the ETA 539 is used to calculate the 13-week average insured unemployment rate trigger used for extended benefits.  The ETA 538 provides advance figures on initial claims and the insured unemployed so that this economic data will be available to the public timely.  However, the ETA 538 and ETA 539 reports do not contain the detailed information requested for the ETA 5159.  While the ETA 5159 provides more detailed information than the ETA 538 or ETA 539, it does not provide the timeliness that the weekly ETA 538 and ETA 539 do.  </w:t>
      </w:r>
    </w:p>
    <w:p w:rsidRPr="00A47DA7" w:rsidR="00516CE2" w:rsidP="00690F56" w:rsidRDefault="00516CE2" w14:paraId="5439DD3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690F56" w:rsidP="00690F56" w:rsidRDefault="00690F56" w14:paraId="0C27A844"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86EF219"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D53DEB">
        <w:rPr>
          <w:rFonts w:ascii="Times New Roman" w:hAnsi="Times New Roman"/>
          <w:b/>
          <w:bCs/>
        </w:rPr>
        <w:t>If the collection of information impacts small businesses or other small entities</w:t>
      </w:r>
      <w:r w:rsidRPr="00D53DEB" w:rsidR="00237691">
        <w:rPr>
          <w:rFonts w:ascii="Times New Roman" w:hAnsi="Times New Roman"/>
          <w:b/>
          <w:bCs/>
        </w:rPr>
        <w:t>,</w:t>
      </w:r>
      <w:r w:rsidRPr="00D53DEB">
        <w:rPr>
          <w:rFonts w:ascii="Times New Roman" w:hAnsi="Times New Roman"/>
          <w:b/>
          <w:bCs/>
        </w:rPr>
        <w:t xml:space="preserve"> describe any methods used to minimize burden.</w:t>
      </w:r>
    </w:p>
    <w:p w:rsidR="00516CE2" w:rsidP="00690F56" w:rsidRDefault="00516CE2" w14:paraId="41604D43"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516CE2" w14:paraId="5D56A05A" w14:textId="594F7386">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16CE2">
        <w:rPr>
          <w:rFonts w:ascii="Times New Roman" w:hAnsi="Times New Roman"/>
        </w:rPr>
        <w:t xml:space="preserve">There is </w:t>
      </w:r>
      <w:r w:rsidR="00B80A50">
        <w:rPr>
          <w:rFonts w:ascii="Times New Roman" w:hAnsi="Times New Roman"/>
        </w:rPr>
        <w:t xml:space="preserve">no impact on small businesses.  </w:t>
      </w:r>
      <w:r w:rsidRPr="00516CE2">
        <w:rPr>
          <w:rFonts w:ascii="Times New Roman" w:hAnsi="Times New Roman"/>
        </w:rPr>
        <w:t xml:space="preserve">The data that is being collected here is not from the businesses themselves, but from the agreements that have been entered into between the businesses and the states.  As a result, the businesses that elect to enter into STC arrangements with state workforce agencies (SWAs) will not be contacted or impacted.  The data that the </w:t>
      </w:r>
      <w:r w:rsidRPr="00516CE2">
        <w:rPr>
          <w:rFonts w:ascii="Times New Roman" w:hAnsi="Times New Roman"/>
        </w:rPr>
        <w:lastRenderedPageBreak/>
        <w:t xml:space="preserve">Employment and Training Administration (ETA) is proposing to </w:t>
      </w:r>
      <w:r w:rsidR="002508CD">
        <w:rPr>
          <w:rFonts w:ascii="Times New Roman" w:hAnsi="Times New Roman"/>
        </w:rPr>
        <w:t>coll</w:t>
      </w:r>
      <w:r w:rsidRPr="00516CE2">
        <w:rPr>
          <w:rFonts w:ascii="Times New Roman" w:hAnsi="Times New Roman"/>
        </w:rPr>
        <w:t>ect would simply be from state records.</w:t>
      </w:r>
    </w:p>
    <w:p w:rsidRPr="00A973AA" w:rsidR="00516CE2" w:rsidP="00690F56" w:rsidRDefault="00516CE2" w14:paraId="6F2FAC42"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5F528885"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 6</w:t>
      </w:r>
      <w:r w:rsidRPr="00D53DEB" w:rsidR="00237691">
        <w:rPr>
          <w:rFonts w:ascii="Times New Roman" w:hAnsi="Times New Roman"/>
          <w:b/>
          <w:bCs/>
        </w:rPr>
        <w:t>.  Describe the consequence to f</w:t>
      </w:r>
      <w:r w:rsidRPr="00D53DEB">
        <w:rPr>
          <w:rFonts w:ascii="Times New Roman" w:hAnsi="Times New Roman"/>
          <w:b/>
          <w:bCs/>
        </w:rPr>
        <w:t>ederal program or policy activities if the collection is not conducted or is conducted less frequently, as well as any technical or legal obstacles to reducing burden.</w:t>
      </w:r>
    </w:p>
    <w:p w:rsidR="00690F56" w:rsidP="00690F56" w:rsidRDefault="00690F56" w14:paraId="7C4C2F67" w14:textId="6EA17D70">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516CE2" w:rsidP="00690F56" w:rsidRDefault="00516CE2" w14:paraId="44561C16" w14:textId="5FF6E4B4">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16CE2">
        <w:rPr>
          <w:rFonts w:ascii="Times New Roman" w:hAnsi="Times New Roman"/>
        </w:rPr>
        <w:t>This is the most basic report of the unemployment insurance system reporting.  It contains the majority of the data elements used to determine state administrative budgets.  Trends are much harder to predict with four data points a year (quarterly reports) rather than with twelve data points a year (monthly reports).  Because the vast majority of states get this information from computer programs that are already available, the additional burden is negligible.  Making twelve computer runs rather than four has very little impact on the state, while the loss of those data points would greatly weaken Department’s ability to accurately predict program activity.  Furthermore, unlike burden on businesses or individuals, states are funded to collect and report this data through their annual UI administrative grant.</w:t>
      </w:r>
    </w:p>
    <w:p w:rsidRPr="00A47DA7" w:rsidR="0053708C" w:rsidP="00690F56" w:rsidRDefault="0053708C" w14:paraId="5A7B3BFD"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1C3818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D53DEB">
        <w:rPr>
          <w:rFonts w:ascii="Times New Roman" w:hAnsi="Times New Roman"/>
          <w:b/>
          <w:bCs/>
        </w:rPr>
        <w:t>7.  Explain any special circumstances that would cause an information collection to be conducted in a manner:</w:t>
      </w:r>
    </w:p>
    <w:p w:rsidRPr="00D53DEB" w:rsidR="00690F56" w:rsidP="00690F56" w:rsidRDefault="00690F56" w14:paraId="144BC16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Pr="00D53DEB" w:rsidR="00690F56" w:rsidP="00690F56" w:rsidRDefault="00237691" w14:paraId="39464A5B"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report information to the agency more often than quarterly;</w:t>
      </w:r>
    </w:p>
    <w:p w:rsidRPr="00D53DEB" w:rsidR="00690F56" w:rsidP="00690F56" w:rsidRDefault="00690F56" w14:paraId="589F4DA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72734CF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prepare a written response to a collection of information in fewer than 30 days after receipt of it;</w:t>
      </w:r>
    </w:p>
    <w:p w:rsidRPr="00D53DEB" w:rsidR="00690F56" w:rsidP="00690F56" w:rsidRDefault="00690F56" w14:paraId="4C5CBA9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1C6FB789"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submit more than an original and two copies of any document;</w:t>
      </w:r>
    </w:p>
    <w:p w:rsidRPr="00D53DEB" w:rsidR="00690F56" w:rsidP="00690F56" w:rsidRDefault="00690F56" w14:paraId="04E0B3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3B520558"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respondents to retain records, other than health, medical, government contract, grant-in-aid, or tax records for more than three years;</w:t>
      </w:r>
    </w:p>
    <w:p w:rsidRPr="00D53DEB" w:rsidR="00690F56" w:rsidP="00690F56" w:rsidRDefault="00690F56" w14:paraId="54A3D96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2CD76B54"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i</w:t>
      </w:r>
      <w:r w:rsidRPr="00D53DEB" w:rsidR="00690F56">
        <w:rPr>
          <w:b/>
          <w:bCs/>
        </w:rPr>
        <w:t>n connection with a statistical survey</w:t>
      </w:r>
      <w:r w:rsidRPr="00D53DEB">
        <w:rPr>
          <w:b/>
          <w:bCs/>
        </w:rPr>
        <w:t>,</w:t>
      </w:r>
      <w:r w:rsidRPr="00D53DEB" w:rsidR="00690F56">
        <w:rPr>
          <w:b/>
          <w:bCs/>
        </w:rPr>
        <w:t xml:space="preserve"> that is not designed to produce valid and reliable results that can be generalized to the universe of study;</w:t>
      </w:r>
    </w:p>
    <w:p w:rsidRPr="00D53DEB" w:rsidR="00690F56" w:rsidP="00690F56" w:rsidRDefault="00690F56" w14:paraId="5F3D507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4E4545CA" w14:textId="77777777">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r</w:t>
      </w:r>
      <w:r w:rsidRPr="00D53DEB" w:rsidR="00690F56">
        <w:rPr>
          <w:b/>
          <w:bCs/>
        </w:rPr>
        <w:t>equiring the use of statistical data classification that has not been reviewed and approved by OMB;</w:t>
      </w:r>
    </w:p>
    <w:p w:rsidRPr="00D53DEB" w:rsidR="00690F56" w:rsidP="00690F56" w:rsidRDefault="00690F56" w14:paraId="52933EAF"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690F56" w:rsidP="00690F56" w:rsidRDefault="00237691" w14:paraId="75D8936B" w14:textId="533AF946">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bCs/>
        </w:rPr>
        <w:t>t</w:t>
      </w:r>
      <w:r w:rsidRPr="00D53DEB" w:rsidR="00690F56">
        <w:rPr>
          <w:b/>
          <w:bCs/>
        </w:rPr>
        <w:t>hat includes a pledge of confidential</w:t>
      </w:r>
      <w:r w:rsidR="00D05EAB">
        <w:rPr>
          <w:b/>
          <w:bCs/>
        </w:rPr>
        <w:t>it</w:t>
      </w:r>
      <w:r w:rsidRPr="00D53DEB" w:rsidR="00690F56">
        <w:rPr>
          <w:b/>
          <w:bCs/>
        </w:rPr>
        <w:t>y that is not supported by authority established in statu</w:t>
      </w:r>
      <w:r w:rsidRPr="00D53DEB" w:rsidR="00CD215D">
        <w:rPr>
          <w:b/>
          <w:bCs/>
        </w:rPr>
        <w:t>t</w:t>
      </w:r>
      <w:r w:rsidRPr="00D53DEB" w:rsidR="00690F56">
        <w:rPr>
          <w:b/>
          <w:bCs/>
        </w:rPr>
        <w:t>e or regulation</w:t>
      </w:r>
      <w:r w:rsidRPr="00D53DEB">
        <w:rPr>
          <w:b/>
          <w:bCs/>
        </w:rPr>
        <w:t>,</w:t>
      </w:r>
      <w:r w:rsidRPr="00D53DEB" w:rsidR="00690F56">
        <w:rPr>
          <w:b/>
          <w:bCs/>
        </w:rPr>
        <w:t xml:space="preserve"> that is not supported by disclosure and data security policies that are consistent with the pledge, or which unnecessarily impedes sharing of data with other agencies for compatible confidential use; or</w:t>
      </w:r>
    </w:p>
    <w:p w:rsidRPr="00D53DEB" w:rsidR="00690F56" w:rsidP="00690F56" w:rsidRDefault="00690F56" w14:paraId="109C5387"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Pr="00D53DEB" w:rsidR="00690F56" w:rsidP="00690F56" w:rsidRDefault="00237691" w14:paraId="583D2BFF" w14:textId="1D275F38">
      <w:pPr>
        <w:pStyle w:val="Level1"/>
        <w:widowControl/>
        <w:numPr>
          <w:ilvl w:val="0"/>
          <w:numId w:val="1"/>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D53DEB">
        <w:rPr>
          <w:b/>
          <w:bCs/>
        </w:rPr>
        <w:lastRenderedPageBreak/>
        <w:t>r</w:t>
      </w:r>
      <w:r w:rsidRPr="00D53DEB" w:rsidR="00690F56">
        <w:rPr>
          <w:b/>
          <w:bCs/>
        </w:rPr>
        <w:t xml:space="preserve">equiring respondents to submit proprietary trade secret, or other confidential information unless the agency can </w:t>
      </w:r>
      <w:r w:rsidRPr="00D53DEB">
        <w:rPr>
          <w:b/>
          <w:bCs/>
        </w:rPr>
        <w:t>demonstrate</w:t>
      </w:r>
      <w:r w:rsidRPr="00D53DEB" w:rsidR="00690F56">
        <w:rPr>
          <w:b/>
          <w:bCs/>
        </w:rPr>
        <w:t xml:space="preserve"> that it has instituted procedures to protect the information's confidential</w:t>
      </w:r>
      <w:r w:rsidR="00D05EAB">
        <w:rPr>
          <w:b/>
          <w:bCs/>
        </w:rPr>
        <w:t>it</w:t>
      </w:r>
      <w:r w:rsidRPr="00D53DEB" w:rsidR="00690F56">
        <w:rPr>
          <w:b/>
          <w:bCs/>
        </w:rPr>
        <w:t>y to the extent permitted by law.</w:t>
      </w:r>
    </w:p>
    <w:p w:rsidRPr="00D53DEB" w:rsidR="00642220" w:rsidP="00642220" w:rsidRDefault="00642220" w14:paraId="3DCDBA31"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690F56" w:rsidP="00690F56" w:rsidRDefault="003C0ABC" w14:paraId="186CBA80" w14:textId="77F01CF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C0ABC">
        <w:rPr>
          <w:rFonts w:ascii="Times New Roman" w:hAnsi="Times New Roman"/>
        </w:rPr>
        <w:t>The collection is consistent with 5 CFR 1320.5 except that monthly frequency is requested based on the rationale provided in item 6 above.</w:t>
      </w:r>
    </w:p>
    <w:p w:rsidRPr="00871CA6" w:rsidR="003C0ABC" w:rsidP="00690F56" w:rsidRDefault="003C0ABC" w14:paraId="51952BD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1E3B8C08" w14:textId="580FBE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  If applicable, provide a copy and identify the date and page number of </w:t>
      </w:r>
      <w:proofErr w:type="gramStart"/>
      <w:r w:rsidRPr="00D53DEB">
        <w:rPr>
          <w:rFonts w:ascii="Times New Roman" w:hAnsi="Times New Roman"/>
          <w:b/>
          <w:bCs/>
        </w:rPr>
        <w:t>publication</w:t>
      </w:r>
      <w:proofErr w:type="gramEnd"/>
      <w:r w:rsidRPr="00D53DEB">
        <w:rPr>
          <w:rFonts w:ascii="Times New Roman" w:hAnsi="Times New Roman"/>
          <w:b/>
          <w:bCs/>
        </w:rPr>
        <w:t xml:space="preserve"> in the </w:t>
      </w:r>
      <w:r w:rsidRPr="00D53DEB">
        <w:rPr>
          <w:rStyle w:val="Heading2Char"/>
          <w:rFonts w:ascii="Times New Roman" w:hAnsi="Times New Roman" w:cs="Times New Roman"/>
          <w:bCs w:val="0"/>
          <w:sz w:val="24"/>
          <w:szCs w:val="24"/>
        </w:rPr>
        <w:t>Federal Register</w:t>
      </w:r>
      <w:r w:rsidRPr="00D53DEB">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D53DEB" w:rsidR="00690F56" w:rsidP="00690F56" w:rsidRDefault="00690F56" w14:paraId="6D77C5FA"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26F2F51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D53DEB" w:rsidR="00690F56" w:rsidP="00690F56" w:rsidRDefault="00690F56" w14:paraId="51B060B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P="00690F56" w:rsidRDefault="00690F56" w14:paraId="767B60FC" w14:textId="2D39578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Consultation with representatives of those from whom information is to be obtained or those who must compile records should occur at least once every 3 years</w:t>
      </w:r>
      <w:r w:rsidRPr="00D53DEB" w:rsidR="00901EF6">
        <w:rPr>
          <w:rFonts w:ascii="Times New Roman" w:hAnsi="Times New Roman"/>
          <w:b/>
          <w:bCs/>
        </w:rPr>
        <w:t xml:space="preserve"> --</w:t>
      </w:r>
      <w:r w:rsidRPr="00D53DEB">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Pr="00D53DEB" w:rsidR="003C0ABC" w:rsidP="00690F56" w:rsidRDefault="003C0ABC" w14:paraId="0BDF89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3C0ABC" w14:paraId="7644A432" w14:textId="507628C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76EA2">
        <w:rPr>
          <w:rFonts w:ascii="Times New Roman" w:hAnsi="Times New Roman"/>
        </w:rPr>
        <w:t xml:space="preserve">In accordance with the Paperwork Reduction Act of 1995, the public was </w:t>
      </w:r>
      <w:r w:rsidRPr="00533878">
        <w:rPr>
          <w:rFonts w:ascii="Times New Roman" w:hAnsi="Times New Roman"/>
        </w:rPr>
        <w:t>allowed 60 days to review and comment through the Federal Register Notice posted on</w:t>
      </w:r>
      <w:r w:rsidRPr="00083983">
        <w:rPr>
          <w:rFonts w:ascii="Times New Roman" w:hAnsi="Times New Roman"/>
        </w:rPr>
        <w:t xml:space="preserve"> </w:t>
      </w:r>
      <w:r w:rsidR="00006178">
        <w:rPr>
          <w:rFonts w:ascii="Times New Roman" w:hAnsi="Times New Roman"/>
        </w:rPr>
        <w:t>July 8, 2021</w:t>
      </w:r>
      <w:r w:rsidRPr="00083983">
        <w:rPr>
          <w:rFonts w:ascii="Times New Roman" w:hAnsi="Times New Roman"/>
        </w:rPr>
        <w:t xml:space="preserve"> (</w:t>
      </w:r>
      <w:r w:rsidR="00006178">
        <w:rPr>
          <w:rFonts w:ascii="Times New Roman" w:hAnsi="Times New Roman"/>
        </w:rPr>
        <w:t>86 FR 36161</w:t>
      </w:r>
      <w:r w:rsidRPr="00083983">
        <w:rPr>
          <w:rFonts w:ascii="Times New Roman" w:hAnsi="Times New Roman"/>
        </w:rPr>
        <w:t xml:space="preserve">).  </w:t>
      </w:r>
      <w:r w:rsidR="002508CD">
        <w:rPr>
          <w:rFonts w:ascii="Times New Roman" w:hAnsi="Times New Roman"/>
        </w:rPr>
        <w:t>One comment was received from a Federal Government data user (research) in support of the continued collection of this data</w:t>
      </w:r>
      <w:r w:rsidRPr="00C76EA2">
        <w:rPr>
          <w:rFonts w:ascii="Times New Roman" w:hAnsi="Times New Roman"/>
        </w:rPr>
        <w:t>.</w:t>
      </w:r>
    </w:p>
    <w:p w:rsidRPr="00A47DA7" w:rsidR="0060114B" w:rsidP="0060114B" w:rsidRDefault="0060114B" w14:paraId="425C0DB9" w14:textId="77777777">
      <w:pPr>
        <w:widowControl/>
        <w:autoSpaceDE/>
        <w:autoSpaceDN/>
        <w:adjustRightInd/>
        <w:rPr>
          <w:rFonts w:ascii="Times New Roman" w:hAnsi="Times New Roman" w:eastAsia="Calibri"/>
        </w:rPr>
      </w:pPr>
    </w:p>
    <w:p w:rsidR="00690F56" w:rsidP="00690F56" w:rsidRDefault="00690F56" w14:paraId="608739E9" w14:textId="7F3D323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9.  Explain any decision to provide any payments or gift</w:t>
      </w:r>
      <w:r w:rsidR="009441E2">
        <w:rPr>
          <w:rFonts w:ascii="Times New Roman" w:hAnsi="Times New Roman"/>
          <w:b/>
          <w:bCs/>
        </w:rPr>
        <w:t>s</w:t>
      </w:r>
      <w:r w:rsidRPr="00D53DEB">
        <w:rPr>
          <w:rFonts w:ascii="Times New Roman" w:hAnsi="Times New Roman"/>
          <w:b/>
          <w:bCs/>
        </w:rPr>
        <w:t xml:space="preserve"> to respondents, other than </w:t>
      </w:r>
      <w:r w:rsidRPr="00D53DEB" w:rsidR="006E1A08">
        <w:rPr>
          <w:rFonts w:ascii="Times New Roman" w:hAnsi="Times New Roman"/>
          <w:b/>
          <w:bCs/>
        </w:rPr>
        <w:t>remuneration</w:t>
      </w:r>
      <w:r w:rsidRPr="00D53DEB">
        <w:rPr>
          <w:rFonts w:ascii="Times New Roman" w:hAnsi="Times New Roman"/>
          <w:b/>
          <w:bCs/>
        </w:rPr>
        <w:t xml:space="preserve"> of contractors or grantees.</w:t>
      </w:r>
    </w:p>
    <w:p w:rsidRPr="00D53DEB" w:rsidR="003C0ABC" w:rsidP="00690F56" w:rsidRDefault="003C0ABC" w14:paraId="69BC201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47DA7" w:rsidR="00690F56" w:rsidP="00690F56" w:rsidRDefault="003C0ABC" w14:paraId="3EC59954" w14:textId="31CBFA0B">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76EA2">
        <w:rPr>
          <w:rFonts w:ascii="Times New Roman" w:hAnsi="Times New Roman"/>
        </w:rPr>
        <w:t>No payments are made to respondents.</w:t>
      </w:r>
    </w:p>
    <w:p w:rsidRPr="00871CA6" w:rsidR="00690F56" w:rsidP="00690F56" w:rsidRDefault="00690F56" w14:paraId="3D9804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9E234B" w14:paraId="0BFB46C5" w14:textId="5488FE5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10.  </w:t>
      </w:r>
      <w:r w:rsidRPr="00D53DEB" w:rsidR="00690F56">
        <w:rPr>
          <w:rFonts w:ascii="Times New Roman" w:hAnsi="Times New Roman"/>
          <w:b/>
          <w:bCs/>
        </w:rPr>
        <w:t>Describe any assurance of confidentiality provided to respondents and the basis for the assurance in statute, regulation, or agency policy.</w:t>
      </w:r>
    </w:p>
    <w:p w:rsidRPr="00D53DEB" w:rsidR="003C0ABC" w:rsidP="00690F56" w:rsidRDefault="003C0ABC" w14:paraId="26927C1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47DA7" w:rsidR="00690F56" w:rsidP="00690F56" w:rsidRDefault="003C0ABC" w14:paraId="41D6A133" w14:textId="2590164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rPr>
        <w:t>The ETA 5159 reports</w:t>
      </w:r>
      <w:r w:rsidRPr="00C76EA2">
        <w:rPr>
          <w:rFonts w:ascii="Times New Roman" w:hAnsi="Times New Roman"/>
        </w:rPr>
        <w:t xml:space="preserve"> contain no personal or confidential data.</w:t>
      </w:r>
    </w:p>
    <w:p w:rsidRPr="00871CA6" w:rsidR="00690F56" w:rsidP="00690F56" w:rsidRDefault="00690F56" w14:paraId="61F2ECC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690F56" w:rsidRDefault="009E234B" w14:paraId="3F71900A" w14:textId="1F405DE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11. </w:t>
      </w:r>
      <w:r w:rsidRPr="00D53DEB" w:rsidR="00690F56">
        <w:rPr>
          <w:rFonts w:ascii="Times New Roman" w:hAnsi="Times New Roman"/>
          <w:b/>
          <w:bCs/>
        </w:rPr>
        <w:t xml:space="preserve">Provide additional justification for any questions of a sensitive nature, such as sexual behavior and attitudes, religious beliefs, and other matters that are commonly considered private.  This justification should include the reasons why the </w:t>
      </w:r>
      <w:r w:rsidRPr="00D53DEB" w:rsidR="00C667F3">
        <w:rPr>
          <w:rFonts w:ascii="Times New Roman" w:hAnsi="Times New Roman"/>
          <w:b/>
          <w:bCs/>
        </w:rPr>
        <w:t>a</w:t>
      </w:r>
      <w:r w:rsidRPr="00D53DEB" w:rsidR="00690F56">
        <w:rPr>
          <w:rFonts w:ascii="Times New Roman" w:hAnsi="Times New Roman"/>
          <w:b/>
          <w:bCs/>
        </w:rPr>
        <w:t xml:space="preserve">gency considers the questions necessary, the specific uses to be made of the information, the explanation to be </w:t>
      </w:r>
      <w:r w:rsidRPr="00D53DEB" w:rsidR="00690F56">
        <w:rPr>
          <w:rFonts w:ascii="Times New Roman" w:hAnsi="Times New Roman"/>
          <w:b/>
          <w:bCs/>
        </w:rPr>
        <w:lastRenderedPageBreak/>
        <w:t>given to persons from whom the information is requested, and any steps to be taken to obtain their consent.</w:t>
      </w:r>
    </w:p>
    <w:p w:rsidRPr="00D53DEB" w:rsidR="003C0ABC" w:rsidP="00690F56" w:rsidRDefault="003C0ABC" w14:paraId="035F82E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A47DA7" w:rsidR="00690F56" w:rsidP="00690F56" w:rsidRDefault="003C0ABC" w14:paraId="02AFA701" w14:textId="0C253E3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C76EA2">
        <w:rPr>
          <w:rFonts w:ascii="Times New Roman" w:hAnsi="Times New Roman"/>
        </w:rPr>
        <w:t>There are no questions of a sensitive nature.</w:t>
      </w:r>
    </w:p>
    <w:p w:rsidRPr="00871CA6" w:rsidR="00690F56" w:rsidP="00690F56" w:rsidRDefault="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39124B7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12.  Provide estimates of the hour burden of the collection of information.  The statement should:</w:t>
      </w:r>
    </w:p>
    <w:p w:rsidRPr="00D53DEB" w:rsidR="00690F56" w:rsidP="00690F56" w:rsidRDefault="00690F56" w14:paraId="0DE6D34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690F56" w:rsidP="00C667F3" w:rsidRDefault="00C667F3" w14:paraId="6B440E9A" w14:textId="0A1031AC">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Indicate </w:t>
      </w:r>
      <w:r w:rsidRPr="00D53DEB" w:rsidR="00690F56">
        <w:rPr>
          <w:rFonts w:ascii="Times New Roman" w:hAnsi="Times New Roman"/>
          <w:b/>
          <w:bCs/>
        </w:rPr>
        <w:t>the number of respondents, frequency of response, annual hour burden, and an explanation o</w:t>
      </w:r>
      <w:r w:rsidRPr="00D53DEB" w:rsidR="00D2331B">
        <w:rPr>
          <w:rFonts w:ascii="Times New Roman" w:hAnsi="Times New Roman"/>
          <w:b/>
          <w:bCs/>
        </w:rPr>
        <w:t xml:space="preserve">f </w:t>
      </w:r>
      <w:r w:rsidRPr="00D53DEB" w:rsidR="00690F56">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sidR="00D05EAB">
        <w:rPr>
          <w:rFonts w:ascii="Times New Roman" w:hAnsi="Times New Roman"/>
          <w:b/>
          <w:bCs/>
        </w:rPr>
        <w:t>ly</w:t>
      </w:r>
      <w:r w:rsidRPr="00D53DEB">
        <w:rPr>
          <w:rFonts w:ascii="Times New Roman" w:hAnsi="Times New Roman"/>
          <w:b/>
          <w:bCs/>
        </w:rPr>
        <w:t>,</w:t>
      </w:r>
      <w:r w:rsidRPr="00D53DEB" w:rsidR="00690F56">
        <w:rPr>
          <w:rFonts w:ascii="Times New Roman" w:hAnsi="Times New Roman"/>
          <w:b/>
          <w:bCs/>
        </w:rPr>
        <w:t xml:space="preserve"> estimates should not include burden hours</w:t>
      </w:r>
      <w:r w:rsidRPr="00D53DEB" w:rsidR="00CD215D">
        <w:rPr>
          <w:rFonts w:ascii="Times New Roman" w:hAnsi="Times New Roman"/>
          <w:b/>
          <w:bCs/>
        </w:rPr>
        <w:t xml:space="preserve"> </w:t>
      </w:r>
      <w:r w:rsidRPr="00D53DEB" w:rsidR="00690F56">
        <w:rPr>
          <w:rFonts w:ascii="Times New Roman" w:hAnsi="Times New Roman"/>
          <w:b/>
          <w:bCs/>
        </w:rPr>
        <w:t>for customary and usual business practices.</w:t>
      </w:r>
    </w:p>
    <w:p w:rsidRPr="00D53DEB" w:rsidR="00690F56" w:rsidP="00690F56" w:rsidRDefault="00690F56" w14:paraId="2CF112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Pr="00D53DEB" w:rsidR="007A7F79" w:rsidP="007A7F79" w:rsidRDefault="007A7F79" w14:paraId="37614E37" w14:textId="77777777">
      <w:pPr>
        <w:pStyle w:val="Level1"/>
        <w:widowControl/>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Pr="00D53DEB" w:rsidR="00882B1D" w:rsidP="00AF2C11" w:rsidRDefault="00882B1D" w14:paraId="2B02672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Pr="00D53DEB" w:rsidR="00CD215D" w:rsidP="00C667F3" w:rsidRDefault="00690F56" w14:paraId="163C0E79" w14:textId="77777777">
      <w:pPr>
        <w:widowControl/>
        <w:numPr>
          <w:ilvl w:val="0"/>
          <w:numId w:val="4"/>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w:t>
      </w:r>
      <w:r w:rsidRPr="00D53DEB" w:rsidR="00312124">
        <w:rPr>
          <w:rFonts w:ascii="Times New Roman" w:hAnsi="Times New Roman"/>
          <w:b/>
          <w:bCs/>
        </w:rPr>
        <w:t>this cost</w:t>
      </w:r>
      <w:r w:rsidRPr="00D53DEB" w:rsidR="00C667F3">
        <w:rPr>
          <w:rFonts w:ascii="Times New Roman" w:hAnsi="Times New Roman"/>
          <w:b/>
          <w:bCs/>
        </w:rPr>
        <w:t xml:space="preserve"> should be included in Item 14</w:t>
      </w:r>
      <w:r w:rsidRPr="00D53DEB">
        <w:rPr>
          <w:rFonts w:ascii="Times New Roman" w:hAnsi="Times New Roman"/>
          <w:b/>
          <w:bCs/>
        </w:rPr>
        <w:t>.</w:t>
      </w:r>
    </w:p>
    <w:p w:rsidR="006626FF" w:rsidP="003C0ABC" w:rsidRDefault="006626FF" w14:paraId="49938EA8" w14:textId="341395D9">
      <w:pPr>
        <w:rPr>
          <w:rFonts w:ascii="Times New Roman" w:hAnsi="Times New Roman"/>
          <w:b/>
          <w:bCs/>
        </w:rPr>
      </w:pPr>
    </w:p>
    <w:p w:rsidRPr="00B80A50" w:rsidR="003C0ABC" w:rsidP="003C0ABC" w:rsidRDefault="003C0ABC" w14:paraId="3E430A2C" w14:textId="7806FAE0">
      <w:pPr>
        <w:rPr>
          <w:rFonts w:ascii="Times New Roman" w:hAnsi="Times New Roman"/>
        </w:rPr>
      </w:pPr>
      <w:r w:rsidRPr="00B80A50">
        <w:rPr>
          <w:rFonts w:ascii="Times New Roman" w:hAnsi="Times New Roman"/>
        </w:rPr>
        <w:t xml:space="preserve">States use electronic reporting as a part of their normal data processing operations. </w:t>
      </w:r>
      <w:r w:rsidR="002508CD">
        <w:rPr>
          <w:rFonts w:ascii="Times New Roman" w:hAnsi="Times New Roman"/>
        </w:rPr>
        <w:t xml:space="preserve"> </w:t>
      </w:r>
      <w:r w:rsidRPr="00B80A50">
        <w:rPr>
          <w:rFonts w:ascii="Times New Roman" w:hAnsi="Times New Roman"/>
        </w:rPr>
        <w:t>The reporting involved in this collection does not involve manual tabulation, but pre-programmed and automated scripts that aggregate transactions that are stored in the state mainframe as a result of daily processing of claims from unemployed people in the state.  Based on previous experience and ad hoc conversations with State Workforce Agency (SWA) personnel, it is estimated that the burden for running an extract from the state system, reviewing it, and uploading it into the ETA reporting system takes approximately two hours.  This is independent of program type as the burden is largely administrative in generating the extract and reviewing it for quality assurance purposes.</w:t>
      </w:r>
    </w:p>
    <w:p w:rsidRPr="00B80A50" w:rsidR="003C0ABC" w:rsidP="003C0ABC" w:rsidRDefault="003C0ABC" w14:paraId="2CEA21D6" w14:textId="77777777">
      <w:pPr>
        <w:rPr>
          <w:rFonts w:ascii="Times New Roman" w:hAnsi="Times New Roman"/>
        </w:rPr>
      </w:pPr>
    </w:p>
    <w:p w:rsidRPr="00B80A50" w:rsidR="003C0ABC" w:rsidP="003C0ABC" w:rsidRDefault="003C0ABC" w14:paraId="2D20DF24" w14:textId="4DDC80F5">
      <w:pPr>
        <w:rPr>
          <w:rFonts w:ascii="Times New Roman" w:hAnsi="Times New Roman"/>
        </w:rPr>
      </w:pPr>
      <w:r w:rsidRPr="00B80A50">
        <w:rPr>
          <w:rFonts w:ascii="Times New Roman" w:hAnsi="Times New Roman"/>
        </w:rPr>
        <w:t>ETA currently maintains 3 possible ETA 5159 reports</w:t>
      </w:r>
      <w:r w:rsidR="002508CD">
        <w:rPr>
          <w:rFonts w:ascii="Times New Roman" w:hAnsi="Times New Roman"/>
        </w:rPr>
        <w:t xml:space="preserve"> subject to the PRA</w:t>
      </w:r>
      <w:r w:rsidRPr="00B80A50">
        <w:rPr>
          <w:rFonts w:ascii="Times New Roman" w:hAnsi="Times New Roman"/>
        </w:rPr>
        <w:t>: the regular program, the Federal-state Extended benefits (EB) program, and the Workshare/STC.  Though states only need to submit EB reports when there is activity and not all states participate in workshare, the maximum possible burden states could encounter would be submitting all 3 reports, 12 months a year, at two hours per submittal.  ETA would estimate the maximum possible Federal reporting burden placed on states by ETA as a result of this collection to be:</w:t>
      </w:r>
    </w:p>
    <w:p w:rsidRPr="00B80A50" w:rsidR="003C0ABC" w:rsidP="003C0ABC" w:rsidRDefault="003C0ABC" w14:paraId="611D3E18" w14:textId="77777777">
      <w:pPr>
        <w:rPr>
          <w:rFonts w:ascii="Times New Roman" w:hAnsi="Times New Roman"/>
        </w:rPr>
      </w:pPr>
    </w:p>
    <w:p w:rsidRPr="00B80A50" w:rsidR="003C0ABC" w:rsidP="003C0ABC" w:rsidRDefault="003C0ABC" w14:paraId="39E40CA4" w14:textId="77777777">
      <w:pPr>
        <w:rPr>
          <w:rFonts w:ascii="Times New Roman" w:hAnsi="Times New Roman"/>
        </w:rPr>
      </w:pPr>
      <w:r w:rsidRPr="00B80A50">
        <w:rPr>
          <w:rFonts w:ascii="Times New Roman" w:hAnsi="Times New Roman"/>
        </w:rPr>
        <w:tab/>
        <w:t xml:space="preserve">   53 states x 12 reports/year x 3 programs x 2 hours per submittal = 3,816 hours</w:t>
      </w:r>
    </w:p>
    <w:p w:rsidRPr="00B80A50" w:rsidR="003C0ABC" w:rsidP="003C0ABC" w:rsidRDefault="003C0ABC" w14:paraId="7CC5B4F5" w14:textId="77777777">
      <w:pPr>
        <w:rPr>
          <w:rFonts w:ascii="Times New Roman" w:hAnsi="Times New Roman"/>
        </w:rPr>
      </w:pPr>
    </w:p>
    <w:p w:rsidRPr="00B80A50" w:rsidR="003C0ABC" w:rsidP="003C0ABC" w:rsidRDefault="003C0ABC" w14:paraId="47BC22D9" w14:textId="00141E8F">
      <w:pPr>
        <w:rPr>
          <w:rFonts w:ascii="Times New Roman" w:hAnsi="Times New Roman"/>
        </w:rPr>
      </w:pPr>
      <w:r w:rsidRPr="00B80A50">
        <w:rPr>
          <w:rFonts w:ascii="Times New Roman" w:hAnsi="Times New Roman"/>
        </w:rPr>
        <w:t xml:space="preserve"> In monetizing the burden, ETA assumes </w:t>
      </w:r>
      <w:r w:rsidR="002508CD">
        <w:rPr>
          <w:rFonts w:ascii="Times New Roman" w:hAnsi="Times New Roman"/>
        </w:rPr>
        <w:t>SWA</w:t>
      </w:r>
      <w:r w:rsidRPr="00B80A50">
        <w:rPr>
          <w:rFonts w:ascii="Times New Roman" w:hAnsi="Times New Roman"/>
        </w:rPr>
        <w:t xml:space="preserve"> staff will typically prepare the responses.  Based on cost accounting systems, and for all program planning and policy purposes, ETA estimates </w:t>
      </w:r>
      <w:r w:rsidR="00346D98">
        <w:rPr>
          <w:rFonts w:ascii="Times New Roman" w:hAnsi="Times New Roman"/>
        </w:rPr>
        <w:t>that for FY 2022</w:t>
      </w:r>
      <w:r w:rsidRPr="00B80A50">
        <w:rPr>
          <w:rFonts w:ascii="Times New Roman" w:hAnsi="Times New Roman"/>
        </w:rPr>
        <w:t>, the average wage of a</w:t>
      </w:r>
      <w:r w:rsidR="002508CD">
        <w:rPr>
          <w:rFonts w:ascii="Times New Roman" w:hAnsi="Times New Roman"/>
        </w:rPr>
        <w:t>n</w:t>
      </w:r>
      <w:r w:rsidRPr="00B80A50">
        <w:rPr>
          <w:rFonts w:ascii="Times New Roman" w:hAnsi="Times New Roman"/>
        </w:rPr>
        <w:t xml:space="preserve"> </w:t>
      </w:r>
      <w:r w:rsidR="002508CD">
        <w:rPr>
          <w:rFonts w:ascii="Times New Roman" w:hAnsi="Times New Roman"/>
        </w:rPr>
        <w:t>SWA</w:t>
      </w:r>
      <w:r w:rsidRPr="00B80A50">
        <w:rPr>
          <w:rFonts w:ascii="Times New Roman" w:hAnsi="Times New Roman"/>
        </w:rPr>
        <w:t xml:space="preserve"> employe</w:t>
      </w:r>
      <w:r w:rsidR="00346D98">
        <w:rPr>
          <w:rFonts w:ascii="Times New Roman" w:hAnsi="Times New Roman"/>
        </w:rPr>
        <w:t>e, including fringe costs, is $53.27</w:t>
      </w:r>
      <w:r w:rsidRPr="00B80A50">
        <w:rPr>
          <w:rFonts w:ascii="Times New Roman" w:hAnsi="Times New Roman"/>
        </w:rPr>
        <w:t>.  ETA believes the value of State respondent time to be:</w:t>
      </w:r>
    </w:p>
    <w:p w:rsidRPr="00B80A50" w:rsidR="003C0ABC" w:rsidP="003C0ABC" w:rsidRDefault="003C0ABC" w14:paraId="1791C4D0" w14:textId="77777777">
      <w:pPr>
        <w:rPr>
          <w:rFonts w:ascii="Times New Roman" w:hAnsi="Times New Roman"/>
        </w:rPr>
      </w:pPr>
    </w:p>
    <w:p w:rsidRPr="00B80A50" w:rsidR="003C0ABC" w:rsidP="003C0ABC" w:rsidRDefault="003C0ABC" w14:paraId="4E381B34" w14:textId="36CACDF6">
      <w:pPr>
        <w:rPr>
          <w:rFonts w:ascii="Times New Roman" w:hAnsi="Times New Roman"/>
        </w:rPr>
      </w:pPr>
      <w:r w:rsidRPr="00B80A50">
        <w:rPr>
          <w:rFonts w:ascii="Times New Roman" w:hAnsi="Times New Roman"/>
        </w:rPr>
        <w:t xml:space="preserve">   3,816 hours x </w:t>
      </w:r>
      <w:r w:rsidR="00346D98">
        <w:rPr>
          <w:rFonts w:ascii="Times New Roman" w:hAnsi="Times New Roman"/>
        </w:rPr>
        <w:t>$53.27/hour = $203,278.32</w:t>
      </w:r>
      <w:r w:rsidRPr="00B80A50">
        <w:rPr>
          <w:rFonts w:ascii="Times New Roman" w:hAnsi="Times New Roman"/>
        </w:rPr>
        <w:t xml:space="preserve">.  </w:t>
      </w:r>
    </w:p>
    <w:p w:rsidRPr="00B80A50" w:rsidR="003C0ABC" w:rsidP="003C0ABC" w:rsidRDefault="003C0ABC" w14:paraId="59788A35" w14:textId="77777777">
      <w:pPr>
        <w:rPr>
          <w:rFonts w:ascii="Times New Roman" w:hAnsi="Times New Roman"/>
        </w:rPr>
      </w:pPr>
    </w:p>
    <w:p w:rsidRPr="00B80A50" w:rsidR="003C0ABC" w:rsidP="003C0ABC" w:rsidRDefault="003C0ABC" w14:paraId="005AF7D0" w14:textId="321C6B7C">
      <w:pPr>
        <w:rPr>
          <w:rFonts w:ascii="Times New Roman" w:hAnsi="Times New Roman"/>
        </w:rPr>
      </w:pPr>
      <w:r w:rsidRPr="00B80A50">
        <w:rPr>
          <w:rFonts w:ascii="Times New Roman" w:hAnsi="Times New Roman"/>
        </w:rPr>
        <w:t xml:space="preserve">In addition to the </w:t>
      </w:r>
      <w:r w:rsidR="009F1630">
        <w:rPr>
          <w:rFonts w:ascii="Times New Roman" w:hAnsi="Times New Roman"/>
        </w:rPr>
        <w:t xml:space="preserve">reporting </w:t>
      </w:r>
      <w:r w:rsidRPr="00B80A50">
        <w:rPr>
          <w:rFonts w:ascii="Times New Roman" w:hAnsi="Times New Roman"/>
        </w:rPr>
        <w:t xml:space="preserve">burden imposed by this collection, and as a direct result of requirements in PL 112-96, states report one additional cell on the workshare-specific ETA 5159 describing the number of employer agreements that states have.  This change produced an additional ongoing burden related to the data acquisition and record keeping requirement on employer agreements.  It was not envisioned that states previously had this information automated/electronically stored, however, given that the population of employers participating in this program was relatively steady, it was envisioned that once states have dealt with any uptake issue as a result of Federal Incentives that the basic additional reporting burden of this added element would represent an additional 5 hours per report per state.  Please note that this would only affect the workshare-specific ETA 5159, not any of the other reports. </w:t>
      </w:r>
    </w:p>
    <w:p w:rsidRPr="00B80A50" w:rsidR="003C0ABC" w:rsidP="003C0ABC" w:rsidRDefault="003C0ABC" w14:paraId="3CE190E6" w14:textId="77777777">
      <w:pPr>
        <w:rPr>
          <w:rFonts w:ascii="Times New Roman" w:hAnsi="Times New Roman"/>
        </w:rPr>
      </w:pPr>
    </w:p>
    <w:p w:rsidRPr="00B80A50" w:rsidR="003C0ABC" w:rsidP="003C0ABC" w:rsidRDefault="003C0ABC" w14:paraId="34809316" w14:textId="63FC47D6">
      <w:pPr>
        <w:rPr>
          <w:rFonts w:ascii="Times New Roman" w:hAnsi="Times New Roman"/>
        </w:rPr>
      </w:pPr>
      <w:r w:rsidRPr="00B80A50">
        <w:rPr>
          <w:rFonts w:ascii="Times New Roman" w:hAnsi="Times New Roman"/>
        </w:rPr>
        <w:t>53 states x 12 reports/year x 1 program (STC) x 5 hours per submittal = 3,180 hours</w:t>
      </w:r>
    </w:p>
    <w:p w:rsidRPr="00B80A50" w:rsidR="003C0ABC" w:rsidP="003C0ABC" w:rsidRDefault="003C0ABC" w14:paraId="43977873" w14:textId="2800DA35">
      <w:pPr>
        <w:rPr>
          <w:rFonts w:ascii="Times New Roman" w:hAnsi="Times New Roman"/>
        </w:rPr>
      </w:pPr>
      <w:r w:rsidRPr="00B80A50">
        <w:rPr>
          <w:rFonts w:ascii="Times New Roman" w:hAnsi="Times New Roman"/>
        </w:rPr>
        <w:t xml:space="preserve">3,180 hours x </w:t>
      </w:r>
      <w:r w:rsidR="00346D98">
        <w:rPr>
          <w:rFonts w:ascii="Times New Roman" w:hAnsi="Times New Roman"/>
        </w:rPr>
        <w:t>$53.27</w:t>
      </w:r>
      <w:r w:rsidRPr="00B80A50">
        <w:rPr>
          <w:rFonts w:ascii="Times New Roman" w:hAnsi="Times New Roman"/>
        </w:rPr>
        <w:t>/hour = $1</w:t>
      </w:r>
      <w:r w:rsidR="00346D98">
        <w:rPr>
          <w:rFonts w:ascii="Times New Roman" w:hAnsi="Times New Roman"/>
        </w:rPr>
        <w:t>69,398.60</w:t>
      </w:r>
      <w:r w:rsidRPr="00B80A50">
        <w:rPr>
          <w:rFonts w:ascii="Times New Roman" w:hAnsi="Times New Roman"/>
        </w:rPr>
        <w:t>.</w:t>
      </w:r>
    </w:p>
    <w:p w:rsidRPr="00B80A50" w:rsidR="003C0ABC" w:rsidP="003C0ABC" w:rsidRDefault="003C0ABC" w14:paraId="1FCF7DA8" w14:textId="0C240087">
      <w:pPr>
        <w:rPr>
          <w:rFonts w:ascii="Times New Roman" w:hAnsi="Times New Roman"/>
        </w:rPr>
      </w:pPr>
    </w:p>
    <w:p w:rsidRPr="006626FF" w:rsidR="003C0ABC" w:rsidP="006626FF" w:rsidRDefault="003C0ABC" w14:paraId="6E8CB2B6" w14:textId="77777777">
      <w:pPr>
        <w:ind w:left="720"/>
        <w:rPr>
          <w:rFonts w:ascii="Times New Roman" w:hAnsi="Times New Roman"/>
          <w:i/>
        </w:rPr>
      </w:pPr>
    </w:p>
    <w:p w:rsidRPr="00E60FB0" w:rsidR="006626FF" w:rsidP="006626FF" w:rsidRDefault="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02"/>
        <w:gridCol w:w="1415"/>
        <w:gridCol w:w="1329"/>
        <w:gridCol w:w="1182"/>
        <w:gridCol w:w="998"/>
        <w:gridCol w:w="950"/>
        <w:gridCol w:w="931"/>
        <w:gridCol w:w="1328"/>
      </w:tblGrid>
      <w:tr w:rsidRPr="00E60FB0" w:rsidR="00346D98" w:rsidTr="00346D98" w14:paraId="2DF04903" w14:textId="77777777">
        <w:trPr>
          <w:trHeight w:val="890"/>
        </w:trPr>
        <w:tc>
          <w:tcPr>
            <w:tcW w:w="140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427095BF" w14:textId="77777777">
            <w:pPr>
              <w:spacing w:line="276" w:lineRule="auto"/>
              <w:jc w:val="center"/>
              <w:rPr>
                <w:rFonts w:ascii="Times New Roman" w:hAnsi="Times New Roman"/>
                <w:b/>
                <w:sz w:val="22"/>
                <w:szCs w:val="22"/>
              </w:rPr>
            </w:pPr>
            <w:r w:rsidRPr="00E60FB0">
              <w:rPr>
                <w:rFonts w:ascii="Times New Roman" w:hAnsi="Times New Roman"/>
                <w:b/>
                <w:sz w:val="22"/>
                <w:szCs w:val="22"/>
              </w:rPr>
              <w:t>Activity</w:t>
            </w:r>
          </w:p>
        </w:tc>
        <w:tc>
          <w:tcPr>
            <w:tcW w:w="1415"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F935EE" w14:paraId="742D9401" w14:textId="77777777">
            <w:pPr>
              <w:spacing w:line="276" w:lineRule="auto"/>
              <w:jc w:val="center"/>
              <w:rPr>
                <w:rFonts w:ascii="Times New Roman" w:hAnsi="Times New Roman"/>
                <w:b/>
                <w:sz w:val="22"/>
                <w:szCs w:val="22"/>
              </w:rPr>
            </w:pPr>
            <w:r w:rsidRPr="00F935EE">
              <w:rPr>
                <w:rFonts w:ascii="Times New Roman" w:hAnsi="Times New Roman"/>
                <w:b/>
                <w:sz w:val="22"/>
                <w:szCs w:val="22"/>
              </w:rPr>
              <w:t>No.</w:t>
            </w:r>
            <w:r w:rsidRPr="00E60FB0" w:rsidR="006626FF">
              <w:rPr>
                <w:rFonts w:ascii="Times New Roman" w:hAnsi="Times New Roman"/>
                <w:b/>
                <w:sz w:val="22"/>
                <w:szCs w:val="22"/>
              </w:rPr>
              <w:t xml:space="preserve"> of Respondents</w:t>
            </w:r>
          </w:p>
        </w:tc>
        <w:tc>
          <w:tcPr>
            <w:tcW w:w="1329" w:type="dxa"/>
            <w:tcBorders>
              <w:top w:val="single" w:color="auto" w:sz="4" w:space="0"/>
              <w:left w:val="single" w:color="auto" w:sz="4" w:space="0"/>
              <w:bottom w:val="single" w:color="auto" w:sz="4" w:space="0"/>
              <w:right w:val="single" w:color="auto" w:sz="4" w:space="0"/>
            </w:tcBorders>
            <w:shd w:val="clear" w:color="auto" w:fill="8DB3E2"/>
            <w:vAlign w:val="center"/>
          </w:tcPr>
          <w:p w:rsidRPr="00E60FB0" w:rsidR="006626FF" w:rsidRDefault="006626FF" w14:paraId="1393DF7B" w14:textId="77777777">
            <w:pPr>
              <w:spacing w:line="276" w:lineRule="auto"/>
              <w:jc w:val="center"/>
              <w:rPr>
                <w:rFonts w:ascii="Times New Roman" w:hAnsi="Times New Roman"/>
                <w:b/>
                <w:sz w:val="22"/>
                <w:szCs w:val="22"/>
              </w:rPr>
            </w:pPr>
          </w:p>
          <w:p w:rsidRPr="00E60FB0" w:rsidR="006626FF" w:rsidRDefault="006626FF" w14:paraId="2AF12190" w14:textId="77777777">
            <w:pPr>
              <w:spacing w:line="276" w:lineRule="auto"/>
              <w:jc w:val="center"/>
              <w:rPr>
                <w:rFonts w:ascii="Times New Roman" w:hAnsi="Times New Roman"/>
                <w:b/>
                <w:sz w:val="22"/>
                <w:szCs w:val="22"/>
              </w:rPr>
            </w:pPr>
            <w:r w:rsidRPr="00E60FB0">
              <w:rPr>
                <w:rFonts w:ascii="Times New Roman" w:hAnsi="Times New Roman"/>
                <w:b/>
                <w:sz w:val="22"/>
                <w:szCs w:val="22"/>
              </w:rPr>
              <w:t xml:space="preserve">No. of Responses </w:t>
            </w:r>
          </w:p>
          <w:p w:rsidRPr="00E60FB0" w:rsidR="006626FF" w:rsidRDefault="006626FF" w14:paraId="7FA16DC5" w14:textId="77777777">
            <w:pPr>
              <w:spacing w:line="276" w:lineRule="auto"/>
              <w:jc w:val="center"/>
              <w:rPr>
                <w:rFonts w:ascii="Times New Roman" w:hAnsi="Times New Roman"/>
                <w:b/>
                <w:sz w:val="22"/>
                <w:szCs w:val="22"/>
              </w:rPr>
            </w:pPr>
            <w:r w:rsidRPr="00E60FB0">
              <w:rPr>
                <w:rFonts w:ascii="Times New Roman" w:hAnsi="Times New Roman"/>
                <w:b/>
                <w:sz w:val="22"/>
                <w:szCs w:val="22"/>
              </w:rPr>
              <w:t>per</w:t>
            </w:r>
            <w:r w:rsidR="00F935EE">
              <w:rPr>
                <w:rFonts w:ascii="Times New Roman" w:hAnsi="Times New Roman"/>
                <w:b/>
                <w:sz w:val="22"/>
                <w:szCs w:val="22"/>
              </w:rPr>
              <w:t xml:space="preserve"> Respondent</w:t>
            </w:r>
          </w:p>
        </w:tc>
        <w:tc>
          <w:tcPr>
            <w:tcW w:w="1182"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6EFD245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Responses</w:t>
            </w:r>
          </w:p>
        </w:tc>
        <w:tc>
          <w:tcPr>
            <w:tcW w:w="99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066F3BF" w14:textId="77777777">
            <w:pPr>
              <w:spacing w:line="276" w:lineRule="auto"/>
              <w:jc w:val="center"/>
              <w:rPr>
                <w:rFonts w:ascii="Times New Roman" w:hAnsi="Times New Roman"/>
                <w:b/>
                <w:sz w:val="22"/>
                <w:szCs w:val="22"/>
              </w:rPr>
            </w:pPr>
            <w:r w:rsidRPr="006626FF">
              <w:rPr>
                <w:rFonts w:ascii="Times New Roman" w:hAnsi="Times New Roman"/>
                <w:b/>
                <w:sz w:val="22"/>
                <w:szCs w:val="22"/>
              </w:rPr>
              <w:t>Average Burden (H</w:t>
            </w:r>
            <w:r w:rsidRPr="00E60FB0">
              <w:rPr>
                <w:rFonts w:ascii="Times New Roman" w:hAnsi="Times New Roman"/>
                <w:b/>
                <w:sz w:val="22"/>
                <w:szCs w:val="22"/>
              </w:rPr>
              <w:t>our</w:t>
            </w:r>
            <w:r>
              <w:rPr>
                <w:rFonts w:ascii="Times New Roman" w:hAnsi="Times New Roman"/>
                <w:b/>
                <w:sz w:val="22"/>
                <w:szCs w:val="22"/>
              </w:rPr>
              <w:t>s)</w:t>
            </w:r>
          </w:p>
        </w:tc>
        <w:tc>
          <w:tcPr>
            <w:tcW w:w="950"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08A1A268"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(Hours)</w:t>
            </w:r>
          </w:p>
        </w:tc>
        <w:tc>
          <w:tcPr>
            <w:tcW w:w="931"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3BE03637" w14:textId="77777777">
            <w:pPr>
              <w:spacing w:line="276" w:lineRule="auto"/>
              <w:jc w:val="center"/>
              <w:rPr>
                <w:rFonts w:ascii="Times New Roman" w:hAnsi="Times New Roman"/>
                <w:b/>
                <w:sz w:val="22"/>
                <w:szCs w:val="22"/>
              </w:rPr>
            </w:pPr>
            <w:r w:rsidRPr="00E60FB0">
              <w:rPr>
                <w:rFonts w:ascii="Times New Roman" w:hAnsi="Times New Roman"/>
                <w:b/>
                <w:sz w:val="22"/>
                <w:szCs w:val="22"/>
              </w:rPr>
              <w:t>Hourly</w:t>
            </w:r>
          </w:p>
          <w:p w:rsidRPr="00E60FB0" w:rsidR="006626FF" w:rsidRDefault="006626FF" w14:paraId="238CBA4F" w14:textId="77777777">
            <w:pPr>
              <w:spacing w:line="276" w:lineRule="auto"/>
              <w:jc w:val="center"/>
              <w:rPr>
                <w:rFonts w:ascii="Times New Roman" w:hAnsi="Times New Roman"/>
                <w:b/>
                <w:sz w:val="22"/>
                <w:szCs w:val="22"/>
              </w:rPr>
            </w:pPr>
            <w:r w:rsidRPr="00E60FB0">
              <w:rPr>
                <w:rFonts w:ascii="Times New Roman" w:hAnsi="Times New Roman"/>
                <w:b/>
                <w:sz w:val="22"/>
                <w:szCs w:val="22"/>
              </w:rPr>
              <w:t>Wage Rate</w:t>
            </w:r>
          </w:p>
        </w:tc>
        <w:tc>
          <w:tcPr>
            <w:tcW w:w="1328" w:type="dxa"/>
            <w:tcBorders>
              <w:top w:val="single" w:color="auto" w:sz="4" w:space="0"/>
              <w:left w:val="single" w:color="auto" w:sz="4" w:space="0"/>
              <w:bottom w:val="single" w:color="auto" w:sz="4" w:space="0"/>
              <w:right w:val="single" w:color="auto" w:sz="4" w:space="0"/>
            </w:tcBorders>
            <w:shd w:val="clear" w:color="auto" w:fill="8DB3E2"/>
            <w:vAlign w:val="center"/>
            <w:hideMark/>
          </w:tcPr>
          <w:p w:rsidRPr="00E60FB0" w:rsidR="006626FF" w:rsidRDefault="006626FF" w14:paraId="68D42730" w14:textId="77777777">
            <w:pPr>
              <w:spacing w:line="276" w:lineRule="auto"/>
              <w:jc w:val="center"/>
              <w:rPr>
                <w:rFonts w:ascii="Times New Roman" w:hAnsi="Times New Roman"/>
                <w:b/>
                <w:sz w:val="22"/>
                <w:szCs w:val="22"/>
              </w:rPr>
            </w:pPr>
            <w:r w:rsidRPr="00E60FB0">
              <w:rPr>
                <w:rFonts w:ascii="Times New Roman" w:hAnsi="Times New Roman"/>
                <w:b/>
                <w:sz w:val="22"/>
                <w:szCs w:val="22"/>
              </w:rPr>
              <w:t>Total Burden Cost</w:t>
            </w:r>
          </w:p>
        </w:tc>
      </w:tr>
      <w:tr w:rsidRPr="00DE0F0C" w:rsidR="003C0ABC" w:rsidTr="00346D98" w14:paraId="09244056" w14:textId="77777777">
        <w:tc>
          <w:tcPr>
            <w:tcW w:w="1402" w:type="dxa"/>
            <w:tcBorders>
              <w:top w:val="single" w:color="auto" w:sz="4" w:space="0"/>
              <w:left w:val="single" w:color="auto" w:sz="4" w:space="0"/>
              <w:bottom w:val="single" w:color="auto" w:sz="4" w:space="0"/>
              <w:right w:val="single" w:color="auto" w:sz="4" w:space="0"/>
            </w:tcBorders>
            <w:vAlign w:val="bottom"/>
            <w:hideMark/>
          </w:tcPr>
          <w:p w:rsidRPr="00DE0F0C" w:rsidR="003C0ABC" w:rsidP="003C0ABC" w:rsidRDefault="003C0ABC" w14:paraId="15CFAF24" w14:textId="77777777">
            <w:pPr>
              <w:spacing w:line="276" w:lineRule="auto"/>
              <w:rPr>
                <w:rFonts w:ascii="Times New Roman" w:hAnsi="Times New Roman"/>
                <w:sz w:val="22"/>
                <w:szCs w:val="22"/>
              </w:rPr>
            </w:pPr>
            <w:r w:rsidRPr="003C0ABC">
              <w:rPr>
                <w:rFonts w:ascii="Times New Roman" w:hAnsi="Times New Roman"/>
                <w:sz w:val="22"/>
                <w:szCs w:val="22"/>
              </w:rPr>
              <w:t>Reporting of Regular 5159</w:t>
            </w:r>
          </w:p>
        </w:tc>
        <w:tc>
          <w:tcPr>
            <w:tcW w:w="1415" w:type="dxa"/>
            <w:tcBorders>
              <w:top w:val="single" w:color="auto" w:sz="4" w:space="0"/>
              <w:left w:val="single" w:color="auto" w:sz="4" w:space="0"/>
              <w:bottom w:val="single" w:color="auto" w:sz="4" w:space="0"/>
              <w:right w:val="single" w:color="auto" w:sz="4" w:space="0"/>
            </w:tcBorders>
            <w:vAlign w:val="center"/>
          </w:tcPr>
          <w:p w:rsidRPr="00DE0F0C" w:rsidR="003C0ABC" w:rsidP="003C0ABC" w:rsidRDefault="003C0ABC" w14:paraId="5B7EBBD0" w14:textId="77777777">
            <w:pPr>
              <w:spacing w:line="276" w:lineRule="auto"/>
              <w:jc w:val="center"/>
              <w:rPr>
                <w:rFonts w:ascii="Times New Roman" w:hAnsi="Times New Roman"/>
                <w:sz w:val="22"/>
                <w:szCs w:val="22"/>
              </w:rPr>
            </w:pPr>
            <w:r>
              <w:rPr>
                <w:rFonts w:ascii="Times New Roman" w:hAnsi="Times New Roman"/>
                <w:sz w:val="22"/>
                <w:szCs w:val="22"/>
              </w:rPr>
              <w:t>53</w:t>
            </w:r>
          </w:p>
        </w:tc>
        <w:tc>
          <w:tcPr>
            <w:tcW w:w="1329" w:type="dxa"/>
            <w:tcBorders>
              <w:top w:val="single" w:color="auto" w:sz="4" w:space="0"/>
              <w:left w:val="single" w:color="auto" w:sz="4" w:space="0"/>
              <w:bottom w:val="single" w:color="auto" w:sz="4" w:space="0"/>
              <w:right w:val="single" w:color="auto" w:sz="4" w:space="0"/>
            </w:tcBorders>
            <w:vAlign w:val="center"/>
          </w:tcPr>
          <w:p w:rsidRPr="00DE0F0C" w:rsidR="003C0ABC" w:rsidP="003C0ABC" w:rsidRDefault="003C0ABC" w14:paraId="27F7FC32" w14:textId="77777777">
            <w:pPr>
              <w:spacing w:line="276" w:lineRule="auto"/>
              <w:jc w:val="center"/>
              <w:rPr>
                <w:rFonts w:ascii="Times New Roman" w:hAnsi="Times New Roman"/>
                <w:sz w:val="22"/>
                <w:szCs w:val="22"/>
              </w:rPr>
            </w:pPr>
            <w:r>
              <w:rPr>
                <w:rFonts w:ascii="Times New Roman" w:hAnsi="Times New Roman"/>
                <w:sz w:val="22"/>
                <w:szCs w:val="22"/>
              </w:rPr>
              <w:t>12</w:t>
            </w:r>
          </w:p>
        </w:tc>
        <w:tc>
          <w:tcPr>
            <w:tcW w:w="1182" w:type="dxa"/>
            <w:tcBorders>
              <w:top w:val="single" w:color="auto" w:sz="4" w:space="0"/>
              <w:left w:val="single" w:color="auto" w:sz="4" w:space="0"/>
              <w:bottom w:val="single" w:color="auto" w:sz="4" w:space="0"/>
              <w:right w:val="single" w:color="auto" w:sz="4" w:space="0"/>
            </w:tcBorders>
            <w:vAlign w:val="center"/>
          </w:tcPr>
          <w:p w:rsidRPr="00DE0F0C" w:rsidR="003C0ABC" w:rsidP="003C0ABC" w:rsidRDefault="003C0ABC" w14:paraId="6F92D7A3" w14:textId="77777777">
            <w:pPr>
              <w:spacing w:line="276" w:lineRule="auto"/>
              <w:jc w:val="center"/>
              <w:rPr>
                <w:rFonts w:ascii="Times New Roman" w:hAnsi="Times New Roman"/>
                <w:sz w:val="22"/>
                <w:szCs w:val="22"/>
              </w:rPr>
            </w:pPr>
            <w:r>
              <w:rPr>
                <w:rFonts w:ascii="Times New Roman" w:hAnsi="Times New Roman"/>
                <w:sz w:val="22"/>
                <w:szCs w:val="22"/>
              </w:rPr>
              <w:t>636</w:t>
            </w:r>
          </w:p>
        </w:tc>
        <w:tc>
          <w:tcPr>
            <w:tcW w:w="998" w:type="dxa"/>
            <w:tcBorders>
              <w:top w:val="single" w:color="auto" w:sz="4" w:space="0"/>
              <w:left w:val="single" w:color="auto" w:sz="4" w:space="0"/>
              <w:bottom w:val="single" w:color="auto" w:sz="4" w:space="0"/>
              <w:right w:val="single" w:color="auto" w:sz="4" w:space="0"/>
            </w:tcBorders>
            <w:vAlign w:val="center"/>
          </w:tcPr>
          <w:p w:rsidRPr="00DE0F0C" w:rsidR="003C0ABC" w:rsidP="003C0ABC" w:rsidRDefault="003C0ABC" w14:paraId="6F67815F" w14:textId="77777777">
            <w:pPr>
              <w:spacing w:line="276" w:lineRule="auto"/>
              <w:jc w:val="center"/>
              <w:rPr>
                <w:rFonts w:ascii="Times New Roman" w:hAnsi="Times New Roman"/>
                <w:sz w:val="22"/>
                <w:szCs w:val="22"/>
              </w:rPr>
            </w:pPr>
            <w:r>
              <w:rPr>
                <w:rFonts w:ascii="Times New Roman" w:hAnsi="Times New Roman"/>
                <w:sz w:val="22"/>
                <w:szCs w:val="22"/>
              </w:rPr>
              <w:t>2</w:t>
            </w:r>
          </w:p>
        </w:tc>
        <w:tc>
          <w:tcPr>
            <w:tcW w:w="950" w:type="dxa"/>
            <w:tcBorders>
              <w:top w:val="single" w:color="auto" w:sz="4" w:space="0"/>
              <w:left w:val="single" w:color="auto" w:sz="4" w:space="0"/>
              <w:bottom w:val="single" w:color="auto" w:sz="4" w:space="0"/>
              <w:right w:val="single" w:color="auto" w:sz="4" w:space="0"/>
            </w:tcBorders>
            <w:vAlign w:val="center"/>
          </w:tcPr>
          <w:p w:rsidRPr="00DE0F0C" w:rsidR="003C0ABC" w:rsidP="003C0ABC" w:rsidRDefault="003C0ABC" w14:paraId="70DB0EC6" w14:textId="77777777">
            <w:pPr>
              <w:spacing w:line="276" w:lineRule="auto"/>
              <w:jc w:val="center"/>
              <w:rPr>
                <w:rFonts w:ascii="Times New Roman" w:hAnsi="Times New Roman"/>
                <w:sz w:val="22"/>
                <w:szCs w:val="22"/>
              </w:rPr>
            </w:pPr>
            <w:r>
              <w:rPr>
                <w:rFonts w:ascii="Times New Roman" w:hAnsi="Times New Roman"/>
                <w:sz w:val="22"/>
                <w:szCs w:val="22"/>
              </w:rPr>
              <w:t>1,272</w:t>
            </w:r>
          </w:p>
        </w:tc>
        <w:tc>
          <w:tcPr>
            <w:tcW w:w="931" w:type="dxa"/>
            <w:tcBorders>
              <w:top w:val="single" w:color="auto" w:sz="4" w:space="0"/>
              <w:left w:val="single" w:color="auto" w:sz="4" w:space="0"/>
              <w:bottom w:val="single" w:color="auto" w:sz="4" w:space="0"/>
              <w:right w:val="single" w:color="auto" w:sz="4" w:space="0"/>
            </w:tcBorders>
            <w:vAlign w:val="center"/>
          </w:tcPr>
          <w:p w:rsidRPr="00DE0F0C" w:rsidR="003C0ABC" w:rsidP="003C0ABC" w:rsidRDefault="00B80A50" w14:paraId="1ED2A61C" w14:textId="4E7C0B30">
            <w:pPr>
              <w:spacing w:line="276" w:lineRule="auto"/>
              <w:jc w:val="center"/>
              <w:rPr>
                <w:rFonts w:ascii="Times New Roman" w:hAnsi="Times New Roman"/>
                <w:sz w:val="22"/>
                <w:szCs w:val="22"/>
              </w:rPr>
            </w:pPr>
            <w:r>
              <w:rPr>
                <w:rFonts w:ascii="Times New Roman" w:hAnsi="Times New Roman"/>
                <w:sz w:val="22"/>
                <w:szCs w:val="22"/>
              </w:rPr>
              <w:t>$53.27</w:t>
            </w:r>
          </w:p>
        </w:tc>
        <w:tc>
          <w:tcPr>
            <w:tcW w:w="1328" w:type="dxa"/>
            <w:tcBorders>
              <w:top w:val="single" w:color="auto" w:sz="4" w:space="0"/>
              <w:left w:val="single" w:color="auto" w:sz="4" w:space="0"/>
              <w:bottom w:val="single" w:color="auto" w:sz="4" w:space="0"/>
              <w:right w:val="single" w:color="auto" w:sz="4" w:space="0"/>
            </w:tcBorders>
            <w:vAlign w:val="center"/>
          </w:tcPr>
          <w:p w:rsidRPr="00DE0F0C" w:rsidR="003C0ABC" w:rsidP="003C0ABC" w:rsidRDefault="00346D98" w14:paraId="123B5478" w14:textId="58366852">
            <w:pPr>
              <w:spacing w:line="276" w:lineRule="auto"/>
              <w:jc w:val="center"/>
              <w:rPr>
                <w:rFonts w:ascii="Times New Roman" w:hAnsi="Times New Roman"/>
                <w:sz w:val="22"/>
                <w:szCs w:val="22"/>
              </w:rPr>
            </w:pPr>
            <w:r>
              <w:rPr>
                <w:rFonts w:ascii="Times New Roman" w:hAnsi="Times New Roman"/>
                <w:sz w:val="22"/>
                <w:szCs w:val="22"/>
              </w:rPr>
              <w:t>$67,759.44</w:t>
            </w:r>
          </w:p>
        </w:tc>
      </w:tr>
      <w:tr w:rsidRPr="00DE0F0C" w:rsidR="00B80A50" w:rsidTr="00346D98" w14:paraId="37C29785" w14:textId="77777777">
        <w:tc>
          <w:tcPr>
            <w:tcW w:w="1402" w:type="dxa"/>
            <w:tcBorders>
              <w:top w:val="single" w:color="auto" w:sz="4" w:space="0"/>
              <w:left w:val="single" w:color="auto" w:sz="4" w:space="0"/>
              <w:bottom w:val="single" w:color="auto" w:sz="4" w:space="0"/>
              <w:right w:val="single" w:color="auto" w:sz="4" w:space="0"/>
            </w:tcBorders>
            <w:vAlign w:val="bottom"/>
            <w:hideMark/>
          </w:tcPr>
          <w:p w:rsidRPr="00DE0F0C" w:rsidR="00B80A50" w:rsidP="00B80A50" w:rsidRDefault="00B80A50" w14:paraId="4EC4D452" w14:textId="77777777">
            <w:pPr>
              <w:spacing w:line="276" w:lineRule="auto"/>
              <w:rPr>
                <w:rFonts w:ascii="Times New Roman" w:hAnsi="Times New Roman"/>
                <w:sz w:val="22"/>
                <w:szCs w:val="22"/>
              </w:rPr>
            </w:pPr>
            <w:r w:rsidRPr="003C0ABC">
              <w:rPr>
                <w:rFonts w:ascii="Times New Roman" w:hAnsi="Times New Roman"/>
                <w:sz w:val="22"/>
                <w:szCs w:val="22"/>
              </w:rPr>
              <w:t>Reporting of EB 5159</w:t>
            </w:r>
          </w:p>
        </w:tc>
        <w:tc>
          <w:tcPr>
            <w:tcW w:w="1415" w:type="dxa"/>
            <w:tcBorders>
              <w:top w:val="single" w:color="auto" w:sz="4" w:space="0"/>
              <w:left w:val="single" w:color="auto" w:sz="4" w:space="0"/>
              <w:bottom w:val="single" w:color="auto" w:sz="4" w:space="0"/>
              <w:right w:val="single" w:color="auto" w:sz="4" w:space="0"/>
            </w:tcBorders>
            <w:vAlign w:val="center"/>
          </w:tcPr>
          <w:p w:rsidRPr="00DE0F0C" w:rsidR="00B80A50" w:rsidP="00B80A50" w:rsidRDefault="00B80A50" w14:paraId="701226A7" w14:textId="77777777">
            <w:pPr>
              <w:spacing w:line="276" w:lineRule="auto"/>
              <w:jc w:val="center"/>
              <w:rPr>
                <w:rFonts w:ascii="Times New Roman" w:hAnsi="Times New Roman"/>
                <w:sz w:val="22"/>
                <w:szCs w:val="22"/>
              </w:rPr>
            </w:pPr>
            <w:r>
              <w:rPr>
                <w:rFonts w:ascii="Times New Roman" w:hAnsi="Times New Roman"/>
                <w:sz w:val="22"/>
                <w:szCs w:val="22"/>
              </w:rPr>
              <w:t>53</w:t>
            </w:r>
          </w:p>
        </w:tc>
        <w:tc>
          <w:tcPr>
            <w:tcW w:w="1329" w:type="dxa"/>
            <w:tcBorders>
              <w:top w:val="single" w:color="auto" w:sz="4" w:space="0"/>
              <w:left w:val="single" w:color="auto" w:sz="4" w:space="0"/>
              <w:bottom w:val="single" w:color="auto" w:sz="4" w:space="0"/>
              <w:right w:val="single" w:color="auto" w:sz="4" w:space="0"/>
            </w:tcBorders>
            <w:vAlign w:val="center"/>
          </w:tcPr>
          <w:p w:rsidRPr="00DE0F0C" w:rsidR="00B80A50" w:rsidP="00B80A50" w:rsidRDefault="00B80A50" w14:paraId="0361BED8" w14:textId="77777777">
            <w:pPr>
              <w:spacing w:line="276" w:lineRule="auto"/>
              <w:jc w:val="center"/>
              <w:rPr>
                <w:rFonts w:ascii="Times New Roman" w:hAnsi="Times New Roman"/>
                <w:sz w:val="22"/>
                <w:szCs w:val="22"/>
              </w:rPr>
            </w:pPr>
            <w:r>
              <w:rPr>
                <w:rFonts w:ascii="Times New Roman" w:hAnsi="Times New Roman"/>
                <w:sz w:val="22"/>
                <w:szCs w:val="22"/>
              </w:rPr>
              <w:t>12</w:t>
            </w:r>
          </w:p>
        </w:tc>
        <w:tc>
          <w:tcPr>
            <w:tcW w:w="1182" w:type="dxa"/>
            <w:tcBorders>
              <w:top w:val="single" w:color="auto" w:sz="4" w:space="0"/>
              <w:left w:val="single" w:color="auto" w:sz="4" w:space="0"/>
              <w:bottom w:val="single" w:color="auto" w:sz="4" w:space="0"/>
              <w:right w:val="single" w:color="auto" w:sz="4" w:space="0"/>
            </w:tcBorders>
            <w:vAlign w:val="center"/>
          </w:tcPr>
          <w:p w:rsidRPr="00DE0F0C" w:rsidR="00B80A50" w:rsidP="00B80A50" w:rsidRDefault="00B80A50" w14:paraId="57E326C7" w14:textId="77777777">
            <w:pPr>
              <w:spacing w:line="276" w:lineRule="auto"/>
              <w:jc w:val="center"/>
              <w:rPr>
                <w:rFonts w:ascii="Times New Roman" w:hAnsi="Times New Roman"/>
                <w:sz w:val="22"/>
                <w:szCs w:val="22"/>
              </w:rPr>
            </w:pPr>
            <w:r>
              <w:rPr>
                <w:rFonts w:ascii="Times New Roman" w:hAnsi="Times New Roman"/>
                <w:sz w:val="22"/>
                <w:szCs w:val="22"/>
              </w:rPr>
              <w:t>636</w:t>
            </w:r>
          </w:p>
        </w:tc>
        <w:tc>
          <w:tcPr>
            <w:tcW w:w="998" w:type="dxa"/>
            <w:tcBorders>
              <w:top w:val="single" w:color="auto" w:sz="4" w:space="0"/>
              <w:left w:val="single" w:color="auto" w:sz="4" w:space="0"/>
              <w:bottom w:val="single" w:color="auto" w:sz="4" w:space="0"/>
              <w:right w:val="single" w:color="auto" w:sz="4" w:space="0"/>
            </w:tcBorders>
            <w:vAlign w:val="center"/>
          </w:tcPr>
          <w:p w:rsidRPr="00DE0F0C" w:rsidR="00B80A50" w:rsidP="00B80A50" w:rsidRDefault="00B80A50" w14:paraId="405396FB" w14:textId="77777777">
            <w:pPr>
              <w:spacing w:line="276" w:lineRule="auto"/>
              <w:jc w:val="center"/>
              <w:rPr>
                <w:rFonts w:ascii="Times New Roman" w:hAnsi="Times New Roman"/>
                <w:sz w:val="22"/>
                <w:szCs w:val="22"/>
              </w:rPr>
            </w:pPr>
            <w:r>
              <w:rPr>
                <w:rFonts w:ascii="Times New Roman" w:hAnsi="Times New Roman"/>
                <w:sz w:val="22"/>
                <w:szCs w:val="22"/>
              </w:rPr>
              <w:t>2</w:t>
            </w:r>
          </w:p>
        </w:tc>
        <w:tc>
          <w:tcPr>
            <w:tcW w:w="950" w:type="dxa"/>
            <w:tcBorders>
              <w:top w:val="single" w:color="auto" w:sz="4" w:space="0"/>
              <w:left w:val="single" w:color="auto" w:sz="4" w:space="0"/>
              <w:bottom w:val="single" w:color="auto" w:sz="4" w:space="0"/>
              <w:right w:val="single" w:color="auto" w:sz="4" w:space="0"/>
            </w:tcBorders>
            <w:vAlign w:val="center"/>
          </w:tcPr>
          <w:p w:rsidRPr="00DE0F0C" w:rsidR="00B80A50" w:rsidP="00B80A50" w:rsidRDefault="00B80A50" w14:paraId="61D3EA3B" w14:textId="77777777">
            <w:pPr>
              <w:spacing w:line="276" w:lineRule="auto"/>
              <w:jc w:val="center"/>
              <w:rPr>
                <w:rFonts w:ascii="Times New Roman" w:hAnsi="Times New Roman"/>
                <w:sz w:val="22"/>
                <w:szCs w:val="22"/>
              </w:rPr>
            </w:pPr>
            <w:r w:rsidRPr="00E6542F">
              <w:rPr>
                <w:rFonts w:ascii="Times New Roman" w:hAnsi="Times New Roman"/>
                <w:sz w:val="22"/>
                <w:szCs w:val="22"/>
              </w:rPr>
              <w:t>1,272</w:t>
            </w:r>
          </w:p>
        </w:tc>
        <w:tc>
          <w:tcPr>
            <w:tcW w:w="931" w:type="dxa"/>
            <w:tcBorders>
              <w:top w:val="single" w:color="auto" w:sz="4" w:space="0"/>
              <w:left w:val="single" w:color="auto" w:sz="4" w:space="0"/>
              <w:bottom w:val="single" w:color="auto" w:sz="4" w:space="0"/>
              <w:right w:val="single" w:color="auto" w:sz="4" w:space="0"/>
            </w:tcBorders>
          </w:tcPr>
          <w:p w:rsidRPr="00B80A50" w:rsidR="00B80A50" w:rsidP="00B80A50" w:rsidRDefault="00B80A50" w14:paraId="19CDCB7A" w14:textId="51FC6E91">
            <w:pPr>
              <w:spacing w:line="276" w:lineRule="auto"/>
              <w:jc w:val="center"/>
              <w:rPr>
                <w:rFonts w:ascii="Times New Roman" w:hAnsi="Times New Roman"/>
                <w:sz w:val="22"/>
                <w:szCs w:val="22"/>
              </w:rPr>
            </w:pPr>
            <w:r w:rsidRPr="00B80A50">
              <w:rPr>
                <w:rFonts w:ascii="Times New Roman" w:hAnsi="Times New Roman"/>
                <w:sz w:val="22"/>
                <w:szCs w:val="22"/>
              </w:rPr>
              <w:t>$53.27</w:t>
            </w:r>
          </w:p>
        </w:tc>
        <w:tc>
          <w:tcPr>
            <w:tcW w:w="1328" w:type="dxa"/>
            <w:tcBorders>
              <w:top w:val="single" w:color="auto" w:sz="4" w:space="0"/>
              <w:left w:val="single" w:color="auto" w:sz="4" w:space="0"/>
              <w:bottom w:val="single" w:color="auto" w:sz="4" w:space="0"/>
              <w:right w:val="single" w:color="auto" w:sz="4" w:space="0"/>
            </w:tcBorders>
            <w:vAlign w:val="center"/>
          </w:tcPr>
          <w:p w:rsidRPr="00DE0F0C" w:rsidR="00B80A50" w:rsidP="00B80A50" w:rsidRDefault="00346D98" w14:paraId="0703CC55" w14:textId="0BDD4D50">
            <w:pPr>
              <w:spacing w:line="276" w:lineRule="auto"/>
              <w:jc w:val="center"/>
              <w:rPr>
                <w:rFonts w:ascii="Times New Roman" w:hAnsi="Times New Roman"/>
                <w:sz w:val="22"/>
                <w:szCs w:val="22"/>
              </w:rPr>
            </w:pPr>
            <w:r>
              <w:rPr>
                <w:rFonts w:ascii="Times New Roman" w:hAnsi="Times New Roman"/>
                <w:sz w:val="22"/>
                <w:szCs w:val="22"/>
              </w:rPr>
              <w:t>$67,759.44</w:t>
            </w:r>
          </w:p>
        </w:tc>
      </w:tr>
      <w:tr w:rsidRPr="00DE0F0C" w:rsidR="00B80A50" w:rsidTr="00346D98" w14:paraId="103694BF" w14:textId="77777777">
        <w:tc>
          <w:tcPr>
            <w:tcW w:w="1402" w:type="dxa"/>
            <w:tcBorders>
              <w:top w:val="single" w:color="auto" w:sz="4" w:space="0"/>
              <w:left w:val="single" w:color="auto" w:sz="4" w:space="0"/>
              <w:bottom w:val="single" w:color="auto" w:sz="4" w:space="0"/>
              <w:right w:val="single" w:color="auto" w:sz="4" w:space="0"/>
            </w:tcBorders>
            <w:vAlign w:val="bottom"/>
            <w:hideMark/>
          </w:tcPr>
          <w:p w:rsidRPr="00DE0F0C" w:rsidR="00B80A50" w:rsidP="00B80A50" w:rsidRDefault="00B80A50" w14:paraId="3F3B9D76" w14:textId="77777777">
            <w:pPr>
              <w:spacing w:line="276" w:lineRule="auto"/>
              <w:rPr>
                <w:rFonts w:ascii="Times New Roman" w:hAnsi="Times New Roman"/>
                <w:sz w:val="22"/>
                <w:szCs w:val="22"/>
              </w:rPr>
            </w:pPr>
            <w:r w:rsidRPr="003C0ABC">
              <w:rPr>
                <w:rFonts w:ascii="Times New Roman" w:hAnsi="Times New Roman"/>
                <w:sz w:val="22"/>
                <w:szCs w:val="22"/>
              </w:rPr>
              <w:t>Reporting of STC 5159</w:t>
            </w:r>
          </w:p>
        </w:tc>
        <w:tc>
          <w:tcPr>
            <w:tcW w:w="1415" w:type="dxa"/>
            <w:tcBorders>
              <w:top w:val="single" w:color="auto" w:sz="4" w:space="0"/>
              <w:left w:val="single" w:color="auto" w:sz="4" w:space="0"/>
              <w:bottom w:val="single" w:color="auto" w:sz="4" w:space="0"/>
              <w:right w:val="single" w:color="auto" w:sz="4" w:space="0"/>
            </w:tcBorders>
            <w:vAlign w:val="center"/>
          </w:tcPr>
          <w:p w:rsidRPr="00DE0F0C" w:rsidR="00B80A50" w:rsidP="00B80A50" w:rsidRDefault="00B80A50" w14:paraId="6D149108" w14:textId="77777777">
            <w:pPr>
              <w:spacing w:line="276" w:lineRule="auto"/>
              <w:jc w:val="center"/>
              <w:rPr>
                <w:rFonts w:ascii="Times New Roman" w:hAnsi="Times New Roman"/>
                <w:sz w:val="22"/>
                <w:szCs w:val="22"/>
              </w:rPr>
            </w:pPr>
            <w:r>
              <w:rPr>
                <w:rFonts w:ascii="Times New Roman" w:hAnsi="Times New Roman"/>
                <w:sz w:val="22"/>
                <w:szCs w:val="22"/>
              </w:rPr>
              <w:t>53</w:t>
            </w:r>
          </w:p>
        </w:tc>
        <w:tc>
          <w:tcPr>
            <w:tcW w:w="1329" w:type="dxa"/>
            <w:tcBorders>
              <w:top w:val="single" w:color="auto" w:sz="4" w:space="0"/>
              <w:left w:val="single" w:color="auto" w:sz="4" w:space="0"/>
              <w:bottom w:val="single" w:color="auto" w:sz="4" w:space="0"/>
              <w:right w:val="single" w:color="auto" w:sz="4" w:space="0"/>
            </w:tcBorders>
            <w:vAlign w:val="center"/>
          </w:tcPr>
          <w:p w:rsidRPr="00DE0F0C" w:rsidR="00B80A50" w:rsidP="00B80A50" w:rsidRDefault="00B80A50" w14:paraId="490CBF97" w14:textId="77777777">
            <w:pPr>
              <w:spacing w:line="276" w:lineRule="auto"/>
              <w:jc w:val="center"/>
              <w:rPr>
                <w:rFonts w:ascii="Times New Roman" w:hAnsi="Times New Roman"/>
                <w:sz w:val="22"/>
                <w:szCs w:val="22"/>
              </w:rPr>
            </w:pPr>
            <w:r>
              <w:rPr>
                <w:rFonts w:ascii="Times New Roman" w:hAnsi="Times New Roman"/>
                <w:sz w:val="22"/>
                <w:szCs w:val="22"/>
              </w:rPr>
              <w:t>12</w:t>
            </w:r>
          </w:p>
        </w:tc>
        <w:tc>
          <w:tcPr>
            <w:tcW w:w="1182" w:type="dxa"/>
            <w:tcBorders>
              <w:top w:val="single" w:color="auto" w:sz="4" w:space="0"/>
              <w:left w:val="single" w:color="auto" w:sz="4" w:space="0"/>
              <w:bottom w:val="single" w:color="auto" w:sz="4" w:space="0"/>
              <w:right w:val="single" w:color="auto" w:sz="4" w:space="0"/>
            </w:tcBorders>
            <w:vAlign w:val="center"/>
          </w:tcPr>
          <w:p w:rsidRPr="00DE0F0C" w:rsidR="00B80A50" w:rsidP="00B80A50" w:rsidRDefault="00B80A50" w14:paraId="091EDC0D" w14:textId="77777777">
            <w:pPr>
              <w:spacing w:line="276" w:lineRule="auto"/>
              <w:jc w:val="center"/>
              <w:rPr>
                <w:rFonts w:ascii="Times New Roman" w:hAnsi="Times New Roman"/>
                <w:sz w:val="22"/>
                <w:szCs w:val="22"/>
              </w:rPr>
            </w:pPr>
            <w:r>
              <w:rPr>
                <w:rFonts w:ascii="Times New Roman" w:hAnsi="Times New Roman"/>
                <w:sz w:val="22"/>
                <w:szCs w:val="22"/>
              </w:rPr>
              <w:t>636</w:t>
            </w:r>
          </w:p>
        </w:tc>
        <w:tc>
          <w:tcPr>
            <w:tcW w:w="998" w:type="dxa"/>
            <w:tcBorders>
              <w:top w:val="single" w:color="auto" w:sz="4" w:space="0"/>
              <w:left w:val="single" w:color="auto" w:sz="4" w:space="0"/>
              <w:bottom w:val="single" w:color="auto" w:sz="4" w:space="0"/>
              <w:right w:val="single" w:color="auto" w:sz="4" w:space="0"/>
            </w:tcBorders>
            <w:vAlign w:val="center"/>
          </w:tcPr>
          <w:p w:rsidRPr="00DE0F0C" w:rsidR="00B80A50" w:rsidP="00B80A50" w:rsidRDefault="00B80A50" w14:paraId="7FEC8A2D" w14:textId="77777777">
            <w:pPr>
              <w:spacing w:line="276" w:lineRule="auto"/>
              <w:jc w:val="center"/>
              <w:rPr>
                <w:rFonts w:ascii="Times New Roman" w:hAnsi="Times New Roman"/>
                <w:sz w:val="22"/>
                <w:szCs w:val="22"/>
              </w:rPr>
            </w:pPr>
            <w:r>
              <w:rPr>
                <w:rFonts w:ascii="Times New Roman" w:hAnsi="Times New Roman"/>
                <w:sz w:val="22"/>
                <w:szCs w:val="22"/>
              </w:rPr>
              <w:t>2</w:t>
            </w:r>
          </w:p>
        </w:tc>
        <w:tc>
          <w:tcPr>
            <w:tcW w:w="950" w:type="dxa"/>
            <w:tcBorders>
              <w:top w:val="single" w:color="auto" w:sz="4" w:space="0"/>
              <w:left w:val="single" w:color="auto" w:sz="4" w:space="0"/>
              <w:bottom w:val="single" w:color="auto" w:sz="4" w:space="0"/>
              <w:right w:val="single" w:color="auto" w:sz="4" w:space="0"/>
            </w:tcBorders>
            <w:vAlign w:val="center"/>
          </w:tcPr>
          <w:p w:rsidRPr="00DE0F0C" w:rsidR="00B80A50" w:rsidP="00B80A50" w:rsidRDefault="00B80A50" w14:paraId="307DEE0A" w14:textId="77777777">
            <w:pPr>
              <w:spacing w:line="276" w:lineRule="auto"/>
              <w:jc w:val="center"/>
              <w:rPr>
                <w:rFonts w:ascii="Times New Roman" w:hAnsi="Times New Roman"/>
                <w:sz w:val="22"/>
                <w:szCs w:val="22"/>
              </w:rPr>
            </w:pPr>
            <w:r w:rsidRPr="00E6542F">
              <w:rPr>
                <w:rFonts w:ascii="Times New Roman" w:hAnsi="Times New Roman"/>
                <w:sz w:val="22"/>
                <w:szCs w:val="22"/>
              </w:rPr>
              <w:t>1,272</w:t>
            </w:r>
          </w:p>
        </w:tc>
        <w:tc>
          <w:tcPr>
            <w:tcW w:w="931" w:type="dxa"/>
            <w:tcBorders>
              <w:top w:val="single" w:color="auto" w:sz="4" w:space="0"/>
              <w:left w:val="single" w:color="auto" w:sz="4" w:space="0"/>
              <w:bottom w:val="single" w:color="auto" w:sz="4" w:space="0"/>
              <w:right w:val="single" w:color="auto" w:sz="4" w:space="0"/>
            </w:tcBorders>
          </w:tcPr>
          <w:p w:rsidRPr="00B80A50" w:rsidR="00B80A50" w:rsidP="00B80A50" w:rsidRDefault="00346D98" w14:paraId="6A21BBB0" w14:textId="7CC0EF19">
            <w:pPr>
              <w:spacing w:line="276" w:lineRule="auto"/>
              <w:rPr>
                <w:rFonts w:ascii="Times New Roman" w:hAnsi="Times New Roman"/>
                <w:sz w:val="22"/>
                <w:szCs w:val="22"/>
              </w:rPr>
            </w:pPr>
            <w:r>
              <w:rPr>
                <w:rFonts w:ascii="Times New Roman" w:hAnsi="Times New Roman"/>
                <w:sz w:val="22"/>
                <w:szCs w:val="22"/>
              </w:rPr>
              <w:t>1</w:t>
            </w:r>
            <w:r w:rsidRPr="00B80A50" w:rsidR="00B80A50">
              <w:rPr>
                <w:rFonts w:ascii="Times New Roman" w:hAnsi="Times New Roman"/>
                <w:sz w:val="22"/>
                <w:szCs w:val="22"/>
              </w:rPr>
              <w:t>$53.27</w:t>
            </w:r>
          </w:p>
        </w:tc>
        <w:tc>
          <w:tcPr>
            <w:tcW w:w="1328" w:type="dxa"/>
            <w:tcBorders>
              <w:top w:val="single" w:color="auto" w:sz="4" w:space="0"/>
              <w:left w:val="single" w:color="auto" w:sz="4" w:space="0"/>
              <w:bottom w:val="single" w:color="auto" w:sz="4" w:space="0"/>
              <w:right w:val="single" w:color="auto" w:sz="4" w:space="0"/>
            </w:tcBorders>
            <w:vAlign w:val="center"/>
          </w:tcPr>
          <w:p w:rsidRPr="00DE0F0C" w:rsidR="00B80A50" w:rsidP="00B80A50" w:rsidRDefault="00346D98" w14:paraId="2B2A48C6" w14:textId="27F538B2">
            <w:pPr>
              <w:spacing w:line="276" w:lineRule="auto"/>
              <w:jc w:val="center"/>
              <w:rPr>
                <w:rFonts w:ascii="Times New Roman" w:hAnsi="Times New Roman"/>
                <w:sz w:val="22"/>
                <w:szCs w:val="22"/>
              </w:rPr>
            </w:pPr>
            <w:r>
              <w:rPr>
                <w:rFonts w:ascii="Times New Roman" w:hAnsi="Times New Roman"/>
                <w:sz w:val="22"/>
                <w:szCs w:val="22"/>
              </w:rPr>
              <w:t>$67,759.44</w:t>
            </w:r>
          </w:p>
        </w:tc>
      </w:tr>
      <w:tr w:rsidRPr="00DE0F0C" w:rsidR="00B80A50" w:rsidTr="00346D98" w14:paraId="6F705F14" w14:textId="77777777">
        <w:tc>
          <w:tcPr>
            <w:tcW w:w="1402" w:type="dxa"/>
            <w:tcBorders>
              <w:top w:val="single" w:color="auto" w:sz="4" w:space="0"/>
              <w:left w:val="single" w:color="auto" w:sz="4" w:space="0"/>
              <w:bottom w:val="single" w:color="auto" w:sz="4" w:space="0"/>
              <w:right w:val="single" w:color="auto" w:sz="4" w:space="0"/>
            </w:tcBorders>
            <w:vAlign w:val="bottom"/>
            <w:hideMark/>
          </w:tcPr>
          <w:p w:rsidRPr="00DE0F0C" w:rsidR="00B80A50" w:rsidP="00B80A50" w:rsidRDefault="00B80A50" w14:paraId="18F51B70" w14:textId="77777777">
            <w:pPr>
              <w:spacing w:line="276" w:lineRule="auto"/>
              <w:rPr>
                <w:rFonts w:ascii="Times New Roman" w:hAnsi="Times New Roman"/>
                <w:sz w:val="22"/>
                <w:szCs w:val="22"/>
              </w:rPr>
            </w:pPr>
            <w:r w:rsidRPr="003C0ABC">
              <w:rPr>
                <w:rFonts w:ascii="Times New Roman" w:hAnsi="Times New Roman"/>
                <w:sz w:val="22"/>
                <w:szCs w:val="22"/>
              </w:rPr>
              <w:t>Record Keeping Burden for ongoing STC Element</w:t>
            </w:r>
          </w:p>
        </w:tc>
        <w:tc>
          <w:tcPr>
            <w:tcW w:w="1415" w:type="dxa"/>
            <w:tcBorders>
              <w:top w:val="single" w:color="auto" w:sz="4" w:space="0"/>
              <w:left w:val="single" w:color="auto" w:sz="4" w:space="0"/>
              <w:bottom w:val="single" w:color="auto" w:sz="4" w:space="0"/>
              <w:right w:val="single" w:color="auto" w:sz="4" w:space="0"/>
            </w:tcBorders>
            <w:vAlign w:val="center"/>
          </w:tcPr>
          <w:p w:rsidRPr="00DE0F0C" w:rsidR="00B80A50" w:rsidP="00B80A50" w:rsidRDefault="00B80A50" w14:paraId="0E2A4612" w14:textId="77777777">
            <w:pPr>
              <w:spacing w:line="276" w:lineRule="auto"/>
              <w:jc w:val="center"/>
              <w:rPr>
                <w:rFonts w:ascii="Times New Roman" w:hAnsi="Times New Roman"/>
                <w:sz w:val="22"/>
                <w:szCs w:val="22"/>
              </w:rPr>
            </w:pPr>
            <w:r>
              <w:rPr>
                <w:rFonts w:ascii="Times New Roman" w:hAnsi="Times New Roman"/>
                <w:sz w:val="22"/>
                <w:szCs w:val="22"/>
              </w:rPr>
              <w:t>53</w:t>
            </w:r>
          </w:p>
        </w:tc>
        <w:tc>
          <w:tcPr>
            <w:tcW w:w="1329" w:type="dxa"/>
            <w:tcBorders>
              <w:top w:val="single" w:color="auto" w:sz="4" w:space="0"/>
              <w:left w:val="single" w:color="auto" w:sz="4" w:space="0"/>
              <w:bottom w:val="single" w:color="auto" w:sz="4" w:space="0"/>
              <w:right w:val="single" w:color="auto" w:sz="4" w:space="0"/>
            </w:tcBorders>
            <w:vAlign w:val="center"/>
          </w:tcPr>
          <w:p w:rsidRPr="00DE0F0C" w:rsidR="00B80A50" w:rsidP="00B80A50" w:rsidRDefault="00B80A50" w14:paraId="06CEE4BA" w14:textId="77777777">
            <w:pPr>
              <w:spacing w:line="276" w:lineRule="auto"/>
              <w:jc w:val="center"/>
              <w:rPr>
                <w:rFonts w:ascii="Times New Roman" w:hAnsi="Times New Roman"/>
                <w:sz w:val="22"/>
                <w:szCs w:val="22"/>
              </w:rPr>
            </w:pPr>
            <w:r>
              <w:rPr>
                <w:rFonts w:ascii="Times New Roman" w:hAnsi="Times New Roman"/>
                <w:sz w:val="22"/>
                <w:szCs w:val="22"/>
              </w:rPr>
              <w:t>12</w:t>
            </w:r>
          </w:p>
        </w:tc>
        <w:tc>
          <w:tcPr>
            <w:tcW w:w="1182" w:type="dxa"/>
            <w:tcBorders>
              <w:top w:val="single" w:color="auto" w:sz="4" w:space="0"/>
              <w:left w:val="single" w:color="auto" w:sz="4" w:space="0"/>
              <w:bottom w:val="single" w:color="auto" w:sz="4" w:space="0"/>
              <w:right w:val="single" w:color="auto" w:sz="4" w:space="0"/>
            </w:tcBorders>
            <w:vAlign w:val="center"/>
          </w:tcPr>
          <w:p w:rsidRPr="00DE0F0C" w:rsidR="00B80A50" w:rsidP="00B80A50" w:rsidRDefault="00B80A50" w14:paraId="4A297249" w14:textId="77777777">
            <w:pPr>
              <w:spacing w:line="276" w:lineRule="auto"/>
              <w:jc w:val="center"/>
              <w:rPr>
                <w:rFonts w:ascii="Times New Roman" w:hAnsi="Times New Roman"/>
                <w:sz w:val="22"/>
                <w:szCs w:val="22"/>
              </w:rPr>
            </w:pPr>
            <w:r>
              <w:rPr>
                <w:rFonts w:ascii="Times New Roman" w:hAnsi="Times New Roman"/>
                <w:sz w:val="22"/>
                <w:szCs w:val="22"/>
              </w:rPr>
              <w:t>636</w:t>
            </w:r>
          </w:p>
        </w:tc>
        <w:tc>
          <w:tcPr>
            <w:tcW w:w="998" w:type="dxa"/>
            <w:tcBorders>
              <w:top w:val="single" w:color="auto" w:sz="4" w:space="0"/>
              <w:left w:val="single" w:color="auto" w:sz="4" w:space="0"/>
              <w:bottom w:val="single" w:color="auto" w:sz="4" w:space="0"/>
              <w:right w:val="single" w:color="auto" w:sz="4" w:space="0"/>
            </w:tcBorders>
            <w:vAlign w:val="center"/>
          </w:tcPr>
          <w:p w:rsidRPr="00DE0F0C" w:rsidR="00B80A50" w:rsidP="00B80A50" w:rsidRDefault="00B80A50" w14:paraId="331235A2" w14:textId="77777777">
            <w:pPr>
              <w:spacing w:line="276" w:lineRule="auto"/>
              <w:jc w:val="center"/>
              <w:rPr>
                <w:rFonts w:ascii="Times New Roman" w:hAnsi="Times New Roman"/>
                <w:sz w:val="22"/>
                <w:szCs w:val="22"/>
              </w:rPr>
            </w:pPr>
            <w:r>
              <w:rPr>
                <w:rFonts w:ascii="Times New Roman" w:hAnsi="Times New Roman"/>
                <w:sz w:val="22"/>
                <w:szCs w:val="22"/>
              </w:rPr>
              <w:t>5</w:t>
            </w:r>
          </w:p>
        </w:tc>
        <w:tc>
          <w:tcPr>
            <w:tcW w:w="950" w:type="dxa"/>
            <w:tcBorders>
              <w:top w:val="single" w:color="auto" w:sz="4" w:space="0"/>
              <w:left w:val="single" w:color="auto" w:sz="4" w:space="0"/>
              <w:bottom w:val="single" w:color="auto" w:sz="4" w:space="0"/>
              <w:right w:val="single" w:color="auto" w:sz="4" w:space="0"/>
            </w:tcBorders>
            <w:vAlign w:val="center"/>
          </w:tcPr>
          <w:p w:rsidRPr="00DE0F0C" w:rsidR="00B80A50" w:rsidP="00B80A50" w:rsidRDefault="00B80A50" w14:paraId="5CA05CE5" w14:textId="77777777">
            <w:pPr>
              <w:spacing w:line="276" w:lineRule="auto"/>
              <w:jc w:val="center"/>
              <w:rPr>
                <w:rFonts w:ascii="Times New Roman" w:hAnsi="Times New Roman"/>
                <w:sz w:val="22"/>
                <w:szCs w:val="22"/>
              </w:rPr>
            </w:pPr>
            <w:r>
              <w:rPr>
                <w:rFonts w:ascii="Times New Roman" w:hAnsi="Times New Roman"/>
                <w:sz w:val="22"/>
                <w:szCs w:val="22"/>
              </w:rPr>
              <w:t>3,180</w:t>
            </w:r>
          </w:p>
        </w:tc>
        <w:tc>
          <w:tcPr>
            <w:tcW w:w="931" w:type="dxa"/>
            <w:tcBorders>
              <w:top w:val="single" w:color="auto" w:sz="4" w:space="0"/>
              <w:left w:val="single" w:color="auto" w:sz="4" w:space="0"/>
              <w:bottom w:val="single" w:color="auto" w:sz="4" w:space="0"/>
              <w:right w:val="single" w:color="auto" w:sz="4" w:space="0"/>
            </w:tcBorders>
          </w:tcPr>
          <w:p w:rsidR="00B80A50" w:rsidP="00B80A50" w:rsidRDefault="00B80A50" w14:paraId="068177E7" w14:textId="77777777">
            <w:pPr>
              <w:spacing w:line="276" w:lineRule="auto"/>
              <w:jc w:val="center"/>
              <w:rPr>
                <w:rFonts w:ascii="Times New Roman" w:hAnsi="Times New Roman"/>
                <w:sz w:val="22"/>
                <w:szCs w:val="22"/>
              </w:rPr>
            </w:pPr>
          </w:p>
          <w:p w:rsidR="00B80A50" w:rsidP="00B80A50" w:rsidRDefault="00B80A50" w14:paraId="530A751B" w14:textId="77777777">
            <w:pPr>
              <w:spacing w:line="276" w:lineRule="auto"/>
              <w:jc w:val="center"/>
              <w:rPr>
                <w:rFonts w:ascii="Times New Roman" w:hAnsi="Times New Roman"/>
                <w:sz w:val="22"/>
                <w:szCs w:val="22"/>
              </w:rPr>
            </w:pPr>
          </w:p>
          <w:p w:rsidRPr="00B80A50" w:rsidR="00B80A50" w:rsidP="00B80A50" w:rsidRDefault="00B80A50" w14:paraId="0F189D41" w14:textId="63FBEEF1">
            <w:pPr>
              <w:spacing w:line="276" w:lineRule="auto"/>
              <w:jc w:val="center"/>
              <w:rPr>
                <w:rFonts w:ascii="Times New Roman" w:hAnsi="Times New Roman"/>
                <w:sz w:val="22"/>
                <w:szCs w:val="22"/>
              </w:rPr>
            </w:pPr>
            <w:r w:rsidRPr="00B80A50">
              <w:rPr>
                <w:rFonts w:ascii="Times New Roman" w:hAnsi="Times New Roman"/>
                <w:sz w:val="22"/>
                <w:szCs w:val="22"/>
              </w:rPr>
              <w:t>$53.27</w:t>
            </w:r>
          </w:p>
        </w:tc>
        <w:tc>
          <w:tcPr>
            <w:tcW w:w="1328" w:type="dxa"/>
            <w:tcBorders>
              <w:top w:val="single" w:color="auto" w:sz="4" w:space="0"/>
              <w:left w:val="single" w:color="auto" w:sz="4" w:space="0"/>
              <w:bottom w:val="single" w:color="auto" w:sz="4" w:space="0"/>
              <w:right w:val="single" w:color="auto" w:sz="4" w:space="0"/>
            </w:tcBorders>
            <w:vAlign w:val="center"/>
          </w:tcPr>
          <w:p w:rsidRPr="00DE0F0C" w:rsidR="00B80A50" w:rsidP="00B80A50" w:rsidRDefault="00346D98" w14:paraId="3E5574D8" w14:textId="16149723">
            <w:pPr>
              <w:spacing w:line="276" w:lineRule="auto"/>
              <w:jc w:val="center"/>
              <w:rPr>
                <w:rFonts w:ascii="Times New Roman" w:hAnsi="Times New Roman"/>
                <w:sz w:val="22"/>
                <w:szCs w:val="22"/>
              </w:rPr>
            </w:pPr>
            <w:r>
              <w:rPr>
                <w:rFonts w:ascii="Times New Roman" w:hAnsi="Times New Roman"/>
                <w:sz w:val="22"/>
                <w:szCs w:val="22"/>
              </w:rPr>
              <w:t>$169,398.60</w:t>
            </w:r>
          </w:p>
        </w:tc>
      </w:tr>
      <w:tr w:rsidRPr="00DE0F0C" w:rsidR="003C0ABC" w:rsidTr="00346D98" w14:paraId="124389C4" w14:textId="77777777">
        <w:tc>
          <w:tcPr>
            <w:tcW w:w="1402" w:type="dxa"/>
            <w:tcBorders>
              <w:top w:val="single" w:color="auto" w:sz="4" w:space="0"/>
              <w:left w:val="single" w:color="auto" w:sz="4" w:space="0"/>
              <w:bottom w:val="single" w:color="auto" w:sz="4" w:space="0"/>
              <w:right w:val="single" w:color="auto" w:sz="4" w:space="0"/>
            </w:tcBorders>
            <w:vAlign w:val="bottom"/>
            <w:hideMark/>
          </w:tcPr>
          <w:p w:rsidRPr="003C0ABC" w:rsidR="003C0ABC" w:rsidP="003C0ABC" w:rsidRDefault="003C0ABC" w14:paraId="44FC6F96" w14:textId="77777777">
            <w:pPr>
              <w:spacing w:line="276" w:lineRule="auto"/>
              <w:rPr>
                <w:rFonts w:ascii="Times New Roman" w:hAnsi="Times New Roman"/>
                <w:sz w:val="22"/>
                <w:szCs w:val="22"/>
              </w:rPr>
            </w:pPr>
            <w:r w:rsidRPr="003C0ABC">
              <w:rPr>
                <w:rFonts w:ascii="Times New Roman" w:hAnsi="Times New Roman"/>
                <w:sz w:val="22"/>
                <w:szCs w:val="22"/>
              </w:rPr>
              <w:t>Unduplicated Totals</w:t>
            </w:r>
          </w:p>
        </w:tc>
        <w:tc>
          <w:tcPr>
            <w:tcW w:w="1415" w:type="dxa"/>
            <w:tcBorders>
              <w:top w:val="single" w:color="auto" w:sz="4" w:space="0"/>
              <w:left w:val="single" w:color="auto" w:sz="4" w:space="0"/>
              <w:bottom w:val="single" w:color="auto" w:sz="4" w:space="0"/>
              <w:right w:val="single" w:color="auto" w:sz="4" w:space="0"/>
            </w:tcBorders>
            <w:vAlign w:val="center"/>
          </w:tcPr>
          <w:p w:rsidRPr="003C0ABC" w:rsidR="003C0ABC" w:rsidP="003C0ABC" w:rsidRDefault="003C0ABC" w14:paraId="2351A7EF" w14:textId="77777777">
            <w:pPr>
              <w:spacing w:line="276" w:lineRule="auto"/>
              <w:jc w:val="center"/>
              <w:rPr>
                <w:rFonts w:ascii="Times New Roman" w:hAnsi="Times New Roman"/>
                <w:sz w:val="22"/>
                <w:szCs w:val="22"/>
              </w:rPr>
            </w:pPr>
            <w:r w:rsidRPr="003C0ABC">
              <w:rPr>
                <w:rFonts w:ascii="Times New Roman" w:hAnsi="Times New Roman"/>
                <w:sz w:val="22"/>
                <w:szCs w:val="22"/>
              </w:rPr>
              <w:t>--</w:t>
            </w:r>
          </w:p>
        </w:tc>
        <w:tc>
          <w:tcPr>
            <w:tcW w:w="1329" w:type="dxa"/>
            <w:tcBorders>
              <w:top w:val="single" w:color="auto" w:sz="4" w:space="0"/>
              <w:left w:val="single" w:color="auto" w:sz="4" w:space="0"/>
              <w:bottom w:val="single" w:color="auto" w:sz="4" w:space="0"/>
              <w:right w:val="single" w:color="auto" w:sz="4" w:space="0"/>
            </w:tcBorders>
            <w:vAlign w:val="center"/>
          </w:tcPr>
          <w:p w:rsidRPr="003C0ABC" w:rsidR="003C0ABC" w:rsidP="003C0ABC" w:rsidRDefault="003C0ABC" w14:paraId="0EA43885" w14:textId="77777777">
            <w:pPr>
              <w:spacing w:line="276" w:lineRule="auto"/>
              <w:jc w:val="center"/>
              <w:rPr>
                <w:rFonts w:ascii="Times New Roman" w:hAnsi="Times New Roman"/>
                <w:sz w:val="22"/>
                <w:szCs w:val="22"/>
              </w:rPr>
            </w:pPr>
            <w:r w:rsidRPr="003C0ABC">
              <w:rPr>
                <w:rFonts w:ascii="Times New Roman" w:hAnsi="Times New Roman"/>
                <w:sz w:val="22"/>
                <w:szCs w:val="22"/>
              </w:rPr>
              <w:t>--</w:t>
            </w:r>
          </w:p>
        </w:tc>
        <w:tc>
          <w:tcPr>
            <w:tcW w:w="1182" w:type="dxa"/>
            <w:tcBorders>
              <w:top w:val="single" w:color="auto" w:sz="4" w:space="0"/>
              <w:left w:val="single" w:color="auto" w:sz="4" w:space="0"/>
              <w:bottom w:val="single" w:color="auto" w:sz="4" w:space="0"/>
              <w:right w:val="single" w:color="auto" w:sz="4" w:space="0"/>
            </w:tcBorders>
            <w:vAlign w:val="center"/>
          </w:tcPr>
          <w:p w:rsidRPr="003C0ABC" w:rsidR="003C0ABC" w:rsidP="003C0ABC" w:rsidRDefault="003C0ABC" w14:paraId="4D18FEBD" w14:textId="77777777">
            <w:pPr>
              <w:spacing w:line="276" w:lineRule="auto"/>
              <w:jc w:val="center"/>
              <w:rPr>
                <w:rFonts w:ascii="Times New Roman" w:hAnsi="Times New Roman"/>
                <w:sz w:val="22"/>
                <w:szCs w:val="22"/>
              </w:rPr>
            </w:pPr>
            <w:r w:rsidRPr="003C0ABC">
              <w:rPr>
                <w:rFonts w:ascii="Times New Roman" w:hAnsi="Times New Roman"/>
                <w:sz w:val="22"/>
                <w:szCs w:val="22"/>
              </w:rPr>
              <w:t>2,544</w:t>
            </w:r>
          </w:p>
        </w:tc>
        <w:tc>
          <w:tcPr>
            <w:tcW w:w="998" w:type="dxa"/>
            <w:tcBorders>
              <w:top w:val="single" w:color="auto" w:sz="4" w:space="0"/>
              <w:left w:val="single" w:color="auto" w:sz="4" w:space="0"/>
              <w:bottom w:val="single" w:color="auto" w:sz="4" w:space="0"/>
              <w:right w:val="single" w:color="auto" w:sz="4" w:space="0"/>
            </w:tcBorders>
            <w:vAlign w:val="center"/>
          </w:tcPr>
          <w:p w:rsidRPr="003C0ABC" w:rsidR="003C0ABC" w:rsidP="003C0ABC" w:rsidRDefault="003C0ABC" w14:paraId="52F169E2" w14:textId="77777777">
            <w:pPr>
              <w:spacing w:line="276" w:lineRule="auto"/>
              <w:jc w:val="center"/>
              <w:rPr>
                <w:rFonts w:ascii="Times New Roman" w:hAnsi="Times New Roman"/>
                <w:sz w:val="22"/>
                <w:szCs w:val="22"/>
              </w:rPr>
            </w:pPr>
            <w:r w:rsidRPr="003C0ABC">
              <w:rPr>
                <w:rFonts w:ascii="Times New Roman" w:hAnsi="Times New Roman"/>
                <w:sz w:val="22"/>
                <w:szCs w:val="22"/>
              </w:rPr>
              <w:t>--</w:t>
            </w:r>
          </w:p>
        </w:tc>
        <w:tc>
          <w:tcPr>
            <w:tcW w:w="950" w:type="dxa"/>
            <w:tcBorders>
              <w:top w:val="single" w:color="auto" w:sz="4" w:space="0"/>
              <w:left w:val="single" w:color="auto" w:sz="4" w:space="0"/>
              <w:bottom w:val="single" w:color="auto" w:sz="4" w:space="0"/>
              <w:right w:val="single" w:color="auto" w:sz="4" w:space="0"/>
            </w:tcBorders>
            <w:vAlign w:val="center"/>
          </w:tcPr>
          <w:p w:rsidRPr="003C0ABC" w:rsidR="003C0ABC" w:rsidP="003C0ABC" w:rsidRDefault="003C0ABC" w14:paraId="1277D90C" w14:textId="77777777">
            <w:pPr>
              <w:spacing w:line="276" w:lineRule="auto"/>
              <w:jc w:val="center"/>
              <w:rPr>
                <w:rFonts w:ascii="Times New Roman" w:hAnsi="Times New Roman"/>
                <w:sz w:val="22"/>
                <w:szCs w:val="22"/>
              </w:rPr>
            </w:pPr>
            <w:r w:rsidRPr="003C0ABC">
              <w:rPr>
                <w:rFonts w:ascii="Times New Roman" w:hAnsi="Times New Roman"/>
                <w:sz w:val="22"/>
                <w:szCs w:val="22"/>
              </w:rPr>
              <w:t>6,996</w:t>
            </w:r>
          </w:p>
        </w:tc>
        <w:tc>
          <w:tcPr>
            <w:tcW w:w="931" w:type="dxa"/>
            <w:tcBorders>
              <w:top w:val="single" w:color="auto" w:sz="4" w:space="0"/>
              <w:left w:val="single" w:color="auto" w:sz="4" w:space="0"/>
              <w:bottom w:val="single" w:color="auto" w:sz="4" w:space="0"/>
              <w:right w:val="single" w:color="auto" w:sz="4" w:space="0"/>
            </w:tcBorders>
            <w:vAlign w:val="center"/>
          </w:tcPr>
          <w:p w:rsidRPr="003C0ABC" w:rsidR="003C0ABC" w:rsidP="003C0ABC" w:rsidRDefault="003C0ABC" w14:paraId="1ACE61F3" w14:textId="77777777">
            <w:pPr>
              <w:spacing w:line="276" w:lineRule="auto"/>
              <w:jc w:val="center"/>
              <w:rPr>
                <w:rFonts w:ascii="Times New Roman" w:hAnsi="Times New Roman"/>
                <w:sz w:val="22"/>
                <w:szCs w:val="22"/>
              </w:rPr>
            </w:pPr>
            <w:r w:rsidRPr="003C0ABC">
              <w:rPr>
                <w:rFonts w:ascii="Times New Roman" w:hAnsi="Times New Roman"/>
                <w:sz w:val="22"/>
                <w:szCs w:val="22"/>
              </w:rPr>
              <w:t>--</w:t>
            </w:r>
          </w:p>
        </w:tc>
        <w:tc>
          <w:tcPr>
            <w:tcW w:w="1328" w:type="dxa"/>
            <w:tcBorders>
              <w:top w:val="single" w:color="auto" w:sz="4" w:space="0"/>
              <w:left w:val="single" w:color="auto" w:sz="4" w:space="0"/>
              <w:bottom w:val="single" w:color="auto" w:sz="4" w:space="0"/>
              <w:right w:val="single" w:color="auto" w:sz="4" w:space="0"/>
            </w:tcBorders>
            <w:vAlign w:val="center"/>
          </w:tcPr>
          <w:p w:rsidRPr="003C0ABC" w:rsidR="003C0ABC" w:rsidP="003C0ABC" w:rsidRDefault="00346D98" w14:paraId="7A9070C7" w14:textId="1A05835A">
            <w:pPr>
              <w:spacing w:line="276" w:lineRule="auto"/>
              <w:jc w:val="center"/>
              <w:rPr>
                <w:rFonts w:ascii="Times New Roman" w:hAnsi="Times New Roman"/>
                <w:sz w:val="22"/>
                <w:szCs w:val="22"/>
              </w:rPr>
            </w:pPr>
            <w:r>
              <w:rPr>
                <w:rFonts w:ascii="Times New Roman" w:hAnsi="Times New Roman"/>
                <w:sz w:val="22"/>
                <w:szCs w:val="22"/>
              </w:rPr>
              <w:t>$372,676.92</w:t>
            </w:r>
          </w:p>
        </w:tc>
      </w:tr>
    </w:tbl>
    <w:p w:rsidRPr="00B80A50" w:rsidR="00B80A50" w:rsidP="00B80A50" w:rsidRDefault="00B80A50" w14:paraId="5191C0C5" w14:textId="77777777">
      <w:pPr>
        <w:widowControl/>
        <w:autoSpaceDE/>
        <w:autoSpaceDN/>
        <w:adjustRightInd/>
        <w:spacing w:after="200"/>
        <w:contextualSpacing/>
        <w:rPr>
          <w:rFonts w:ascii="Calibri" w:hAnsi="Calibri" w:eastAsia="Calibri"/>
          <w:sz w:val="22"/>
          <w:szCs w:val="22"/>
        </w:rPr>
      </w:pPr>
      <w:r w:rsidRPr="00B80A50">
        <w:rPr>
          <w:rFonts w:ascii="Calibri" w:hAnsi="Calibri" w:eastAsia="Calibri"/>
          <w:sz w:val="22"/>
          <w:szCs w:val="22"/>
        </w:rPr>
        <w:lastRenderedPageBreak/>
        <w:t xml:space="preserve">*Source: The hourly rate is computed by dividing the FY 2022 national average PS/PB annual salary for state staff as provided for through the distribution of state UI administrative grants </w:t>
      </w:r>
    </w:p>
    <w:p w:rsidRPr="00A47DA7" w:rsidR="006626FF" w:rsidP="00B80A50" w:rsidRDefault="00B80A50" w14:paraId="43BE154F" w14:textId="7036262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80A50">
        <w:rPr>
          <w:rFonts w:ascii="Calibri" w:hAnsi="Calibri" w:eastAsia="Calibri"/>
          <w:sz w:val="22"/>
          <w:szCs w:val="22"/>
        </w:rPr>
        <w:t>(</w:t>
      </w:r>
      <w:hyperlink w:history="1" r:id="rId8">
        <w:r w:rsidRPr="00D85725" w:rsidR="00295B8C">
          <w:rPr>
            <w:rStyle w:val="Hyperlink"/>
            <w:rFonts w:ascii="Calibri" w:hAnsi="Calibri" w:eastAsia="Calibri"/>
            <w:sz w:val="22"/>
            <w:szCs w:val="22"/>
          </w:rPr>
          <w:t>https://wdr.doleta.gov/directives/corr_doc.cfm?DOCN=6102</w:t>
        </w:r>
      </w:hyperlink>
      <w:r w:rsidRPr="00B80A50">
        <w:rPr>
          <w:rFonts w:ascii="Calibri" w:hAnsi="Calibri" w:eastAsia="Calibri"/>
          <w:color w:val="0000FF"/>
          <w:sz w:val="22"/>
          <w:szCs w:val="22"/>
          <w:u w:val="single"/>
        </w:rPr>
        <w:t>)</w:t>
      </w:r>
      <w:r w:rsidR="00295B8C">
        <w:rPr>
          <w:rFonts w:ascii="Calibri" w:hAnsi="Calibri" w:eastAsia="Calibri"/>
          <w:color w:val="0000FF"/>
          <w:sz w:val="22"/>
          <w:szCs w:val="22"/>
          <w:u w:val="single"/>
        </w:rPr>
        <w:t xml:space="preserve"> </w:t>
      </w:r>
      <w:r w:rsidRPr="00B80A50">
        <w:rPr>
          <w:rFonts w:ascii="Calibri" w:hAnsi="Calibri" w:eastAsia="Calibri"/>
          <w:sz w:val="22"/>
          <w:szCs w:val="22"/>
        </w:rPr>
        <w:t>by the average number of hours worked in a year (1,711).  For FY 2022, this calculation is:  $91,144 / 1,711= $53.27</w:t>
      </w:r>
    </w:p>
    <w:p w:rsidRPr="00F72D66" w:rsidR="00690F56" w:rsidP="00E60FB0" w:rsidRDefault="00690F56" w14:paraId="6E445B0D" w14:textId="77777777">
      <w:pPr>
        <w:widowControl/>
        <w:autoSpaceDE/>
        <w:autoSpaceDN/>
        <w:adjustRightInd/>
        <w:rPr>
          <w:rFonts w:ascii="Times New Roman" w:hAnsi="Times New Roman"/>
          <w:highlight w:val="yellow"/>
        </w:rPr>
      </w:pPr>
    </w:p>
    <w:p w:rsidRPr="00D53DEB" w:rsidR="00CD215D" w:rsidP="00CD215D" w:rsidRDefault="00690F56" w14:paraId="4F65FC6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 xml:space="preserve">13.  Provide an estimate of </w:t>
      </w:r>
      <w:r w:rsidRPr="00D53DEB" w:rsidR="00C667F3">
        <w:rPr>
          <w:rFonts w:ascii="Times New Roman" w:hAnsi="Times New Roman"/>
          <w:b/>
        </w:rPr>
        <w:t>the tot</w:t>
      </w:r>
      <w:r w:rsidRPr="00D53DEB">
        <w:rPr>
          <w:rFonts w:ascii="Times New Roman" w:hAnsi="Times New Roman"/>
          <w:b/>
        </w:rPr>
        <w:t xml:space="preserve">al annual cost burden to respondents or recordkeepers resulting from the collection of information.  (Do not include the cost of any hour </w:t>
      </w:r>
      <w:r w:rsidRPr="00D53DEB" w:rsidR="00C667F3">
        <w:rPr>
          <w:rFonts w:ascii="Times New Roman" w:hAnsi="Times New Roman"/>
          <w:b/>
        </w:rPr>
        <w:t>burden shown in Items 12 and 14</w:t>
      </w:r>
      <w:r w:rsidRPr="00D53DEB">
        <w:rPr>
          <w:rFonts w:ascii="Times New Roman" w:hAnsi="Times New Roman"/>
          <w:b/>
        </w:rPr>
        <w:t>)</w:t>
      </w:r>
      <w:r w:rsidRPr="00D53DEB" w:rsidR="00C667F3">
        <w:rPr>
          <w:rFonts w:ascii="Times New Roman" w:hAnsi="Times New Roman"/>
          <w:b/>
        </w:rPr>
        <w:t>.</w:t>
      </w:r>
    </w:p>
    <w:p w:rsidRPr="00D53DEB" w:rsidR="00CD215D" w:rsidP="00CD215D" w:rsidRDefault="00CD215D" w14:paraId="168FFC6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584F8D" w:rsidP="00584F8D" w:rsidRDefault="006F6E13" w14:paraId="2CD34CEB" w14:textId="77777777">
      <w:pPr>
        <w:widowControl/>
        <w:numPr>
          <w:ilvl w:val="0"/>
          <w:numId w:val="1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T</w:t>
      </w:r>
      <w:r w:rsidRPr="006F6E13" w:rsidR="00CD215D">
        <w:rPr>
          <w:rFonts w:ascii="Times New Roman" w:hAnsi="Times New Roman"/>
          <w:b/>
        </w:rPr>
        <w:t>he cost estimate should be split into two components:</w:t>
      </w:r>
      <w:r w:rsidRPr="006F6E13" w:rsidR="00AB4DC3">
        <w:rPr>
          <w:rFonts w:ascii="Times New Roman" w:hAnsi="Times New Roman"/>
          <w:b/>
        </w:rPr>
        <w:t xml:space="preserve">  (a) a total capital</w:t>
      </w:r>
    </w:p>
    <w:p w:rsidR="006F6E13" w:rsidP="00584F8D" w:rsidRDefault="009441E2" w14:paraId="413AA81E" w14:textId="0A7CB6FF">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Pr>
          <w:rFonts w:ascii="Times New Roman" w:hAnsi="Times New Roman"/>
          <w:b/>
        </w:rPr>
        <w:t>a</w:t>
      </w:r>
      <w:r w:rsidRPr="006F6E13" w:rsidR="00AB4DC3">
        <w:rPr>
          <w:rFonts w:ascii="Times New Roman" w:hAnsi="Times New Roman"/>
          <w:b/>
        </w:rPr>
        <w:t>nd</w:t>
      </w:r>
      <w:r w:rsidR="00584F8D">
        <w:rPr>
          <w:rFonts w:ascii="Times New Roman" w:hAnsi="Times New Roman"/>
          <w:b/>
        </w:rPr>
        <w:t xml:space="preserve"> </w:t>
      </w:r>
      <w:proofErr w:type="spellStart"/>
      <w:r w:rsidRPr="006F6E13" w:rsidR="00AB4DC3">
        <w:rPr>
          <w:rFonts w:ascii="Times New Roman" w:hAnsi="Times New Roman"/>
          <w:b/>
        </w:rPr>
        <w:t xml:space="preserve">start </w:t>
      </w:r>
      <w:r w:rsidRPr="006F6E13" w:rsidR="00CD215D">
        <w:rPr>
          <w:rFonts w:ascii="Times New Roman" w:hAnsi="Times New Roman"/>
          <w:b/>
        </w:rPr>
        <w:t>up</w:t>
      </w:r>
      <w:proofErr w:type="spellEnd"/>
      <w:r w:rsidRPr="006F6E13" w:rsidR="00CD215D">
        <w:rPr>
          <w:rFonts w:ascii="Times New Roman" w:hAnsi="Times New Roman"/>
          <w:b/>
        </w:rPr>
        <w:t xml:space="preserve"> cost component </w:t>
      </w:r>
      <w:r w:rsidRPr="006F6E13" w:rsidR="00C667F3">
        <w:rPr>
          <w:rFonts w:ascii="Times New Roman" w:hAnsi="Times New Roman"/>
          <w:b/>
        </w:rPr>
        <w:t>(</w:t>
      </w:r>
      <w:r w:rsidRPr="006F6E13" w:rsidR="00CD215D">
        <w:rPr>
          <w:rFonts w:ascii="Times New Roman" w:hAnsi="Times New Roman"/>
          <w:b/>
        </w:rPr>
        <w:t>annualized over its expected useful life)</w:t>
      </w:r>
      <w:r w:rsidRPr="006F6E13" w:rsidR="00C667F3">
        <w:rPr>
          <w:rFonts w:ascii="Times New Roman" w:hAnsi="Times New Roman"/>
          <w:b/>
        </w:rPr>
        <w:t>;</w:t>
      </w:r>
      <w:r w:rsidRPr="006F6E13" w:rsidR="00CD215D">
        <w:rPr>
          <w:rFonts w:ascii="Times New Roman" w:hAnsi="Times New Roman"/>
          <w:b/>
        </w:rPr>
        <w:t xml:space="preserve"> and (b) a</w:t>
      </w:r>
    </w:p>
    <w:p w:rsidR="00584F8D" w:rsidP="00584F8D" w:rsidRDefault="00CD215D" w14:paraId="02504B16"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 xml:space="preserve">total operation and </w:t>
      </w:r>
      <w:r w:rsidRPr="006F6E13" w:rsidR="006F6E13">
        <w:rPr>
          <w:rFonts w:ascii="Times New Roman" w:hAnsi="Times New Roman"/>
          <w:b/>
        </w:rPr>
        <w:t>m</w:t>
      </w:r>
      <w:r w:rsidRPr="006F6E13">
        <w:rPr>
          <w:rFonts w:ascii="Times New Roman" w:hAnsi="Times New Roman"/>
          <w:b/>
        </w:rPr>
        <w:t>aintenance and purchase of se</w:t>
      </w:r>
      <w:r w:rsidR="006F6E13">
        <w:rPr>
          <w:rFonts w:ascii="Times New Roman" w:hAnsi="Times New Roman"/>
          <w:b/>
        </w:rPr>
        <w:t xml:space="preserve">rvice component.  </w:t>
      </w:r>
    </w:p>
    <w:p w:rsidR="00584F8D" w:rsidP="00584F8D" w:rsidRDefault="00584F8D" w14:paraId="5D5D49B5"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006F6E13">
        <w:rPr>
          <w:rFonts w:ascii="Times New Roman" w:hAnsi="Times New Roman"/>
          <w:b/>
        </w:rPr>
        <w:t>The estimates</w:t>
      </w:r>
      <w:r>
        <w:rPr>
          <w:rFonts w:ascii="Times New Roman" w:hAnsi="Times New Roman"/>
          <w:b/>
        </w:rPr>
        <w:t xml:space="preserve"> </w:t>
      </w:r>
      <w:r w:rsidRPr="006F6E13" w:rsidR="00CD215D">
        <w:rPr>
          <w:rFonts w:ascii="Times New Roman" w:hAnsi="Times New Roman"/>
          <w:b/>
        </w:rPr>
        <w:t xml:space="preserve">should take into account costs associated with generating, </w:t>
      </w:r>
    </w:p>
    <w:p w:rsidR="00584F8D" w:rsidP="00584F8D" w:rsidRDefault="00584F8D" w14:paraId="5EE17FDE"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Pr>
          <w:rFonts w:ascii="Times New Roman" w:hAnsi="Times New Roman"/>
          <w:b/>
        </w:rPr>
        <w:tab/>
      </w:r>
      <w:r>
        <w:rPr>
          <w:rFonts w:ascii="Times New Roman" w:hAnsi="Times New Roman"/>
          <w:b/>
        </w:rPr>
        <w:tab/>
      </w:r>
      <w:r w:rsidRPr="006F6E13" w:rsidR="00CD215D">
        <w:rPr>
          <w:rFonts w:ascii="Times New Roman" w:hAnsi="Times New Roman"/>
          <w:b/>
        </w:rPr>
        <w:t xml:space="preserve">maintaining, and disclosing or providing the information.  Include descriptions of </w:t>
      </w:r>
    </w:p>
    <w:p w:rsidRPr="006F6E13" w:rsidR="00CD215D" w:rsidP="00584F8D" w:rsidRDefault="00CD215D" w14:paraId="0BF353B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6F6E13">
        <w:rPr>
          <w:rFonts w:ascii="Times New Roman" w:hAnsi="Times New Roman"/>
          <w:b/>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D53DEB" w:rsidR="00CD215D" w:rsidP="00584F8D" w:rsidRDefault="00CD215D" w14:paraId="10DEAAA9" w14:textId="77777777">
      <w:pPr>
        <w:widowControl/>
        <w:tabs>
          <w:tab w:val="left" w:pos="-360"/>
          <w:tab w:val="left" w:pos="0"/>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rPr>
      </w:pPr>
    </w:p>
    <w:p w:rsidRPr="00D53DEB" w:rsidR="00CD215D" w:rsidP="00AB4DC3" w:rsidRDefault="00CD215D" w14:paraId="4945C473"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D53DEB" w:rsidR="00CD215D" w:rsidP="00CD215D" w:rsidRDefault="00CD215D" w14:paraId="148E4C51"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CD215D" w:rsidP="00CD215D" w:rsidRDefault="00CD215D" w14:paraId="32127F6A" w14:textId="77777777">
      <w:pPr>
        <w:widowControl/>
        <w:numPr>
          <w:ilvl w:val="0"/>
          <w:numId w:val="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Pr="00D53DEB" w:rsidR="00CD215D" w:rsidP="00CD215D" w:rsidRDefault="00CD215D" w14:paraId="0AAEE3FF" w14:textId="77777777">
      <w:pPr>
        <w:widowControl/>
        <w:tabs>
          <w:tab w:val="left" w:pos="-1080"/>
          <w:tab w:val="left" w:pos="-720"/>
          <w:tab w:val="left" w:pos="0"/>
          <w:tab w:val="left" w:pos="720"/>
          <w:tab w:val="left" w:pos="990"/>
          <w:tab w:val="left" w:pos="135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690F56" w:rsidRDefault="003C0ABC" w14:paraId="726D62FC" w14:textId="404C8AE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6EA2">
        <w:rPr>
          <w:rFonts w:ascii="Times New Roman" w:hAnsi="Times New Roman"/>
        </w:rPr>
        <w:t xml:space="preserve">There are no </w:t>
      </w:r>
      <w:r w:rsidR="00E7446C">
        <w:rPr>
          <w:rFonts w:ascii="Times New Roman" w:hAnsi="Times New Roman"/>
        </w:rPr>
        <w:t>costs to respondents associated with this collection</w:t>
      </w:r>
      <w:r w:rsidRPr="00C76EA2">
        <w:rPr>
          <w:rFonts w:ascii="Times New Roman" w:hAnsi="Times New Roman"/>
        </w:rPr>
        <w:t>.</w:t>
      </w:r>
      <w:r w:rsidR="00295B8C">
        <w:rPr>
          <w:rFonts w:ascii="Times New Roman" w:hAnsi="Times New Roman"/>
        </w:rPr>
        <w:t xml:space="preserve"> </w:t>
      </w:r>
      <w:r w:rsidRPr="00C76EA2">
        <w:rPr>
          <w:rFonts w:ascii="Times New Roman" w:hAnsi="Times New Roman"/>
        </w:rPr>
        <w:t xml:space="preserve"> UI required reports are paid for by monies allocated to states for administration from the Federal Government.  There are no breakouts for specific reports.  This is a well-established report so there are no start-up costs.</w:t>
      </w:r>
    </w:p>
    <w:p w:rsidRPr="00F4518C" w:rsidR="003C0ABC" w:rsidP="00690F56" w:rsidRDefault="003C0ABC" w14:paraId="077AE73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97B43F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D53DEB">
        <w:rPr>
          <w:rFonts w:ascii="Times New Roman" w:hAnsi="Times New Roman"/>
        </w:rPr>
        <w:t xml:space="preserve"> </w:t>
      </w:r>
      <w:r w:rsidRPr="00D53DEB">
        <w:rPr>
          <w:rFonts w:ascii="Times New Roman" w:hAnsi="Times New Roman"/>
          <w:b/>
          <w:bCs/>
        </w:rPr>
        <w:t>without this collection of information.  Agencies also may aggregate cost estimates from Items 12, 13, and 14 into a single table.</w:t>
      </w:r>
    </w:p>
    <w:p w:rsidR="003C0ABC" w:rsidP="00690F56" w:rsidRDefault="003C0ABC" w14:paraId="26784073"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3C0ABC" w14:paraId="38EB8CFC" w14:textId="543AF995">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6EA2">
        <w:rPr>
          <w:rFonts w:ascii="Times New Roman" w:hAnsi="Times New Roman"/>
        </w:rPr>
        <w:t xml:space="preserve">ETA budgeted </w:t>
      </w:r>
      <w:r w:rsidRPr="00C83509">
        <w:rPr>
          <w:rFonts w:ascii="Times New Roman" w:hAnsi="Times New Roman"/>
          <w:bCs/>
        </w:rPr>
        <w:t>$</w:t>
      </w:r>
      <w:r w:rsidR="00141831">
        <w:rPr>
          <w:rFonts w:ascii="Times New Roman" w:hAnsi="Times New Roman"/>
          <w:bCs/>
        </w:rPr>
        <w:t>1,087,15</w:t>
      </w:r>
      <w:r w:rsidR="008A4B4B">
        <w:rPr>
          <w:rFonts w:ascii="Times New Roman" w:hAnsi="Times New Roman"/>
          <w:bCs/>
        </w:rPr>
        <w:t>2</w:t>
      </w:r>
      <w:r>
        <w:rPr>
          <w:rFonts w:ascii="Times New Roman" w:hAnsi="Times New Roman"/>
          <w:bCs/>
        </w:rPr>
        <w:t xml:space="preserve"> </w:t>
      </w:r>
      <w:r w:rsidRPr="00C76EA2">
        <w:rPr>
          <w:rFonts w:ascii="Times New Roman" w:hAnsi="Times New Roman"/>
        </w:rPr>
        <w:t xml:space="preserve">to operate and maintain the Unemployment Insurance Required Reports system.  Including the subject ICR, this system supports 30 information collections.  For administrative purposes, each information collection is assumed to contribute an equal share of the cost for supporting the entire system; </w:t>
      </w:r>
      <w:proofErr w:type="gramStart"/>
      <w:r w:rsidRPr="00C76EA2">
        <w:rPr>
          <w:rFonts w:ascii="Times New Roman" w:hAnsi="Times New Roman"/>
        </w:rPr>
        <w:t>therefore</w:t>
      </w:r>
      <w:proofErr w:type="gramEnd"/>
      <w:r w:rsidRPr="00C76EA2">
        <w:rPr>
          <w:rFonts w:ascii="Times New Roman" w:hAnsi="Times New Roman"/>
        </w:rPr>
        <w:t xml:space="preserve"> the cost allocated to this ICR is estimated to be $3</w:t>
      </w:r>
      <w:r w:rsidR="00141831">
        <w:rPr>
          <w:rFonts w:ascii="Times New Roman" w:hAnsi="Times New Roman"/>
        </w:rPr>
        <w:t>6,238</w:t>
      </w:r>
      <w:r w:rsidRPr="00C76EA2">
        <w:rPr>
          <w:rFonts w:ascii="Times New Roman" w:hAnsi="Times New Roman"/>
        </w:rPr>
        <w:t xml:space="preserve"> (</w:t>
      </w:r>
      <w:r w:rsidRPr="00C83509">
        <w:rPr>
          <w:rFonts w:ascii="Times New Roman" w:hAnsi="Times New Roman"/>
          <w:bCs/>
        </w:rPr>
        <w:t>$</w:t>
      </w:r>
      <w:r w:rsidR="00141831">
        <w:rPr>
          <w:rFonts w:ascii="Times New Roman" w:hAnsi="Times New Roman"/>
          <w:bCs/>
        </w:rPr>
        <w:t>1,087,15</w:t>
      </w:r>
      <w:r w:rsidR="008A4B4B">
        <w:rPr>
          <w:rFonts w:ascii="Times New Roman" w:hAnsi="Times New Roman"/>
          <w:bCs/>
        </w:rPr>
        <w:t>2</w:t>
      </w:r>
      <w:r>
        <w:rPr>
          <w:rFonts w:ascii="Times New Roman" w:hAnsi="Times New Roman"/>
          <w:bCs/>
        </w:rPr>
        <w:t xml:space="preserve"> </w:t>
      </w:r>
      <w:r w:rsidRPr="00C76EA2">
        <w:rPr>
          <w:rFonts w:ascii="Times New Roman" w:hAnsi="Times New Roman"/>
        </w:rPr>
        <w:t>system cost/30 information collections).</w:t>
      </w:r>
    </w:p>
    <w:p w:rsidRPr="00871CA6" w:rsidR="00690F56" w:rsidP="00690F56" w:rsidRDefault="00690F56" w14:paraId="3F8C7E1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690F56" w:rsidP="00690F56" w:rsidRDefault="00690F56" w14:paraId="0BCEB4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00D53DEB">
        <w:rPr>
          <w:rFonts w:ascii="Times New Roman" w:hAnsi="Times New Roman"/>
          <w:b/>
          <w:bCs/>
        </w:rPr>
        <w:t>15.</w:t>
      </w:r>
      <w:r w:rsidRPr="00D53DEB">
        <w:rPr>
          <w:rFonts w:ascii="Times New Roman" w:hAnsi="Times New Roman"/>
          <w:b/>
          <w:bCs/>
        </w:rPr>
        <w:tab/>
        <w:t>Explain the reasons for any</w:t>
      </w:r>
      <w:r w:rsidRPr="00D53DEB" w:rsidR="00882AB5">
        <w:rPr>
          <w:rFonts w:ascii="Times New Roman" w:hAnsi="Times New Roman"/>
          <w:b/>
          <w:bCs/>
        </w:rPr>
        <w:t xml:space="preserve"> program changes or adjustments</w:t>
      </w:r>
      <w:r w:rsidRPr="00A47DA7" w:rsidR="00882AB5">
        <w:rPr>
          <w:rFonts w:ascii="Times New Roman" w:hAnsi="Times New Roman"/>
          <w:b/>
          <w:bCs/>
        </w:rPr>
        <w:t>.</w:t>
      </w:r>
    </w:p>
    <w:p w:rsidR="003C0ABC" w:rsidP="00690F56" w:rsidRDefault="003C0ABC" w14:paraId="6F33073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F4518C" w:rsidR="00690F56" w:rsidP="00690F56" w:rsidRDefault="003C0ABC" w14:paraId="13EF01B8" w14:textId="236B875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There are no program changes or adjustments affecting the burden</w:t>
      </w:r>
      <w:r w:rsidRPr="00A662FB">
        <w:rPr>
          <w:rFonts w:ascii="Times New Roman" w:hAnsi="Times New Roman"/>
        </w:rPr>
        <w:t>.</w:t>
      </w:r>
      <w:r w:rsidRPr="00C76EA2">
        <w:rPr>
          <w:rFonts w:ascii="Times New Roman" w:hAnsi="Times New Roman"/>
        </w:rPr>
        <w:t xml:space="preserve">   </w:t>
      </w:r>
    </w:p>
    <w:p w:rsidRPr="00F4518C" w:rsidR="00690F56" w:rsidP="00690F56" w:rsidRDefault="00690F56" w14:paraId="5321AF4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4E4F3DC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D53DEB">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00D53DEB">
        <w:rPr>
          <w:rFonts w:ascii="Times New Roman" w:hAnsi="Times New Roman"/>
        </w:rPr>
        <w:t>.</w:t>
      </w:r>
    </w:p>
    <w:p w:rsidR="00690F56" w:rsidP="00690F56" w:rsidRDefault="00690F56" w14:paraId="510180C3" w14:textId="6D8E8E8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3C0ABC" w:rsidR="003C0ABC" w:rsidP="003C0ABC" w:rsidRDefault="003C0ABC" w14:paraId="6F81919B" w14:textId="7585BC11">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3C0ABC">
        <w:rPr>
          <w:rFonts w:ascii="Times New Roman" w:hAnsi="Times New Roman"/>
        </w:rPr>
        <w:t xml:space="preserve">Results are published in </w:t>
      </w:r>
      <w:r w:rsidR="00844C9A">
        <w:rPr>
          <w:rFonts w:ascii="Times New Roman" w:hAnsi="Times New Roman"/>
        </w:rPr>
        <w:t xml:space="preserve">a complete series through the UI Data Downloads resource, a Monthly Program Reports application, </w:t>
      </w:r>
      <w:r w:rsidRPr="003C0ABC">
        <w:rPr>
          <w:rFonts w:ascii="Times New Roman" w:hAnsi="Times New Roman"/>
        </w:rPr>
        <w:t xml:space="preserve">the </w:t>
      </w:r>
      <w:r w:rsidR="00844C9A">
        <w:rPr>
          <w:rFonts w:ascii="Times New Roman" w:hAnsi="Times New Roman"/>
        </w:rPr>
        <w:t xml:space="preserve">quarterly </w:t>
      </w:r>
      <w:r w:rsidRPr="003C0ABC">
        <w:rPr>
          <w:rFonts w:ascii="Times New Roman" w:hAnsi="Times New Roman"/>
        </w:rPr>
        <w:t>UI Data Summary</w:t>
      </w:r>
      <w:r w:rsidR="00844C9A">
        <w:rPr>
          <w:rFonts w:ascii="Times New Roman" w:hAnsi="Times New Roman"/>
        </w:rPr>
        <w:t>,</w:t>
      </w:r>
      <w:r w:rsidRPr="003C0ABC">
        <w:rPr>
          <w:rFonts w:ascii="Times New Roman" w:hAnsi="Times New Roman"/>
        </w:rPr>
        <w:t xml:space="preserve"> and in the annual Handbook 394, Unemployment Insurance </w:t>
      </w:r>
      <w:r w:rsidR="00844C9A">
        <w:rPr>
          <w:rFonts w:ascii="Times New Roman" w:hAnsi="Times New Roman"/>
        </w:rPr>
        <w:t xml:space="preserve">Program and </w:t>
      </w:r>
      <w:r w:rsidRPr="003C0ABC">
        <w:rPr>
          <w:rFonts w:ascii="Times New Roman" w:hAnsi="Times New Roman"/>
        </w:rPr>
        <w:t>Financial Data</w:t>
      </w:r>
      <w:r w:rsidR="00844C9A">
        <w:rPr>
          <w:rFonts w:ascii="Times New Roman" w:hAnsi="Times New Roman"/>
        </w:rPr>
        <w:t xml:space="preserve"> Report</w:t>
      </w:r>
      <w:r w:rsidRPr="003C0ABC">
        <w:rPr>
          <w:rFonts w:ascii="Times New Roman" w:hAnsi="Times New Roman"/>
        </w:rPr>
        <w:t>; also, much data is provided in response to special requests.</w:t>
      </w:r>
    </w:p>
    <w:p w:rsidRPr="00871CA6" w:rsidR="00690F56" w:rsidP="00690F56" w:rsidRDefault="00690F56" w14:paraId="41B59CA5" w14:textId="59F5EE2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690F56" w:rsidP="00690F56" w:rsidRDefault="00690F56" w14:paraId="6F473DA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17.  If seeking approval to not display the expiration date for OMB approval of the information collection, explain the reasons that display would be inappropriate.</w:t>
      </w:r>
    </w:p>
    <w:p w:rsidRPr="00A47DA7" w:rsidR="00690F56" w:rsidP="00690F56" w:rsidRDefault="00690F56" w14:paraId="1B1630F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00690F56" w:rsidRDefault="003C0ABC" w14:paraId="3D60B41E" w14:textId="5D878F2D">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6EA2">
        <w:rPr>
          <w:rFonts w:ascii="Times New Roman" w:hAnsi="Times New Roman"/>
        </w:rPr>
        <w:t>ETA displays</w:t>
      </w:r>
      <w:r w:rsidR="00844C9A">
        <w:rPr>
          <w:rFonts w:ascii="Times New Roman" w:hAnsi="Times New Roman"/>
        </w:rPr>
        <w:t xml:space="preserve"> the</w:t>
      </w:r>
      <w:r w:rsidRPr="00C76EA2">
        <w:rPr>
          <w:rFonts w:ascii="Times New Roman" w:hAnsi="Times New Roman"/>
        </w:rPr>
        <w:t xml:space="preserve"> OMB control number and expiration date on the ETA 5159 form that is shown to users.  A menu op</w:t>
      </w:r>
      <w:r>
        <w:rPr>
          <w:rFonts w:ascii="Times New Roman" w:hAnsi="Times New Roman"/>
        </w:rPr>
        <w:t xml:space="preserve">tion in </w:t>
      </w:r>
      <w:r w:rsidRPr="00C76EA2">
        <w:rPr>
          <w:rFonts w:ascii="Times New Roman" w:hAnsi="Times New Roman"/>
        </w:rPr>
        <w:t xml:space="preserve">the UI electronic reporting </w:t>
      </w:r>
      <w:r>
        <w:rPr>
          <w:rFonts w:ascii="Times New Roman" w:hAnsi="Times New Roman"/>
        </w:rPr>
        <w:t xml:space="preserve">system </w:t>
      </w:r>
      <w:r w:rsidRPr="00C76EA2">
        <w:rPr>
          <w:rFonts w:ascii="Times New Roman" w:hAnsi="Times New Roman"/>
        </w:rPr>
        <w:t>provides access to a complete listing of OMB control numbers and expiration dates for all required reports, including the ETA 5159.</w:t>
      </w:r>
    </w:p>
    <w:p w:rsidRPr="00A973AA" w:rsidR="003C0ABC" w:rsidP="00690F56" w:rsidRDefault="003C0ABC" w14:paraId="06FA645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D53DEB" w:rsidR="000C3A92" w:rsidP="00690F56" w:rsidRDefault="000C3A92" w14:paraId="41EAB49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D53DEB">
        <w:rPr>
          <w:rFonts w:ascii="Times New Roman" w:hAnsi="Times New Roman"/>
          <w:b/>
        </w:rPr>
        <w:t>18.  Explain each exception to the certification statement.</w:t>
      </w:r>
    </w:p>
    <w:p w:rsidR="000C3A92" w:rsidP="000C3A92" w:rsidRDefault="000C3A92" w14:paraId="641E1E6D" w14:textId="564A1A5A">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47DA7" w:rsidR="003C0ABC" w:rsidP="000C3A92" w:rsidRDefault="003C0ABC" w14:paraId="73E1C53C" w14:textId="2B5DBCF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76EA2">
        <w:rPr>
          <w:rFonts w:ascii="Times New Roman" w:hAnsi="Times New Roman"/>
        </w:rPr>
        <w:t>There are no exceptions.</w:t>
      </w:r>
    </w:p>
    <w:p w:rsidRPr="00871CA6" w:rsidR="00690F56" w:rsidP="00690F56" w:rsidRDefault="00690F56" w14:paraId="7282302F"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Pr="00A973AA" w:rsidR="007A7F79" w:rsidP="007A7F79" w:rsidRDefault="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 EMPLOYING STATISTICAL METHODS.</w:t>
      </w:r>
    </w:p>
    <w:p w:rsidRPr="00D53DEB" w:rsidR="00332F98" w:rsidRDefault="003C0ABC" w14:paraId="3E8CBCDA" w14:textId="5FE8A784">
      <w:pPr>
        <w:rPr>
          <w:rFonts w:ascii="Times New Roman" w:hAnsi="Times New Roman"/>
        </w:rPr>
      </w:pPr>
      <w:r w:rsidRPr="00A662FB">
        <w:rPr>
          <w:rFonts w:ascii="Times New Roman" w:hAnsi="Times New Roman"/>
        </w:rPr>
        <w:t>This information collection does not employ statistical methods.</w:t>
      </w:r>
    </w:p>
    <w:sectPr w:rsidRPr="00D53DEB" w:rsidR="00332F98"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1786B" w14:textId="77777777" w:rsidR="00FA3D8C" w:rsidRDefault="00FA3D8C">
      <w:r>
        <w:separator/>
      </w:r>
    </w:p>
  </w:endnote>
  <w:endnote w:type="continuationSeparator" w:id="0">
    <w:p w14:paraId="7F85FADB" w14:textId="77777777" w:rsidR="00FA3D8C" w:rsidRDefault="00FA3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46638" w14:textId="77777777" w:rsidR="000C3A92" w:rsidRDefault="000C3A92" w:rsidP="00A21F98">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end"/>
    </w:r>
  </w:p>
  <w:p w14:paraId="69F235C7" w14:textId="77777777" w:rsidR="000C3A92" w:rsidRDefault="000C3A92" w:rsidP="00A21F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46377" w14:textId="1BE3A1AB" w:rsidR="000C3A92" w:rsidRPr="00B26E3E" w:rsidRDefault="000C3A92" w:rsidP="00A21F98">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766123">
      <w:rPr>
        <w:rStyle w:val="PageNumber"/>
        <w:rFonts w:ascii="Times New Roman" w:hAnsi="Times New Roman"/>
        <w:noProof/>
      </w:rPr>
      <w:t>8</w:t>
    </w:r>
    <w:r w:rsidRPr="00B26E3E">
      <w:rPr>
        <w:rStyle w:val="PageNumber"/>
        <w:rFonts w:ascii="Times New Roman" w:hAnsi="Times New Roman"/>
      </w:rPr>
      <w:fldChar w:fldCharType="end"/>
    </w:r>
  </w:p>
  <w:p w14:paraId="5808C3E4" w14:textId="77777777" w:rsidR="000C3A92" w:rsidRDefault="000C3A92" w:rsidP="00A21F9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8A76" w14:textId="77777777" w:rsidR="00FA3D8C" w:rsidRDefault="00FA3D8C">
      <w:r>
        <w:separator/>
      </w:r>
    </w:p>
  </w:footnote>
  <w:footnote w:type="continuationSeparator" w:id="0">
    <w:p w14:paraId="611BA0DC" w14:textId="77777777" w:rsidR="00FA3D8C" w:rsidRDefault="00FA3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7277" w14:textId="537911E9" w:rsidR="006626FF" w:rsidRPr="006626FF" w:rsidRDefault="00E4610F" w:rsidP="00F8164B">
    <w:pPr>
      <w:pStyle w:val="Header"/>
      <w:rPr>
        <w:rFonts w:ascii="Times New Roman" w:hAnsi="Times New Roman"/>
        <w:bCs/>
        <w:sz w:val="20"/>
        <w:szCs w:val="20"/>
      </w:rPr>
    </w:pPr>
    <w:r>
      <w:rPr>
        <w:rFonts w:ascii="Times New Roman" w:hAnsi="Times New Roman"/>
        <w:bCs/>
        <w:sz w:val="20"/>
        <w:szCs w:val="20"/>
      </w:rPr>
      <w:t xml:space="preserve">Claims </w:t>
    </w:r>
    <w:r w:rsidR="005144B2">
      <w:rPr>
        <w:rFonts w:ascii="Times New Roman" w:hAnsi="Times New Roman"/>
        <w:bCs/>
        <w:sz w:val="20"/>
        <w:szCs w:val="20"/>
      </w:rPr>
      <w:t xml:space="preserve">and </w:t>
    </w:r>
    <w:r>
      <w:rPr>
        <w:rFonts w:ascii="Times New Roman" w:hAnsi="Times New Roman"/>
        <w:bCs/>
        <w:sz w:val="20"/>
        <w:szCs w:val="20"/>
      </w:rPr>
      <w:t>Payment Activities</w:t>
    </w:r>
  </w:p>
  <w:p w14:paraId="52F50703" w14:textId="0B1012BA" w:rsidR="00EC0B43" w:rsidRDefault="0071749C">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E4610F">
      <w:rPr>
        <w:rFonts w:ascii="Times New Roman" w:hAnsi="Times New Roman"/>
        <w:sz w:val="20"/>
        <w:szCs w:val="20"/>
      </w:rPr>
      <w:t xml:space="preserve"> 1205-0010</w:t>
    </w:r>
  </w:p>
  <w:p w14:paraId="1D1AD862" w14:textId="4296EE88" w:rsidR="00E60FB0" w:rsidRPr="00F8164B" w:rsidRDefault="00E60FB0">
    <w:pPr>
      <w:pStyle w:val="Header"/>
      <w:rPr>
        <w:rFonts w:ascii="Times New Roman" w:hAnsi="Times New Roman"/>
        <w:sz w:val="20"/>
        <w:szCs w:val="20"/>
      </w:rPr>
    </w:pPr>
    <w:r>
      <w:rPr>
        <w:rFonts w:ascii="Times New Roman" w:hAnsi="Times New Roman"/>
        <w:sz w:val="20"/>
        <w:szCs w:val="20"/>
      </w:rPr>
      <w:t xml:space="preserve">OMB Expiration Date: </w:t>
    </w:r>
    <w:r w:rsidR="00E4610F">
      <w:rPr>
        <w:rFonts w:ascii="Times New Roman" w:hAnsi="Times New Roman"/>
        <w:sz w:val="20"/>
        <w:szCs w:val="20"/>
      </w:rPr>
      <w:t>April 2022</w:t>
    </w:r>
  </w:p>
  <w:p w14:paraId="29EBD65C" w14:textId="77777777" w:rsidR="00304132" w:rsidRDefault="00304132">
    <w:pPr>
      <w:pStyle w:val="Header"/>
      <w:rPr>
        <w:rFonts w:ascii="Times New Roman" w:hAnsi="Times New Roman"/>
        <w:sz w:val="20"/>
        <w:szCs w:val="20"/>
      </w:rPr>
    </w:pPr>
  </w:p>
  <w:p w14:paraId="578B4815" w14:textId="77777777" w:rsidR="006E1A08" w:rsidRDefault="006E1A08">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0DB7F" w14:textId="77777777" w:rsidR="003C13C6" w:rsidRDefault="003C13C6">
    <w:pPr>
      <w:pStyle w:val="Header"/>
    </w:pPr>
    <w:r>
      <w:t>[Type text]</w:t>
    </w:r>
  </w:p>
  <w:p w14:paraId="29913AA8" w14:textId="77777777" w:rsidR="001D67BB" w:rsidRDefault="001D67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DA8BC6"/>
    <w:lvl w:ilvl="0">
      <w:numFmt w:val="bullet"/>
      <w:lvlText w:val="*"/>
      <w:lvlJc w:val="left"/>
    </w:lvl>
  </w:abstractNum>
  <w:abstractNum w:abstractNumId="1" w15:restartNumberingAfterBreak="0">
    <w:nsid w:val="009D3F26"/>
    <w:multiLevelType w:val="hybridMultilevel"/>
    <w:tmpl w:val="94F4C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06B8E"/>
    <w:multiLevelType w:val="hybridMultilevel"/>
    <w:tmpl w:val="E36C2216"/>
    <w:lvl w:ilvl="0" w:tplc="D55A8E1A">
      <w:start w:val="18"/>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F97328"/>
    <w:multiLevelType w:val="hybridMultilevel"/>
    <w:tmpl w:val="38EAF262"/>
    <w:lvl w:ilvl="0" w:tplc="3EA21956">
      <w:start w:val="1"/>
      <w:numFmt w:val="bullet"/>
      <w:lvlText w:val=""/>
      <w:lvlJc w:val="left"/>
      <w:pPr>
        <w:tabs>
          <w:tab w:val="num" w:pos="900"/>
        </w:tabs>
        <w:ind w:left="900" w:hanging="360"/>
      </w:pPr>
      <w:rPr>
        <w:rFonts w:ascii="Symbol" w:hAnsi="Symbol" w:hint="default"/>
        <w:color w:val="auto"/>
        <w:sz w:val="20"/>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7042950"/>
    <w:multiLevelType w:val="hybridMultilevel"/>
    <w:tmpl w:val="1C5076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3D042E"/>
    <w:multiLevelType w:val="hybridMultilevel"/>
    <w:tmpl w:val="05CA8F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3115A5"/>
    <w:multiLevelType w:val="hybridMultilevel"/>
    <w:tmpl w:val="430CA22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52583172"/>
    <w:multiLevelType w:val="hybridMultilevel"/>
    <w:tmpl w:val="18EEA1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FC66CD3"/>
    <w:multiLevelType w:val="hybridMultilevel"/>
    <w:tmpl w:val="B1F220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BA6C40"/>
    <w:multiLevelType w:val="hybridMultilevel"/>
    <w:tmpl w:val="2EF836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68CB0CE7"/>
    <w:multiLevelType w:val="hybridMultilevel"/>
    <w:tmpl w:val="0C0806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720" w:hanging="360"/>
        </w:pPr>
        <w:rPr>
          <w:rFonts w:ascii="Times New Roman" w:hAnsi="Times New Roman" w:cs="Times New Roman" w:hint="default"/>
          <w:b/>
        </w:rPr>
      </w:lvl>
    </w:lvlOverride>
  </w:num>
  <w:num w:numId="2">
    <w:abstractNumId w:val="0"/>
    <w:lvlOverride w:ilvl="0">
      <w:lvl w:ilvl="0">
        <w:numFmt w:val="bullet"/>
        <w:lvlText w:val="·"/>
        <w:legacy w:legacy="1" w:legacySpace="0" w:legacyIndent="270"/>
        <w:lvlJc w:val="left"/>
        <w:pPr>
          <w:ind w:left="990" w:hanging="270"/>
        </w:pPr>
        <w:rPr>
          <w:rFonts w:ascii="Times New Roman" w:hAnsi="Times New Roman" w:cs="Times New Roman" w:hint="default"/>
        </w:rPr>
      </w:lvl>
    </w:lvlOverride>
  </w:num>
  <w:num w:numId="3">
    <w:abstractNumId w:val="3"/>
  </w:num>
  <w:num w:numId="4">
    <w:abstractNumId w:val="8"/>
  </w:num>
  <w:num w:numId="5">
    <w:abstractNumId w:val="2"/>
  </w:num>
  <w:num w:numId="6">
    <w:abstractNumId w:val="4"/>
  </w:num>
  <w:num w:numId="7">
    <w:abstractNumId w:val="0"/>
    <w:lvlOverride w:ilvl="0">
      <w:lvl w:ilvl="0">
        <w:numFmt w:val="bullet"/>
        <w:lvlText w:val="·"/>
        <w:legacy w:legacy="1" w:legacySpace="0" w:legacyIndent="360"/>
        <w:lvlJc w:val="left"/>
        <w:pPr>
          <w:ind w:left="720" w:hanging="360"/>
        </w:pPr>
        <w:rPr>
          <w:rFonts w:ascii="Times New Roman" w:hAnsi="Times New Roman" w:cs="Times New Roman" w:hint="default"/>
        </w:rPr>
      </w:lvl>
    </w:lvlOverride>
  </w:num>
  <w:num w:numId="8">
    <w:abstractNumId w:val="10"/>
  </w:num>
  <w:num w:numId="9">
    <w:abstractNumId w:val="1"/>
  </w:num>
  <w:num w:numId="10">
    <w:abstractNumId w:val="9"/>
  </w:num>
  <w:num w:numId="11">
    <w:abstractNumId w:val="6"/>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6178"/>
    <w:rsid w:val="000133FD"/>
    <w:rsid w:val="00014158"/>
    <w:rsid w:val="00020F69"/>
    <w:rsid w:val="00022303"/>
    <w:rsid w:val="0004107F"/>
    <w:rsid w:val="00042CBD"/>
    <w:rsid w:val="00052174"/>
    <w:rsid w:val="00061F6C"/>
    <w:rsid w:val="00064E28"/>
    <w:rsid w:val="0007383F"/>
    <w:rsid w:val="00095C30"/>
    <w:rsid w:val="000A7853"/>
    <w:rsid w:val="000B0391"/>
    <w:rsid w:val="000B4875"/>
    <w:rsid w:val="000B6FB6"/>
    <w:rsid w:val="000C257C"/>
    <w:rsid w:val="000C3A92"/>
    <w:rsid w:val="000C74FB"/>
    <w:rsid w:val="000D7F95"/>
    <w:rsid w:val="000E1C64"/>
    <w:rsid w:val="000F6836"/>
    <w:rsid w:val="001040D4"/>
    <w:rsid w:val="001078BB"/>
    <w:rsid w:val="00116CD5"/>
    <w:rsid w:val="00133C47"/>
    <w:rsid w:val="00141831"/>
    <w:rsid w:val="0014556E"/>
    <w:rsid w:val="0015322B"/>
    <w:rsid w:val="0015365E"/>
    <w:rsid w:val="00157A90"/>
    <w:rsid w:val="00180E5A"/>
    <w:rsid w:val="001A47D9"/>
    <w:rsid w:val="001D10ED"/>
    <w:rsid w:val="001D2D09"/>
    <w:rsid w:val="001D67BB"/>
    <w:rsid w:val="001E0E7F"/>
    <w:rsid w:val="001E2932"/>
    <w:rsid w:val="001E3596"/>
    <w:rsid w:val="001E5213"/>
    <w:rsid w:val="001F2E8E"/>
    <w:rsid w:val="002036A1"/>
    <w:rsid w:val="002134B4"/>
    <w:rsid w:val="002203C9"/>
    <w:rsid w:val="00237691"/>
    <w:rsid w:val="00242CA0"/>
    <w:rsid w:val="00243432"/>
    <w:rsid w:val="00247146"/>
    <w:rsid w:val="002508CD"/>
    <w:rsid w:val="00273D58"/>
    <w:rsid w:val="00277C1F"/>
    <w:rsid w:val="002866AD"/>
    <w:rsid w:val="00286BE3"/>
    <w:rsid w:val="0029135D"/>
    <w:rsid w:val="00292951"/>
    <w:rsid w:val="00293CD1"/>
    <w:rsid w:val="00295B8C"/>
    <w:rsid w:val="002A3962"/>
    <w:rsid w:val="002A5972"/>
    <w:rsid w:val="002E238B"/>
    <w:rsid w:val="002E4200"/>
    <w:rsid w:val="00304132"/>
    <w:rsid w:val="00312124"/>
    <w:rsid w:val="00313820"/>
    <w:rsid w:val="0032649A"/>
    <w:rsid w:val="00332F98"/>
    <w:rsid w:val="003430A6"/>
    <w:rsid w:val="003448FC"/>
    <w:rsid w:val="00346D98"/>
    <w:rsid w:val="003548D8"/>
    <w:rsid w:val="00363CC2"/>
    <w:rsid w:val="00371EEC"/>
    <w:rsid w:val="003876F3"/>
    <w:rsid w:val="00390426"/>
    <w:rsid w:val="00394AEB"/>
    <w:rsid w:val="003A6353"/>
    <w:rsid w:val="003C0ABC"/>
    <w:rsid w:val="003C13C6"/>
    <w:rsid w:val="003C2B7B"/>
    <w:rsid w:val="003D5958"/>
    <w:rsid w:val="003D6AC7"/>
    <w:rsid w:val="003E49A6"/>
    <w:rsid w:val="003E5E34"/>
    <w:rsid w:val="003F53FB"/>
    <w:rsid w:val="00400B4D"/>
    <w:rsid w:val="00401F18"/>
    <w:rsid w:val="004056B7"/>
    <w:rsid w:val="00410AC8"/>
    <w:rsid w:val="00414664"/>
    <w:rsid w:val="00443460"/>
    <w:rsid w:val="0044773C"/>
    <w:rsid w:val="004672B5"/>
    <w:rsid w:val="004844D1"/>
    <w:rsid w:val="0048559D"/>
    <w:rsid w:val="00494A93"/>
    <w:rsid w:val="00494D75"/>
    <w:rsid w:val="004A1763"/>
    <w:rsid w:val="004B1E83"/>
    <w:rsid w:val="004D1C78"/>
    <w:rsid w:val="004D441E"/>
    <w:rsid w:val="004D46D1"/>
    <w:rsid w:val="004E1D9E"/>
    <w:rsid w:val="005144B2"/>
    <w:rsid w:val="005164DC"/>
    <w:rsid w:val="00516CE2"/>
    <w:rsid w:val="00530EBD"/>
    <w:rsid w:val="0053708C"/>
    <w:rsid w:val="005419ED"/>
    <w:rsid w:val="00567912"/>
    <w:rsid w:val="00570098"/>
    <w:rsid w:val="00574928"/>
    <w:rsid w:val="005805E7"/>
    <w:rsid w:val="00583F5D"/>
    <w:rsid w:val="0058424C"/>
    <w:rsid w:val="00584F8D"/>
    <w:rsid w:val="00597511"/>
    <w:rsid w:val="005A0350"/>
    <w:rsid w:val="005B5990"/>
    <w:rsid w:val="005C6147"/>
    <w:rsid w:val="005D5F8C"/>
    <w:rsid w:val="005E5148"/>
    <w:rsid w:val="0060114B"/>
    <w:rsid w:val="00611DE2"/>
    <w:rsid w:val="006227B3"/>
    <w:rsid w:val="00642220"/>
    <w:rsid w:val="00652ED1"/>
    <w:rsid w:val="006626FF"/>
    <w:rsid w:val="006650A8"/>
    <w:rsid w:val="0067772C"/>
    <w:rsid w:val="00685435"/>
    <w:rsid w:val="00690F56"/>
    <w:rsid w:val="006A4637"/>
    <w:rsid w:val="006B0D7A"/>
    <w:rsid w:val="006C39F8"/>
    <w:rsid w:val="006E1A08"/>
    <w:rsid w:val="006F66F9"/>
    <w:rsid w:val="006F6E13"/>
    <w:rsid w:val="007010C5"/>
    <w:rsid w:val="007011F1"/>
    <w:rsid w:val="007127A1"/>
    <w:rsid w:val="00713ACE"/>
    <w:rsid w:val="00715F82"/>
    <w:rsid w:val="0071749C"/>
    <w:rsid w:val="0072770D"/>
    <w:rsid w:val="007412B6"/>
    <w:rsid w:val="007636EC"/>
    <w:rsid w:val="00766123"/>
    <w:rsid w:val="00767D37"/>
    <w:rsid w:val="00774503"/>
    <w:rsid w:val="00777CD2"/>
    <w:rsid w:val="0078038F"/>
    <w:rsid w:val="00785FE9"/>
    <w:rsid w:val="00786E04"/>
    <w:rsid w:val="007A7F79"/>
    <w:rsid w:val="007D46C2"/>
    <w:rsid w:val="007E4150"/>
    <w:rsid w:val="008043E5"/>
    <w:rsid w:val="00804A1A"/>
    <w:rsid w:val="0081073D"/>
    <w:rsid w:val="008323ED"/>
    <w:rsid w:val="00835955"/>
    <w:rsid w:val="00844C9A"/>
    <w:rsid w:val="00846701"/>
    <w:rsid w:val="008624D5"/>
    <w:rsid w:val="00871CA6"/>
    <w:rsid w:val="008810F9"/>
    <w:rsid w:val="00882AB5"/>
    <w:rsid w:val="00882B1D"/>
    <w:rsid w:val="0088672C"/>
    <w:rsid w:val="008A1F0C"/>
    <w:rsid w:val="008A40D1"/>
    <w:rsid w:val="008A4B4B"/>
    <w:rsid w:val="008B541B"/>
    <w:rsid w:val="00901003"/>
    <w:rsid w:val="0090158E"/>
    <w:rsid w:val="00901EF6"/>
    <w:rsid w:val="0090413E"/>
    <w:rsid w:val="009271B1"/>
    <w:rsid w:val="009441E2"/>
    <w:rsid w:val="00963680"/>
    <w:rsid w:val="00964D3F"/>
    <w:rsid w:val="009700D9"/>
    <w:rsid w:val="00985C15"/>
    <w:rsid w:val="009A6DCA"/>
    <w:rsid w:val="009B00FD"/>
    <w:rsid w:val="009B38D1"/>
    <w:rsid w:val="009B4116"/>
    <w:rsid w:val="009C2A10"/>
    <w:rsid w:val="009D1EA2"/>
    <w:rsid w:val="009E0141"/>
    <w:rsid w:val="009E234B"/>
    <w:rsid w:val="009E6534"/>
    <w:rsid w:val="009F1630"/>
    <w:rsid w:val="009F52F3"/>
    <w:rsid w:val="00A10441"/>
    <w:rsid w:val="00A15094"/>
    <w:rsid w:val="00A21F98"/>
    <w:rsid w:val="00A41C21"/>
    <w:rsid w:val="00A47DA7"/>
    <w:rsid w:val="00A52DE7"/>
    <w:rsid w:val="00A55023"/>
    <w:rsid w:val="00A56B86"/>
    <w:rsid w:val="00A632EF"/>
    <w:rsid w:val="00A677E9"/>
    <w:rsid w:val="00A740AB"/>
    <w:rsid w:val="00A834BF"/>
    <w:rsid w:val="00A90769"/>
    <w:rsid w:val="00A973AA"/>
    <w:rsid w:val="00AA177A"/>
    <w:rsid w:val="00AB4DC3"/>
    <w:rsid w:val="00AC775D"/>
    <w:rsid w:val="00AD022F"/>
    <w:rsid w:val="00AD75AC"/>
    <w:rsid w:val="00AF2C11"/>
    <w:rsid w:val="00AF3788"/>
    <w:rsid w:val="00AF5262"/>
    <w:rsid w:val="00AF7928"/>
    <w:rsid w:val="00B35DAD"/>
    <w:rsid w:val="00B40FD3"/>
    <w:rsid w:val="00B47443"/>
    <w:rsid w:val="00B5377A"/>
    <w:rsid w:val="00B6181C"/>
    <w:rsid w:val="00B66231"/>
    <w:rsid w:val="00B70751"/>
    <w:rsid w:val="00B80A50"/>
    <w:rsid w:val="00BA6C9C"/>
    <w:rsid w:val="00BB3BEF"/>
    <w:rsid w:val="00BD34F2"/>
    <w:rsid w:val="00C02744"/>
    <w:rsid w:val="00C02E4A"/>
    <w:rsid w:val="00C05B88"/>
    <w:rsid w:val="00C07F7F"/>
    <w:rsid w:val="00C12530"/>
    <w:rsid w:val="00C14429"/>
    <w:rsid w:val="00C247D8"/>
    <w:rsid w:val="00C34009"/>
    <w:rsid w:val="00C4763A"/>
    <w:rsid w:val="00C63D1E"/>
    <w:rsid w:val="00C667F3"/>
    <w:rsid w:val="00C712D2"/>
    <w:rsid w:val="00C77B5C"/>
    <w:rsid w:val="00C824C6"/>
    <w:rsid w:val="00C8275F"/>
    <w:rsid w:val="00C87068"/>
    <w:rsid w:val="00C9162F"/>
    <w:rsid w:val="00C91858"/>
    <w:rsid w:val="00CA2F0A"/>
    <w:rsid w:val="00CB3579"/>
    <w:rsid w:val="00CC0731"/>
    <w:rsid w:val="00CC770C"/>
    <w:rsid w:val="00CD215D"/>
    <w:rsid w:val="00CD6628"/>
    <w:rsid w:val="00D05EAB"/>
    <w:rsid w:val="00D2331B"/>
    <w:rsid w:val="00D36BB6"/>
    <w:rsid w:val="00D53DEB"/>
    <w:rsid w:val="00D57DE8"/>
    <w:rsid w:val="00D73AAD"/>
    <w:rsid w:val="00D75842"/>
    <w:rsid w:val="00D86FF7"/>
    <w:rsid w:val="00DA34DB"/>
    <w:rsid w:val="00DB7B7C"/>
    <w:rsid w:val="00DD6DF0"/>
    <w:rsid w:val="00E0031C"/>
    <w:rsid w:val="00E0138A"/>
    <w:rsid w:val="00E06430"/>
    <w:rsid w:val="00E22463"/>
    <w:rsid w:val="00E23871"/>
    <w:rsid w:val="00E322E9"/>
    <w:rsid w:val="00E400EA"/>
    <w:rsid w:val="00E4610F"/>
    <w:rsid w:val="00E46EE5"/>
    <w:rsid w:val="00E57F5E"/>
    <w:rsid w:val="00E60FB0"/>
    <w:rsid w:val="00E614A1"/>
    <w:rsid w:val="00E700AD"/>
    <w:rsid w:val="00E7446C"/>
    <w:rsid w:val="00E74ABD"/>
    <w:rsid w:val="00E83023"/>
    <w:rsid w:val="00E833E4"/>
    <w:rsid w:val="00E92EED"/>
    <w:rsid w:val="00E93A0F"/>
    <w:rsid w:val="00E97F94"/>
    <w:rsid w:val="00EA3E66"/>
    <w:rsid w:val="00EC0B43"/>
    <w:rsid w:val="00F11AA8"/>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A3D8C"/>
    <w:rsid w:val="00FA6553"/>
    <w:rsid w:val="00FB587F"/>
    <w:rsid w:val="00FF42E2"/>
    <w:rsid w:val="00FF4C58"/>
    <w:rsid w:val="00FF61D3"/>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character" w:styleId="Hyperlink">
    <w:name w:val="Hyperlink"/>
    <w:basedOn w:val="DefaultParagraphFont"/>
    <w:rsid w:val="00295B8C"/>
    <w:rPr>
      <w:color w:val="0563C1" w:themeColor="hyperlink"/>
      <w:u w:val="single"/>
    </w:rPr>
  </w:style>
  <w:style w:type="character" w:customStyle="1" w:styleId="UnresolvedMention1">
    <w:name w:val="Unresolved Mention1"/>
    <w:basedOn w:val="DefaultParagraphFont"/>
    <w:uiPriority w:val="99"/>
    <w:semiHidden/>
    <w:unhideWhenUsed/>
    <w:rsid w:val="00295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351491">
      <w:bodyDiv w:val="1"/>
      <w:marLeft w:val="0"/>
      <w:marRight w:val="0"/>
      <w:marTop w:val="30"/>
      <w:marBottom w:val="750"/>
      <w:divBdr>
        <w:top w:val="none" w:sz="0" w:space="0" w:color="auto"/>
        <w:left w:val="none" w:sz="0" w:space="0" w:color="auto"/>
        <w:bottom w:val="none" w:sz="0" w:space="0" w:color="auto"/>
        <w:right w:val="none" w:sz="0" w:space="0" w:color="auto"/>
      </w:divBdr>
      <w:divsChild>
        <w:div w:id="297423051">
          <w:marLeft w:val="0"/>
          <w:marRight w:val="0"/>
          <w:marTop w:val="0"/>
          <w:marBottom w:val="0"/>
          <w:divBdr>
            <w:top w:val="none" w:sz="0" w:space="0" w:color="auto"/>
            <w:left w:val="none" w:sz="0" w:space="0" w:color="auto"/>
            <w:bottom w:val="none" w:sz="0" w:space="0" w:color="auto"/>
            <w:right w:val="none" w:sz="0" w:space="0" w:color="auto"/>
          </w:divBdr>
        </w:div>
      </w:divsChild>
    </w:div>
    <w:div w:id="402725837">
      <w:bodyDiv w:val="1"/>
      <w:marLeft w:val="0"/>
      <w:marRight w:val="0"/>
      <w:marTop w:val="30"/>
      <w:marBottom w:val="750"/>
      <w:divBdr>
        <w:top w:val="none" w:sz="0" w:space="0" w:color="auto"/>
        <w:left w:val="none" w:sz="0" w:space="0" w:color="auto"/>
        <w:bottom w:val="none" w:sz="0" w:space="0" w:color="auto"/>
        <w:right w:val="none" w:sz="0" w:space="0" w:color="auto"/>
      </w:divBdr>
      <w:divsChild>
        <w:div w:id="387842147">
          <w:marLeft w:val="0"/>
          <w:marRight w:val="0"/>
          <w:marTop w:val="0"/>
          <w:marBottom w:val="0"/>
          <w:divBdr>
            <w:top w:val="none" w:sz="0" w:space="0" w:color="auto"/>
            <w:left w:val="none" w:sz="0" w:space="0" w:color="auto"/>
            <w:bottom w:val="none" w:sz="0" w:space="0" w:color="auto"/>
            <w:right w:val="none" w:sz="0" w:space="0" w:color="auto"/>
          </w:divBdr>
        </w:div>
      </w:divsChild>
    </w:div>
    <w:div w:id="1245072089">
      <w:bodyDiv w:val="1"/>
      <w:marLeft w:val="0"/>
      <w:marRight w:val="0"/>
      <w:marTop w:val="30"/>
      <w:marBottom w:val="750"/>
      <w:divBdr>
        <w:top w:val="none" w:sz="0" w:space="0" w:color="auto"/>
        <w:left w:val="none" w:sz="0" w:space="0" w:color="auto"/>
        <w:bottom w:val="none" w:sz="0" w:space="0" w:color="auto"/>
        <w:right w:val="none" w:sz="0" w:space="0" w:color="auto"/>
      </w:divBdr>
      <w:divsChild>
        <w:div w:id="1898591034">
          <w:marLeft w:val="0"/>
          <w:marRight w:val="0"/>
          <w:marTop w:val="0"/>
          <w:marBottom w:val="0"/>
          <w:divBdr>
            <w:top w:val="none" w:sz="0" w:space="0" w:color="auto"/>
            <w:left w:val="none" w:sz="0" w:space="0" w:color="auto"/>
            <w:bottom w:val="none" w:sz="0" w:space="0" w:color="auto"/>
            <w:right w:val="none" w:sz="0" w:space="0" w:color="auto"/>
          </w:divBdr>
        </w:div>
      </w:divsChild>
    </w:div>
    <w:div w:id="1618751157">
      <w:bodyDiv w:val="1"/>
      <w:marLeft w:val="0"/>
      <w:marRight w:val="0"/>
      <w:marTop w:val="0"/>
      <w:marBottom w:val="0"/>
      <w:divBdr>
        <w:top w:val="none" w:sz="0" w:space="0" w:color="auto"/>
        <w:left w:val="none" w:sz="0" w:space="0" w:color="auto"/>
        <w:bottom w:val="none" w:sz="0" w:space="0" w:color="auto"/>
        <w:right w:val="none" w:sz="0" w:space="0" w:color="auto"/>
      </w:divBdr>
    </w:div>
    <w:div w:id="1726486901">
      <w:bodyDiv w:val="1"/>
      <w:marLeft w:val="0"/>
      <w:marRight w:val="0"/>
      <w:marTop w:val="30"/>
      <w:marBottom w:val="750"/>
      <w:divBdr>
        <w:top w:val="none" w:sz="0" w:space="0" w:color="auto"/>
        <w:left w:val="none" w:sz="0" w:space="0" w:color="auto"/>
        <w:bottom w:val="none" w:sz="0" w:space="0" w:color="auto"/>
        <w:right w:val="none" w:sz="0" w:space="0" w:color="auto"/>
      </w:divBdr>
      <w:divsChild>
        <w:div w:id="1572960550">
          <w:marLeft w:val="0"/>
          <w:marRight w:val="0"/>
          <w:marTop w:val="0"/>
          <w:marBottom w:val="0"/>
          <w:divBdr>
            <w:top w:val="none" w:sz="0" w:space="0" w:color="auto"/>
            <w:left w:val="none" w:sz="0" w:space="0" w:color="auto"/>
            <w:bottom w:val="none" w:sz="0" w:space="0" w:color="auto"/>
            <w:right w:val="none" w:sz="0" w:space="0" w:color="auto"/>
          </w:divBdr>
        </w:div>
      </w:divsChild>
    </w:div>
    <w:div w:id="1763530617">
      <w:bodyDiv w:val="1"/>
      <w:marLeft w:val="0"/>
      <w:marRight w:val="0"/>
      <w:marTop w:val="0"/>
      <w:marBottom w:val="0"/>
      <w:divBdr>
        <w:top w:val="none" w:sz="0" w:space="0" w:color="auto"/>
        <w:left w:val="none" w:sz="0" w:space="0" w:color="auto"/>
        <w:bottom w:val="none" w:sz="0" w:space="0" w:color="auto"/>
        <w:right w:val="none" w:sz="0" w:space="0" w:color="auto"/>
      </w:divBdr>
    </w:div>
    <w:div w:id="1890220466">
      <w:bodyDiv w:val="1"/>
      <w:marLeft w:val="0"/>
      <w:marRight w:val="0"/>
      <w:marTop w:val="30"/>
      <w:marBottom w:val="750"/>
      <w:divBdr>
        <w:top w:val="none" w:sz="0" w:space="0" w:color="auto"/>
        <w:left w:val="none" w:sz="0" w:space="0" w:color="auto"/>
        <w:bottom w:val="none" w:sz="0" w:space="0" w:color="auto"/>
        <w:right w:val="none" w:sz="0" w:space="0" w:color="auto"/>
      </w:divBdr>
      <w:divsChild>
        <w:div w:id="1337196549">
          <w:marLeft w:val="0"/>
          <w:marRight w:val="0"/>
          <w:marTop w:val="0"/>
          <w:marBottom w:val="0"/>
          <w:divBdr>
            <w:top w:val="none" w:sz="0" w:space="0" w:color="auto"/>
            <w:left w:val="none" w:sz="0" w:space="0" w:color="auto"/>
            <w:bottom w:val="none" w:sz="0" w:space="0" w:color="auto"/>
            <w:right w:val="none" w:sz="0" w:space="0" w:color="auto"/>
          </w:divBdr>
        </w:div>
      </w:divsChild>
    </w:div>
    <w:div w:id="214565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dr.doleta.gov/directives/corr_doc.cfm?DOCN=610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3BE50-C3EC-44CA-8FBF-0A564242B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3016</Words>
  <Characters>16830</Characters>
  <Application>Microsoft Office Word</Application>
  <DocSecurity>4</DocSecurity>
  <Lines>140</Lines>
  <Paragraphs>39</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19807</CharactersWithSpaces>
  <SharedDoc>false</SharedDoc>
  <HLinks>
    <vt:vector size="12" baseType="variant">
      <vt:variant>
        <vt:i4>1703952</vt:i4>
      </vt:variant>
      <vt:variant>
        <vt:i4>3</vt:i4>
      </vt:variant>
      <vt:variant>
        <vt:i4>0</vt:i4>
      </vt:variant>
      <vt:variant>
        <vt:i4>5</vt:i4>
      </vt:variant>
      <vt:variant>
        <vt:lpwstr>https://www.bls.gov/news.release/pdf/ecec.pdf</vt:lpwstr>
      </vt:variant>
      <vt:variant>
        <vt:lpwstr/>
      </vt:variant>
      <vt:variant>
        <vt:i4>8061045</vt:i4>
      </vt:variant>
      <vt:variant>
        <vt:i4>0</vt:i4>
      </vt:variant>
      <vt:variant>
        <vt:i4>0</vt:i4>
      </vt:variant>
      <vt:variant>
        <vt:i4>5</vt:i4>
      </vt:variant>
      <vt:variant>
        <vt:lpwstr>https://www.bls.gov/oes/tables.htm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subject/>
  <dc:creator>Theda Kenney</dc:creator>
  <cp:keywords/>
  <cp:lastModifiedBy>MSB</cp:lastModifiedBy>
  <cp:revision>2</cp:revision>
  <cp:lastPrinted>2020-02-19T15:46:00Z</cp:lastPrinted>
  <dcterms:created xsi:type="dcterms:W3CDTF">2022-02-14T15:28:00Z</dcterms:created>
  <dcterms:modified xsi:type="dcterms:W3CDTF">2022-02-14T15:28:00Z</dcterms:modified>
</cp:coreProperties>
</file>